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ascii="黑体" w:eastAsia="黑体"/>
          <w:color w:val="auto"/>
          <w:sz w:val="24"/>
          <w:highlight w:val="none"/>
        </w:rPr>
      </w:pPr>
      <w:r>
        <w:rPr>
          <w:rFonts w:ascii="宋体" w:hAnsi="宋体" w:cs="宋体"/>
          <w:color w:val="auto"/>
          <w:sz w:val="24"/>
          <w:highlight w:val="none"/>
        </w:rPr>
        <w:fldChar w:fldCharType="begin"/>
      </w:r>
      <w:r>
        <w:rPr>
          <w:color w:val="auto"/>
          <w:highlight w:val="none"/>
        </w:rPr>
        <w:instrText xml:space="preserve"> INCLUDEPICTURE "D:\\AppData\\Roaming\\Tencent\\Users\\366968177\\QQ\\WinTemp\\RichOle\\%7b9KYQQ%7dGOZ1%7b%5d~8T6VE%5d_3Y.png" \* MERGEFORMAT </w:instrText>
      </w:r>
      <w:r>
        <w:rPr>
          <w:rFonts w:ascii="宋体" w:hAnsi="宋体" w:cs="宋体"/>
          <w:color w:val="auto"/>
          <w:sz w:val="24"/>
          <w:highlight w:val="none"/>
        </w:rPr>
        <w:fldChar w:fldCharType="separate"/>
      </w:r>
      <w:r>
        <w:rPr>
          <w:rFonts w:ascii="宋体" w:hAnsi="宋体" w:cs="宋体"/>
          <w:color w:val="auto"/>
          <w:sz w:val="24"/>
          <w:highlight w:val="none"/>
        </w:rPr>
        <w:drawing>
          <wp:inline distT="0" distB="0" distL="114300" distR="114300">
            <wp:extent cx="1514475" cy="1357630"/>
            <wp:effectExtent l="0" t="0" r="9525" b="13970"/>
            <wp:docPr id="3" name="图片 1" descr="{9KYQQ}GOZ1{]~8T6VE]_3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KYQQ}GOZ1{]~8T6VE]_3Y"/>
                    <pic:cNvPicPr>
                      <a:picLocks noChangeAspect="1"/>
                    </pic:cNvPicPr>
                  </pic:nvPicPr>
                  <pic:blipFill>
                    <a:blip r:embed="rId12"/>
                    <a:stretch>
                      <a:fillRect/>
                    </a:stretch>
                  </pic:blipFill>
                  <pic:spPr>
                    <a:xfrm>
                      <a:off x="0" y="0"/>
                      <a:ext cx="1514475" cy="1357630"/>
                    </a:xfrm>
                    <a:prstGeom prst="rect">
                      <a:avLst/>
                    </a:prstGeom>
                    <a:noFill/>
                    <a:ln w="9525">
                      <a:noFill/>
                    </a:ln>
                  </pic:spPr>
                </pic:pic>
              </a:graphicData>
            </a:graphic>
          </wp:inline>
        </w:drawing>
      </w:r>
      <w:r>
        <w:rPr>
          <w:rFonts w:ascii="宋体" w:hAnsi="宋体" w:cs="宋体"/>
          <w:color w:val="auto"/>
          <w:sz w:val="24"/>
          <w:highlight w:val="none"/>
        </w:rPr>
        <w:fldChar w:fldCharType="end"/>
      </w:r>
      <w:bookmarkStart w:id="129" w:name="_GoBack"/>
      <w:bookmarkEnd w:id="129"/>
    </w:p>
    <w:p>
      <w:pPr>
        <w:spacing w:line="480" w:lineRule="auto"/>
        <w:rPr>
          <w:rFonts w:hint="eastAsia" w:ascii="华文中宋" w:hAnsi="华文中宋" w:eastAsia="华文中宋"/>
          <w:b/>
          <w:color w:val="auto"/>
          <w:sz w:val="72"/>
          <w:highlight w:val="none"/>
        </w:rPr>
      </w:pPr>
    </w:p>
    <w:p>
      <w:pPr>
        <w:snapToGrid w:val="0"/>
        <w:jc w:val="center"/>
        <w:rPr>
          <w:rFonts w:hint="eastAsia" w:ascii="黑体" w:eastAsia="黑体"/>
          <w:b/>
          <w:bCs/>
          <w:color w:val="auto"/>
          <w:sz w:val="72"/>
          <w:szCs w:val="72"/>
          <w:highlight w:val="none"/>
        </w:rPr>
      </w:pPr>
      <w:r>
        <w:rPr>
          <w:rFonts w:hint="eastAsia" w:ascii="黑体" w:hAnsi="华文中宋" w:eastAsia="黑体" w:cs="华文中宋"/>
          <w:b/>
          <w:bCs/>
          <w:color w:val="auto"/>
          <w:sz w:val="72"/>
          <w:szCs w:val="72"/>
          <w:highlight w:val="none"/>
        </w:rPr>
        <w:t>服务采购</w:t>
      </w:r>
    </w:p>
    <w:p>
      <w:pPr>
        <w:snapToGrid w:val="0"/>
        <w:spacing w:before="156" w:beforeLines="50"/>
        <w:jc w:val="center"/>
        <w:rPr>
          <w:rFonts w:hint="eastAsia" w:ascii="仿宋_GB2312" w:eastAsia="仿宋_GB2312"/>
          <w:b/>
          <w:bCs/>
          <w:color w:val="auto"/>
          <w:sz w:val="72"/>
          <w:szCs w:val="72"/>
          <w:highlight w:val="none"/>
        </w:rPr>
      </w:pPr>
      <w:r>
        <w:rPr>
          <w:rFonts w:hint="eastAsia" w:ascii="黑体" w:hAnsi="华文中宋" w:eastAsia="黑体" w:cs="华文中宋"/>
          <w:b/>
          <w:bCs/>
          <w:color w:val="auto"/>
          <w:sz w:val="72"/>
          <w:szCs w:val="72"/>
          <w:highlight w:val="none"/>
        </w:rPr>
        <w:t>公开招标文件</w:t>
      </w:r>
    </w:p>
    <w:p>
      <w:pPr>
        <w:spacing w:line="48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pStyle w:val="6"/>
        <w:spacing w:line="360" w:lineRule="auto"/>
        <w:ind w:firstLine="1558" w:firstLineChars="485"/>
        <w:rPr>
          <w:rFonts w:hint="eastAsia" w:ascii="仿宋_GB2312" w:eastAsia="仿宋_GB2312"/>
          <w:b/>
          <w:color w:val="auto"/>
          <w:sz w:val="32"/>
          <w:highlight w:val="none"/>
        </w:rPr>
      </w:pPr>
      <w:r>
        <w:rPr>
          <w:rFonts w:hint="eastAsia" w:ascii="仿宋_GB2312" w:eastAsia="仿宋_GB2312"/>
          <w:b/>
          <w:color w:val="auto"/>
          <w:sz w:val="32"/>
          <w:highlight w:val="none"/>
        </w:rPr>
        <w:t>项目编号：</w:t>
      </w:r>
      <w:r>
        <w:rPr>
          <w:rFonts w:hint="eastAsia" w:ascii="仿宋_GB2312" w:eastAsia="仿宋_GB2312"/>
          <w:b/>
          <w:color w:val="auto"/>
          <w:sz w:val="32"/>
          <w:highlight w:val="none"/>
          <w:lang w:eastAsia="zh-CN"/>
        </w:rPr>
        <w:t>GDZC-18GZ057</w:t>
      </w:r>
    </w:p>
    <w:p>
      <w:pPr>
        <w:pStyle w:val="6"/>
        <w:spacing w:line="360" w:lineRule="auto"/>
        <w:ind w:firstLine="1558" w:firstLineChars="485"/>
        <w:rPr>
          <w:rFonts w:hint="eastAsia" w:ascii="仿宋_GB2312" w:eastAsia="仿宋_GB2312"/>
          <w:b/>
          <w:color w:val="auto"/>
          <w:sz w:val="32"/>
          <w:highlight w:val="none"/>
        </w:rPr>
      </w:pPr>
      <w:r>
        <w:rPr>
          <w:rFonts w:hint="eastAsia" w:ascii="仿宋_GB2312" w:eastAsia="仿宋_GB2312"/>
          <w:b/>
          <w:color w:val="auto"/>
          <w:sz w:val="32"/>
          <w:highlight w:val="none"/>
        </w:rPr>
        <w:t>项目名称：</w:t>
      </w:r>
      <w:r>
        <w:rPr>
          <w:rFonts w:hint="eastAsia" w:ascii="仿宋_GB2312" w:eastAsia="仿宋_GB2312"/>
          <w:b/>
          <w:color w:val="auto"/>
          <w:sz w:val="32"/>
          <w:highlight w:val="none"/>
          <w:lang w:eastAsia="zh-CN"/>
        </w:rPr>
        <w:t>档案综合整理服务</w:t>
      </w:r>
    </w:p>
    <w:p>
      <w:pPr>
        <w:pStyle w:val="6"/>
        <w:spacing w:line="360" w:lineRule="auto"/>
        <w:rPr>
          <w:rFonts w:hint="eastAsia" w:ascii="仿宋_GB2312" w:eastAsia="仿宋_GB2312"/>
          <w:b/>
          <w:color w:val="auto"/>
          <w:sz w:val="32"/>
          <w:highlight w:val="none"/>
        </w:rPr>
      </w:pPr>
    </w:p>
    <w:p>
      <w:pPr>
        <w:spacing w:line="360" w:lineRule="auto"/>
        <w:rPr>
          <w:rFonts w:hint="eastAsia" w:eastAsia="华文中宋"/>
          <w:color w:val="auto"/>
          <w:sz w:val="30"/>
          <w:highlight w:val="none"/>
        </w:rPr>
      </w:pPr>
    </w:p>
    <w:p>
      <w:pPr>
        <w:snapToGrid w:val="0"/>
        <w:spacing w:line="360" w:lineRule="auto"/>
        <w:jc w:val="center"/>
        <w:rPr>
          <w:rFonts w:hint="eastAsia" w:ascii="黑体" w:hAnsi="华文中宋" w:eastAsia="黑体" w:cs="华文中宋"/>
          <w:color w:val="auto"/>
          <w:sz w:val="30"/>
          <w:szCs w:val="30"/>
          <w:highlight w:val="none"/>
        </w:rPr>
      </w:pPr>
      <w:r>
        <w:rPr>
          <w:rFonts w:hint="eastAsia" w:ascii="黑体" w:hAnsi="华文中宋" w:eastAsia="黑体" w:cs="华文中宋"/>
          <w:color w:val="auto"/>
          <w:sz w:val="30"/>
          <w:szCs w:val="30"/>
          <w:highlight w:val="none"/>
        </w:rPr>
        <w:t xml:space="preserve">  招标人：</w:t>
      </w:r>
      <w:r>
        <w:rPr>
          <w:rFonts w:hint="eastAsia" w:ascii="黑体" w:hAnsi="华文中宋" w:eastAsia="黑体" w:cs="华文中宋"/>
          <w:color w:val="auto"/>
          <w:sz w:val="30"/>
          <w:szCs w:val="30"/>
          <w:highlight w:val="none"/>
          <w:lang w:eastAsia="zh-CN"/>
        </w:rPr>
        <w:t>佛山市南海区铁路投资有限公司</w:t>
      </w:r>
    </w:p>
    <w:p>
      <w:pPr>
        <w:snapToGrid w:val="0"/>
        <w:spacing w:line="360" w:lineRule="auto"/>
        <w:jc w:val="center"/>
        <w:rPr>
          <w:rFonts w:ascii="黑体" w:hAnsi="华文中宋" w:eastAsia="黑体" w:cs="华文中宋"/>
          <w:color w:val="auto"/>
          <w:sz w:val="30"/>
          <w:szCs w:val="30"/>
          <w:highlight w:val="none"/>
        </w:rPr>
      </w:pPr>
      <w:r>
        <w:rPr>
          <w:rFonts w:hint="eastAsia" w:ascii="黑体" w:hAnsi="华文中宋" w:eastAsia="黑体" w:cs="华文中宋"/>
          <w:color w:val="auto"/>
          <w:sz w:val="30"/>
          <w:szCs w:val="30"/>
          <w:highlight w:val="none"/>
        </w:rPr>
        <w:t>招标代理机构</w:t>
      </w:r>
      <w:r>
        <w:rPr>
          <w:rFonts w:ascii="黑体" w:hAnsi="华文中宋" w:eastAsia="黑体" w:cs="华文中宋"/>
          <w:color w:val="auto"/>
          <w:sz w:val="30"/>
          <w:szCs w:val="30"/>
          <w:highlight w:val="none"/>
        </w:rPr>
        <w:t>：</w:t>
      </w:r>
      <w:r>
        <w:rPr>
          <w:rFonts w:hint="eastAsia" w:ascii="黑体" w:hAnsi="华文中宋" w:eastAsia="黑体" w:cs="华文中宋"/>
          <w:color w:val="auto"/>
          <w:sz w:val="30"/>
          <w:szCs w:val="30"/>
          <w:highlight w:val="none"/>
        </w:rPr>
        <w:t>广东中采招标有限公司</w:t>
      </w:r>
    </w:p>
    <w:p>
      <w:pPr>
        <w:snapToGrid w:val="0"/>
        <w:spacing w:line="360" w:lineRule="auto"/>
        <w:jc w:val="center"/>
        <w:rPr>
          <w:rFonts w:ascii="黑体" w:hAnsi="华文中宋" w:eastAsia="黑体" w:cs="华文中宋"/>
          <w:color w:val="auto"/>
          <w:sz w:val="30"/>
          <w:szCs w:val="30"/>
          <w:highlight w:val="none"/>
        </w:rPr>
      </w:pPr>
    </w:p>
    <w:p>
      <w:pPr>
        <w:snapToGrid w:val="0"/>
        <w:spacing w:line="360" w:lineRule="auto"/>
        <w:jc w:val="center"/>
        <w:rPr>
          <w:rFonts w:hint="eastAsia" w:ascii="黑体" w:hAnsi="华文中宋" w:eastAsia="黑体" w:cs="华文中宋"/>
          <w:color w:val="auto"/>
          <w:sz w:val="30"/>
          <w:szCs w:val="30"/>
          <w:highlight w:val="none"/>
        </w:rPr>
      </w:pPr>
      <w:r>
        <w:rPr>
          <w:rFonts w:hint="eastAsia" w:ascii="黑体" w:hAnsi="华文中宋" w:eastAsia="黑体" w:cs="华文中宋"/>
          <w:color w:val="auto"/>
          <w:sz w:val="30"/>
          <w:szCs w:val="30"/>
          <w:highlight w:val="none"/>
        </w:rPr>
        <w:t>201</w:t>
      </w:r>
      <w:r>
        <w:rPr>
          <w:rFonts w:hint="eastAsia" w:ascii="黑体" w:hAnsi="华文中宋" w:eastAsia="黑体" w:cs="华文中宋"/>
          <w:color w:val="auto"/>
          <w:sz w:val="30"/>
          <w:szCs w:val="30"/>
          <w:highlight w:val="none"/>
          <w:lang w:val="en-US" w:eastAsia="zh-CN"/>
        </w:rPr>
        <w:t>8</w:t>
      </w:r>
      <w:r>
        <w:rPr>
          <w:rFonts w:ascii="黑体" w:hAnsi="华文中宋" w:eastAsia="黑体" w:cs="华文中宋"/>
          <w:color w:val="auto"/>
          <w:sz w:val="30"/>
          <w:szCs w:val="30"/>
          <w:highlight w:val="none"/>
        </w:rPr>
        <w:t>年  月</w:t>
      </w:r>
    </w:p>
    <w:p>
      <w:pPr>
        <w:snapToGrid w:val="0"/>
        <w:spacing w:line="360" w:lineRule="auto"/>
        <w:jc w:val="center"/>
        <w:rPr>
          <w:rFonts w:hint="eastAsia" w:ascii="宋体" w:hAnsi="宋体"/>
          <w:b/>
          <w:color w:val="auto"/>
          <w:sz w:val="44"/>
          <w:szCs w:val="44"/>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091" w:right="1466" w:bottom="1134" w:left="1260" w:header="623" w:footer="567" w:gutter="0"/>
          <w:pgNumType w:start="1"/>
          <w:cols w:space="720" w:num="1"/>
          <w:titlePg/>
          <w:docGrid w:type="lines" w:linePitch="312" w:charSpace="0"/>
        </w:sectPr>
      </w:pPr>
    </w:p>
    <w:p>
      <w:pPr>
        <w:autoSpaceDE w:val="0"/>
        <w:autoSpaceDN w:val="0"/>
        <w:adjustRightInd w:val="0"/>
        <w:snapToGrid w:val="0"/>
        <w:spacing w:before="156" w:beforeLines="50" w:after="156" w:afterLines="50" w:line="360" w:lineRule="auto"/>
        <w:jc w:val="center"/>
        <w:rPr>
          <w:rFonts w:hint="eastAsia" w:ascii="宋体" w:hAnsi="宋体"/>
          <w:b/>
          <w:color w:val="auto"/>
          <w:sz w:val="44"/>
          <w:szCs w:val="44"/>
          <w:highlight w:val="none"/>
        </w:rPr>
      </w:pPr>
      <w:r>
        <w:rPr>
          <w:rFonts w:hint="eastAsia" w:ascii="宋体" w:hAnsi="宋体"/>
          <w:b/>
          <w:color w:val="auto"/>
          <w:sz w:val="44"/>
          <w:szCs w:val="44"/>
          <w:highlight w:val="none"/>
        </w:rPr>
        <w:t>目   录</w:t>
      </w:r>
    </w:p>
    <w:p>
      <w:pPr>
        <w:pStyle w:val="12"/>
        <w:tabs>
          <w:tab w:val="right" w:leader="dot" w:pos="9360"/>
          <w:tab w:val="clear" w:pos="9060"/>
        </w:tabs>
        <w:rPr>
          <w:color w:val="auto"/>
          <w:highlight w:val="none"/>
        </w:rPr>
      </w:pPr>
      <w:r>
        <w:rPr>
          <w:rFonts w:hint="eastAsia" w:ascii="宋体" w:hAnsi="宋体"/>
          <w:b/>
          <w:bCs/>
          <w:color w:val="auto"/>
          <w:szCs w:val="21"/>
          <w:highlight w:val="none"/>
        </w:rPr>
        <w:fldChar w:fldCharType="begin"/>
      </w:r>
      <w:r>
        <w:rPr>
          <w:rStyle w:val="16"/>
          <w:rFonts w:hint="eastAsia" w:ascii="宋体" w:hAnsi="宋体"/>
          <w:b/>
          <w:bCs/>
          <w:color w:val="auto"/>
          <w:szCs w:val="21"/>
          <w:highlight w:val="none"/>
        </w:rPr>
        <w:instrText xml:space="preserve"> TOC \o "1-1" \h \z \u </w:instrText>
      </w:r>
      <w:r>
        <w:rPr>
          <w:rFonts w:hint="eastAsia" w:ascii="宋体" w:hAnsi="宋体"/>
          <w:b/>
          <w:bCs/>
          <w:color w:val="auto"/>
          <w:szCs w:val="21"/>
          <w:highlight w:val="none"/>
        </w:rPr>
        <w:fldChar w:fldCharType="separate"/>
      </w: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_Toc2834 </w:instrText>
      </w:r>
      <w:r>
        <w:rPr>
          <w:rFonts w:hint="eastAsia" w:ascii="宋体" w:hAnsi="宋体"/>
          <w:bCs/>
          <w:color w:val="auto"/>
          <w:szCs w:val="21"/>
          <w:highlight w:val="none"/>
        </w:rPr>
        <w:fldChar w:fldCharType="separate"/>
      </w:r>
      <w:r>
        <w:rPr>
          <w:rFonts w:hint="eastAsia"/>
          <w:bCs/>
          <w:color w:val="auto"/>
          <w:szCs w:val="28"/>
          <w:highlight w:val="none"/>
        </w:rPr>
        <w:t>第一</w:t>
      </w:r>
      <w:r>
        <w:rPr>
          <w:bCs/>
          <w:color w:val="auto"/>
          <w:szCs w:val="28"/>
          <w:highlight w:val="none"/>
        </w:rPr>
        <w:t xml:space="preserve">章  </w:t>
      </w:r>
      <w:r>
        <w:rPr>
          <w:rFonts w:hint="eastAsia"/>
          <w:bCs/>
          <w:color w:val="auto"/>
          <w:szCs w:val="28"/>
          <w:highlight w:val="none"/>
          <w:lang w:eastAsia="zh-CN"/>
        </w:rPr>
        <w:t>采购公告</w:t>
      </w:r>
      <w:r>
        <w:rPr>
          <w:color w:val="auto"/>
          <w:highlight w:val="none"/>
        </w:rPr>
        <w:tab/>
      </w:r>
      <w:r>
        <w:rPr>
          <w:color w:val="auto"/>
          <w:highlight w:val="none"/>
        </w:rPr>
        <w:fldChar w:fldCharType="begin"/>
      </w:r>
      <w:r>
        <w:rPr>
          <w:color w:val="auto"/>
          <w:highlight w:val="none"/>
        </w:rPr>
        <w:instrText xml:space="preserve"> PAGEREF _Toc2834 </w:instrText>
      </w:r>
      <w:r>
        <w:rPr>
          <w:color w:val="auto"/>
          <w:highlight w:val="none"/>
        </w:rPr>
        <w:fldChar w:fldCharType="separate"/>
      </w:r>
      <w:r>
        <w:rPr>
          <w:color w:val="auto"/>
          <w:highlight w:val="none"/>
        </w:rPr>
        <w:t>4</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_Toc20686 </w:instrText>
      </w:r>
      <w:r>
        <w:rPr>
          <w:rFonts w:hint="eastAsia" w:ascii="宋体" w:hAnsi="宋体"/>
          <w:bCs/>
          <w:color w:val="auto"/>
          <w:szCs w:val="21"/>
          <w:highlight w:val="none"/>
        </w:rPr>
        <w:fldChar w:fldCharType="separate"/>
      </w:r>
      <w:r>
        <w:rPr>
          <w:bCs/>
          <w:color w:val="auto"/>
          <w:szCs w:val="28"/>
          <w:highlight w:val="none"/>
        </w:rPr>
        <w:t>第</w:t>
      </w:r>
      <w:r>
        <w:rPr>
          <w:rFonts w:hint="eastAsia"/>
          <w:bCs/>
          <w:color w:val="auto"/>
          <w:szCs w:val="28"/>
          <w:highlight w:val="none"/>
        </w:rPr>
        <w:t>二</w:t>
      </w:r>
      <w:r>
        <w:rPr>
          <w:bCs/>
          <w:color w:val="auto"/>
          <w:szCs w:val="28"/>
          <w:highlight w:val="none"/>
        </w:rPr>
        <w:t>章  投标资料表</w:t>
      </w:r>
      <w:r>
        <w:rPr>
          <w:color w:val="auto"/>
          <w:highlight w:val="none"/>
        </w:rPr>
        <w:tab/>
      </w:r>
      <w:r>
        <w:rPr>
          <w:color w:val="auto"/>
          <w:highlight w:val="none"/>
        </w:rPr>
        <w:fldChar w:fldCharType="begin"/>
      </w:r>
      <w:r>
        <w:rPr>
          <w:color w:val="auto"/>
          <w:highlight w:val="none"/>
        </w:rPr>
        <w:instrText xml:space="preserve"> PAGEREF _Toc20686 </w:instrText>
      </w:r>
      <w:r>
        <w:rPr>
          <w:color w:val="auto"/>
          <w:highlight w:val="none"/>
        </w:rPr>
        <w:fldChar w:fldCharType="separate"/>
      </w:r>
      <w:r>
        <w:rPr>
          <w:color w:val="auto"/>
          <w:highlight w:val="none"/>
        </w:rPr>
        <w:t>6</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_Toc12140 </w:instrText>
      </w:r>
      <w:r>
        <w:rPr>
          <w:rFonts w:hint="eastAsia" w:ascii="宋体" w:hAnsi="宋体"/>
          <w:bCs/>
          <w:color w:val="auto"/>
          <w:szCs w:val="21"/>
          <w:highlight w:val="none"/>
        </w:rPr>
        <w:fldChar w:fldCharType="separate"/>
      </w:r>
      <w:r>
        <w:rPr>
          <w:rFonts w:hint="eastAsia"/>
          <w:bCs/>
          <w:color w:val="auto"/>
          <w:szCs w:val="28"/>
          <w:highlight w:val="none"/>
        </w:rPr>
        <w:t>第三章  用户需求书</w:t>
      </w:r>
      <w:r>
        <w:rPr>
          <w:color w:val="auto"/>
          <w:highlight w:val="none"/>
        </w:rPr>
        <w:tab/>
      </w:r>
      <w:r>
        <w:rPr>
          <w:color w:val="auto"/>
          <w:highlight w:val="none"/>
        </w:rPr>
        <w:fldChar w:fldCharType="begin"/>
      </w:r>
      <w:r>
        <w:rPr>
          <w:color w:val="auto"/>
          <w:highlight w:val="none"/>
        </w:rPr>
        <w:instrText xml:space="preserve"> PAGEREF _Toc12140 </w:instrText>
      </w:r>
      <w:r>
        <w:rPr>
          <w:color w:val="auto"/>
          <w:highlight w:val="none"/>
        </w:rPr>
        <w:fldChar w:fldCharType="separate"/>
      </w:r>
      <w:r>
        <w:rPr>
          <w:color w:val="auto"/>
          <w:highlight w:val="none"/>
        </w:rPr>
        <w:t>8</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_Toc2765 </w:instrText>
      </w:r>
      <w:r>
        <w:rPr>
          <w:rFonts w:hint="eastAsia" w:ascii="宋体" w:hAnsi="宋体"/>
          <w:bCs/>
          <w:color w:val="auto"/>
          <w:szCs w:val="21"/>
          <w:highlight w:val="none"/>
        </w:rPr>
        <w:fldChar w:fldCharType="separate"/>
      </w:r>
      <w:r>
        <w:rPr>
          <w:rFonts w:hint="eastAsia"/>
          <w:bCs/>
          <w:color w:val="auto"/>
          <w:szCs w:val="28"/>
          <w:highlight w:val="none"/>
        </w:rPr>
        <w:t>第四章  评分体系与标准</w:t>
      </w:r>
      <w:r>
        <w:rPr>
          <w:color w:val="auto"/>
          <w:highlight w:val="none"/>
        </w:rPr>
        <w:tab/>
      </w:r>
      <w:r>
        <w:rPr>
          <w:color w:val="auto"/>
          <w:highlight w:val="none"/>
        </w:rPr>
        <w:fldChar w:fldCharType="begin"/>
      </w:r>
      <w:r>
        <w:rPr>
          <w:color w:val="auto"/>
          <w:highlight w:val="none"/>
        </w:rPr>
        <w:instrText xml:space="preserve"> PAGEREF _Toc2765 </w:instrText>
      </w:r>
      <w:r>
        <w:rPr>
          <w:color w:val="auto"/>
          <w:highlight w:val="none"/>
        </w:rPr>
        <w:fldChar w:fldCharType="separate"/>
      </w:r>
      <w:r>
        <w:rPr>
          <w:color w:val="auto"/>
          <w:highlight w:val="none"/>
        </w:rPr>
        <w:t>43</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_Toc16107 </w:instrText>
      </w:r>
      <w:r>
        <w:rPr>
          <w:rFonts w:hint="eastAsia" w:ascii="宋体" w:hAnsi="宋体"/>
          <w:bCs/>
          <w:color w:val="auto"/>
          <w:szCs w:val="21"/>
          <w:highlight w:val="none"/>
        </w:rPr>
        <w:fldChar w:fldCharType="separate"/>
      </w:r>
      <w:r>
        <w:rPr>
          <w:rFonts w:hint="eastAsia"/>
          <w:bCs/>
          <w:color w:val="auto"/>
          <w:szCs w:val="44"/>
          <w:highlight w:val="none"/>
        </w:rPr>
        <w:t>第五章</w:t>
      </w:r>
      <w:r>
        <w:rPr>
          <w:color w:val="auto"/>
          <w:highlight w:val="none"/>
        </w:rPr>
        <w:tab/>
      </w:r>
      <w:r>
        <w:rPr>
          <w:color w:val="auto"/>
          <w:highlight w:val="none"/>
        </w:rPr>
        <w:fldChar w:fldCharType="begin"/>
      </w:r>
      <w:r>
        <w:rPr>
          <w:color w:val="auto"/>
          <w:highlight w:val="none"/>
        </w:rPr>
        <w:instrText xml:space="preserve"> PAGEREF _Toc16107 </w:instrText>
      </w:r>
      <w:r>
        <w:rPr>
          <w:color w:val="auto"/>
          <w:highlight w:val="none"/>
        </w:rPr>
        <w:fldChar w:fldCharType="separate"/>
      </w:r>
      <w:r>
        <w:rPr>
          <w:color w:val="auto"/>
          <w:highlight w:val="none"/>
        </w:rPr>
        <w:t>50</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_Toc3070 </w:instrText>
      </w:r>
      <w:r>
        <w:rPr>
          <w:rFonts w:hint="eastAsia" w:ascii="宋体" w:hAnsi="宋体"/>
          <w:bCs/>
          <w:color w:val="auto"/>
          <w:szCs w:val="21"/>
          <w:highlight w:val="none"/>
        </w:rPr>
        <w:fldChar w:fldCharType="separate"/>
      </w:r>
      <w:r>
        <w:rPr>
          <w:rFonts w:hint="eastAsia"/>
          <w:bCs/>
          <w:color w:val="auto"/>
          <w:szCs w:val="44"/>
          <w:highlight w:val="none"/>
        </w:rPr>
        <w:t>投 标 人 须 知</w:t>
      </w:r>
      <w:r>
        <w:rPr>
          <w:color w:val="auto"/>
          <w:highlight w:val="none"/>
        </w:rPr>
        <w:tab/>
      </w:r>
      <w:r>
        <w:rPr>
          <w:color w:val="auto"/>
          <w:highlight w:val="none"/>
        </w:rPr>
        <w:fldChar w:fldCharType="begin"/>
      </w:r>
      <w:r>
        <w:rPr>
          <w:color w:val="auto"/>
          <w:highlight w:val="none"/>
        </w:rPr>
        <w:instrText xml:space="preserve"> PAGEREF _Toc3070 </w:instrText>
      </w:r>
      <w:r>
        <w:rPr>
          <w:color w:val="auto"/>
          <w:highlight w:val="none"/>
        </w:rPr>
        <w:fldChar w:fldCharType="separate"/>
      </w:r>
      <w:r>
        <w:rPr>
          <w:color w:val="auto"/>
          <w:highlight w:val="none"/>
        </w:rPr>
        <w:t>50</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_Toc29681 </w:instrText>
      </w:r>
      <w:r>
        <w:rPr>
          <w:rFonts w:hint="eastAsia" w:ascii="宋体" w:hAnsi="宋体"/>
          <w:bCs/>
          <w:color w:val="auto"/>
          <w:szCs w:val="21"/>
          <w:highlight w:val="none"/>
        </w:rPr>
        <w:fldChar w:fldCharType="separate"/>
      </w:r>
      <w:r>
        <w:rPr>
          <w:rFonts w:hint="default" w:ascii="宋体" w:hAnsi="宋体"/>
          <w:color w:val="auto"/>
          <w:szCs w:val="28"/>
          <w:highlight w:val="none"/>
        </w:rPr>
        <w:t xml:space="preserve">一、 </w:t>
      </w:r>
      <w:r>
        <w:rPr>
          <w:rFonts w:ascii="宋体" w:hAnsi="宋体"/>
          <w:color w:val="auto"/>
          <w:szCs w:val="28"/>
          <w:highlight w:val="none"/>
          <w:lang w:eastAsia="zh-TW"/>
        </w:rPr>
        <w:t>说 明</w:t>
      </w:r>
      <w:r>
        <w:rPr>
          <w:color w:val="auto"/>
          <w:highlight w:val="none"/>
        </w:rPr>
        <w:tab/>
      </w:r>
      <w:r>
        <w:rPr>
          <w:color w:val="auto"/>
          <w:highlight w:val="none"/>
        </w:rPr>
        <w:fldChar w:fldCharType="begin"/>
      </w:r>
      <w:r>
        <w:rPr>
          <w:color w:val="auto"/>
          <w:highlight w:val="none"/>
        </w:rPr>
        <w:instrText xml:space="preserve"> PAGEREF _Toc29681 </w:instrText>
      </w:r>
      <w:r>
        <w:rPr>
          <w:color w:val="auto"/>
          <w:highlight w:val="none"/>
        </w:rPr>
        <w:fldChar w:fldCharType="separate"/>
      </w:r>
      <w:r>
        <w:rPr>
          <w:color w:val="auto"/>
          <w:highlight w:val="none"/>
        </w:rPr>
        <w:t>51</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_Toc27715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1 </w:t>
      </w:r>
      <w:r>
        <w:rPr>
          <w:rFonts w:hint="eastAsia" w:ascii="宋体" w:hAnsi="宋体"/>
          <w:bCs/>
          <w:color w:val="auto"/>
          <w:szCs w:val="21"/>
          <w:highlight w:val="none"/>
        </w:rPr>
        <w:t>适用范围</w:t>
      </w:r>
      <w:r>
        <w:rPr>
          <w:color w:val="auto"/>
          <w:highlight w:val="none"/>
        </w:rPr>
        <w:tab/>
      </w:r>
      <w:r>
        <w:rPr>
          <w:color w:val="auto"/>
          <w:highlight w:val="none"/>
        </w:rPr>
        <w:fldChar w:fldCharType="begin"/>
      </w:r>
      <w:r>
        <w:rPr>
          <w:color w:val="auto"/>
          <w:highlight w:val="none"/>
        </w:rPr>
        <w:instrText xml:space="preserve"> PAGEREF _Toc27715 </w:instrText>
      </w:r>
      <w:r>
        <w:rPr>
          <w:color w:val="auto"/>
          <w:highlight w:val="none"/>
        </w:rPr>
        <w:fldChar w:fldCharType="separate"/>
      </w:r>
      <w:r>
        <w:rPr>
          <w:color w:val="auto"/>
          <w:highlight w:val="none"/>
        </w:rPr>
        <w:t>51</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_Toc22967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2 </w:t>
      </w:r>
      <w:r>
        <w:rPr>
          <w:rFonts w:hint="eastAsia" w:ascii="宋体" w:hAnsi="宋体"/>
          <w:bCs/>
          <w:color w:val="auto"/>
          <w:szCs w:val="21"/>
          <w:highlight w:val="none"/>
        </w:rPr>
        <w:t>监管部门及招标采购单位</w:t>
      </w:r>
      <w:r>
        <w:rPr>
          <w:color w:val="auto"/>
          <w:highlight w:val="none"/>
        </w:rPr>
        <w:tab/>
      </w:r>
      <w:r>
        <w:rPr>
          <w:color w:val="auto"/>
          <w:highlight w:val="none"/>
        </w:rPr>
        <w:fldChar w:fldCharType="begin"/>
      </w:r>
      <w:r>
        <w:rPr>
          <w:color w:val="auto"/>
          <w:highlight w:val="none"/>
        </w:rPr>
        <w:instrText xml:space="preserve"> PAGEREF _Toc22967 </w:instrText>
      </w:r>
      <w:r>
        <w:rPr>
          <w:color w:val="auto"/>
          <w:highlight w:val="none"/>
        </w:rPr>
        <w:fldChar w:fldCharType="separate"/>
      </w:r>
      <w:r>
        <w:rPr>
          <w:color w:val="auto"/>
          <w:highlight w:val="none"/>
        </w:rPr>
        <w:t>51</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_Toc6479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3 </w:t>
      </w:r>
      <w:r>
        <w:rPr>
          <w:rFonts w:hint="eastAsia" w:ascii="宋体" w:hAnsi="宋体"/>
          <w:bCs/>
          <w:color w:val="auto"/>
          <w:szCs w:val="21"/>
          <w:highlight w:val="none"/>
        </w:rPr>
        <w:t>合格的投标人</w:t>
      </w:r>
      <w:r>
        <w:rPr>
          <w:color w:val="auto"/>
          <w:highlight w:val="none"/>
        </w:rPr>
        <w:tab/>
      </w:r>
      <w:r>
        <w:rPr>
          <w:color w:val="auto"/>
          <w:highlight w:val="none"/>
        </w:rPr>
        <w:fldChar w:fldCharType="begin"/>
      </w:r>
      <w:r>
        <w:rPr>
          <w:color w:val="auto"/>
          <w:highlight w:val="none"/>
        </w:rPr>
        <w:instrText xml:space="preserve"> PAGEREF _Toc6479 </w:instrText>
      </w:r>
      <w:r>
        <w:rPr>
          <w:color w:val="auto"/>
          <w:highlight w:val="none"/>
        </w:rPr>
        <w:fldChar w:fldCharType="separate"/>
      </w:r>
      <w:r>
        <w:rPr>
          <w:color w:val="auto"/>
          <w:highlight w:val="none"/>
        </w:rPr>
        <w:t>51</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_Toc24857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4 </w:t>
      </w:r>
      <w:r>
        <w:rPr>
          <w:rFonts w:hint="eastAsia" w:ascii="宋体" w:hAnsi="宋体"/>
          <w:bCs/>
          <w:color w:val="auto"/>
          <w:szCs w:val="21"/>
          <w:highlight w:val="none"/>
        </w:rPr>
        <w:t>合格的服务和货物</w:t>
      </w:r>
      <w:r>
        <w:rPr>
          <w:color w:val="auto"/>
          <w:highlight w:val="none"/>
        </w:rPr>
        <w:tab/>
      </w:r>
      <w:r>
        <w:rPr>
          <w:color w:val="auto"/>
          <w:highlight w:val="none"/>
        </w:rPr>
        <w:fldChar w:fldCharType="begin"/>
      </w:r>
      <w:r>
        <w:rPr>
          <w:color w:val="auto"/>
          <w:highlight w:val="none"/>
        </w:rPr>
        <w:instrText xml:space="preserve"> PAGEREF _Toc24857 </w:instrText>
      </w:r>
      <w:r>
        <w:rPr>
          <w:color w:val="auto"/>
          <w:highlight w:val="none"/>
        </w:rPr>
        <w:fldChar w:fldCharType="separate"/>
      </w:r>
      <w:r>
        <w:rPr>
          <w:color w:val="auto"/>
          <w:highlight w:val="none"/>
        </w:rPr>
        <w:t>51</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_Toc23223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5 </w:t>
      </w:r>
      <w:r>
        <w:rPr>
          <w:rFonts w:hint="eastAsia" w:ascii="宋体" w:hAnsi="宋体"/>
          <w:bCs/>
          <w:color w:val="auto"/>
          <w:szCs w:val="21"/>
          <w:highlight w:val="none"/>
        </w:rPr>
        <w:t>投标费用</w:t>
      </w:r>
      <w:r>
        <w:rPr>
          <w:color w:val="auto"/>
          <w:highlight w:val="none"/>
        </w:rPr>
        <w:tab/>
      </w:r>
      <w:r>
        <w:rPr>
          <w:color w:val="auto"/>
          <w:highlight w:val="none"/>
        </w:rPr>
        <w:fldChar w:fldCharType="begin"/>
      </w:r>
      <w:r>
        <w:rPr>
          <w:color w:val="auto"/>
          <w:highlight w:val="none"/>
        </w:rPr>
        <w:instrText xml:space="preserve"> PAGEREF _Toc23223 </w:instrText>
      </w:r>
      <w:r>
        <w:rPr>
          <w:color w:val="auto"/>
          <w:highlight w:val="none"/>
        </w:rPr>
        <w:fldChar w:fldCharType="separate"/>
      </w:r>
      <w:r>
        <w:rPr>
          <w:color w:val="auto"/>
          <w:highlight w:val="none"/>
        </w:rPr>
        <w:t>51</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_Toc3292 </w:instrText>
      </w:r>
      <w:r>
        <w:rPr>
          <w:rFonts w:hint="eastAsia" w:ascii="宋体" w:hAnsi="宋体"/>
          <w:bCs/>
          <w:color w:val="auto"/>
          <w:szCs w:val="21"/>
          <w:highlight w:val="none"/>
        </w:rPr>
        <w:fldChar w:fldCharType="separate"/>
      </w:r>
      <w:r>
        <w:rPr>
          <w:rFonts w:hint="default" w:ascii="宋体" w:hAnsi="宋体"/>
          <w:color w:val="auto"/>
          <w:szCs w:val="28"/>
          <w:highlight w:val="none"/>
          <w:lang w:eastAsia="zh-TW"/>
        </w:rPr>
        <w:t xml:space="preserve">二、 </w:t>
      </w:r>
      <w:r>
        <w:rPr>
          <w:rFonts w:hint="eastAsia" w:ascii="宋体" w:hAnsi="宋体"/>
          <w:color w:val="auto"/>
          <w:szCs w:val="28"/>
          <w:highlight w:val="none"/>
          <w:lang w:eastAsia="zh-TW"/>
        </w:rPr>
        <w:t>招标文件</w:t>
      </w:r>
      <w:r>
        <w:rPr>
          <w:color w:val="auto"/>
          <w:highlight w:val="none"/>
        </w:rPr>
        <w:tab/>
      </w:r>
      <w:r>
        <w:rPr>
          <w:color w:val="auto"/>
          <w:highlight w:val="none"/>
        </w:rPr>
        <w:fldChar w:fldCharType="begin"/>
      </w:r>
      <w:r>
        <w:rPr>
          <w:color w:val="auto"/>
          <w:highlight w:val="none"/>
        </w:rPr>
        <w:instrText xml:space="preserve"> PAGEREF _Toc3292 </w:instrText>
      </w:r>
      <w:r>
        <w:rPr>
          <w:color w:val="auto"/>
          <w:highlight w:val="none"/>
        </w:rPr>
        <w:fldChar w:fldCharType="separate"/>
      </w:r>
      <w:r>
        <w:rPr>
          <w:color w:val="auto"/>
          <w:highlight w:val="none"/>
        </w:rPr>
        <w:t>52</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_Toc9125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6 </w:t>
      </w:r>
      <w:r>
        <w:rPr>
          <w:rFonts w:hint="eastAsia" w:ascii="宋体" w:hAnsi="宋体"/>
          <w:bCs/>
          <w:color w:val="auto"/>
          <w:szCs w:val="21"/>
          <w:highlight w:val="none"/>
        </w:rPr>
        <w:t>招标文件的编制依据与构成</w:t>
      </w:r>
      <w:r>
        <w:rPr>
          <w:color w:val="auto"/>
          <w:highlight w:val="none"/>
        </w:rPr>
        <w:tab/>
      </w:r>
      <w:r>
        <w:rPr>
          <w:color w:val="auto"/>
          <w:highlight w:val="none"/>
        </w:rPr>
        <w:fldChar w:fldCharType="begin"/>
      </w:r>
      <w:r>
        <w:rPr>
          <w:color w:val="auto"/>
          <w:highlight w:val="none"/>
        </w:rPr>
        <w:instrText xml:space="preserve"> PAGEREF _Toc9125 </w:instrText>
      </w:r>
      <w:r>
        <w:rPr>
          <w:color w:val="auto"/>
          <w:highlight w:val="none"/>
        </w:rPr>
        <w:fldChar w:fldCharType="separate"/>
      </w:r>
      <w:r>
        <w:rPr>
          <w:color w:val="auto"/>
          <w:highlight w:val="none"/>
        </w:rPr>
        <w:t>52</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_Toc30988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7 </w:t>
      </w:r>
      <w:r>
        <w:rPr>
          <w:rFonts w:hint="eastAsia" w:ascii="宋体" w:hAnsi="宋体"/>
          <w:bCs/>
          <w:color w:val="auto"/>
          <w:szCs w:val="21"/>
          <w:highlight w:val="none"/>
        </w:rPr>
        <w:t>招标文件的澄清</w:t>
      </w:r>
      <w:r>
        <w:rPr>
          <w:color w:val="auto"/>
          <w:highlight w:val="none"/>
        </w:rPr>
        <w:tab/>
      </w:r>
      <w:r>
        <w:rPr>
          <w:color w:val="auto"/>
          <w:highlight w:val="none"/>
        </w:rPr>
        <w:fldChar w:fldCharType="begin"/>
      </w:r>
      <w:r>
        <w:rPr>
          <w:color w:val="auto"/>
          <w:highlight w:val="none"/>
        </w:rPr>
        <w:instrText xml:space="preserve"> PAGEREF _Toc30988 </w:instrText>
      </w:r>
      <w:r>
        <w:rPr>
          <w:color w:val="auto"/>
          <w:highlight w:val="none"/>
        </w:rPr>
        <w:fldChar w:fldCharType="separate"/>
      </w:r>
      <w:r>
        <w:rPr>
          <w:color w:val="auto"/>
          <w:highlight w:val="none"/>
        </w:rPr>
        <w:t>52</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_Toc1854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8 </w:t>
      </w:r>
      <w:r>
        <w:rPr>
          <w:rFonts w:hint="eastAsia" w:ascii="宋体" w:hAnsi="宋体"/>
          <w:bCs/>
          <w:color w:val="auto"/>
          <w:szCs w:val="21"/>
          <w:highlight w:val="none"/>
        </w:rPr>
        <w:t>招标文件的修改</w:t>
      </w:r>
      <w:r>
        <w:rPr>
          <w:color w:val="auto"/>
          <w:highlight w:val="none"/>
        </w:rPr>
        <w:tab/>
      </w:r>
      <w:r>
        <w:rPr>
          <w:color w:val="auto"/>
          <w:highlight w:val="none"/>
        </w:rPr>
        <w:fldChar w:fldCharType="begin"/>
      </w:r>
      <w:r>
        <w:rPr>
          <w:color w:val="auto"/>
          <w:highlight w:val="none"/>
        </w:rPr>
        <w:instrText xml:space="preserve"> PAGEREF _Toc1854 </w:instrText>
      </w:r>
      <w:r>
        <w:rPr>
          <w:color w:val="auto"/>
          <w:highlight w:val="none"/>
        </w:rPr>
        <w:fldChar w:fldCharType="separate"/>
      </w:r>
      <w:r>
        <w:rPr>
          <w:color w:val="auto"/>
          <w:highlight w:val="none"/>
        </w:rPr>
        <w:t>53</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_Toc24166 </w:instrText>
      </w:r>
      <w:r>
        <w:rPr>
          <w:rFonts w:hint="eastAsia" w:ascii="宋体" w:hAnsi="宋体"/>
          <w:bCs/>
          <w:color w:val="auto"/>
          <w:szCs w:val="21"/>
          <w:highlight w:val="none"/>
        </w:rPr>
        <w:fldChar w:fldCharType="separate"/>
      </w:r>
      <w:r>
        <w:rPr>
          <w:rFonts w:hint="default" w:ascii="宋体" w:hAnsi="宋体"/>
          <w:color w:val="auto"/>
          <w:szCs w:val="28"/>
          <w:highlight w:val="none"/>
          <w:lang w:eastAsia="zh-TW"/>
        </w:rPr>
        <w:t xml:space="preserve">三、 </w:t>
      </w:r>
      <w:r>
        <w:rPr>
          <w:rFonts w:hint="eastAsia" w:ascii="宋体" w:hAnsi="宋体"/>
          <w:color w:val="auto"/>
          <w:szCs w:val="28"/>
          <w:highlight w:val="none"/>
          <w:lang w:eastAsia="zh-TW"/>
        </w:rPr>
        <w:t>投标文件的编制</w:t>
      </w:r>
      <w:r>
        <w:rPr>
          <w:color w:val="auto"/>
          <w:highlight w:val="none"/>
        </w:rPr>
        <w:tab/>
      </w:r>
      <w:r>
        <w:rPr>
          <w:color w:val="auto"/>
          <w:highlight w:val="none"/>
        </w:rPr>
        <w:fldChar w:fldCharType="begin"/>
      </w:r>
      <w:r>
        <w:rPr>
          <w:color w:val="auto"/>
          <w:highlight w:val="none"/>
        </w:rPr>
        <w:instrText xml:space="preserve"> PAGEREF _Toc24166 </w:instrText>
      </w:r>
      <w:r>
        <w:rPr>
          <w:color w:val="auto"/>
          <w:highlight w:val="none"/>
        </w:rPr>
        <w:fldChar w:fldCharType="separate"/>
      </w:r>
      <w:r>
        <w:rPr>
          <w:color w:val="auto"/>
          <w:highlight w:val="none"/>
        </w:rPr>
        <w:t>53</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_Toc3303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9 </w:t>
      </w:r>
      <w:r>
        <w:rPr>
          <w:rFonts w:hint="eastAsia" w:ascii="宋体" w:hAnsi="宋体"/>
          <w:bCs/>
          <w:color w:val="auto"/>
          <w:szCs w:val="21"/>
          <w:highlight w:val="none"/>
        </w:rPr>
        <w:t>投标的语言</w:t>
      </w:r>
      <w:r>
        <w:rPr>
          <w:color w:val="auto"/>
          <w:highlight w:val="none"/>
        </w:rPr>
        <w:tab/>
      </w:r>
      <w:r>
        <w:rPr>
          <w:color w:val="auto"/>
          <w:highlight w:val="none"/>
        </w:rPr>
        <w:fldChar w:fldCharType="begin"/>
      </w:r>
      <w:r>
        <w:rPr>
          <w:color w:val="auto"/>
          <w:highlight w:val="none"/>
        </w:rPr>
        <w:instrText xml:space="preserve"> PAGEREF _Toc3303 </w:instrText>
      </w:r>
      <w:r>
        <w:rPr>
          <w:color w:val="auto"/>
          <w:highlight w:val="none"/>
        </w:rPr>
        <w:fldChar w:fldCharType="separate"/>
      </w:r>
      <w:r>
        <w:rPr>
          <w:color w:val="auto"/>
          <w:highlight w:val="none"/>
        </w:rPr>
        <w:t>53</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_Toc31206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10 </w:t>
      </w:r>
      <w:r>
        <w:rPr>
          <w:rFonts w:hint="eastAsia" w:ascii="宋体" w:hAnsi="宋体"/>
          <w:bCs/>
          <w:color w:val="auto"/>
          <w:szCs w:val="21"/>
          <w:highlight w:val="none"/>
        </w:rPr>
        <w:t>投标文件的构成</w:t>
      </w:r>
      <w:r>
        <w:rPr>
          <w:color w:val="auto"/>
          <w:highlight w:val="none"/>
        </w:rPr>
        <w:tab/>
      </w:r>
      <w:r>
        <w:rPr>
          <w:color w:val="auto"/>
          <w:highlight w:val="none"/>
        </w:rPr>
        <w:fldChar w:fldCharType="begin"/>
      </w:r>
      <w:r>
        <w:rPr>
          <w:color w:val="auto"/>
          <w:highlight w:val="none"/>
        </w:rPr>
        <w:instrText xml:space="preserve"> PAGEREF _Toc31206 </w:instrText>
      </w:r>
      <w:r>
        <w:rPr>
          <w:color w:val="auto"/>
          <w:highlight w:val="none"/>
        </w:rPr>
        <w:fldChar w:fldCharType="separate"/>
      </w:r>
      <w:r>
        <w:rPr>
          <w:color w:val="auto"/>
          <w:highlight w:val="none"/>
        </w:rPr>
        <w:t>53</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_Toc19477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11 </w:t>
      </w:r>
      <w:r>
        <w:rPr>
          <w:rFonts w:hint="eastAsia" w:ascii="宋体" w:hAnsi="宋体"/>
          <w:bCs/>
          <w:color w:val="auto"/>
          <w:szCs w:val="21"/>
          <w:highlight w:val="none"/>
        </w:rPr>
        <w:t>投标文件的编写</w:t>
      </w:r>
      <w:r>
        <w:rPr>
          <w:color w:val="auto"/>
          <w:highlight w:val="none"/>
        </w:rPr>
        <w:tab/>
      </w:r>
      <w:r>
        <w:rPr>
          <w:color w:val="auto"/>
          <w:highlight w:val="none"/>
        </w:rPr>
        <w:fldChar w:fldCharType="begin"/>
      </w:r>
      <w:r>
        <w:rPr>
          <w:color w:val="auto"/>
          <w:highlight w:val="none"/>
        </w:rPr>
        <w:instrText xml:space="preserve"> PAGEREF _Toc19477 </w:instrText>
      </w:r>
      <w:r>
        <w:rPr>
          <w:color w:val="auto"/>
          <w:highlight w:val="none"/>
        </w:rPr>
        <w:fldChar w:fldCharType="separate"/>
      </w:r>
      <w:r>
        <w:rPr>
          <w:color w:val="auto"/>
          <w:highlight w:val="none"/>
        </w:rPr>
        <w:t>53</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_Toc16882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12 </w:t>
      </w:r>
      <w:r>
        <w:rPr>
          <w:rFonts w:hint="eastAsia" w:ascii="宋体" w:hAnsi="宋体"/>
          <w:bCs/>
          <w:color w:val="auto"/>
          <w:szCs w:val="21"/>
          <w:highlight w:val="none"/>
        </w:rPr>
        <w:t>投标报价</w:t>
      </w:r>
      <w:r>
        <w:rPr>
          <w:color w:val="auto"/>
          <w:highlight w:val="none"/>
        </w:rPr>
        <w:tab/>
      </w:r>
      <w:r>
        <w:rPr>
          <w:color w:val="auto"/>
          <w:highlight w:val="none"/>
        </w:rPr>
        <w:fldChar w:fldCharType="begin"/>
      </w:r>
      <w:r>
        <w:rPr>
          <w:color w:val="auto"/>
          <w:highlight w:val="none"/>
        </w:rPr>
        <w:instrText xml:space="preserve"> PAGEREF _Toc16882 </w:instrText>
      </w:r>
      <w:r>
        <w:rPr>
          <w:color w:val="auto"/>
          <w:highlight w:val="none"/>
        </w:rPr>
        <w:fldChar w:fldCharType="separate"/>
      </w:r>
      <w:r>
        <w:rPr>
          <w:color w:val="auto"/>
          <w:highlight w:val="none"/>
        </w:rPr>
        <w:t>53</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_Toc13138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13 </w:t>
      </w:r>
      <w:r>
        <w:rPr>
          <w:rFonts w:hint="eastAsia" w:ascii="宋体" w:hAnsi="宋体"/>
          <w:bCs/>
          <w:color w:val="auto"/>
          <w:szCs w:val="21"/>
          <w:highlight w:val="none"/>
        </w:rPr>
        <w:t>投标货币</w:t>
      </w:r>
      <w:r>
        <w:rPr>
          <w:color w:val="auto"/>
          <w:highlight w:val="none"/>
        </w:rPr>
        <w:tab/>
      </w:r>
      <w:r>
        <w:rPr>
          <w:color w:val="auto"/>
          <w:highlight w:val="none"/>
        </w:rPr>
        <w:fldChar w:fldCharType="begin"/>
      </w:r>
      <w:r>
        <w:rPr>
          <w:color w:val="auto"/>
          <w:highlight w:val="none"/>
        </w:rPr>
        <w:instrText xml:space="preserve"> PAGEREF _Toc13138 </w:instrText>
      </w:r>
      <w:r>
        <w:rPr>
          <w:color w:val="auto"/>
          <w:highlight w:val="none"/>
        </w:rPr>
        <w:fldChar w:fldCharType="separate"/>
      </w:r>
      <w:r>
        <w:rPr>
          <w:color w:val="auto"/>
          <w:highlight w:val="none"/>
        </w:rPr>
        <w:t>54</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_Toc23994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14 </w:t>
      </w:r>
      <w:r>
        <w:rPr>
          <w:rFonts w:hint="eastAsia" w:ascii="宋体" w:hAnsi="宋体"/>
          <w:bCs/>
          <w:color w:val="auto"/>
          <w:szCs w:val="21"/>
          <w:highlight w:val="none"/>
        </w:rPr>
        <w:t>联合体投标</w:t>
      </w:r>
      <w:r>
        <w:rPr>
          <w:color w:val="auto"/>
          <w:highlight w:val="none"/>
        </w:rPr>
        <w:tab/>
      </w:r>
      <w:r>
        <w:rPr>
          <w:color w:val="auto"/>
          <w:highlight w:val="none"/>
        </w:rPr>
        <w:fldChar w:fldCharType="begin"/>
      </w:r>
      <w:r>
        <w:rPr>
          <w:color w:val="auto"/>
          <w:highlight w:val="none"/>
        </w:rPr>
        <w:instrText xml:space="preserve"> PAGEREF _Toc23994 </w:instrText>
      </w:r>
      <w:r>
        <w:rPr>
          <w:color w:val="auto"/>
          <w:highlight w:val="none"/>
        </w:rPr>
        <w:fldChar w:fldCharType="separate"/>
      </w:r>
      <w:r>
        <w:rPr>
          <w:color w:val="auto"/>
          <w:highlight w:val="none"/>
        </w:rPr>
        <w:t>54</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_Toc15507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15 </w:t>
      </w:r>
      <w:r>
        <w:rPr>
          <w:rFonts w:hint="eastAsia" w:ascii="宋体" w:hAnsi="宋体"/>
          <w:bCs/>
          <w:color w:val="auto"/>
          <w:szCs w:val="21"/>
          <w:highlight w:val="none"/>
        </w:rPr>
        <w:t>证明投标人合格和资格的文件</w:t>
      </w:r>
      <w:r>
        <w:rPr>
          <w:color w:val="auto"/>
          <w:highlight w:val="none"/>
        </w:rPr>
        <w:tab/>
      </w:r>
      <w:r>
        <w:rPr>
          <w:color w:val="auto"/>
          <w:highlight w:val="none"/>
        </w:rPr>
        <w:fldChar w:fldCharType="begin"/>
      </w:r>
      <w:r>
        <w:rPr>
          <w:color w:val="auto"/>
          <w:highlight w:val="none"/>
        </w:rPr>
        <w:instrText xml:space="preserve"> PAGEREF _Toc15507 </w:instrText>
      </w:r>
      <w:r>
        <w:rPr>
          <w:color w:val="auto"/>
          <w:highlight w:val="none"/>
        </w:rPr>
        <w:fldChar w:fldCharType="separate"/>
      </w:r>
      <w:r>
        <w:rPr>
          <w:color w:val="auto"/>
          <w:highlight w:val="none"/>
        </w:rPr>
        <w:t>54</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_Toc14538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16 </w:t>
      </w:r>
      <w:r>
        <w:rPr>
          <w:rFonts w:hint="eastAsia" w:ascii="宋体" w:hAnsi="宋体"/>
          <w:bCs/>
          <w:color w:val="auto"/>
          <w:szCs w:val="21"/>
          <w:highlight w:val="none"/>
        </w:rPr>
        <w:t>证明服务的合格性和符合招标文件规定的文件</w:t>
      </w:r>
      <w:r>
        <w:rPr>
          <w:color w:val="auto"/>
          <w:highlight w:val="none"/>
        </w:rPr>
        <w:tab/>
      </w:r>
      <w:r>
        <w:rPr>
          <w:color w:val="auto"/>
          <w:highlight w:val="none"/>
        </w:rPr>
        <w:fldChar w:fldCharType="begin"/>
      </w:r>
      <w:r>
        <w:rPr>
          <w:color w:val="auto"/>
          <w:highlight w:val="none"/>
        </w:rPr>
        <w:instrText xml:space="preserve"> PAGEREF _Toc14538 </w:instrText>
      </w:r>
      <w:r>
        <w:rPr>
          <w:color w:val="auto"/>
          <w:highlight w:val="none"/>
        </w:rPr>
        <w:fldChar w:fldCharType="separate"/>
      </w:r>
      <w:r>
        <w:rPr>
          <w:color w:val="auto"/>
          <w:highlight w:val="none"/>
        </w:rPr>
        <w:t>55</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_Toc8468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17 </w:t>
      </w:r>
      <w:r>
        <w:rPr>
          <w:rFonts w:hint="eastAsia" w:ascii="宋体" w:hAnsi="宋体"/>
          <w:bCs/>
          <w:color w:val="auto"/>
          <w:szCs w:val="21"/>
          <w:highlight w:val="none"/>
        </w:rPr>
        <w:t>投标保证金</w:t>
      </w:r>
      <w:r>
        <w:rPr>
          <w:color w:val="auto"/>
          <w:highlight w:val="none"/>
        </w:rPr>
        <w:tab/>
      </w:r>
      <w:r>
        <w:rPr>
          <w:color w:val="auto"/>
          <w:highlight w:val="none"/>
        </w:rPr>
        <w:fldChar w:fldCharType="begin"/>
      </w:r>
      <w:r>
        <w:rPr>
          <w:color w:val="auto"/>
          <w:highlight w:val="none"/>
        </w:rPr>
        <w:instrText xml:space="preserve"> PAGEREF _Toc8468 </w:instrText>
      </w:r>
      <w:r>
        <w:rPr>
          <w:color w:val="auto"/>
          <w:highlight w:val="none"/>
        </w:rPr>
        <w:fldChar w:fldCharType="separate"/>
      </w:r>
      <w:r>
        <w:rPr>
          <w:color w:val="auto"/>
          <w:highlight w:val="none"/>
        </w:rPr>
        <w:t>55</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_Toc7127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18 </w:t>
      </w:r>
      <w:r>
        <w:rPr>
          <w:rFonts w:hint="eastAsia" w:ascii="宋体" w:hAnsi="宋体"/>
          <w:bCs/>
          <w:color w:val="auto"/>
          <w:szCs w:val="21"/>
          <w:highlight w:val="none"/>
        </w:rPr>
        <w:t>投标有效期</w:t>
      </w:r>
      <w:r>
        <w:rPr>
          <w:color w:val="auto"/>
          <w:highlight w:val="none"/>
        </w:rPr>
        <w:tab/>
      </w:r>
      <w:r>
        <w:rPr>
          <w:color w:val="auto"/>
          <w:highlight w:val="none"/>
        </w:rPr>
        <w:fldChar w:fldCharType="begin"/>
      </w:r>
      <w:r>
        <w:rPr>
          <w:color w:val="auto"/>
          <w:highlight w:val="none"/>
        </w:rPr>
        <w:instrText xml:space="preserve"> PAGEREF _Toc7127 </w:instrText>
      </w:r>
      <w:r>
        <w:rPr>
          <w:color w:val="auto"/>
          <w:highlight w:val="none"/>
        </w:rPr>
        <w:fldChar w:fldCharType="separate"/>
      </w:r>
      <w:r>
        <w:rPr>
          <w:color w:val="auto"/>
          <w:highlight w:val="none"/>
        </w:rPr>
        <w:t>55</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_Toc29020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19 </w:t>
      </w:r>
      <w:r>
        <w:rPr>
          <w:rFonts w:hint="eastAsia" w:ascii="宋体" w:hAnsi="宋体"/>
          <w:bCs/>
          <w:color w:val="auto"/>
          <w:szCs w:val="21"/>
          <w:highlight w:val="none"/>
        </w:rPr>
        <w:t>投标文件的式样和签署</w:t>
      </w:r>
      <w:r>
        <w:rPr>
          <w:color w:val="auto"/>
          <w:highlight w:val="none"/>
        </w:rPr>
        <w:tab/>
      </w:r>
      <w:r>
        <w:rPr>
          <w:color w:val="auto"/>
          <w:highlight w:val="none"/>
        </w:rPr>
        <w:fldChar w:fldCharType="begin"/>
      </w:r>
      <w:r>
        <w:rPr>
          <w:color w:val="auto"/>
          <w:highlight w:val="none"/>
        </w:rPr>
        <w:instrText xml:space="preserve"> PAGEREF _Toc29020 </w:instrText>
      </w:r>
      <w:r>
        <w:rPr>
          <w:color w:val="auto"/>
          <w:highlight w:val="none"/>
        </w:rPr>
        <w:fldChar w:fldCharType="separate"/>
      </w:r>
      <w:r>
        <w:rPr>
          <w:color w:val="auto"/>
          <w:highlight w:val="none"/>
        </w:rPr>
        <w:t>55</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_Toc15697 </w:instrText>
      </w:r>
      <w:r>
        <w:rPr>
          <w:rFonts w:hint="eastAsia" w:ascii="宋体" w:hAnsi="宋体"/>
          <w:bCs/>
          <w:color w:val="auto"/>
          <w:szCs w:val="21"/>
          <w:highlight w:val="none"/>
        </w:rPr>
        <w:fldChar w:fldCharType="separate"/>
      </w:r>
      <w:r>
        <w:rPr>
          <w:rFonts w:hint="default" w:ascii="宋体" w:hAnsi="宋体"/>
          <w:color w:val="auto"/>
          <w:szCs w:val="28"/>
          <w:highlight w:val="none"/>
          <w:lang w:eastAsia="zh-TW"/>
        </w:rPr>
        <w:t xml:space="preserve">四、 </w:t>
      </w:r>
      <w:r>
        <w:rPr>
          <w:rFonts w:hint="eastAsia" w:ascii="宋体" w:hAnsi="宋体"/>
          <w:color w:val="auto"/>
          <w:szCs w:val="28"/>
          <w:highlight w:val="none"/>
          <w:lang w:eastAsia="zh-TW"/>
        </w:rPr>
        <w:t>投标文件的递交</w:t>
      </w:r>
      <w:r>
        <w:rPr>
          <w:color w:val="auto"/>
          <w:highlight w:val="none"/>
        </w:rPr>
        <w:tab/>
      </w:r>
      <w:r>
        <w:rPr>
          <w:color w:val="auto"/>
          <w:highlight w:val="none"/>
        </w:rPr>
        <w:fldChar w:fldCharType="begin"/>
      </w:r>
      <w:r>
        <w:rPr>
          <w:color w:val="auto"/>
          <w:highlight w:val="none"/>
        </w:rPr>
        <w:instrText xml:space="preserve"> PAGEREF _Toc15697 </w:instrText>
      </w:r>
      <w:r>
        <w:rPr>
          <w:color w:val="auto"/>
          <w:highlight w:val="none"/>
        </w:rPr>
        <w:fldChar w:fldCharType="separate"/>
      </w:r>
      <w:r>
        <w:rPr>
          <w:color w:val="auto"/>
          <w:highlight w:val="none"/>
        </w:rPr>
        <w:t>56</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_Toc23062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20 </w:t>
      </w:r>
      <w:r>
        <w:rPr>
          <w:rFonts w:hint="eastAsia" w:ascii="宋体" w:hAnsi="宋体"/>
          <w:bCs/>
          <w:color w:val="auto"/>
          <w:szCs w:val="21"/>
          <w:highlight w:val="none"/>
        </w:rPr>
        <w:t>投标文件的密封和标记</w:t>
      </w:r>
      <w:r>
        <w:rPr>
          <w:color w:val="auto"/>
          <w:highlight w:val="none"/>
        </w:rPr>
        <w:tab/>
      </w:r>
      <w:r>
        <w:rPr>
          <w:color w:val="auto"/>
          <w:highlight w:val="none"/>
        </w:rPr>
        <w:fldChar w:fldCharType="begin"/>
      </w:r>
      <w:r>
        <w:rPr>
          <w:color w:val="auto"/>
          <w:highlight w:val="none"/>
        </w:rPr>
        <w:instrText xml:space="preserve"> PAGEREF _Toc23062 </w:instrText>
      </w:r>
      <w:r>
        <w:rPr>
          <w:color w:val="auto"/>
          <w:highlight w:val="none"/>
        </w:rPr>
        <w:fldChar w:fldCharType="separate"/>
      </w:r>
      <w:r>
        <w:rPr>
          <w:color w:val="auto"/>
          <w:highlight w:val="none"/>
        </w:rPr>
        <w:t>56</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_Toc3914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21 </w:t>
      </w:r>
      <w:r>
        <w:rPr>
          <w:rFonts w:hint="eastAsia" w:ascii="宋体" w:hAnsi="宋体"/>
          <w:bCs/>
          <w:color w:val="auto"/>
          <w:szCs w:val="21"/>
          <w:highlight w:val="none"/>
        </w:rPr>
        <w:t>投标截止期</w:t>
      </w:r>
      <w:r>
        <w:rPr>
          <w:color w:val="auto"/>
          <w:highlight w:val="none"/>
        </w:rPr>
        <w:tab/>
      </w:r>
      <w:r>
        <w:rPr>
          <w:color w:val="auto"/>
          <w:highlight w:val="none"/>
        </w:rPr>
        <w:fldChar w:fldCharType="begin"/>
      </w:r>
      <w:r>
        <w:rPr>
          <w:color w:val="auto"/>
          <w:highlight w:val="none"/>
        </w:rPr>
        <w:instrText xml:space="preserve"> PAGEREF _Toc3914 </w:instrText>
      </w:r>
      <w:r>
        <w:rPr>
          <w:color w:val="auto"/>
          <w:highlight w:val="none"/>
        </w:rPr>
        <w:fldChar w:fldCharType="separate"/>
      </w:r>
      <w:r>
        <w:rPr>
          <w:color w:val="auto"/>
          <w:highlight w:val="none"/>
        </w:rPr>
        <w:t>56</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_Toc25816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22 </w:t>
      </w:r>
      <w:r>
        <w:rPr>
          <w:rFonts w:hint="eastAsia" w:ascii="宋体" w:hAnsi="宋体"/>
          <w:bCs/>
          <w:color w:val="auto"/>
          <w:szCs w:val="21"/>
          <w:highlight w:val="none"/>
        </w:rPr>
        <w:t>投标文件的修改和撤回</w:t>
      </w:r>
      <w:r>
        <w:rPr>
          <w:color w:val="auto"/>
          <w:highlight w:val="none"/>
        </w:rPr>
        <w:tab/>
      </w:r>
      <w:r>
        <w:rPr>
          <w:color w:val="auto"/>
          <w:highlight w:val="none"/>
        </w:rPr>
        <w:fldChar w:fldCharType="begin"/>
      </w:r>
      <w:r>
        <w:rPr>
          <w:color w:val="auto"/>
          <w:highlight w:val="none"/>
        </w:rPr>
        <w:instrText xml:space="preserve"> PAGEREF _Toc25816 </w:instrText>
      </w:r>
      <w:r>
        <w:rPr>
          <w:color w:val="auto"/>
          <w:highlight w:val="none"/>
        </w:rPr>
        <w:fldChar w:fldCharType="separate"/>
      </w:r>
      <w:r>
        <w:rPr>
          <w:color w:val="auto"/>
          <w:highlight w:val="none"/>
        </w:rPr>
        <w:t>56</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_Toc32162 </w:instrText>
      </w:r>
      <w:r>
        <w:rPr>
          <w:rFonts w:hint="eastAsia" w:ascii="宋体" w:hAnsi="宋体"/>
          <w:bCs/>
          <w:color w:val="auto"/>
          <w:szCs w:val="21"/>
          <w:highlight w:val="none"/>
        </w:rPr>
        <w:fldChar w:fldCharType="separate"/>
      </w:r>
      <w:r>
        <w:rPr>
          <w:rFonts w:hint="default" w:ascii="宋体" w:hAnsi="宋体"/>
          <w:color w:val="auto"/>
          <w:szCs w:val="28"/>
          <w:highlight w:val="none"/>
          <w:lang w:eastAsia="zh-TW"/>
        </w:rPr>
        <w:t xml:space="preserve">五、 </w:t>
      </w:r>
      <w:r>
        <w:rPr>
          <w:rFonts w:hint="eastAsia" w:ascii="宋体" w:hAnsi="宋体"/>
          <w:color w:val="auto"/>
          <w:szCs w:val="28"/>
          <w:highlight w:val="none"/>
          <w:lang w:eastAsia="zh-TW"/>
        </w:rPr>
        <w:t>开标与评标</w:t>
      </w:r>
      <w:r>
        <w:rPr>
          <w:color w:val="auto"/>
          <w:highlight w:val="none"/>
        </w:rPr>
        <w:tab/>
      </w:r>
      <w:r>
        <w:rPr>
          <w:color w:val="auto"/>
          <w:highlight w:val="none"/>
        </w:rPr>
        <w:fldChar w:fldCharType="begin"/>
      </w:r>
      <w:r>
        <w:rPr>
          <w:color w:val="auto"/>
          <w:highlight w:val="none"/>
        </w:rPr>
        <w:instrText xml:space="preserve"> PAGEREF _Toc32162 </w:instrText>
      </w:r>
      <w:r>
        <w:rPr>
          <w:color w:val="auto"/>
          <w:highlight w:val="none"/>
        </w:rPr>
        <w:fldChar w:fldCharType="separate"/>
      </w:r>
      <w:r>
        <w:rPr>
          <w:color w:val="auto"/>
          <w:highlight w:val="none"/>
        </w:rPr>
        <w:t>56</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_Toc15385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23 </w:t>
      </w:r>
      <w:r>
        <w:rPr>
          <w:rFonts w:hint="eastAsia" w:ascii="宋体" w:hAnsi="宋体"/>
          <w:bCs/>
          <w:color w:val="auto"/>
          <w:szCs w:val="21"/>
          <w:highlight w:val="none"/>
        </w:rPr>
        <w:t>开标</w:t>
      </w:r>
      <w:r>
        <w:rPr>
          <w:color w:val="auto"/>
          <w:highlight w:val="none"/>
        </w:rPr>
        <w:tab/>
      </w:r>
      <w:r>
        <w:rPr>
          <w:color w:val="auto"/>
          <w:highlight w:val="none"/>
        </w:rPr>
        <w:fldChar w:fldCharType="begin"/>
      </w:r>
      <w:r>
        <w:rPr>
          <w:color w:val="auto"/>
          <w:highlight w:val="none"/>
        </w:rPr>
        <w:instrText xml:space="preserve"> PAGEREF _Toc15385 </w:instrText>
      </w:r>
      <w:r>
        <w:rPr>
          <w:color w:val="auto"/>
          <w:highlight w:val="none"/>
        </w:rPr>
        <w:fldChar w:fldCharType="separate"/>
      </w:r>
      <w:r>
        <w:rPr>
          <w:color w:val="auto"/>
          <w:highlight w:val="none"/>
        </w:rPr>
        <w:t>57</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_Toc9892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24 </w:t>
      </w:r>
      <w:r>
        <w:rPr>
          <w:rFonts w:hint="eastAsia" w:ascii="宋体" w:hAnsi="宋体"/>
          <w:bCs/>
          <w:color w:val="auto"/>
          <w:szCs w:val="21"/>
          <w:highlight w:val="none"/>
        </w:rPr>
        <w:t>评标委员会和评标方法</w:t>
      </w:r>
      <w:r>
        <w:rPr>
          <w:color w:val="auto"/>
          <w:highlight w:val="none"/>
        </w:rPr>
        <w:tab/>
      </w:r>
      <w:r>
        <w:rPr>
          <w:color w:val="auto"/>
          <w:highlight w:val="none"/>
        </w:rPr>
        <w:fldChar w:fldCharType="begin"/>
      </w:r>
      <w:r>
        <w:rPr>
          <w:color w:val="auto"/>
          <w:highlight w:val="none"/>
        </w:rPr>
        <w:instrText xml:space="preserve"> PAGEREF _Toc9892 </w:instrText>
      </w:r>
      <w:r>
        <w:rPr>
          <w:color w:val="auto"/>
          <w:highlight w:val="none"/>
        </w:rPr>
        <w:fldChar w:fldCharType="separate"/>
      </w:r>
      <w:r>
        <w:rPr>
          <w:color w:val="auto"/>
          <w:highlight w:val="none"/>
        </w:rPr>
        <w:t>57</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_Toc29667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25 </w:t>
      </w:r>
      <w:r>
        <w:rPr>
          <w:rFonts w:hint="eastAsia" w:ascii="宋体" w:hAnsi="宋体"/>
          <w:bCs/>
          <w:color w:val="auto"/>
          <w:szCs w:val="21"/>
          <w:highlight w:val="none"/>
        </w:rPr>
        <w:t>投标文件的初审</w:t>
      </w:r>
      <w:r>
        <w:rPr>
          <w:color w:val="auto"/>
          <w:highlight w:val="none"/>
        </w:rPr>
        <w:tab/>
      </w:r>
      <w:r>
        <w:rPr>
          <w:color w:val="auto"/>
          <w:highlight w:val="none"/>
        </w:rPr>
        <w:fldChar w:fldCharType="begin"/>
      </w:r>
      <w:r>
        <w:rPr>
          <w:color w:val="auto"/>
          <w:highlight w:val="none"/>
        </w:rPr>
        <w:instrText xml:space="preserve"> PAGEREF _Toc29667 </w:instrText>
      </w:r>
      <w:r>
        <w:rPr>
          <w:color w:val="auto"/>
          <w:highlight w:val="none"/>
        </w:rPr>
        <w:fldChar w:fldCharType="separate"/>
      </w:r>
      <w:r>
        <w:rPr>
          <w:color w:val="auto"/>
          <w:highlight w:val="none"/>
        </w:rPr>
        <w:t>57</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_Toc10612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26 </w:t>
      </w:r>
      <w:r>
        <w:rPr>
          <w:rFonts w:hint="eastAsia" w:ascii="宋体" w:hAnsi="宋体"/>
          <w:bCs/>
          <w:color w:val="auto"/>
          <w:szCs w:val="21"/>
          <w:highlight w:val="none"/>
        </w:rPr>
        <w:t>投标文件的澄清</w:t>
      </w:r>
      <w:r>
        <w:rPr>
          <w:color w:val="auto"/>
          <w:highlight w:val="none"/>
        </w:rPr>
        <w:tab/>
      </w:r>
      <w:r>
        <w:rPr>
          <w:color w:val="auto"/>
          <w:highlight w:val="none"/>
        </w:rPr>
        <w:fldChar w:fldCharType="begin"/>
      </w:r>
      <w:r>
        <w:rPr>
          <w:color w:val="auto"/>
          <w:highlight w:val="none"/>
        </w:rPr>
        <w:instrText xml:space="preserve"> PAGEREF _Toc10612 </w:instrText>
      </w:r>
      <w:r>
        <w:rPr>
          <w:color w:val="auto"/>
          <w:highlight w:val="none"/>
        </w:rPr>
        <w:fldChar w:fldCharType="separate"/>
      </w:r>
      <w:r>
        <w:rPr>
          <w:color w:val="auto"/>
          <w:highlight w:val="none"/>
        </w:rPr>
        <w:t>58</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_Toc9476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27 </w:t>
      </w:r>
      <w:r>
        <w:rPr>
          <w:rFonts w:hint="eastAsia" w:ascii="宋体" w:hAnsi="宋体"/>
          <w:bCs/>
          <w:color w:val="auto"/>
          <w:szCs w:val="21"/>
          <w:highlight w:val="none"/>
        </w:rPr>
        <w:t>投标文件详细评价</w:t>
      </w:r>
      <w:r>
        <w:rPr>
          <w:color w:val="auto"/>
          <w:highlight w:val="none"/>
        </w:rPr>
        <w:tab/>
      </w:r>
      <w:r>
        <w:rPr>
          <w:color w:val="auto"/>
          <w:highlight w:val="none"/>
        </w:rPr>
        <w:fldChar w:fldCharType="begin"/>
      </w:r>
      <w:r>
        <w:rPr>
          <w:color w:val="auto"/>
          <w:highlight w:val="none"/>
        </w:rPr>
        <w:instrText xml:space="preserve"> PAGEREF _Toc9476 </w:instrText>
      </w:r>
      <w:r>
        <w:rPr>
          <w:color w:val="auto"/>
          <w:highlight w:val="none"/>
        </w:rPr>
        <w:fldChar w:fldCharType="separate"/>
      </w:r>
      <w:r>
        <w:rPr>
          <w:color w:val="auto"/>
          <w:highlight w:val="none"/>
        </w:rPr>
        <w:t>58</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_Toc16637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28 </w:t>
      </w:r>
      <w:r>
        <w:rPr>
          <w:rFonts w:hint="eastAsia" w:ascii="宋体" w:hAnsi="宋体"/>
          <w:bCs/>
          <w:color w:val="auto"/>
          <w:szCs w:val="21"/>
          <w:highlight w:val="none"/>
        </w:rPr>
        <w:t>定标原则与授标</w:t>
      </w:r>
      <w:r>
        <w:rPr>
          <w:color w:val="auto"/>
          <w:highlight w:val="none"/>
        </w:rPr>
        <w:tab/>
      </w:r>
      <w:r>
        <w:rPr>
          <w:color w:val="auto"/>
          <w:highlight w:val="none"/>
        </w:rPr>
        <w:fldChar w:fldCharType="begin"/>
      </w:r>
      <w:r>
        <w:rPr>
          <w:color w:val="auto"/>
          <w:highlight w:val="none"/>
        </w:rPr>
        <w:instrText xml:space="preserve"> PAGEREF _Toc16637 </w:instrText>
      </w:r>
      <w:r>
        <w:rPr>
          <w:color w:val="auto"/>
          <w:highlight w:val="none"/>
        </w:rPr>
        <w:fldChar w:fldCharType="separate"/>
      </w:r>
      <w:r>
        <w:rPr>
          <w:color w:val="auto"/>
          <w:highlight w:val="none"/>
        </w:rPr>
        <w:t>58</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_Toc22214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29 </w:t>
      </w:r>
      <w:r>
        <w:rPr>
          <w:rFonts w:hint="eastAsia" w:ascii="宋体" w:hAnsi="宋体"/>
          <w:bCs/>
          <w:color w:val="auto"/>
          <w:szCs w:val="21"/>
          <w:highlight w:val="none"/>
        </w:rPr>
        <w:t>质疑与回复</w:t>
      </w:r>
      <w:r>
        <w:rPr>
          <w:color w:val="auto"/>
          <w:highlight w:val="none"/>
        </w:rPr>
        <w:tab/>
      </w:r>
      <w:r>
        <w:rPr>
          <w:color w:val="auto"/>
          <w:highlight w:val="none"/>
        </w:rPr>
        <w:fldChar w:fldCharType="begin"/>
      </w:r>
      <w:r>
        <w:rPr>
          <w:color w:val="auto"/>
          <w:highlight w:val="none"/>
        </w:rPr>
        <w:instrText xml:space="preserve"> PAGEREF _Toc22214 </w:instrText>
      </w:r>
      <w:r>
        <w:rPr>
          <w:color w:val="auto"/>
          <w:highlight w:val="none"/>
        </w:rPr>
        <w:fldChar w:fldCharType="separate"/>
      </w:r>
      <w:r>
        <w:rPr>
          <w:color w:val="auto"/>
          <w:highlight w:val="none"/>
        </w:rPr>
        <w:t>59</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_Toc22337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30 </w:t>
      </w:r>
      <w:r>
        <w:rPr>
          <w:rFonts w:hint="eastAsia" w:ascii="宋体" w:hAnsi="宋体"/>
          <w:bCs/>
          <w:color w:val="auto"/>
          <w:szCs w:val="21"/>
          <w:highlight w:val="none"/>
        </w:rPr>
        <w:t>中标通知书</w:t>
      </w:r>
      <w:r>
        <w:rPr>
          <w:color w:val="auto"/>
          <w:highlight w:val="none"/>
        </w:rPr>
        <w:tab/>
      </w:r>
      <w:r>
        <w:rPr>
          <w:color w:val="auto"/>
          <w:highlight w:val="none"/>
        </w:rPr>
        <w:fldChar w:fldCharType="begin"/>
      </w:r>
      <w:r>
        <w:rPr>
          <w:color w:val="auto"/>
          <w:highlight w:val="none"/>
        </w:rPr>
        <w:instrText xml:space="preserve"> PAGEREF _Toc22337 </w:instrText>
      </w:r>
      <w:r>
        <w:rPr>
          <w:color w:val="auto"/>
          <w:highlight w:val="none"/>
        </w:rPr>
        <w:fldChar w:fldCharType="separate"/>
      </w:r>
      <w:r>
        <w:rPr>
          <w:color w:val="auto"/>
          <w:highlight w:val="none"/>
        </w:rPr>
        <w:t>59</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_Toc21372 </w:instrText>
      </w:r>
      <w:r>
        <w:rPr>
          <w:rFonts w:hint="eastAsia" w:ascii="宋体" w:hAnsi="宋体"/>
          <w:bCs/>
          <w:color w:val="auto"/>
          <w:szCs w:val="21"/>
          <w:highlight w:val="none"/>
        </w:rPr>
        <w:fldChar w:fldCharType="separate"/>
      </w:r>
      <w:r>
        <w:rPr>
          <w:rFonts w:hint="default" w:ascii="宋体" w:hAnsi="宋体"/>
          <w:color w:val="auto"/>
          <w:szCs w:val="28"/>
          <w:highlight w:val="none"/>
          <w:lang w:eastAsia="zh-TW"/>
        </w:rPr>
        <w:t xml:space="preserve">六、 </w:t>
      </w:r>
      <w:r>
        <w:rPr>
          <w:rFonts w:hint="eastAsia" w:ascii="宋体" w:hAnsi="宋体"/>
          <w:color w:val="auto"/>
          <w:szCs w:val="28"/>
          <w:highlight w:val="none"/>
          <w:lang w:eastAsia="zh-TW"/>
        </w:rPr>
        <w:t>授予合同</w:t>
      </w:r>
      <w:r>
        <w:rPr>
          <w:color w:val="auto"/>
          <w:highlight w:val="none"/>
        </w:rPr>
        <w:tab/>
      </w:r>
      <w:r>
        <w:rPr>
          <w:color w:val="auto"/>
          <w:highlight w:val="none"/>
        </w:rPr>
        <w:fldChar w:fldCharType="begin"/>
      </w:r>
      <w:r>
        <w:rPr>
          <w:color w:val="auto"/>
          <w:highlight w:val="none"/>
        </w:rPr>
        <w:instrText xml:space="preserve"> PAGEREF _Toc21372 </w:instrText>
      </w:r>
      <w:r>
        <w:rPr>
          <w:color w:val="auto"/>
          <w:highlight w:val="none"/>
        </w:rPr>
        <w:fldChar w:fldCharType="separate"/>
      </w:r>
      <w:r>
        <w:rPr>
          <w:color w:val="auto"/>
          <w:highlight w:val="none"/>
        </w:rPr>
        <w:t>59</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_Toc23608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31 </w:t>
      </w:r>
      <w:r>
        <w:rPr>
          <w:rFonts w:hint="eastAsia" w:ascii="宋体" w:hAnsi="宋体"/>
          <w:bCs/>
          <w:color w:val="auto"/>
          <w:szCs w:val="21"/>
          <w:highlight w:val="none"/>
        </w:rPr>
        <w:t>合同的订立</w:t>
      </w:r>
      <w:r>
        <w:rPr>
          <w:color w:val="auto"/>
          <w:highlight w:val="none"/>
        </w:rPr>
        <w:tab/>
      </w:r>
      <w:r>
        <w:rPr>
          <w:color w:val="auto"/>
          <w:highlight w:val="none"/>
        </w:rPr>
        <w:fldChar w:fldCharType="begin"/>
      </w:r>
      <w:r>
        <w:rPr>
          <w:color w:val="auto"/>
          <w:highlight w:val="none"/>
        </w:rPr>
        <w:instrText xml:space="preserve"> PAGEREF _Toc23608 </w:instrText>
      </w:r>
      <w:r>
        <w:rPr>
          <w:color w:val="auto"/>
          <w:highlight w:val="none"/>
        </w:rPr>
        <w:fldChar w:fldCharType="separate"/>
      </w:r>
      <w:r>
        <w:rPr>
          <w:color w:val="auto"/>
          <w:highlight w:val="none"/>
        </w:rPr>
        <w:t>59</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_Toc9830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32 </w:t>
      </w:r>
      <w:r>
        <w:rPr>
          <w:rFonts w:hint="eastAsia" w:ascii="宋体" w:hAnsi="宋体"/>
          <w:bCs/>
          <w:color w:val="auto"/>
          <w:szCs w:val="21"/>
          <w:highlight w:val="none"/>
        </w:rPr>
        <w:t>合同的履行</w:t>
      </w:r>
      <w:r>
        <w:rPr>
          <w:color w:val="auto"/>
          <w:highlight w:val="none"/>
        </w:rPr>
        <w:tab/>
      </w:r>
      <w:r>
        <w:rPr>
          <w:color w:val="auto"/>
          <w:highlight w:val="none"/>
        </w:rPr>
        <w:fldChar w:fldCharType="begin"/>
      </w:r>
      <w:r>
        <w:rPr>
          <w:color w:val="auto"/>
          <w:highlight w:val="none"/>
        </w:rPr>
        <w:instrText xml:space="preserve"> PAGEREF _Toc9830 </w:instrText>
      </w:r>
      <w:r>
        <w:rPr>
          <w:color w:val="auto"/>
          <w:highlight w:val="none"/>
        </w:rPr>
        <w:fldChar w:fldCharType="separate"/>
      </w:r>
      <w:r>
        <w:rPr>
          <w:color w:val="auto"/>
          <w:highlight w:val="none"/>
        </w:rPr>
        <w:t>60</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_Toc17575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33 </w:t>
      </w:r>
      <w:r>
        <w:rPr>
          <w:rFonts w:hint="eastAsia" w:ascii="宋体" w:hAnsi="宋体"/>
          <w:bCs/>
          <w:color w:val="auto"/>
          <w:szCs w:val="21"/>
          <w:highlight w:val="none"/>
        </w:rPr>
        <w:t>履约保证金</w:t>
      </w:r>
      <w:r>
        <w:rPr>
          <w:color w:val="auto"/>
          <w:highlight w:val="none"/>
        </w:rPr>
        <w:tab/>
      </w:r>
      <w:r>
        <w:rPr>
          <w:color w:val="auto"/>
          <w:highlight w:val="none"/>
        </w:rPr>
        <w:fldChar w:fldCharType="begin"/>
      </w:r>
      <w:r>
        <w:rPr>
          <w:color w:val="auto"/>
          <w:highlight w:val="none"/>
        </w:rPr>
        <w:instrText xml:space="preserve"> PAGEREF _Toc17575 </w:instrText>
      </w:r>
      <w:r>
        <w:rPr>
          <w:color w:val="auto"/>
          <w:highlight w:val="none"/>
        </w:rPr>
        <w:fldChar w:fldCharType="separate"/>
      </w:r>
      <w:r>
        <w:rPr>
          <w:color w:val="auto"/>
          <w:highlight w:val="none"/>
        </w:rPr>
        <w:t>60</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_Toc13750 </w:instrText>
      </w:r>
      <w:r>
        <w:rPr>
          <w:rFonts w:hint="eastAsia" w:ascii="宋体" w:hAnsi="宋体"/>
          <w:bCs/>
          <w:color w:val="auto"/>
          <w:szCs w:val="21"/>
          <w:highlight w:val="none"/>
        </w:rPr>
        <w:fldChar w:fldCharType="separate"/>
      </w:r>
      <w:r>
        <w:rPr>
          <w:rFonts w:hint="eastAsia" w:ascii="宋体" w:hAnsi="宋体" w:eastAsia="宋体"/>
          <w:bCs/>
          <w:color w:val="auto"/>
          <w:szCs w:val="21"/>
          <w:highlight w:val="none"/>
        </w:rPr>
        <w:t xml:space="preserve">34 </w:t>
      </w:r>
      <w:r>
        <w:rPr>
          <w:rFonts w:hint="eastAsia" w:ascii="宋体" w:hAnsi="宋体"/>
          <w:bCs/>
          <w:color w:val="auto"/>
          <w:szCs w:val="21"/>
          <w:highlight w:val="none"/>
        </w:rPr>
        <w:t>招标代理服务费</w:t>
      </w:r>
      <w:r>
        <w:rPr>
          <w:color w:val="auto"/>
          <w:highlight w:val="none"/>
        </w:rPr>
        <w:tab/>
      </w:r>
      <w:r>
        <w:rPr>
          <w:color w:val="auto"/>
          <w:highlight w:val="none"/>
        </w:rPr>
        <w:fldChar w:fldCharType="begin"/>
      </w:r>
      <w:r>
        <w:rPr>
          <w:color w:val="auto"/>
          <w:highlight w:val="none"/>
        </w:rPr>
        <w:instrText xml:space="preserve"> PAGEREF _Toc13750 </w:instrText>
      </w:r>
      <w:r>
        <w:rPr>
          <w:color w:val="auto"/>
          <w:highlight w:val="none"/>
        </w:rPr>
        <w:fldChar w:fldCharType="separate"/>
      </w:r>
      <w:r>
        <w:rPr>
          <w:color w:val="auto"/>
          <w:highlight w:val="none"/>
        </w:rPr>
        <w:t>60</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_Toc30857 </w:instrText>
      </w:r>
      <w:r>
        <w:rPr>
          <w:rFonts w:hint="eastAsia" w:ascii="宋体" w:hAnsi="宋体"/>
          <w:bCs/>
          <w:color w:val="auto"/>
          <w:szCs w:val="21"/>
          <w:highlight w:val="none"/>
        </w:rPr>
        <w:fldChar w:fldCharType="separate"/>
      </w:r>
      <w:r>
        <w:rPr>
          <w:rFonts w:hint="eastAsia"/>
          <w:bCs/>
          <w:color w:val="auto"/>
          <w:szCs w:val="44"/>
          <w:highlight w:val="none"/>
        </w:rPr>
        <w:t>第六章</w:t>
      </w:r>
      <w:r>
        <w:rPr>
          <w:color w:val="auto"/>
          <w:highlight w:val="none"/>
        </w:rPr>
        <w:tab/>
      </w:r>
      <w:r>
        <w:rPr>
          <w:color w:val="auto"/>
          <w:highlight w:val="none"/>
        </w:rPr>
        <w:fldChar w:fldCharType="begin"/>
      </w:r>
      <w:r>
        <w:rPr>
          <w:color w:val="auto"/>
          <w:highlight w:val="none"/>
        </w:rPr>
        <w:instrText xml:space="preserve"> PAGEREF _Toc30857 </w:instrText>
      </w:r>
      <w:r>
        <w:rPr>
          <w:color w:val="auto"/>
          <w:highlight w:val="none"/>
        </w:rPr>
        <w:fldChar w:fldCharType="separate"/>
      </w:r>
      <w:r>
        <w:rPr>
          <w:color w:val="auto"/>
          <w:highlight w:val="none"/>
        </w:rPr>
        <w:t>61</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_Toc16828 </w:instrText>
      </w:r>
      <w:r>
        <w:rPr>
          <w:rFonts w:hint="eastAsia" w:ascii="宋体" w:hAnsi="宋体"/>
          <w:bCs/>
          <w:color w:val="auto"/>
          <w:szCs w:val="21"/>
          <w:highlight w:val="none"/>
        </w:rPr>
        <w:fldChar w:fldCharType="separate"/>
      </w:r>
      <w:r>
        <w:rPr>
          <w:rFonts w:hint="eastAsia"/>
          <w:bCs/>
          <w:color w:val="auto"/>
          <w:szCs w:val="44"/>
          <w:highlight w:val="none"/>
        </w:rPr>
        <w:t>合同通用条款</w:t>
      </w:r>
      <w:r>
        <w:rPr>
          <w:color w:val="auto"/>
          <w:highlight w:val="none"/>
        </w:rPr>
        <w:tab/>
      </w:r>
      <w:r>
        <w:rPr>
          <w:color w:val="auto"/>
          <w:highlight w:val="none"/>
        </w:rPr>
        <w:fldChar w:fldCharType="begin"/>
      </w:r>
      <w:r>
        <w:rPr>
          <w:color w:val="auto"/>
          <w:highlight w:val="none"/>
        </w:rPr>
        <w:instrText xml:space="preserve"> PAGEREF _Toc16828 </w:instrText>
      </w:r>
      <w:r>
        <w:rPr>
          <w:color w:val="auto"/>
          <w:highlight w:val="none"/>
        </w:rPr>
        <w:fldChar w:fldCharType="separate"/>
      </w:r>
      <w:r>
        <w:rPr>
          <w:color w:val="auto"/>
          <w:highlight w:val="none"/>
        </w:rPr>
        <w:t>61</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_Toc30222 </w:instrText>
      </w:r>
      <w:r>
        <w:rPr>
          <w:rFonts w:hint="eastAsia" w:ascii="宋体" w:hAnsi="宋体"/>
          <w:bCs/>
          <w:color w:val="auto"/>
          <w:szCs w:val="21"/>
          <w:highlight w:val="none"/>
        </w:rPr>
        <w:fldChar w:fldCharType="separate"/>
      </w:r>
      <w:r>
        <w:rPr>
          <w:rFonts w:hint="eastAsia"/>
          <w:bCs/>
          <w:color w:val="auto"/>
          <w:szCs w:val="28"/>
          <w:highlight w:val="none"/>
        </w:rPr>
        <w:t>第七章  投标文件格式</w:t>
      </w:r>
      <w:r>
        <w:rPr>
          <w:color w:val="auto"/>
          <w:highlight w:val="none"/>
        </w:rPr>
        <w:tab/>
      </w:r>
      <w:r>
        <w:rPr>
          <w:color w:val="auto"/>
          <w:highlight w:val="none"/>
        </w:rPr>
        <w:fldChar w:fldCharType="begin"/>
      </w:r>
      <w:r>
        <w:rPr>
          <w:color w:val="auto"/>
          <w:highlight w:val="none"/>
        </w:rPr>
        <w:instrText xml:space="preserve"> PAGEREF _Toc30222 </w:instrText>
      </w:r>
      <w:r>
        <w:rPr>
          <w:color w:val="auto"/>
          <w:highlight w:val="none"/>
        </w:rPr>
        <w:fldChar w:fldCharType="separate"/>
      </w:r>
      <w:r>
        <w:rPr>
          <w:color w:val="auto"/>
          <w:highlight w:val="none"/>
        </w:rPr>
        <w:t>69</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_Toc6793 </w:instrText>
      </w:r>
      <w:r>
        <w:rPr>
          <w:rFonts w:hint="eastAsia" w:ascii="宋体" w:hAnsi="宋体"/>
          <w:bCs/>
          <w:color w:val="auto"/>
          <w:szCs w:val="21"/>
          <w:highlight w:val="none"/>
        </w:rPr>
        <w:fldChar w:fldCharType="separate"/>
      </w:r>
      <w:r>
        <w:rPr>
          <w:rFonts w:hint="eastAsia" w:ascii="宋体" w:hAnsi="宋体"/>
          <w:color w:val="auto"/>
          <w:szCs w:val="28"/>
          <w:highlight w:val="none"/>
          <w:lang w:eastAsia="zh-TW"/>
        </w:rPr>
        <w:t>投标文件包装封面参考</w:t>
      </w:r>
      <w:r>
        <w:rPr>
          <w:color w:val="auto"/>
          <w:highlight w:val="none"/>
        </w:rPr>
        <w:tab/>
      </w:r>
      <w:r>
        <w:rPr>
          <w:color w:val="auto"/>
          <w:highlight w:val="none"/>
        </w:rPr>
        <w:fldChar w:fldCharType="begin"/>
      </w:r>
      <w:r>
        <w:rPr>
          <w:color w:val="auto"/>
          <w:highlight w:val="none"/>
        </w:rPr>
        <w:instrText xml:space="preserve"> PAGEREF _Toc6793 </w:instrText>
      </w:r>
      <w:r>
        <w:rPr>
          <w:color w:val="auto"/>
          <w:highlight w:val="none"/>
        </w:rPr>
        <w:fldChar w:fldCharType="separate"/>
      </w:r>
      <w:r>
        <w:rPr>
          <w:color w:val="auto"/>
          <w:highlight w:val="none"/>
        </w:rPr>
        <w:t>69</w:t>
      </w:r>
      <w:r>
        <w:rPr>
          <w:color w:val="auto"/>
          <w:highlight w:val="none"/>
        </w:rPr>
        <w:fldChar w:fldCharType="end"/>
      </w:r>
      <w:r>
        <w:rPr>
          <w:rFonts w:hint="eastAsia" w:ascii="宋体" w:hAnsi="宋体"/>
          <w:bCs/>
          <w:color w:val="auto"/>
          <w:szCs w:val="21"/>
          <w:highlight w:val="none"/>
        </w:rPr>
        <w:fldChar w:fldCharType="end"/>
      </w:r>
    </w:p>
    <w:p>
      <w:pPr>
        <w:pStyle w:val="12"/>
        <w:tabs>
          <w:tab w:val="right" w:leader="dot" w:pos="9360"/>
          <w:tab w:val="clear" w:pos="9060"/>
        </w:tabs>
        <w:rPr>
          <w:color w:val="auto"/>
          <w:highlight w:val="none"/>
        </w:rPr>
      </w:pP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HYPERLINK \l _Toc21813 </w:instrText>
      </w:r>
      <w:r>
        <w:rPr>
          <w:rFonts w:hint="eastAsia" w:ascii="宋体" w:hAnsi="宋体"/>
          <w:bCs/>
          <w:color w:val="auto"/>
          <w:szCs w:val="21"/>
          <w:highlight w:val="none"/>
        </w:rPr>
        <w:fldChar w:fldCharType="separate"/>
      </w:r>
      <w:r>
        <w:rPr>
          <w:rFonts w:hint="eastAsia" w:ascii="宋体" w:hAnsi="宋体"/>
          <w:color w:val="auto"/>
          <w:szCs w:val="28"/>
          <w:highlight w:val="none"/>
          <w:lang w:eastAsia="zh-TW"/>
        </w:rPr>
        <w:t>投标文件目录表</w:t>
      </w:r>
      <w:r>
        <w:rPr>
          <w:color w:val="auto"/>
          <w:highlight w:val="none"/>
        </w:rPr>
        <w:tab/>
      </w:r>
      <w:r>
        <w:rPr>
          <w:color w:val="auto"/>
          <w:highlight w:val="none"/>
        </w:rPr>
        <w:fldChar w:fldCharType="begin"/>
      </w:r>
      <w:r>
        <w:rPr>
          <w:color w:val="auto"/>
          <w:highlight w:val="none"/>
        </w:rPr>
        <w:instrText xml:space="preserve"> PAGEREF _Toc21813 </w:instrText>
      </w:r>
      <w:r>
        <w:rPr>
          <w:color w:val="auto"/>
          <w:highlight w:val="none"/>
        </w:rPr>
        <w:fldChar w:fldCharType="separate"/>
      </w:r>
      <w:r>
        <w:rPr>
          <w:color w:val="auto"/>
          <w:highlight w:val="none"/>
        </w:rPr>
        <w:t>70</w:t>
      </w:r>
      <w:r>
        <w:rPr>
          <w:color w:val="auto"/>
          <w:highlight w:val="none"/>
        </w:rPr>
        <w:fldChar w:fldCharType="end"/>
      </w:r>
      <w:r>
        <w:rPr>
          <w:rFonts w:hint="eastAsia" w:ascii="宋体" w:hAnsi="宋体"/>
          <w:bCs/>
          <w:color w:val="auto"/>
          <w:szCs w:val="21"/>
          <w:highlight w:val="none"/>
        </w:rPr>
        <w:fldChar w:fldCharType="end"/>
      </w:r>
    </w:p>
    <w:p>
      <w:pPr>
        <w:adjustRightInd w:val="0"/>
        <w:snapToGrid w:val="0"/>
        <w:spacing w:before="156" w:beforeLines="50" w:after="156" w:afterLines="50" w:line="360" w:lineRule="auto"/>
        <w:jc w:val="center"/>
        <w:outlineLvl w:val="0"/>
        <w:rPr>
          <w:rFonts w:hint="eastAsia"/>
          <w:b/>
          <w:bCs/>
          <w:color w:val="auto"/>
          <w:sz w:val="30"/>
          <w:szCs w:val="30"/>
          <w:highlight w:val="none"/>
        </w:rPr>
      </w:pPr>
      <w:r>
        <w:rPr>
          <w:rFonts w:hint="eastAsia" w:ascii="宋体" w:hAnsi="宋体"/>
          <w:bCs/>
          <w:color w:val="auto"/>
          <w:szCs w:val="21"/>
          <w:highlight w:val="none"/>
        </w:rPr>
        <w:fldChar w:fldCharType="end"/>
      </w:r>
      <w:bookmarkStart w:id="0" w:name="_Toc2834"/>
      <w:r>
        <w:rPr>
          <w:rFonts w:ascii="宋体" w:hAnsi="宋体"/>
          <w:color w:val="auto"/>
          <w:sz w:val="44"/>
          <w:highlight w:val="none"/>
        </w:rPr>
        <w:br w:type="page"/>
      </w:r>
      <w:r>
        <w:rPr>
          <w:rFonts w:hint="eastAsia"/>
          <w:b/>
          <w:bCs/>
          <w:color w:val="auto"/>
          <w:sz w:val="28"/>
          <w:szCs w:val="28"/>
          <w:highlight w:val="none"/>
        </w:rPr>
        <w:t>第一</w:t>
      </w:r>
      <w:r>
        <w:rPr>
          <w:b/>
          <w:bCs/>
          <w:color w:val="auto"/>
          <w:sz w:val="28"/>
          <w:szCs w:val="28"/>
          <w:highlight w:val="none"/>
        </w:rPr>
        <w:t xml:space="preserve">章  </w:t>
      </w:r>
      <w:r>
        <w:rPr>
          <w:rFonts w:hint="eastAsia"/>
          <w:b/>
          <w:bCs/>
          <w:color w:val="auto"/>
          <w:sz w:val="28"/>
          <w:szCs w:val="28"/>
          <w:highlight w:val="none"/>
          <w:lang w:eastAsia="zh-CN"/>
        </w:rPr>
        <w:t>采购公告</w:t>
      </w:r>
      <w:bookmarkEnd w:id="0"/>
    </w:p>
    <w:p>
      <w:pPr>
        <w:snapToGrid w:val="0"/>
        <w:spacing w:line="360" w:lineRule="auto"/>
        <w:ind w:firstLine="420" w:firstLineChars="200"/>
        <w:rPr>
          <w:rFonts w:hint="eastAsia" w:ascii="宋体" w:hAnsi="宋体" w:cs="宋体"/>
          <w:bCs/>
          <w:color w:val="auto"/>
          <w:szCs w:val="20"/>
          <w:highlight w:val="none"/>
        </w:rPr>
      </w:pPr>
      <w:r>
        <w:rPr>
          <w:rFonts w:hint="eastAsia" w:ascii="宋体"/>
          <w:bCs/>
          <w:color w:val="auto"/>
          <w:szCs w:val="20"/>
          <w:highlight w:val="none"/>
        </w:rPr>
        <w:t>广东中采招标有限公司受</w:t>
      </w:r>
      <w:r>
        <w:rPr>
          <w:rFonts w:hint="eastAsia" w:ascii="宋体" w:hAnsi="宋体"/>
          <w:color w:val="auto"/>
          <w:highlight w:val="none"/>
          <w:lang w:eastAsia="zh-CN"/>
        </w:rPr>
        <w:t>佛山市南海区铁路投资有限公司</w:t>
      </w:r>
      <w:r>
        <w:rPr>
          <w:rFonts w:hint="eastAsia" w:ascii="宋体"/>
          <w:bCs/>
          <w:color w:val="auto"/>
          <w:szCs w:val="21"/>
          <w:highlight w:val="none"/>
        </w:rPr>
        <w:t>委托，</w:t>
      </w:r>
      <w:r>
        <w:rPr>
          <w:rFonts w:hint="eastAsia" w:ascii="宋体" w:hAnsi="宋体"/>
          <w:bCs/>
          <w:color w:val="auto"/>
          <w:szCs w:val="21"/>
          <w:highlight w:val="none"/>
        </w:rPr>
        <w:t>对</w:t>
      </w:r>
      <w:r>
        <w:rPr>
          <w:rFonts w:hint="eastAsia" w:ascii="宋体" w:hAnsi="宋体"/>
          <w:color w:val="auto"/>
          <w:highlight w:val="none"/>
          <w:lang w:eastAsia="zh-CN"/>
        </w:rPr>
        <w:t>档案综合整理服务</w:t>
      </w:r>
      <w:r>
        <w:rPr>
          <w:rFonts w:hint="eastAsia" w:ascii="宋体" w:hAnsi="宋体"/>
          <w:bCs/>
          <w:color w:val="auto"/>
          <w:szCs w:val="21"/>
          <w:highlight w:val="none"/>
        </w:rPr>
        <w:t>进行公开招</w:t>
      </w:r>
      <w:r>
        <w:rPr>
          <w:rFonts w:hint="eastAsia" w:ascii="宋体"/>
          <w:bCs/>
          <w:color w:val="auto"/>
          <w:szCs w:val="21"/>
          <w:highlight w:val="none"/>
        </w:rPr>
        <w:t>标，</w:t>
      </w:r>
      <w:r>
        <w:rPr>
          <w:rFonts w:hint="eastAsia" w:ascii="宋体"/>
          <w:bCs/>
          <w:color w:val="auto"/>
          <w:szCs w:val="21"/>
          <w:highlight w:val="none"/>
          <w:lang w:val="zh-CN"/>
        </w:rPr>
        <w:t>欢迎符合资格条件</w:t>
      </w:r>
      <w:r>
        <w:rPr>
          <w:rFonts w:hint="eastAsia" w:ascii="宋体"/>
          <w:bCs/>
          <w:color w:val="auto"/>
          <w:szCs w:val="21"/>
          <w:highlight w:val="none"/>
        </w:rPr>
        <w:t>的供应商投标。</w:t>
      </w:r>
    </w:p>
    <w:p>
      <w:pPr>
        <w:numPr>
          <w:ilvl w:val="0"/>
          <w:numId w:val="1"/>
        </w:numPr>
        <w:snapToGrid w:val="0"/>
        <w:spacing w:line="360" w:lineRule="auto"/>
        <w:ind w:firstLine="0"/>
        <w:rPr>
          <w:rFonts w:hint="eastAsia" w:ascii="宋体"/>
          <w:bCs/>
          <w:color w:val="auto"/>
          <w:szCs w:val="20"/>
          <w:highlight w:val="none"/>
        </w:rPr>
      </w:pPr>
      <w:r>
        <w:rPr>
          <w:rFonts w:hint="eastAsia" w:ascii="宋体"/>
          <w:bCs/>
          <w:color w:val="auto"/>
          <w:szCs w:val="20"/>
          <w:highlight w:val="none"/>
        </w:rPr>
        <w:t>项目编号：</w:t>
      </w:r>
      <w:r>
        <w:rPr>
          <w:rFonts w:hint="eastAsia" w:ascii="宋体"/>
          <w:bCs/>
          <w:color w:val="auto"/>
          <w:szCs w:val="20"/>
          <w:highlight w:val="none"/>
          <w:lang w:eastAsia="zh-CN"/>
        </w:rPr>
        <w:t>GDZC-18GZ057</w:t>
      </w:r>
      <w:r>
        <w:rPr>
          <w:rFonts w:hint="eastAsia"/>
          <w:color w:val="auto"/>
          <w:highlight w:val="none"/>
        </w:rPr>
        <w:t xml:space="preserve">  </w:t>
      </w:r>
    </w:p>
    <w:p>
      <w:pPr>
        <w:numPr>
          <w:ilvl w:val="0"/>
          <w:numId w:val="1"/>
        </w:numPr>
        <w:snapToGrid w:val="0"/>
        <w:spacing w:line="360" w:lineRule="auto"/>
        <w:ind w:firstLine="0"/>
        <w:rPr>
          <w:rFonts w:hint="eastAsia" w:ascii="宋体" w:hAnsi="宋体"/>
          <w:color w:val="auto"/>
          <w:highlight w:val="none"/>
        </w:rPr>
      </w:pPr>
      <w:r>
        <w:rPr>
          <w:rFonts w:hint="eastAsia" w:ascii="宋体"/>
          <w:bCs/>
          <w:color w:val="auto"/>
          <w:szCs w:val="20"/>
          <w:highlight w:val="none"/>
        </w:rPr>
        <w:t>项目名称：</w:t>
      </w:r>
      <w:r>
        <w:rPr>
          <w:rFonts w:hint="eastAsia" w:ascii="宋体" w:hAnsi="宋体"/>
          <w:color w:val="auto"/>
          <w:highlight w:val="none"/>
          <w:lang w:eastAsia="zh-CN"/>
        </w:rPr>
        <w:t>档案综合整理服务</w:t>
      </w:r>
    </w:p>
    <w:p>
      <w:pPr>
        <w:numPr>
          <w:ilvl w:val="0"/>
          <w:numId w:val="1"/>
        </w:numPr>
        <w:snapToGrid w:val="0"/>
        <w:spacing w:line="360" w:lineRule="auto"/>
        <w:ind w:firstLine="0"/>
        <w:rPr>
          <w:rFonts w:hint="eastAsia" w:ascii="宋体"/>
          <w:bCs/>
          <w:color w:val="auto"/>
          <w:szCs w:val="20"/>
          <w:highlight w:val="none"/>
        </w:rPr>
      </w:pPr>
      <w:r>
        <w:rPr>
          <w:rFonts w:hint="eastAsia" w:ascii="宋体"/>
          <w:bCs/>
          <w:color w:val="auto"/>
          <w:szCs w:val="20"/>
          <w:highlight w:val="none"/>
        </w:rPr>
        <w:t>采购项目预算金额：人民币4,895,833.33元</w:t>
      </w:r>
    </w:p>
    <w:p>
      <w:pPr>
        <w:numPr>
          <w:ilvl w:val="0"/>
          <w:numId w:val="1"/>
        </w:numPr>
        <w:snapToGrid w:val="0"/>
        <w:spacing w:line="360" w:lineRule="auto"/>
        <w:ind w:firstLine="0"/>
        <w:rPr>
          <w:rFonts w:hint="eastAsia" w:ascii="宋体"/>
          <w:bCs/>
          <w:color w:val="auto"/>
          <w:szCs w:val="20"/>
          <w:highlight w:val="none"/>
        </w:rPr>
      </w:pPr>
      <w:r>
        <w:rPr>
          <w:rFonts w:hint="eastAsia" w:ascii="宋体"/>
          <w:bCs/>
          <w:color w:val="auto"/>
          <w:szCs w:val="20"/>
          <w:highlight w:val="none"/>
        </w:rPr>
        <w:t>采购项目内容及需求：</w:t>
      </w:r>
    </w:p>
    <w:p>
      <w:pPr>
        <w:numPr>
          <w:ilvl w:val="0"/>
          <w:numId w:val="2"/>
        </w:numPr>
        <w:snapToGrid w:val="0"/>
        <w:spacing w:line="360" w:lineRule="auto"/>
        <w:ind w:hanging="5"/>
        <w:rPr>
          <w:rFonts w:hint="eastAsia" w:ascii="宋体"/>
          <w:bCs/>
          <w:color w:val="auto"/>
          <w:szCs w:val="20"/>
          <w:highlight w:val="none"/>
        </w:rPr>
      </w:pPr>
      <w:r>
        <w:rPr>
          <w:rFonts w:hint="eastAsia" w:ascii="宋体"/>
          <w:bCs/>
          <w:color w:val="auto"/>
          <w:szCs w:val="20"/>
          <w:highlight w:val="none"/>
        </w:rPr>
        <w:t>项目内容：</w:t>
      </w:r>
    </w:p>
    <w:tbl>
      <w:tblPr>
        <w:tblStyle w:val="17"/>
        <w:tblW w:w="8037" w:type="dxa"/>
        <w:jc w:val="center"/>
        <w:tblInd w:w="-5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10"/>
        <w:gridCol w:w="2497"/>
        <w:gridCol w:w="26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910" w:type="dxa"/>
            <w:tcBorders>
              <w:top w:val="single" w:color="auto" w:sz="12" w:space="0"/>
              <w:bottom w:val="double" w:color="auto" w:sz="4" w:space="0"/>
            </w:tcBorders>
            <w:shd w:val="clear" w:color="auto" w:fill="EEECE1"/>
            <w:vAlign w:val="center"/>
          </w:tcPr>
          <w:p>
            <w:pPr>
              <w:spacing w:line="360" w:lineRule="auto"/>
              <w:jc w:val="center"/>
              <w:rPr>
                <w:rFonts w:hint="eastAsia" w:ascii="宋体"/>
                <w:b/>
                <w:color w:val="auto"/>
                <w:szCs w:val="21"/>
                <w:highlight w:val="none"/>
              </w:rPr>
            </w:pPr>
            <w:r>
              <w:rPr>
                <w:rFonts w:hint="eastAsia" w:ascii="宋体"/>
                <w:b/>
                <w:color w:val="auto"/>
                <w:szCs w:val="21"/>
                <w:highlight w:val="none"/>
              </w:rPr>
              <w:t>采购内容</w:t>
            </w:r>
          </w:p>
        </w:tc>
        <w:tc>
          <w:tcPr>
            <w:tcW w:w="2497" w:type="dxa"/>
            <w:tcBorders>
              <w:top w:val="single" w:color="auto" w:sz="12" w:space="0"/>
              <w:bottom w:val="double" w:color="auto" w:sz="4" w:space="0"/>
            </w:tcBorders>
            <w:shd w:val="clear" w:color="auto" w:fill="EEECE1"/>
            <w:vAlign w:val="center"/>
          </w:tcPr>
          <w:p>
            <w:pPr>
              <w:spacing w:line="360" w:lineRule="auto"/>
              <w:jc w:val="center"/>
              <w:rPr>
                <w:rFonts w:hint="eastAsia" w:ascii="宋体"/>
                <w:b/>
                <w:color w:val="auto"/>
                <w:szCs w:val="21"/>
                <w:highlight w:val="none"/>
              </w:rPr>
            </w:pPr>
            <w:r>
              <w:rPr>
                <w:rFonts w:hint="eastAsia" w:ascii="宋体"/>
                <w:b/>
                <w:color w:val="auto"/>
                <w:szCs w:val="21"/>
                <w:highlight w:val="none"/>
                <w:lang w:eastAsia="zh-CN"/>
              </w:rPr>
              <w:t>服务</w:t>
            </w:r>
            <w:r>
              <w:rPr>
                <w:rFonts w:hint="eastAsia" w:ascii="宋体"/>
                <w:b/>
                <w:color w:val="auto"/>
                <w:szCs w:val="21"/>
                <w:highlight w:val="none"/>
              </w:rPr>
              <w:t>期</w:t>
            </w:r>
          </w:p>
        </w:tc>
        <w:tc>
          <w:tcPr>
            <w:tcW w:w="2630" w:type="dxa"/>
            <w:tcBorders>
              <w:top w:val="single" w:color="auto" w:sz="12" w:space="0"/>
              <w:bottom w:val="double" w:color="auto" w:sz="4" w:space="0"/>
            </w:tcBorders>
            <w:shd w:val="clear" w:color="auto" w:fill="EEECE1"/>
            <w:vAlign w:val="center"/>
          </w:tcPr>
          <w:p>
            <w:pPr>
              <w:spacing w:line="360" w:lineRule="auto"/>
              <w:jc w:val="center"/>
              <w:rPr>
                <w:color w:val="auto"/>
                <w:highlight w:val="none"/>
              </w:rPr>
            </w:pPr>
            <w:r>
              <w:rPr>
                <w:rFonts w:hint="eastAsia" w:ascii="宋体"/>
                <w:b/>
                <w:color w:val="auto"/>
                <w:szCs w:val="21"/>
                <w:highlight w:val="none"/>
                <w:u w:val="none"/>
              </w:rPr>
              <w:t>最高限价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jc w:val="center"/>
        </w:trPr>
        <w:tc>
          <w:tcPr>
            <w:tcW w:w="2910" w:type="dxa"/>
            <w:tcBorders>
              <w:top w:val="single" w:color="auto" w:sz="4" w:space="0"/>
            </w:tcBorders>
            <w:vAlign w:val="center"/>
          </w:tcPr>
          <w:p>
            <w:pPr>
              <w:spacing w:line="360" w:lineRule="auto"/>
              <w:jc w:val="center"/>
              <w:rPr>
                <w:rFonts w:hint="eastAsia" w:ascii="宋体"/>
                <w:bCs/>
                <w:color w:val="auto"/>
                <w:szCs w:val="21"/>
                <w:highlight w:val="none"/>
                <w:lang w:eastAsia="zh-CN"/>
              </w:rPr>
            </w:pPr>
            <w:r>
              <w:rPr>
                <w:rFonts w:hint="eastAsia" w:ascii="宋体" w:hAnsi="等线" w:cs="宋体"/>
                <w:color w:val="auto"/>
                <w:kern w:val="0"/>
                <w:szCs w:val="21"/>
                <w:highlight w:val="none"/>
              </w:rPr>
              <w:t>数字档案管理系统及配套服务、设备采购</w:t>
            </w:r>
          </w:p>
        </w:tc>
        <w:tc>
          <w:tcPr>
            <w:tcW w:w="2497" w:type="dxa"/>
            <w:tcBorders>
              <w:top w:val="single" w:color="auto" w:sz="4" w:space="0"/>
            </w:tcBorders>
            <w:vAlign w:val="center"/>
          </w:tcPr>
          <w:p>
            <w:pPr>
              <w:pStyle w:val="18"/>
              <w:spacing w:line="440" w:lineRule="exact"/>
              <w:ind w:firstLine="120" w:firstLineChars="0"/>
              <w:rPr>
                <w:rFonts w:hint="eastAsia" w:ascii="宋体" w:hAnsi="宋体"/>
                <w:snapToGrid/>
                <w:color w:val="auto"/>
                <w:spacing w:val="0"/>
                <w:kern w:val="2"/>
                <w:sz w:val="21"/>
                <w:szCs w:val="21"/>
                <w:highlight w:val="none"/>
                <w:lang w:val="en-US" w:eastAsia="zh-CN"/>
              </w:rPr>
            </w:pPr>
            <w:r>
              <w:rPr>
                <w:rFonts w:hint="eastAsia" w:ascii="宋体" w:hAnsi="宋体" w:eastAsia="宋体" w:cs="宋体"/>
                <w:snapToGrid/>
                <w:color w:val="auto"/>
                <w:spacing w:val="0"/>
                <w:kern w:val="2"/>
                <w:sz w:val="21"/>
                <w:szCs w:val="24"/>
                <w:highlight w:val="none"/>
                <w:lang w:val="en-US" w:eastAsia="zh-CN"/>
              </w:rPr>
              <w:t>自合同签订之日起2年</w:t>
            </w:r>
          </w:p>
        </w:tc>
        <w:tc>
          <w:tcPr>
            <w:tcW w:w="2630" w:type="dxa"/>
            <w:tcBorders>
              <w:top w:val="single" w:color="auto" w:sz="4" w:space="0"/>
            </w:tcBorders>
            <w:vAlign w:val="center"/>
          </w:tcPr>
          <w:p>
            <w:pPr>
              <w:pStyle w:val="18"/>
              <w:spacing w:line="440" w:lineRule="exact"/>
              <w:ind w:firstLine="120" w:firstLineChars="0"/>
              <w:rPr>
                <w:color w:val="auto"/>
                <w:highlight w:val="none"/>
              </w:rPr>
            </w:pPr>
            <w:r>
              <w:rPr>
                <w:rFonts w:hint="eastAsia" w:ascii="宋体" w:hAnsi="宋体"/>
                <w:snapToGrid/>
                <w:color w:val="auto"/>
                <w:spacing w:val="0"/>
                <w:kern w:val="2"/>
                <w:sz w:val="21"/>
                <w:szCs w:val="21"/>
                <w:highlight w:val="none"/>
                <w:u w:val="none"/>
              </w:rPr>
              <w:t>人民币4,651,041.66元</w:t>
            </w:r>
          </w:p>
        </w:tc>
      </w:tr>
    </w:tbl>
    <w:p>
      <w:pPr>
        <w:numPr>
          <w:ilvl w:val="0"/>
          <w:numId w:val="2"/>
        </w:numPr>
        <w:snapToGrid w:val="0"/>
        <w:spacing w:line="360" w:lineRule="auto"/>
        <w:ind w:hanging="5"/>
        <w:rPr>
          <w:rFonts w:hint="eastAsia" w:ascii="宋体"/>
          <w:bCs/>
          <w:color w:val="auto"/>
          <w:szCs w:val="20"/>
          <w:highlight w:val="none"/>
        </w:rPr>
      </w:pPr>
      <w:r>
        <w:rPr>
          <w:rFonts w:hint="eastAsia" w:ascii="宋体"/>
          <w:bCs/>
          <w:color w:val="auto"/>
          <w:szCs w:val="20"/>
          <w:highlight w:val="none"/>
        </w:rPr>
        <w:t>采购项目要求：详见本招标文件第三章《用户需求书》。</w:t>
      </w:r>
    </w:p>
    <w:p>
      <w:pPr>
        <w:numPr>
          <w:ilvl w:val="0"/>
          <w:numId w:val="1"/>
        </w:numPr>
        <w:snapToGrid w:val="0"/>
        <w:spacing w:line="360" w:lineRule="auto"/>
        <w:ind w:firstLine="0"/>
        <w:rPr>
          <w:rFonts w:hint="eastAsia" w:ascii="宋体"/>
          <w:bCs/>
          <w:color w:val="auto"/>
          <w:szCs w:val="20"/>
          <w:highlight w:val="none"/>
        </w:rPr>
      </w:pPr>
      <w:r>
        <w:rPr>
          <w:rFonts w:hint="eastAsia" w:ascii="宋体"/>
          <w:bCs/>
          <w:color w:val="auto"/>
          <w:szCs w:val="20"/>
          <w:highlight w:val="none"/>
        </w:rPr>
        <w:t>投标人资格：</w:t>
      </w:r>
    </w:p>
    <w:p>
      <w:pPr>
        <w:numPr>
          <w:ilvl w:val="1"/>
          <w:numId w:val="3"/>
        </w:numPr>
        <w:snapToGrid w:val="0"/>
        <w:spacing w:line="360" w:lineRule="auto"/>
        <w:ind w:hanging="141"/>
        <w:rPr>
          <w:rFonts w:hint="eastAsia" w:ascii="宋体" w:hAnsi="宋体"/>
          <w:bCs/>
          <w:color w:val="auto"/>
          <w:szCs w:val="20"/>
          <w:highlight w:val="none"/>
        </w:rPr>
      </w:pPr>
      <w:r>
        <w:rPr>
          <w:rFonts w:hint="eastAsia" w:ascii="宋体" w:hAnsi="宋体"/>
          <w:bCs/>
          <w:color w:val="auto"/>
          <w:szCs w:val="20"/>
          <w:highlight w:val="none"/>
        </w:rPr>
        <w:t>具备《中华人民共和国政府采购法》第二十二条资格条件。</w:t>
      </w:r>
    </w:p>
    <w:p>
      <w:pPr>
        <w:numPr>
          <w:ilvl w:val="1"/>
          <w:numId w:val="3"/>
        </w:numPr>
        <w:snapToGrid w:val="0"/>
        <w:spacing w:line="360" w:lineRule="auto"/>
        <w:ind w:left="827" w:hanging="401"/>
        <w:rPr>
          <w:rFonts w:hint="eastAsia" w:ascii="宋体" w:hAnsi="宋体"/>
          <w:bCs/>
          <w:color w:val="auto"/>
          <w:szCs w:val="20"/>
          <w:highlight w:val="none"/>
        </w:rPr>
      </w:pPr>
      <w:r>
        <w:rPr>
          <w:rFonts w:hint="eastAsia" w:ascii="宋体" w:hAnsi="宋体"/>
          <w:bCs/>
          <w:color w:val="auto"/>
          <w:szCs w:val="20"/>
          <w:highlight w:val="none"/>
        </w:rPr>
        <w:t>供应商必须是具有独立承担民事责任能力的在中华人民共和国境内注册的法人或其他组织。</w:t>
      </w:r>
    </w:p>
    <w:p>
      <w:pPr>
        <w:numPr>
          <w:ilvl w:val="1"/>
          <w:numId w:val="3"/>
        </w:numPr>
        <w:snapToGrid w:val="0"/>
        <w:spacing w:line="360" w:lineRule="auto"/>
        <w:ind w:left="851" w:hanging="425"/>
        <w:rPr>
          <w:rFonts w:hint="eastAsia" w:ascii="宋体" w:hAnsi="宋体"/>
          <w:bCs/>
          <w:color w:val="auto"/>
          <w:szCs w:val="20"/>
          <w:highlight w:val="none"/>
        </w:rPr>
      </w:pPr>
      <w:r>
        <w:rPr>
          <w:rFonts w:hint="eastAsia" w:ascii="宋体" w:hAnsi="宋体"/>
          <w:bCs/>
          <w:color w:val="auto"/>
          <w:szCs w:val="20"/>
          <w:highlight w:val="none"/>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cs="宋体"/>
          <w:bCs/>
          <w:color w:val="auto"/>
          <w:szCs w:val="20"/>
          <w:highlight w:val="none"/>
        </w:rPr>
        <w:t>【</w:t>
      </w:r>
      <w:r>
        <w:rPr>
          <w:rFonts w:hint="eastAsia" w:ascii="宋体" w:hAnsi="宋体"/>
          <w:bCs/>
          <w:color w:val="auto"/>
          <w:szCs w:val="20"/>
          <w:highlight w:val="none"/>
        </w:rPr>
        <w:t>以采购代理机构于投标截止日当天在“信用中国”网站（www.creditchina.gov.cn）及中国政府采购网(www.ccgp.gov.cn)查询结果为准，如相关失信记录已失效，供应商需提供相关证明资料</w:t>
      </w:r>
      <w:r>
        <w:rPr>
          <w:rFonts w:hint="eastAsia" w:ascii="宋体" w:hAnsi="宋体" w:cs="宋体"/>
          <w:bCs/>
          <w:color w:val="auto"/>
          <w:szCs w:val="20"/>
          <w:highlight w:val="none"/>
        </w:rPr>
        <w:t>】。</w:t>
      </w:r>
    </w:p>
    <w:p>
      <w:pPr>
        <w:numPr>
          <w:ilvl w:val="1"/>
          <w:numId w:val="3"/>
        </w:numPr>
        <w:snapToGrid w:val="0"/>
        <w:spacing w:line="360" w:lineRule="auto"/>
        <w:ind w:left="851" w:hanging="425"/>
        <w:rPr>
          <w:rFonts w:hint="eastAsia" w:ascii="宋体" w:hAnsi="宋体"/>
          <w:bCs/>
          <w:color w:val="auto"/>
          <w:szCs w:val="20"/>
          <w:highlight w:val="none"/>
        </w:rPr>
      </w:pPr>
      <w:r>
        <w:rPr>
          <w:rFonts w:hint="eastAsia" w:ascii="宋体" w:hAnsi="宋体"/>
          <w:bCs/>
          <w:color w:val="auto"/>
          <w:szCs w:val="20"/>
          <w:highlight w:val="none"/>
        </w:rPr>
        <w:t>为采购项目提供整体设计、规范编制或者项目管理、监理、检测等服务的供应商，不得再参加该采购项目的其他采购活动。</w:t>
      </w:r>
    </w:p>
    <w:p>
      <w:pPr>
        <w:numPr>
          <w:ilvl w:val="1"/>
          <w:numId w:val="3"/>
        </w:numPr>
        <w:snapToGrid w:val="0"/>
        <w:spacing w:line="360" w:lineRule="auto"/>
        <w:ind w:left="851" w:hanging="425"/>
        <w:rPr>
          <w:rFonts w:hint="eastAsia" w:ascii="宋体" w:hAnsi="宋体"/>
          <w:bCs/>
          <w:color w:val="auto"/>
          <w:szCs w:val="20"/>
          <w:highlight w:val="none"/>
        </w:rPr>
      </w:pPr>
      <w:r>
        <w:rPr>
          <w:rFonts w:hint="eastAsia" w:ascii="宋体"/>
          <w:bCs/>
          <w:color w:val="auto"/>
          <w:szCs w:val="20"/>
          <w:highlight w:val="none"/>
        </w:rPr>
        <w:t>本项目不接受联合体投标。</w:t>
      </w:r>
    </w:p>
    <w:p>
      <w:pPr>
        <w:numPr>
          <w:ilvl w:val="0"/>
          <w:numId w:val="1"/>
        </w:numPr>
        <w:snapToGrid w:val="0"/>
        <w:spacing w:line="360" w:lineRule="auto"/>
        <w:ind w:firstLine="0"/>
        <w:rPr>
          <w:rFonts w:hint="eastAsia" w:ascii="宋体"/>
          <w:b/>
          <w:color w:val="auto"/>
          <w:szCs w:val="20"/>
          <w:highlight w:val="none"/>
        </w:rPr>
      </w:pPr>
      <w:r>
        <w:rPr>
          <w:rFonts w:hint="eastAsia" w:ascii="宋体"/>
          <w:b/>
          <w:color w:val="auto"/>
          <w:szCs w:val="20"/>
          <w:highlight w:val="none"/>
          <w:lang w:eastAsia="zh-CN"/>
        </w:rPr>
        <w:t>采购</w:t>
      </w:r>
      <w:r>
        <w:rPr>
          <w:rFonts w:hint="eastAsia" w:ascii="宋体"/>
          <w:b/>
          <w:color w:val="auto"/>
          <w:szCs w:val="20"/>
          <w:highlight w:val="none"/>
        </w:rPr>
        <w:t>文件的获取</w:t>
      </w:r>
    </w:p>
    <w:p>
      <w:pPr>
        <w:snapToGrid w:val="0"/>
        <w:spacing w:line="360" w:lineRule="auto"/>
        <w:rPr>
          <w:rFonts w:hint="eastAsia" w:ascii="宋体" w:hAnsi="宋体"/>
          <w:b/>
          <w:color w:val="auto"/>
          <w:highlight w:val="none"/>
        </w:rPr>
      </w:pPr>
      <w:r>
        <w:rPr>
          <w:rFonts w:hint="eastAsia" w:ascii="宋体" w:hAnsi="宋体"/>
          <w:b/>
          <w:color w:val="auto"/>
          <w:highlight w:val="none"/>
          <w:lang w:eastAsia="zh-CN"/>
        </w:rPr>
        <w:t>采购</w:t>
      </w:r>
      <w:r>
        <w:rPr>
          <w:rFonts w:hint="eastAsia" w:ascii="宋体" w:hAnsi="宋体"/>
          <w:b/>
          <w:color w:val="auto"/>
          <w:highlight w:val="none"/>
        </w:rPr>
        <w:t>文件详见附件</w:t>
      </w:r>
      <w:r>
        <w:rPr>
          <w:rFonts w:hint="eastAsia" w:ascii="宋体" w:hAnsi="宋体"/>
          <w:b/>
          <w:color w:val="auto"/>
          <w:highlight w:val="none"/>
          <w:lang w:eastAsia="zh-CN"/>
        </w:rPr>
        <w:t>采购</w:t>
      </w:r>
      <w:r>
        <w:rPr>
          <w:rFonts w:hint="eastAsia" w:ascii="宋体" w:hAnsi="宋体"/>
          <w:b/>
          <w:color w:val="auto"/>
          <w:highlight w:val="none"/>
        </w:rPr>
        <w:t>文件下载</w:t>
      </w:r>
    </w:p>
    <w:p>
      <w:pPr>
        <w:numPr>
          <w:ilvl w:val="0"/>
          <w:numId w:val="1"/>
        </w:numPr>
        <w:snapToGrid w:val="0"/>
        <w:spacing w:line="360" w:lineRule="auto"/>
        <w:ind w:left="420" w:hanging="420" w:hangingChars="200"/>
        <w:rPr>
          <w:rFonts w:hint="eastAsia" w:ascii="宋体"/>
          <w:bCs/>
          <w:color w:val="auto"/>
          <w:szCs w:val="20"/>
          <w:highlight w:val="none"/>
        </w:rPr>
      </w:pPr>
      <w:r>
        <w:rPr>
          <w:rFonts w:hint="eastAsia" w:ascii="宋体"/>
          <w:bCs/>
          <w:color w:val="auto"/>
          <w:szCs w:val="20"/>
          <w:highlight w:val="none"/>
        </w:rPr>
        <w:t>投标文件递交时间：</w:t>
      </w:r>
      <w:r>
        <w:rPr>
          <w:rFonts w:hint="eastAsia" w:ascii="宋体"/>
          <w:bCs/>
          <w:color w:val="auto"/>
          <w:szCs w:val="20"/>
          <w:highlight w:val="none"/>
          <w:lang w:eastAsia="zh-CN"/>
        </w:rPr>
        <w:t>2018</w:t>
      </w:r>
      <w:r>
        <w:rPr>
          <w:rFonts w:hint="eastAsia" w:ascii="宋体"/>
          <w:bCs/>
          <w:color w:val="auto"/>
          <w:szCs w:val="20"/>
          <w:highlight w:val="none"/>
        </w:rPr>
        <w:t>年    月    日</w:t>
      </w:r>
      <w:r>
        <w:rPr>
          <w:rFonts w:hint="eastAsia" w:ascii="宋体"/>
          <w:bCs/>
          <w:color w:val="auto"/>
          <w:szCs w:val="20"/>
          <w:highlight w:val="none"/>
          <w:lang w:eastAsia="zh-CN"/>
        </w:rPr>
        <w:t>上午</w:t>
      </w:r>
      <w:r>
        <w:rPr>
          <w:rFonts w:hint="eastAsia" w:ascii="宋体"/>
          <w:bCs/>
          <w:color w:val="auto"/>
          <w:szCs w:val="20"/>
          <w:highlight w:val="none"/>
          <w:lang w:val="en-US" w:eastAsia="zh-CN"/>
        </w:rPr>
        <w:t>9</w:t>
      </w:r>
      <w:r>
        <w:rPr>
          <w:rFonts w:hint="eastAsia" w:ascii="宋体"/>
          <w:bCs/>
          <w:color w:val="auto"/>
          <w:szCs w:val="20"/>
          <w:highlight w:val="none"/>
        </w:rPr>
        <w:t>时</w:t>
      </w:r>
      <w:r>
        <w:rPr>
          <w:rFonts w:hint="eastAsia" w:ascii="宋体"/>
          <w:bCs/>
          <w:color w:val="auto"/>
          <w:szCs w:val="20"/>
          <w:highlight w:val="none"/>
          <w:lang w:val="en-US" w:eastAsia="zh-CN"/>
        </w:rPr>
        <w:t>00</w:t>
      </w:r>
      <w:r>
        <w:rPr>
          <w:rFonts w:hint="eastAsia" w:ascii="宋体"/>
          <w:bCs/>
          <w:color w:val="auto"/>
          <w:szCs w:val="20"/>
          <w:highlight w:val="none"/>
        </w:rPr>
        <w:t>分</w:t>
      </w:r>
      <w:r>
        <w:rPr>
          <w:rFonts w:hint="eastAsia" w:ascii="宋体"/>
          <w:bCs/>
          <w:color w:val="auto"/>
          <w:szCs w:val="20"/>
          <w:highlight w:val="none"/>
          <w:lang w:eastAsia="zh-CN"/>
        </w:rPr>
        <w:t>至</w:t>
      </w:r>
      <w:r>
        <w:rPr>
          <w:rFonts w:hint="eastAsia" w:ascii="宋体"/>
          <w:bCs/>
          <w:color w:val="auto"/>
          <w:szCs w:val="20"/>
          <w:highlight w:val="none"/>
          <w:lang w:val="en-US" w:eastAsia="zh-CN"/>
        </w:rPr>
        <w:t>2018年   月   日上午9</w:t>
      </w:r>
      <w:r>
        <w:rPr>
          <w:rFonts w:hint="eastAsia" w:ascii="宋体"/>
          <w:bCs/>
          <w:color w:val="auto"/>
          <w:szCs w:val="20"/>
          <w:highlight w:val="none"/>
        </w:rPr>
        <w:t>时</w:t>
      </w:r>
      <w:r>
        <w:rPr>
          <w:rFonts w:hint="eastAsia" w:ascii="宋体"/>
          <w:bCs/>
          <w:color w:val="auto"/>
          <w:szCs w:val="20"/>
          <w:highlight w:val="none"/>
          <w:lang w:val="en-US" w:eastAsia="zh-CN"/>
        </w:rPr>
        <w:t>30</w:t>
      </w:r>
      <w:r>
        <w:rPr>
          <w:rFonts w:hint="eastAsia" w:ascii="宋体"/>
          <w:bCs/>
          <w:color w:val="auto"/>
          <w:szCs w:val="20"/>
          <w:highlight w:val="none"/>
        </w:rPr>
        <w:t>分</w:t>
      </w:r>
      <w:r>
        <w:rPr>
          <w:rFonts w:hint="eastAsia" w:ascii="宋体"/>
          <w:bCs/>
          <w:color w:val="auto"/>
          <w:szCs w:val="20"/>
          <w:highlight w:val="none"/>
          <w:lang w:eastAsia="zh-CN"/>
        </w:rPr>
        <w:t>止</w:t>
      </w:r>
      <w:r>
        <w:rPr>
          <w:rFonts w:hint="eastAsia" w:ascii="宋体"/>
          <w:bCs/>
          <w:color w:val="auto"/>
          <w:szCs w:val="20"/>
          <w:highlight w:val="none"/>
        </w:rPr>
        <w:t>。</w:t>
      </w:r>
    </w:p>
    <w:p>
      <w:pPr>
        <w:numPr>
          <w:ilvl w:val="0"/>
          <w:numId w:val="1"/>
        </w:numPr>
        <w:snapToGrid w:val="0"/>
        <w:spacing w:line="360" w:lineRule="auto"/>
        <w:ind w:left="420" w:hanging="420" w:hangingChars="200"/>
        <w:rPr>
          <w:rFonts w:hint="eastAsia" w:ascii="宋体"/>
          <w:bCs/>
          <w:color w:val="auto"/>
          <w:szCs w:val="20"/>
          <w:highlight w:val="none"/>
        </w:rPr>
      </w:pPr>
      <w:r>
        <w:rPr>
          <w:rFonts w:hint="eastAsia" w:ascii="宋体"/>
          <w:bCs/>
          <w:color w:val="auto"/>
          <w:szCs w:val="20"/>
          <w:highlight w:val="none"/>
        </w:rPr>
        <w:t>提交投标文件地点：</w:t>
      </w:r>
      <w:r>
        <w:rPr>
          <w:rFonts w:hint="eastAsia" w:ascii="宋体" w:hAnsi="宋体" w:cs="宋体"/>
          <w:color w:val="auto"/>
          <w:kern w:val="0"/>
          <w:szCs w:val="21"/>
          <w:highlight w:val="none"/>
        </w:rPr>
        <w:t>佛山市南海区桂城海六路8号联达大厦副楼8楼佛山市南海公有资产流转服务有限公司会议室</w:t>
      </w:r>
      <w:r>
        <w:rPr>
          <w:rFonts w:hint="eastAsia" w:cs="宋体"/>
          <w:bCs/>
          <w:color w:val="auto"/>
          <w:szCs w:val="21"/>
          <w:highlight w:val="none"/>
        </w:rPr>
        <w:t>。</w:t>
      </w:r>
    </w:p>
    <w:p>
      <w:pPr>
        <w:numPr>
          <w:ilvl w:val="0"/>
          <w:numId w:val="1"/>
        </w:numPr>
        <w:snapToGrid w:val="0"/>
        <w:spacing w:line="360" w:lineRule="auto"/>
        <w:ind w:left="420" w:hanging="420" w:hangingChars="200"/>
        <w:rPr>
          <w:rFonts w:hint="eastAsia" w:ascii="宋体"/>
          <w:bCs/>
          <w:color w:val="auto"/>
          <w:szCs w:val="20"/>
          <w:highlight w:val="none"/>
        </w:rPr>
      </w:pPr>
      <w:r>
        <w:rPr>
          <w:rFonts w:hint="eastAsia" w:ascii="宋体"/>
          <w:bCs/>
          <w:color w:val="auto"/>
          <w:szCs w:val="20"/>
          <w:highlight w:val="none"/>
        </w:rPr>
        <w:t>投标截止及开标时间：</w:t>
      </w:r>
      <w:r>
        <w:rPr>
          <w:rFonts w:hint="eastAsia" w:ascii="宋体"/>
          <w:bCs/>
          <w:color w:val="auto"/>
          <w:szCs w:val="20"/>
          <w:highlight w:val="none"/>
          <w:lang w:eastAsia="zh-CN"/>
        </w:rPr>
        <w:t>2018</w:t>
      </w:r>
      <w:r>
        <w:rPr>
          <w:rFonts w:hint="eastAsia" w:ascii="宋体"/>
          <w:bCs/>
          <w:color w:val="auto"/>
          <w:szCs w:val="20"/>
          <w:highlight w:val="none"/>
        </w:rPr>
        <w:t>年    月    日</w:t>
      </w:r>
      <w:r>
        <w:rPr>
          <w:rFonts w:hint="eastAsia" w:ascii="宋体"/>
          <w:bCs/>
          <w:color w:val="auto"/>
          <w:szCs w:val="20"/>
          <w:highlight w:val="none"/>
          <w:lang w:eastAsia="zh-CN"/>
        </w:rPr>
        <w:t>上午</w:t>
      </w:r>
      <w:r>
        <w:rPr>
          <w:rFonts w:hint="eastAsia" w:ascii="宋体"/>
          <w:bCs/>
          <w:color w:val="auto"/>
          <w:szCs w:val="20"/>
          <w:highlight w:val="none"/>
          <w:lang w:val="en-US" w:eastAsia="zh-CN"/>
        </w:rPr>
        <w:t>9</w:t>
      </w:r>
      <w:r>
        <w:rPr>
          <w:rFonts w:hint="eastAsia" w:ascii="宋体"/>
          <w:bCs/>
          <w:color w:val="auto"/>
          <w:szCs w:val="20"/>
          <w:highlight w:val="none"/>
        </w:rPr>
        <w:t>时</w:t>
      </w:r>
      <w:r>
        <w:rPr>
          <w:rFonts w:hint="eastAsia" w:ascii="宋体"/>
          <w:bCs/>
          <w:color w:val="auto"/>
          <w:szCs w:val="20"/>
          <w:highlight w:val="none"/>
          <w:lang w:val="en-US" w:eastAsia="zh-CN"/>
        </w:rPr>
        <w:t>30</w:t>
      </w:r>
      <w:r>
        <w:rPr>
          <w:rFonts w:hint="eastAsia" w:ascii="宋体"/>
          <w:bCs/>
          <w:color w:val="auto"/>
          <w:szCs w:val="20"/>
          <w:highlight w:val="none"/>
        </w:rPr>
        <w:t>分。</w:t>
      </w:r>
    </w:p>
    <w:p>
      <w:pPr>
        <w:numPr>
          <w:ilvl w:val="0"/>
          <w:numId w:val="1"/>
        </w:numPr>
        <w:snapToGrid w:val="0"/>
        <w:spacing w:line="360" w:lineRule="auto"/>
        <w:ind w:left="420" w:hanging="420" w:hangingChars="200"/>
        <w:rPr>
          <w:rFonts w:hint="eastAsia" w:ascii="宋体"/>
          <w:bCs/>
          <w:color w:val="auto"/>
          <w:szCs w:val="20"/>
          <w:highlight w:val="none"/>
        </w:rPr>
      </w:pPr>
      <w:r>
        <w:rPr>
          <w:rFonts w:hint="eastAsia" w:ascii="宋体"/>
          <w:bCs/>
          <w:color w:val="auto"/>
          <w:szCs w:val="20"/>
          <w:highlight w:val="none"/>
        </w:rPr>
        <w:t>开标地点：</w:t>
      </w:r>
      <w:r>
        <w:rPr>
          <w:rFonts w:hint="eastAsia" w:ascii="宋体" w:hAnsi="宋体" w:cs="宋体"/>
          <w:color w:val="auto"/>
          <w:kern w:val="0"/>
          <w:szCs w:val="21"/>
          <w:highlight w:val="none"/>
        </w:rPr>
        <w:t>佛山市南海区桂城海六路8号联达大厦副楼8楼佛山市南海公有资产流转服务有限公司会议室</w:t>
      </w:r>
      <w:r>
        <w:rPr>
          <w:rFonts w:hint="eastAsia" w:cs="宋体"/>
          <w:bCs/>
          <w:color w:val="auto"/>
          <w:szCs w:val="21"/>
          <w:highlight w:val="none"/>
        </w:rPr>
        <w:t>。</w:t>
      </w:r>
    </w:p>
    <w:p>
      <w:pPr>
        <w:numPr>
          <w:ilvl w:val="0"/>
          <w:numId w:val="1"/>
        </w:numPr>
        <w:snapToGrid w:val="0"/>
        <w:spacing w:line="360" w:lineRule="auto"/>
        <w:ind w:left="420" w:hanging="420" w:hangingChars="200"/>
        <w:rPr>
          <w:rFonts w:hint="eastAsia" w:ascii="宋体"/>
          <w:bCs/>
          <w:color w:val="auto"/>
          <w:szCs w:val="20"/>
          <w:highlight w:val="none"/>
        </w:rPr>
      </w:pPr>
      <w:r>
        <w:rPr>
          <w:rFonts w:hint="eastAsia" w:ascii="宋体"/>
          <w:bCs/>
          <w:color w:val="auto"/>
          <w:szCs w:val="20"/>
          <w:highlight w:val="none"/>
        </w:rPr>
        <w:t>投标保证金递交时间、其支付方式及保证金金额：</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投标人须于公告之日起至</w:t>
      </w:r>
      <w:r>
        <w:rPr>
          <w:rFonts w:hint="eastAsia" w:ascii="宋体" w:hAnsi="宋体" w:cs="宋体"/>
          <w:color w:val="auto"/>
          <w:kern w:val="0"/>
          <w:szCs w:val="21"/>
          <w:highlight w:val="none"/>
          <w:lang w:eastAsia="zh-CN"/>
        </w:rPr>
        <w:t>2018</w:t>
      </w:r>
      <w:r>
        <w:rPr>
          <w:rFonts w:hint="eastAsia" w:ascii="宋体" w:hAnsi="宋体" w:cs="宋体"/>
          <w:color w:val="auto"/>
          <w:kern w:val="0"/>
          <w:szCs w:val="21"/>
          <w:highlight w:val="none"/>
        </w:rPr>
        <w:t>年 月 日下午17：00时前，将采购项目保证金由投标人名下的银行账户（采用银行柜台、网上银行转账两种方式之一的方式）缴纳到以下指定账户，以银行到账为准。保证金金额为￥</w:t>
      </w:r>
      <w:r>
        <w:rPr>
          <w:rFonts w:hint="eastAsia" w:ascii="宋体" w:hAnsi="宋体" w:cs="宋体"/>
          <w:color w:val="auto"/>
          <w:kern w:val="0"/>
          <w:szCs w:val="21"/>
          <w:highlight w:val="none"/>
          <w:lang w:val="en-US" w:eastAsia="zh-CN"/>
        </w:rPr>
        <w:t>97,916.00</w:t>
      </w:r>
      <w:r>
        <w:rPr>
          <w:rFonts w:hint="eastAsia" w:ascii="宋体" w:hAnsi="宋体" w:cs="宋体"/>
          <w:color w:val="auto"/>
          <w:kern w:val="0"/>
          <w:szCs w:val="21"/>
          <w:highlight w:val="none"/>
        </w:rPr>
        <w:t>元</w:t>
      </w:r>
      <w:r>
        <w:rPr>
          <w:rFonts w:hint="eastAsia" w:ascii="宋体" w:hAnsi="宋体" w:cs="宋体"/>
          <w:color w:val="auto"/>
          <w:kern w:val="0"/>
          <w:szCs w:val="21"/>
          <w:highlight w:val="none"/>
        </w:rPr>
        <w:t>（大写：</w:t>
      </w:r>
      <w:r>
        <w:rPr>
          <w:rFonts w:hint="eastAsia" w:ascii="宋体" w:hAnsi="宋体" w:cs="宋体"/>
          <w:color w:val="auto"/>
          <w:kern w:val="0"/>
          <w:szCs w:val="21"/>
          <w:highlight w:val="none"/>
        </w:rPr>
        <w:t>人民币</w:t>
      </w:r>
      <w:r>
        <w:rPr>
          <w:rFonts w:hint="eastAsia" w:ascii="宋体" w:hAnsi="宋体" w:cs="宋体"/>
          <w:color w:val="auto"/>
          <w:kern w:val="0"/>
          <w:szCs w:val="21"/>
          <w:highlight w:val="none"/>
          <w:lang w:eastAsia="zh-CN"/>
        </w:rPr>
        <w:t>玖万柒仟玖佰壹拾陆元</w:t>
      </w:r>
      <w:r>
        <w:rPr>
          <w:rFonts w:hint="eastAsia" w:ascii="宋体" w:hAnsi="宋体" w:cs="宋体"/>
          <w:color w:val="auto"/>
          <w:kern w:val="0"/>
          <w:szCs w:val="21"/>
          <w:highlight w:val="none"/>
          <w:lang w:eastAsia="zh-CN"/>
        </w:rPr>
        <w:t>整</w:t>
      </w:r>
      <w:r>
        <w:rPr>
          <w:rFonts w:hint="eastAsia" w:ascii="宋体" w:hAnsi="宋体" w:cs="宋体"/>
          <w:color w:val="auto"/>
          <w:kern w:val="0"/>
          <w:szCs w:val="21"/>
          <w:highlight w:val="none"/>
        </w:rPr>
        <w:t>）。</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特别说明：本项目无须报名，已经缴纳保证金的投标人须在规定时间内提交投标文件，</w:t>
      </w:r>
      <w:r>
        <w:rPr>
          <w:rFonts w:hint="eastAsia" w:ascii="宋体" w:hAnsi="宋体"/>
          <w:color w:val="auto"/>
          <w:sz w:val="21"/>
          <w:szCs w:val="21"/>
          <w:highlight w:val="none"/>
        </w:rPr>
        <w:t>《企业采购保证金退付委托书》</w:t>
      </w:r>
      <w:r>
        <w:rPr>
          <w:rFonts w:hint="eastAsia" w:ascii="宋体" w:hAnsi="宋体"/>
          <w:color w:val="auto"/>
          <w:kern w:val="0"/>
          <w:sz w:val="21"/>
          <w:szCs w:val="21"/>
          <w:highlight w:val="none"/>
          <w:lang w:val="en-US" w:eastAsia="zh-CN"/>
        </w:rPr>
        <w:t>和营业执照复印件（需盖单位公章）须另外单独提交，其</w:t>
      </w:r>
      <w:r>
        <w:rPr>
          <w:rFonts w:hint="eastAsia" w:ascii="宋体" w:hAnsi="宋体"/>
          <w:color w:val="auto"/>
          <w:sz w:val="21"/>
          <w:szCs w:val="21"/>
          <w:highlight w:val="none"/>
        </w:rPr>
        <w:t>为投标人办理投标保证金退付的必须资料</w:t>
      </w:r>
      <w:r>
        <w:rPr>
          <w:rFonts w:hint="eastAsia" w:ascii="宋体" w:hAnsi="宋体" w:cs="宋体"/>
          <w:color w:val="auto"/>
          <w:kern w:val="0"/>
          <w:szCs w:val="21"/>
          <w:highlight w:val="none"/>
        </w:rPr>
        <w:t>，由佛山市南海公有资产流转服务有限公司按照相关文件要求规定办理退款。</w:t>
      </w:r>
      <w:r>
        <w:rPr>
          <w:rFonts w:hint="eastAsia" w:ascii="宋体" w:hAnsi="宋体" w:cs="宋体"/>
          <w:color w:val="auto"/>
          <w:kern w:val="0"/>
          <w:szCs w:val="21"/>
          <w:highlight w:val="none"/>
          <w:lang w:eastAsia="zh-CN"/>
        </w:rPr>
        <w:t>】</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（1）通过银行柜台转账时，必须在银行进账单或汇款凭证中准确填写收款人和交款人名称、账户，以及缴纳金额、交纳人证件号码信息；银行进账单或汇款凭证的备注/用途/附言等备注信息栏中</w:t>
      </w:r>
      <w:r>
        <w:rPr>
          <w:rFonts w:hint="eastAsia" w:ascii="宋体" w:hAnsi="宋体" w:cs="宋体"/>
          <w:color w:val="auto"/>
          <w:kern w:val="0"/>
          <w:szCs w:val="21"/>
          <w:highlight w:val="none"/>
          <w:lang w:eastAsia="zh-CN"/>
        </w:rPr>
        <w:t>需</w:t>
      </w:r>
      <w:r>
        <w:rPr>
          <w:rFonts w:hint="eastAsia" w:ascii="宋体" w:hAnsi="宋体" w:cs="宋体"/>
          <w:color w:val="auto"/>
          <w:kern w:val="0"/>
          <w:szCs w:val="21"/>
          <w:highlight w:val="none"/>
        </w:rPr>
        <w:t>准确填写采购项目的项目名称简称。</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（2）通过网上银行转账时，必须在网上银行支付界面准确填写收款人和交款人名称、账户、缴纳金额，备注/用途/附言等备注信息栏中</w:t>
      </w:r>
      <w:r>
        <w:rPr>
          <w:rFonts w:hint="eastAsia" w:ascii="宋体" w:hAnsi="宋体" w:cs="宋体"/>
          <w:color w:val="auto"/>
          <w:kern w:val="0"/>
          <w:szCs w:val="21"/>
          <w:highlight w:val="none"/>
          <w:lang w:eastAsia="zh-CN"/>
        </w:rPr>
        <w:t>需</w:t>
      </w:r>
      <w:r>
        <w:rPr>
          <w:rFonts w:hint="eastAsia" w:ascii="宋体" w:hAnsi="宋体" w:cs="宋体"/>
          <w:color w:val="auto"/>
          <w:kern w:val="0"/>
          <w:szCs w:val="21"/>
          <w:highlight w:val="none"/>
        </w:rPr>
        <w:t>准确填写采购项目的项目名称简称。</w:t>
      </w:r>
    </w:p>
    <w:p>
      <w:pPr>
        <w:widowControl/>
        <w:spacing w:line="360" w:lineRule="auto"/>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（3）本项目名称简称：</w:t>
      </w:r>
      <w:r>
        <w:rPr>
          <w:rFonts w:hint="eastAsia" w:ascii="宋体" w:hAnsi="宋体" w:cs="宋体"/>
          <w:color w:val="auto"/>
          <w:kern w:val="0"/>
          <w:szCs w:val="21"/>
          <w:highlight w:val="none"/>
          <w:lang w:eastAsia="zh-CN"/>
        </w:rPr>
        <w:t>档案综合整理服务</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收款（人）单位名称：佛山市南海公有资产流转服务有限公司</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账号：44504001040012386</w:t>
      </w:r>
    </w:p>
    <w:p>
      <w:pPr>
        <w:widowControl/>
        <w:spacing w:line="360" w:lineRule="auto"/>
        <w:jc w:val="left"/>
        <w:rPr>
          <w:rFonts w:hint="eastAsia" w:ascii="宋体"/>
          <w:bCs/>
          <w:color w:val="auto"/>
          <w:szCs w:val="20"/>
          <w:highlight w:val="none"/>
        </w:rPr>
      </w:pPr>
      <w:r>
        <w:rPr>
          <w:rFonts w:hint="eastAsia" w:ascii="宋体" w:hAnsi="宋体" w:cs="宋体"/>
          <w:color w:val="auto"/>
          <w:kern w:val="0"/>
          <w:szCs w:val="21"/>
          <w:highlight w:val="none"/>
        </w:rPr>
        <w:t xml:space="preserve">     开户行：中国农业银行佛山南海桂城支行</w:t>
      </w:r>
    </w:p>
    <w:p>
      <w:pPr>
        <w:numPr>
          <w:ilvl w:val="0"/>
          <w:numId w:val="1"/>
        </w:numPr>
        <w:snapToGrid w:val="0"/>
        <w:spacing w:line="360" w:lineRule="auto"/>
        <w:ind w:left="420" w:hanging="420" w:hangingChars="200"/>
        <w:rPr>
          <w:rFonts w:hint="eastAsia" w:ascii="宋体"/>
          <w:bCs/>
          <w:color w:val="auto"/>
          <w:szCs w:val="20"/>
          <w:highlight w:val="none"/>
        </w:rPr>
      </w:pPr>
      <w:r>
        <w:rPr>
          <w:rFonts w:hint="eastAsia" w:ascii="宋体"/>
          <w:bCs/>
          <w:color w:val="auto"/>
          <w:szCs w:val="20"/>
          <w:highlight w:val="none"/>
        </w:rPr>
        <w:t>本公告期限自</w:t>
      </w:r>
      <w:r>
        <w:rPr>
          <w:rFonts w:hint="eastAsia" w:ascii="宋体"/>
          <w:bCs/>
          <w:color w:val="auto"/>
          <w:szCs w:val="20"/>
          <w:highlight w:val="none"/>
          <w:lang w:eastAsia="zh-CN"/>
        </w:rPr>
        <w:t>2018</w:t>
      </w:r>
      <w:r>
        <w:rPr>
          <w:rFonts w:hint="eastAsia" w:ascii="宋体"/>
          <w:bCs/>
          <w:color w:val="auto"/>
          <w:szCs w:val="20"/>
          <w:highlight w:val="none"/>
        </w:rPr>
        <w:t>年    月    日至</w:t>
      </w:r>
      <w:r>
        <w:rPr>
          <w:rFonts w:hint="eastAsia" w:ascii="宋体"/>
          <w:bCs/>
          <w:color w:val="auto"/>
          <w:szCs w:val="20"/>
          <w:highlight w:val="none"/>
          <w:lang w:eastAsia="zh-CN"/>
        </w:rPr>
        <w:t>2018</w:t>
      </w:r>
      <w:r>
        <w:rPr>
          <w:rFonts w:hint="eastAsia" w:ascii="宋体"/>
          <w:bCs/>
          <w:color w:val="auto"/>
          <w:szCs w:val="20"/>
          <w:highlight w:val="none"/>
        </w:rPr>
        <w:t>年    月    日止。</w:t>
      </w:r>
    </w:p>
    <w:p>
      <w:pPr>
        <w:numPr>
          <w:ilvl w:val="0"/>
          <w:numId w:val="1"/>
        </w:numPr>
        <w:snapToGrid w:val="0"/>
        <w:spacing w:line="360" w:lineRule="auto"/>
        <w:ind w:left="638" w:hanging="638" w:hangingChars="304"/>
        <w:rPr>
          <w:rFonts w:hint="eastAsia" w:ascii="宋体"/>
          <w:bCs/>
          <w:color w:val="auto"/>
          <w:szCs w:val="20"/>
          <w:highlight w:val="none"/>
        </w:rPr>
      </w:pPr>
      <w:r>
        <w:rPr>
          <w:rFonts w:hint="eastAsia" w:ascii="宋体" w:hAnsi="宋体" w:cs="宋体"/>
          <w:color w:val="auto"/>
          <w:kern w:val="0"/>
          <w:szCs w:val="21"/>
          <w:highlight w:val="none"/>
        </w:rPr>
        <w:t>采购过程如出现异常情况，佛山市南海公有资产流转服务有限公司有权暂停或者中止该采购项目</w:t>
      </w:r>
      <w:r>
        <w:rPr>
          <w:rFonts w:hint="eastAsia" w:ascii="宋体"/>
          <w:bCs/>
          <w:color w:val="auto"/>
          <w:szCs w:val="20"/>
          <w:highlight w:val="none"/>
        </w:rPr>
        <w:t>。</w:t>
      </w:r>
    </w:p>
    <w:p>
      <w:pPr>
        <w:numPr>
          <w:ilvl w:val="0"/>
          <w:numId w:val="1"/>
        </w:numPr>
        <w:snapToGrid w:val="0"/>
        <w:spacing w:line="360" w:lineRule="auto"/>
        <w:ind w:left="420" w:hanging="420" w:hangingChars="200"/>
        <w:rPr>
          <w:rFonts w:hint="eastAsia" w:ascii="宋体"/>
          <w:bCs/>
          <w:color w:val="auto"/>
          <w:szCs w:val="20"/>
          <w:highlight w:val="none"/>
        </w:rPr>
      </w:pPr>
      <w:r>
        <w:rPr>
          <w:rFonts w:hint="eastAsia" w:ascii="宋体"/>
          <w:bCs/>
          <w:color w:val="auto"/>
          <w:szCs w:val="20"/>
          <w:highlight w:val="none"/>
        </w:rPr>
        <w:t>联系事项</w:t>
      </w:r>
    </w:p>
    <w:p>
      <w:pPr>
        <w:pStyle w:val="13"/>
        <w:widowControl w:val="0"/>
        <w:numPr>
          <w:ilvl w:val="0"/>
          <w:numId w:val="4"/>
        </w:numPr>
        <w:tabs>
          <w:tab w:val="left" w:pos="1050"/>
        </w:tabs>
        <w:snapToGrid w:val="0"/>
        <w:spacing w:before="0" w:beforeAutospacing="0" w:after="0" w:afterAutospacing="0" w:line="360" w:lineRule="auto"/>
        <w:ind w:firstLine="215"/>
        <w:jc w:val="both"/>
        <w:rPr>
          <w:rFonts w:hint="eastAsia"/>
          <w:bCs/>
          <w:color w:val="auto"/>
          <w:sz w:val="21"/>
          <w:szCs w:val="21"/>
          <w:highlight w:val="none"/>
        </w:rPr>
      </w:pPr>
      <w:r>
        <w:rPr>
          <w:rFonts w:hint="eastAsia"/>
          <w:color w:val="auto"/>
          <w:sz w:val="21"/>
          <w:szCs w:val="21"/>
          <w:highlight w:val="none"/>
          <w:lang w:eastAsia="zh-CN"/>
        </w:rPr>
        <w:t>招标人</w:t>
      </w:r>
      <w:r>
        <w:rPr>
          <w:rFonts w:hint="eastAsia"/>
          <w:color w:val="auto"/>
          <w:sz w:val="21"/>
          <w:szCs w:val="21"/>
          <w:highlight w:val="none"/>
        </w:rPr>
        <w:t>：</w:t>
      </w:r>
      <w:r>
        <w:rPr>
          <w:rFonts w:hint="eastAsia"/>
          <w:color w:val="auto"/>
          <w:sz w:val="21"/>
          <w:szCs w:val="21"/>
          <w:highlight w:val="none"/>
          <w:lang w:eastAsia="zh-CN"/>
        </w:rPr>
        <w:t>佛山市南海区铁路投资有限公司</w:t>
      </w:r>
      <w:r>
        <w:rPr>
          <w:rFonts w:hint="eastAsia"/>
          <w:bCs/>
          <w:color w:val="auto"/>
          <w:sz w:val="21"/>
          <w:szCs w:val="21"/>
          <w:highlight w:val="none"/>
        </w:rPr>
        <w:t xml:space="preserve">      </w:t>
      </w:r>
    </w:p>
    <w:p>
      <w:pPr>
        <w:pStyle w:val="13"/>
        <w:widowControl w:val="0"/>
        <w:tabs>
          <w:tab w:val="left" w:pos="425"/>
          <w:tab w:val="left" w:pos="1050"/>
        </w:tabs>
        <w:snapToGrid w:val="0"/>
        <w:spacing w:before="0" w:beforeAutospacing="0" w:after="0" w:afterAutospacing="0" w:line="360" w:lineRule="auto"/>
        <w:ind w:left="640" w:leftChars="305" w:firstLine="315" w:firstLineChars="150"/>
        <w:jc w:val="both"/>
        <w:rPr>
          <w:rFonts w:hint="eastAsia"/>
          <w:bCs/>
          <w:color w:val="auto"/>
          <w:sz w:val="21"/>
          <w:szCs w:val="21"/>
          <w:highlight w:val="none"/>
        </w:rPr>
      </w:pPr>
      <w:r>
        <w:rPr>
          <w:rFonts w:hint="eastAsia"/>
          <w:bCs/>
          <w:color w:val="auto"/>
          <w:sz w:val="21"/>
          <w:szCs w:val="21"/>
          <w:highlight w:val="none"/>
        </w:rPr>
        <w:t xml:space="preserve"> </w:t>
      </w:r>
      <w:r>
        <w:rPr>
          <w:rFonts w:hint="eastAsia"/>
          <w:color w:val="auto"/>
          <w:sz w:val="21"/>
          <w:szCs w:val="21"/>
          <w:highlight w:val="none"/>
        </w:rPr>
        <w:t>地址</w:t>
      </w:r>
      <w:r>
        <w:rPr>
          <w:color w:val="auto"/>
          <w:sz w:val="21"/>
          <w:szCs w:val="21"/>
          <w:highlight w:val="none"/>
        </w:rPr>
        <w:t>：</w:t>
      </w:r>
      <w:r>
        <w:rPr>
          <w:rFonts w:hint="eastAsia"/>
          <w:bCs/>
          <w:color w:val="auto"/>
          <w:sz w:val="21"/>
          <w:szCs w:val="21"/>
          <w:highlight w:val="none"/>
        </w:rPr>
        <w:t xml:space="preserve"> </w:t>
      </w:r>
      <w:r>
        <w:rPr>
          <w:rFonts w:hint="eastAsia"/>
          <w:bCs/>
          <w:color w:val="auto"/>
          <w:sz w:val="21"/>
          <w:szCs w:val="21"/>
          <w:highlight w:val="none"/>
          <w:lang w:eastAsia="zh-CN"/>
        </w:rPr>
        <w:t>佛山市南海区桂城佛平二路</w:t>
      </w:r>
      <w:r>
        <w:rPr>
          <w:rFonts w:hint="eastAsia"/>
          <w:bCs/>
          <w:color w:val="auto"/>
          <w:sz w:val="21"/>
          <w:szCs w:val="21"/>
          <w:highlight w:val="none"/>
          <w:lang w:val="en-US" w:eastAsia="zh-CN"/>
        </w:rPr>
        <w:t>60号交通建设大厦8楼</w:t>
      </w:r>
    </w:p>
    <w:p>
      <w:pPr>
        <w:adjustRightInd w:val="0"/>
        <w:snapToGrid w:val="0"/>
        <w:spacing w:line="360" w:lineRule="auto"/>
        <w:ind w:left="425"/>
        <w:rPr>
          <w:rFonts w:hint="eastAsia" w:ascii="宋体" w:hAnsi="宋体"/>
          <w:bCs/>
          <w:color w:val="auto"/>
          <w:szCs w:val="21"/>
          <w:highlight w:val="none"/>
        </w:rPr>
      </w:pPr>
      <w:r>
        <w:rPr>
          <w:rFonts w:hint="eastAsia" w:ascii="宋体" w:hAnsi="宋体"/>
          <w:bCs/>
          <w:color w:val="auto"/>
          <w:szCs w:val="21"/>
          <w:highlight w:val="none"/>
        </w:rPr>
        <w:t xml:space="preserve">      联系人：</w:t>
      </w:r>
      <w:r>
        <w:rPr>
          <w:rFonts w:hint="eastAsia" w:ascii="宋体" w:hAnsi="宋体"/>
          <w:bCs/>
          <w:color w:val="auto"/>
          <w:szCs w:val="21"/>
          <w:highlight w:val="none"/>
          <w:lang w:eastAsia="zh-CN"/>
        </w:rPr>
        <w:t>刘先生</w:t>
      </w:r>
      <w:r>
        <w:rPr>
          <w:rFonts w:hint="eastAsia" w:ascii="宋体" w:hAnsi="宋体"/>
          <w:bCs/>
          <w:color w:val="auto"/>
          <w:szCs w:val="21"/>
          <w:highlight w:val="none"/>
        </w:rPr>
        <w:t xml:space="preserve">                      </w:t>
      </w:r>
      <w:r>
        <w:rPr>
          <w:rFonts w:hint="eastAsia" w:ascii="宋体" w:hAnsi="宋体"/>
          <w:bCs/>
          <w:color w:val="auto"/>
          <w:szCs w:val="21"/>
          <w:highlight w:val="none"/>
          <w:lang w:val="en-US" w:eastAsia="zh-CN"/>
        </w:rPr>
        <w:t xml:space="preserve">  </w:t>
      </w:r>
      <w:r>
        <w:rPr>
          <w:rFonts w:hint="eastAsia" w:ascii="宋体" w:hAnsi="宋体"/>
          <w:bCs/>
          <w:color w:val="auto"/>
          <w:szCs w:val="21"/>
          <w:highlight w:val="none"/>
        </w:rPr>
        <w:t>联系电话：</w:t>
      </w:r>
      <w:r>
        <w:rPr>
          <w:rFonts w:hint="eastAsia" w:ascii="宋体" w:hAnsi="宋体"/>
          <w:bCs/>
          <w:color w:val="auto"/>
          <w:szCs w:val="21"/>
          <w:highlight w:val="none"/>
          <w:lang w:val="en-US" w:eastAsia="zh-CN"/>
        </w:rPr>
        <w:t>0757-85856659</w:t>
      </w:r>
    </w:p>
    <w:p>
      <w:pPr>
        <w:numPr>
          <w:ilvl w:val="0"/>
          <w:numId w:val="4"/>
        </w:numPr>
        <w:tabs>
          <w:tab w:val="left" w:pos="1050"/>
        </w:tabs>
        <w:adjustRightInd w:val="0"/>
        <w:snapToGrid w:val="0"/>
        <w:spacing w:line="360" w:lineRule="auto"/>
        <w:ind w:firstLine="215"/>
        <w:rPr>
          <w:rFonts w:hint="eastAsia" w:ascii="宋体" w:hAnsi="宋体"/>
          <w:color w:val="auto"/>
          <w:highlight w:val="none"/>
        </w:rPr>
      </w:pPr>
      <w:r>
        <w:rPr>
          <w:rFonts w:hint="eastAsia"/>
          <w:color w:val="auto"/>
          <w:highlight w:val="none"/>
        </w:rPr>
        <w:t>采购代理机构：</w:t>
      </w:r>
      <w:r>
        <w:rPr>
          <w:rFonts w:hint="eastAsia" w:ascii="宋体" w:hAnsi="宋体"/>
          <w:color w:val="auto"/>
          <w:highlight w:val="none"/>
        </w:rPr>
        <w:t>广东中采招标有限公司    地址：</w:t>
      </w:r>
      <w:r>
        <w:rPr>
          <w:rFonts w:hint="eastAsia"/>
          <w:color w:val="auto"/>
          <w:highlight w:val="none"/>
        </w:rPr>
        <w:t>佛山市禅城区金澜北路17号2层A区</w:t>
      </w:r>
    </w:p>
    <w:p>
      <w:pPr>
        <w:widowControl/>
        <w:spacing w:line="360" w:lineRule="auto"/>
        <w:ind w:firstLine="1050" w:firstLineChars="500"/>
        <w:jc w:val="left"/>
        <w:rPr>
          <w:rFonts w:hint="eastAsia" w:ascii="宋体" w:hAnsi="宋体" w:cs="宋体"/>
          <w:color w:val="auto"/>
          <w:szCs w:val="21"/>
          <w:highlight w:val="none"/>
        </w:rPr>
      </w:pPr>
      <w:r>
        <w:rPr>
          <w:rFonts w:hint="eastAsia" w:ascii="宋体" w:hAnsi="宋体" w:cs="宋体"/>
          <w:color w:val="auto"/>
          <w:kern w:val="0"/>
          <w:szCs w:val="21"/>
          <w:highlight w:val="none"/>
        </w:rPr>
        <w:t>联系人：</w:t>
      </w:r>
      <w:r>
        <w:rPr>
          <w:rFonts w:hint="eastAsia" w:ascii="宋体" w:hAnsi="宋体" w:cs="宋体"/>
          <w:color w:val="auto"/>
          <w:szCs w:val="21"/>
          <w:highlight w:val="none"/>
          <w:lang w:eastAsia="zh-CN"/>
        </w:rPr>
        <w:t>韩</w:t>
      </w:r>
      <w:r>
        <w:rPr>
          <w:rFonts w:hint="eastAsia" w:ascii="宋体" w:hAnsi="宋体" w:cs="宋体"/>
          <w:color w:val="auto"/>
          <w:szCs w:val="21"/>
          <w:highlight w:val="none"/>
        </w:rPr>
        <w:t>小姐</w:t>
      </w:r>
      <w:r>
        <w:rPr>
          <w:rFonts w:hint="eastAsia" w:ascii="宋体" w:hAnsi="宋体" w:cs="宋体"/>
          <w:color w:val="auto"/>
          <w:kern w:val="0"/>
          <w:szCs w:val="21"/>
          <w:highlight w:val="none"/>
        </w:rPr>
        <w:t xml:space="preserve">                        联系电话：</w:t>
      </w:r>
      <w:r>
        <w:rPr>
          <w:rFonts w:hint="eastAsia" w:ascii="宋体" w:hAnsi="宋体" w:cs="宋体"/>
          <w:color w:val="auto"/>
          <w:szCs w:val="21"/>
          <w:highlight w:val="none"/>
        </w:rPr>
        <w:t>0757-81993027</w:t>
      </w:r>
    </w:p>
    <w:p>
      <w:pPr>
        <w:tabs>
          <w:tab w:val="left" w:pos="1050"/>
        </w:tabs>
        <w:adjustRightInd w:val="0"/>
        <w:snapToGrid w:val="0"/>
        <w:spacing w:line="360" w:lineRule="auto"/>
        <w:ind w:left="640" w:firstLine="420" w:firstLineChars="200"/>
        <w:rPr>
          <w:rFonts w:hint="eastAsia" w:ascii="宋体" w:hAnsi="宋体"/>
          <w:color w:val="auto"/>
          <w:highlight w:val="none"/>
        </w:rPr>
      </w:pPr>
      <w:r>
        <w:rPr>
          <w:rFonts w:hint="eastAsia" w:ascii="宋体" w:hAnsi="宋体" w:cs="宋体"/>
          <w:color w:val="auto"/>
          <w:kern w:val="0"/>
          <w:szCs w:val="21"/>
          <w:highlight w:val="none"/>
        </w:rPr>
        <w:t>传 真：</w:t>
      </w:r>
      <w:r>
        <w:rPr>
          <w:rFonts w:hint="eastAsia" w:ascii="宋体" w:hAnsi="宋体" w:cs="宋体"/>
          <w:color w:val="auto"/>
          <w:szCs w:val="21"/>
          <w:highlight w:val="none"/>
        </w:rPr>
        <w:t>0757-81279048</w:t>
      </w:r>
      <w:r>
        <w:rPr>
          <w:rFonts w:hint="eastAsia" w:ascii="宋体" w:hAnsi="宋体" w:cs="宋体"/>
          <w:color w:val="auto"/>
          <w:kern w:val="0"/>
          <w:szCs w:val="21"/>
          <w:highlight w:val="none"/>
        </w:rPr>
        <w:t xml:space="preserve">                  邮    编：</w:t>
      </w:r>
      <w:r>
        <w:rPr>
          <w:rFonts w:hint="eastAsia" w:ascii="宋体" w:hAnsi="宋体" w:cs="宋体"/>
          <w:color w:val="auto"/>
          <w:szCs w:val="21"/>
          <w:highlight w:val="none"/>
        </w:rPr>
        <w:t>528000</w:t>
      </w:r>
    </w:p>
    <w:p>
      <w:pPr>
        <w:numPr>
          <w:ilvl w:val="0"/>
          <w:numId w:val="4"/>
        </w:numPr>
        <w:tabs>
          <w:tab w:val="left" w:pos="1050"/>
        </w:tabs>
        <w:adjustRightInd w:val="0"/>
        <w:snapToGrid w:val="0"/>
        <w:spacing w:line="360" w:lineRule="auto"/>
        <w:ind w:firstLine="215"/>
        <w:rPr>
          <w:rFonts w:hint="eastAsia"/>
          <w:color w:val="auto"/>
          <w:highlight w:val="none"/>
        </w:rPr>
      </w:pPr>
      <w:r>
        <w:rPr>
          <w:rFonts w:hint="eastAsia"/>
          <w:color w:val="auto"/>
          <w:highlight w:val="none"/>
        </w:rPr>
        <w:t>采购项目联系人：</w:t>
      </w:r>
      <w:r>
        <w:rPr>
          <w:rFonts w:hint="eastAsia"/>
          <w:color w:val="auto"/>
          <w:highlight w:val="none"/>
          <w:lang w:eastAsia="zh-CN"/>
        </w:rPr>
        <w:t>艾小姐</w:t>
      </w:r>
      <w:r>
        <w:rPr>
          <w:rFonts w:hint="eastAsia"/>
          <w:color w:val="auto"/>
          <w:highlight w:val="none"/>
        </w:rPr>
        <w:t xml:space="preserve">                联系电话：</w:t>
      </w:r>
      <w:r>
        <w:rPr>
          <w:rFonts w:ascii="宋体" w:hAnsi="宋体"/>
          <w:color w:val="auto"/>
          <w:highlight w:val="none"/>
        </w:rPr>
        <w:t>0757-81993027</w:t>
      </w:r>
      <w:r>
        <w:rPr>
          <w:rFonts w:hint="eastAsia"/>
          <w:color w:val="auto"/>
          <w:highlight w:val="none"/>
        </w:rPr>
        <w:t xml:space="preserve">  </w:t>
      </w:r>
    </w:p>
    <w:p>
      <w:pPr>
        <w:snapToGrid w:val="0"/>
        <w:spacing w:line="360" w:lineRule="auto"/>
        <w:ind w:firstLine="420" w:firstLineChars="200"/>
        <w:rPr>
          <w:rFonts w:hint="eastAsia"/>
          <w:color w:val="auto"/>
          <w:highlight w:val="none"/>
        </w:rPr>
      </w:pPr>
    </w:p>
    <w:p>
      <w:pPr>
        <w:snapToGrid w:val="0"/>
        <w:spacing w:line="360" w:lineRule="auto"/>
        <w:ind w:firstLine="435"/>
        <w:jc w:val="right"/>
        <w:rPr>
          <w:rFonts w:hint="eastAsia"/>
          <w:b/>
          <w:color w:val="auto"/>
          <w:highlight w:val="none"/>
        </w:rPr>
      </w:pPr>
      <w:r>
        <w:rPr>
          <w:rFonts w:hint="eastAsia"/>
          <w:b/>
          <w:color w:val="auto"/>
          <w:highlight w:val="none"/>
        </w:rPr>
        <w:t>广东中采招标有限公司</w:t>
      </w:r>
    </w:p>
    <w:p>
      <w:pPr>
        <w:wordWrap w:val="0"/>
        <w:snapToGrid w:val="0"/>
        <w:spacing w:line="360" w:lineRule="auto"/>
        <w:ind w:firstLine="435"/>
        <w:jc w:val="right"/>
        <w:rPr>
          <w:rFonts w:hint="eastAsia"/>
          <w:b/>
          <w:color w:val="auto"/>
          <w:highlight w:val="none"/>
        </w:rPr>
      </w:pPr>
      <w:r>
        <w:rPr>
          <w:rFonts w:hint="eastAsia"/>
          <w:b/>
          <w:color w:val="auto"/>
          <w:highlight w:val="none"/>
          <w:lang w:eastAsia="zh-CN"/>
        </w:rPr>
        <w:t>二○一八</w:t>
      </w:r>
      <w:r>
        <w:rPr>
          <w:rFonts w:hint="eastAsia"/>
          <w:b/>
          <w:color w:val="auto"/>
          <w:highlight w:val="none"/>
        </w:rPr>
        <w:t>年  月  日</w:t>
      </w:r>
    </w:p>
    <w:p>
      <w:pPr>
        <w:snapToGrid w:val="0"/>
        <w:spacing w:line="360" w:lineRule="auto"/>
        <w:jc w:val="right"/>
        <w:rPr>
          <w:rFonts w:hint="eastAsia" w:ascii="宋体" w:hAnsi="宋体"/>
          <w:b/>
          <w:color w:val="auto"/>
          <w:szCs w:val="20"/>
          <w:highlight w:val="none"/>
        </w:rPr>
      </w:pPr>
    </w:p>
    <w:p>
      <w:pPr>
        <w:adjustRightInd w:val="0"/>
        <w:snapToGrid w:val="0"/>
        <w:spacing w:before="156" w:beforeLines="50" w:after="156" w:afterLines="50" w:line="360" w:lineRule="auto"/>
        <w:jc w:val="center"/>
        <w:outlineLvl w:val="0"/>
        <w:rPr>
          <w:b/>
          <w:bCs/>
          <w:color w:val="auto"/>
          <w:sz w:val="28"/>
          <w:szCs w:val="28"/>
          <w:highlight w:val="none"/>
        </w:rPr>
      </w:pPr>
      <w:r>
        <w:rPr>
          <w:b/>
          <w:bCs/>
          <w:color w:val="auto"/>
          <w:sz w:val="28"/>
          <w:szCs w:val="28"/>
          <w:highlight w:val="none"/>
        </w:rPr>
        <w:br w:type="page"/>
      </w:r>
      <w:bookmarkStart w:id="1" w:name="_Toc20686"/>
      <w:r>
        <w:rPr>
          <w:b/>
          <w:bCs/>
          <w:color w:val="auto"/>
          <w:sz w:val="28"/>
          <w:szCs w:val="28"/>
          <w:highlight w:val="none"/>
        </w:rPr>
        <w:t>第</w:t>
      </w:r>
      <w:r>
        <w:rPr>
          <w:rFonts w:hint="eastAsia"/>
          <w:b/>
          <w:bCs/>
          <w:color w:val="auto"/>
          <w:sz w:val="28"/>
          <w:szCs w:val="28"/>
          <w:highlight w:val="none"/>
        </w:rPr>
        <w:t>二</w:t>
      </w:r>
      <w:r>
        <w:rPr>
          <w:b/>
          <w:bCs/>
          <w:color w:val="auto"/>
          <w:sz w:val="28"/>
          <w:szCs w:val="28"/>
          <w:highlight w:val="none"/>
        </w:rPr>
        <w:t>章  投标资料表</w:t>
      </w:r>
      <w:bookmarkEnd w:id="1"/>
    </w:p>
    <w:p>
      <w:pPr>
        <w:numPr>
          <w:ilvl w:val="0"/>
          <w:numId w:val="5"/>
        </w:numPr>
        <w:spacing w:line="360" w:lineRule="auto"/>
        <w:ind w:right="-174" w:rightChars="-83"/>
        <w:rPr>
          <w:color w:val="auto"/>
          <w:highlight w:val="none"/>
        </w:rPr>
      </w:pPr>
      <w:r>
        <w:rPr>
          <w:rFonts w:hint="eastAsia"/>
          <w:color w:val="auto"/>
          <w:highlight w:val="none"/>
        </w:rPr>
        <w:t>该资料表的条款项号是与第五章《投标人须知》条款项号对应的，或增加的条款，是对第五章《投标人须知》的补充、修改和完善，如果有矛盾的话，应以本资料表为准。</w:t>
      </w:r>
    </w:p>
    <w:tbl>
      <w:tblPr>
        <w:tblStyle w:val="17"/>
        <w:tblW w:w="913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7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151" w:type="dxa"/>
            <w:tcBorders>
              <w:top w:val="single" w:color="auto" w:sz="12" w:space="0"/>
              <w:left w:val="single" w:color="auto" w:sz="12" w:space="0"/>
            </w:tcBorders>
            <w:vAlign w:val="center"/>
          </w:tcPr>
          <w:p>
            <w:pPr>
              <w:jc w:val="center"/>
              <w:rPr>
                <w:rFonts w:ascii="宋体" w:hAnsi="宋体"/>
                <w:color w:val="auto"/>
                <w:szCs w:val="21"/>
                <w:highlight w:val="none"/>
              </w:rPr>
            </w:pPr>
            <w:r>
              <w:rPr>
                <w:rFonts w:ascii="宋体" w:hAnsi="宋体"/>
                <w:color w:val="auto"/>
                <w:szCs w:val="21"/>
                <w:highlight w:val="none"/>
              </w:rPr>
              <w:t>条款</w:t>
            </w:r>
            <w:r>
              <w:rPr>
                <w:rFonts w:hint="eastAsia" w:ascii="宋体" w:hAnsi="宋体"/>
                <w:color w:val="auto"/>
                <w:szCs w:val="21"/>
                <w:highlight w:val="none"/>
              </w:rPr>
              <w:t>项</w:t>
            </w:r>
            <w:r>
              <w:rPr>
                <w:rFonts w:ascii="宋体" w:hAnsi="宋体"/>
                <w:color w:val="auto"/>
                <w:szCs w:val="21"/>
                <w:highlight w:val="none"/>
              </w:rPr>
              <w:t>号</w:t>
            </w:r>
          </w:p>
        </w:tc>
        <w:tc>
          <w:tcPr>
            <w:tcW w:w="7987" w:type="dxa"/>
            <w:tcBorders>
              <w:top w:val="single" w:color="auto" w:sz="12" w:space="0"/>
              <w:right w:val="single" w:color="auto" w:sz="12" w:space="0"/>
            </w:tcBorders>
            <w:vAlign w:val="center"/>
          </w:tcPr>
          <w:p>
            <w:pPr>
              <w:jc w:val="center"/>
              <w:rPr>
                <w:rFonts w:ascii="宋体" w:hAnsi="宋体"/>
                <w:b/>
                <w:color w:val="auto"/>
                <w:szCs w:val="21"/>
                <w:highlight w:val="none"/>
              </w:rPr>
            </w:pPr>
            <w:r>
              <w:rPr>
                <w:rFonts w:ascii="宋体" w:hAnsi="宋体"/>
                <w:b/>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9138" w:type="dxa"/>
            <w:gridSpan w:val="2"/>
            <w:tcBorders>
              <w:left w:val="single" w:color="auto" w:sz="12" w:space="0"/>
              <w:right w:val="single" w:color="auto" w:sz="12" w:space="0"/>
            </w:tcBorders>
            <w:vAlign w:val="center"/>
          </w:tcPr>
          <w:p>
            <w:pPr>
              <w:jc w:val="left"/>
              <w:rPr>
                <w:rFonts w:ascii="宋体" w:hAnsi="宋体"/>
                <w:b/>
                <w:color w:val="auto"/>
                <w:szCs w:val="21"/>
                <w:highlight w:val="none"/>
              </w:rPr>
            </w:pPr>
            <w:r>
              <w:rPr>
                <w:rFonts w:hint="eastAsia"/>
                <w:color w:val="auto"/>
                <w:highlight w:val="none"/>
              </w:rPr>
              <w:t>对第五章《投标人须知》的修改及补充：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9138" w:type="dxa"/>
            <w:gridSpan w:val="2"/>
            <w:tcBorders>
              <w:left w:val="single" w:color="auto" w:sz="12" w:space="0"/>
              <w:right w:val="single" w:color="auto" w:sz="12" w:space="0"/>
            </w:tcBorders>
            <w:vAlign w:val="center"/>
          </w:tcPr>
          <w:p>
            <w:pPr>
              <w:jc w:val="center"/>
              <w:rPr>
                <w:rFonts w:ascii="宋体" w:hAnsi="宋体"/>
                <w:b/>
                <w:color w:val="auto"/>
                <w:szCs w:val="21"/>
                <w:highlight w:val="none"/>
              </w:rPr>
            </w:pPr>
            <w:r>
              <w:rPr>
                <w:rFonts w:ascii="宋体" w:hAnsi="宋体"/>
                <w:b/>
                <w:color w:val="auto"/>
                <w:szCs w:val="21"/>
                <w:highlight w:val="none"/>
              </w:rPr>
              <w:t>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151" w:type="dxa"/>
            <w:tcBorders>
              <w:left w:val="single" w:color="auto" w:sz="12"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2.3</w:t>
            </w:r>
          </w:p>
        </w:tc>
        <w:tc>
          <w:tcPr>
            <w:tcW w:w="7987" w:type="dxa"/>
            <w:tcBorders>
              <w:right w:val="single" w:color="auto" w:sz="12" w:space="0"/>
            </w:tcBorders>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招标人名称：</w:t>
            </w:r>
            <w:r>
              <w:rPr>
                <w:rFonts w:hint="eastAsia" w:ascii="宋体" w:hAnsi="宋体" w:eastAsia="宋体" w:cs="宋体"/>
                <w:color w:val="auto"/>
                <w:kern w:val="28"/>
                <w:szCs w:val="21"/>
                <w:highlight w:val="none"/>
                <w:lang w:eastAsia="zh-CN"/>
              </w:rPr>
              <w:t>佛山市南海区铁路投资有限公司</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资金来源：非财政性资金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1151" w:type="dxa"/>
            <w:tcBorders>
              <w:left w:val="single" w:color="auto" w:sz="12"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olor w:val="auto"/>
                <w:szCs w:val="21"/>
                <w:highlight w:val="none"/>
              </w:rPr>
              <w:t>4</w:t>
            </w:r>
          </w:p>
        </w:tc>
        <w:tc>
          <w:tcPr>
            <w:tcW w:w="7987" w:type="dxa"/>
            <w:tcBorders>
              <w:right w:val="single" w:color="auto" w:sz="12" w:space="0"/>
            </w:tcBorders>
            <w:vAlign w:val="center"/>
          </w:tcPr>
          <w:p>
            <w:pPr>
              <w:spacing w:line="3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招标代理机构：广东中采招标有限公司</w:t>
            </w:r>
          </w:p>
          <w:p>
            <w:pPr>
              <w:spacing w:line="3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highlight w:val="none"/>
                <w:lang w:eastAsia="zh-CN"/>
              </w:rPr>
              <w:t>佛山市禅城区金澜北路17号2层A区</w:t>
            </w:r>
          </w:p>
          <w:p>
            <w:pPr>
              <w:adjustRightInd w:val="0"/>
              <w:snapToGrid w:val="0"/>
              <w:spacing w:line="3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电话：0757-81993027；      传真：0757-81279048。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9138" w:type="dxa"/>
            <w:gridSpan w:val="2"/>
            <w:tcBorders>
              <w:left w:val="single" w:color="auto" w:sz="12" w:space="0"/>
              <w:right w:val="single" w:color="auto" w:sz="12" w:space="0"/>
            </w:tcBorders>
            <w:vAlign w:val="center"/>
          </w:tcPr>
          <w:p>
            <w:pPr>
              <w:jc w:val="center"/>
              <w:rPr>
                <w:rFonts w:hint="eastAsia" w:ascii="宋体" w:hAnsi="宋体"/>
                <w:color w:val="auto"/>
                <w:szCs w:val="21"/>
                <w:highlight w:val="none"/>
              </w:rPr>
            </w:pPr>
            <w:r>
              <w:rPr>
                <w:rFonts w:hint="eastAsia" w:ascii="宋体" w:hAnsi="宋体"/>
                <w:b/>
                <w:color w:val="auto"/>
                <w:szCs w:val="21"/>
                <w:highlight w:val="none"/>
              </w:rPr>
              <w:t>二、招标文件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1151" w:type="dxa"/>
            <w:tcBorders>
              <w:left w:val="single" w:color="auto" w:sz="12"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7.3</w:t>
            </w:r>
          </w:p>
        </w:tc>
        <w:tc>
          <w:tcPr>
            <w:tcW w:w="7987" w:type="dxa"/>
            <w:tcBorders>
              <w:right w:val="single" w:color="auto" w:sz="12" w:space="0"/>
            </w:tcBorders>
            <w:vAlign w:val="center"/>
          </w:tcPr>
          <w:p>
            <w:pPr>
              <w:adjustRightInd w:val="0"/>
              <w:snapToGrid w:val="0"/>
              <w:spacing w:line="380" w:lineRule="exact"/>
              <w:rPr>
                <w:rFonts w:ascii="宋体" w:hAnsi="宋体"/>
                <w:color w:val="auto"/>
                <w:szCs w:val="21"/>
                <w:highlight w:val="none"/>
              </w:rPr>
            </w:pPr>
            <w:r>
              <w:rPr>
                <w:rFonts w:hint="eastAsia" w:ascii="宋体" w:hAnsi="宋体"/>
                <w:color w:val="auto"/>
                <w:szCs w:val="21"/>
                <w:highlight w:val="none"/>
              </w:rPr>
              <w:t>集中答疑会或现场考察：不举行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1151" w:type="dxa"/>
            <w:tcBorders>
              <w:left w:val="single" w:color="auto" w:sz="12"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8.1</w:t>
            </w:r>
          </w:p>
        </w:tc>
        <w:tc>
          <w:tcPr>
            <w:tcW w:w="7987" w:type="dxa"/>
            <w:tcBorders>
              <w:right w:val="single" w:color="auto" w:sz="12" w:space="0"/>
            </w:tcBorders>
            <w:vAlign w:val="center"/>
          </w:tcPr>
          <w:p>
            <w:pPr>
              <w:rPr>
                <w:rFonts w:hint="eastAsia" w:ascii="宋体" w:hAnsi="宋体"/>
                <w:color w:val="auto"/>
                <w:szCs w:val="21"/>
                <w:highlight w:val="none"/>
              </w:rPr>
            </w:pPr>
            <w:r>
              <w:rPr>
                <w:rFonts w:ascii="宋体" w:hAnsi="宋体"/>
                <w:color w:val="auto"/>
                <w:szCs w:val="21"/>
                <w:highlight w:val="none"/>
              </w:rPr>
              <w:t>投标截止</w:t>
            </w:r>
            <w:r>
              <w:rPr>
                <w:rFonts w:hint="eastAsia" w:ascii="宋体" w:hAnsi="宋体"/>
                <w:color w:val="auto"/>
                <w:szCs w:val="21"/>
                <w:highlight w:val="none"/>
              </w:rPr>
              <w:t>日</w:t>
            </w:r>
            <w:r>
              <w:rPr>
                <w:rFonts w:ascii="宋体" w:hAnsi="宋体"/>
                <w:color w:val="auto"/>
                <w:szCs w:val="21"/>
                <w:highlight w:val="none"/>
              </w:rPr>
              <w:t>期</w:t>
            </w:r>
            <w:r>
              <w:rPr>
                <w:rFonts w:hint="eastAsia" w:ascii="宋体" w:hAnsi="宋体"/>
                <w:color w:val="auto"/>
                <w:szCs w:val="21"/>
                <w:highlight w:val="none"/>
              </w:rPr>
              <w:t>和时间</w:t>
            </w:r>
            <w:r>
              <w:rPr>
                <w:rFonts w:ascii="宋体" w:hAnsi="宋体"/>
                <w:color w:val="auto"/>
                <w:szCs w:val="21"/>
                <w:highlight w:val="none"/>
              </w:rPr>
              <w:t>：</w:t>
            </w:r>
            <w:r>
              <w:rPr>
                <w:rFonts w:hint="eastAsia" w:ascii="宋体" w:hAnsi="宋体"/>
                <w:color w:val="auto"/>
                <w:szCs w:val="21"/>
                <w:highlight w:val="none"/>
              </w:rPr>
              <w:t>按招标文件第一章规定。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9138" w:type="dxa"/>
            <w:gridSpan w:val="2"/>
            <w:tcBorders>
              <w:left w:val="single" w:color="auto" w:sz="12" w:space="0"/>
              <w:right w:val="single" w:color="auto" w:sz="12" w:space="0"/>
            </w:tcBorders>
            <w:vAlign w:val="center"/>
          </w:tcPr>
          <w:p>
            <w:pPr>
              <w:jc w:val="center"/>
              <w:rPr>
                <w:rFonts w:ascii="宋体" w:hAnsi="宋体"/>
                <w:b/>
                <w:color w:val="auto"/>
                <w:szCs w:val="21"/>
                <w:highlight w:val="none"/>
              </w:rPr>
            </w:pPr>
            <w:r>
              <w:rPr>
                <w:rFonts w:ascii="宋体" w:hAnsi="宋体"/>
                <w:b/>
                <w:color w:val="auto"/>
                <w:szCs w:val="21"/>
                <w:highlight w:val="none"/>
              </w:rPr>
              <w:t>三、投标文件的编制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51" w:type="dxa"/>
            <w:tcBorders>
              <w:left w:val="single" w:color="auto" w:sz="12"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12.7</w:t>
            </w:r>
          </w:p>
        </w:tc>
        <w:tc>
          <w:tcPr>
            <w:tcW w:w="7987" w:type="dxa"/>
            <w:tcBorders>
              <w:right w:val="single" w:color="auto" w:sz="12" w:space="0"/>
            </w:tcBorders>
            <w:vAlign w:val="center"/>
          </w:tcPr>
          <w:p>
            <w:pPr>
              <w:rPr>
                <w:rFonts w:hint="eastAsia" w:ascii="宋体" w:hAnsi="宋体"/>
                <w:color w:val="auto"/>
                <w:szCs w:val="21"/>
                <w:highlight w:val="none"/>
              </w:rPr>
            </w:pPr>
            <w:r>
              <w:rPr>
                <w:rFonts w:hint="eastAsia" w:ascii="宋体" w:hAnsi="宋体"/>
                <w:color w:val="auto"/>
                <w:szCs w:val="21"/>
                <w:highlight w:val="none"/>
              </w:rPr>
              <w:t>投标人所报的投标价在合同执行过程中是固定不变的，不得以任何理由予以变更。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151" w:type="dxa"/>
            <w:tcBorders>
              <w:left w:val="single" w:color="auto" w:sz="12"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12.8</w:t>
            </w:r>
          </w:p>
        </w:tc>
        <w:tc>
          <w:tcPr>
            <w:tcW w:w="7987" w:type="dxa"/>
            <w:tcBorders>
              <w:right w:val="single" w:color="auto" w:sz="12" w:space="0"/>
            </w:tcBorders>
            <w:vAlign w:val="center"/>
          </w:tcPr>
          <w:p>
            <w:pPr>
              <w:rPr>
                <w:rFonts w:hint="eastAsia" w:ascii="宋体" w:hAnsi="宋体"/>
                <w:color w:val="auto"/>
                <w:szCs w:val="21"/>
                <w:highlight w:val="none"/>
              </w:rPr>
            </w:pPr>
            <w:r>
              <w:rPr>
                <w:rFonts w:hint="eastAsia" w:ascii="宋体" w:hAnsi="宋体"/>
                <w:color w:val="auto"/>
                <w:szCs w:val="21"/>
                <w:highlight w:val="none"/>
              </w:rPr>
              <w:t>不允许有备选方案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151" w:type="dxa"/>
            <w:tcBorders>
              <w:left w:val="single" w:color="auto" w:sz="12"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12.9</w:t>
            </w:r>
          </w:p>
        </w:tc>
        <w:tc>
          <w:tcPr>
            <w:tcW w:w="7987" w:type="dxa"/>
            <w:tcBorders>
              <w:right w:val="single" w:color="auto" w:sz="12" w:space="0"/>
            </w:tcBorders>
            <w:vAlign w:val="center"/>
          </w:tcPr>
          <w:p>
            <w:pPr>
              <w:rPr>
                <w:rFonts w:hint="eastAsia" w:ascii="宋体" w:hAnsi="宋体"/>
                <w:color w:val="auto"/>
                <w:szCs w:val="21"/>
                <w:highlight w:val="none"/>
              </w:rPr>
            </w:pPr>
            <w:r>
              <w:rPr>
                <w:rFonts w:hint="eastAsia" w:ascii="宋体" w:hAnsi="宋体"/>
                <w:color w:val="auto"/>
                <w:szCs w:val="21"/>
                <w:highlight w:val="none"/>
              </w:rPr>
              <w:t>不允许附加条件报价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151" w:type="dxa"/>
            <w:tcBorders>
              <w:left w:val="single" w:color="auto" w:sz="12" w:space="0"/>
            </w:tcBorders>
            <w:vAlign w:val="center"/>
          </w:tcPr>
          <w:p>
            <w:pPr>
              <w:jc w:val="center"/>
              <w:rPr>
                <w:rFonts w:ascii="宋体" w:hAnsi="宋体"/>
                <w:color w:val="auto"/>
                <w:szCs w:val="21"/>
                <w:highlight w:val="none"/>
              </w:rPr>
            </w:pPr>
            <w:r>
              <w:rPr>
                <w:rFonts w:hint="eastAsia" w:ascii="宋体" w:hAnsi="宋体"/>
                <w:color w:val="auto"/>
                <w:szCs w:val="21"/>
                <w:highlight w:val="none"/>
              </w:rPr>
              <w:t>18</w:t>
            </w:r>
            <w:r>
              <w:rPr>
                <w:rFonts w:ascii="宋体" w:hAnsi="宋体"/>
                <w:color w:val="auto"/>
                <w:szCs w:val="21"/>
                <w:highlight w:val="none"/>
              </w:rPr>
              <w:t>.1</w:t>
            </w:r>
          </w:p>
        </w:tc>
        <w:tc>
          <w:tcPr>
            <w:tcW w:w="7987" w:type="dxa"/>
            <w:tcBorders>
              <w:right w:val="single" w:color="auto" w:sz="12" w:space="0"/>
            </w:tcBorders>
            <w:vAlign w:val="center"/>
          </w:tcPr>
          <w:p>
            <w:pPr>
              <w:rPr>
                <w:rFonts w:hint="eastAsia" w:ascii="宋体" w:hAnsi="宋体"/>
                <w:color w:val="auto"/>
                <w:szCs w:val="21"/>
                <w:highlight w:val="none"/>
              </w:rPr>
            </w:pPr>
            <w:r>
              <w:rPr>
                <w:rFonts w:ascii="宋体" w:hAnsi="宋体"/>
                <w:color w:val="auto"/>
                <w:szCs w:val="21"/>
                <w:highlight w:val="none"/>
              </w:rPr>
              <w:t>投标有效期：90天</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151" w:type="dxa"/>
            <w:tcBorders>
              <w:left w:val="single" w:color="auto" w:sz="12" w:space="0"/>
            </w:tcBorders>
            <w:vAlign w:val="center"/>
          </w:tcPr>
          <w:p>
            <w:pPr>
              <w:jc w:val="center"/>
              <w:rPr>
                <w:rFonts w:ascii="宋体" w:hAnsi="宋体"/>
                <w:color w:val="auto"/>
                <w:szCs w:val="21"/>
                <w:highlight w:val="none"/>
              </w:rPr>
            </w:pPr>
            <w:r>
              <w:rPr>
                <w:rFonts w:hint="eastAsia" w:ascii="宋体" w:hAnsi="宋体"/>
                <w:color w:val="auto"/>
                <w:szCs w:val="21"/>
                <w:highlight w:val="none"/>
              </w:rPr>
              <w:t>19</w:t>
            </w:r>
            <w:r>
              <w:rPr>
                <w:rFonts w:ascii="宋体" w:hAnsi="宋体"/>
                <w:color w:val="auto"/>
                <w:szCs w:val="21"/>
                <w:highlight w:val="none"/>
              </w:rPr>
              <w:t>.1</w:t>
            </w:r>
          </w:p>
        </w:tc>
        <w:tc>
          <w:tcPr>
            <w:tcW w:w="7987" w:type="dxa"/>
            <w:tcBorders>
              <w:right w:val="single" w:color="auto" w:sz="12" w:space="0"/>
            </w:tcBorders>
            <w:vAlign w:val="center"/>
          </w:tcPr>
          <w:p>
            <w:pPr>
              <w:rPr>
                <w:rFonts w:hint="eastAsia" w:ascii="宋体" w:hAnsi="宋体"/>
                <w:color w:val="auto"/>
                <w:szCs w:val="21"/>
                <w:highlight w:val="none"/>
              </w:rPr>
            </w:pPr>
            <w:r>
              <w:rPr>
                <w:rFonts w:ascii="宋体" w:hAnsi="宋体"/>
                <w:color w:val="auto"/>
                <w:szCs w:val="21"/>
                <w:highlight w:val="none"/>
              </w:rPr>
              <w:t>投标文件份数：正本一份，副本</w:t>
            </w:r>
            <w:r>
              <w:rPr>
                <w:rFonts w:hint="eastAsia" w:ascii="宋体" w:hAnsi="宋体"/>
                <w:color w:val="auto"/>
                <w:szCs w:val="21"/>
                <w:highlight w:val="none"/>
              </w:rPr>
              <w:t>五</w:t>
            </w:r>
            <w:r>
              <w:rPr>
                <w:rFonts w:ascii="宋体" w:hAnsi="宋体"/>
                <w:color w:val="auto"/>
                <w:szCs w:val="21"/>
                <w:highlight w:val="none"/>
              </w:rPr>
              <w:t>份，电子文件</w:t>
            </w:r>
            <w:r>
              <w:rPr>
                <w:rFonts w:hint="eastAsia" w:ascii="宋体" w:hAnsi="宋体"/>
                <w:color w:val="auto"/>
                <w:szCs w:val="21"/>
                <w:highlight w:val="none"/>
              </w:rPr>
              <w:t>一</w:t>
            </w:r>
            <w:r>
              <w:rPr>
                <w:rFonts w:ascii="宋体" w:hAnsi="宋体"/>
                <w:color w:val="auto"/>
                <w:szCs w:val="21"/>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9138" w:type="dxa"/>
            <w:gridSpan w:val="2"/>
            <w:tcBorders>
              <w:left w:val="single" w:color="auto" w:sz="12" w:space="0"/>
              <w:right w:val="single" w:color="auto" w:sz="12" w:space="0"/>
            </w:tcBorders>
            <w:vAlign w:val="center"/>
          </w:tcPr>
          <w:p>
            <w:pPr>
              <w:jc w:val="center"/>
              <w:rPr>
                <w:rFonts w:ascii="宋体" w:hAnsi="宋体"/>
                <w:b/>
                <w:color w:val="auto"/>
                <w:szCs w:val="21"/>
                <w:highlight w:val="none"/>
              </w:rPr>
            </w:pPr>
            <w:r>
              <w:rPr>
                <w:rFonts w:ascii="宋体" w:hAnsi="宋体"/>
                <w:b/>
                <w:color w:val="auto"/>
                <w:szCs w:val="21"/>
                <w:highlight w:val="none"/>
              </w:rPr>
              <w:t>四、投标文件的递交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151" w:type="dxa"/>
            <w:tcBorders>
              <w:left w:val="single" w:color="auto" w:sz="12"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20</w:t>
            </w:r>
            <w:r>
              <w:rPr>
                <w:rFonts w:ascii="宋体" w:hAnsi="宋体"/>
                <w:color w:val="auto"/>
                <w:szCs w:val="21"/>
                <w:highlight w:val="none"/>
              </w:rPr>
              <w:t>.2.1</w:t>
            </w:r>
          </w:p>
        </w:tc>
        <w:tc>
          <w:tcPr>
            <w:tcW w:w="7987" w:type="dxa"/>
            <w:tcBorders>
              <w:right w:val="single" w:color="auto" w:sz="12" w:space="0"/>
            </w:tcBorders>
            <w:vAlign w:val="center"/>
          </w:tcPr>
          <w:p>
            <w:pPr>
              <w:ind w:left="105" w:hanging="105" w:hangingChars="50"/>
              <w:rPr>
                <w:rFonts w:ascii="宋体" w:hAnsi="宋体"/>
                <w:color w:val="auto"/>
                <w:szCs w:val="21"/>
                <w:highlight w:val="none"/>
              </w:rPr>
            </w:pPr>
            <w:r>
              <w:rPr>
                <w:rFonts w:ascii="宋体" w:hAnsi="宋体"/>
                <w:color w:val="auto"/>
                <w:szCs w:val="21"/>
                <w:highlight w:val="none"/>
              </w:rPr>
              <w:t>投标文件递交</w:t>
            </w:r>
            <w:r>
              <w:rPr>
                <w:rFonts w:hint="eastAsia" w:ascii="宋体" w:hAnsi="宋体"/>
                <w:color w:val="auto"/>
                <w:szCs w:val="21"/>
                <w:highlight w:val="none"/>
              </w:rPr>
              <w:t>地址</w:t>
            </w:r>
            <w:r>
              <w:rPr>
                <w:rFonts w:ascii="宋体" w:hAnsi="宋体"/>
                <w:color w:val="auto"/>
                <w:szCs w:val="21"/>
                <w:highlight w:val="none"/>
              </w:rPr>
              <w:t>：</w:t>
            </w:r>
            <w:r>
              <w:rPr>
                <w:rFonts w:hint="eastAsia" w:ascii="宋体" w:hAnsi="宋体"/>
                <w:color w:val="auto"/>
                <w:szCs w:val="21"/>
                <w:highlight w:val="none"/>
              </w:rPr>
              <w:t>按招标文件第一章投标邀请函中规定。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151" w:type="dxa"/>
            <w:tcBorders>
              <w:left w:val="single" w:color="auto" w:sz="12" w:space="0"/>
            </w:tcBorders>
            <w:vAlign w:val="center"/>
          </w:tcPr>
          <w:p>
            <w:pPr>
              <w:jc w:val="center"/>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1</w:t>
            </w:r>
            <w:r>
              <w:rPr>
                <w:rFonts w:ascii="宋体" w:hAnsi="宋体"/>
                <w:color w:val="auto"/>
                <w:szCs w:val="21"/>
                <w:highlight w:val="none"/>
              </w:rPr>
              <w:t>.1</w:t>
            </w:r>
          </w:p>
        </w:tc>
        <w:tc>
          <w:tcPr>
            <w:tcW w:w="7987" w:type="dxa"/>
            <w:tcBorders>
              <w:right w:val="single" w:color="auto" w:sz="12" w:space="0"/>
            </w:tcBorders>
            <w:vAlign w:val="center"/>
          </w:tcPr>
          <w:p>
            <w:pPr>
              <w:rPr>
                <w:rFonts w:ascii="宋体" w:hAnsi="宋体"/>
                <w:color w:val="auto"/>
                <w:szCs w:val="21"/>
                <w:highlight w:val="none"/>
              </w:rPr>
            </w:pPr>
            <w:r>
              <w:rPr>
                <w:rFonts w:ascii="宋体" w:hAnsi="宋体"/>
                <w:color w:val="auto"/>
                <w:szCs w:val="21"/>
                <w:highlight w:val="none"/>
              </w:rPr>
              <w:t>开标日期</w:t>
            </w:r>
            <w:r>
              <w:rPr>
                <w:rFonts w:hint="eastAsia" w:ascii="宋体" w:hAnsi="宋体"/>
                <w:color w:val="auto"/>
                <w:szCs w:val="21"/>
                <w:highlight w:val="none"/>
              </w:rPr>
              <w:t>、</w:t>
            </w:r>
            <w:r>
              <w:rPr>
                <w:rFonts w:ascii="宋体" w:hAnsi="宋体"/>
                <w:color w:val="auto"/>
                <w:szCs w:val="21"/>
                <w:highlight w:val="none"/>
              </w:rPr>
              <w:t>时间</w:t>
            </w:r>
            <w:r>
              <w:rPr>
                <w:rFonts w:hint="eastAsia" w:ascii="宋体" w:hAnsi="宋体"/>
                <w:color w:val="auto"/>
                <w:szCs w:val="21"/>
                <w:highlight w:val="none"/>
              </w:rPr>
              <w:t>和</w:t>
            </w:r>
            <w:r>
              <w:rPr>
                <w:rFonts w:ascii="宋体" w:hAnsi="宋体"/>
                <w:color w:val="auto"/>
                <w:szCs w:val="21"/>
                <w:highlight w:val="none"/>
              </w:rPr>
              <w:t>地点：</w:t>
            </w:r>
            <w:r>
              <w:rPr>
                <w:rFonts w:hint="eastAsia" w:ascii="宋体" w:hAnsi="宋体"/>
                <w:color w:val="auto"/>
                <w:szCs w:val="21"/>
                <w:highlight w:val="none"/>
              </w:rPr>
              <w:t>按招标文件第一章投标邀请函中规定。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9138" w:type="dxa"/>
            <w:gridSpan w:val="2"/>
            <w:tcBorders>
              <w:left w:val="single" w:color="auto" w:sz="12" w:space="0"/>
              <w:right w:val="single" w:color="auto" w:sz="12" w:space="0"/>
            </w:tcBorders>
            <w:vAlign w:val="center"/>
          </w:tcPr>
          <w:p>
            <w:pPr>
              <w:jc w:val="center"/>
              <w:rPr>
                <w:rFonts w:ascii="宋体" w:hAnsi="宋体"/>
                <w:color w:val="auto"/>
                <w:szCs w:val="21"/>
                <w:highlight w:val="none"/>
              </w:rPr>
            </w:pPr>
            <w:r>
              <w:rPr>
                <w:rFonts w:ascii="宋体" w:hAnsi="宋体"/>
                <w:b/>
                <w:color w:val="auto"/>
                <w:szCs w:val="21"/>
                <w:highlight w:val="none"/>
              </w:rPr>
              <w:t>五、开标与评标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151" w:type="dxa"/>
            <w:tcBorders>
              <w:left w:val="single" w:color="auto" w:sz="12"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24.1</w:t>
            </w:r>
          </w:p>
        </w:tc>
        <w:tc>
          <w:tcPr>
            <w:tcW w:w="7987" w:type="dxa"/>
            <w:tcBorders>
              <w:right w:val="single" w:color="auto" w:sz="12" w:space="0"/>
            </w:tcBorders>
            <w:vAlign w:val="center"/>
          </w:tcPr>
          <w:p>
            <w:pPr>
              <w:rPr>
                <w:rFonts w:ascii="宋体" w:hAnsi="宋体"/>
                <w:color w:val="auto"/>
                <w:szCs w:val="21"/>
                <w:highlight w:val="none"/>
              </w:rPr>
            </w:pPr>
            <w:r>
              <w:rPr>
                <w:rFonts w:hint="eastAsia" w:ascii="宋体" w:cs="宋体"/>
                <w:bCs/>
                <w:color w:val="auto"/>
                <w:kern w:val="0"/>
                <w:szCs w:val="21"/>
                <w:highlight w:val="none"/>
              </w:rPr>
              <w:t>评标委员会由5名专家组成，</w:t>
            </w:r>
            <w:r>
              <w:rPr>
                <w:rFonts w:hint="eastAsia" w:ascii="宋体" w:cs="宋体"/>
                <w:bCs/>
                <w:color w:val="auto"/>
                <w:kern w:val="0"/>
                <w:szCs w:val="21"/>
                <w:highlight w:val="none"/>
                <w:lang w:eastAsia="zh-CN"/>
              </w:rPr>
              <w:t>均</w:t>
            </w:r>
            <w:r>
              <w:rPr>
                <w:rFonts w:hint="eastAsia" w:ascii="宋体" w:cs="宋体"/>
                <w:bCs/>
                <w:color w:val="auto"/>
                <w:kern w:val="0"/>
                <w:szCs w:val="21"/>
                <w:highlight w:val="none"/>
              </w:rPr>
              <w:t>从</w:t>
            </w:r>
            <w:r>
              <w:rPr>
                <w:rFonts w:hint="eastAsia" w:ascii="宋体" w:cs="宋体"/>
                <w:color w:val="auto"/>
                <w:kern w:val="0"/>
                <w:szCs w:val="21"/>
                <w:highlight w:val="none"/>
                <w:lang w:val="zh-CN"/>
              </w:rPr>
              <w:t>广东省综合评标评审专家库随机抽取的专家组成。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151" w:type="dxa"/>
            <w:tcBorders>
              <w:left w:val="single" w:color="auto" w:sz="12" w:space="0"/>
            </w:tcBorders>
            <w:vAlign w:val="center"/>
          </w:tcPr>
          <w:p>
            <w:pPr>
              <w:jc w:val="center"/>
              <w:rPr>
                <w:rFonts w:hint="eastAsia"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4</w:t>
            </w:r>
            <w:r>
              <w:rPr>
                <w:rFonts w:ascii="宋体" w:hAnsi="宋体"/>
                <w:color w:val="auto"/>
                <w:szCs w:val="21"/>
                <w:highlight w:val="none"/>
              </w:rPr>
              <w:t>.</w:t>
            </w:r>
            <w:r>
              <w:rPr>
                <w:rFonts w:hint="eastAsia" w:ascii="宋体" w:hAnsi="宋体"/>
                <w:color w:val="auto"/>
                <w:szCs w:val="21"/>
                <w:highlight w:val="none"/>
              </w:rPr>
              <w:t>4</w:t>
            </w:r>
          </w:p>
        </w:tc>
        <w:tc>
          <w:tcPr>
            <w:tcW w:w="7987" w:type="dxa"/>
            <w:tcBorders>
              <w:right w:val="single" w:color="auto" w:sz="12" w:space="0"/>
            </w:tcBorders>
            <w:vAlign w:val="center"/>
          </w:tcPr>
          <w:p>
            <w:pPr>
              <w:rPr>
                <w:rFonts w:hint="eastAsia" w:ascii="宋体" w:hAnsi="宋体"/>
                <w:bCs/>
                <w:color w:val="auto"/>
                <w:szCs w:val="21"/>
                <w:highlight w:val="none"/>
              </w:rPr>
            </w:pPr>
            <w:r>
              <w:rPr>
                <w:rFonts w:hint="eastAsia" w:ascii="宋体" w:hAnsi="宋体"/>
                <w:bCs/>
                <w:color w:val="auto"/>
                <w:highlight w:val="none"/>
              </w:rPr>
              <w:t>评标方法：采用综合评分法。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151" w:type="dxa"/>
            <w:tcBorders>
              <w:left w:val="single" w:color="auto" w:sz="12"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28.2</w:t>
            </w:r>
          </w:p>
        </w:tc>
        <w:tc>
          <w:tcPr>
            <w:tcW w:w="7987" w:type="dxa"/>
            <w:tcBorders>
              <w:right w:val="single" w:color="auto" w:sz="12" w:space="0"/>
            </w:tcBorders>
            <w:vAlign w:val="center"/>
          </w:tcPr>
          <w:p>
            <w:pPr>
              <w:rPr>
                <w:rFonts w:hint="eastAsia" w:ascii="宋体" w:hAnsi="宋体"/>
                <w:bCs/>
                <w:color w:val="auto"/>
                <w:highlight w:val="none"/>
              </w:rPr>
            </w:pPr>
            <w:r>
              <w:rPr>
                <w:rFonts w:hint="eastAsia" w:ascii="宋体" w:hAnsi="宋体"/>
                <w:bCs/>
                <w:color w:val="auto"/>
                <w:highlight w:val="none"/>
              </w:rPr>
              <w:t>定标原则：推荐综合得分排名第一的投标人为中标候选人。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9138" w:type="dxa"/>
            <w:gridSpan w:val="2"/>
            <w:tcBorders>
              <w:left w:val="single" w:color="auto" w:sz="12" w:space="0"/>
              <w:right w:val="single" w:color="auto" w:sz="12" w:space="0"/>
            </w:tcBorders>
            <w:vAlign w:val="center"/>
          </w:tcPr>
          <w:p>
            <w:pPr>
              <w:jc w:val="center"/>
              <w:rPr>
                <w:rFonts w:ascii="宋体" w:hAnsi="宋体"/>
                <w:color w:val="auto"/>
                <w:szCs w:val="21"/>
                <w:highlight w:val="none"/>
              </w:rPr>
            </w:pPr>
            <w:r>
              <w:rPr>
                <w:rFonts w:ascii="宋体" w:hAnsi="宋体"/>
                <w:b/>
                <w:color w:val="auto"/>
                <w:szCs w:val="21"/>
                <w:highlight w:val="none"/>
              </w:rPr>
              <w:t>六、授予合同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151" w:type="dxa"/>
            <w:tcBorders>
              <w:left w:val="single" w:color="auto" w:sz="12" w:space="0"/>
            </w:tcBorders>
            <w:vAlign w:val="center"/>
          </w:tcPr>
          <w:p>
            <w:pPr>
              <w:jc w:val="center"/>
              <w:rPr>
                <w:rFonts w:hint="eastAsia" w:ascii="宋体" w:hAnsi="宋体"/>
                <w:color w:val="auto"/>
                <w:szCs w:val="21"/>
                <w:highlight w:val="none"/>
              </w:rPr>
            </w:pPr>
            <w:r>
              <w:rPr>
                <w:rFonts w:hint="eastAsia" w:ascii="宋体" w:hAnsi="宋体"/>
                <w:color w:val="auto"/>
                <w:szCs w:val="21"/>
                <w:highlight w:val="none"/>
              </w:rPr>
              <w:t>32.1</w:t>
            </w:r>
          </w:p>
        </w:tc>
        <w:tc>
          <w:tcPr>
            <w:tcW w:w="7987" w:type="dxa"/>
            <w:tcBorders>
              <w:right w:val="single" w:color="auto" w:sz="12" w:space="0"/>
            </w:tcBorders>
            <w:vAlign w:val="center"/>
          </w:tcPr>
          <w:p>
            <w:pPr>
              <w:spacing w:line="300" w:lineRule="auto"/>
              <w:rPr>
                <w:rFonts w:hint="eastAsia" w:ascii="宋体" w:hAnsi="宋体"/>
                <w:color w:val="auto"/>
                <w:szCs w:val="21"/>
                <w:highlight w:val="none"/>
              </w:rPr>
            </w:pPr>
            <w:r>
              <w:rPr>
                <w:rFonts w:hint="eastAsia" w:ascii="宋体" w:hAnsi="宋体"/>
                <w:color w:val="auto"/>
                <w:szCs w:val="21"/>
                <w:highlight w:val="none"/>
              </w:rPr>
              <w:t>合同签订时间：自《中标通知书》发出之日起五个工作日内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151" w:type="dxa"/>
            <w:tcBorders>
              <w:left w:val="single" w:color="auto" w:sz="12" w:space="0"/>
            </w:tcBorders>
            <w:vAlign w:val="center"/>
          </w:tcPr>
          <w:p>
            <w:pPr>
              <w:adjustRightInd w:val="0"/>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34.1</w:t>
            </w:r>
          </w:p>
        </w:tc>
        <w:tc>
          <w:tcPr>
            <w:tcW w:w="7987" w:type="dxa"/>
            <w:tcBorders>
              <w:right w:val="single" w:color="auto" w:sz="12" w:space="0"/>
            </w:tcBorders>
            <w:vAlign w:val="center"/>
          </w:tcPr>
          <w:p>
            <w:pPr>
              <w:adjustRightInd w:val="0"/>
              <w:snapToGrid w:val="0"/>
              <w:spacing w:line="380" w:lineRule="exact"/>
              <w:ind w:left="0" w:firstLine="0" w:firstLineChars="0"/>
              <w:rPr>
                <w:rFonts w:hint="eastAsia"/>
                <w:color w:val="auto"/>
                <w:highlight w:val="none"/>
              </w:rPr>
            </w:pPr>
            <w:r>
              <w:rPr>
                <w:rFonts w:hint="eastAsia"/>
                <w:color w:val="auto"/>
                <w:sz w:val="21"/>
                <w:szCs w:val="21"/>
                <w:highlight w:val="none"/>
              </w:rPr>
              <w:t>履约保证金：</w:t>
            </w:r>
            <w:r>
              <w:rPr>
                <w:rFonts w:hint="eastAsia"/>
                <w:color w:val="auto"/>
                <w:sz w:val="21"/>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51" w:type="dxa"/>
            <w:tcBorders>
              <w:left w:val="single" w:color="auto" w:sz="12" w:space="0"/>
            </w:tcBorders>
            <w:vAlign w:val="center"/>
          </w:tcPr>
          <w:p>
            <w:pPr>
              <w:adjustRightInd w:val="0"/>
              <w:snapToGrid w:val="0"/>
              <w:spacing w:line="380" w:lineRule="exact"/>
              <w:jc w:val="center"/>
              <w:rPr>
                <w:rFonts w:hint="eastAsia"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5</w:t>
            </w:r>
            <w:r>
              <w:rPr>
                <w:rFonts w:ascii="宋体" w:hAnsi="宋体"/>
                <w:color w:val="auto"/>
                <w:szCs w:val="21"/>
                <w:highlight w:val="none"/>
              </w:rPr>
              <w:t>.1</w:t>
            </w:r>
          </w:p>
        </w:tc>
        <w:tc>
          <w:tcPr>
            <w:tcW w:w="7987" w:type="dxa"/>
            <w:tcBorders>
              <w:right w:val="single" w:color="auto" w:sz="12" w:space="0"/>
            </w:tcBorders>
            <w:vAlign w:val="top"/>
          </w:tcPr>
          <w:p>
            <w:pPr>
              <w:spacing w:line="300" w:lineRule="auto"/>
              <w:rPr>
                <w:rFonts w:ascii="宋体" w:hAnsi="宋体"/>
                <w:color w:val="auto"/>
                <w:szCs w:val="21"/>
                <w:highlight w:val="none"/>
              </w:rPr>
            </w:pPr>
            <w:r>
              <w:rPr>
                <w:rFonts w:ascii="宋体" w:hAnsi="宋体"/>
                <w:color w:val="auto"/>
                <w:szCs w:val="21"/>
                <w:highlight w:val="none"/>
              </w:rPr>
              <w:t>1. 中标人须向招标代理机构按如下标准和规定缴纳招标代理服务费：</w:t>
            </w:r>
          </w:p>
          <w:p>
            <w:pPr>
              <w:adjustRightInd w:val="0"/>
              <w:snapToGrid w:val="0"/>
              <w:spacing w:line="360" w:lineRule="auto"/>
              <w:rPr>
                <w:rFonts w:hint="eastAsia" w:ascii="宋体" w:hAnsi="宋体"/>
                <w:color w:val="auto"/>
                <w:szCs w:val="21"/>
                <w:highlight w:val="none"/>
              </w:rPr>
            </w:pPr>
            <w:r>
              <w:rPr>
                <w:rFonts w:ascii="宋体" w:hAnsi="宋体"/>
                <w:color w:val="auto"/>
                <w:szCs w:val="21"/>
                <w:highlight w:val="none"/>
              </w:rPr>
              <w:t>（1）以中标通知书中</w:t>
            </w:r>
            <w:r>
              <w:rPr>
                <w:rFonts w:hint="eastAsia" w:ascii="宋体" w:hAnsi="宋体"/>
                <w:color w:val="auto"/>
                <w:szCs w:val="21"/>
                <w:highlight w:val="none"/>
              </w:rPr>
              <w:t>的</w:t>
            </w:r>
            <w:r>
              <w:rPr>
                <w:rFonts w:hint="eastAsia" w:ascii="宋体" w:hAnsi="宋体"/>
                <w:color w:val="auto"/>
                <w:szCs w:val="21"/>
                <w:highlight w:val="none"/>
                <w:lang w:eastAsia="zh-CN"/>
              </w:rPr>
              <w:t>总</w:t>
            </w:r>
            <w:r>
              <w:rPr>
                <w:rFonts w:hint="eastAsia" w:ascii="宋体" w:hAnsi="宋体"/>
                <w:bCs/>
                <w:color w:val="auto"/>
                <w:highlight w:val="none"/>
              </w:rPr>
              <w:t>中标金额作为招标代理服务费的计算基数。</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招标代理服务费收费采用差额定率累进法计算方式。按中华人民共和国国家发展计划委员会颁发的计价格[2002]1980号、</w:t>
            </w:r>
            <w:r>
              <w:rPr>
                <w:rFonts w:ascii="宋体" w:hAnsi="宋体"/>
                <w:color w:val="auto"/>
                <w:szCs w:val="21"/>
                <w:highlight w:val="none"/>
              </w:rPr>
              <w:t>国家发改委[2003]857号</w:t>
            </w:r>
            <w:r>
              <w:rPr>
                <w:rFonts w:hint="eastAsia" w:ascii="宋体" w:hAnsi="宋体"/>
                <w:color w:val="auto"/>
                <w:szCs w:val="21"/>
                <w:highlight w:val="none"/>
              </w:rPr>
              <w:t>及发改价格</w:t>
            </w:r>
            <w:r>
              <w:rPr>
                <w:rFonts w:hint="eastAsia" w:ascii="宋体" w:hAnsi="宋体"/>
                <w:color w:val="auto"/>
                <w:szCs w:val="21"/>
                <w:highlight w:val="none"/>
              </w:rPr>
              <w:sym w:font="Symbol" w:char="F05B"/>
            </w:r>
            <w:r>
              <w:rPr>
                <w:rFonts w:hint="eastAsia" w:ascii="宋体" w:hAnsi="宋体"/>
                <w:color w:val="auto"/>
                <w:szCs w:val="21"/>
                <w:highlight w:val="none"/>
              </w:rPr>
              <w:t>2011</w:t>
            </w:r>
            <w:r>
              <w:rPr>
                <w:rFonts w:hint="eastAsia" w:ascii="宋体" w:hAnsi="宋体"/>
                <w:color w:val="auto"/>
                <w:szCs w:val="21"/>
                <w:highlight w:val="none"/>
              </w:rPr>
              <w:sym w:font="Symbol" w:char="F05D"/>
            </w:r>
            <w:r>
              <w:rPr>
                <w:rFonts w:hint="eastAsia" w:ascii="宋体" w:hAnsi="宋体"/>
                <w:color w:val="auto"/>
                <w:szCs w:val="21"/>
                <w:highlight w:val="none"/>
              </w:rPr>
              <w:t>534号文规定的“服务类”计算。</w:t>
            </w:r>
          </w:p>
          <w:p>
            <w:pPr>
              <w:adjustRightInd w:val="0"/>
              <w:snapToGrid w:val="0"/>
              <w:spacing w:line="380" w:lineRule="exact"/>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2</w:t>
            </w:r>
            <w:r>
              <w:rPr>
                <w:rFonts w:ascii="宋体" w:hAnsi="宋体"/>
                <w:color w:val="auto"/>
                <w:szCs w:val="21"/>
                <w:highlight w:val="none"/>
              </w:rPr>
              <w:t>）招标代理服务费的缴纳形式：向招标代理机构直接缴纳招标代理服务费。可用支票、汇票、电汇、现金等付款方式</w:t>
            </w:r>
            <w:r>
              <w:rPr>
                <w:rFonts w:hint="eastAsia" w:ascii="宋体" w:hAnsi="宋体"/>
                <w:color w:val="auto"/>
                <w:szCs w:val="21"/>
                <w:highlight w:val="none"/>
              </w:rPr>
              <w:t>。</w:t>
            </w:r>
          </w:p>
          <w:p>
            <w:pPr>
              <w:adjustRightInd w:val="0"/>
              <w:snapToGrid w:val="0"/>
              <w:spacing w:line="380" w:lineRule="exact"/>
              <w:rPr>
                <w:rFonts w:hint="eastAsia"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 xml:space="preserve"> 投标人应签署</w:t>
            </w:r>
            <w:r>
              <w:rPr>
                <w:rFonts w:hint="eastAsia" w:ascii="宋体" w:hAnsi="宋体"/>
                <w:color w:val="auto"/>
                <w:szCs w:val="21"/>
                <w:highlight w:val="none"/>
              </w:rPr>
              <w:t>第七</w:t>
            </w:r>
            <w:r>
              <w:rPr>
                <w:rFonts w:ascii="宋体" w:hAnsi="宋体"/>
                <w:color w:val="auto"/>
                <w:szCs w:val="21"/>
                <w:highlight w:val="none"/>
              </w:rPr>
              <w:t>章所附格式的招标代理服务费承诺书，作为投标文件的一部分。</w:t>
            </w:r>
          </w:p>
          <w:p>
            <w:pPr>
              <w:adjustRightInd w:val="0"/>
              <w:snapToGrid w:val="0"/>
              <w:spacing w:line="380" w:lineRule="exact"/>
              <w:rPr>
                <w:rFonts w:hint="eastAsia" w:ascii="宋体" w:hAnsi="宋体"/>
                <w:color w:val="auto"/>
                <w:szCs w:val="21"/>
                <w:highlight w:val="none"/>
              </w:rPr>
            </w:pPr>
            <w:r>
              <w:rPr>
                <w:rFonts w:hint="eastAsia" w:ascii="宋体" w:hAnsi="宋体"/>
                <w:bCs/>
                <w:color w:val="auto"/>
                <w:highlight w:val="none"/>
              </w:rPr>
              <w:t>3.</w:t>
            </w:r>
            <w:r>
              <w:rPr>
                <w:rFonts w:ascii="宋体" w:hAnsi="宋体"/>
                <w:bCs/>
                <w:color w:val="auto"/>
                <w:highlight w:val="none"/>
              </w:rPr>
              <w:t xml:space="preserve"> </w:t>
            </w:r>
            <w:r>
              <w:rPr>
                <w:rFonts w:hint="eastAsia" w:ascii="宋体" w:hAnsi="宋体"/>
                <w:bCs/>
                <w:color w:val="auto"/>
                <w:highlight w:val="none"/>
              </w:rPr>
              <w:t>中标人向采购代理机构交纳招标代理服务费，须</w:t>
            </w:r>
            <w:r>
              <w:rPr>
                <w:rFonts w:hint="eastAsia" w:ascii="宋体" w:hAnsi="宋体"/>
                <w:b/>
                <w:bCs/>
                <w:color w:val="auto"/>
                <w:highlight w:val="none"/>
              </w:rPr>
              <w:t>凭领取人的身份证复印件并加盖公章</w:t>
            </w:r>
            <w:r>
              <w:rPr>
                <w:rFonts w:hint="eastAsia" w:ascii="宋体" w:hAnsi="宋体"/>
                <w:bCs/>
                <w:color w:val="auto"/>
                <w:highlight w:val="none"/>
              </w:rPr>
              <w:t>领取中标通知书。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9138" w:type="dxa"/>
            <w:gridSpan w:val="2"/>
            <w:tcBorders>
              <w:left w:val="single" w:color="auto" w:sz="12" w:space="0"/>
              <w:bottom w:val="single" w:color="auto" w:sz="12" w:space="0"/>
              <w:right w:val="single" w:color="auto" w:sz="12" w:space="0"/>
            </w:tcBorders>
            <w:vAlign w:val="center"/>
          </w:tcPr>
          <w:p>
            <w:pPr>
              <w:numPr>
                <w:ilvl w:val="0"/>
                <w:numId w:val="0"/>
              </w:numPr>
              <w:snapToGrid w:val="0"/>
              <w:spacing w:line="380" w:lineRule="exact"/>
              <w:rPr>
                <w:rFonts w:hint="eastAsia" w:ascii="宋体" w:hAnsi="宋体"/>
                <w:color w:val="auto"/>
                <w:highlight w:val="none"/>
              </w:rPr>
            </w:pPr>
            <w:r>
              <w:rPr>
                <w:rFonts w:hint="eastAsia" w:ascii="宋体" w:hAnsi="宋体"/>
                <w:color w:val="auto"/>
                <w:highlight w:val="none"/>
              </w:rPr>
              <w:t>补充条款：</w:t>
            </w:r>
          </w:p>
          <w:p>
            <w:pPr>
              <w:numPr>
                <w:ilvl w:val="0"/>
                <w:numId w:val="6"/>
              </w:numPr>
              <w:snapToGrid w:val="0"/>
              <w:spacing w:line="380" w:lineRule="exact"/>
              <w:ind w:left="0" w:leftChars="0" w:firstLine="0" w:firstLineChars="0"/>
              <w:rPr>
                <w:rFonts w:hint="eastAsia" w:ascii="宋体"/>
                <w:bCs/>
                <w:color w:val="auto"/>
                <w:szCs w:val="20"/>
                <w:highlight w:val="none"/>
              </w:rPr>
            </w:pPr>
            <w:r>
              <w:rPr>
                <w:rFonts w:hint="eastAsia" w:ascii="宋体"/>
                <w:bCs/>
                <w:color w:val="auto"/>
                <w:szCs w:val="20"/>
                <w:highlight w:val="none"/>
              </w:rPr>
              <w:t>本项目相关公告在以下媒体发布：</w:t>
            </w:r>
            <w:r>
              <w:rPr>
                <w:rFonts w:hint="eastAsia" w:ascii="宋体" w:hAnsi="宋体" w:eastAsia="宋体" w:cs="宋体"/>
                <w:bCs/>
                <w:color w:val="auto"/>
                <w:szCs w:val="20"/>
                <w:highlight w:val="none"/>
              </w:rPr>
              <w:t>佛山市南海公有资产流转服务有限公司网站（http://nhgzlz.com/）、南海区公共资源交易网网站(</w:t>
            </w:r>
            <w:r>
              <w:rPr>
                <w:rFonts w:hint="eastAsia" w:ascii="宋体" w:hAnsi="宋体" w:eastAsia="宋体" w:cs="宋体"/>
                <w:bCs/>
                <w:color w:val="auto"/>
                <w:szCs w:val="20"/>
                <w:highlight w:val="none"/>
              </w:rPr>
              <w:fldChar w:fldCharType="begin"/>
            </w:r>
            <w:r>
              <w:rPr>
                <w:rFonts w:hint="eastAsia" w:ascii="宋体" w:hAnsi="宋体" w:eastAsia="宋体" w:cs="宋体"/>
                <w:bCs/>
                <w:color w:val="auto"/>
                <w:szCs w:val="20"/>
                <w:highlight w:val="none"/>
              </w:rPr>
              <w:instrText xml:space="preserve"> HYPERLINK "http://www.nanhai.gov.cn/cms/html/7849/column_7849_1.html" </w:instrText>
            </w:r>
            <w:r>
              <w:rPr>
                <w:rFonts w:hint="eastAsia" w:ascii="宋体" w:hAnsi="宋体" w:eastAsia="宋体" w:cs="宋体"/>
                <w:bCs/>
                <w:color w:val="auto"/>
                <w:szCs w:val="20"/>
                <w:highlight w:val="none"/>
              </w:rPr>
              <w:fldChar w:fldCharType="separate"/>
            </w:r>
            <w:r>
              <w:rPr>
                <w:rFonts w:hint="eastAsia" w:ascii="宋体" w:hAnsi="宋体" w:eastAsia="宋体" w:cs="宋体"/>
                <w:bCs/>
                <w:color w:val="auto"/>
                <w:szCs w:val="20"/>
                <w:highlight w:val="none"/>
              </w:rPr>
              <w:t>http://www.nanhai.gov.cn/)</w:t>
            </w:r>
            <w:r>
              <w:rPr>
                <w:rFonts w:hint="eastAsia" w:ascii="宋体" w:hAnsi="宋体" w:eastAsia="宋体" w:cs="宋体"/>
                <w:bCs/>
                <w:color w:val="auto"/>
                <w:szCs w:val="20"/>
                <w:highlight w:val="none"/>
              </w:rPr>
              <w:fldChar w:fldCharType="end"/>
            </w:r>
            <w:r>
              <w:rPr>
                <w:rFonts w:hint="eastAsia" w:ascii="宋体" w:hAnsi="宋体" w:eastAsia="宋体" w:cs="宋体"/>
                <w:bCs/>
                <w:color w:val="auto"/>
                <w:szCs w:val="20"/>
                <w:highlight w:val="none"/>
              </w:rPr>
              <w:t>、佛山市公共资源交易网网站(</w:t>
            </w:r>
            <w:r>
              <w:rPr>
                <w:rFonts w:hint="eastAsia" w:ascii="宋体" w:hAnsi="宋体" w:eastAsia="宋体" w:cs="宋体"/>
                <w:bCs/>
                <w:color w:val="auto"/>
                <w:szCs w:val="20"/>
                <w:highlight w:val="none"/>
              </w:rPr>
              <w:fldChar w:fldCharType="begin"/>
            </w:r>
            <w:r>
              <w:rPr>
                <w:rFonts w:hint="eastAsia" w:ascii="宋体" w:hAnsi="宋体" w:eastAsia="宋体" w:cs="宋体"/>
                <w:bCs/>
                <w:color w:val="auto"/>
                <w:szCs w:val="20"/>
                <w:highlight w:val="none"/>
              </w:rPr>
              <w:instrText xml:space="preserve"> HYPERLINK "http://www.fsggzy.cn/" </w:instrText>
            </w:r>
            <w:r>
              <w:rPr>
                <w:rFonts w:hint="eastAsia" w:ascii="宋体" w:hAnsi="宋体" w:eastAsia="宋体" w:cs="宋体"/>
                <w:bCs/>
                <w:color w:val="auto"/>
                <w:szCs w:val="20"/>
                <w:highlight w:val="none"/>
              </w:rPr>
              <w:fldChar w:fldCharType="separate"/>
            </w:r>
            <w:r>
              <w:rPr>
                <w:rFonts w:hint="eastAsia" w:ascii="宋体" w:hAnsi="宋体" w:eastAsia="宋体" w:cs="宋体"/>
                <w:bCs/>
                <w:color w:val="auto"/>
                <w:szCs w:val="20"/>
                <w:highlight w:val="none"/>
              </w:rPr>
              <w:t>http://www.fsggzy.cn/</w:t>
            </w:r>
            <w:r>
              <w:rPr>
                <w:rFonts w:hint="eastAsia" w:ascii="宋体" w:hAnsi="宋体" w:eastAsia="宋体" w:cs="宋体"/>
                <w:bCs/>
                <w:color w:val="auto"/>
                <w:szCs w:val="20"/>
                <w:highlight w:val="none"/>
              </w:rPr>
              <w:fldChar w:fldCharType="end"/>
            </w:r>
            <w:r>
              <w:rPr>
                <w:rFonts w:hint="eastAsia" w:ascii="宋体" w:hAnsi="宋体" w:eastAsia="宋体" w:cs="宋体"/>
                <w:bCs/>
                <w:color w:val="auto"/>
                <w:szCs w:val="20"/>
                <w:highlight w:val="none"/>
              </w:rPr>
              <w:t>)及采购代理机构网站（http://www.gdzczb.com/）上公布之日即视为有效送达，不再另行通知。</w:t>
            </w:r>
          </w:p>
          <w:p>
            <w:pPr>
              <w:snapToGrid w:val="0"/>
              <w:spacing w:line="380" w:lineRule="exact"/>
              <w:rPr>
                <w:rFonts w:hint="eastAsia" w:ascii="宋体" w:hAnsi="宋体"/>
                <w:color w:val="auto"/>
                <w:highlight w:val="none"/>
              </w:rPr>
            </w:pPr>
            <w:r>
              <w:rPr>
                <w:rFonts w:hint="eastAsia" w:ascii="宋体" w:hAnsi="宋体"/>
                <w:color w:val="auto"/>
                <w:highlight w:val="none"/>
                <w:lang w:val="en-US" w:eastAsia="zh-CN"/>
              </w:rPr>
              <w:t>2、</w:t>
            </w:r>
            <w:r>
              <w:rPr>
                <w:rFonts w:hint="eastAsia" w:ascii="宋体" w:hAnsi="宋体"/>
                <w:color w:val="auto"/>
                <w:highlight w:val="none"/>
              </w:rPr>
              <w:t>评审结果确定后，</w:t>
            </w:r>
            <w:r>
              <w:rPr>
                <w:rFonts w:hint="eastAsia" w:ascii="宋体" w:hAnsi="宋体"/>
                <w:color w:val="auto"/>
                <w:highlight w:val="none"/>
                <w:lang w:eastAsia="zh-CN"/>
              </w:rPr>
              <w:t>招标人</w:t>
            </w:r>
            <w:r>
              <w:rPr>
                <w:rFonts w:hint="eastAsia" w:ascii="宋体" w:hAnsi="宋体"/>
                <w:color w:val="auto"/>
                <w:highlight w:val="none"/>
              </w:rPr>
              <w:t>根据需要通知</w:t>
            </w:r>
            <w:r>
              <w:rPr>
                <w:rFonts w:ascii="宋体" w:hAnsi="宋体"/>
                <w:color w:val="auto"/>
                <w:highlight w:val="none"/>
              </w:rPr>
              <w:t>评标委员会</w:t>
            </w:r>
            <w:r>
              <w:rPr>
                <w:rFonts w:hint="eastAsia" w:ascii="宋体" w:hAnsi="宋体"/>
                <w:color w:val="auto"/>
                <w:highlight w:val="none"/>
              </w:rPr>
              <w:t>推荐的第一中标候选人在2个工作日内，按投标文件中所列清单中的相关证件、证明文件、合同等文件的原件送</w:t>
            </w:r>
            <w:r>
              <w:rPr>
                <w:rFonts w:hint="eastAsia" w:ascii="宋体" w:hAnsi="宋体"/>
                <w:color w:val="auto"/>
                <w:highlight w:val="none"/>
                <w:lang w:eastAsia="zh-CN"/>
              </w:rPr>
              <w:t>招标人</w:t>
            </w:r>
            <w:r>
              <w:rPr>
                <w:rFonts w:hint="eastAsia" w:ascii="宋体" w:hAnsi="宋体"/>
                <w:color w:val="auto"/>
                <w:highlight w:val="none"/>
              </w:rPr>
              <w:t>核对与投标人投标文件中的复印件是否一致。</w:t>
            </w:r>
            <w:r>
              <w:rPr>
                <w:rFonts w:hint="eastAsia" w:ascii="宋体" w:hAnsi="宋体"/>
                <w:color w:val="auto"/>
                <w:highlight w:val="none"/>
                <w:lang w:eastAsia="zh-CN"/>
              </w:rPr>
              <w:t>招标人</w:t>
            </w:r>
            <w:r>
              <w:rPr>
                <w:rFonts w:hint="eastAsia" w:ascii="宋体" w:hAnsi="宋体"/>
                <w:color w:val="auto"/>
                <w:highlight w:val="none"/>
              </w:rPr>
              <w:t>在接到原件之日起3个工作日内，核对没有不一致的，须确认中标人；核对发现有不一致或第一中标候选人无正当理由不按时提供原件的，书面向采购代理机构提出，并报同级监管部门核实后按投标无效处理。</w:t>
            </w:r>
          </w:p>
        </w:tc>
      </w:tr>
    </w:tbl>
    <w:p>
      <w:pPr>
        <w:adjustRightInd w:val="0"/>
        <w:snapToGrid w:val="0"/>
        <w:spacing w:before="156" w:beforeLines="50" w:after="156" w:afterLines="50" w:line="360" w:lineRule="auto"/>
        <w:jc w:val="center"/>
        <w:outlineLvl w:val="0"/>
        <w:rPr>
          <w:rFonts w:hint="eastAsia"/>
          <w:color w:val="auto"/>
          <w:highlight w:val="none"/>
        </w:rPr>
      </w:pPr>
      <w:r>
        <w:rPr>
          <w:color w:val="auto"/>
          <w:highlight w:val="none"/>
        </w:rPr>
        <w:br w:type="page"/>
      </w:r>
      <w:bookmarkStart w:id="2" w:name="_Toc12140"/>
      <w:r>
        <w:rPr>
          <w:rFonts w:hint="eastAsia"/>
          <w:b/>
          <w:bCs/>
          <w:color w:val="auto"/>
          <w:sz w:val="28"/>
          <w:szCs w:val="28"/>
          <w:highlight w:val="none"/>
        </w:rPr>
        <w:t>第三章  用户需求书</w:t>
      </w:r>
      <w:bookmarkEnd w:id="2"/>
    </w:p>
    <w:p>
      <w:pPr>
        <w:snapToGrid w:val="0"/>
        <w:spacing w:line="360" w:lineRule="auto"/>
        <w:rPr>
          <w:rFonts w:ascii="宋体"/>
          <w:b/>
          <w:bCs/>
          <w:color w:val="auto"/>
          <w:szCs w:val="21"/>
          <w:highlight w:val="none"/>
          <w:u w:val="none"/>
        </w:rPr>
      </w:pPr>
      <w:r>
        <w:rPr>
          <w:rFonts w:hint="eastAsia" w:ascii="宋体"/>
          <w:b/>
          <w:bCs/>
          <w:color w:val="auto"/>
          <w:szCs w:val="21"/>
          <w:highlight w:val="none"/>
        </w:rPr>
        <w:t>说明：</w:t>
      </w:r>
    </w:p>
    <w:p>
      <w:pPr>
        <w:numPr>
          <w:ilvl w:val="0"/>
          <w:numId w:val="7"/>
        </w:numPr>
        <w:adjustRightInd w:val="0"/>
        <w:snapToGrid w:val="0"/>
        <w:spacing w:line="360" w:lineRule="auto"/>
        <w:rPr>
          <w:rFonts w:hint="eastAsia" w:ascii="宋体"/>
          <w:b/>
          <w:bCs/>
          <w:color w:val="auto"/>
          <w:szCs w:val="20"/>
          <w:highlight w:val="none"/>
          <w:u w:val="none"/>
        </w:rPr>
      </w:pPr>
      <w:r>
        <w:rPr>
          <w:rFonts w:hint="eastAsia" w:ascii="宋体"/>
          <w:b/>
          <w:bCs/>
          <w:color w:val="auto"/>
          <w:szCs w:val="20"/>
          <w:highlight w:val="none"/>
          <w:u w:val="none"/>
        </w:rPr>
        <w:t xml:space="preserve">投标人须对本项目为单位的服务进行整体响应，任何只对其中一部分内容进行的响应都被视为无效响应。 </w:t>
      </w:r>
    </w:p>
    <w:p>
      <w:pPr>
        <w:numPr>
          <w:ilvl w:val="0"/>
          <w:numId w:val="7"/>
        </w:numPr>
        <w:adjustRightInd w:val="0"/>
        <w:snapToGrid w:val="0"/>
        <w:spacing w:line="360" w:lineRule="auto"/>
        <w:rPr>
          <w:rFonts w:ascii="宋体"/>
          <w:b/>
          <w:bCs/>
          <w:color w:val="auto"/>
          <w:szCs w:val="20"/>
          <w:highlight w:val="none"/>
          <w:u w:val="none"/>
        </w:rPr>
      </w:pPr>
      <w:r>
        <w:rPr>
          <w:rFonts w:hint="eastAsia" w:ascii="宋体"/>
          <w:b/>
          <w:bCs/>
          <w:color w:val="auto"/>
          <w:szCs w:val="20"/>
          <w:highlight w:val="none"/>
          <w:u w:val="none"/>
        </w:rPr>
        <w:t>用户需求书中打</w:t>
      </w:r>
      <w:r>
        <w:rPr>
          <w:rFonts w:ascii="宋体"/>
          <w:b/>
          <w:bCs/>
          <w:color w:val="auto"/>
          <w:szCs w:val="20"/>
          <w:highlight w:val="none"/>
          <w:u w:val="none"/>
        </w:rPr>
        <w:t>“</w:t>
      </w:r>
      <w:r>
        <w:rPr>
          <w:rFonts w:hint="eastAsia" w:ascii="宋体"/>
          <w:b/>
          <w:bCs/>
          <w:color w:val="auto"/>
          <w:szCs w:val="20"/>
          <w:highlight w:val="none"/>
          <w:u w:val="none"/>
        </w:rPr>
        <w:t>▲</w:t>
      </w:r>
      <w:r>
        <w:rPr>
          <w:rFonts w:ascii="宋体"/>
          <w:b/>
          <w:bCs/>
          <w:color w:val="auto"/>
          <w:szCs w:val="20"/>
          <w:highlight w:val="none"/>
          <w:u w:val="none"/>
        </w:rPr>
        <w:t>”</w:t>
      </w:r>
      <w:r>
        <w:rPr>
          <w:rFonts w:hint="eastAsia" w:ascii="宋体"/>
          <w:b/>
          <w:bCs/>
          <w:color w:val="auto"/>
          <w:szCs w:val="20"/>
          <w:highlight w:val="none"/>
          <w:u w:val="none"/>
        </w:rPr>
        <w:t>号条款为重要技术参数，但不作为无效投标条款。</w:t>
      </w:r>
      <w:r>
        <w:rPr>
          <w:rFonts w:ascii="宋体"/>
          <w:b/>
          <w:bCs/>
          <w:color w:val="auto"/>
          <w:szCs w:val="21"/>
          <w:highlight w:val="none"/>
          <w:u w:val="none"/>
        </w:rPr>
        <w:t xml:space="preserve"> </w:t>
      </w:r>
    </w:p>
    <w:tbl>
      <w:tblPr>
        <w:tblStyle w:val="17"/>
        <w:tblW w:w="8105" w:type="dxa"/>
        <w:jc w:val="center"/>
        <w:tblInd w:w="168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2415"/>
        <w:gridCol w:w="26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3060" w:type="dxa"/>
            <w:tcBorders>
              <w:top w:val="single" w:color="auto" w:sz="12" w:space="0"/>
              <w:bottom w:val="double" w:color="auto" w:sz="4" w:space="0"/>
            </w:tcBorders>
            <w:shd w:val="clear" w:color="auto" w:fill="EEECE1"/>
            <w:vAlign w:val="center"/>
          </w:tcPr>
          <w:p>
            <w:pPr>
              <w:spacing w:line="360" w:lineRule="auto"/>
              <w:jc w:val="center"/>
              <w:rPr>
                <w:rFonts w:hint="eastAsia" w:ascii="宋体"/>
                <w:b/>
                <w:color w:val="auto"/>
                <w:szCs w:val="21"/>
                <w:highlight w:val="none"/>
                <w:u w:val="none"/>
              </w:rPr>
            </w:pPr>
            <w:r>
              <w:rPr>
                <w:rFonts w:hint="eastAsia" w:ascii="宋体"/>
                <w:b/>
                <w:color w:val="auto"/>
                <w:szCs w:val="21"/>
                <w:highlight w:val="none"/>
                <w:u w:val="none"/>
              </w:rPr>
              <w:t>采购内容</w:t>
            </w:r>
          </w:p>
        </w:tc>
        <w:tc>
          <w:tcPr>
            <w:tcW w:w="2415" w:type="dxa"/>
            <w:tcBorders>
              <w:top w:val="single" w:color="auto" w:sz="12" w:space="0"/>
              <w:bottom w:val="double" w:color="auto" w:sz="4" w:space="0"/>
            </w:tcBorders>
            <w:shd w:val="clear" w:color="auto" w:fill="EEECE1"/>
            <w:vAlign w:val="center"/>
          </w:tcPr>
          <w:p>
            <w:pPr>
              <w:spacing w:line="360" w:lineRule="auto"/>
              <w:jc w:val="center"/>
              <w:rPr>
                <w:rFonts w:hint="eastAsia" w:ascii="宋体"/>
                <w:b/>
                <w:color w:val="auto"/>
                <w:szCs w:val="21"/>
                <w:highlight w:val="none"/>
                <w:u w:val="none"/>
              </w:rPr>
            </w:pPr>
            <w:r>
              <w:rPr>
                <w:rFonts w:hint="eastAsia" w:ascii="宋体"/>
                <w:b/>
                <w:color w:val="auto"/>
                <w:szCs w:val="21"/>
                <w:highlight w:val="none"/>
                <w:u w:val="none"/>
              </w:rPr>
              <w:t>服务期</w:t>
            </w:r>
          </w:p>
        </w:tc>
        <w:tc>
          <w:tcPr>
            <w:tcW w:w="2630" w:type="dxa"/>
            <w:tcBorders>
              <w:top w:val="single" w:color="auto" w:sz="12" w:space="0"/>
              <w:bottom w:val="double" w:color="auto" w:sz="4" w:space="0"/>
            </w:tcBorders>
            <w:shd w:val="clear" w:color="auto" w:fill="EEECE1"/>
            <w:vAlign w:val="center"/>
          </w:tcPr>
          <w:p>
            <w:pPr>
              <w:spacing w:line="360" w:lineRule="auto"/>
              <w:jc w:val="center"/>
              <w:rPr>
                <w:rFonts w:hint="eastAsia" w:ascii="宋体"/>
                <w:b/>
                <w:color w:val="auto"/>
                <w:szCs w:val="21"/>
                <w:highlight w:val="none"/>
                <w:u w:val="none"/>
              </w:rPr>
            </w:pPr>
            <w:r>
              <w:rPr>
                <w:rFonts w:hint="eastAsia" w:ascii="宋体"/>
                <w:b/>
                <w:color w:val="auto"/>
                <w:szCs w:val="21"/>
                <w:highlight w:val="none"/>
                <w:u w:val="none"/>
              </w:rPr>
              <w:t>最高</w:t>
            </w:r>
            <w:r>
              <w:rPr>
                <w:rFonts w:hint="eastAsia" w:ascii="宋体"/>
                <w:b/>
                <w:color w:val="auto"/>
                <w:szCs w:val="21"/>
                <w:highlight w:val="none"/>
                <w:u w:val="none"/>
                <w:lang w:eastAsia="zh-CN"/>
              </w:rPr>
              <w:t>总</w:t>
            </w:r>
            <w:r>
              <w:rPr>
                <w:rFonts w:hint="eastAsia" w:ascii="宋体"/>
                <w:b/>
                <w:color w:val="auto"/>
                <w:szCs w:val="21"/>
                <w:highlight w:val="none"/>
                <w:u w:val="none"/>
              </w:rPr>
              <w:t>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3060" w:type="dxa"/>
            <w:tcBorders>
              <w:top w:val="single" w:color="auto" w:sz="4" w:space="0"/>
            </w:tcBorders>
            <w:vAlign w:val="center"/>
          </w:tcPr>
          <w:p>
            <w:pPr>
              <w:spacing w:line="240" w:lineRule="auto"/>
              <w:jc w:val="center"/>
              <w:rPr>
                <w:rFonts w:ascii="宋体"/>
                <w:bCs/>
                <w:color w:val="auto"/>
                <w:szCs w:val="21"/>
                <w:highlight w:val="none"/>
                <w:u w:val="none"/>
              </w:rPr>
            </w:pPr>
            <w:r>
              <w:rPr>
                <w:rFonts w:hint="eastAsia" w:ascii="宋体" w:hAnsi="等线" w:cs="宋体"/>
                <w:color w:val="auto"/>
                <w:kern w:val="0"/>
                <w:szCs w:val="21"/>
                <w:highlight w:val="none"/>
                <w:u w:val="none"/>
              </w:rPr>
              <w:t>数字档案管理系统及配套服务、设备采购</w:t>
            </w:r>
          </w:p>
        </w:tc>
        <w:tc>
          <w:tcPr>
            <w:tcW w:w="2415" w:type="dxa"/>
            <w:tcBorders>
              <w:top w:val="single" w:color="auto" w:sz="4" w:space="0"/>
            </w:tcBorders>
            <w:vAlign w:val="center"/>
          </w:tcPr>
          <w:p>
            <w:pPr>
              <w:pStyle w:val="18"/>
              <w:spacing w:line="440" w:lineRule="exact"/>
              <w:ind w:firstLine="120"/>
              <w:rPr>
                <w:rFonts w:hint="eastAsia"/>
                <w:snapToGrid/>
                <w:color w:val="auto"/>
                <w:spacing w:val="0"/>
                <w:kern w:val="2"/>
                <w:sz w:val="21"/>
                <w:szCs w:val="24"/>
                <w:highlight w:val="none"/>
                <w:u w:val="none"/>
              </w:rPr>
            </w:pPr>
            <w:r>
              <w:rPr>
                <w:rFonts w:hint="eastAsia" w:ascii="宋体" w:hAnsi="宋体"/>
                <w:snapToGrid/>
                <w:color w:val="auto"/>
                <w:spacing w:val="0"/>
                <w:kern w:val="2"/>
                <w:sz w:val="21"/>
                <w:szCs w:val="21"/>
                <w:highlight w:val="none"/>
                <w:u w:val="none"/>
              </w:rPr>
              <w:t>自合同签订之日起</w:t>
            </w:r>
            <w:r>
              <w:rPr>
                <w:rFonts w:hint="eastAsia" w:ascii="宋体" w:hAnsi="宋体"/>
                <w:snapToGrid/>
                <w:color w:val="auto"/>
                <w:spacing w:val="0"/>
                <w:kern w:val="2"/>
                <w:sz w:val="21"/>
                <w:szCs w:val="21"/>
                <w:highlight w:val="none"/>
                <w:u w:val="none"/>
                <w:lang w:val="en-US" w:eastAsia="zh-CN"/>
              </w:rPr>
              <w:t>2年</w:t>
            </w:r>
          </w:p>
        </w:tc>
        <w:tc>
          <w:tcPr>
            <w:tcW w:w="2630" w:type="dxa"/>
            <w:tcBorders>
              <w:top w:val="single" w:color="auto" w:sz="4" w:space="0"/>
            </w:tcBorders>
            <w:vAlign w:val="center"/>
          </w:tcPr>
          <w:p>
            <w:pPr>
              <w:pStyle w:val="18"/>
              <w:spacing w:line="440" w:lineRule="exact"/>
              <w:ind w:firstLine="120"/>
              <w:rPr>
                <w:rFonts w:hint="eastAsia"/>
                <w:snapToGrid/>
                <w:color w:val="auto"/>
                <w:spacing w:val="0"/>
                <w:kern w:val="2"/>
                <w:sz w:val="21"/>
                <w:szCs w:val="24"/>
                <w:highlight w:val="none"/>
                <w:u w:val="none"/>
              </w:rPr>
            </w:pPr>
            <w:r>
              <w:rPr>
                <w:rFonts w:hint="eastAsia" w:ascii="宋体" w:hAnsi="宋体"/>
                <w:snapToGrid/>
                <w:color w:val="auto"/>
                <w:spacing w:val="0"/>
                <w:kern w:val="2"/>
                <w:sz w:val="21"/>
                <w:szCs w:val="21"/>
                <w:highlight w:val="none"/>
                <w:u w:val="none"/>
              </w:rPr>
              <w:t>人民币4,651,041.66元</w:t>
            </w:r>
          </w:p>
        </w:tc>
      </w:tr>
    </w:tbl>
    <w:p>
      <w:pPr>
        <w:pStyle w:val="8"/>
        <w:numPr>
          <w:ilvl w:val="0"/>
          <w:numId w:val="8"/>
        </w:numPr>
        <w:tabs>
          <w:tab w:val="left" w:pos="540"/>
        </w:tabs>
        <w:adjustRightInd w:val="0"/>
        <w:snapToGrid w:val="0"/>
        <w:spacing w:line="360" w:lineRule="auto"/>
        <w:rPr>
          <w:rFonts w:hint="eastAsia" w:hAnsi="宋体"/>
          <w:b/>
          <w:color w:val="auto"/>
          <w:highlight w:val="none"/>
        </w:rPr>
      </w:pPr>
      <w:r>
        <w:rPr>
          <w:rFonts w:hint="eastAsia" w:hAnsi="宋体"/>
          <w:b/>
          <w:bCs/>
          <w:color w:val="auto"/>
          <w:highlight w:val="none"/>
        </w:rPr>
        <w:t>项目概况</w:t>
      </w:r>
    </w:p>
    <w:p>
      <w:pPr>
        <w:spacing w:line="360" w:lineRule="auto"/>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招标人主要</w:t>
      </w:r>
      <w:r>
        <w:rPr>
          <w:rFonts w:hint="eastAsia" w:ascii="宋体" w:hAnsi="宋体" w:eastAsia="宋体" w:cs="宋体"/>
          <w:color w:val="auto"/>
          <w:szCs w:val="21"/>
          <w:highlight w:val="none"/>
        </w:rPr>
        <w:t>负责南海区域内新型公共交通系统（轨道交通）和铁路站场的投资建设和管理。随着轨道交通工程、铁路站场、站场运营、市政工程的投资建设、房地产开发、物业管理等工作全面开展，目前工程已经进入全面开工建设的关键时期。</w:t>
      </w:r>
    </w:p>
    <w:p>
      <w:pPr>
        <w:spacing w:line="360" w:lineRule="auto"/>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中共中央办公厅国务院办公厅印发《关于加强和改进新形势下档案工作的意见》的通知（中办发【2014】15号）及《国家重大建设项目文件归档要求与档案整理规范》（DA/T）28）等相关法规、政策要求。国家和相关部门十分重视档案信息化建设在建设工程项目工作中发挥的作用，加快推进建设工程档案信息化建设，切实推进档案存储数字化和利用网络化，用现代化、科学化、规范化管理工程档案，充分发挥档案的社会、经济效益。建设工程档案真实客观的记载着工程建设的全貌，对工程竣工验收、运行维护、技术更新改造、工程改扩建等具有重要利用价值。随着工程建设的推进，将产生大量、多门类载体的档案资料、</w:t>
      </w:r>
      <w:r>
        <w:rPr>
          <w:rFonts w:hint="eastAsia" w:ascii="宋体" w:hAnsi="宋体" w:eastAsia="宋体" w:cs="宋体"/>
          <w:color w:val="auto"/>
          <w:szCs w:val="21"/>
          <w:highlight w:val="none"/>
          <w:lang w:eastAsia="zh-CN"/>
        </w:rPr>
        <w:t>招标人</w:t>
      </w:r>
      <w:r>
        <w:rPr>
          <w:rFonts w:hint="eastAsia" w:ascii="宋体" w:hAnsi="宋体" w:eastAsia="宋体" w:cs="宋体"/>
          <w:color w:val="auto"/>
          <w:szCs w:val="21"/>
          <w:highlight w:val="none"/>
        </w:rPr>
        <w:t>应加强对工程档案的现代化管理，充分利用现代信息管理技术，加快建设工程档案的信息化建设进程，实现档案存储数字化和利用网络化。</w:t>
      </w:r>
    </w:p>
    <w:p>
      <w:pPr>
        <w:pStyle w:val="2"/>
        <w:keepNext w:val="0"/>
        <w:keepLines w:val="0"/>
        <w:pageBreakBefore w:val="0"/>
        <w:widowControl w:val="0"/>
        <w:kinsoku/>
        <w:wordWrap/>
        <w:overflowPunct/>
        <w:topLinePunct w:val="0"/>
        <w:autoSpaceDE/>
        <w:autoSpaceDN/>
        <w:bidi w:val="0"/>
        <w:adjustRightInd/>
        <w:snapToGrid/>
        <w:spacing w:before="25" w:after="25" w:line="360" w:lineRule="auto"/>
        <w:ind w:left="0" w:leftChars="0" w:right="0" w:rightChars="0" w:firstLine="460" w:firstLineChars="200"/>
        <w:jc w:val="left"/>
        <w:textAlignment w:val="auto"/>
        <w:outlineLvl w:val="9"/>
        <w:rPr>
          <w:rFonts w:hint="eastAsia" w:eastAsia="宋体"/>
          <w:color w:val="auto"/>
          <w:sz w:val="21"/>
          <w:szCs w:val="21"/>
          <w:highlight w:val="none"/>
          <w:lang w:val="en-US" w:eastAsia="zh-CN"/>
        </w:rPr>
      </w:pPr>
      <w:r>
        <w:rPr>
          <w:rFonts w:hint="eastAsia" w:eastAsia="宋体"/>
          <w:color w:val="auto"/>
          <w:sz w:val="21"/>
          <w:szCs w:val="21"/>
          <w:highlight w:val="none"/>
          <w:lang w:val="en-US" w:eastAsia="zh-CN"/>
        </w:rPr>
        <w:t>本项目将对数字档案管理系统及配套服务、设备采购进行招标，</w:t>
      </w:r>
      <w:r>
        <w:rPr>
          <w:rFonts w:hint="eastAsia"/>
          <w:color w:val="auto"/>
          <w:sz w:val="21"/>
          <w:szCs w:val="21"/>
          <w:highlight w:val="none"/>
          <w:lang w:val="en-US" w:eastAsia="zh-CN"/>
        </w:rPr>
        <w:t>其中</w:t>
      </w:r>
      <w:r>
        <w:rPr>
          <w:rFonts w:hint="eastAsia" w:ascii="宋体" w:hAnsi="宋体" w:eastAsia="宋体" w:cs="宋体"/>
          <w:color w:val="auto"/>
          <w:sz w:val="21"/>
          <w:szCs w:val="21"/>
          <w:highlight w:val="none"/>
        </w:rPr>
        <w:t>档案整理服务</w:t>
      </w:r>
      <w:r>
        <w:rPr>
          <w:rFonts w:hint="eastAsia" w:ascii="宋体" w:hAnsi="宋体" w:cs="宋体"/>
          <w:color w:val="auto"/>
          <w:sz w:val="21"/>
          <w:szCs w:val="21"/>
          <w:highlight w:val="none"/>
          <w:lang w:eastAsia="zh-CN"/>
        </w:rPr>
        <w:t>和</w:t>
      </w:r>
      <w:r>
        <w:rPr>
          <w:rFonts w:hint="eastAsia" w:ascii="宋体" w:hAnsi="宋体" w:eastAsia="宋体" w:cs="宋体"/>
          <w:color w:val="auto"/>
          <w:sz w:val="21"/>
          <w:szCs w:val="21"/>
          <w:highlight w:val="none"/>
        </w:rPr>
        <w:t>数字化加工服务</w:t>
      </w:r>
      <w:r>
        <w:rPr>
          <w:rFonts w:hint="eastAsia" w:ascii="宋体" w:hAnsi="宋体" w:cs="宋体"/>
          <w:color w:val="auto"/>
          <w:sz w:val="21"/>
          <w:szCs w:val="21"/>
          <w:highlight w:val="none"/>
          <w:lang w:eastAsia="zh-CN"/>
        </w:rPr>
        <w:t>，</w:t>
      </w:r>
      <w:r>
        <w:rPr>
          <w:rFonts w:hint="eastAsia" w:eastAsia="宋体"/>
          <w:color w:val="auto"/>
          <w:sz w:val="21"/>
          <w:szCs w:val="21"/>
          <w:highlight w:val="none"/>
          <w:lang w:val="en-US" w:eastAsia="zh-CN"/>
        </w:rPr>
        <w:t>除招标人外，用户方包括佛山市南海区佛山西站投资建设有限公司和佛山市南海大业佳诚投资有限公司</w:t>
      </w:r>
      <w:r>
        <w:rPr>
          <w:rFonts w:hint="eastAsia"/>
          <w:color w:val="auto"/>
          <w:sz w:val="21"/>
          <w:szCs w:val="21"/>
          <w:highlight w:val="none"/>
          <w:lang w:val="en-US" w:eastAsia="zh-CN"/>
        </w:rPr>
        <w:t>。</w:t>
      </w:r>
    </w:p>
    <w:p>
      <w:pPr>
        <w:pStyle w:val="8"/>
        <w:numPr>
          <w:ilvl w:val="0"/>
          <w:numId w:val="8"/>
        </w:numPr>
        <w:tabs>
          <w:tab w:val="left" w:pos="540"/>
        </w:tabs>
        <w:adjustRightInd w:val="0"/>
        <w:snapToGrid w:val="0"/>
        <w:spacing w:line="360" w:lineRule="auto"/>
        <w:rPr>
          <w:rFonts w:hint="eastAsia" w:hAnsi="宋体"/>
          <w:b/>
          <w:color w:val="auto"/>
          <w:highlight w:val="none"/>
        </w:rPr>
      </w:pPr>
      <w:r>
        <w:rPr>
          <w:rFonts w:hint="eastAsia" w:hAnsi="宋体"/>
          <w:b/>
          <w:color w:val="auto"/>
          <w:highlight w:val="none"/>
        </w:rPr>
        <w:t>采购清单一览表</w:t>
      </w:r>
    </w:p>
    <w:tbl>
      <w:tblPr>
        <w:tblStyle w:val="17"/>
        <w:tblW w:w="9132" w:type="dxa"/>
        <w:jc w:val="center"/>
        <w:tblInd w:w="-10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530"/>
        <w:gridCol w:w="3995"/>
        <w:gridCol w:w="133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top"/>
          </w:tcPr>
          <w:p>
            <w:pPr>
              <w:spacing w:line="24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530" w:type="dxa"/>
            <w:vAlign w:val="top"/>
          </w:tcPr>
          <w:p>
            <w:pPr>
              <w:spacing w:line="24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项目内容</w:t>
            </w:r>
          </w:p>
        </w:tc>
        <w:tc>
          <w:tcPr>
            <w:tcW w:w="3995" w:type="dxa"/>
            <w:vAlign w:val="top"/>
          </w:tcPr>
          <w:p>
            <w:pPr>
              <w:spacing w:line="24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参数要求</w:t>
            </w:r>
          </w:p>
        </w:tc>
        <w:tc>
          <w:tcPr>
            <w:tcW w:w="1330" w:type="dxa"/>
            <w:vAlign w:val="top"/>
          </w:tcPr>
          <w:p>
            <w:pPr>
              <w:spacing w:line="24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c>
          <w:tcPr>
            <w:tcW w:w="1630" w:type="dxa"/>
            <w:vAlign w:val="top"/>
          </w:tcPr>
          <w:p>
            <w:pPr>
              <w:spacing w:line="24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5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数字档案管理系统</w:t>
            </w:r>
          </w:p>
        </w:tc>
        <w:tc>
          <w:tcPr>
            <w:tcW w:w="399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详见技术指标要求</w:t>
            </w:r>
          </w:p>
        </w:tc>
        <w:tc>
          <w:tcPr>
            <w:tcW w:w="13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1套</w:t>
            </w:r>
          </w:p>
        </w:tc>
        <w:tc>
          <w:tcPr>
            <w:tcW w:w="16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设备所有权属</w:t>
            </w:r>
            <w:r>
              <w:rPr>
                <w:rFonts w:hint="eastAsia" w:ascii="宋体" w:hAnsi="宋体" w:eastAsia="宋体" w:cs="宋体"/>
                <w:color w:val="auto"/>
                <w:kern w:val="0"/>
                <w:sz w:val="21"/>
                <w:szCs w:val="21"/>
                <w:highlight w:val="none"/>
                <w:lang w:eastAsia="zh-CN"/>
              </w:rPr>
              <w:t>招标人</w:t>
            </w:r>
            <w:r>
              <w:rPr>
                <w:rFonts w:hint="eastAsia" w:ascii="宋体" w:hAnsi="宋体" w:eastAsia="宋体" w:cs="宋体"/>
                <w:color w:val="auto"/>
                <w:kern w:val="0"/>
                <w:sz w:val="21"/>
                <w:szCs w:val="21"/>
                <w:highlight w:val="none"/>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5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档案咨询服务</w:t>
            </w:r>
          </w:p>
        </w:tc>
        <w:tc>
          <w:tcPr>
            <w:tcW w:w="399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准规范建立、完善，形成《佛山市南海区铁路投资有限公司基本建设项目档案资料管理规定》、《佛山市南海区铁路投资有限公司电子文件归档与管理暂行规定》、《佛山市南海区铁路投资有限公司声像档案管理规定》等相关制度。</w:t>
            </w:r>
          </w:p>
        </w:tc>
        <w:tc>
          <w:tcPr>
            <w:tcW w:w="13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1项</w:t>
            </w:r>
          </w:p>
        </w:tc>
        <w:tc>
          <w:tcPr>
            <w:tcW w:w="1630" w:type="dxa"/>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530"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档案整理服务</w:t>
            </w:r>
          </w:p>
        </w:tc>
        <w:tc>
          <w:tcPr>
            <w:tcW w:w="399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文书档整理，</w:t>
            </w:r>
            <w:r>
              <w:rPr>
                <w:rFonts w:hint="eastAsia" w:ascii="宋体" w:hAnsi="宋体" w:eastAsia="宋体" w:cs="宋体"/>
                <w:color w:val="auto"/>
                <w:kern w:val="0"/>
                <w:sz w:val="21"/>
                <w:szCs w:val="21"/>
                <w:highlight w:val="none"/>
              </w:rPr>
              <w:t>详见技术指标要求</w:t>
            </w:r>
          </w:p>
        </w:tc>
        <w:tc>
          <w:tcPr>
            <w:tcW w:w="13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约</w:t>
            </w:r>
            <w:r>
              <w:rPr>
                <w:rFonts w:hint="eastAsia" w:ascii="宋体" w:hAnsi="宋体" w:eastAsia="宋体" w:cs="宋体"/>
                <w:color w:val="auto"/>
                <w:sz w:val="21"/>
                <w:szCs w:val="21"/>
                <w:highlight w:val="none"/>
              </w:rPr>
              <w:t>10000件</w:t>
            </w:r>
          </w:p>
        </w:tc>
        <w:tc>
          <w:tcPr>
            <w:tcW w:w="1630" w:type="dxa"/>
            <w:vMerge w:val="restart"/>
            <w:vAlign w:val="center"/>
          </w:tcPr>
          <w:p>
            <w:pPr>
              <w:spacing w:line="240" w:lineRule="auto"/>
              <w:jc w:val="center"/>
              <w:rPr>
                <w:rFonts w:hint="eastAsia"/>
                <w:color w:val="auto"/>
                <w:highlight w:val="none"/>
              </w:rPr>
            </w:pPr>
            <w:r>
              <w:rPr>
                <w:rFonts w:hint="eastAsia"/>
                <w:color w:val="auto"/>
                <w:highlight w:val="none"/>
              </w:rPr>
              <w:t>档案盒、卷皮、备考表等主要耗材由</w:t>
            </w:r>
            <w:r>
              <w:rPr>
                <w:rFonts w:hint="eastAsia"/>
                <w:color w:val="auto"/>
                <w:highlight w:val="none"/>
                <w:lang w:eastAsia="zh-CN"/>
              </w:rPr>
              <w:t>招标人</w:t>
            </w:r>
            <w:r>
              <w:rPr>
                <w:rFonts w:hint="eastAsia"/>
                <w:color w:val="auto"/>
                <w:highlight w:val="none"/>
              </w:rPr>
              <w:t>提供</w:t>
            </w:r>
          </w:p>
          <w:p>
            <w:pPr>
              <w:pStyle w:val="2"/>
              <w:jc w:val="center"/>
              <w:rPr>
                <w:rFonts w:hint="eastAsia" w:eastAsia="宋体"/>
                <w:color w:val="auto"/>
                <w:highlight w:val="none"/>
                <w:lang w:eastAsia="zh-CN"/>
              </w:rPr>
            </w:pPr>
            <w:r>
              <w:rPr>
                <w:rFonts w:hint="eastAsia" w:ascii="Times New Roman" w:hAnsi="Times New Roman" w:eastAsia="宋体" w:cs="Times New Roman"/>
                <w:bCs w:val="0"/>
                <w:color w:val="auto"/>
                <w:spacing w:val="0"/>
                <w:kern w:val="2"/>
                <w:sz w:val="21"/>
                <w:szCs w:val="24"/>
                <w:highlight w:val="none"/>
                <w:lang w:val="en-US" w:eastAsia="zh-CN" w:bidi="ar-SA"/>
              </w:rPr>
              <w:t>备注：其中用户使用数量参考比例为铁投67%，西投27%，大业佳诚6%</w:t>
            </w:r>
            <w:r>
              <w:rPr>
                <w:rFonts w:hint="eastAsia" w:cs="Times New Roman"/>
                <w:bCs w:val="0"/>
                <w:color w:val="auto"/>
                <w:spacing w:val="0"/>
                <w:kern w:val="2"/>
                <w:sz w:val="21"/>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530"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399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工程档案整理，</w:t>
            </w:r>
            <w:r>
              <w:rPr>
                <w:rFonts w:hint="eastAsia" w:ascii="宋体" w:hAnsi="宋体" w:eastAsia="宋体" w:cs="宋体"/>
                <w:color w:val="auto"/>
                <w:kern w:val="0"/>
                <w:sz w:val="21"/>
                <w:szCs w:val="21"/>
                <w:highlight w:val="none"/>
              </w:rPr>
              <w:t>详见技术指标要求</w:t>
            </w:r>
          </w:p>
        </w:tc>
        <w:tc>
          <w:tcPr>
            <w:tcW w:w="13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约</w:t>
            </w:r>
            <w:r>
              <w:rPr>
                <w:rFonts w:hint="eastAsia" w:ascii="宋体" w:hAnsi="宋体" w:eastAsia="宋体" w:cs="宋体"/>
                <w:color w:val="auto"/>
                <w:sz w:val="21"/>
                <w:szCs w:val="21"/>
                <w:highlight w:val="none"/>
              </w:rPr>
              <w:t>7000盒</w:t>
            </w:r>
          </w:p>
        </w:tc>
        <w:tc>
          <w:tcPr>
            <w:tcW w:w="1630" w:type="dxa"/>
            <w:vMerge w:val="continue"/>
            <w:vAlign w:val="center"/>
          </w:tcPr>
          <w:p>
            <w:pPr>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530"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399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工程图纸整理，</w:t>
            </w:r>
            <w:r>
              <w:rPr>
                <w:rFonts w:hint="eastAsia" w:ascii="宋体" w:hAnsi="宋体" w:eastAsia="宋体" w:cs="宋体"/>
                <w:color w:val="auto"/>
                <w:kern w:val="0"/>
                <w:sz w:val="21"/>
                <w:szCs w:val="21"/>
                <w:highlight w:val="none"/>
              </w:rPr>
              <w:t>详见技术指标要求</w:t>
            </w:r>
          </w:p>
        </w:tc>
        <w:tc>
          <w:tcPr>
            <w:tcW w:w="13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约</w:t>
            </w:r>
            <w:r>
              <w:rPr>
                <w:rFonts w:hint="eastAsia" w:ascii="宋体" w:hAnsi="宋体" w:eastAsia="宋体" w:cs="宋体"/>
                <w:color w:val="auto"/>
                <w:sz w:val="21"/>
                <w:szCs w:val="21"/>
                <w:highlight w:val="none"/>
              </w:rPr>
              <w:t>280000张</w:t>
            </w:r>
          </w:p>
        </w:tc>
        <w:tc>
          <w:tcPr>
            <w:tcW w:w="1630" w:type="dxa"/>
            <w:vMerge w:val="continue"/>
            <w:vAlign w:val="center"/>
          </w:tcPr>
          <w:p>
            <w:pPr>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647"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530"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数字化加工服务</w:t>
            </w:r>
          </w:p>
        </w:tc>
        <w:tc>
          <w:tcPr>
            <w:tcW w:w="399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对于所有的档案目录数据一一对应整理，</w:t>
            </w:r>
            <w:r>
              <w:rPr>
                <w:rFonts w:hint="eastAsia" w:ascii="宋体" w:hAnsi="宋体" w:eastAsia="宋体" w:cs="宋体"/>
                <w:color w:val="auto"/>
                <w:kern w:val="0"/>
                <w:sz w:val="21"/>
                <w:szCs w:val="21"/>
                <w:highlight w:val="none"/>
              </w:rPr>
              <w:t>详见技术指标要求</w:t>
            </w:r>
          </w:p>
        </w:tc>
        <w:tc>
          <w:tcPr>
            <w:tcW w:w="13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约</w:t>
            </w:r>
            <w:r>
              <w:rPr>
                <w:rFonts w:hint="eastAsia" w:ascii="宋体" w:hAnsi="宋体" w:eastAsia="宋体" w:cs="宋体"/>
                <w:color w:val="auto"/>
                <w:sz w:val="21"/>
                <w:szCs w:val="21"/>
                <w:highlight w:val="none"/>
              </w:rPr>
              <w:t>20000条</w:t>
            </w:r>
          </w:p>
        </w:tc>
        <w:tc>
          <w:tcPr>
            <w:tcW w:w="1630" w:type="dxa"/>
            <w:vMerge w:val="restart"/>
            <w:vAlign w:val="center"/>
          </w:tcPr>
          <w:p>
            <w:pPr>
              <w:autoSpaceDE w:val="0"/>
              <w:autoSpaceDN w:val="0"/>
              <w:adjustRightInd w:val="0"/>
              <w:spacing w:line="240" w:lineRule="auto"/>
              <w:jc w:val="center"/>
              <w:rPr>
                <w:rFonts w:hint="eastAsia" w:ascii="宋体" w:hAnsi="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加工完成后须将成果挂接入数字档案管理系统存储设备中；质检费用已经包含在数字化单价内，不再另行支付</w:t>
            </w:r>
            <w:r>
              <w:rPr>
                <w:rFonts w:hint="eastAsia" w:ascii="宋体" w:hAnsi="宋体" w:cs="宋体"/>
                <w:color w:val="auto"/>
                <w:kern w:val="0"/>
                <w:sz w:val="21"/>
                <w:szCs w:val="21"/>
                <w:highlight w:val="none"/>
                <w:lang w:eastAsia="zh-CN"/>
              </w:rPr>
              <w:t>。</w:t>
            </w:r>
          </w:p>
          <w:p>
            <w:pPr>
              <w:autoSpaceDE w:val="0"/>
              <w:autoSpaceDN w:val="0"/>
              <w:adjustRightInd w:val="0"/>
              <w:spacing w:line="240" w:lineRule="auto"/>
              <w:jc w:val="center"/>
              <w:rPr>
                <w:rFonts w:hint="eastAsia" w:ascii="宋体" w:hAnsi="宋体" w:eastAsia="宋体" w:cs="宋体"/>
                <w:color w:val="auto"/>
                <w:sz w:val="21"/>
                <w:szCs w:val="21"/>
                <w:highlight w:val="none"/>
                <w:lang w:eastAsia="zh-CN"/>
              </w:rPr>
            </w:pPr>
            <w:r>
              <w:rPr>
                <w:rFonts w:hint="eastAsia" w:ascii="Times New Roman" w:hAnsi="Times New Roman" w:eastAsia="宋体" w:cs="Times New Roman"/>
                <w:bCs w:val="0"/>
                <w:color w:val="auto"/>
                <w:spacing w:val="0"/>
                <w:kern w:val="2"/>
                <w:sz w:val="21"/>
                <w:szCs w:val="24"/>
                <w:highlight w:val="none"/>
                <w:lang w:val="en-US" w:eastAsia="zh-CN" w:bidi="ar-SA"/>
              </w:rPr>
              <w:t>备注：其中用户使用数量参考比例为铁投67%，西投27%，大业佳诚6%</w:t>
            </w:r>
            <w:r>
              <w:rPr>
                <w:rFonts w:hint="eastAsia" w:cs="Times New Roman"/>
                <w:bCs w:val="0"/>
                <w:color w:val="auto"/>
                <w:spacing w:val="0"/>
                <w:kern w:val="2"/>
                <w:sz w:val="21"/>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64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530"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399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A4档案资料扫描，</w:t>
            </w:r>
            <w:r>
              <w:rPr>
                <w:rFonts w:hint="eastAsia" w:ascii="宋体" w:hAnsi="宋体" w:eastAsia="宋体" w:cs="宋体"/>
                <w:color w:val="auto"/>
                <w:kern w:val="0"/>
                <w:sz w:val="21"/>
                <w:szCs w:val="21"/>
                <w:highlight w:val="none"/>
              </w:rPr>
              <w:t>详见技术指标要求</w:t>
            </w:r>
          </w:p>
        </w:tc>
        <w:tc>
          <w:tcPr>
            <w:tcW w:w="13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约</w:t>
            </w:r>
            <w:r>
              <w:rPr>
                <w:rFonts w:hint="eastAsia" w:ascii="宋体" w:hAnsi="宋体" w:eastAsia="宋体" w:cs="宋体"/>
                <w:color w:val="auto"/>
                <w:sz w:val="21"/>
                <w:szCs w:val="21"/>
                <w:highlight w:val="none"/>
              </w:rPr>
              <w:t>110000页</w:t>
            </w:r>
          </w:p>
        </w:tc>
        <w:tc>
          <w:tcPr>
            <w:tcW w:w="1630" w:type="dxa"/>
            <w:vMerge w:val="continue"/>
            <w:vAlign w:val="center"/>
          </w:tcPr>
          <w:p>
            <w:pPr>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64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530"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399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A3档案资料扫描，</w:t>
            </w:r>
            <w:r>
              <w:rPr>
                <w:rFonts w:hint="eastAsia" w:ascii="宋体" w:hAnsi="宋体" w:eastAsia="宋体" w:cs="宋体"/>
                <w:color w:val="auto"/>
                <w:kern w:val="0"/>
                <w:sz w:val="21"/>
                <w:szCs w:val="21"/>
                <w:highlight w:val="none"/>
              </w:rPr>
              <w:t>详见技术指标要求</w:t>
            </w:r>
          </w:p>
        </w:tc>
        <w:tc>
          <w:tcPr>
            <w:tcW w:w="13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约</w:t>
            </w:r>
            <w:r>
              <w:rPr>
                <w:rFonts w:hint="eastAsia" w:ascii="宋体" w:hAnsi="宋体" w:eastAsia="宋体" w:cs="宋体"/>
                <w:color w:val="auto"/>
                <w:sz w:val="21"/>
                <w:szCs w:val="21"/>
                <w:highlight w:val="none"/>
              </w:rPr>
              <w:t>270000页</w:t>
            </w:r>
          </w:p>
        </w:tc>
        <w:tc>
          <w:tcPr>
            <w:tcW w:w="1630" w:type="dxa"/>
            <w:vMerge w:val="continue"/>
            <w:vAlign w:val="center"/>
          </w:tcPr>
          <w:p>
            <w:pPr>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64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530"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399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A0-A2图纸档案扫描，</w:t>
            </w:r>
            <w:r>
              <w:rPr>
                <w:rFonts w:hint="eastAsia" w:ascii="宋体" w:hAnsi="宋体" w:eastAsia="宋体" w:cs="宋体"/>
                <w:color w:val="auto"/>
                <w:kern w:val="0"/>
                <w:sz w:val="21"/>
                <w:szCs w:val="21"/>
                <w:highlight w:val="none"/>
              </w:rPr>
              <w:t>详见技术指标要求</w:t>
            </w:r>
          </w:p>
        </w:tc>
        <w:tc>
          <w:tcPr>
            <w:tcW w:w="13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约</w:t>
            </w:r>
            <w:r>
              <w:rPr>
                <w:rFonts w:hint="eastAsia" w:ascii="宋体" w:hAnsi="宋体" w:eastAsia="宋体" w:cs="宋体"/>
                <w:color w:val="auto"/>
                <w:sz w:val="21"/>
                <w:szCs w:val="21"/>
                <w:highlight w:val="none"/>
              </w:rPr>
              <w:t>280000张</w:t>
            </w:r>
          </w:p>
        </w:tc>
        <w:tc>
          <w:tcPr>
            <w:tcW w:w="1630" w:type="dxa"/>
            <w:vMerge w:val="continue"/>
            <w:vAlign w:val="center"/>
          </w:tcPr>
          <w:p>
            <w:pPr>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5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服务器设备</w:t>
            </w:r>
          </w:p>
        </w:tc>
        <w:tc>
          <w:tcPr>
            <w:tcW w:w="399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详见技术指标要求</w:t>
            </w:r>
          </w:p>
        </w:tc>
        <w:tc>
          <w:tcPr>
            <w:tcW w:w="13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2台</w:t>
            </w:r>
          </w:p>
        </w:tc>
        <w:tc>
          <w:tcPr>
            <w:tcW w:w="16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设备所有权属</w:t>
            </w:r>
            <w:r>
              <w:rPr>
                <w:rFonts w:hint="eastAsia" w:ascii="宋体" w:hAnsi="宋体" w:eastAsia="宋体" w:cs="宋体"/>
                <w:color w:val="auto"/>
                <w:kern w:val="0"/>
                <w:sz w:val="21"/>
                <w:szCs w:val="21"/>
                <w:highlight w:val="none"/>
                <w:lang w:eastAsia="zh-CN"/>
              </w:rPr>
              <w:t>招标人</w:t>
            </w:r>
            <w:r>
              <w:rPr>
                <w:rFonts w:hint="eastAsia" w:ascii="宋体" w:hAnsi="宋体" w:eastAsia="宋体" w:cs="宋体"/>
                <w:color w:val="auto"/>
                <w:kern w:val="0"/>
                <w:sz w:val="21"/>
                <w:szCs w:val="21"/>
                <w:highlight w:val="none"/>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5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存储设备</w:t>
            </w:r>
          </w:p>
        </w:tc>
        <w:tc>
          <w:tcPr>
            <w:tcW w:w="399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详见技术指标要求</w:t>
            </w:r>
          </w:p>
        </w:tc>
        <w:tc>
          <w:tcPr>
            <w:tcW w:w="13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1套</w:t>
            </w:r>
          </w:p>
        </w:tc>
        <w:tc>
          <w:tcPr>
            <w:tcW w:w="16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设备所有权属</w:t>
            </w:r>
            <w:r>
              <w:rPr>
                <w:rFonts w:hint="eastAsia" w:ascii="宋体" w:hAnsi="宋体" w:eastAsia="宋体" w:cs="宋体"/>
                <w:color w:val="auto"/>
                <w:kern w:val="0"/>
                <w:sz w:val="21"/>
                <w:szCs w:val="21"/>
                <w:highlight w:val="none"/>
                <w:lang w:eastAsia="zh-CN"/>
              </w:rPr>
              <w:t>招标人</w:t>
            </w:r>
            <w:r>
              <w:rPr>
                <w:rFonts w:hint="eastAsia" w:ascii="宋体" w:hAnsi="宋体" w:eastAsia="宋体" w:cs="宋体"/>
                <w:color w:val="auto"/>
                <w:kern w:val="0"/>
                <w:sz w:val="21"/>
                <w:szCs w:val="21"/>
                <w:highlight w:val="none"/>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15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VPN设备</w:t>
            </w:r>
          </w:p>
        </w:tc>
        <w:tc>
          <w:tcPr>
            <w:tcW w:w="399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详见技术指标要求</w:t>
            </w:r>
          </w:p>
        </w:tc>
        <w:tc>
          <w:tcPr>
            <w:tcW w:w="13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1套</w:t>
            </w:r>
          </w:p>
        </w:tc>
        <w:tc>
          <w:tcPr>
            <w:tcW w:w="16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设备所有权属</w:t>
            </w:r>
            <w:r>
              <w:rPr>
                <w:rFonts w:hint="eastAsia" w:ascii="宋体" w:hAnsi="宋体" w:eastAsia="宋体" w:cs="宋体"/>
                <w:color w:val="auto"/>
                <w:kern w:val="0"/>
                <w:sz w:val="21"/>
                <w:szCs w:val="21"/>
                <w:highlight w:val="none"/>
                <w:lang w:eastAsia="zh-CN"/>
              </w:rPr>
              <w:t>招标人</w:t>
            </w:r>
            <w:r>
              <w:rPr>
                <w:rFonts w:hint="eastAsia" w:ascii="宋体" w:hAnsi="宋体" w:eastAsia="宋体" w:cs="宋体"/>
                <w:color w:val="auto"/>
                <w:kern w:val="0"/>
                <w:sz w:val="21"/>
                <w:szCs w:val="21"/>
                <w:highlight w:val="none"/>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15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数据库系统</w:t>
            </w:r>
          </w:p>
        </w:tc>
        <w:tc>
          <w:tcPr>
            <w:tcW w:w="399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MS SQL 2016标准版</w:t>
            </w:r>
          </w:p>
        </w:tc>
        <w:tc>
          <w:tcPr>
            <w:tcW w:w="13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1套</w:t>
            </w:r>
          </w:p>
        </w:tc>
        <w:tc>
          <w:tcPr>
            <w:tcW w:w="16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设备所有权属</w:t>
            </w:r>
            <w:r>
              <w:rPr>
                <w:rFonts w:hint="eastAsia" w:ascii="宋体" w:hAnsi="宋体" w:eastAsia="宋体" w:cs="宋体"/>
                <w:color w:val="auto"/>
                <w:kern w:val="0"/>
                <w:sz w:val="21"/>
                <w:szCs w:val="21"/>
                <w:highlight w:val="none"/>
                <w:lang w:eastAsia="zh-CN"/>
              </w:rPr>
              <w:t>招标人</w:t>
            </w:r>
            <w:r>
              <w:rPr>
                <w:rFonts w:hint="eastAsia" w:ascii="宋体" w:hAnsi="宋体" w:eastAsia="宋体" w:cs="宋体"/>
                <w:color w:val="auto"/>
                <w:kern w:val="0"/>
                <w:sz w:val="21"/>
                <w:szCs w:val="21"/>
                <w:highlight w:val="none"/>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15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操作系统</w:t>
            </w:r>
          </w:p>
        </w:tc>
        <w:tc>
          <w:tcPr>
            <w:tcW w:w="399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Windows 2012 Server x64 标准版</w:t>
            </w:r>
          </w:p>
        </w:tc>
        <w:tc>
          <w:tcPr>
            <w:tcW w:w="13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2套</w:t>
            </w:r>
          </w:p>
        </w:tc>
        <w:tc>
          <w:tcPr>
            <w:tcW w:w="16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设备所有权属</w:t>
            </w:r>
            <w:r>
              <w:rPr>
                <w:rFonts w:hint="eastAsia" w:ascii="宋体" w:hAnsi="宋体" w:eastAsia="宋体" w:cs="宋体"/>
                <w:color w:val="auto"/>
                <w:kern w:val="0"/>
                <w:sz w:val="21"/>
                <w:szCs w:val="21"/>
                <w:highlight w:val="none"/>
                <w:lang w:eastAsia="zh-CN"/>
              </w:rPr>
              <w:t>招标人</w:t>
            </w:r>
            <w:r>
              <w:rPr>
                <w:rFonts w:hint="eastAsia" w:ascii="宋体" w:hAnsi="宋体" w:eastAsia="宋体" w:cs="宋体"/>
                <w:color w:val="auto"/>
                <w:kern w:val="0"/>
                <w:sz w:val="21"/>
                <w:szCs w:val="21"/>
                <w:highlight w:val="none"/>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15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大幅面扫描仪</w:t>
            </w:r>
          </w:p>
        </w:tc>
        <w:tc>
          <w:tcPr>
            <w:tcW w:w="399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详见技术指标要求</w:t>
            </w:r>
          </w:p>
        </w:tc>
        <w:tc>
          <w:tcPr>
            <w:tcW w:w="13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1台</w:t>
            </w:r>
          </w:p>
        </w:tc>
        <w:tc>
          <w:tcPr>
            <w:tcW w:w="16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设备所有权属</w:t>
            </w:r>
            <w:r>
              <w:rPr>
                <w:rFonts w:hint="eastAsia" w:ascii="宋体" w:hAnsi="宋体" w:eastAsia="宋体" w:cs="宋体"/>
                <w:color w:val="auto"/>
                <w:kern w:val="0"/>
                <w:sz w:val="21"/>
                <w:szCs w:val="21"/>
                <w:highlight w:val="none"/>
                <w:lang w:eastAsia="zh-CN"/>
              </w:rPr>
              <w:t>招标人</w:t>
            </w:r>
            <w:r>
              <w:rPr>
                <w:rFonts w:hint="eastAsia" w:ascii="宋体" w:hAnsi="宋体" w:eastAsia="宋体" w:cs="宋体"/>
                <w:color w:val="auto"/>
                <w:kern w:val="0"/>
                <w:sz w:val="21"/>
                <w:szCs w:val="21"/>
                <w:highlight w:val="none"/>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15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高速扫描仪</w:t>
            </w:r>
          </w:p>
        </w:tc>
        <w:tc>
          <w:tcPr>
            <w:tcW w:w="3995" w:type="dxa"/>
            <w:vAlign w:val="center"/>
          </w:tcPr>
          <w:p>
            <w:pPr>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详见技术指标要求</w:t>
            </w:r>
          </w:p>
        </w:tc>
        <w:tc>
          <w:tcPr>
            <w:tcW w:w="13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1台</w:t>
            </w:r>
          </w:p>
        </w:tc>
        <w:tc>
          <w:tcPr>
            <w:tcW w:w="16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设备所有权属</w:t>
            </w:r>
            <w:r>
              <w:rPr>
                <w:rFonts w:hint="eastAsia" w:ascii="宋体" w:hAnsi="宋体" w:eastAsia="宋体" w:cs="宋体"/>
                <w:color w:val="auto"/>
                <w:kern w:val="0"/>
                <w:sz w:val="21"/>
                <w:szCs w:val="21"/>
                <w:highlight w:val="none"/>
                <w:lang w:eastAsia="zh-CN"/>
              </w:rPr>
              <w:t>招标人</w:t>
            </w:r>
            <w:r>
              <w:rPr>
                <w:rFonts w:hint="eastAsia" w:ascii="宋体" w:hAnsi="宋体" w:eastAsia="宋体" w:cs="宋体"/>
                <w:color w:val="auto"/>
                <w:kern w:val="0"/>
                <w:sz w:val="21"/>
                <w:szCs w:val="21"/>
                <w:highlight w:val="none"/>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15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防火墙</w:t>
            </w:r>
          </w:p>
        </w:tc>
        <w:tc>
          <w:tcPr>
            <w:tcW w:w="3995" w:type="dxa"/>
            <w:vAlign w:val="center"/>
          </w:tcPr>
          <w:p>
            <w:pPr>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详见技术指标要求</w:t>
            </w:r>
          </w:p>
        </w:tc>
        <w:tc>
          <w:tcPr>
            <w:tcW w:w="13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1台</w:t>
            </w:r>
          </w:p>
        </w:tc>
        <w:tc>
          <w:tcPr>
            <w:tcW w:w="16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设备所有权属</w:t>
            </w:r>
            <w:r>
              <w:rPr>
                <w:rFonts w:hint="eastAsia" w:ascii="宋体" w:hAnsi="宋体" w:eastAsia="宋体" w:cs="宋体"/>
                <w:color w:val="auto"/>
                <w:kern w:val="0"/>
                <w:sz w:val="21"/>
                <w:szCs w:val="21"/>
                <w:highlight w:val="none"/>
                <w:lang w:eastAsia="zh-CN"/>
              </w:rPr>
              <w:t>招标人</w:t>
            </w:r>
            <w:r>
              <w:rPr>
                <w:rFonts w:hint="eastAsia" w:ascii="宋体" w:hAnsi="宋体" w:eastAsia="宋体" w:cs="宋体"/>
                <w:color w:val="auto"/>
                <w:kern w:val="0"/>
                <w:sz w:val="21"/>
                <w:szCs w:val="21"/>
                <w:highlight w:val="none"/>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15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存储交换机</w:t>
            </w:r>
          </w:p>
        </w:tc>
        <w:tc>
          <w:tcPr>
            <w:tcW w:w="3995" w:type="dxa"/>
            <w:vAlign w:val="center"/>
          </w:tcPr>
          <w:p>
            <w:pPr>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详见技术指标要求</w:t>
            </w:r>
          </w:p>
        </w:tc>
        <w:tc>
          <w:tcPr>
            <w:tcW w:w="13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1台</w:t>
            </w:r>
          </w:p>
        </w:tc>
        <w:tc>
          <w:tcPr>
            <w:tcW w:w="163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设备所有权属</w:t>
            </w:r>
            <w:r>
              <w:rPr>
                <w:rFonts w:hint="eastAsia" w:ascii="宋体" w:hAnsi="宋体" w:eastAsia="宋体" w:cs="宋体"/>
                <w:color w:val="auto"/>
                <w:kern w:val="0"/>
                <w:sz w:val="21"/>
                <w:szCs w:val="21"/>
                <w:highlight w:val="none"/>
                <w:lang w:eastAsia="zh-CN"/>
              </w:rPr>
              <w:t>招标人</w:t>
            </w:r>
            <w:r>
              <w:rPr>
                <w:rFonts w:hint="eastAsia" w:ascii="宋体" w:hAnsi="宋体" w:eastAsia="宋体" w:cs="宋体"/>
                <w:color w:val="auto"/>
                <w:kern w:val="0"/>
                <w:sz w:val="21"/>
                <w:szCs w:val="21"/>
                <w:highlight w:val="none"/>
              </w:rPr>
              <w:t>所有</w:t>
            </w:r>
          </w:p>
        </w:tc>
      </w:tr>
    </w:tbl>
    <w:p>
      <w:pPr>
        <w:spacing w:line="360" w:lineRule="auto"/>
        <w:ind w:firstLine="525" w:firstLineChars="250"/>
        <w:jc w:val="left"/>
        <w:rPr>
          <w:rFonts w:hint="eastAsia" w:ascii="宋体" w:hAnsi="宋体"/>
          <w:color w:val="auto"/>
          <w:szCs w:val="21"/>
          <w:highlight w:val="none"/>
        </w:rPr>
      </w:pPr>
      <w:r>
        <w:rPr>
          <w:rFonts w:hint="eastAsia" w:ascii="宋体" w:hAnsi="宋体"/>
          <w:color w:val="auto"/>
          <w:szCs w:val="21"/>
          <w:highlight w:val="none"/>
        </w:rPr>
        <w:t>档案整理、数字化加工等技术服务工作量，按照工程结束验收后的实际扫描数量来统计，以投标人投标单价为依据结算，统计方法及费用结算须经双方确认。</w:t>
      </w:r>
    </w:p>
    <w:p>
      <w:pPr>
        <w:pStyle w:val="8"/>
        <w:numPr>
          <w:ilvl w:val="0"/>
          <w:numId w:val="8"/>
        </w:numPr>
        <w:tabs>
          <w:tab w:val="left" w:pos="540"/>
        </w:tabs>
        <w:adjustRightInd w:val="0"/>
        <w:snapToGrid w:val="0"/>
        <w:spacing w:line="360" w:lineRule="auto"/>
        <w:rPr>
          <w:rFonts w:hint="eastAsia" w:hAnsi="宋体"/>
          <w:b/>
          <w:bCs/>
          <w:color w:val="auto"/>
          <w:highlight w:val="none"/>
        </w:rPr>
      </w:pPr>
      <w:r>
        <w:rPr>
          <w:rFonts w:hint="eastAsia" w:hAnsi="宋体"/>
          <w:b/>
          <w:bCs/>
          <w:color w:val="auto"/>
          <w:highlight w:val="none"/>
        </w:rPr>
        <w:t>技术指标要求</w:t>
      </w:r>
    </w:p>
    <w:p>
      <w:pPr>
        <w:pStyle w:val="4"/>
        <w:spacing w:after="0" w:afterLines="0"/>
        <w:ind w:lef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1、数字档案管理系统</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1.1系统技术线路要求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b/>
          <w:bCs/>
          <w:color w:val="auto"/>
          <w:szCs w:val="20"/>
          <w:highlight w:val="none"/>
          <w:u w:val="none"/>
        </w:rPr>
        <w:t>▲</w:t>
      </w:r>
      <w:r>
        <w:rPr>
          <w:rFonts w:hint="eastAsia" w:ascii="宋体" w:hAnsi="宋体" w:eastAsia="宋体" w:cs="宋体"/>
          <w:color w:val="auto"/>
          <w:sz w:val="21"/>
          <w:szCs w:val="21"/>
          <w:highlight w:val="none"/>
        </w:rPr>
        <w:t>开发技术</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参考OAIS模型建立基于J2EE平台纯B/S架构，支持Oracle、SQL Server等数据库的标准化、可扩展、多馆协同的数据集中或分布式数字档案馆系统。</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2、管理平台技术</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用平台设计思想，具有极强的通用性、扩展性和灵性。用户根据自身对本单位档案管理的理解，利用软件提供的定制工具，可以为自己量身定做档案管理系统。并可在不需要开发人员介入的情况下探索新的档案管理方式。</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、多格式文件浏览器技术</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采用Flex技术实现的电子文件在线阅读器，使用户不必另行安装额外的电子文件阅读器插件，使用AdobeFlash Player播放器即可在线浏览多种格式的电子文件。支持在不安装第三方软件的情况下能够对多种电子文件格式（如：doc、xls、jpg、dwg等）进行浏览。安全性（如：下载、打印等）可以与著录信息权限的一致性。</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、电子文件长期保存技术</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通过在系统内注册各种格式的应用程序，使同一格式的文件可以从低版本向高版本转换，符合国际标准的电子文件（PDF格式），并保存的真实性、可靠性、完整性和可阅读性。</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、元数据应用技术</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过建立一套元数据标准，档案管理系统和其他各个业务系统字段均与元数据建立对应关系，系统之间的数据交换采用元数据的形式进行，各系统数据字段之间不发生直接的关系，保证系统间的数据交换不因为系统本身数据字段的改变而失效。</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、ExtJS技术</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过采用ExtJS技术实现客户最熟悉的Windows资源管理器界面风格，可以轻松查找和组织被关注的文档信息。系统采用最新的AJAX技术的Extjs界面框架，支持在页面上动态拖拽、列表状态录入等操作，操作简捷，让您获得突破性的用户体验，大幅提升工作效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、WebService接口技术</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根据业务系统和接口内容的要求，数字档案综合管理系统中开发基于Web Service技术的接口程序。</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、全文检索技术</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提供类似Google、百度的检索模式，可对各种格式的文档、数据库等异质海量信息实现统一检索，提供关联检索、容错检索、信息摘要、逐层检索功能。</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w:t>
      </w:r>
      <w:r>
        <w:rPr>
          <w:rFonts w:hint="eastAsia" w:ascii="宋体" w:hAnsi="宋体" w:cs="宋体"/>
          <w:bCs w:val="0"/>
          <w:color w:val="auto"/>
          <w:szCs w:val="21"/>
          <w:highlight w:val="none"/>
        </w:rPr>
        <w:t>虚拟库房技术</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可以建立虚拟库房，采用Flash</w:t>
      </w:r>
      <w:r>
        <w:rPr>
          <w:rFonts w:ascii="宋体" w:hAnsi="宋体" w:cs="宋体"/>
          <w:color w:val="auto"/>
          <w:szCs w:val="21"/>
          <w:highlight w:val="none"/>
        </w:rPr>
        <w:t xml:space="preserve"> </w:t>
      </w:r>
      <w:r>
        <w:rPr>
          <w:rFonts w:hint="eastAsia" w:ascii="宋体" w:hAnsi="宋体" w:cs="宋体"/>
          <w:color w:val="auto"/>
          <w:szCs w:val="21"/>
          <w:highlight w:val="none"/>
        </w:rPr>
        <w:t>3D技术远程动态展示库房全貌、档案位置、排架空间、批量上架、数量统计、立体浏览，带给用户您全新的应用体验并提高工作效率。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自定义的工作流引擎技术</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系统提供串行、并行、分支、合流的自定义工作流引擎，实现档案信息的接收、移交、利用、销毁等环节的工作流程审批，辅以多种方式的信息提醒，提高用户的协同办公效率。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、即时通讯技术</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即时通讯功能实现类似QQ、MSN等即时通讯软件的功能，登录数字档案综合管理系统后即可与在线用户进行实时交互，在线指导。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、安全技术</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采用三员管理、高密低传、数字签名防扩散等安全机制，保证用户数据的安全性。</w:t>
      </w:r>
    </w:p>
    <w:p>
      <w:pPr>
        <w:spacing w:line="360" w:lineRule="auto"/>
        <w:ind w:firstLine="525" w:firstLineChars="250"/>
        <w:rPr>
          <w:rFonts w:hint="eastAsia" w:ascii="宋体" w:hAnsi="宋体" w:eastAsia="宋体" w:cs="宋体"/>
          <w:color w:val="auto"/>
          <w:sz w:val="21"/>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2</w:t>
      </w:r>
      <w:r>
        <w:rPr>
          <w:rFonts w:hint="eastAsia" w:ascii="宋体" w:hAnsi="宋体" w:cs="宋体"/>
          <w:color w:val="auto"/>
          <w:szCs w:val="21"/>
          <w:highlight w:val="none"/>
        </w:rPr>
        <w:t>、投标人须出具原厂商的产品授权代理书或针对本次项目的投标授权书</w:t>
      </w:r>
      <w:r>
        <w:rPr>
          <w:rFonts w:hint="eastAsia" w:ascii="宋体" w:hAnsi="宋体" w:cs="宋体"/>
          <w:color w:val="auto"/>
          <w:szCs w:val="21"/>
          <w:highlight w:val="none"/>
          <w:lang w:eastAsia="zh-CN"/>
        </w:rPr>
        <w:t>复印件（原件核查）</w:t>
      </w:r>
      <w:r>
        <w:rPr>
          <w:rFonts w:hint="eastAsia" w:ascii="宋体" w:hAnsi="宋体" w:cs="宋体"/>
          <w:color w:val="auto"/>
          <w:szCs w:val="21"/>
          <w:highlight w:val="none"/>
        </w:rPr>
        <w:t>。</w:t>
      </w:r>
    </w:p>
    <w:p>
      <w:pPr>
        <w:spacing w:line="360" w:lineRule="auto"/>
        <w:ind w:firstLine="525" w:firstLineChars="25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13、</w:t>
      </w:r>
      <w:r>
        <w:rPr>
          <w:rFonts w:hint="eastAsia" w:ascii="宋体" w:hAnsi="宋体" w:eastAsia="宋体" w:cs="宋体"/>
          <w:color w:val="auto"/>
          <w:sz w:val="21"/>
          <w:szCs w:val="21"/>
          <w:highlight w:val="none"/>
        </w:rPr>
        <w:t>数据安全与恢复服务</w:t>
      </w:r>
    </w:p>
    <w:p>
      <w:pPr>
        <w:spacing w:line="360" w:lineRule="auto"/>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项目系统及档案数据将运行部署在服务器中，为确保档案数据安全，在服务器出现硬盘故障无法恢复及数据丢失时，提供硬盘数据恢复服务。</w:t>
      </w:r>
    </w:p>
    <w:p>
      <w:pPr>
        <w:spacing w:line="360" w:lineRule="auto"/>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为确保档案数据安全，在服务器出现硬盘故障无法恢复及数据丢失时，须由国家信息中心信息安全研究与服务中心免费提供档案系统服务器3年硬盘数据恢复服务。</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1.2总体技术需求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档案管理软件应具备档案收集、整理编目、检索查询、安全保密、系统维护等基本功能，并能辅助实体管理及根据用户特殊需求增扩其他相应功能。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档案管理软件的研制、安装和使用，必须具有严格的安全保密机制。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档案管理软件应配有完备的安装与使用技术资料，主要包括：用户手册、系统管理员手册、系统安装手册等。</w:t>
      </w:r>
    </w:p>
    <w:p>
      <w:pPr>
        <w:spacing w:line="360" w:lineRule="auto"/>
        <w:ind w:firstLine="420" w:firstLineChars="200"/>
        <w:rPr>
          <w:rFonts w:hint="eastAsia" w:ascii="宋体" w:hAnsi="宋体" w:eastAsia="宋体" w:cs="宋体"/>
          <w:color w:val="auto"/>
          <w:sz w:val="21"/>
          <w:szCs w:val="21"/>
          <w:highlight w:val="none"/>
        </w:rPr>
      </w:pPr>
      <w:bookmarkStart w:id="3" w:name="OLE_LINK4"/>
      <w:r>
        <w:rPr>
          <w:rFonts w:hint="eastAsia" w:ascii="宋体" w:hAnsi="宋体" w:eastAsia="宋体" w:cs="宋体"/>
          <w:color w:val="auto"/>
          <w:sz w:val="21"/>
          <w:szCs w:val="21"/>
          <w:highlight w:val="none"/>
        </w:rPr>
        <w:t>档案管理软件应具备较强的数据独立性，确保在软、硬件环境发生变化时数据的完整、安全迁移及有效利用。应参考OAIS模型建立基于J2EE平台的标准化、可扩展的数据集中式档案管理系统；</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具有档案信息获取、管理、存储、利用、交换和服务等一系列功能；</w:t>
      </w:r>
    </w:p>
    <w:bookmarkEnd w:id="3"/>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关键技术包括以下几点：</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1、系统采用管理平台技术。</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2、系统采用ExtJS技术多格式文件浏览器。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3、支持元数据应用。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4、采用ExtJS技术实现Windows资源管理器界面风格。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5、支持自定义的工作流。</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6、具备3D库房管理功能，采用三维虚拟现实方式直观管理库房实体。</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7、支持电子文件防扩散等安全机制，实现离线文件的防扩散控制，控制文件的阅读次数、打印次数和阅读期限，并且系统对文件进行了数字签名，用于确认文件的来源和文件的完整性，防止被人进行伪造。</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8、系统访问控制，必须能实现严格的三员管理权限控制，并具有防止越权操作的技术措施。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9、系统支持介质预警功能。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10、具备采用MD5技术，对电子文件可进行真实性校验功能。</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1.3功能需求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（1）数据管理功能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1、数据管理模块应具备对各类档案目录及原文信息进行管理的功能，主要包括：数据库的建立、修改、删除，档案数据的输入、存储、修改、删除等内容。</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2、数据库管理系统的选择应充分考虑用户所需的数据容量；数据结构设计应符合检索优先的原则，能够以DBF文件格式或通过XML文档进行数据交换，并具备安全、合理、灵活等特性。</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3、数据项的设置应符合《档案著录规则》(DA／T18—1999)的规定。</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4、电子文件数据查看时，需要采用流的方式，本地不能产生临时文件。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5、提供多种灵活的数据采集功能，例如可以提供通用文件转换功能实现灵活的从Excel、DBF文件中提取和转换档案、文件的条目数据到档案管理软件系统中，可以提供通用数据库转换功能实现灵活的从Oracle、DB2、SQL Server数据库中将档案条目信息转换到档案管理软件系统中。</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b/>
          <w:bCs/>
          <w:color w:val="auto"/>
          <w:szCs w:val="20"/>
          <w:highlight w:val="none"/>
        </w:rPr>
        <w:t>▲</w:t>
      </w:r>
      <w:r>
        <w:rPr>
          <w:rFonts w:hint="eastAsia" w:ascii="宋体" w:hAnsi="宋体" w:eastAsia="宋体" w:cs="宋体"/>
          <w:color w:val="auto"/>
          <w:sz w:val="21"/>
          <w:szCs w:val="21"/>
          <w:highlight w:val="none"/>
        </w:rPr>
        <w:t>在数据著录功能中，提供快速著录的相关功能，允许在进行新数据著录的同时，可以将从指定的条目信息中携带下来指定的著录项内容，以减少著录工作的工作量。</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（2）编目功能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1、整理编目模块应具备数据采集、类目设置、分类排序、数据校验、目录生成、数据统计、打印输出等基本功能，并能根据用户需要增设主题词(或关键词)及分类号的自动标引功能。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2、整理编目模块应能满足下列主要要求：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1)能为用户自行设置实体分类方案预留空间，并能满足自动按照分类类目进行分类和排序；</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2)能自动生成档案管理所需各种排列序号，并能由用户自主修改和重排序，保存时有防重号校验功能；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3)能自动生成符合档案工作相关标准的各类目录和备考表等；</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4)具备功能齐全的统计功能，并能生成相应报表；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5)具备完备的打印输出功能，能打印输出各类目录、统计报表、备考表等。</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6)具备多种统计方式，能够实现馆藏档案一键统计及全国年报的统计。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（3）检索查询利用功能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1、检索查询模块应具备对档案信息数据进行多种途径检索查询的基本功能，并具备借阅管理等辅助功能。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2、检索查询模块中可以根据用户需求自定义检索项，并能对检索结果中检索项的显示顺序进行设置。</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3、检索查询模块应能满足下列主要要求：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1)能根据检索项提供多条件组合查询，并能对常用检索途径进行优化，满足用户对查全率、查准率的要求；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能根据用户需要设置目录检索、全文检索等功能；全文检索能通过对档案元数据和DOC、PDF、XLS、RTF、TXT等常见板式电子文件的正文、附件的内容自动建立索引，形成全文检索索引库，为用户提供全文检索服务。针对照片、音像等档案，只需建立元数据的索引库，电子文件不需要参与索引的建立。</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3)能对查询结果进行显示、排序、转存、打印或选择输出等技术处理。</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w:t>
      </w:r>
      <w:r>
        <w:rPr>
          <w:rFonts w:hint="eastAsia" w:ascii="宋体"/>
          <w:b/>
          <w:bCs/>
          <w:color w:val="auto"/>
          <w:szCs w:val="20"/>
          <w:highlight w:val="none"/>
        </w:rPr>
        <w:t>▲</w:t>
      </w:r>
      <w:r>
        <w:rPr>
          <w:rFonts w:hint="eastAsia" w:ascii="宋体" w:hAnsi="宋体" w:eastAsia="宋体" w:cs="宋体"/>
          <w:color w:val="auto"/>
          <w:sz w:val="21"/>
          <w:szCs w:val="21"/>
          <w:highlight w:val="none"/>
        </w:rPr>
        <w:t>提供深度多次检索功能，能针对查询结果再次进行查询</w:t>
      </w:r>
      <w:r>
        <w:rPr>
          <w:rFonts w:hint="eastAsia" w:ascii="宋体" w:hAnsi="宋体" w:cs="宋体"/>
          <w:color w:val="auto"/>
          <w:sz w:val="21"/>
          <w:szCs w:val="21"/>
          <w:highlight w:val="none"/>
          <w:lang w:eastAsia="zh-CN"/>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b/>
          <w:bCs/>
          <w:color w:val="auto"/>
          <w:szCs w:val="20"/>
          <w:highlight w:val="none"/>
        </w:rPr>
        <w:t>▲</w:t>
      </w:r>
      <w:r>
        <w:rPr>
          <w:rFonts w:hint="eastAsia" w:ascii="宋体" w:hAnsi="宋体" w:eastAsia="宋体" w:cs="宋体"/>
          <w:color w:val="auto"/>
          <w:sz w:val="21"/>
          <w:szCs w:val="21"/>
          <w:highlight w:val="none"/>
        </w:rPr>
        <w:t>借阅管理功能应包括对利用者以及利用的目的、时间、内容、效果等信息的记录、分析、统计以及档案催退、续借退还等功能。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系统需要提供在线即时通讯功能，通过该功能档案管理人员可以实现对利用人员的协助查档目的，即利用人员可以在线向档案管理人员提出协助查档请求，由档案管理人员完成档案的查找，并通过即时通讯功能将结果发送给利用人员，利用人员可以在线对查找到的结果进行利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6、提供信息订阅功能，各利用者可以根据各自对档案利用的实际需要，自定义信息订阅关键词，档案管理系统可以根据各用户定义的关键词，将新进入系统的档案信息的摘要信息发送给订阅人。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r>
        <w:rPr>
          <w:rFonts w:hint="eastAsia" w:ascii="宋体"/>
          <w:b/>
          <w:bCs/>
          <w:color w:val="auto"/>
          <w:szCs w:val="20"/>
          <w:highlight w:val="none"/>
        </w:rPr>
        <w:t>▲</w:t>
      </w:r>
      <w:r>
        <w:rPr>
          <w:rFonts w:hint="eastAsia" w:ascii="宋体" w:hAnsi="宋体" w:eastAsia="宋体" w:cs="宋体"/>
          <w:color w:val="auto"/>
          <w:sz w:val="21"/>
          <w:szCs w:val="21"/>
          <w:highlight w:val="none"/>
        </w:rPr>
        <w:t>提供综合业务查询功能，完成对档案信息的跨库、跨类、跨全宗的数据检索，并且针对于照片档案，系统需要提供缩略图的显示功能，以便于利用人员快速定位到所需要的照片档案。</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（4）辅助实体管理功能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1、辅助实体管理模块应具备对档案收集、接收、移交以及档案鉴定、销毁、借阅等进行相应管理的功能。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2、具有仿真实库房环境的3D库房功能，能够模拟实体库房进行档案的管理。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(5)安全保密功能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1、档案管理软件的研制、安装和使用，必须符合《计算机信息系统保密管理暂行规定》(国保发[1998]1号)的各项要求，具备系统访问控制、数据保护和系统安全保密监控等基本功能，确保档案数据安全。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b/>
          <w:bCs/>
          <w:color w:val="auto"/>
          <w:szCs w:val="20"/>
          <w:highlight w:val="none"/>
        </w:rPr>
        <w:t>▲</w:t>
      </w:r>
      <w:r>
        <w:rPr>
          <w:rFonts w:hint="eastAsia" w:ascii="宋体" w:hAnsi="宋体" w:eastAsia="宋体" w:cs="宋体"/>
          <w:color w:val="auto"/>
          <w:sz w:val="21"/>
          <w:szCs w:val="21"/>
          <w:highlight w:val="none"/>
        </w:rPr>
        <w:t>系统访问控制，必须能实现严格的三员管理权限控制，并具有防止越权操作的技术措施。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3、数据保护，必须保证系统对档案数据的采集、存储、处理、传递、使用和销毁按照国家有关保密规定进行，并在各项操作中有相应的密级识别。涉密系统还应有严格的数据加密措施。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4、系统安全保密监控，必须能对系统中各种操作实现严格的监控并加以记录。</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5、▲支持电子文件防扩散等安全机制，实现离线文件的防扩散控制，控制文件的阅读次数、打印次数和阅读期限，并且系统对文件进行了数字签名，用于确认文件的来源和文件的完整性，防止被人进行伪造。</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（6）系统维护功能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1、系统维护模块应具备用户权限管理、系统日志管理、数据的备份与恢复等基本功能。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用户权限管理应包括系统各部分的操作权限管理和数据操作的权限管理。系统应能对所有上机操作人员自动判断分类，拒绝、警示非法操作并加以记录。系统需要提供灵活的权限控制机制，允许建立不同的人员角色，不同的人员可以拥有不同的角色，管理人员可以对不同的角色进行权限控制，最终实现通过控制角色的权限来控制人员的权限。</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b/>
          <w:bCs/>
          <w:color w:val="auto"/>
          <w:szCs w:val="20"/>
          <w:highlight w:val="none"/>
        </w:rPr>
        <w:t>▲</w:t>
      </w:r>
      <w:r>
        <w:rPr>
          <w:rFonts w:hint="eastAsia" w:ascii="宋体" w:hAnsi="宋体" w:eastAsia="宋体" w:cs="宋体"/>
          <w:color w:val="auto"/>
          <w:sz w:val="21"/>
          <w:szCs w:val="21"/>
          <w:highlight w:val="none"/>
        </w:rPr>
        <w:t>系统日志管理应提供独立于操作系统的电子文件、档案查询日志记录功能，包括上机人姓名、访问时间(年月日时分)、所用微机编号、查询内容、利用方式(阅读、修改、拷贝、打印)，并提供详情查询功能。日志文件保存时间应不少于两个月，需长期保存的日志文件可自动转存备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4、系统维护模块在提供数据备份与恢复处理功能的同时，还应能对档案数据某些代码表提供方便的维护。</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系统需要提供审批工作流自定义功能，即维护人员可以通过该功能对档案查借阅审批工作流、档案鉴定销毁工作流进行自定义，要求对工作流自定义时候采用图形方式进行定义，可以方便快捷的对各审批流程进行自定义。</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1.4系统功能设计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数字档案管理系统建设要求实现如下功能：</w:t>
      </w:r>
    </w:p>
    <w:tbl>
      <w:tblPr>
        <w:tblStyle w:val="17"/>
        <w:tblW w:w="90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664"/>
        <w:gridCol w:w="741"/>
        <w:gridCol w:w="1637"/>
        <w:gridCol w:w="787"/>
        <w:gridCol w:w="130"/>
        <w:gridCol w:w="1040"/>
        <w:gridCol w:w="1155"/>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58" w:type="dxa"/>
            <w:gridSpan w:val="2"/>
            <w:shd w:val="clear" w:color="auto" w:fill="FFFFFF"/>
            <w:vAlign w:val="center"/>
          </w:tcPr>
          <w:p>
            <w:pPr>
              <w:spacing w:line="24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一级模块</w:t>
            </w:r>
          </w:p>
        </w:tc>
        <w:tc>
          <w:tcPr>
            <w:tcW w:w="2378" w:type="dxa"/>
            <w:gridSpan w:val="2"/>
            <w:shd w:val="clear" w:color="auto" w:fill="FFFFFF"/>
            <w:vAlign w:val="center"/>
          </w:tcPr>
          <w:p>
            <w:pPr>
              <w:spacing w:line="24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二级模块</w:t>
            </w:r>
          </w:p>
        </w:tc>
        <w:tc>
          <w:tcPr>
            <w:tcW w:w="1957" w:type="dxa"/>
            <w:gridSpan w:val="3"/>
            <w:shd w:val="clear" w:color="auto" w:fill="FFFFFF"/>
            <w:vAlign w:val="center"/>
          </w:tcPr>
          <w:p>
            <w:pPr>
              <w:spacing w:line="24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三级模块</w:t>
            </w:r>
          </w:p>
        </w:tc>
        <w:tc>
          <w:tcPr>
            <w:tcW w:w="3551" w:type="dxa"/>
            <w:gridSpan w:val="2"/>
            <w:shd w:val="clear" w:color="auto" w:fill="FFFFFF"/>
            <w:vAlign w:val="center"/>
          </w:tcPr>
          <w:p>
            <w:pPr>
              <w:spacing w:line="24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功能简介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restart"/>
            <w:shd w:val="clear" w:color="auto" w:fill="auto"/>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64" w:type="dxa"/>
            <w:vMerge w:val="restart"/>
            <w:shd w:val="clear" w:color="auto" w:fill="auto"/>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我的个人空间</w:t>
            </w:r>
          </w:p>
        </w:tc>
        <w:tc>
          <w:tcPr>
            <w:tcW w:w="741"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1637"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编辑用户信息</w:t>
            </w:r>
          </w:p>
        </w:tc>
        <w:tc>
          <w:tcPr>
            <w:tcW w:w="1957" w:type="dxa"/>
            <w:gridSpan w:val="3"/>
            <w:shd w:val="clear" w:color="auto" w:fill="FFFFFF"/>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p>
        </w:tc>
        <w:tc>
          <w:tcPr>
            <w:tcW w:w="3551" w:type="dxa"/>
            <w:gridSpan w:val="2"/>
            <w:shd w:val="clear" w:color="auto" w:fill="FFFFFF"/>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修改自己的登录密码及其他相关信息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741"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1637"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我的收藏夹</w:t>
            </w:r>
          </w:p>
        </w:tc>
        <w:tc>
          <w:tcPr>
            <w:tcW w:w="1957" w:type="dxa"/>
            <w:gridSpan w:val="3"/>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shd w:val="clear" w:color="auto" w:fill="FFFFFF"/>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功能类似主流web浏览器中的收藏夹功能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741"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1637"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档案信息订阅</w:t>
            </w:r>
          </w:p>
        </w:tc>
        <w:tc>
          <w:tcPr>
            <w:tcW w:w="1957" w:type="dxa"/>
            <w:gridSpan w:val="3"/>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shd w:val="clear" w:color="auto" w:fill="FFFFFF"/>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实现档案查询用户对现有档案门类中的新增档案信息的订阅功能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741"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1637"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信息订阅查看</w:t>
            </w:r>
          </w:p>
        </w:tc>
        <w:tc>
          <w:tcPr>
            <w:tcW w:w="1957" w:type="dxa"/>
            <w:gridSpan w:val="3"/>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shd w:val="clear" w:color="auto" w:fill="FFFFFF"/>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档案利用者查看自己所订阅的信息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741"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1637"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即时通讯</w:t>
            </w:r>
          </w:p>
        </w:tc>
        <w:tc>
          <w:tcPr>
            <w:tcW w:w="1957" w:type="dxa"/>
            <w:gridSpan w:val="3"/>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shd w:val="clear" w:color="auto" w:fill="FFFFFF"/>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类似QQ、MSN等即时通讯软件的功能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restart"/>
            <w:shd w:val="clear" w:color="auto" w:fill="auto"/>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64" w:type="dxa"/>
            <w:vMerge w:val="restart"/>
            <w:shd w:val="clear" w:color="auto" w:fill="auto"/>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馆务工作平台</w:t>
            </w:r>
          </w:p>
        </w:tc>
        <w:tc>
          <w:tcPr>
            <w:tcW w:w="741"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c>
          <w:tcPr>
            <w:tcW w:w="1637"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馆务授权</w:t>
            </w:r>
          </w:p>
        </w:tc>
        <w:tc>
          <w:tcPr>
            <w:tcW w:w="1957" w:type="dxa"/>
            <w:gridSpan w:val="3"/>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shd w:val="clear" w:color="auto" w:fill="FFFFFF"/>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把馆务、交办、日志权限授权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741"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p>
        </w:tc>
        <w:tc>
          <w:tcPr>
            <w:tcW w:w="1637"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新建协同</w:t>
            </w:r>
          </w:p>
        </w:tc>
        <w:tc>
          <w:tcPr>
            <w:tcW w:w="1957" w:type="dxa"/>
            <w:gridSpan w:val="3"/>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shd w:val="clear" w:color="auto" w:fill="FFFFFF"/>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发起业务流程审批流程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741"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w:t>
            </w:r>
          </w:p>
        </w:tc>
        <w:tc>
          <w:tcPr>
            <w:tcW w:w="1637"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协同管理</w:t>
            </w:r>
          </w:p>
        </w:tc>
        <w:tc>
          <w:tcPr>
            <w:tcW w:w="1957" w:type="dxa"/>
            <w:gridSpan w:val="3"/>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shd w:val="clear" w:color="auto" w:fill="FFFFFF"/>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管理已发、待发、已办、待办的流程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741"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w:t>
            </w:r>
          </w:p>
        </w:tc>
        <w:tc>
          <w:tcPr>
            <w:tcW w:w="1637"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工作日志授权</w:t>
            </w:r>
          </w:p>
        </w:tc>
        <w:tc>
          <w:tcPr>
            <w:tcW w:w="1957" w:type="dxa"/>
            <w:gridSpan w:val="3"/>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shd w:val="clear" w:color="auto" w:fill="FFFFFF"/>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把查看其它人员工作日志权限授与不同角色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741"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w:t>
            </w:r>
          </w:p>
        </w:tc>
        <w:tc>
          <w:tcPr>
            <w:tcW w:w="1637"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待发协同</w:t>
            </w:r>
          </w:p>
        </w:tc>
        <w:tc>
          <w:tcPr>
            <w:tcW w:w="1957" w:type="dxa"/>
            <w:gridSpan w:val="3"/>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shd w:val="clear" w:color="auto" w:fill="FFFFFF"/>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保存的未填写完毕的业务工作审批单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741"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w:t>
            </w:r>
          </w:p>
        </w:tc>
        <w:tc>
          <w:tcPr>
            <w:tcW w:w="1637"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表单统计</w:t>
            </w:r>
          </w:p>
        </w:tc>
        <w:tc>
          <w:tcPr>
            <w:tcW w:w="1957" w:type="dxa"/>
            <w:gridSpan w:val="3"/>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shd w:val="clear" w:color="auto" w:fill="FFFFFF"/>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对系统中产生的各种表单统计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741"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w:t>
            </w:r>
          </w:p>
        </w:tc>
        <w:tc>
          <w:tcPr>
            <w:tcW w:w="1637"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工作日志管理</w:t>
            </w:r>
          </w:p>
        </w:tc>
        <w:tc>
          <w:tcPr>
            <w:tcW w:w="1957" w:type="dxa"/>
            <w:gridSpan w:val="3"/>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shd w:val="clear" w:color="auto" w:fill="FFFFFF"/>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用于管理工作日志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741"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w:t>
            </w:r>
          </w:p>
        </w:tc>
        <w:tc>
          <w:tcPr>
            <w:tcW w:w="1637"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已发协同</w:t>
            </w:r>
          </w:p>
        </w:tc>
        <w:tc>
          <w:tcPr>
            <w:tcW w:w="1957" w:type="dxa"/>
            <w:gridSpan w:val="3"/>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shd w:val="clear" w:color="auto" w:fill="FFFFFF"/>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已经发起的所有协同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49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741"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w:t>
            </w:r>
          </w:p>
        </w:tc>
        <w:tc>
          <w:tcPr>
            <w:tcW w:w="1637"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已办/待办协同</w:t>
            </w:r>
          </w:p>
        </w:tc>
        <w:tc>
          <w:tcPr>
            <w:tcW w:w="1957" w:type="dxa"/>
            <w:gridSpan w:val="3"/>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shd w:val="clear" w:color="auto" w:fill="FFFFFF"/>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用户已经办结或未办理的协同工作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741"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10</w:t>
            </w:r>
          </w:p>
        </w:tc>
        <w:tc>
          <w:tcPr>
            <w:tcW w:w="1637"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工作流管理</w:t>
            </w:r>
          </w:p>
        </w:tc>
        <w:tc>
          <w:tcPr>
            <w:tcW w:w="1957" w:type="dxa"/>
            <w:gridSpan w:val="3"/>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shd w:val="clear" w:color="auto" w:fill="FFFFFF"/>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按照工作要求自定义设定系统的审批的流程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741"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r>
              <w:rPr>
                <w:rFonts w:hint="eastAsia" w:ascii="宋体" w:hAnsi="宋体" w:cs="宋体"/>
                <w:color w:val="auto"/>
                <w:sz w:val="21"/>
                <w:szCs w:val="21"/>
                <w:highlight w:val="none"/>
                <w:lang w:val="en-US" w:eastAsia="zh-CN"/>
              </w:rPr>
              <w:t>1</w:t>
            </w:r>
          </w:p>
        </w:tc>
        <w:tc>
          <w:tcPr>
            <w:tcW w:w="1637"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表单授权</w:t>
            </w:r>
          </w:p>
        </w:tc>
        <w:tc>
          <w:tcPr>
            <w:tcW w:w="1957" w:type="dxa"/>
            <w:gridSpan w:val="3"/>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shd w:val="clear" w:color="auto" w:fill="FFFFFF"/>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为不同的角色，设置不同的工作流表单权限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741"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r>
              <w:rPr>
                <w:rFonts w:hint="eastAsia" w:ascii="宋体" w:hAnsi="宋体" w:cs="宋体"/>
                <w:color w:val="auto"/>
                <w:sz w:val="21"/>
                <w:szCs w:val="21"/>
                <w:highlight w:val="none"/>
                <w:lang w:val="en-US" w:eastAsia="zh-CN"/>
              </w:rPr>
              <w:t>2</w:t>
            </w:r>
          </w:p>
        </w:tc>
        <w:tc>
          <w:tcPr>
            <w:tcW w:w="1637"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工作日志</w:t>
            </w:r>
          </w:p>
        </w:tc>
        <w:tc>
          <w:tcPr>
            <w:tcW w:w="1957" w:type="dxa"/>
            <w:gridSpan w:val="3"/>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shd w:val="clear" w:color="auto" w:fill="FFFFFF"/>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填写用户的个人工作日志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741"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13</w:t>
            </w:r>
          </w:p>
        </w:tc>
        <w:tc>
          <w:tcPr>
            <w:tcW w:w="1637"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新建事项</w:t>
            </w:r>
          </w:p>
        </w:tc>
        <w:tc>
          <w:tcPr>
            <w:tcW w:w="1957" w:type="dxa"/>
            <w:gridSpan w:val="3"/>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shd w:val="clear" w:color="auto" w:fill="FFFFFF"/>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新建自定义的工作事项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741"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14</w:t>
            </w:r>
          </w:p>
        </w:tc>
        <w:tc>
          <w:tcPr>
            <w:tcW w:w="1637"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交办管理</w:t>
            </w:r>
          </w:p>
        </w:tc>
        <w:tc>
          <w:tcPr>
            <w:tcW w:w="1957" w:type="dxa"/>
            <w:gridSpan w:val="3"/>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shd w:val="clear" w:color="auto" w:fill="FFFFFF"/>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管理所有的交办事项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741"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r>
              <w:rPr>
                <w:rFonts w:hint="eastAsia" w:ascii="宋体" w:hAnsi="宋体" w:cs="宋体"/>
                <w:color w:val="auto"/>
                <w:sz w:val="21"/>
                <w:szCs w:val="21"/>
                <w:highlight w:val="none"/>
                <w:lang w:val="en-US" w:eastAsia="zh-CN"/>
              </w:rPr>
              <w:t>5</w:t>
            </w:r>
          </w:p>
        </w:tc>
        <w:tc>
          <w:tcPr>
            <w:tcW w:w="1637"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交办</w:t>
            </w:r>
          </w:p>
        </w:tc>
        <w:tc>
          <w:tcPr>
            <w:tcW w:w="1957" w:type="dxa"/>
            <w:gridSpan w:val="3"/>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shd w:val="clear" w:color="auto" w:fill="FFFFFF"/>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登记交办事项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741"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16</w:t>
            </w:r>
          </w:p>
        </w:tc>
        <w:tc>
          <w:tcPr>
            <w:tcW w:w="1637"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公告管理</w:t>
            </w:r>
          </w:p>
        </w:tc>
        <w:tc>
          <w:tcPr>
            <w:tcW w:w="1957" w:type="dxa"/>
            <w:gridSpan w:val="3"/>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shd w:val="clear" w:color="auto" w:fill="FFFFFF"/>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管理系统发布的公告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shd w:val="clear" w:color="auto" w:fill="auto"/>
            <w:vAlign w:val="center"/>
          </w:tcPr>
          <w:p>
            <w:pPr>
              <w:spacing w:line="240" w:lineRule="auto"/>
              <w:jc w:val="center"/>
              <w:rPr>
                <w:rFonts w:hint="eastAsia" w:ascii="宋体" w:hAnsi="宋体" w:eastAsia="宋体" w:cs="宋体"/>
                <w:color w:val="auto"/>
                <w:sz w:val="21"/>
                <w:szCs w:val="21"/>
                <w:highlight w:val="none"/>
              </w:rPr>
            </w:pPr>
          </w:p>
        </w:tc>
        <w:tc>
          <w:tcPr>
            <w:tcW w:w="741"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.17</w:t>
            </w:r>
          </w:p>
        </w:tc>
        <w:tc>
          <w:tcPr>
            <w:tcW w:w="1637" w:type="dxa"/>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公告授权管理</w:t>
            </w:r>
          </w:p>
        </w:tc>
        <w:tc>
          <w:tcPr>
            <w:tcW w:w="1957" w:type="dxa"/>
            <w:gridSpan w:val="3"/>
            <w:shd w:val="clear" w:color="auto" w:fill="FFFFFF"/>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shd w:val="clear" w:color="auto" w:fill="FFFFFF"/>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对不同角色授与公告管理授权限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494"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64"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接收中心</w:t>
            </w: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w:t>
            </w:r>
          </w:p>
        </w:tc>
        <w:tc>
          <w:tcPr>
            <w:tcW w:w="163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档案收集整理</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是预归档数据的统一处理平台，是预归档数据的集结地、临时存放库。各种类型档案的著录、校对、入库功能。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w:t>
            </w:r>
          </w:p>
        </w:tc>
        <w:tc>
          <w:tcPr>
            <w:tcW w:w="163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立卷归档</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zh-CN"/>
              </w:rPr>
              <w:t>经用户调整后可以将临时库正式移到档案正式库里，在正式库里也可对归档信息进行再调整。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w:t>
            </w:r>
          </w:p>
        </w:tc>
        <w:tc>
          <w:tcPr>
            <w:tcW w:w="163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批量上传文件</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本地的电子文件批量上传至档案系统的文件服务器。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w:t>
            </w:r>
          </w:p>
        </w:tc>
        <w:tc>
          <w:tcPr>
            <w:tcW w:w="163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通用数据文件转换</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解决用户历史数据文件的转入数字档案馆系统的问题。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w:t>
            </w:r>
          </w:p>
        </w:tc>
        <w:tc>
          <w:tcPr>
            <w:tcW w:w="163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通用数据库转换</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解决不同数据库系统之间的数据交互问题。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w:t>
            </w:r>
          </w:p>
        </w:tc>
        <w:tc>
          <w:tcPr>
            <w:tcW w:w="163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离线数据采集工具制作</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GB"/>
              </w:rPr>
              <w:t>对于一些无法在线使用系统进行数据著录的用户，他们可以此功能导出一个数据著录工具包，使用此工具包进行数据的著录。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494"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64"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管理中心</w:t>
            </w:r>
          </w:p>
        </w:tc>
        <w:tc>
          <w:tcPr>
            <w:tcW w:w="741"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w:t>
            </w:r>
          </w:p>
        </w:tc>
        <w:tc>
          <w:tcPr>
            <w:tcW w:w="1637"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"RANGE!_3.3.2档案管理#RANGE!_3.3.2档案管理"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档案业务管理</w:t>
            </w:r>
            <w:r>
              <w:rPr>
                <w:rFonts w:hint="eastAsia" w:ascii="宋体" w:hAnsi="宋体" w:eastAsia="宋体" w:cs="宋体"/>
                <w:color w:val="auto"/>
                <w:sz w:val="21"/>
                <w:szCs w:val="21"/>
                <w:highlight w:val="none"/>
              </w:rPr>
              <w:fldChar w:fldCharType="end"/>
            </w:r>
          </w:p>
        </w:tc>
        <w:tc>
          <w:tcPr>
            <w:tcW w:w="787"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4.1.1</w:t>
            </w:r>
          </w:p>
        </w:tc>
        <w:tc>
          <w:tcPr>
            <w:tcW w:w="11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"RANGE!_3.3.2.1.2档案著录#RANGE!_3.3.2.1.2档案"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档案著录</w:t>
            </w:r>
            <w:r>
              <w:rPr>
                <w:rFonts w:hint="eastAsia" w:ascii="宋体" w:hAnsi="宋体" w:eastAsia="宋体" w:cs="宋体"/>
                <w:color w:val="auto"/>
                <w:sz w:val="21"/>
                <w:szCs w:val="21"/>
                <w:highlight w:val="none"/>
              </w:rPr>
              <w:fldChar w:fldCharType="end"/>
            </w:r>
          </w:p>
        </w:tc>
        <w:tc>
          <w:tcPr>
            <w:tcW w:w="3551"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档案信息的输入及维护模块，实现档案的登记、修改、查询、电子文件的挂接等功能。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63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87"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4.1.2</w:t>
            </w:r>
          </w:p>
        </w:tc>
        <w:tc>
          <w:tcPr>
            <w:tcW w:w="11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档案保管管理</w:t>
            </w:r>
          </w:p>
        </w:tc>
        <w:tc>
          <w:tcPr>
            <w:tcW w:w="3551"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实现对档案实体的保管情况进行管理的功能。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63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87" w:type="dxa"/>
            <w:vMerge w:val="restart"/>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4.1.3</w:t>
            </w:r>
          </w:p>
        </w:tc>
        <w:tc>
          <w:tcPr>
            <w:tcW w:w="1170" w:type="dxa"/>
            <w:gridSpan w:val="2"/>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"RANGE!_3.3.2.2档案统计#RANGE!_3.3.2.2档案统计"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档案统计</w:t>
            </w:r>
            <w:r>
              <w:rPr>
                <w:rFonts w:hint="eastAsia" w:ascii="宋体" w:hAnsi="宋体" w:eastAsia="宋体" w:cs="宋体"/>
                <w:color w:val="auto"/>
                <w:sz w:val="21"/>
                <w:szCs w:val="21"/>
                <w:highlight w:val="none"/>
              </w:rPr>
              <w:fldChar w:fldCharType="end"/>
            </w:r>
          </w:p>
        </w:tc>
        <w:tc>
          <w:tcPr>
            <w:tcW w:w="115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馆藏统计</w:t>
            </w:r>
          </w:p>
        </w:tc>
        <w:tc>
          <w:tcPr>
            <w:tcW w:w="2396"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为了全面体现馆藏信息，有条理的给管理者提供馆藏信息。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63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87" w:type="dxa"/>
            <w:vMerge w:val="continue"/>
            <w:vAlign w:val="center"/>
          </w:tcPr>
          <w:p>
            <w:pPr>
              <w:spacing w:line="240" w:lineRule="auto"/>
              <w:jc w:val="left"/>
              <w:rPr>
                <w:rFonts w:hint="eastAsia" w:ascii="宋体" w:hAnsi="宋体" w:eastAsia="宋体" w:cs="宋体"/>
                <w:color w:val="auto"/>
                <w:sz w:val="21"/>
                <w:szCs w:val="21"/>
                <w:highlight w:val="none"/>
              </w:rPr>
            </w:pPr>
          </w:p>
        </w:tc>
        <w:tc>
          <w:tcPr>
            <w:tcW w:w="1170" w:type="dxa"/>
            <w:gridSpan w:val="2"/>
            <w:vMerge w:val="continue"/>
            <w:vAlign w:val="center"/>
          </w:tcPr>
          <w:p>
            <w:pPr>
              <w:spacing w:line="240" w:lineRule="auto"/>
              <w:jc w:val="center"/>
              <w:rPr>
                <w:rFonts w:hint="eastAsia" w:ascii="宋体" w:hAnsi="宋体" w:eastAsia="宋体" w:cs="宋体"/>
                <w:color w:val="auto"/>
                <w:sz w:val="21"/>
                <w:szCs w:val="21"/>
                <w:highlight w:val="none"/>
              </w:rPr>
            </w:pPr>
          </w:p>
        </w:tc>
        <w:tc>
          <w:tcPr>
            <w:tcW w:w="115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年报管理</w:t>
            </w:r>
          </w:p>
        </w:tc>
        <w:tc>
          <w:tcPr>
            <w:tcW w:w="2396"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按照国家档案局制定的全国档案事业统计年报标准实现的年报处理功能。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63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87" w:type="dxa"/>
            <w:vMerge w:val="restart"/>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4.1.4</w:t>
            </w:r>
          </w:p>
        </w:tc>
        <w:tc>
          <w:tcPr>
            <w:tcW w:w="1170" w:type="dxa"/>
            <w:gridSpan w:val="2"/>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"RANGE!_3.3.2.5库房管理#RANGE!_3.3.2.5库房管理"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库房管理</w:t>
            </w:r>
            <w:r>
              <w:rPr>
                <w:rFonts w:hint="eastAsia" w:ascii="宋体" w:hAnsi="宋体" w:eastAsia="宋体" w:cs="宋体"/>
                <w:color w:val="auto"/>
                <w:sz w:val="21"/>
                <w:szCs w:val="21"/>
                <w:highlight w:val="none"/>
              </w:rPr>
              <w:fldChar w:fldCharType="end"/>
            </w:r>
          </w:p>
        </w:tc>
        <w:tc>
          <w:tcPr>
            <w:tcW w:w="115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"RANGE!_3.3.2.5.2库房实体管理#RANGE!_3.3.2.5.2"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库房实体档案管理</w:t>
            </w:r>
            <w:r>
              <w:rPr>
                <w:rFonts w:hint="eastAsia" w:ascii="宋体" w:hAnsi="宋体" w:eastAsia="宋体" w:cs="宋体"/>
                <w:color w:val="auto"/>
                <w:sz w:val="21"/>
                <w:szCs w:val="21"/>
                <w:highlight w:val="none"/>
              </w:rPr>
              <w:fldChar w:fldCharType="end"/>
            </w:r>
          </w:p>
        </w:tc>
        <w:tc>
          <w:tcPr>
            <w:tcW w:w="2396"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对库房实体数据进行系统初始化及管理维护工作。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63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87" w:type="dxa"/>
            <w:vMerge w:val="continue"/>
            <w:vAlign w:val="center"/>
          </w:tcPr>
          <w:p>
            <w:pPr>
              <w:spacing w:line="240" w:lineRule="auto"/>
              <w:jc w:val="left"/>
              <w:rPr>
                <w:rFonts w:hint="eastAsia" w:ascii="宋体" w:hAnsi="宋体" w:eastAsia="宋体" w:cs="宋体"/>
                <w:color w:val="auto"/>
                <w:sz w:val="21"/>
                <w:szCs w:val="21"/>
                <w:highlight w:val="none"/>
              </w:rPr>
            </w:pPr>
          </w:p>
        </w:tc>
        <w:tc>
          <w:tcPr>
            <w:tcW w:w="1170" w:type="dxa"/>
            <w:gridSpan w:val="2"/>
            <w:vMerge w:val="continue"/>
            <w:vAlign w:val="center"/>
          </w:tcPr>
          <w:p>
            <w:pPr>
              <w:spacing w:line="240" w:lineRule="auto"/>
              <w:jc w:val="left"/>
              <w:rPr>
                <w:rFonts w:hint="eastAsia" w:ascii="宋体" w:hAnsi="宋体" w:eastAsia="宋体" w:cs="宋体"/>
                <w:color w:val="auto"/>
                <w:sz w:val="21"/>
                <w:szCs w:val="21"/>
                <w:highlight w:val="none"/>
              </w:rPr>
            </w:pPr>
          </w:p>
        </w:tc>
        <w:tc>
          <w:tcPr>
            <w:tcW w:w="115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库房虚拟3D显示</w:t>
            </w:r>
          </w:p>
        </w:tc>
        <w:tc>
          <w:tcPr>
            <w:tcW w:w="2396"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以3D虚拟图形方式表示的档案装备或档案。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63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87"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4.1.5</w:t>
            </w:r>
          </w:p>
        </w:tc>
        <w:tc>
          <w:tcPr>
            <w:tcW w:w="1170"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档案销毁管理</w:t>
            </w:r>
          </w:p>
        </w:tc>
        <w:tc>
          <w:tcPr>
            <w:tcW w:w="3551"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手动或自动的鉴定，对到期的档案进行销毁处理。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w:t>
            </w:r>
          </w:p>
        </w:tc>
        <w:tc>
          <w:tcPr>
            <w:tcW w:w="163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"RANGE!_3.3.4工作流管理#RANGE!_3.3.4工作流管理"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信息发布管理</w:t>
            </w:r>
            <w:r>
              <w:rPr>
                <w:rFonts w:hint="eastAsia" w:ascii="宋体" w:hAnsi="宋体" w:eastAsia="宋体" w:cs="宋体"/>
                <w:color w:val="auto"/>
                <w:sz w:val="21"/>
                <w:szCs w:val="21"/>
                <w:highlight w:val="none"/>
              </w:rPr>
              <w:fldChar w:fldCharType="end"/>
            </w:r>
          </w:p>
        </w:tc>
        <w:tc>
          <w:tcPr>
            <w:tcW w:w="1957" w:type="dxa"/>
            <w:gridSpan w:val="3"/>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用于维护系统首页的发布内容。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w:t>
            </w:r>
          </w:p>
        </w:tc>
        <w:tc>
          <w:tcPr>
            <w:tcW w:w="1637"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利用管理</w:t>
            </w:r>
          </w:p>
        </w:tc>
        <w:tc>
          <w:tcPr>
            <w:tcW w:w="787"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4.3.1</w:t>
            </w:r>
          </w:p>
        </w:tc>
        <w:tc>
          <w:tcPr>
            <w:tcW w:w="11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档案借阅登记</w:t>
            </w:r>
          </w:p>
        </w:tc>
        <w:tc>
          <w:tcPr>
            <w:tcW w:w="3551"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档案利用者对档案实体(纸质档案)的借阅登记功能。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63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87"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4.3.2</w:t>
            </w:r>
          </w:p>
        </w:tc>
        <w:tc>
          <w:tcPr>
            <w:tcW w:w="11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档案借阅归还</w:t>
            </w:r>
          </w:p>
        </w:tc>
        <w:tc>
          <w:tcPr>
            <w:tcW w:w="3551"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实现已借出档案的管理。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63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87"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4.3.3</w:t>
            </w:r>
          </w:p>
        </w:tc>
        <w:tc>
          <w:tcPr>
            <w:tcW w:w="11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借阅模板设置</w:t>
            </w:r>
          </w:p>
        </w:tc>
        <w:tc>
          <w:tcPr>
            <w:tcW w:w="3551"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档案实体借阅相关借阅数据表的定义及维护。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63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87"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4.3.4</w:t>
            </w:r>
          </w:p>
        </w:tc>
        <w:tc>
          <w:tcPr>
            <w:tcW w:w="11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利用统计</w:t>
            </w:r>
          </w:p>
        </w:tc>
        <w:tc>
          <w:tcPr>
            <w:tcW w:w="3551"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实现档案实体查借阅的情况统计。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63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87"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4.3.5</w:t>
            </w:r>
          </w:p>
        </w:tc>
        <w:tc>
          <w:tcPr>
            <w:tcW w:w="11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全文索引库管理</w:t>
            </w:r>
          </w:p>
        </w:tc>
        <w:tc>
          <w:tcPr>
            <w:tcW w:w="3551"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实现全文索引库的管理。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63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87"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4.3.6</w:t>
            </w:r>
          </w:p>
        </w:tc>
        <w:tc>
          <w:tcPr>
            <w:tcW w:w="11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全文索引外挂词库维护</w:t>
            </w:r>
          </w:p>
        </w:tc>
        <w:tc>
          <w:tcPr>
            <w:tcW w:w="3551"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GB"/>
              </w:rPr>
              <w:t>主要提供用户自定义新词汇功能。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w:t>
            </w:r>
          </w:p>
        </w:tc>
        <w:tc>
          <w:tcPr>
            <w:tcW w:w="1637"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元数据管理</w:t>
            </w:r>
          </w:p>
        </w:tc>
        <w:tc>
          <w:tcPr>
            <w:tcW w:w="787"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4.4.1</w:t>
            </w:r>
          </w:p>
        </w:tc>
        <w:tc>
          <w:tcPr>
            <w:tcW w:w="11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命名空间管理</w:t>
            </w:r>
          </w:p>
        </w:tc>
        <w:tc>
          <w:tcPr>
            <w:tcW w:w="3551"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定义不同种类的元数据标准，即不同的命名空间。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63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87"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4.4.2</w:t>
            </w:r>
          </w:p>
        </w:tc>
        <w:tc>
          <w:tcPr>
            <w:tcW w:w="11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业务管理</w:t>
            </w:r>
          </w:p>
        </w:tc>
        <w:tc>
          <w:tcPr>
            <w:tcW w:w="3551"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系统预置的档案管理、收集整理、档案保管、档案销毁、档案库房、文件管理等基本业务之外，用户还可以在业务管理模块中新增自己的业务，以适应信息资源多样化的管理需求。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63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87"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4.4.3</w:t>
            </w:r>
          </w:p>
        </w:tc>
        <w:tc>
          <w:tcPr>
            <w:tcW w:w="11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模版定义</w:t>
            </w:r>
          </w:p>
        </w:tc>
        <w:tc>
          <w:tcPr>
            <w:tcW w:w="3551"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实现根据用户的实际业务情况定义档案各个业务所管理数据的门类（结构）及相关的著录项，并且可以定义与结构相关的各种业务规则，如排序规则、报表规则等。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63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87"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4.4.4</w:t>
            </w:r>
          </w:p>
        </w:tc>
        <w:tc>
          <w:tcPr>
            <w:tcW w:w="11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结构模版定义</w:t>
            </w:r>
          </w:p>
        </w:tc>
        <w:tc>
          <w:tcPr>
            <w:tcW w:w="3551"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定义系统中需要使用的业务数据表结构属性信息。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63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87"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4.4.5</w:t>
            </w:r>
          </w:p>
        </w:tc>
        <w:tc>
          <w:tcPr>
            <w:tcW w:w="11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字段模版定义</w:t>
            </w:r>
          </w:p>
        </w:tc>
        <w:tc>
          <w:tcPr>
            <w:tcW w:w="3551"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定义系统中需要使用的业务数据表结构的字段属性信息。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63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87"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4.4.6</w:t>
            </w:r>
          </w:p>
        </w:tc>
        <w:tc>
          <w:tcPr>
            <w:tcW w:w="11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报表维护</w:t>
            </w:r>
          </w:p>
        </w:tc>
        <w:tc>
          <w:tcPr>
            <w:tcW w:w="3551"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cs="宋体"/>
                <w:strike w:val="0"/>
                <w:dstrike w:val="0"/>
                <w:color w:val="auto"/>
                <w:sz w:val="21"/>
                <w:szCs w:val="21"/>
                <w:highlight w:val="none"/>
                <w:lang w:val="zh-CN"/>
              </w:rPr>
              <w:t>系统内置不少于五十种报表模块</w:t>
            </w:r>
            <w:r>
              <w:rPr>
                <w:rFonts w:hint="eastAsia" w:ascii="宋体" w:hAnsi="宋体" w:eastAsia="宋体" w:cs="宋体"/>
                <w:strike w:val="0"/>
                <w:dstrike w:val="0"/>
                <w:color w:val="auto"/>
                <w:sz w:val="21"/>
                <w:szCs w:val="21"/>
                <w:highlight w:val="none"/>
                <w:lang w:val="zh-CN"/>
              </w:rPr>
              <w:t>，</w:t>
            </w:r>
            <w:r>
              <w:rPr>
                <w:rFonts w:hint="eastAsia" w:ascii="宋体" w:hAnsi="宋体" w:eastAsia="宋体" w:cs="宋体"/>
                <w:color w:val="auto"/>
                <w:sz w:val="21"/>
                <w:szCs w:val="21"/>
                <w:highlight w:val="none"/>
                <w:lang w:val="zh-CN"/>
              </w:rPr>
              <w:t>用户可根据自己行业的特点，对已有的报表进行修改，或增加自己需要的新的报表，以满足日常工作的需要。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w:t>
            </w:r>
          </w:p>
        </w:tc>
        <w:tc>
          <w:tcPr>
            <w:tcW w:w="1637"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电子文件管理</w:t>
            </w:r>
          </w:p>
        </w:tc>
        <w:tc>
          <w:tcPr>
            <w:tcW w:w="787" w:type="dxa"/>
            <w:vMerge w:val="restart"/>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4.5.1</w:t>
            </w:r>
          </w:p>
        </w:tc>
        <w:tc>
          <w:tcPr>
            <w:tcW w:w="11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电子文件校验</w:t>
            </w:r>
          </w:p>
        </w:tc>
        <w:tc>
          <w:tcPr>
            <w:tcW w:w="3551"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生成唯一的文件校验码，主要作用是防止电子文件被篡改。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63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87" w:type="dxa"/>
            <w:vMerge w:val="continue"/>
            <w:vAlign w:val="center"/>
          </w:tcPr>
          <w:p>
            <w:pPr>
              <w:spacing w:line="240" w:lineRule="auto"/>
              <w:jc w:val="left"/>
              <w:rPr>
                <w:rFonts w:hint="eastAsia" w:ascii="宋体" w:hAnsi="宋体" w:eastAsia="宋体" w:cs="宋体"/>
                <w:color w:val="auto"/>
                <w:sz w:val="21"/>
                <w:szCs w:val="21"/>
                <w:highlight w:val="none"/>
              </w:rPr>
            </w:pPr>
          </w:p>
        </w:tc>
        <w:tc>
          <w:tcPr>
            <w:tcW w:w="11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格式注册</w:t>
            </w:r>
          </w:p>
        </w:tc>
        <w:tc>
          <w:tcPr>
            <w:tcW w:w="3551"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格式注册功能是为了在检索照片档案后，可以采用缩略图的方式进行展现。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restart"/>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64" w:type="dxa"/>
            <w:vMerge w:val="restart"/>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利用中心</w:t>
            </w: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w:t>
            </w:r>
          </w:p>
        </w:tc>
        <w:tc>
          <w:tcPr>
            <w:tcW w:w="1637" w:type="dxa"/>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关键词检索</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导航式的数据检索方式，能够以图形化的界面给利用者提供检索入口，更好的导引用户快速找到自己需要的数据。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w:t>
            </w:r>
          </w:p>
        </w:tc>
        <w:tc>
          <w:tcPr>
            <w:tcW w:w="163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综合业务检索</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基于目录树的数据检索方式。可以在选定的业务中进行跨库检索信息资源。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w:t>
            </w:r>
          </w:p>
        </w:tc>
        <w:tc>
          <w:tcPr>
            <w:tcW w:w="163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全文检索</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提供类似Google、百度的检索模式，可对各种格式的文档、数据库等异质海量信息实现统一检索，提供关联检索、容错检索、信息摘要、逐层检索功能。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5.5</w:t>
            </w:r>
          </w:p>
        </w:tc>
        <w:tc>
          <w:tcPr>
            <w:tcW w:w="1637"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档案编研</w:t>
            </w:r>
          </w:p>
        </w:tc>
        <w:tc>
          <w:tcPr>
            <w:tcW w:w="917"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.1</w:t>
            </w:r>
          </w:p>
        </w:tc>
        <w:tc>
          <w:tcPr>
            <w:tcW w:w="1040"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档案编研管理</w:t>
            </w:r>
          </w:p>
        </w:tc>
        <w:tc>
          <w:tcPr>
            <w:tcW w:w="3551"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按专题对档案文件进行收集、筛选、加工，使之转化为不同形式的编研成果的一种专业工作。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637"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917"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.2</w:t>
            </w:r>
          </w:p>
        </w:tc>
        <w:tc>
          <w:tcPr>
            <w:tcW w:w="1040"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查看编研文档</w:t>
            </w:r>
          </w:p>
        </w:tc>
        <w:tc>
          <w:tcPr>
            <w:tcW w:w="3551" w:type="dxa"/>
            <w:gridSpan w:val="2"/>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查看编研的主题。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494"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664"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系统管理</w:t>
            </w: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w:t>
            </w:r>
          </w:p>
        </w:tc>
        <w:tc>
          <w:tcPr>
            <w:tcW w:w="163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机构设置</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设置组织内部的机构层次。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w:t>
            </w:r>
          </w:p>
        </w:tc>
        <w:tc>
          <w:tcPr>
            <w:tcW w:w="163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权限管理</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负</w:t>
            </w:r>
            <w:r>
              <w:rPr>
                <w:rFonts w:hint="eastAsia" w:ascii="宋体" w:hAnsi="宋体" w:eastAsia="宋体" w:cs="宋体"/>
                <w:color w:val="auto"/>
                <w:sz w:val="21"/>
                <w:szCs w:val="21"/>
                <w:highlight w:val="none"/>
              </w:rPr>
              <w:t>责管理系统的用户及角色，维护用户属性，并为角色授权，权限包括功能权限及数据权限，支持电子文件防扩散等安全机制，实现离线文件的防扩散控制。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6.3</w:t>
            </w:r>
          </w:p>
        </w:tc>
        <w:tc>
          <w:tcPr>
            <w:tcW w:w="163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主题词维护</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实现对主题词库的维护，为实现档案著录时主题词的自动标引提供基础数据。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6.4</w:t>
            </w:r>
          </w:p>
        </w:tc>
        <w:tc>
          <w:tcPr>
            <w:tcW w:w="163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关键词维护</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增加自定义的关键词库，提高检索准确性。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6.5</w:t>
            </w:r>
          </w:p>
        </w:tc>
        <w:tc>
          <w:tcPr>
            <w:tcW w:w="163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分类库维护</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以标准树结构的方式组织分类代码的存储。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6.6</w:t>
            </w:r>
          </w:p>
        </w:tc>
        <w:tc>
          <w:tcPr>
            <w:tcW w:w="163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文件服务器设置</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为了实现数字档案的网络传输（上传、下载）。系统</w:t>
            </w:r>
            <w:r>
              <w:rPr>
                <w:rFonts w:hint="eastAsia" w:ascii="宋体" w:hAnsi="宋体" w:eastAsia="宋体" w:cs="宋体"/>
                <w:color w:val="auto"/>
                <w:sz w:val="21"/>
                <w:szCs w:val="21"/>
                <w:highlight w:val="none"/>
                <w:lang w:eastAsia="zh-CN"/>
              </w:rPr>
              <w:t>须</w:t>
            </w:r>
            <w:r>
              <w:rPr>
                <w:rFonts w:hint="eastAsia" w:ascii="宋体" w:hAnsi="宋体" w:eastAsia="宋体" w:cs="宋体"/>
                <w:color w:val="auto"/>
                <w:sz w:val="21"/>
                <w:szCs w:val="21"/>
                <w:highlight w:val="none"/>
              </w:rPr>
              <w:t>支持的电子文件传输协议包括FTP、HTTP、RTSP、ESECM、WEBDAV等。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6.7</w:t>
            </w:r>
          </w:p>
        </w:tc>
        <w:tc>
          <w:tcPr>
            <w:tcW w:w="163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系统应用配置</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配置系统运行的一些必须参数，提高系统的灵活性。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6.8</w:t>
            </w:r>
          </w:p>
        </w:tc>
        <w:tc>
          <w:tcPr>
            <w:tcW w:w="163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日志管理</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日志管理主要维护、管理系统运行产生的日志。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6.9</w:t>
            </w:r>
          </w:p>
        </w:tc>
        <w:tc>
          <w:tcPr>
            <w:tcW w:w="163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任务调度管理</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用于计算机自动执行档案业务工作中及系统管理工作中需要定时自动执行的工作任务。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6.10</w:t>
            </w:r>
          </w:p>
        </w:tc>
        <w:tc>
          <w:tcPr>
            <w:tcW w:w="163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数据管理</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即光盘制作是系统备份及数据离线利用的一种方式。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6.11</w:t>
            </w:r>
          </w:p>
        </w:tc>
        <w:tc>
          <w:tcPr>
            <w:tcW w:w="163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系统菜单维护</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方便系统管理员对系统菜单的名称等信息进行维护。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6.12</w:t>
            </w:r>
          </w:p>
        </w:tc>
        <w:tc>
          <w:tcPr>
            <w:tcW w:w="163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介质预警</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GB"/>
              </w:rPr>
              <w:t>通过网络来监控系统服务器当前的状态（包括系统服务器的硬盘信息、内存使用情况、cpu使用情况、网卡状态信息以及操作系统信息等）。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9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664"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741"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6.13</w:t>
            </w:r>
          </w:p>
        </w:tc>
        <w:tc>
          <w:tcPr>
            <w:tcW w:w="1637"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消息管理</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系统消息的管理和维护功能。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494"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664"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数字档案检索系统</w:t>
            </w:r>
          </w:p>
        </w:tc>
        <w:tc>
          <w:tcPr>
            <w:tcW w:w="2378"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p>
        </w:tc>
        <w:tc>
          <w:tcPr>
            <w:tcW w:w="1957" w:type="dxa"/>
            <w:gridSpan w:val="3"/>
            <w:vAlign w:val="center"/>
          </w:tcPr>
          <w:p>
            <w:pPr>
              <w:spacing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w:t>
            </w:r>
          </w:p>
        </w:tc>
        <w:tc>
          <w:tcPr>
            <w:tcW w:w="3551" w:type="dxa"/>
            <w:gridSpan w:val="2"/>
            <w:vAlign w:val="center"/>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档案信息共享平台提供档案信息服务，主要功能包括档案检索、全文检索、档案借阅申请审批、信息公开、档案专题展示、档案编研创作及编研成果展示的能力，网上办事等功能。</w:t>
            </w:r>
          </w:p>
        </w:tc>
      </w:tr>
    </w:tbl>
    <w:p>
      <w:pPr>
        <w:pStyle w:val="4"/>
        <w:spacing w:after="0" w:afterLines="0"/>
        <w:ind w:lef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2、档案咨询服务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根据《中华人民共和国档案法》、《国家重大建设项目文件归档案要求与档案整理规范》、《基本建设项目档案资料管理暂行规定》、《CJJT 180-2012 城市轨道交通工程档案整理标准》、《DAT66-2017城市轨道交通工程文件归档要求与档案分类规范》等法律法规，结合本</w:t>
      </w:r>
      <w:r>
        <w:rPr>
          <w:rFonts w:hint="eastAsia" w:ascii="宋体" w:hAnsi="宋体" w:eastAsia="宋体" w:cs="宋体"/>
          <w:color w:val="auto"/>
          <w:sz w:val="21"/>
          <w:szCs w:val="21"/>
          <w:highlight w:val="none"/>
          <w:lang w:eastAsia="zh-CN"/>
        </w:rPr>
        <w:t>招标人</w:t>
      </w:r>
      <w:r>
        <w:rPr>
          <w:rFonts w:hint="eastAsia" w:ascii="宋体" w:hAnsi="宋体" w:eastAsia="宋体" w:cs="宋体"/>
          <w:color w:val="auto"/>
          <w:sz w:val="21"/>
          <w:szCs w:val="21"/>
          <w:highlight w:val="none"/>
        </w:rPr>
        <w:t>项目建设的实际情况，细化制订一些更具体的可操作的规章制度，如《佛山市南海区铁路投资有限公司基本建设项目档案资料管理规定》、《佛山市南海区铁路投资有限公司电子文件归档与管理暂行规定》、《佛山市南海区铁路投资有限公司声像档案管理规定》等，为实现档案管理的规范化和标准化，达到项目归档完整、准确和系统的要求，打下了坚实的制度基础。</w:t>
      </w:r>
    </w:p>
    <w:p>
      <w:pPr>
        <w:pStyle w:val="4"/>
        <w:spacing w:after="0" w:afterLines="0"/>
        <w:ind w:lef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3、档案整理服务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w:t>
      </w:r>
      <w:r>
        <w:rPr>
          <w:rFonts w:hint="eastAsia" w:ascii="宋体" w:hAnsi="宋体" w:eastAsia="宋体" w:cs="宋体"/>
          <w:color w:val="auto"/>
          <w:sz w:val="21"/>
          <w:szCs w:val="21"/>
          <w:highlight w:val="none"/>
          <w:lang w:eastAsia="zh-CN"/>
        </w:rPr>
        <w:t>招标人</w:t>
      </w:r>
      <w:r>
        <w:rPr>
          <w:rFonts w:hint="eastAsia" w:ascii="宋体" w:hAnsi="宋体" w:eastAsia="宋体" w:cs="宋体"/>
          <w:color w:val="auto"/>
          <w:sz w:val="21"/>
          <w:szCs w:val="21"/>
          <w:highlight w:val="none"/>
        </w:rPr>
        <w:t>建设工程竣工档案编制规定及要求，认真负责任按</w:t>
      </w:r>
      <w:r>
        <w:rPr>
          <w:rFonts w:hint="eastAsia" w:ascii="宋体" w:hAnsi="宋体" w:eastAsia="宋体" w:cs="宋体"/>
          <w:color w:val="auto"/>
          <w:sz w:val="21"/>
          <w:szCs w:val="21"/>
          <w:highlight w:val="none"/>
          <w:lang w:eastAsia="zh-CN"/>
        </w:rPr>
        <w:t>招标人</w:t>
      </w:r>
      <w:r>
        <w:rPr>
          <w:rFonts w:hint="eastAsia" w:ascii="宋体" w:hAnsi="宋体" w:eastAsia="宋体" w:cs="宋体"/>
          <w:color w:val="auto"/>
          <w:sz w:val="21"/>
          <w:szCs w:val="21"/>
          <w:highlight w:val="none"/>
        </w:rPr>
        <w:t>及相关政策、规范化要求完成工程档案编制、整理、立卷组卷移交档案馆的工作，协助</w:t>
      </w:r>
      <w:r>
        <w:rPr>
          <w:rFonts w:hint="eastAsia" w:ascii="宋体" w:hAnsi="宋体" w:eastAsia="宋体" w:cs="宋体"/>
          <w:color w:val="auto"/>
          <w:sz w:val="21"/>
          <w:szCs w:val="21"/>
          <w:highlight w:val="none"/>
          <w:lang w:eastAsia="zh-CN"/>
        </w:rPr>
        <w:t>招标人</w:t>
      </w:r>
      <w:r>
        <w:rPr>
          <w:rFonts w:hint="eastAsia" w:ascii="宋体" w:hAnsi="宋体" w:eastAsia="宋体" w:cs="宋体"/>
          <w:color w:val="auto"/>
          <w:sz w:val="21"/>
          <w:szCs w:val="21"/>
          <w:highlight w:val="none"/>
        </w:rPr>
        <w:t>向档案馆移交竣工档案资料并取得移交证明文件；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1）档案文字材料的检查、整理、排序、编码；</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2）档案图纸的整理、排序、编码；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3）打印概况表、案卷封面、案卷目录、卷内目录、备考表；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4）档案装订、装盒；</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5）档案盒脊背、备考表的填写；</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6）编制移交目录册；</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7）相应的电子文件；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8）完成采购清单一览表要求的档案整理工作。</w:t>
      </w:r>
    </w:p>
    <w:p>
      <w:pPr>
        <w:pStyle w:val="4"/>
        <w:spacing w:after="0" w:afterLines="0"/>
        <w:ind w:lef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4、数字化加工服务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中标人提供一套网络版档案数字化加工系统，可将扫描后的档案信息及图像方便管理、利用。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档案整理装订环节细分包括：档案接收、档案整理（包括分类、排卷、核对、去杂物、修补、托裱、展平、打页码）、校对目录信息、生成并粘贴条形码、送档案扫描处理、打印（包括软封皮、盒面）、装订、贴封条盖章、装盒、总质检、客户质检、归还上架</w:t>
      </w:r>
      <w:r>
        <w:rPr>
          <w:rFonts w:hint="eastAsia" w:ascii="宋体" w:hAnsi="宋体" w:eastAsia="宋体" w:cs="宋体"/>
          <w:bCs/>
          <w:color w:val="auto"/>
          <w:sz w:val="21"/>
          <w:szCs w:val="21"/>
          <w:highlight w:val="none"/>
          <w:lang w:eastAsia="zh-CN"/>
        </w:rPr>
        <w:t>。</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4.1各环节要求如下：</w:t>
      </w:r>
    </w:p>
    <w:p>
      <w:pPr>
        <w:spacing w:line="360" w:lineRule="auto"/>
        <w:ind w:firstLine="67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1）档案接收：</w:t>
      </w:r>
    </w:p>
    <w:p>
      <w:pPr>
        <w:spacing w:line="360" w:lineRule="auto"/>
        <w:ind w:firstLine="67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当年归档案件的接收，每周一至周五9：30—16：30为接收时间，由</w:t>
      </w:r>
      <w:r>
        <w:rPr>
          <w:rFonts w:hint="eastAsia" w:ascii="宋体" w:hAnsi="宋体" w:eastAsia="宋体" w:cs="宋体"/>
          <w:bCs/>
          <w:color w:val="auto"/>
          <w:sz w:val="21"/>
          <w:szCs w:val="21"/>
          <w:highlight w:val="none"/>
          <w:lang w:eastAsia="zh-CN"/>
        </w:rPr>
        <w:t>招标人</w:t>
      </w:r>
      <w:r>
        <w:rPr>
          <w:rFonts w:hint="eastAsia" w:ascii="宋体" w:hAnsi="宋体" w:eastAsia="宋体" w:cs="宋体"/>
          <w:bCs/>
          <w:color w:val="auto"/>
          <w:sz w:val="21"/>
          <w:szCs w:val="21"/>
          <w:highlight w:val="none"/>
        </w:rPr>
        <w:t>指定工作人员将档案移交给</w:t>
      </w:r>
      <w:r>
        <w:rPr>
          <w:rFonts w:hint="eastAsia" w:ascii="宋体" w:hAnsi="宋体" w:eastAsia="宋体" w:cs="宋体"/>
          <w:bCs/>
          <w:color w:val="auto"/>
          <w:sz w:val="21"/>
          <w:szCs w:val="21"/>
          <w:highlight w:val="none"/>
          <w:lang w:eastAsia="zh-CN"/>
        </w:rPr>
        <w:t>中标人</w:t>
      </w: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eastAsia="zh-CN"/>
        </w:rPr>
        <w:t>中标人</w:t>
      </w:r>
      <w:r>
        <w:rPr>
          <w:rFonts w:hint="eastAsia" w:ascii="宋体" w:hAnsi="宋体" w:eastAsia="宋体" w:cs="宋体"/>
          <w:bCs/>
          <w:color w:val="auto"/>
          <w:sz w:val="21"/>
          <w:szCs w:val="21"/>
          <w:highlight w:val="none"/>
        </w:rPr>
        <w:t>需</w:t>
      </w:r>
      <w:r>
        <w:rPr>
          <w:rFonts w:hint="eastAsia" w:ascii="宋体" w:hAnsi="宋体" w:eastAsia="宋体" w:cs="宋体"/>
          <w:bCs/>
          <w:color w:val="auto"/>
          <w:sz w:val="21"/>
          <w:szCs w:val="21"/>
          <w:highlight w:val="none"/>
          <w:lang w:eastAsia="zh-CN"/>
        </w:rPr>
        <w:t>安排</w:t>
      </w:r>
      <w:r>
        <w:rPr>
          <w:rFonts w:hint="eastAsia" w:ascii="宋体" w:hAnsi="宋体" w:eastAsia="宋体" w:cs="宋体"/>
          <w:bCs/>
          <w:color w:val="auto"/>
          <w:sz w:val="21"/>
          <w:szCs w:val="21"/>
          <w:highlight w:val="none"/>
        </w:rPr>
        <w:t>专人负责</w:t>
      </w:r>
      <w:r>
        <w:rPr>
          <w:rFonts w:hint="eastAsia" w:ascii="宋体" w:hAnsi="宋体" w:cs="宋体"/>
          <w:bCs/>
          <w:color w:val="auto"/>
          <w:sz w:val="21"/>
          <w:szCs w:val="21"/>
          <w:highlight w:val="none"/>
          <w:lang w:eastAsia="zh-CN"/>
        </w:rPr>
        <w:t>，中标人必须提交人员名单和身份证复印件给招标人备案，如需更换人员，需在3个工作日前向招标人报备，未经招标人同意不得调整</w:t>
      </w:r>
      <w:r>
        <w:rPr>
          <w:rFonts w:hint="eastAsia" w:ascii="宋体" w:hAnsi="宋体" w:eastAsia="宋体" w:cs="宋体"/>
          <w:bCs/>
          <w:color w:val="auto"/>
          <w:sz w:val="21"/>
          <w:szCs w:val="21"/>
          <w:highlight w:val="none"/>
        </w:rPr>
        <w:t>。档案接收应以案卷移交目录核对档案数量、要求逐卷逐页核查，环环相扣，责任到人，将档案遗失风险降到最小。</w:t>
      </w:r>
    </w:p>
    <w:p>
      <w:pPr>
        <w:spacing w:line="360" w:lineRule="auto"/>
        <w:ind w:firstLine="67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库存案件的接收，遵守档案管理及库房管理制度，严格遵守保密制度，确保档案和档案信息的安全。</w:t>
      </w:r>
    </w:p>
    <w:p>
      <w:pPr>
        <w:spacing w:line="360" w:lineRule="auto"/>
        <w:ind w:firstLine="472" w:firstLineChars="22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接收环节主要注意以下事项： </w:t>
      </w:r>
    </w:p>
    <w:p>
      <w:pPr>
        <w:numPr>
          <w:ilvl w:val="2"/>
          <w:numId w:val="9"/>
        </w:numPr>
        <w:spacing w:line="360" w:lineRule="auto"/>
        <w:ind w:left="0" w:firstLine="567"/>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中标人调卷工作人员和</w:t>
      </w:r>
      <w:r>
        <w:rPr>
          <w:rFonts w:hint="eastAsia" w:ascii="宋体" w:hAnsi="宋体" w:eastAsia="宋体" w:cs="宋体"/>
          <w:bCs/>
          <w:color w:val="auto"/>
          <w:sz w:val="21"/>
          <w:szCs w:val="21"/>
          <w:highlight w:val="none"/>
          <w:lang w:eastAsia="zh-CN"/>
        </w:rPr>
        <w:t>招标人</w:t>
      </w:r>
      <w:r>
        <w:rPr>
          <w:rFonts w:hint="eastAsia" w:ascii="宋体" w:hAnsi="宋体" w:eastAsia="宋体" w:cs="宋体"/>
          <w:bCs/>
          <w:color w:val="auto"/>
          <w:sz w:val="21"/>
          <w:szCs w:val="21"/>
          <w:highlight w:val="none"/>
        </w:rPr>
        <w:t>的档案管理人员在档案库房或指定场地，接收</w:t>
      </w:r>
      <w:r>
        <w:rPr>
          <w:rFonts w:hint="eastAsia" w:ascii="宋体" w:hAnsi="宋体" w:eastAsia="宋体" w:cs="宋体"/>
          <w:bCs/>
          <w:color w:val="auto"/>
          <w:sz w:val="21"/>
          <w:szCs w:val="21"/>
          <w:highlight w:val="none"/>
          <w:lang w:eastAsia="zh-CN"/>
        </w:rPr>
        <w:t>招标人</w:t>
      </w:r>
      <w:r>
        <w:rPr>
          <w:rFonts w:hint="eastAsia" w:ascii="宋体" w:hAnsi="宋体" w:eastAsia="宋体" w:cs="宋体"/>
          <w:bCs/>
          <w:color w:val="auto"/>
          <w:sz w:val="21"/>
          <w:szCs w:val="21"/>
          <w:highlight w:val="none"/>
        </w:rPr>
        <w:t>移交的档案或案件材料；</w:t>
      </w:r>
    </w:p>
    <w:p>
      <w:pPr>
        <w:numPr>
          <w:ilvl w:val="2"/>
          <w:numId w:val="9"/>
        </w:numPr>
        <w:spacing w:line="360" w:lineRule="auto"/>
        <w:ind w:left="0" w:firstLine="567"/>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对提取的档案逐页清点，共同进行案卷内容、目录、数量的核对；</w:t>
      </w:r>
    </w:p>
    <w:p>
      <w:pPr>
        <w:numPr>
          <w:ilvl w:val="2"/>
          <w:numId w:val="9"/>
        </w:numPr>
        <w:spacing w:line="360" w:lineRule="auto"/>
        <w:ind w:left="0" w:firstLine="567"/>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清点结束，在档案调卷登记本登记或移送材料登记本进行登记，双方签字；</w:t>
      </w:r>
    </w:p>
    <w:p>
      <w:pPr>
        <w:numPr>
          <w:ilvl w:val="2"/>
          <w:numId w:val="9"/>
        </w:numPr>
        <w:spacing w:line="360" w:lineRule="auto"/>
        <w:ind w:left="0" w:firstLine="567"/>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中标人调卷工作人员与档案管理人员进行全宗、目录、数量的二次核对；</w:t>
      </w:r>
    </w:p>
    <w:p>
      <w:pPr>
        <w:numPr>
          <w:ilvl w:val="2"/>
          <w:numId w:val="9"/>
        </w:numPr>
        <w:spacing w:line="360" w:lineRule="auto"/>
        <w:ind w:left="0" w:firstLine="567"/>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放入临时档案保管柜，锁好，注意安全保存  </w:t>
      </w:r>
    </w:p>
    <w:p>
      <w:pPr>
        <w:spacing w:line="360" w:lineRule="auto"/>
        <w:ind w:firstLine="472" w:firstLineChars="22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目录录入：需对照档案的内容，输入档案的信息，基本信息录入需采用双机校对录入方式，确保录入信息准确无误。需要质检核对无误才可予以确认合格。目录录入应按要求将案卷基本信息录入到电子档案综合管理系统中，确保电子文件与条目信息保证100%准确。</w:t>
      </w:r>
    </w:p>
    <w:p>
      <w:pPr>
        <w:spacing w:line="360" w:lineRule="auto"/>
        <w:ind w:firstLine="472" w:firstLineChars="22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3）档案上架：</w:t>
      </w:r>
      <w:r>
        <w:rPr>
          <w:rFonts w:hint="eastAsia" w:ascii="宋体" w:hAnsi="宋体" w:eastAsia="宋体" w:cs="宋体"/>
          <w:bCs/>
          <w:color w:val="auto"/>
          <w:sz w:val="21"/>
          <w:szCs w:val="21"/>
          <w:highlight w:val="none"/>
          <w:lang w:eastAsia="zh-CN"/>
        </w:rPr>
        <w:t>招标人</w:t>
      </w:r>
      <w:r>
        <w:rPr>
          <w:rFonts w:hint="eastAsia" w:ascii="宋体" w:hAnsi="宋体" w:eastAsia="宋体" w:cs="宋体"/>
          <w:bCs/>
          <w:color w:val="auto"/>
          <w:sz w:val="21"/>
          <w:szCs w:val="21"/>
          <w:highlight w:val="none"/>
        </w:rPr>
        <w:t>验收合格后，</w:t>
      </w:r>
      <w:r>
        <w:rPr>
          <w:rFonts w:hint="eastAsia" w:ascii="宋体" w:hAnsi="宋体" w:cs="宋体"/>
          <w:bCs/>
          <w:color w:val="auto"/>
          <w:sz w:val="21"/>
          <w:szCs w:val="21"/>
          <w:highlight w:val="none"/>
          <w:lang w:eastAsia="zh-CN"/>
        </w:rPr>
        <w:t>中标人</w:t>
      </w:r>
      <w:r>
        <w:rPr>
          <w:rFonts w:hint="eastAsia" w:ascii="宋体" w:hAnsi="宋体" w:eastAsia="宋体" w:cs="宋体"/>
          <w:bCs/>
          <w:color w:val="auto"/>
          <w:sz w:val="21"/>
          <w:szCs w:val="21"/>
          <w:highlight w:val="none"/>
        </w:rPr>
        <w:t>负责按照归档上架顺序排序上架，协助核查入库档案上架案件的检查工作；及时更新和调整库存档案密集架的标示以及库存档案的排列、倒架工作；负责协助完成各类档案实际上架的数据统计工作；协助完成上档案的调卷登记、录入工作。</w:t>
      </w:r>
    </w:p>
    <w:p>
      <w:pPr>
        <w:spacing w:line="360" w:lineRule="auto"/>
        <w:ind w:firstLine="472" w:firstLineChars="22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档案传递：负责对档案员调取案卷核查后进行传递的工作，阅卷结束后收回案卷；认真做好传送档案过程中的登记工作；保护移送档案的安全，不使无关人员接触档案，遵守保密条例，保守档案秘密；不得违反操作流程将未经过档案员验收的档案不得传送提供查阅，不得转送接收组、装订组工作人员或其他人员代为移送档案。</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4.2数字化加工内容</w:t>
      </w:r>
    </w:p>
    <w:p>
      <w:pPr>
        <w:autoSpaceDE w:val="0"/>
        <w:autoSpaceDN w:val="0"/>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hr-HR"/>
        </w:rPr>
        <w:t>1）完成采购清单一览表要求的档案数字化加工工作。</w:t>
      </w:r>
    </w:p>
    <w:p>
      <w:pPr>
        <w:autoSpaceDE w:val="0"/>
        <w:autoSpaceDN w:val="0"/>
        <w:adjustRightInd w:val="0"/>
        <w:snapToGrid w:val="0"/>
        <w:spacing w:line="360" w:lineRule="auto"/>
        <w:ind w:firstLine="420" w:firstLineChars="200"/>
        <w:rPr>
          <w:rFonts w:hint="eastAsia" w:ascii="宋体" w:hAnsi="宋体" w:eastAsia="宋体" w:cs="宋体"/>
          <w:color w:val="auto"/>
          <w:sz w:val="21"/>
          <w:szCs w:val="21"/>
          <w:highlight w:val="none"/>
          <w:lang w:val="hr-HR"/>
        </w:rPr>
      </w:pPr>
      <w:r>
        <w:rPr>
          <w:rFonts w:hint="eastAsia" w:ascii="宋体" w:hAnsi="宋体" w:eastAsia="宋体" w:cs="宋体"/>
          <w:color w:val="auto"/>
          <w:sz w:val="21"/>
          <w:szCs w:val="21"/>
          <w:highlight w:val="none"/>
          <w:lang w:val="hr-HR"/>
        </w:rPr>
        <w:t>2）项目所需的数字化扫描软件、工具及耗材，档案扫描工作中的所有设备、工具与耗材费用均由中标人承担。工作场地、档案运输费用及相关水电需求由</w:t>
      </w:r>
      <w:r>
        <w:rPr>
          <w:rFonts w:hint="eastAsia" w:ascii="宋体" w:hAnsi="宋体" w:eastAsia="宋体" w:cs="宋体"/>
          <w:color w:val="auto"/>
          <w:sz w:val="21"/>
          <w:szCs w:val="21"/>
          <w:highlight w:val="none"/>
          <w:lang w:val="hr-HR" w:eastAsia="zh-CN"/>
        </w:rPr>
        <w:t>招标人</w:t>
      </w:r>
      <w:r>
        <w:rPr>
          <w:rFonts w:hint="eastAsia" w:ascii="宋体" w:hAnsi="宋体" w:eastAsia="宋体" w:cs="宋体"/>
          <w:color w:val="auto"/>
          <w:sz w:val="21"/>
          <w:szCs w:val="21"/>
          <w:highlight w:val="none"/>
          <w:lang w:val="hr-HR"/>
        </w:rPr>
        <w:t>提供。</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4.3扫描工作环节与质量要求</w:t>
      </w:r>
    </w:p>
    <w:p>
      <w:pPr>
        <w:spacing w:line="360" w:lineRule="auto"/>
        <w:ind w:firstLine="472" w:firstLineChars="22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档案扫描工作环节主要包括以下内容：档案接收、条目信息校对、拆卷整理、扫描原件、图像处理、特殊图像处理、图像质检、格式转换、图像存储、目录建库、数据挂接、装订、贴封条盖章、装盒、总质检、归还上架、数据备份等各项工作。加工过程中必须确保档案载体的安全完整以及档案信息内容安全。各工作环节具体要求如下：</w:t>
      </w:r>
    </w:p>
    <w:p>
      <w:pPr>
        <w:spacing w:line="360" w:lineRule="auto"/>
        <w:ind w:firstLine="472" w:firstLineChars="22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总则：严格管理，明确责任，建立安全保密管理机制和质量管理机制，确保安全管理制度和质量管理制度落实，确保档案原件和数字化档案信息安全，确保各环节工作符合质量要求，建立完整规范的工作记录。</w:t>
      </w:r>
    </w:p>
    <w:p>
      <w:pPr>
        <w:spacing w:line="360" w:lineRule="auto"/>
        <w:ind w:firstLine="472" w:firstLineChars="22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2）档案接收：接收要求认真核对，避免差错发生。</w:t>
      </w:r>
    </w:p>
    <w:p>
      <w:pPr>
        <w:spacing w:line="360" w:lineRule="auto"/>
        <w:ind w:firstLine="472" w:firstLineChars="22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3）档案扫描：档案采用扫描方式，扫描影像保持原档方向。纸质档案的数字化加工采用全彩色模式进行扫描，不经</w:t>
      </w:r>
      <w:r>
        <w:rPr>
          <w:rFonts w:hint="eastAsia" w:ascii="宋体" w:hAnsi="宋体" w:eastAsia="宋体" w:cs="宋体"/>
          <w:bCs/>
          <w:color w:val="auto"/>
          <w:sz w:val="21"/>
          <w:szCs w:val="21"/>
          <w:highlight w:val="none"/>
          <w:lang w:eastAsia="zh-CN"/>
        </w:rPr>
        <w:t>招标人</w:t>
      </w:r>
      <w:r>
        <w:rPr>
          <w:rFonts w:hint="eastAsia" w:ascii="宋体" w:hAnsi="宋体" w:eastAsia="宋体" w:cs="宋体"/>
          <w:bCs/>
          <w:color w:val="auto"/>
          <w:sz w:val="21"/>
          <w:szCs w:val="21"/>
          <w:highlight w:val="none"/>
        </w:rPr>
        <w:t>同意不得以黑白二值方式扫描。在扫描过程中，应遵循以下几项标准：</w:t>
      </w:r>
    </w:p>
    <w:p>
      <w:pPr>
        <w:spacing w:line="360" w:lineRule="auto"/>
        <w:ind w:firstLine="472" w:firstLineChars="22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标准分辨率：300dpi；</w:t>
      </w:r>
    </w:p>
    <w:p>
      <w:pPr>
        <w:spacing w:line="360" w:lineRule="auto"/>
        <w:ind w:firstLine="472" w:firstLineChars="22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标准文件格式：单页TIFF或JPG；</w:t>
      </w:r>
    </w:p>
    <w:p>
      <w:pPr>
        <w:spacing w:line="360" w:lineRule="auto"/>
        <w:ind w:firstLine="472" w:firstLineChars="22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质量：在原件上没有明显质量问题时，所产生的影像文件不应产生黑边、模糊、偏斜等质量问题，对于影响图像质量的非原始性的黑线、黑点（如装订孔等）要进行修补。</w:t>
      </w:r>
    </w:p>
    <w:p>
      <w:pPr>
        <w:spacing w:line="360" w:lineRule="auto"/>
        <w:ind w:firstLine="472" w:firstLineChars="22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根据档案幅面的大小和纸张状况，选择相应扫描仪。其中大幅面档案需采用大幅面扫描仪，不可以采用小幅面扫描后的图像拼接方式处理；同页有两个以上文件，需分别扫描，并进行并页处理。</w:t>
      </w:r>
    </w:p>
    <w:p>
      <w:pPr>
        <w:spacing w:line="360" w:lineRule="auto"/>
        <w:ind w:firstLine="472" w:firstLineChars="22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扫描过程中，应有《档案数字化项目流程工作单》跟踪纸质档案流程。</w:t>
      </w:r>
    </w:p>
    <w:p>
      <w:pPr>
        <w:spacing w:line="360" w:lineRule="auto"/>
        <w:ind w:firstLine="472" w:firstLineChars="22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扫描完成后，应按照</w:t>
      </w:r>
      <w:r>
        <w:rPr>
          <w:rFonts w:hint="eastAsia" w:ascii="宋体" w:hAnsi="宋体" w:eastAsia="宋体" w:cs="宋体"/>
          <w:bCs/>
          <w:color w:val="auto"/>
          <w:sz w:val="21"/>
          <w:szCs w:val="21"/>
          <w:highlight w:val="none"/>
          <w:lang w:eastAsia="zh-CN"/>
        </w:rPr>
        <w:t>招标人</w:t>
      </w:r>
      <w:r>
        <w:rPr>
          <w:rFonts w:hint="eastAsia" w:ascii="宋体" w:hAnsi="宋体" w:eastAsia="宋体" w:cs="宋体"/>
          <w:bCs/>
          <w:color w:val="auto"/>
          <w:sz w:val="21"/>
          <w:szCs w:val="21"/>
          <w:highlight w:val="none"/>
        </w:rPr>
        <w:t>档案装订规范进行装订，装订前要对档案进行全面检查，按原孔对照装订，不能重新打孔。并保持档案页面排列顺序不变，案卷不掉页，保持档案右边和底边整齐。所有的档案目录均进行打印，并装订到案卷最前面。</w:t>
      </w:r>
    </w:p>
    <w:p>
      <w:pPr>
        <w:spacing w:line="360" w:lineRule="auto"/>
        <w:ind w:firstLine="472" w:firstLineChars="22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图像处理：应对扫描后的图像进行逐页纠偏、去污、图像拼接、裁边处理和排列顺序调整。对工程蓝图进行消蓝处理、对传真件、复印件、红兰章等进行特殊图像处理，图像偏度不得大于3度，图像拼接处信息要完整，不能缺少遗漏任何信息内容。对如下档案扫描后要特殊处理。</w:t>
      </w:r>
    </w:p>
    <w:p>
      <w:pPr>
        <w:spacing w:line="360" w:lineRule="auto"/>
        <w:ind w:firstLine="472" w:firstLineChars="22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5）文件存储：</w:t>
      </w:r>
      <w:r>
        <w:rPr>
          <w:rFonts w:hint="eastAsia" w:ascii="宋体" w:hAnsi="宋体" w:eastAsia="宋体" w:cs="宋体"/>
          <w:bCs/>
          <w:color w:val="auto"/>
          <w:sz w:val="21"/>
          <w:szCs w:val="21"/>
          <w:highlight w:val="none"/>
          <w:lang w:eastAsia="zh-CN"/>
        </w:rPr>
        <w:t>中标人</w:t>
      </w:r>
      <w:r>
        <w:rPr>
          <w:rFonts w:hint="eastAsia" w:ascii="宋体" w:hAnsi="宋体" w:eastAsia="宋体" w:cs="宋体"/>
          <w:bCs/>
          <w:color w:val="auto"/>
          <w:sz w:val="21"/>
          <w:szCs w:val="21"/>
          <w:highlight w:val="none"/>
        </w:rPr>
        <w:t>入场后根据</w:t>
      </w:r>
      <w:r>
        <w:rPr>
          <w:rFonts w:hint="eastAsia" w:ascii="宋体" w:hAnsi="宋体" w:eastAsia="宋体" w:cs="宋体"/>
          <w:bCs/>
          <w:color w:val="auto"/>
          <w:sz w:val="21"/>
          <w:szCs w:val="21"/>
          <w:highlight w:val="none"/>
          <w:lang w:eastAsia="zh-CN"/>
        </w:rPr>
        <w:t>招标人</w:t>
      </w:r>
      <w:r>
        <w:rPr>
          <w:rFonts w:hint="eastAsia" w:ascii="宋体" w:hAnsi="宋体" w:eastAsia="宋体" w:cs="宋体"/>
          <w:bCs/>
          <w:color w:val="auto"/>
          <w:sz w:val="21"/>
          <w:szCs w:val="21"/>
          <w:highlight w:val="none"/>
        </w:rPr>
        <w:t>标准自行修改数字化加工系统，根据</w:t>
      </w:r>
      <w:r>
        <w:rPr>
          <w:rFonts w:hint="eastAsia" w:ascii="宋体" w:hAnsi="宋体" w:eastAsia="宋体" w:cs="宋体"/>
          <w:bCs/>
          <w:color w:val="auto"/>
          <w:sz w:val="21"/>
          <w:szCs w:val="21"/>
          <w:highlight w:val="none"/>
          <w:lang w:eastAsia="zh-CN"/>
        </w:rPr>
        <w:t>招标人</w:t>
      </w:r>
      <w:r>
        <w:rPr>
          <w:rFonts w:hint="eastAsia" w:ascii="宋体" w:hAnsi="宋体" w:eastAsia="宋体" w:cs="宋体"/>
          <w:bCs/>
          <w:color w:val="auto"/>
          <w:sz w:val="21"/>
          <w:szCs w:val="21"/>
          <w:highlight w:val="none"/>
        </w:rPr>
        <w:t>要求对扫描件进行存储，扫描后的电子文件需要提交硬盘存储，并且直接导入综合档案信息管理系统，能够实时将经过检验的数据投入实际应用。扫描后的电子文件需要刻录DVD数据光盘一式二份交付</w:t>
      </w:r>
      <w:r>
        <w:rPr>
          <w:rFonts w:hint="eastAsia" w:ascii="宋体" w:hAnsi="宋体" w:eastAsia="宋体" w:cs="宋体"/>
          <w:bCs/>
          <w:color w:val="auto"/>
          <w:sz w:val="21"/>
          <w:szCs w:val="21"/>
          <w:highlight w:val="none"/>
          <w:lang w:eastAsia="zh-CN"/>
        </w:rPr>
        <w:t>招标人</w:t>
      </w:r>
      <w:r>
        <w:rPr>
          <w:rFonts w:hint="eastAsia" w:ascii="宋体" w:hAnsi="宋体" w:eastAsia="宋体" w:cs="宋体"/>
          <w:bCs/>
          <w:color w:val="auto"/>
          <w:sz w:val="21"/>
          <w:szCs w:val="21"/>
          <w:highlight w:val="none"/>
        </w:rPr>
        <w:t>，数据光盘内文件电子影像存储格式为单页TIFF或JPG格式。</w:t>
      </w:r>
    </w:p>
    <w:p>
      <w:pPr>
        <w:spacing w:line="360" w:lineRule="auto"/>
        <w:ind w:firstLine="472" w:firstLineChars="22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数据挂接：以纸质档案目录数据库为依据，将每一份纸质档案文件扫描所得的一个或多个图像存储为一份图像文件。将图像文件存储到相应文件夹时，要认真核查每一份图像文件的名称与档案目录数据库中该份文件的案号是否相同，图像文件的页数与档案目录数据库中该份文件的页数是否一致，图像文件的总数与目录数据库中文件的总数是否相同等。通过每一份图像文件的文件名与档案目录数据库中该份文件的案号的一致性和唯一性，建立起一一对应的关联关系，为实现档案目录数据库与图像文件的批量挂接提供条件。</w:t>
      </w:r>
    </w:p>
    <w:p>
      <w:pPr>
        <w:autoSpaceDE w:val="0"/>
        <w:autoSpaceDN w:val="0"/>
        <w:adjustRightInd w:val="0"/>
        <w:snapToGrid w:val="0"/>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7）质量自检：中标人必须建立严格的质量检测体系，对加工的数据（图像质量、编目质量、著录质量、装订）进行认真负责的自检，自检达到数据质量标准后，才能交付与</w:t>
      </w:r>
      <w:r>
        <w:rPr>
          <w:rFonts w:hint="eastAsia" w:ascii="宋体" w:hAnsi="宋体" w:eastAsia="宋体" w:cs="宋体"/>
          <w:bCs/>
          <w:color w:val="auto"/>
          <w:sz w:val="21"/>
          <w:szCs w:val="21"/>
          <w:highlight w:val="none"/>
          <w:lang w:eastAsia="zh-CN"/>
        </w:rPr>
        <w:t>招标人</w:t>
      </w:r>
      <w:r>
        <w:rPr>
          <w:rFonts w:hint="eastAsia" w:ascii="宋体" w:hAnsi="宋体" w:eastAsia="宋体" w:cs="宋体"/>
          <w:bCs/>
          <w:color w:val="auto"/>
          <w:sz w:val="21"/>
          <w:szCs w:val="21"/>
          <w:highlight w:val="none"/>
        </w:rPr>
        <w:t>验收。</w:t>
      </w:r>
    </w:p>
    <w:p>
      <w:pPr>
        <w:autoSpaceDE w:val="0"/>
        <w:autoSpaceDN w:val="0"/>
        <w:adjustRightInd w:val="0"/>
        <w:snapToGrid w:val="0"/>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8）装订成册：中标人必须按</w:t>
      </w:r>
      <w:r>
        <w:rPr>
          <w:rFonts w:hint="eastAsia" w:ascii="宋体" w:hAnsi="宋体" w:eastAsia="宋体" w:cs="宋体"/>
          <w:bCs/>
          <w:color w:val="auto"/>
          <w:sz w:val="21"/>
          <w:szCs w:val="21"/>
          <w:highlight w:val="none"/>
          <w:lang w:eastAsia="zh-CN"/>
        </w:rPr>
        <w:t>招标人</w:t>
      </w:r>
      <w:r>
        <w:rPr>
          <w:rFonts w:hint="eastAsia" w:ascii="宋体" w:hAnsi="宋体" w:eastAsia="宋体" w:cs="宋体"/>
          <w:bCs/>
          <w:color w:val="auto"/>
          <w:sz w:val="21"/>
          <w:szCs w:val="21"/>
          <w:highlight w:val="none"/>
        </w:rPr>
        <w:t>的要求将扫描完毕的纸质档案装订成册（负责档案的打印页码〈按照原页码〉、按已排好的顺序装订成册，封面盖上保管期限章〈按照原保管期限〉）。</w:t>
      </w:r>
    </w:p>
    <w:p>
      <w:pPr>
        <w:pStyle w:val="4"/>
        <w:spacing w:after="0" w:afterLines="0"/>
        <w:ind w:lef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5、服务器设备</w:t>
      </w:r>
    </w:p>
    <w:tbl>
      <w:tblPr>
        <w:tblStyle w:val="17"/>
        <w:tblW w:w="8400" w:type="dxa"/>
        <w:tblInd w:w="113" w:type="dxa"/>
        <w:tblLayout w:type="fixed"/>
        <w:tblCellMar>
          <w:top w:w="0" w:type="dxa"/>
          <w:left w:w="108" w:type="dxa"/>
          <w:bottom w:w="0" w:type="dxa"/>
          <w:right w:w="108" w:type="dxa"/>
        </w:tblCellMar>
      </w:tblPr>
      <w:tblGrid>
        <w:gridCol w:w="1580"/>
        <w:gridCol w:w="6820"/>
      </w:tblGrid>
      <w:tr>
        <w:tblPrEx>
          <w:tblLayout w:type="fixed"/>
          <w:tblCellMar>
            <w:top w:w="0" w:type="dxa"/>
            <w:left w:w="108" w:type="dxa"/>
            <w:bottom w:w="0" w:type="dxa"/>
            <w:right w:w="108" w:type="dxa"/>
          </w:tblCellMar>
        </w:tblPrEx>
        <w:trPr>
          <w:trHeight w:val="255" w:hRule="atLeast"/>
        </w:trPr>
        <w:tc>
          <w:tcPr>
            <w:tcW w:w="15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指标</w:t>
            </w:r>
          </w:p>
        </w:tc>
        <w:tc>
          <w:tcPr>
            <w:tcW w:w="68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规格和技术参数</w:t>
            </w:r>
          </w:p>
        </w:tc>
      </w:tr>
      <w:tr>
        <w:tblPrEx>
          <w:tblLayout w:type="fixed"/>
          <w:tblCellMar>
            <w:top w:w="0" w:type="dxa"/>
            <w:left w:w="108" w:type="dxa"/>
            <w:bottom w:w="0" w:type="dxa"/>
            <w:right w:w="108" w:type="dxa"/>
          </w:tblCellMar>
        </w:tblPrEx>
        <w:trPr>
          <w:trHeight w:val="90" w:hRule="atLeast"/>
        </w:trPr>
        <w:tc>
          <w:tcPr>
            <w:tcW w:w="158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w:t>
            </w:r>
          </w:p>
        </w:tc>
        <w:tc>
          <w:tcPr>
            <w:tcW w:w="6820" w:type="dxa"/>
            <w:tcBorders>
              <w:top w:val="nil"/>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工业标准1U机架式服务器</w:t>
            </w:r>
          </w:p>
        </w:tc>
      </w:tr>
      <w:tr>
        <w:tblPrEx>
          <w:tblLayout w:type="fixed"/>
          <w:tblCellMar>
            <w:top w:w="0" w:type="dxa"/>
            <w:left w:w="108" w:type="dxa"/>
            <w:bottom w:w="0" w:type="dxa"/>
            <w:right w:w="108" w:type="dxa"/>
          </w:tblCellMar>
        </w:tblPrEx>
        <w:trPr>
          <w:trHeight w:val="255" w:hRule="atLeast"/>
        </w:trPr>
        <w:tc>
          <w:tcPr>
            <w:tcW w:w="158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芯片组</w:t>
            </w:r>
          </w:p>
        </w:tc>
        <w:tc>
          <w:tcPr>
            <w:tcW w:w="6820" w:type="dxa"/>
            <w:tcBorders>
              <w:top w:val="nil"/>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Intel C232芯片组</w:t>
            </w:r>
          </w:p>
        </w:tc>
      </w:tr>
      <w:tr>
        <w:tblPrEx>
          <w:tblLayout w:type="fixed"/>
          <w:tblCellMar>
            <w:top w:w="0" w:type="dxa"/>
            <w:left w:w="108" w:type="dxa"/>
            <w:bottom w:w="0" w:type="dxa"/>
            <w:right w:w="108" w:type="dxa"/>
          </w:tblCellMar>
        </w:tblPrEx>
        <w:trPr>
          <w:trHeight w:val="255" w:hRule="atLeast"/>
        </w:trPr>
        <w:tc>
          <w:tcPr>
            <w:tcW w:w="158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处理器</w:t>
            </w:r>
          </w:p>
        </w:tc>
        <w:tc>
          <w:tcPr>
            <w:tcW w:w="6820" w:type="dxa"/>
            <w:tcBorders>
              <w:top w:val="nil"/>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1颗Intel Xeon  E3-1230 v6 3.5GHz 4C</w:t>
            </w:r>
          </w:p>
        </w:tc>
      </w:tr>
      <w:tr>
        <w:tblPrEx>
          <w:tblLayout w:type="fixed"/>
          <w:tblCellMar>
            <w:top w:w="0" w:type="dxa"/>
            <w:left w:w="108" w:type="dxa"/>
            <w:bottom w:w="0" w:type="dxa"/>
            <w:right w:w="108" w:type="dxa"/>
          </w:tblCellMar>
        </w:tblPrEx>
        <w:trPr>
          <w:trHeight w:val="480" w:hRule="atLeast"/>
        </w:trPr>
        <w:tc>
          <w:tcPr>
            <w:tcW w:w="158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内存</w:t>
            </w:r>
          </w:p>
        </w:tc>
        <w:tc>
          <w:tcPr>
            <w:tcW w:w="6820" w:type="dxa"/>
            <w:tcBorders>
              <w:top w:val="nil"/>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4*16GB TruDDR4 2400 MHz (2Rx8 1.2V) ECC UDIMM，≥4条扩展插槽，≥64GB内存扩展</w:t>
            </w:r>
          </w:p>
        </w:tc>
      </w:tr>
      <w:tr>
        <w:tblPrEx>
          <w:tblLayout w:type="fixed"/>
          <w:tblCellMar>
            <w:top w:w="0" w:type="dxa"/>
            <w:left w:w="108" w:type="dxa"/>
            <w:bottom w:w="0" w:type="dxa"/>
            <w:right w:w="108" w:type="dxa"/>
          </w:tblCellMar>
        </w:tblPrEx>
        <w:trPr>
          <w:trHeight w:val="480" w:hRule="atLeast"/>
        </w:trPr>
        <w:tc>
          <w:tcPr>
            <w:tcW w:w="158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硬盘</w:t>
            </w:r>
          </w:p>
        </w:tc>
        <w:tc>
          <w:tcPr>
            <w:tcW w:w="6820" w:type="dxa"/>
            <w:tcBorders>
              <w:top w:val="nil"/>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2块1TB 7200转 非热插拔3.5寸SATA硬盘,支持4个3.5寸或8个2.5寸非热插拔硬盘扩展，可支持SSD硬盘扩展</w:t>
            </w:r>
          </w:p>
        </w:tc>
      </w:tr>
      <w:tr>
        <w:tblPrEx>
          <w:tblLayout w:type="fixed"/>
          <w:tblCellMar>
            <w:top w:w="0" w:type="dxa"/>
            <w:left w:w="108" w:type="dxa"/>
            <w:bottom w:w="0" w:type="dxa"/>
            <w:right w:w="108" w:type="dxa"/>
          </w:tblCellMar>
        </w:tblPrEx>
        <w:trPr>
          <w:trHeight w:val="255" w:hRule="atLeast"/>
        </w:trPr>
        <w:tc>
          <w:tcPr>
            <w:tcW w:w="158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RAID功能</w:t>
            </w:r>
          </w:p>
        </w:tc>
        <w:tc>
          <w:tcPr>
            <w:tcW w:w="6820" w:type="dxa"/>
            <w:tcBorders>
              <w:top w:val="nil"/>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板载C110 SATA阵列卡，支持Raid 0,1</w:t>
            </w:r>
          </w:p>
        </w:tc>
      </w:tr>
      <w:tr>
        <w:tblPrEx>
          <w:tblLayout w:type="fixed"/>
          <w:tblCellMar>
            <w:top w:w="0" w:type="dxa"/>
            <w:left w:w="108" w:type="dxa"/>
            <w:bottom w:w="0" w:type="dxa"/>
            <w:right w:w="108" w:type="dxa"/>
          </w:tblCellMar>
        </w:tblPrEx>
        <w:trPr>
          <w:trHeight w:val="480" w:hRule="atLeast"/>
        </w:trPr>
        <w:tc>
          <w:tcPr>
            <w:tcW w:w="158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网卡</w:t>
            </w:r>
          </w:p>
        </w:tc>
        <w:tc>
          <w:tcPr>
            <w:tcW w:w="6820" w:type="dxa"/>
            <w:tcBorders>
              <w:top w:val="nil"/>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≥2个千兆网卡，含1个共享的管理端口或共享的数据端口，支持iSCSI连接，支持虚拟化技术网卡</w:t>
            </w:r>
          </w:p>
        </w:tc>
      </w:tr>
      <w:tr>
        <w:tblPrEx>
          <w:tblLayout w:type="fixed"/>
          <w:tblCellMar>
            <w:top w:w="0" w:type="dxa"/>
            <w:left w:w="108" w:type="dxa"/>
            <w:bottom w:w="0" w:type="dxa"/>
            <w:right w:w="108" w:type="dxa"/>
          </w:tblCellMar>
        </w:tblPrEx>
        <w:trPr>
          <w:trHeight w:val="255" w:hRule="atLeast"/>
        </w:trPr>
        <w:tc>
          <w:tcPr>
            <w:tcW w:w="158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电源</w:t>
            </w:r>
          </w:p>
        </w:tc>
        <w:tc>
          <w:tcPr>
            <w:tcW w:w="6820" w:type="dxa"/>
            <w:tcBorders>
              <w:top w:val="nil"/>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电源输出功率≥300W，</w:t>
            </w:r>
          </w:p>
        </w:tc>
      </w:tr>
      <w:tr>
        <w:tblPrEx>
          <w:tblLayout w:type="fixed"/>
          <w:tblCellMar>
            <w:top w:w="0" w:type="dxa"/>
            <w:left w:w="108" w:type="dxa"/>
            <w:bottom w:w="0" w:type="dxa"/>
            <w:right w:w="108" w:type="dxa"/>
          </w:tblCellMar>
        </w:tblPrEx>
        <w:trPr>
          <w:trHeight w:val="255" w:hRule="atLeast"/>
        </w:trPr>
        <w:tc>
          <w:tcPr>
            <w:tcW w:w="158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冷却系统</w:t>
            </w:r>
          </w:p>
        </w:tc>
        <w:tc>
          <w:tcPr>
            <w:tcW w:w="6820" w:type="dxa"/>
            <w:tcBorders>
              <w:top w:val="nil"/>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支持4个非冗余非插拔系统风扇</w:t>
            </w:r>
          </w:p>
        </w:tc>
      </w:tr>
      <w:tr>
        <w:tblPrEx>
          <w:tblLayout w:type="fixed"/>
          <w:tblCellMar>
            <w:top w:w="0" w:type="dxa"/>
            <w:left w:w="108" w:type="dxa"/>
            <w:bottom w:w="0" w:type="dxa"/>
            <w:right w:w="108" w:type="dxa"/>
          </w:tblCellMar>
        </w:tblPrEx>
        <w:trPr>
          <w:trHeight w:val="480" w:hRule="atLeast"/>
        </w:trPr>
        <w:tc>
          <w:tcPr>
            <w:tcW w:w="158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I/O扩展</w:t>
            </w:r>
          </w:p>
        </w:tc>
        <w:tc>
          <w:tcPr>
            <w:tcW w:w="6820" w:type="dxa"/>
            <w:tcBorders>
              <w:top w:val="nil"/>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扩展槽≥2个PCI-E 3.0 接口，一个x8,一个x4 ≥4个USB接口，其中，≥2个USB 3.0接口，一个DB-9串口，一个DB-15 VGA口</w:t>
            </w:r>
          </w:p>
        </w:tc>
      </w:tr>
      <w:tr>
        <w:tblPrEx>
          <w:tblLayout w:type="fixed"/>
          <w:tblCellMar>
            <w:top w:w="0" w:type="dxa"/>
            <w:left w:w="108" w:type="dxa"/>
            <w:bottom w:w="0" w:type="dxa"/>
            <w:right w:w="108" w:type="dxa"/>
          </w:tblCellMar>
        </w:tblPrEx>
        <w:trPr>
          <w:trHeight w:val="720" w:hRule="atLeast"/>
        </w:trPr>
        <w:tc>
          <w:tcPr>
            <w:tcW w:w="158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服务器管理</w:t>
            </w:r>
          </w:p>
        </w:tc>
        <w:tc>
          <w:tcPr>
            <w:tcW w:w="6820" w:type="dxa"/>
            <w:tcBorders>
              <w:top w:val="nil"/>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集成管模块IMM2.1, 实现服务器控制、监控和预警功能。可选远程再现管理模块升级，提供远程访问和控制，支持从远端光驱或USB挂载光盘介质和镜像，提供蓝屏捕捉功能。</w:t>
            </w:r>
          </w:p>
        </w:tc>
      </w:tr>
      <w:tr>
        <w:tblPrEx>
          <w:tblLayout w:type="fixed"/>
          <w:tblCellMar>
            <w:top w:w="0" w:type="dxa"/>
            <w:left w:w="108" w:type="dxa"/>
            <w:bottom w:w="0" w:type="dxa"/>
            <w:right w:w="108" w:type="dxa"/>
          </w:tblCellMar>
        </w:tblPrEx>
        <w:trPr>
          <w:trHeight w:val="480" w:hRule="atLeast"/>
        </w:trPr>
        <w:tc>
          <w:tcPr>
            <w:tcW w:w="158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系统部署</w:t>
            </w:r>
          </w:p>
        </w:tc>
        <w:tc>
          <w:tcPr>
            <w:tcW w:w="6820" w:type="dxa"/>
            <w:tcBorders>
              <w:top w:val="nil"/>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提供服务器信息收集，系统设置配置，系统固件和驱动程序升级；RAID配置，操作系统和驱动程序安装，故障排除。</w:t>
            </w:r>
          </w:p>
        </w:tc>
      </w:tr>
      <w:tr>
        <w:tblPrEx>
          <w:tblLayout w:type="fixed"/>
          <w:tblCellMar>
            <w:top w:w="0" w:type="dxa"/>
            <w:left w:w="108" w:type="dxa"/>
            <w:bottom w:w="0" w:type="dxa"/>
            <w:right w:w="108" w:type="dxa"/>
          </w:tblCellMar>
        </w:tblPrEx>
        <w:trPr>
          <w:trHeight w:val="480" w:hRule="atLeast"/>
        </w:trPr>
        <w:tc>
          <w:tcPr>
            <w:tcW w:w="158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能耗管理工具</w:t>
            </w:r>
          </w:p>
        </w:tc>
        <w:tc>
          <w:tcPr>
            <w:tcW w:w="6820" w:type="dxa"/>
            <w:tcBorders>
              <w:top w:val="nil"/>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监控服务器功率、温度和资源利用率，制定平台功耗策略，生成预警阈值，降低设备损坏风险。</w:t>
            </w:r>
          </w:p>
        </w:tc>
      </w:tr>
      <w:tr>
        <w:tblPrEx>
          <w:tblLayout w:type="fixed"/>
          <w:tblCellMar>
            <w:top w:w="0" w:type="dxa"/>
            <w:left w:w="108" w:type="dxa"/>
            <w:bottom w:w="0" w:type="dxa"/>
            <w:right w:w="108" w:type="dxa"/>
          </w:tblCellMar>
        </w:tblPrEx>
        <w:trPr>
          <w:trHeight w:val="720" w:hRule="atLeast"/>
        </w:trPr>
        <w:tc>
          <w:tcPr>
            <w:tcW w:w="158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固件升级工具</w:t>
            </w:r>
          </w:p>
        </w:tc>
        <w:tc>
          <w:tcPr>
            <w:tcW w:w="6820" w:type="dxa"/>
            <w:tcBorders>
              <w:top w:val="nil"/>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提供固件升级工具，实现服务器包括BIOS、BMC、RAID卡和RDX磁带机底层代码的固件升级；服务器启动时，固件升级工具能自动监测和显示需要支持的固件列表，用户可选是否升级</w:t>
            </w:r>
          </w:p>
        </w:tc>
      </w:tr>
      <w:tr>
        <w:tblPrEx>
          <w:tblLayout w:type="fixed"/>
          <w:tblCellMar>
            <w:top w:w="0" w:type="dxa"/>
            <w:left w:w="108" w:type="dxa"/>
            <w:bottom w:w="0" w:type="dxa"/>
            <w:right w:w="108" w:type="dxa"/>
          </w:tblCellMar>
        </w:tblPrEx>
        <w:trPr>
          <w:trHeight w:val="255" w:hRule="atLeast"/>
        </w:trPr>
        <w:tc>
          <w:tcPr>
            <w:tcW w:w="158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安全</w:t>
            </w:r>
          </w:p>
        </w:tc>
        <w:tc>
          <w:tcPr>
            <w:tcW w:w="6820" w:type="dxa"/>
            <w:tcBorders>
              <w:top w:val="nil"/>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带TPM2.0芯片系统，符合加密标准，可选前面板安全锁</w:t>
            </w:r>
          </w:p>
        </w:tc>
      </w:tr>
      <w:tr>
        <w:tblPrEx>
          <w:tblLayout w:type="fixed"/>
          <w:tblCellMar>
            <w:top w:w="0" w:type="dxa"/>
            <w:left w:w="108" w:type="dxa"/>
            <w:bottom w:w="0" w:type="dxa"/>
            <w:right w:w="108" w:type="dxa"/>
          </w:tblCellMar>
        </w:tblPrEx>
        <w:trPr>
          <w:trHeight w:val="960" w:hRule="atLeast"/>
        </w:trPr>
        <w:tc>
          <w:tcPr>
            <w:tcW w:w="158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b/>
                <w:bCs/>
                <w:color w:val="auto"/>
                <w:szCs w:val="20"/>
                <w:highlight w:val="none"/>
                <w:u w:val="none"/>
              </w:rPr>
              <w:t>▲</w:t>
            </w:r>
            <w:r>
              <w:rPr>
                <w:rFonts w:hint="eastAsia" w:ascii="宋体" w:hAnsi="宋体" w:eastAsia="宋体" w:cs="宋体"/>
                <w:color w:val="auto"/>
                <w:kern w:val="0"/>
                <w:sz w:val="21"/>
                <w:szCs w:val="21"/>
                <w:highlight w:val="none"/>
              </w:rPr>
              <w:t>服务</w:t>
            </w:r>
          </w:p>
        </w:tc>
        <w:tc>
          <w:tcPr>
            <w:tcW w:w="6820" w:type="dxa"/>
            <w:tcBorders>
              <w:top w:val="nil"/>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eastAsia="zh-CN"/>
              </w:rPr>
              <w:t>2年7×24小时电话支持</w:t>
            </w:r>
            <w:r>
              <w:rPr>
                <w:rFonts w:hint="eastAsia" w:ascii="宋体" w:hAnsi="宋体" w:eastAsia="宋体" w:cs="宋体"/>
                <w:color w:val="auto"/>
                <w:kern w:val="0"/>
                <w:sz w:val="21"/>
                <w:szCs w:val="21"/>
                <w:highlight w:val="none"/>
              </w:rPr>
              <w:t>，全国部分城市宕机4小时上门服务，可</w:t>
            </w:r>
            <w:r>
              <w:rPr>
                <w:rFonts w:hint="eastAsia" w:ascii="宋体" w:hAnsi="宋体" w:cs="宋体"/>
                <w:color w:val="auto"/>
                <w:kern w:val="0"/>
                <w:sz w:val="21"/>
                <w:szCs w:val="21"/>
                <w:highlight w:val="none"/>
                <w:lang w:eastAsia="zh-CN"/>
              </w:rPr>
              <w:t>上门</w:t>
            </w:r>
            <w:r>
              <w:rPr>
                <w:rFonts w:hint="eastAsia" w:ascii="宋体" w:hAnsi="宋体" w:eastAsia="宋体" w:cs="宋体"/>
                <w:color w:val="auto"/>
                <w:kern w:val="0"/>
                <w:sz w:val="21"/>
                <w:szCs w:val="21"/>
                <w:highlight w:val="none"/>
              </w:rPr>
              <w:t>服务包括:原厂上架安装或系统安装服务，原厂3年故障硬盘免回收服务，原厂硬盘数据丢失拯救服务；为保证设备的可靠性服务，要求提供原厂针对本项目的授权</w:t>
            </w:r>
            <w:r>
              <w:rPr>
                <w:rFonts w:hint="eastAsia" w:ascii="宋体" w:hAnsi="宋体" w:cs="宋体"/>
                <w:color w:val="auto"/>
                <w:kern w:val="0"/>
                <w:sz w:val="21"/>
                <w:szCs w:val="21"/>
                <w:highlight w:val="none"/>
                <w:lang w:eastAsia="zh-CN"/>
              </w:rPr>
              <w:t>复印件</w:t>
            </w:r>
            <w:r>
              <w:rPr>
                <w:rFonts w:hint="eastAsia" w:ascii="宋体" w:hAnsi="宋体" w:eastAsia="宋体" w:cs="宋体"/>
                <w:color w:val="auto"/>
                <w:kern w:val="0"/>
                <w:sz w:val="21"/>
                <w:szCs w:val="21"/>
                <w:highlight w:val="none"/>
              </w:rPr>
              <w:t>和售后服务承诺函</w:t>
            </w:r>
            <w:r>
              <w:rPr>
                <w:rFonts w:hint="eastAsia" w:ascii="宋体" w:hAnsi="宋体" w:cs="宋体"/>
                <w:color w:val="auto"/>
                <w:kern w:val="0"/>
                <w:sz w:val="21"/>
                <w:szCs w:val="21"/>
                <w:highlight w:val="none"/>
                <w:lang w:eastAsia="zh-CN"/>
              </w:rPr>
              <w:t>复印件（原件核查）</w:t>
            </w:r>
          </w:p>
        </w:tc>
      </w:tr>
    </w:tbl>
    <w:p>
      <w:pPr>
        <w:pStyle w:val="4"/>
        <w:spacing w:after="0" w:afterLines="0"/>
        <w:ind w:lef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6、存储设备</w:t>
      </w:r>
    </w:p>
    <w:tbl>
      <w:tblPr>
        <w:tblStyle w:val="17"/>
        <w:tblW w:w="8436" w:type="dxa"/>
        <w:tblInd w:w="113" w:type="dxa"/>
        <w:tblLayout w:type="fixed"/>
        <w:tblCellMar>
          <w:top w:w="0" w:type="dxa"/>
          <w:left w:w="108" w:type="dxa"/>
          <w:bottom w:w="0" w:type="dxa"/>
          <w:right w:w="108" w:type="dxa"/>
        </w:tblCellMar>
      </w:tblPr>
      <w:tblGrid>
        <w:gridCol w:w="1555"/>
        <w:gridCol w:w="6881"/>
      </w:tblGrid>
      <w:tr>
        <w:tblPrEx>
          <w:tblLayout w:type="fixed"/>
          <w:tblCellMar>
            <w:top w:w="0" w:type="dxa"/>
            <w:left w:w="108" w:type="dxa"/>
            <w:bottom w:w="0" w:type="dxa"/>
            <w:right w:w="108" w:type="dxa"/>
          </w:tblCellMar>
        </w:tblPrEx>
        <w:trPr>
          <w:trHeight w:val="347" w:hRule="atLeast"/>
        </w:trPr>
        <w:tc>
          <w:tcPr>
            <w:tcW w:w="15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指标</w:t>
            </w:r>
          </w:p>
        </w:tc>
        <w:tc>
          <w:tcPr>
            <w:tcW w:w="688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规格和技术要求</w:t>
            </w:r>
          </w:p>
        </w:tc>
      </w:tr>
      <w:tr>
        <w:tblPrEx>
          <w:tblLayout w:type="fixed"/>
          <w:tblCellMar>
            <w:top w:w="0" w:type="dxa"/>
            <w:left w:w="108" w:type="dxa"/>
            <w:bottom w:w="0" w:type="dxa"/>
            <w:right w:w="108" w:type="dxa"/>
          </w:tblCellMar>
        </w:tblPrEx>
        <w:trPr>
          <w:trHeight w:val="480" w:hRule="atLeast"/>
        </w:trPr>
        <w:tc>
          <w:tcPr>
            <w:tcW w:w="155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整体要求</w:t>
            </w:r>
          </w:p>
        </w:tc>
        <w:tc>
          <w:tcPr>
            <w:tcW w:w="688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采用支持异构多主机平台的基于FC,iSCSI和SAS技术的一体化智能存储设备</w:t>
            </w:r>
          </w:p>
        </w:tc>
      </w:tr>
      <w:tr>
        <w:tblPrEx>
          <w:tblLayout w:type="fixed"/>
          <w:tblCellMar>
            <w:top w:w="0" w:type="dxa"/>
            <w:left w:w="108" w:type="dxa"/>
            <w:bottom w:w="0" w:type="dxa"/>
            <w:right w:w="108" w:type="dxa"/>
          </w:tblCellMar>
        </w:tblPrEx>
        <w:trPr>
          <w:trHeight w:val="24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p>
        </w:tc>
        <w:tc>
          <w:tcPr>
            <w:tcW w:w="688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磁盘，扩展卡原厂独立包装</w:t>
            </w:r>
          </w:p>
        </w:tc>
      </w:tr>
      <w:tr>
        <w:tblPrEx>
          <w:tblLayout w:type="fixed"/>
          <w:tblCellMar>
            <w:top w:w="0" w:type="dxa"/>
            <w:left w:w="108" w:type="dxa"/>
            <w:bottom w:w="0" w:type="dxa"/>
            <w:right w:w="108" w:type="dxa"/>
          </w:tblCellMar>
        </w:tblPrEx>
        <w:trPr>
          <w:trHeight w:val="240" w:hRule="atLeast"/>
        </w:trPr>
        <w:tc>
          <w:tcPr>
            <w:tcW w:w="15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控制器</w:t>
            </w:r>
          </w:p>
        </w:tc>
        <w:tc>
          <w:tcPr>
            <w:tcW w:w="688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冗余控制器，双活并可互备；</w:t>
            </w:r>
          </w:p>
        </w:tc>
      </w:tr>
      <w:tr>
        <w:tblPrEx>
          <w:tblLayout w:type="fixed"/>
          <w:tblCellMar>
            <w:top w:w="0" w:type="dxa"/>
            <w:left w:w="108" w:type="dxa"/>
            <w:bottom w:w="0" w:type="dxa"/>
            <w:right w:w="108" w:type="dxa"/>
          </w:tblCellMar>
        </w:tblPrEx>
        <w:trPr>
          <w:trHeight w:val="240" w:hRule="atLeast"/>
        </w:trPr>
        <w:tc>
          <w:tcPr>
            <w:tcW w:w="15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内部构架</w:t>
            </w:r>
          </w:p>
        </w:tc>
        <w:tc>
          <w:tcPr>
            <w:tcW w:w="688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全架构通道为SAS 2.0技术</w:t>
            </w:r>
          </w:p>
        </w:tc>
      </w:tr>
      <w:tr>
        <w:tblPrEx>
          <w:tblLayout w:type="fixed"/>
          <w:tblCellMar>
            <w:top w:w="0" w:type="dxa"/>
            <w:left w:w="108" w:type="dxa"/>
            <w:bottom w:w="0" w:type="dxa"/>
            <w:right w:w="108" w:type="dxa"/>
          </w:tblCellMar>
        </w:tblPrEx>
        <w:trPr>
          <w:trHeight w:val="240" w:hRule="atLeast"/>
        </w:trPr>
        <w:tc>
          <w:tcPr>
            <w:tcW w:w="15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最大缓存</w:t>
            </w:r>
          </w:p>
        </w:tc>
        <w:tc>
          <w:tcPr>
            <w:tcW w:w="688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缓存≥8GB（非SSD或Flash卡缓存）</w:t>
            </w:r>
          </w:p>
        </w:tc>
      </w:tr>
      <w:tr>
        <w:tblPrEx>
          <w:tblLayout w:type="fixed"/>
          <w:tblCellMar>
            <w:top w:w="0" w:type="dxa"/>
            <w:left w:w="108" w:type="dxa"/>
            <w:bottom w:w="0" w:type="dxa"/>
            <w:right w:w="108" w:type="dxa"/>
          </w:tblCellMar>
        </w:tblPrEx>
        <w:trPr>
          <w:trHeight w:val="960" w:hRule="atLeast"/>
        </w:trPr>
        <w:tc>
          <w:tcPr>
            <w:tcW w:w="15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最大支持前端主机接口</w:t>
            </w:r>
          </w:p>
        </w:tc>
        <w:tc>
          <w:tcPr>
            <w:tcW w:w="688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最大支持≥6个6Gbps SAS端口+≥4个1Gbps iSCSI端口+≥8个8Gbps FC光纤通道端口</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本次项目需同时提供≥4个1Gbps iSCSI主机端口、≥6个6Gbps SAS主机端口和≥8个8Gbps FC光纤通道端口</w:t>
            </w:r>
          </w:p>
        </w:tc>
      </w:tr>
      <w:tr>
        <w:tblPrEx>
          <w:tblLayout w:type="fixed"/>
          <w:tblCellMar>
            <w:top w:w="0" w:type="dxa"/>
            <w:left w:w="108" w:type="dxa"/>
            <w:bottom w:w="0" w:type="dxa"/>
            <w:right w:w="108" w:type="dxa"/>
          </w:tblCellMar>
        </w:tblPrEx>
        <w:trPr>
          <w:trHeight w:val="795" w:hRule="atLeast"/>
        </w:trPr>
        <w:tc>
          <w:tcPr>
            <w:tcW w:w="15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支持的存储磁盘类型</w:t>
            </w:r>
          </w:p>
        </w:tc>
        <w:tc>
          <w:tcPr>
            <w:tcW w:w="688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3.5英寸磁盘：2 TB、3 TB、4 TB、6 TB 和 8 TB 7.2k 近线 SAS 磁盘</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2.5英寸磁盘：300GB,600GB 15k SAS 磁盘；600 GB、900 GB、1.2 TB 和 1.8 TB 10k SAS 磁盘；1 TB、2 TB 7.2k 近线 SAS 磁盘；</w:t>
            </w:r>
          </w:p>
        </w:tc>
      </w:tr>
      <w:tr>
        <w:tblPrEx>
          <w:tblLayout w:type="fixed"/>
          <w:tblCellMar>
            <w:top w:w="0" w:type="dxa"/>
            <w:left w:w="108" w:type="dxa"/>
            <w:bottom w:w="0" w:type="dxa"/>
            <w:right w:w="108" w:type="dxa"/>
          </w:tblCellMar>
        </w:tblPrEx>
        <w:trPr>
          <w:trHeight w:val="240" w:hRule="atLeast"/>
        </w:trPr>
        <w:tc>
          <w:tcPr>
            <w:tcW w:w="15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磁盘配置</w:t>
            </w:r>
          </w:p>
        </w:tc>
        <w:tc>
          <w:tcPr>
            <w:tcW w:w="688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本次项目配置12块8 TB 7.2k 近线 SAS 磁盘</w:t>
            </w:r>
          </w:p>
        </w:tc>
      </w:tr>
      <w:tr>
        <w:tblPrEx>
          <w:tblLayout w:type="fixed"/>
          <w:tblCellMar>
            <w:top w:w="0" w:type="dxa"/>
            <w:left w:w="108" w:type="dxa"/>
            <w:bottom w:w="0" w:type="dxa"/>
            <w:right w:w="108" w:type="dxa"/>
          </w:tblCellMar>
        </w:tblPrEx>
        <w:trPr>
          <w:trHeight w:val="240" w:hRule="atLeast"/>
        </w:trPr>
        <w:tc>
          <w:tcPr>
            <w:tcW w:w="15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磁盘扩展支持</w:t>
            </w:r>
          </w:p>
        </w:tc>
        <w:tc>
          <w:tcPr>
            <w:tcW w:w="688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最大支持24块磁盘</w:t>
            </w:r>
          </w:p>
        </w:tc>
      </w:tr>
      <w:tr>
        <w:tblPrEx>
          <w:tblLayout w:type="fixed"/>
          <w:tblCellMar>
            <w:top w:w="0" w:type="dxa"/>
            <w:left w:w="108" w:type="dxa"/>
            <w:bottom w:w="0" w:type="dxa"/>
            <w:right w:w="108" w:type="dxa"/>
          </w:tblCellMar>
        </w:tblPrEx>
        <w:trPr>
          <w:trHeight w:val="240" w:hRule="atLeast"/>
        </w:trPr>
        <w:tc>
          <w:tcPr>
            <w:tcW w:w="15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RAID类型</w:t>
            </w:r>
          </w:p>
        </w:tc>
        <w:tc>
          <w:tcPr>
            <w:tcW w:w="688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RAID 0, 1, 5, 6, 10</w:t>
            </w:r>
          </w:p>
        </w:tc>
      </w:tr>
      <w:tr>
        <w:tblPrEx>
          <w:tblLayout w:type="fixed"/>
          <w:tblCellMar>
            <w:top w:w="0" w:type="dxa"/>
            <w:left w:w="108" w:type="dxa"/>
            <w:bottom w:w="0" w:type="dxa"/>
            <w:right w:w="108" w:type="dxa"/>
          </w:tblCellMar>
        </w:tblPrEx>
        <w:trPr>
          <w:trHeight w:val="240" w:hRule="atLeast"/>
        </w:trPr>
        <w:tc>
          <w:tcPr>
            <w:tcW w:w="15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存储分区</w:t>
            </w:r>
          </w:p>
        </w:tc>
        <w:tc>
          <w:tcPr>
            <w:tcW w:w="688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无限制</w:t>
            </w:r>
          </w:p>
        </w:tc>
      </w:tr>
      <w:tr>
        <w:tblPrEx>
          <w:tblLayout w:type="fixed"/>
          <w:tblCellMar>
            <w:top w:w="0" w:type="dxa"/>
            <w:left w:w="108" w:type="dxa"/>
            <w:bottom w:w="0" w:type="dxa"/>
            <w:right w:w="108" w:type="dxa"/>
          </w:tblCellMar>
        </w:tblPrEx>
        <w:trPr>
          <w:trHeight w:val="720" w:hRule="atLeast"/>
        </w:trPr>
        <w:tc>
          <w:tcPr>
            <w:tcW w:w="15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IO路径管理和负载均衡</w:t>
            </w:r>
          </w:p>
        </w:tc>
        <w:tc>
          <w:tcPr>
            <w:tcW w:w="688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配置阵列厂家多路径管理软件许可，实现对主机的多通道路径访问以及对应用透明的自动故障通道切换及负载均衡,具备在SAN环境中的负载均衡功能，增加主机不需要额外购买许可</w:t>
            </w:r>
          </w:p>
        </w:tc>
      </w:tr>
      <w:tr>
        <w:tblPrEx>
          <w:tblLayout w:type="fixed"/>
          <w:tblCellMar>
            <w:top w:w="0" w:type="dxa"/>
            <w:left w:w="108" w:type="dxa"/>
            <w:bottom w:w="0" w:type="dxa"/>
            <w:right w:w="108" w:type="dxa"/>
          </w:tblCellMar>
        </w:tblPrEx>
        <w:trPr>
          <w:trHeight w:val="480" w:hRule="atLeast"/>
        </w:trPr>
        <w:tc>
          <w:tcPr>
            <w:tcW w:w="15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虚拟化功能</w:t>
            </w:r>
          </w:p>
        </w:tc>
        <w:tc>
          <w:tcPr>
            <w:tcW w:w="688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提供内部存储器虚拟化功能，可实现不同raid组中卷的镜像功能，提供精简配置卷</w:t>
            </w:r>
          </w:p>
        </w:tc>
      </w:tr>
      <w:tr>
        <w:tblPrEx>
          <w:tblLayout w:type="fixed"/>
          <w:tblCellMar>
            <w:top w:w="0" w:type="dxa"/>
            <w:left w:w="108" w:type="dxa"/>
            <w:bottom w:w="0" w:type="dxa"/>
            <w:right w:w="108" w:type="dxa"/>
          </w:tblCellMar>
        </w:tblPrEx>
        <w:trPr>
          <w:trHeight w:val="480" w:hRule="atLeast"/>
        </w:trPr>
        <w:tc>
          <w:tcPr>
            <w:tcW w:w="15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本地数据复制</w:t>
            </w:r>
          </w:p>
        </w:tc>
        <w:tc>
          <w:tcPr>
            <w:tcW w:w="688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支持并配置快照、卷拷贝功能，有效避免逻辑错误，提供最大目标快照数量≥64份</w:t>
            </w:r>
          </w:p>
        </w:tc>
      </w:tr>
      <w:tr>
        <w:tblPrEx>
          <w:tblLayout w:type="fixed"/>
          <w:tblCellMar>
            <w:top w:w="0" w:type="dxa"/>
            <w:left w:w="108" w:type="dxa"/>
            <w:bottom w:w="0" w:type="dxa"/>
            <w:right w:w="108" w:type="dxa"/>
          </w:tblCellMar>
        </w:tblPrEx>
        <w:trPr>
          <w:trHeight w:val="1200" w:hRule="atLeast"/>
        </w:trPr>
        <w:tc>
          <w:tcPr>
            <w:tcW w:w="15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异构平台的支持</w:t>
            </w:r>
          </w:p>
        </w:tc>
        <w:tc>
          <w:tcPr>
            <w:tcW w:w="688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支持Unix（Sun Solaris，HP-UX，IBM-AIX等）、Linux（SUSE、 Red Hat等）、Windows2008/2008R2/2012/2012R2等主流操作系统，支持大型数据库管理系统（Oracle，DB2，SQL Server，Sybase等）、支持主流虚拟化平台（VMware，Citrix，Hyper-V，KVM等）</w:t>
            </w:r>
          </w:p>
        </w:tc>
      </w:tr>
      <w:tr>
        <w:tblPrEx>
          <w:tblLayout w:type="fixed"/>
          <w:tblCellMar>
            <w:top w:w="0" w:type="dxa"/>
            <w:left w:w="108" w:type="dxa"/>
            <w:bottom w:w="0" w:type="dxa"/>
            <w:right w:w="108" w:type="dxa"/>
          </w:tblCellMar>
        </w:tblPrEx>
        <w:trPr>
          <w:trHeight w:val="480" w:hRule="atLeast"/>
        </w:trPr>
        <w:tc>
          <w:tcPr>
            <w:tcW w:w="15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数据迁移</w:t>
            </w:r>
          </w:p>
        </w:tc>
        <w:tc>
          <w:tcPr>
            <w:tcW w:w="688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免费内置数据迁移功能，支持方便有效的把数据从原有存储迁移到本存储</w:t>
            </w:r>
          </w:p>
        </w:tc>
      </w:tr>
      <w:tr>
        <w:tblPrEx>
          <w:tblLayout w:type="fixed"/>
          <w:tblCellMar>
            <w:top w:w="0" w:type="dxa"/>
            <w:left w:w="108" w:type="dxa"/>
            <w:bottom w:w="0" w:type="dxa"/>
            <w:right w:w="108" w:type="dxa"/>
          </w:tblCellMar>
        </w:tblPrEx>
        <w:trPr>
          <w:trHeight w:val="240" w:hRule="atLeast"/>
        </w:trPr>
        <w:tc>
          <w:tcPr>
            <w:tcW w:w="15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电源要求</w:t>
            </w:r>
          </w:p>
        </w:tc>
        <w:tc>
          <w:tcPr>
            <w:tcW w:w="688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双冗余可热插拔式</w:t>
            </w:r>
          </w:p>
        </w:tc>
      </w:tr>
      <w:tr>
        <w:tblPrEx>
          <w:tblLayout w:type="fixed"/>
          <w:tblCellMar>
            <w:top w:w="0" w:type="dxa"/>
            <w:left w:w="108" w:type="dxa"/>
            <w:bottom w:w="0" w:type="dxa"/>
            <w:right w:w="108" w:type="dxa"/>
          </w:tblCellMar>
        </w:tblPrEx>
        <w:trPr>
          <w:trHeight w:val="240" w:hRule="atLeast"/>
        </w:trPr>
        <w:tc>
          <w:tcPr>
            <w:tcW w:w="15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SAN支持</w:t>
            </w:r>
          </w:p>
        </w:tc>
        <w:tc>
          <w:tcPr>
            <w:tcW w:w="688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支持FC 交换机、导向器和以太网交换机</w:t>
            </w:r>
          </w:p>
        </w:tc>
      </w:tr>
      <w:tr>
        <w:tblPrEx>
          <w:tblLayout w:type="fixed"/>
          <w:tblCellMar>
            <w:top w:w="0" w:type="dxa"/>
            <w:left w:w="108" w:type="dxa"/>
            <w:bottom w:w="0" w:type="dxa"/>
            <w:right w:w="108" w:type="dxa"/>
          </w:tblCellMar>
        </w:tblPrEx>
        <w:trPr>
          <w:trHeight w:val="960" w:hRule="atLeast"/>
        </w:trPr>
        <w:tc>
          <w:tcPr>
            <w:tcW w:w="15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管理软件</w:t>
            </w:r>
          </w:p>
        </w:tc>
        <w:tc>
          <w:tcPr>
            <w:tcW w:w="688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提供完整的存储管理软件，盘阵可根据需要灵活划分存储空间，具备性能管理、性能分析功能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提供基于Web的中文图形化存储管理界面，并可提供事件监测工具帮助排错</w:t>
            </w:r>
          </w:p>
        </w:tc>
      </w:tr>
      <w:tr>
        <w:tblPrEx>
          <w:tblLayout w:type="fixed"/>
          <w:tblCellMar>
            <w:top w:w="0" w:type="dxa"/>
            <w:left w:w="108" w:type="dxa"/>
            <w:bottom w:w="0" w:type="dxa"/>
            <w:right w:w="108" w:type="dxa"/>
          </w:tblCellMar>
        </w:tblPrEx>
        <w:trPr>
          <w:trHeight w:val="382" w:hRule="atLeast"/>
        </w:trPr>
        <w:tc>
          <w:tcPr>
            <w:tcW w:w="15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b/>
                <w:bCs/>
                <w:color w:val="auto"/>
                <w:szCs w:val="20"/>
                <w:highlight w:val="none"/>
                <w:u w:val="none"/>
              </w:rPr>
              <w:t>▲</w:t>
            </w:r>
            <w:r>
              <w:rPr>
                <w:rFonts w:hint="eastAsia" w:ascii="宋体" w:hAnsi="宋体" w:eastAsia="宋体" w:cs="宋体"/>
                <w:color w:val="auto"/>
                <w:kern w:val="0"/>
                <w:sz w:val="21"/>
                <w:szCs w:val="21"/>
                <w:highlight w:val="none"/>
              </w:rPr>
              <w:t>售后服务</w:t>
            </w:r>
          </w:p>
        </w:tc>
        <w:tc>
          <w:tcPr>
            <w:tcW w:w="688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eastAsia="zh-CN"/>
              </w:rPr>
              <w:t>提供2年原厂当地现场售后服务【</w:t>
            </w:r>
            <w:r>
              <w:rPr>
                <w:rFonts w:hint="eastAsia" w:ascii="宋体" w:hAnsi="宋体" w:eastAsia="宋体" w:cs="宋体"/>
                <w:color w:val="auto"/>
                <w:kern w:val="0"/>
                <w:sz w:val="21"/>
                <w:szCs w:val="21"/>
                <w:highlight w:val="none"/>
              </w:rPr>
              <w:t>提供授权函</w:t>
            </w:r>
            <w:r>
              <w:rPr>
                <w:rFonts w:hint="eastAsia" w:ascii="宋体" w:hAnsi="宋体" w:cs="宋体"/>
                <w:color w:val="auto"/>
                <w:kern w:val="0"/>
                <w:sz w:val="21"/>
                <w:szCs w:val="21"/>
                <w:highlight w:val="none"/>
                <w:lang w:eastAsia="zh-CN"/>
              </w:rPr>
              <w:t>复印件及</w:t>
            </w:r>
            <w:r>
              <w:rPr>
                <w:rFonts w:hint="eastAsia" w:ascii="宋体" w:hAnsi="宋体" w:eastAsia="宋体" w:cs="宋体"/>
                <w:color w:val="auto"/>
                <w:kern w:val="0"/>
                <w:sz w:val="21"/>
                <w:szCs w:val="21"/>
                <w:highlight w:val="none"/>
              </w:rPr>
              <w:t>售后服务承诺函</w:t>
            </w:r>
            <w:r>
              <w:rPr>
                <w:rFonts w:hint="eastAsia" w:ascii="宋体" w:hAnsi="宋体" w:cs="宋体"/>
                <w:color w:val="auto"/>
                <w:kern w:val="0"/>
                <w:sz w:val="21"/>
                <w:szCs w:val="21"/>
                <w:highlight w:val="none"/>
                <w:lang w:eastAsia="zh-CN"/>
              </w:rPr>
              <w:t>复印件（原件核查）】</w:t>
            </w:r>
          </w:p>
        </w:tc>
      </w:tr>
    </w:tbl>
    <w:p>
      <w:pPr>
        <w:rPr>
          <w:rFonts w:hint="eastAsia" w:ascii="宋体" w:hAnsi="宋体" w:eastAsia="宋体" w:cs="宋体"/>
          <w:color w:val="auto"/>
          <w:sz w:val="21"/>
          <w:szCs w:val="21"/>
          <w:highlight w:val="none"/>
        </w:rPr>
      </w:pPr>
    </w:p>
    <w:p>
      <w:pPr>
        <w:pStyle w:val="4"/>
        <w:spacing w:after="0" w:afterLines="0"/>
        <w:ind w:lef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7、VPN设备</w:t>
      </w:r>
    </w:p>
    <w:tbl>
      <w:tblPr>
        <w:tblStyle w:val="17"/>
        <w:tblW w:w="843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7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89" w:type="dxa"/>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项目</w:t>
            </w:r>
          </w:p>
        </w:tc>
        <w:tc>
          <w:tcPr>
            <w:tcW w:w="7547" w:type="dxa"/>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功能指标要求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89" w:type="dxa"/>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部署方式</w:t>
            </w:r>
          </w:p>
        </w:tc>
        <w:tc>
          <w:tcPr>
            <w:tcW w:w="7547" w:type="dxa"/>
            <w:vAlign w:val="center"/>
          </w:tcPr>
          <w:p>
            <w:pPr>
              <w:widowControl/>
              <w:jc w:val="left"/>
              <w:rPr>
                <w:rFonts w:hint="eastAsia" w:ascii="宋体" w:hAnsi="宋体" w:eastAsia="宋体" w:cs="宋体"/>
                <w:b/>
                <w:bCs/>
                <w:color w:val="auto"/>
                <w:kern w:val="0"/>
                <w:sz w:val="21"/>
                <w:szCs w:val="21"/>
                <w:highlight w:val="none"/>
              </w:rPr>
            </w:pPr>
            <w:r>
              <w:rPr>
                <w:rFonts w:hint="eastAsia" w:ascii="宋体" w:hAnsi="宋体" w:eastAsia="宋体" w:cs="宋体"/>
                <w:color w:val="auto"/>
                <w:sz w:val="21"/>
                <w:szCs w:val="21"/>
                <w:highlight w:val="none"/>
              </w:rPr>
              <w:t>支持网关模式、单臂模式部署两种方式；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9" w:type="dxa"/>
            <w:vAlign w:val="center"/>
          </w:tcPr>
          <w:p>
            <w:pPr>
              <w:widowControl/>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基本特性</w:t>
            </w:r>
          </w:p>
        </w:tc>
        <w:tc>
          <w:tcPr>
            <w:tcW w:w="7547" w:type="dxa"/>
            <w:vAlign w:val="top"/>
          </w:tcPr>
          <w:p>
            <w:pPr>
              <w:widowControl/>
              <w:numPr>
                <w:ilvl w:val="0"/>
                <w:numId w:val="10"/>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专业VPN设备，采用标准SSL、TLS 协议，同时支持IPSec VPN、SSLVPN两种VPN，非插卡或防火墙带VPN模块设备；</w:t>
            </w:r>
          </w:p>
          <w:p>
            <w:pPr>
              <w:widowControl/>
              <w:numPr>
                <w:ilvl w:val="0"/>
                <w:numId w:val="10"/>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支持对基于HTTP、HTTPS、FileShare、DNS、H.323、SMTP、POP3、Telnet、SSH等的所有B/S、C/S应用系统，支持基于TCP、UDP、ICMP等IP层以上的协议的应用，例如即时通讯、视频、语音、Ping等服务； </w:t>
            </w:r>
          </w:p>
          <w:p>
            <w:pPr>
              <w:widowControl/>
              <w:numPr>
                <w:ilvl w:val="0"/>
                <w:numId w:val="10"/>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支持PC终端使用包括Windows10、Windows8、Windows7、Windows Vista、Windows xp、Mac OS、Linux等主流操作系统来登录SSLVPN系统，并完整支持该操作系统下的各种IP层以上的B/S和C/S应用；支持Windows、IOS、Android、塞班、黑莓等操作系统的智能手机、PDA、平板电脑（PAD）等移动终端的SSL VPN接入，或通过PPTP、L2TP VPN方式接入；</w:t>
            </w:r>
          </w:p>
          <w:p>
            <w:pPr>
              <w:widowControl/>
              <w:numPr>
                <w:ilvl w:val="0"/>
                <w:numId w:val="10"/>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b/>
                <w:bCs/>
                <w:color w:val="auto"/>
                <w:szCs w:val="20"/>
                <w:highlight w:val="none"/>
              </w:rPr>
              <w:t>▲</w:t>
            </w:r>
            <w:r>
              <w:rPr>
                <w:rFonts w:hint="eastAsia" w:ascii="宋体" w:hAnsi="宋体" w:eastAsia="宋体" w:cs="宋体"/>
                <w:color w:val="auto"/>
                <w:kern w:val="0"/>
                <w:sz w:val="21"/>
                <w:szCs w:val="21"/>
                <w:highlight w:val="none"/>
              </w:rPr>
              <w:t>支持终端使用包括IE6、7、8、10、11或其他IE内核的浏览器，以及最新版本的非IE内核浏览器，如Windows EDGE，Google Chrome，Firefox，Safari，Opera最新版登录SSLVPN系统，登录后可完整支持各种IP层以上的B/S和C/S应用；</w:t>
            </w:r>
          </w:p>
          <w:p>
            <w:pPr>
              <w:widowControl/>
              <w:numPr>
                <w:ilvl w:val="0"/>
                <w:numId w:val="10"/>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产品应支持的密码算法包括：AES、DES、3DES、DH、RSA、RC4、MD5、SHA1</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7" w:hRule="atLeast"/>
        </w:trPr>
        <w:tc>
          <w:tcPr>
            <w:tcW w:w="889" w:type="dxa"/>
            <w:vAlign w:val="center"/>
          </w:tcPr>
          <w:p>
            <w:pPr>
              <w:widowControl/>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易用性</w:t>
            </w:r>
          </w:p>
        </w:tc>
        <w:tc>
          <w:tcPr>
            <w:tcW w:w="7547" w:type="dxa"/>
            <w:vAlign w:val="top"/>
          </w:tcPr>
          <w:p>
            <w:pPr>
              <w:widowControl/>
              <w:numPr>
                <w:ilvl w:val="0"/>
                <w:numId w:val="11"/>
              </w:numPr>
              <w:ind w:left="425" w:leftChars="0" w:hanging="425" w:firstLineChars="0"/>
              <w:rPr>
                <w:rFonts w:hint="eastAsia" w:ascii="宋体" w:hAnsi="宋体" w:eastAsia="宋体" w:cs="宋体"/>
                <w:color w:val="auto"/>
                <w:kern w:val="0"/>
                <w:sz w:val="21"/>
                <w:szCs w:val="21"/>
                <w:highlight w:val="none"/>
              </w:rPr>
            </w:pPr>
            <w:r>
              <w:rPr>
                <w:rFonts w:hint="eastAsia" w:ascii="宋体"/>
                <w:b/>
                <w:bCs/>
                <w:color w:val="auto"/>
                <w:szCs w:val="20"/>
                <w:highlight w:val="none"/>
              </w:rPr>
              <w:t>▲</w:t>
            </w:r>
            <w:r>
              <w:rPr>
                <w:rFonts w:hint="eastAsia" w:ascii="宋体" w:hAnsi="宋体" w:eastAsia="宋体" w:cs="宋体"/>
                <w:color w:val="auto"/>
                <w:kern w:val="0"/>
                <w:sz w:val="21"/>
                <w:szCs w:val="21"/>
                <w:highlight w:val="none"/>
              </w:rPr>
              <w:t xml:space="preserve">可支持虚拟门户功能，在一台设备上配置不同的访问域名、IP地址，以及不同的使用界面，实现一台设备为多个不同用户群体服务的的使用效果； </w:t>
            </w:r>
          </w:p>
          <w:p>
            <w:pPr>
              <w:widowControl/>
              <w:numPr>
                <w:ilvl w:val="0"/>
                <w:numId w:val="11"/>
              </w:numPr>
              <w:ind w:left="425" w:leftChars="0" w:hanging="42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文档WEB化管理，用户可通过任意浏览器，对存储服务器的文件进行管理操作（包括：上传、下载、删除、重命名、剪切、复制、粘贴、新建文件目录），而不需要额外安装FTP、文档共享软件等应用程序客户端；</w:t>
            </w:r>
          </w:p>
          <w:p>
            <w:pPr>
              <w:widowControl/>
              <w:numPr>
                <w:ilvl w:val="0"/>
                <w:numId w:val="11"/>
              </w:numPr>
              <w:ind w:left="425" w:leftChars="0" w:hanging="42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支持用户登录界面、服务界面的完全自定义，上传单独的Web页面作为用户登录界面、服务界面；</w:t>
            </w:r>
          </w:p>
          <w:p>
            <w:pPr>
              <w:widowControl/>
              <w:numPr>
                <w:ilvl w:val="0"/>
                <w:numId w:val="11"/>
              </w:numPr>
              <w:ind w:left="425" w:leftChars="0" w:hanging="42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单点登录功能（SSO）,支持移动用户登录VPN后再登录内部B/S、C/S应用系统时不需要二次重复认证。支持针对B/S单点登录用户名密码加密传输，保证安全；支持针对不同的访问资源设定不同的SSO用户名和密码，支持用户自行修改SSO账号；</w:t>
            </w:r>
          </w:p>
          <w:p>
            <w:pPr>
              <w:widowControl/>
              <w:numPr>
                <w:ilvl w:val="0"/>
                <w:numId w:val="11"/>
              </w:numPr>
              <w:ind w:left="425" w:leftChars="0" w:hanging="42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支持断线重连自动技术，防止用户误操作关闭浏览器导致VPN隧道断开；防止用户在无线网络环境下网络正常切换时VPN隧道断开；</w:t>
            </w:r>
          </w:p>
          <w:p>
            <w:pPr>
              <w:widowControl/>
              <w:numPr>
                <w:ilvl w:val="0"/>
                <w:numId w:val="11"/>
              </w:numPr>
              <w:ind w:left="425" w:leftChars="0" w:hanging="42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支持客户端永久在线功能，对于无人值守的设备可以设定永久在线，如果网络断开，可提供无限次重连；</w:t>
            </w:r>
          </w:p>
          <w:p>
            <w:pPr>
              <w:widowControl/>
              <w:numPr>
                <w:ilvl w:val="0"/>
                <w:numId w:val="11"/>
              </w:numPr>
              <w:ind w:left="425" w:leftChars="0" w:hanging="42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智能递推技术，针对多外链的门户网站进行动态嗅探页面内的链接并完成资源自动授权，防止资源漏访；支持Web参数修正，可针对Flash、Java、Applet、或视频播放器对象所引用资源路径进行修正，避免无法播放的问题</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trPr>
        <w:tc>
          <w:tcPr>
            <w:tcW w:w="889" w:type="dxa"/>
            <w:vAlign w:val="center"/>
          </w:tcPr>
          <w:p>
            <w:pPr>
              <w:widowControl/>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终端安全</w:t>
            </w:r>
          </w:p>
        </w:tc>
        <w:tc>
          <w:tcPr>
            <w:tcW w:w="7547" w:type="dxa"/>
            <w:vAlign w:val="top"/>
          </w:tcPr>
          <w:p>
            <w:pPr>
              <w:widowControl/>
              <w:numPr>
                <w:ilvl w:val="0"/>
                <w:numId w:val="12"/>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b/>
                <w:bCs/>
                <w:color w:val="auto"/>
                <w:szCs w:val="20"/>
                <w:highlight w:val="none"/>
                <w:u w:val="none"/>
              </w:rPr>
              <w:t>▲</w:t>
            </w:r>
            <w:r>
              <w:rPr>
                <w:rFonts w:hint="eastAsia" w:ascii="宋体" w:hAnsi="宋体" w:eastAsia="宋体" w:cs="宋体"/>
                <w:color w:val="auto"/>
                <w:kern w:val="0"/>
                <w:sz w:val="21"/>
                <w:szCs w:val="21"/>
                <w:highlight w:val="none"/>
              </w:rPr>
              <w:t>产品必须支持防中间人攻击，</w:t>
            </w:r>
            <w:r>
              <w:rPr>
                <w:rFonts w:hint="eastAsia" w:ascii="宋体" w:hAnsi="宋体" w:eastAsia="宋体" w:cs="宋体"/>
                <w:color w:val="auto"/>
                <w:kern w:val="0"/>
                <w:sz w:val="21"/>
                <w:szCs w:val="21"/>
                <w:highlight w:val="none"/>
                <w:lang w:eastAsia="zh-CN"/>
              </w:rPr>
              <w:t>并</w:t>
            </w:r>
            <w:r>
              <w:rPr>
                <w:rFonts w:hint="eastAsia" w:ascii="宋体" w:hAnsi="宋体" w:eastAsia="宋体" w:cs="宋体"/>
                <w:color w:val="auto"/>
                <w:kern w:val="0"/>
                <w:sz w:val="21"/>
                <w:szCs w:val="21"/>
                <w:highlight w:val="none"/>
              </w:rPr>
              <w:t>可在用户登录SSLVPN时智能判断存在中间人攻击行为，断开被攻击的连接，并可提示异常现象。（提供合法知识产权证明）；</w:t>
            </w:r>
          </w:p>
          <w:p>
            <w:pPr>
              <w:widowControl/>
              <w:numPr>
                <w:ilvl w:val="0"/>
                <w:numId w:val="12"/>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支持用户终端登录前、登陆后的安全性检测，检测范围包括：用户接入IP、接入时间、接入线路IP、进程、文件、注册表、操作系统、使用终端，可以检测出客户端是否安装指定的防火墙或杀毒软件；</w:t>
            </w:r>
          </w:p>
          <w:p>
            <w:pPr>
              <w:widowControl/>
              <w:numPr>
                <w:ilvl w:val="0"/>
                <w:numId w:val="12"/>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支持客户端注销后自动清除所有缓存、Cookies、浏览器历史记录、保存的表单信息，实现零痕迹访问；</w:t>
            </w:r>
          </w:p>
          <w:p>
            <w:pPr>
              <w:widowControl/>
              <w:numPr>
                <w:ilvl w:val="0"/>
                <w:numId w:val="12"/>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支持VPN专线功能，可配置用户在接入SSL VPN的同时，断开与Internet其他连接</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9" w:type="dxa"/>
            <w:vAlign w:val="center"/>
          </w:tcPr>
          <w:p>
            <w:pPr>
              <w:widowControl/>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权限、服务器安全</w:t>
            </w:r>
          </w:p>
        </w:tc>
        <w:tc>
          <w:tcPr>
            <w:tcW w:w="7547" w:type="dxa"/>
            <w:vAlign w:val="top"/>
          </w:tcPr>
          <w:p>
            <w:pPr>
              <w:widowControl/>
              <w:numPr>
                <w:ilvl w:val="0"/>
                <w:numId w:val="13"/>
              </w:numPr>
              <w:ind w:left="425" w:leftChars="0" w:hanging="42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产品应具有用户/用户组细粒度的权限分配功能：可以针对被访问资源的IP地址、端口、提供的服务、URL地址等进行权限控制；针对同一B/S资源，可对不同用户做到细致到URL级别的授权； </w:t>
            </w:r>
          </w:p>
          <w:p>
            <w:pPr>
              <w:widowControl/>
              <w:numPr>
                <w:ilvl w:val="0"/>
                <w:numId w:val="13"/>
              </w:numPr>
              <w:ind w:left="425" w:leftChars="0" w:hanging="42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产品应具有角色授权机制，支持在用户组的基础上，根据角色的不同，组合关联不同的资源权限；</w:t>
            </w:r>
          </w:p>
          <w:p>
            <w:pPr>
              <w:widowControl/>
              <w:numPr>
                <w:ilvl w:val="0"/>
                <w:numId w:val="13"/>
              </w:numPr>
              <w:ind w:left="425" w:leftChars="0" w:hanging="425" w:firstLineChars="0"/>
              <w:rPr>
                <w:rFonts w:hint="eastAsia" w:ascii="宋体" w:hAnsi="宋体" w:eastAsia="宋体" w:cs="宋体"/>
                <w:color w:val="auto"/>
                <w:kern w:val="0"/>
                <w:sz w:val="21"/>
                <w:szCs w:val="21"/>
                <w:highlight w:val="none"/>
              </w:rPr>
            </w:pPr>
            <w:r>
              <w:rPr>
                <w:rFonts w:hint="eastAsia" w:ascii="宋体"/>
                <w:b/>
                <w:bCs/>
                <w:color w:val="auto"/>
                <w:szCs w:val="20"/>
                <w:highlight w:val="none"/>
              </w:rPr>
              <w:t>▲</w:t>
            </w:r>
            <w:r>
              <w:rPr>
                <w:rFonts w:hint="eastAsia" w:ascii="宋体" w:hAnsi="宋体" w:eastAsia="宋体" w:cs="宋体"/>
                <w:color w:val="auto"/>
                <w:kern w:val="0"/>
                <w:sz w:val="21"/>
                <w:szCs w:val="21"/>
                <w:highlight w:val="none"/>
              </w:rPr>
              <w:t>支持主从认证账号绑定，必须实现SSL VPN账号与应用系统账号的唯一绑定，VPN资源中的系统只能以指定账号登陆，加强身份认证，防止登录SSL VPN后冒名登录应用系统；</w:t>
            </w:r>
          </w:p>
          <w:p>
            <w:pPr>
              <w:widowControl/>
              <w:numPr>
                <w:ilvl w:val="0"/>
                <w:numId w:val="13"/>
              </w:numPr>
              <w:ind w:left="425" w:leftChars="0" w:hanging="42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支持关键文件保护功能，可针对特定应用关键文件进行锁定，防止用户进行篡改进行越权；</w:t>
            </w:r>
          </w:p>
          <w:p>
            <w:pPr>
              <w:widowControl/>
              <w:numPr>
                <w:ilvl w:val="0"/>
                <w:numId w:val="13"/>
              </w:numPr>
              <w:ind w:left="425" w:leftChars="0" w:hanging="42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针对服务器地址保护方面，可支持SSLVPN资源列表界面上的用户授权资源隐藏；针对B/S应用，可进行URL地址伪装，防止服务器真实IP地址泄露</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5" w:hRule="atLeast"/>
        </w:trPr>
        <w:tc>
          <w:tcPr>
            <w:tcW w:w="889" w:type="dxa"/>
            <w:vAlign w:val="center"/>
          </w:tcPr>
          <w:p>
            <w:pPr>
              <w:widowControl/>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身份认证</w:t>
            </w:r>
          </w:p>
        </w:tc>
        <w:tc>
          <w:tcPr>
            <w:tcW w:w="7547" w:type="dxa"/>
            <w:vAlign w:val="top"/>
          </w:tcPr>
          <w:p>
            <w:pPr>
              <w:widowControl/>
              <w:numPr>
                <w:ilvl w:val="0"/>
                <w:numId w:val="14"/>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产品必须支持Local DB 、USB KEY、短信认证、硬件特征码、动态令牌、数字证书认证、LDAP、RADIUS、等认证方式；可针对用户/用户组设置认证方式的与、或组合，可进行用户名/密码、LDAP、USB KEY、硬件特征码、短信认证或动态令牌的五因素捆绑认证；</w:t>
            </w:r>
          </w:p>
          <w:p>
            <w:pPr>
              <w:widowControl/>
              <w:numPr>
                <w:ilvl w:val="0"/>
                <w:numId w:val="14"/>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支持有驱USB KEY、无驱USB KEY认证，无驱KEY无需在客户端安装驱动，方便用户；支持配置第三方KEY，可与其他业务系统无缝结合；支持满足中国国家标准的《智能IC卡及智能密码钥匙密码应用接口规范》的智能TF/SD卡；</w:t>
            </w:r>
          </w:p>
          <w:p>
            <w:pPr>
              <w:widowControl/>
              <w:numPr>
                <w:ilvl w:val="0"/>
                <w:numId w:val="14"/>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支持随机验证码短信认证，可自定义所发送短信信息格式，支持用户端短信重发功能；</w:t>
            </w:r>
          </w:p>
          <w:p>
            <w:pPr>
              <w:widowControl/>
              <w:numPr>
                <w:ilvl w:val="0"/>
                <w:numId w:val="14"/>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支持三大运营商移动、联通、电信运营商的标准的外置短信设备或API接口；</w:t>
            </w:r>
          </w:p>
          <w:p>
            <w:pPr>
              <w:widowControl/>
              <w:numPr>
                <w:ilvl w:val="0"/>
                <w:numId w:val="14"/>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支持GSM、CDMA制式短信猫；支持webservice方式短信认证，支持webservice嘉迅版；</w:t>
            </w:r>
          </w:p>
          <w:p>
            <w:pPr>
              <w:widowControl/>
              <w:numPr>
                <w:ilvl w:val="0"/>
                <w:numId w:val="14"/>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设备内部必须支持自建CA中心，便于数字证书认证平台搭建；</w:t>
            </w:r>
          </w:p>
          <w:p>
            <w:pPr>
              <w:widowControl/>
              <w:numPr>
                <w:ilvl w:val="0"/>
                <w:numId w:val="14"/>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支持与基于PKI体系的第三方CA进行结合认证，可根据CA某字段将通过CA认证的用户自动映射到指定用户组，方便进行权限授权配置；支持CRL证书撤销列表；</w:t>
            </w:r>
          </w:p>
          <w:p>
            <w:pPr>
              <w:widowControl/>
              <w:numPr>
                <w:ilvl w:val="0"/>
                <w:numId w:val="14"/>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单台VPN设备可扩展同时支持5套以上CA根证书（</w:t>
            </w:r>
            <w:r>
              <w:rPr>
                <w:rFonts w:hint="eastAsia" w:ascii="宋体" w:hAnsi="宋体" w:cs="宋体"/>
                <w:color w:val="auto"/>
                <w:kern w:val="0"/>
                <w:sz w:val="21"/>
                <w:szCs w:val="21"/>
                <w:highlight w:val="none"/>
                <w:lang w:eastAsia="zh-CN"/>
              </w:rPr>
              <w:t>提供功能截图</w:t>
            </w:r>
            <w:r>
              <w:rPr>
                <w:rFonts w:hint="eastAsia" w:ascii="宋体" w:hAnsi="宋体" w:eastAsia="宋体" w:cs="宋体"/>
                <w:color w:val="auto"/>
                <w:kern w:val="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889" w:type="dxa"/>
            <w:vAlign w:val="center"/>
          </w:tcPr>
          <w:p>
            <w:pPr>
              <w:widowControl/>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高速性</w:t>
            </w:r>
          </w:p>
        </w:tc>
        <w:tc>
          <w:tcPr>
            <w:tcW w:w="7547" w:type="dxa"/>
            <w:vAlign w:val="top"/>
          </w:tcPr>
          <w:p>
            <w:pPr>
              <w:widowControl/>
              <w:numPr>
                <w:ilvl w:val="0"/>
                <w:numId w:val="15"/>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b/>
                <w:bCs/>
                <w:color w:val="auto"/>
                <w:szCs w:val="20"/>
                <w:highlight w:val="none"/>
                <w:u w:val="none"/>
              </w:rPr>
              <w:t>▲</w:t>
            </w:r>
            <w:r>
              <w:rPr>
                <w:rFonts w:hint="eastAsia" w:ascii="宋体" w:hAnsi="宋体" w:eastAsia="宋体" w:cs="宋体"/>
                <w:color w:val="auto"/>
                <w:kern w:val="0"/>
                <w:sz w:val="21"/>
                <w:szCs w:val="21"/>
                <w:highlight w:val="none"/>
              </w:rPr>
              <w:t>必须支持至少4条以上的外网多线路配置；并在设备单臂部署模式下，多线路接入前置网关，仅依靠SSLVPN设备同样可实现SSLVPN接入用户的多线路自动优选功能（提供合法知识产权证明）；</w:t>
            </w:r>
          </w:p>
          <w:p>
            <w:pPr>
              <w:widowControl/>
              <w:numPr>
                <w:ilvl w:val="0"/>
                <w:numId w:val="15"/>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b/>
                <w:bCs/>
                <w:color w:val="auto"/>
                <w:szCs w:val="20"/>
                <w:highlight w:val="none"/>
                <w:u w:val="none"/>
              </w:rPr>
              <w:t>▲</w:t>
            </w:r>
            <w:r>
              <w:rPr>
                <w:rFonts w:hint="eastAsia" w:ascii="宋体" w:hAnsi="宋体" w:eastAsia="宋体" w:cs="宋体"/>
                <w:color w:val="auto"/>
                <w:kern w:val="0"/>
                <w:sz w:val="21"/>
                <w:szCs w:val="21"/>
                <w:highlight w:val="none"/>
              </w:rPr>
              <w:t>支持启用多线路时，自动检测故障线路，并自动踢出故障线路；一旦线路恢复，可在一定时间内自动恢复。支持启用多线路时，自定义用户访问选路策略，包括按上/下行带宽，轮询，按优先级等方式。（提供合法知识产权证明）；</w:t>
            </w:r>
          </w:p>
          <w:p>
            <w:pPr>
              <w:widowControl/>
              <w:numPr>
                <w:ilvl w:val="0"/>
                <w:numId w:val="15"/>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b/>
                <w:bCs/>
                <w:color w:val="auto"/>
                <w:szCs w:val="20"/>
                <w:highlight w:val="none"/>
                <w:u w:val="none"/>
              </w:rPr>
              <w:t>▲</w:t>
            </w:r>
            <w:r>
              <w:rPr>
                <w:rFonts w:hint="eastAsia" w:ascii="宋体" w:hAnsi="宋体" w:eastAsia="宋体" w:cs="宋体"/>
                <w:color w:val="auto"/>
                <w:kern w:val="0"/>
                <w:sz w:val="21"/>
                <w:szCs w:val="21"/>
                <w:highlight w:val="none"/>
              </w:rPr>
              <w:t>支持利用网页进行动态寻址的方法，客户端无需安装插件、不依靠IP地址库、不依赖于第三方动态IP寻址、直接根据速度探测实现用户端接入线路的自动优选,用户通过访问寻址代理页面（简称Webagent页面），通过Webagent页面自动寻找VPN设备IP(非DDNS）。（提供合法知识产权证明）；</w:t>
            </w:r>
          </w:p>
          <w:p>
            <w:pPr>
              <w:widowControl/>
              <w:numPr>
                <w:ilvl w:val="0"/>
                <w:numId w:val="15"/>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仅通过SSLVPN设备可实现资源负载均衡功能，用户接入同一资源根据权值可动态负载到多台承载服务器上；负载均衡可基于服务器性能指标、权值轮询、轮询等不同方式；</w:t>
            </w:r>
          </w:p>
          <w:p>
            <w:pPr>
              <w:widowControl/>
              <w:numPr>
                <w:ilvl w:val="0"/>
                <w:numId w:val="15"/>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b/>
                <w:bCs/>
                <w:color w:val="auto"/>
                <w:szCs w:val="20"/>
                <w:highlight w:val="none"/>
                <w:u w:val="none"/>
              </w:rPr>
              <w:t>▲</w:t>
            </w:r>
            <w:r>
              <w:rPr>
                <w:rFonts w:hint="eastAsia" w:ascii="宋体" w:hAnsi="宋体" w:eastAsia="宋体" w:cs="宋体"/>
                <w:color w:val="auto"/>
                <w:sz w:val="21"/>
                <w:szCs w:val="21"/>
                <w:highlight w:val="none"/>
              </w:rPr>
              <w:t>支持非对称式部署的传输协议优化技术（单边加速），不用在用户终端上安装任何插件和软件，即可提升用户访问应用服务的速度。</w:t>
            </w:r>
            <w:r>
              <w:rPr>
                <w:rFonts w:hint="eastAsia" w:ascii="宋体" w:hAnsi="宋体" w:eastAsia="宋体" w:cs="宋体"/>
                <w:color w:val="auto"/>
                <w:kern w:val="0"/>
                <w:sz w:val="21"/>
                <w:szCs w:val="21"/>
                <w:highlight w:val="none"/>
              </w:rPr>
              <w:t>(提供配置界面截图及第三方评测报告</w:t>
            </w:r>
            <w:r>
              <w:rPr>
                <w:rFonts w:hint="eastAsia" w:ascii="宋体" w:hAnsi="宋体" w:eastAsia="宋体" w:cs="宋体"/>
                <w:color w:val="auto"/>
                <w:kern w:val="0"/>
                <w:sz w:val="21"/>
                <w:szCs w:val="21"/>
                <w:highlight w:val="none"/>
                <w:lang w:eastAsia="zh-CN"/>
              </w:rPr>
              <w:t>复印件作为证明文件</w:t>
            </w:r>
            <w:r>
              <w:rPr>
                <w:rFonts w:hint="eastAsia" w:ascii="宋体" w:hAnsi="宋体" w:eastAsia="宋体" w:cs="宋体"/>
                <w:color w:val="auto"/>
                <w:kern w:val="0"/>
                <w:sz w:val="21"/>
                <w:szCs w:val="21"/>
                <w:highlight w:val="none"/>
              </w:rPr>
              <w:t>) ；</w:t>
            </w:r>
          </w:p>
          <w:p>
            <w:pPr>
              <w:widowControl/>
              <w:numPr>
                <w:ilvl w:val="0"/>
                <w:numId w:val="15"/>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b/>
                <w:bCs/>
                <w:color w:val="auto"/>
                <w:szCs w:val="20"/>
                <w:highlight w:val="none"/>
                <w:u w:val="none"/>
              </w:rPr>
              <w:t>▲</w:t>
            </w:r>
            <w:r>
              <w:rPr>
                <w:rFonts w:hint="eastAsia" w:ascii="宋体" w:hAnsi="宋体" w:eastAsia="宋体" w:cs="宋体"/>
                <w:color w:val="auto"/>
                <w:kern w:val="0"/>
                <w:sz w:val="21"/>
                <w:szCs w:val="21"/>
                <w:highlight w:val="none"/>
              </w:rPr>
              <w:t>支持HTP快速传输协议，大幅优化无线环境（CDMA、GPRS、WIFI、3G）、高丢包、高延等恶劣网络环境下传输速度及效率；支持根据网络境自动选择并切换至最优的传输协议（提供配置界面截图</w:t>
            </w:r>
            <w:r>
              <w:rPr>
                <w:rFonts w:hint="eastAsia" w:ascii="宋体" w:hAnsi="宋体" w:eastAsia="宋体" w:cs="宋体"/>
                <w:color w:val="auto"/>
                <w:kern w:val="0"/>
                <w:sz w:val="21"/>
                <w:szCs w:val="21"/>
                <w:highlight w:val="none"/>
                <w:lang w:eastAsia="zh-CN"/>
              </w:rPr>
              <w:t>为证明文件</w:t>
            </w:r>
            <w:r>
              <w:rPr>
                <w:rFonts w:hint="eastAsia" w:ascii="宋体" w:hAnsi="宋体" w:eastAsia="宋体" w:cs="宋体"/>
                <w:color w:val="auto"/>
                <w:kern w:val="0"/>
                <w:sz w:val="21"/>
                <w:szCs w:val="21"/>
                <w:highlight w:val="none"/>
              </w:rPr>
              <w:t>）；</w:t>
            </w:r>
          </w:p>
          <w:p>
            <w:pPr>
              <w:widowControl/>
              <w:numPr>
                <w:ilvl w:val="0"/>
                <w:numId w:val="15"/>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b/>
                <w:bCs/>
                <w:color w:val="auto"/>
                <w:szCs w:val="20"/>
                <w:highlight w:val="none"/>
                <w:u w:val="none"/>
              </w:rPr>
              <w:t>▲</w:t>
            </w:r>
            <w:r>
              <w:rPr>
                <w:rFonts w:hint="eastAsia" w:ascii="宋体" w:hAnsi="宋体" w:eastAsia="宋体" w:cs="宋体"/>
                <w:color w:val="auto"/>
                <w:kern w:val="0"/>
                <w:sz w:val="21"/>
                <w:szCs w:val="21"/>
                <w:highlight w:val="none"/>
              </w:rPr>
              <w:t>支持针对不同的web页面进行数据优化，支持动态压缩技术，基于数据流进行压缩，减少不必要的数据传输。（提供界面配置截图，并提供合法知识产权证明）；</w:t>
            </w:r>
          </w:p>
          <w:p>
            <w:pPr>
              <w:widowControl/>
              <w:numPr>
                <w:ilvl w:val="0"/>
                <w:numId w:val="15"/>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针对B/S资源支持WebCache技术，动态缓存页面元素，提高Web页面响应速度。支持流缓存技术，实现网关与网关、网关与移动客户端之间进行多磁盘、双向、基于分片数据包的字节流缓存加速，削减冗余数据，降低带宽压力的同时提高访问速度；支持共享流缓存功能，实现多分支网关在总部共享流缓存数据，提高流缓存效果（提供界面配置截图，并提供合法知识产权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3" w:hRule="atLeast"/>
        </w:trPr>
        <w:tc>
          <w:tcPr>
            <w:tcW w:w="889" w:type="dxa"/>
            <w:vAlign w:val="center"/>
          </w:tcPr>
          <w:p>
            <w:pPr>
              <w:widowControl/>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高管理要求</w:t>
            </w:r>
          </w:p>
        </w:tc>
        <w:tc>
          <w:tcPr>
            <w:tcW w:w="7547" w:type="dxa"/>
            <w:vAlign w:val="top"/>
          </w:tcPr>
          <w:p>
            <w:pPr>
              <w:widowControl/>
              <w:numPr>
                <w:ilvl w:val="0"/>
                <w:numId w:val="16"/>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15级以上的管理员分级分权限管理，从Admin派生树形结构下级管理员；上级管理员可分配下级管理员享有设备配置模块权限，可管理的用户、资源、角色权限，并可限制下级管理员是否允许创建下级管理员、创建资源、创建角色；上级管理员可限制下级管理员对权限内配置享有查看或配置权限；</w:t>
            </w:r>
          </w:p>
          <w:p>
            <w:pPr>
              <w:widowControl/>
              <w:numPr>
                <w:ilvl w:val="0"/>
                <w:numId w:val="16"/>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支持设置对控制台管理员密码复杂度的要求，提升设备的安全性；</w:t>
            </w:r>
          </w:p>
          <w:p>
            <w:pPr>
              <w:widowControl/>
              <w:numPr>
                <w:ilvl w:val="0"/>
                <w:numId w:val="16"/>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cs="宋体"/>
                <w:color w:val="auto"/>
                <w:kern w:val="0"/>
                <w:szCs w:val="21"/>
                <w:highlight w:val="none"/>
              </w:rPr>
              <w:t>▲</w:t>
            </w:r>
            <w:r>
              <w:rPr>
                <w:rFonts w:hint="eastAsia" w:ascii="宋体" w:hAnsi="宋体" w:eastAsia="宋体" w:cs="宋体"/>
                <w:color w:val="auto"/>
                <w:kern w:val="0"/>
                <w:sz w:val="21"/>
                <w:szCs w:val="21"/>
                <w:highlight w:val="none"/>
              </w:rPr>
              <w:t>支持15级以上用户组树形结构分级管理，下级组可继承上级组的角色，资源及认证方式等属性；</w:t>
            </w:r>
          </w:p>
          <w:p>
            <w:pPr>
              <w:widowControl/>
              <w:numPr>
                <w:ilvl w:val="0"/>
                <w:numId w:val="16"/>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系统实时监控，图形化显示一段时间内的运行状况，可查看CPU占用率、各条线路网络吞吐量、各条线路的IP地址及发送接收流速、并发会话数、SSL并发用户数；可查看历史最高并发用户数并显示时间记录；可实时查看SSL接入用户的用户名、发送流速、接收流速、发送流量、接收流量、接入时间、并发会话数、接入IP、虚拟IP、认证方式等信息，并可在线中断指定用户；</w:t>
            </w:r>
          </w:p>
          <w:p>
            <w:pPr>
              <w:widowControl/>
              <w:numPr>
                <w:ilvl w:val="0"/>
                <w:numId w:val="16"/>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独立日志中心进行SSLVPN实时日志记录，可详细记录用户访问资源记录（用户、主机IP、资源、时间）、管理员日志（管理员、主机IP、时间、管理行为、对象）、系统日志、告警日志；可根据用户名、主机IP等信息进行用户行为查询；可提供用户组/用户流量排行及查询、资源流量排行及查询、资源活跃程度、用户活跃程度等记录；提供暴破登录记录；可提供用户登陆SSLVPN采用非绑定账号访问应用系统的记录；</w:t>
            </w:r>
          </w:p>
          <w:p>
            <w:pPr>
              <w:widowControl/>
              <w:numPr>
                <w:ilvl w:val="0"/>
                <w:numId w:val="16"/>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支持Syslog（系统日志）服务器，可将管理员日志，系统日志、用户日志输出到syslog服务器中；</w:t>
            </w:r>
          </w:p>
          <w:p>
            <w:pPr>
              <w:widowControl/>
              <w:numPr>
                <w:ilvl w:val="0"/>
                <w:numId w:val="16"/>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支持密码找回功能，当用户的密码忘记或者丢失时，可自行找回密码，减轻管理员维护压力；</w:t>
            </w:r>
          </w:p>
          <w:p>
            <w:pPr>
              <w:widowControl/>
              <w:numPr>
                <w:ilvl w:val="0"/>
                <w:numId w:val="16"/>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支持整体网关配置的本地及远程备份、恢复功能；支持SSLVPN配置的单独备份、恢复功能，并支持历史配置的回滚</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89" w:type="dxa"/>
            <w:vAlign w:val="center"/>
          </w:tcPr>
          <w:p>
            <w:pPr>
              <w:widowControl/>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稳定性、可扩展性</w:t>
            </w:r>
          </w:p>
        </w:tc>
        <w:tc>
          <w:tcPr>
            <w:tcW w:w="7547" w:type="dxa"/>
            <w:vAlign w:val="top"/>
          </w:tcPr>
          <w:p>
            <w:pPr>
              <w:widowControl/>
              <w:numPr>
                <w:ilvl w:val="0"/>
                <w:numId w:val="17"/>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b/>
                <w:bCs/>
                <w:color w:val="auto"/>
                <w:szCs w:val="20"/>
                <w:highlight w:val="none"/>
                <w:u w:val="none"/>
              </w:rPr>
              <w:t>▲</w:t>
            </w:r>
            <w:r>
              <w:rPr>
                <w:rFonts w:hint="eastAsia" w:ascii="宋体" w:hAnsi="宋体" w:eastAsia="宋体" w:cs="宋体"/>
                <w:color w:val="auto"/>
                <w:kern w:val="0"/>
                <w:sz w:val="21"/>
                <w:szCs w:val="21"/>
                <w:highlight w:val="none"/>
              </w:rPr>
              <w:t>支持基于自组域简化部署VPN网络的方法，即当有多台设备处于VPN网络中时，通过连接任意节点的VPN设备，即相当于连入整个VPN网络</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（提供合法知识产权证明）</w:t>
            </w:r>
          </w:p>
          <w:p>
            <w:pPr>
              <w:widowControl/>
              <w:numPr>
                <w:ilvl w:val="0"/>
                <w:numId w:val="17"/>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253台不同型号设备间进行集群（A/A），支持路由模式、单臂模式下多线路部署的集群；支持集群设备间Session同步，一台设备宕机后其上用户无需重新登录SSLVPN可继续使用；可扩展分布式集群功能，无需专门的全局负载设备即可实现异地SSLVPN设备间的接入用户负载分担、速度优选接入，异地设备间互为备份，分布式集群中用户可通过唯一的一个地址访问到所有加入到分布式集群的SSLVPN设备；</w:t>
            </w:r>
          </w:p>
          <w:p>
            <w:pPr>
              <w:widowControl/>
              <w:numPr>
                <w:ilvl w:val="0"/>
                <w:numId w:val="17"/>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cs="宋体"/>
                <w:color w:val="auto"/>
                <w:kern w:val="0"/>
                <w:szCs w:val="21"/>
                <w:highlight w:val="none"/>
              </w:rPr>
              <w:t>▲</w:t>
            </w:r>
            <w:r>
              <w:rPr>
                <w:rFonts w:hint="eastAsia" w:ascii="宋体" w:hAnsi="宋体" w:eastAsia="宋体" w:cs="宋体"/>
                <w:color w:val="auto"/>
                <w:kern w:val="0"/>
                <w:sz w:val="21"/>
                <w:szCs w:val="21"/>
                <w:highlight w:val="none"/>
              </w:rPr>
              <w:t>在负载均衡集群部署模式下，支持授权漂移，即当集群中一台设备宕机，该宕机设备中的并发授权自动迁移到其他正常的设备中，而无需额外购买授权；</w:t>
            </w:r>
          </w:p>
          <w:p>
            <w:pPr>
              <w:widowControl/>
              <w:numPr>
                <w:ilvl w:val="0"/>
                <w:numId w:val="17"/>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cs="宋体"/>
                <w:color w:val="auto"/>
                <w:kern w:val="0"/>
                <w:szCs w:val="21"/>
                <w:highlight w:val="none"/>
              </w:rPr>
              <w:t>▲</w:t>
            </w:r>
            <w:r>
              <w:rPr>
                <w:rFonts w:hint="eastAsia" w:ascii="宋体" w:hAnsi="宋体" w:eastAsia="宋体" w:cs="宋体"/>
                <w:color w:val="auto"/>
                <w:kern w:val="0"/>
                <w:sz w:val="21"/>
                <w:szCs w:val="21"/>
                <w:highlight w:val="none"/>
              </w:rPr>
              <w:t>产品必须支持经过集成的，基于Android IOS平台的第三方软件开发包（SDK），并实现基于Android IOS平台第三方应用软件（APP）代码量不超过20行。支持针对移动APP的VPN安全代码的自动封装，实现App应用的安全加固（提供界面截图</w:t>
            </w:r>
            <w:r>
              <w:rPr>
                <w:rFonts w:hint="eastAsia" w:ascii="宋体" w:hAnsi="宋体" w:eastAsia="宋体" w:cs="宋体"/>
                <w:color w:val="auto"/>
                <w:kern w:val="0"/>
                <w:sz w:val="21"/>
                <w:szCs w:val="21"/>
                <w:highlight w:val="none"/>
                <w:lang w:eastAsia="zh-CN"/>
              </w:rPr>
              <w:t>作为</w:t>
            </w:r>
            <w:r>
              <w:rPr>
                <w:rFonts w:hint="eastAsia" w:ascii="宋体" w:hAnsi="宋体" w:eastAsia="宋体" w:cs="宋体"/>
                <w:color w:val="auto"/>
                <w:kern w:val="0"/>
                <w:sz w:val="21"/>
                <w:szCs w:val="21"/>
                <w:highlight w:val="none"/>
              </w:rPr>
              <w:t>证明</w:t>
            </w:r>
            <w:r>
              <w:rPr>
                <w:rFonts w:hint="eastAsia" w:ascii="宋体" w:hAnsi="宋体" w:eastAsia="宋体" w:cs="宋体"/>
                <w:color w:val="auto"/>
                <w:kern w:val="0"/>
                <w:sz w:val="21"/>
                <w:szCs w:val="21"/>
                <w:highlight w:val="none"/>
                <w:lang w:eastAsia="zh-CN"/>
              </w:rPr>
              <w:t>文件</w:t>
            </w:r>
            <w:r>
              <w:rPr>
                <w:rFonts w:hint="eastAsia" w:ascii="宋体" w:hAnsi="宋体" w:eastAsia="宋体" w:cs="宋体"/>
                <w:color w:val="auto"/>
                <w:kern w:val="0"/>
                <w:sz w:val="21"/>
                <w:szCs w:val="21"/>
                <w:highlight w:val="none"/>
              </w:rPr>
              <w:t>）</w:t>
            </w:r>
            <w:r>
              <w:rPr>
                <w:rFonts w:hint="eastAsia" w:ascii="宋体" w:hAnsi="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1" w:hRule="atLeast"/>
        </w:trPr>
        <w:tc>
          <w:tcPr>
            <w:tcW w:w="889" w:type="dxa"/>
            <w:vMerge w:val="restart"/>
            <w:vAlign w:val="center"/>
          </w:tcPr>
          <w:p>
            <w:pPr>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远程应用</w:t>
            </w:r>
          </w:p>
        </w:tc>
        <w:tc>
          <w:tcPr>
            <w:tcW w:w="7547" w:type="dxa"/>
            <w:vAlign w:val="top"/>
          </w:tcPr>
          <w:p>
            <w:pPr>
              <w:widowControl/>
              <w:numPr>
                <w:ilvl w:val="0"/>
                <w:numId w:val="18"/>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产品必须在Windows和MAC操作系统下支持远程应用发布功能（提供界面截图</w:t>
            </w:r>
            <w:r>
              <w:rPr>
                <w:rFonts w:hint="eastAsia" w:ascii="宋体" w:hAnsi="宋体" w:eastAsia="宋体" w:cs="宋体"/>
                <w:color w:val="auto"/>
                <w:kern w:val="0"/>
                <w:sz w:val="21"/>
                <w:szCs w:val="21"/>
                <w:highlight w:val="none"/>
                <w:lang w:eastAsia="zh-CN"/>
              </w:rPr>
              <w:t>作为</w:t>
            </w:r>
            <w:r>
              <w:rPr>
                <w:rFonts w:hint="eastAsia" w:ascii="宋体" w:hAnsi="宋体" w:eastAsia="宋体" w:cs="宋体"/>
                <w:color w:val="auto"/>
                <w:kern w:val="0"/>
                <w:sz w:val="21"/>
                <w:szCs w:val="21"/>
                <w:highlight w:val="none"/>
              </w:rPr>
              <w:t>证明</w:t>
            </w:r>
            <w:r>
              <w:rPr>
                <w:rFonts w:hint="eastAsia" w:ascii="宋体" w:hAnsi="宋体" w:eastAsia="宋体" w:cs="宋体"/>
                <w:color w:val="auto"/>
                <w:kern w:val="0"/>
                <w:sz w:val="21"/>
                <w:szCs w:val="21"/>
                <w:highlight w:val="none"/>
                <w:lang w:eastAsia="zh-CN"/>
              </w:rPr>
              <w:t>文件</w:t>
            </w:r>
            <w:r>
              <w:rPr>
                <w:rFonts w:hint="eastAsia" w:ascii="宋体" w:hAnsi="宋体" w:eastAsia="宋体" w:cs="宋体"/>
                <w:color w:val="auto"/>
                <w:kern w:val="0"/>
                <w:sz w:val="21"/>
                <w:szCs w:val="21"/>
                <w:highlight w:val="none"/>
              </w:rPr>
              <w:t>）；</w:t>
            </w:r>
          </w:p>
          <w:p>
            <w:pPr>
              <w:widowControl/>
              <w:numPr>
                <w:ilvl w:val="0"/>
                <w:numId w:val="18"/>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可以无需二次开发，即把Windows应用发布到移动智能终端中，也可以支持无需开发，将C/S资源Web化；</w:t>
            </w:r>
          </w:p>
          <w:p>
            <w:pPr>
              <w:widowControl/>
              <w:numPr>
                <w:ilvl w:val="0"/>
                <w:numId w:val="18"/>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手机客户端必须经过苹果公司官方检测，并发布在苹果官方应用商店appstore，产品客户端必须通过google公司官方检测并发布在google应用商店PlayGoogle；产品客户端必须支持非“越狱”或非“Root”权限的手机/PAD安装；</w:t>
            </w:r>
          </w:p>
          <w:p>
            <w:pPr>
              <w:widowControl/>
              <w:numPr>
                <w:ilvl w:val="0"/>
                <w:numId w:val="18"/>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远程应用发布必须支持本地资源，包括：本地磁盘资源映射、本地打印机、本地串行口、本地智能卡，本地输入法；支持剪切板，并能够实现剪贴板数据流双向控制，即可以分别控制是否允许用户将“客户端复制数据到远程应用”或将“远程应用数据复制到客户端”</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889" w:type="dxa"/>
            <w:vMerge w:val="continue"/>
            <w:vAlign w:val="center"/>
          </w:tcPr>
          <w:p>
            <w:pPr>
              <w:jc w:val="left"/>
              <w:rPr>
                <w:rFonts w:hint="eastAsia" w:ascii="宋体" w:hAnsi="宋体" w:eastAsia="宋体" w:cs="宋体"/>
                <w:b/>
                <w:color w:val="auto"/>
                <w:kern w:val="0"/>
                <w:sz w:val="21"/>
                <w:szCs w:val="21"/>
                <w:highlight w:val="none"/>
              </w:rPr>
            </w:pPr>
          </w:p>
        </w:tc>
        <w:tc>
          <w:tcPr>
            <w:tcW w:w="7547" w:type="dxa"/>
            <w:vAlign w:val="top"/>
          </w:tcPr>
          <w:p>
            <w:pPr>
              <w:widowControl/>
              <w:numPr>
                <w:ilvl w:val="0"/>
                <w:numId w:val="0"/>
              </w:numPr>
              <w:ind w:left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产品必须有较好的易用性体验： </w:t>
            </w:r>
          </w:p>
          <w:p>
            <w:pPr>
              <w:widowControl/>
              <w:numPr>
                <w:ilvl w:val="0"/>
                <w:numId w:val="19"/>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包括图像清晰，支持图像质量可调，包括可以调整图像显示质量，图像颜色质量，可根据当前系统分辨率自动调整图像分辨率；</w:t>
            </w:r>
          </w:p>
          <w:p>
            <w:pPr>
              <w:widowControl/>
              <w:numPr>
                <w:ilvl w:val="0"/>
                <w:numId w:val="19"/>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支持远程播放视频、声音；</w:t>
            </w:r>
          </w:p>
          <w:p>
            <w:pPr>
              <w:widowControl/>
              <w:numPr>
                <w:ilvl w:val="0"/>
                <w:numId w:val="19"/>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支持远程应用使用本地输入法；支持本地输入法和远程服务器输入法可切换，在小屏幕或网络带宽差的情况下，支持在本地先批量输入文字再点击发送，避免零散数据在广域网上的频繁交互；</w:t>
            </w:r>
          </w:p>
          <w:p>
            <w:pPr>
              <w:widowControl/>
              <w:numPr>
                <w:ilvl w:val="0"/>
                <w:numId w:val="19"/>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支持一次滚屏多行； </w:t>
            </w:r>
          </w:p>
          <w:p>
            <w:pPr>
              <w:widowControl/>
              <w:numPr>
                <w:ilvl w:val="0"/>
                <w:numId w:val="19"/>
              </w:numPr>
              <w:ind w:left="425" w:leftChars="0" w:hanging="425" w:firstLineChars="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远程应用发布支持</w:t>
            </w:r>
            <w:r>
              <w:rPr>
                <w:rFonts w:hint="eastAsia" w:ascii="宋体" w:hAnsi="宋体" w:eastAsia="宋体" w:cs="宋体"/>
                <w:color w:val="auto"/>
                <w:sz w:val="21"/>
                <w:szCs w:val="21"/>
                <w:highlight w:val="none"/>
              </w:rPr>
              <w:t>会话保持技术，避免网络异常中断导致会话中断；</w:t>
            </w:r>
          </w:p>
          <w:p>
            <w:pPr>
              <w:widowControl/>
              <w:numPr>
                <w:ilvl w:val="0"/>
                <w:numId w:val="19"/>
              </w:numPr>
              <w:ind w:left="425" w:leftChars="0" w:hanging="425" w:firstLineChars="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远程应用发布支持</w:t>
            </w:r>
            <w:r>
              <w:rPr>
                <w:rFonts w:hint="eastAsia" w:ascii="宋体" w:hAnsi="宋体" w:eastAsia="宋体" w:cs="宋体"/>
                <w:color w:val="auto"/>
                <w:sz w:val="21"/>
                <w:szCs w:val="21"/>
                <w:highlight w:val="none"/>
              </w:rPr>
              <w:t>远程应用发布支持重力感应转屏，可实现自动转屏和手动转屏；</w:t>
            </w:r>
          </w:p>
          <w:p>
            <w:pPr>
              <w:widowControl/>
              <w:numPr>
                <w:ilvl w:val="0"/>
                <w:numId w:val="19"/>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支持windows快捷键组合，必须支持Windows常用30种以上快捷键组合，支持自动记录快捷键使用频度；</w:t>
            </w:r>
          </w:p>
          <w:p>
            <w:pPr>
              <w:widowControl/>
              <w:numPr>
                <w:ilvl w:val="0"/>
                <w:numId w:val="19"/>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产品必须支持存储服务器的管理；必须针对每个用户提供独立的个人目录；</w:t>
            </w:r>
          </w:p>
          <w:p>
            <w:pPr>
              <w:widowControl/>
              <w:numPr>
                <w:ilvl w:val="0"/>
                <w:numId w:val="19"/>
              </w:numPr>
              <w:ind w:left="425" w:leftChars="0" w:hanging="425" w:firstLineChars="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操作方式支持鼠标指针、放大镜指针、模拟键盘、滚动条、程序列表、主页切换窗口等；</w:t>
            </w:r>
          </w:p>
          <w:p>
            <w:pPr>
              <w:widowControl/>
              <w:numPr>
                <w:ilvl w:val="0"/>
                <w:numId w:val="19"/>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远程应用发布客户端应支持IOS图标发布资源</w:t>
            </w:r>
            <w:r>
              <w:rPr>
                <w:rFonts w:hint="eastAsia" w:ascii="宋体" w:hAnsi="宋体" w:eastAsia="宋体" w:cs="宋体"/>
                <w:color w:val="auto"/>
                <w:kern w:val="0"/>
                <w:sz w:val="21"/>
                <w:szCs w:val="21"/>
                <w:highlight w:val="none"/>
                <w:lang w:eastAsia="zh-CN"/>
              </w:rPr>
              <w:t>；</w:t>
            </w:r>
          </w:p>
          <w:p>
            <w:pPr>
              <w:widowControl/>
              <w:numPr>
                <w:ilvl w:val="0"/>
                <w:numId w:val="19"/>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远程应用发布应该支持云存储，能够将手机、PAD、PC电脑中的文档、照片等上传到云端，或下载到本地终端。并实现基本的复制、剪切、粘贴、新建、重命名等操作</w:t>
            </w:r>
            <w:r>
              <w:rPr>
                <w:rFonts w:hint="eastAsia" w:ascii="宋体" w:hAnsi="宋体" w:eastAsia="宋体" w:cs="宋体"/>
                <w:color w:val="auto"/>
                <w:kern w:val="0"/>
                <w:sz w:val="21"/>
                <w:szCs w:val="21"/>
                <w:highlight w:val="none"/>
                <w:lang w:eastAsia="zh-CN"/>
              </w:rPr>
              <w:t>；</w:t>
            </w:r>
          </w:p>
          <w:p>
            <w:pPr>
              <w:widowControl/>
              <w:numPr>
                <w:ilvl w:val="0"/>
                <w:numId w:val="19"/>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远程应用发布能够支持直接调用手机或PAD摄像头，实现拍照。或访问本地照片库，调用已拍的照片</w:t>
            </w:r>
            <w:r>
              <w:rPr>
                <w:rFonts w:hint="eastAsia" w:ascii="宋体" w:hAnsi="宋体" w:eastAsia="宋体" w:cs="宋体"/>
                <w:color w:val="auto"/>
                <w:kern w:val="0"/>
                <w:sz w:val="21"/>
                <w:szCs w:val="21"/>
                <w:highlight w:val="none"/>
                <w:lang w:eastAsia="zh-CN"/>
              </w:rPr>
              <w:t>；</w:t>
            </w:r>
          </w:p>
          <w:p>
            <w:pPr>
              <w:widowControl/>
              <w:numPr>
                <w:ilvl w:val="0"/>
                <w:numId w:val="19"/>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支持自定义Easyconnect客户端登陆界面</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6" w:hRule="atLeast"/>
        </w:trPr>
        <w:tc>
          <w:tcPr>
            <w:tcW w:w="889" w:type="dxa"/>
            <w:vMerge w:val="continue"/>
            <w:vAlign w:val="center"/>
          </w:tcPr>
          <w:p>
            <w:pPr>
              <w:jc w:val="left"/>
              <w:rPr>
                <w:rFonts w:hint="eastAsia" w:ascii="宋体" w:hAnsi="宋体" w:eastAsia="宋体" w:cs="宋体"/>
                <w:b/>
                <w:color w:val="auto"/>
                <w:kern w:val="0"/>
                <w:sz w:val="21"/>
                <w:szCs w:val="21"/>
                <w:highlight w:val="none"/>
              </w:rPr>
            </w:pPr>
          </w:p>
        </w:tc>
        <w:tc>
          <w:tcPr>
            <w:tcW w:w="7547" w:type="dxa"/>
            <w:vAlign w:val="top"/>
          </w:tcPr>
          <w:p>
            <w:pPr>
              <w:widowControl/>
              <w:numPr>
                <w:ilvl w:val="0"/>
                <w:numId w:val="19"/>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产品必须支持对终端服务器的实时监测，包括服务器综合状态、CPU使用率、内存使用率、磁盘I/O、远程应用会话数、服务器当前会话数</w:t>
            </w:r>
            <w:r>
              <w:rPr>
                <w:rFonts w:hint="eastAsia" w:ascii="宋体" w:hAnsi="宋体" w:eastAsia="宋体" w:cs="宋体"/>
                <w:color w:val="auto"/>
                <w:kern w:val="0"/>
                <w:sz w:val="21"/>
                <w:szCs w:val="21"/>
                <w:highlight w:val="none"/>
                <w:lang w:eastAsia="zh-CN"/>
              </w:rPr>
              <w:t>；</w:t>
            </w:r>
          </w:p>
          <w:p>
            <w:pPr>
              <w:widowControl/>
              <w:numPr>
                <w:ilvl w:val="0"/>
                <w:numId w:val="19"/>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产品必须支持会话复用功能，即当存在多台终端发布服务器且未设置集中存储时时，同一用户的同一会话必须始终发布到同一终端服务器</w:t>
            </w:r>
            <w:r>
              <w:rPr>
                <w:rFonts w:hint="eastAsia" w:ascii="宋体" w:hAnsi="宋体" w:eastAsia="宋体" w:cs="宋体"/>
                <w:color w:val="auto"/>
                <w:kern w:val="0"/>
                <w:sz w:val="21"/>
                <w:szCs w:val="21"/>
                <w:highlight w:val="none"/>
                <w:lang w:eastAsia="zh-CN"/>
              </w:rPr>
              <w:t>；</w:t>
            </w:r>
          </w:p>
          <w:p>
            <w:pPr>
              <w:widowControl/>
              <w:numPr>
                <w:ilvl w:val="0"/>
                <w:numId w:val="19"/>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远程应用发布必须支持负载均衡策略，即当存在多台终端发布服务器时，可以根据服务器可用会话数、CPU、内存、I/O、综合性能等指标，智能的将用户分配到不同的终端服务器</w:t>
            </w:r>
            <w:r>
              <w:rPr>
                <w:rFonts w:hint="eastAsia" w:ascii="宋体" w:hAnsi="宋体" w:eastAsia="宋体" w:cs="宋体"/>
                <w:color w:val="auto"/>
                <w:kern w:val="0"/>
                <w:sz w:val="21"/>
                <w:szCs w:val="21"/>
                <w:highlight w:val="none"/>
                <w:lang w:eastAsia="zh-CN"/>
              </w:rPr>
              <w:t>；</w:t>
            </w:r>
          </w:p>
          <w:p>
            <w:pPr>
              <w:widowControl/>
              <w:numPr>
                <w:ilvl w:val="0"/>
                <w:numId w:val="19"/>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cs="宋体"/>
                <w:color w:val="auto"/>
                <w:kern w:val="0"/>
                <w:szCs w:val="21"/>
                <w:highlight w:val="none"/>
              </w:rPr>
              <w:t>▲</w:t>
            </w:r>
            <w:r>
              <w:rPr>
                <w:rFonts w:hint="eastAsia" w:ascii="宋体" w:hAnsi="宋体" w:eastAsia="宋体" w:cs="宋体"/>
                <w:color w:val="auto"/>
                <w:kern w:val="0"/>
                <w:sz w:val="21"/>
                <w:szCs w:val="21"/>
                <w:highlight w:val="none"/>
              </w:rPr>
              <w:t>产品应该支持企业级“云盘”（又名“网盘”、“文件共享”）功能，即可以通过手机、PC、IPAD的客户端，将数据、文件同步到云端或和分享到终端</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也能够能够支持分享给他人</w:t>
            </w:r>
            <w:r>
              <w:rPr>
                <w:rFonts w:hint="eastAsia" w:ascii="宋体" w:hAnsi="宋体" w:eastAsia="宋体" w:cs="宋体"/>
                <w:color w:val="auto"/>
                <w:kern w:val="0"/>
                <w:sz w:val="21"/>
                <w:szCs w:val="21"/>
                <w:highlight w:val="none"/>
                <w:lang w:eastAsia="zh-CN"/>
              </w:rPr>
              <w:t>；</w:t>
            </w:r>
          </w:p>
          <w:p>
            <w:pPr>
              <w:widowControl/>
              <w:numPr>
                <w:ilvl w:val="0"/>
                <w:numId w:val="19"/>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远程应用发布必须支持应用权限控制项，不得通过远程应用访问任何未经授权的windows资源，至少应该包括：未经授权的应用程序、注册表、任务管理器、资源管理器、控制面板、cmd命令提示行、Win+R运行命令行、管理选型、映射网络驱动器选型、断开网络驱动器选型、回收站、网上邻居等。并支持隐藏本地原有磁盘，仅提供公共磁盘</w:t>
            </w:r>
            <w:r>
              <w:rPr>
                <w:rFonts w:hint="eastAsia" w:ascii="宋体" w:hAnsi="宋体" w:eastAsia="宋体" w:cs="宋体"/>
                <w:color w:val="auto"/>
                <w:kern w:val="0"/>
                <w:sz w:val="21"/>
                <w:szCs w:val="21"/>
                <w:highlight w:val="none"/>
                <w:lang w:eastAsia="zh-CN"/>
              </w:rPr>
              <w:t>；</w:t>
            </w:r>
          </w:p>
          <w:p>
            <w:pPr>
              <w:widowControl/>
              <w:numPr>
                <w:ilvl w:val="0"/>
                <w:numId w:val="19"/>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cs="宋体"/>
                <w:color w:val="auto"/>
                <w:kern w:val="0"/>
                <w:szCs w:val="21"/>
                <w:highlight w:val="none"/>
              </w:rPr>
              <w:t>▲</w:t>
            </w:r>
            <w:r>
              <w:rPr>
                <w:rFonts w:hint="eastAsia" w:ascii="宋体" w:hAnsi="宋体" w:eastAsia="宋体" w:cs="宋体"/>
                <w:color w:val="auto"/>
                <w:kern w:val="0"/>
                <w:sz w:val="21"/>
                <w:szCs w:val="21"/>
                <w:highlight w:val="none"/>
              </w:rPr>
              <w:t>远程应用发布数据传输过程中使用SSLVPN协议加密，保证了数据传输的合法性和安全性；</w:t>
            </w:r>
          </w:p>
          <w:p>
            <w:pPr>
              <w:widowControl/>
              <w:numPr>
                <w:ilvl w:val="0"/>
                <w:numId w:val="19"/>
              </w:numPr>
              <w:ind w:left="425" w:leftChars="0" w:hanging="425" w:firstLineChars="0"/>
              <w:jc w:val="left"/>
              <w:rPr>
                <w:rFonts w:hint="eastAsia" w:ascii="宋体" w:hAnsi="宋体" w:eastAsia="宋体" w:cs="宋体"/>
                <w:color w:val="auto"/>
                <w:kern w:val="0"/>
                <w:sz w:val="21"/>
                <w:szCs w:val="21"/>
                <w:highlight w:val="none"/>
              </w:rPr>
            </w:pPr>
            <w:r>
              <w:rPr>
                <w:rFonts w:hint="eastAsia" w:ascii="宋体" w:hAnsi="宋体" w:cs="宋体"/>
                <w:color w:val="auto"/>
                <w:kern w:val="0"/>
                <w:szCs w:val="21"/>
                <w:highlight w:val="none"/>
              </w:rPr>
              <w:t>▲</w:t>
            </w:r>
            <w:r>
              <w:rPr>
                <w:rFonts w:hint="eastAsia" w:ascii="宋体" w:hAnsi="宋体" w:eastAsia="宋体" w:cs="宋体"/>
                <w:color w:val="auto"/>
                <w:kern w:val="0"/>
                <w:sz w:val="21"/>
                <w:szCs w:val="21"/>
                <w:highlight w:val="none"/>
              </w:rPr>
              <w:t>支持改写WindowsRDP协议，经改写的协议必须独立于OS运行环境，避免跨平台兼容性，针对图像数据，服务端必须支持有损压缩算法；服务端必须能够支持过滤动态内容（gif/flash/video）以减少传输流量，且根据客户需要配置。（必须提供配置界面截图</w:t>
            </w:r>
            <w:r>
              <w:rPr>
                <w:rFonts w:hint="eastAsia" w:ascii="宋体" w:hAnsi="宋体" w:eastAsia="宋体" w:cs="宋体"/>
                <w:color w:val="auto"/>
                <w:kern w:val="0"/>
                <w:sz w:val="21"/>
                <w:szCs w:val="21"/>
                <w:highlight w:val="none"/>
                <w:lang w:eastAsia="zh-CN"/>
              </w:rPr>
              <w:t>作为证明文件</w:t>
            </w:r>
            <w:r>
              <w:rPr>
                <w:rFonts w:hint="eastAsia" w:ascii="宋体" w:hAnsi="宋体" w:eastAsia="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89" w:type="dxa"/>
            <w:vAlign w:val="center"/>
          </w:tcPr>
          <w:p>
            <w:pPr>
              <w:widowControl/>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防火墙</w:t>
            </w:r>
          </w:p>
        </w:tc>
        <w:tc>
          <w:tcPr>
            <w:tcW w:w="7547" w:type="dxa"/>
            <w:vAlign w:val="top"/>
          </w:tcPr>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产品应具备基于状态监测技术的防火墙功能，能够抵抗常见的网络攻击，能够进行包过滤或WAN、LAN、DMZ口之间访问控制；为了避免人为配置错误，产品必须支持对防火墙的过滤规则能够进行在线虚拟测试。 </w:t>
            </w:r>
          </w:p>
        </w:tc>
      </w:tr>
    </w:tbl>
    <w:p>
      <w:pPr>
        <w:pStyle w:val="4"/>
        <w:spacing w:after="0" w:afterLines="0"/>
        <w:ind w:lef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8、大幅面扫描仪</w:t>
      </w:r>
    </w:p>
    <w:tbl>
      <w:tblPr>
        <w:tblStyle w:val="17"/>
        <w:tblW w:w="8403"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2" w:hRule="atLeast"/>
        </w:trPr>
        <w:tc>
          <w:tcPr>
            <w:tcW w:w="1832" w:type="dxa"/>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产品名称</w:t>
            </w:r>
          </w:p>
        </w:tc>
        <w:tc>
          <w:tcPr>
            <w:tcW w:w="6571" w:type="dxa"/>
            <w:vAlign w:val="top"/>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32"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大幅面图纸工程扫描仪</w:t>
            </w:r>
          </w:p>
        </w:tc>
        <w:tc>
          <w:tcPr>
            <w:tcW w:w="6571" w:type="dxa"/>
            <w:vAlign w:val="top"/>
          </w:tcPr>
          <w:p>
            <w:pPr>
              <w:numPr>
                <w:ilvl w:val="0"/>
                <w:numId w:val="20"/>
              </w:numPr>
              <w:rPr>
                <w:rStyle w:val="19"/>
                <w:rFonts w:hint="eastAsia" w:ascii="宋体" w:hAnsi="宋体" w:eastAsia="宋体" w:cs="宋体"/>
                <w:color w:val="auto"/>
                <w:sz w:val="21"/>
                <w:szCs w:val="21"/>
                <w:highlight w:val="none"/>
              </w:rPr>
            </w:pPr>
            <w:r>
              <w:rPr>
                <w:rStyle w:val="19"/>
                <w:rFonts w:hint="eastAsia" w:ascii="宋体" w:hAnsi="宋体" w:eastAsia="宋体" w:cs="宋体"/>
                <w:color w:val="auto"/>
                <w:sz w:val="21"/>
                <w:szCs w:val="21"/>
                <w:highlight w:val="none"/>
              </w:rPr>
              <w:t>光学分辨率：1200 dpi * 1200 dpi</w:t>
            </w:r>
          </w:p>
          <w:p>
            <w:pPr>
              <w:numPr>
                <w:ilvl w:val="0"/>
                <w:numId w:val="20"/>
              </w:numPr>
              <w:rPr>
                <w:rStyle w:val="19"/>
                <w:rFonts w:hint="eastAsia" w:ascii="宋体" w:hAnsi="宋体" w:eastAsia="宋体" w:cs="宋体"/>
                <w:color w:val="auto"/>
                <w:sz w:val="21"/>
                <w:szCs w:val="21"/>
                <w:highlight w:val="none"/>
              </w:rPr>
            </w:pPr>
            <w:r>
              <w:rPr>
                <w:rStyle w:val="19"/>
                <w:rFonts w:hint="eastAsia" w:ascii="宋体" w:hAnsi="宋体" w:eastAsia="宋体" w:cs="宋体"/>
                <w:color w:val="auto"/>
                <w:sz w:val="21"/>
                <w:szCs w:val="21"/>
                <w:highlight w:val="none"/>
              </w:rPr>
              <w:t>扩展分辨率：线性插值从100至9600dpi 最小精确度到1dpi</w:t>
            </w:r>
          </w:p>
          <w:p>
            <w:pPr>
              <w:numPr>
                <w:ilvl w:val="0"/>
                <w:numId w:val="20"/>
              </w:numPr>
              <w:rPr>
                <w:rStyle w:val="19"/>
                <w:rFonts w:hint="eastAsia" w:ascii="宋体" w:hAnsi="宋体" w:eastAsia="宋体" w:cs="宋体"/>
                <w:color w:val="auto"/>
                <w:sz w:val="21"/>
                <w:szCs w:val="21"/>
                <w:highlight w:val="none"/>
              </w:rPr>
            </w:pPr>
            <w:r>
              <w:rPr>
                <w:rStyle w:val="19"/>
                <w:rFonts w:hint="eastAsia" w:ascii="宋体" w:hAnsi="宋体" w:eastAsia="宋体" w:cs="宋体"/>
                <w:color w:val="auto"/>
                <w:sz w:val="21"/>
                <w:szCs w:val="21"/>
                <w:highlight w:val="none"/>
              </w:rPr>
              <w:t>最大扫描宽度：36英寸 (91.4厘米)</w:t>
            </w:r>
          </w:p>
          <w:p>
            <w:pPr>
              <w:numPr>
                <w:ilvl w:val="0"/>
                <w:numId w:val="20"/>
              </w:numPr>
              <w:rPr>
                <w:rStyle w:val="19"/>
                <w:rFonts w:hint="eastAsia" w:ascii="宋体" w:hAnsi="宋体" w:eastAsia="宋体" w:cs="宋体"/>
                <w:color w:val="auto"/>
                <w:sz w:val="21"/>
                <w:szCs w:val="21"/>
                <w:highlight w:val="none"/>
              </w:rPr>
            </w:pPr>
            <w:r>
              <w:rPr>
                <w:rStyle w:val="19"/>
                <w:rFonts w:hint="eastAsia" w:ascii="宋体" w:hAnsi="宋体" w:eastAsia="宋体" w:cs="宋体"/>
                <w:color w:val="auto"/>
                <w:sz w:val="21"/>
                <w:szCs w:val="21"/>
                <w:highlight w:val="none"/>
              </w:rPr>
              <w:t>最大进纸宽度：38英寸 (96.5厘米)</w:t>
            </w:r>
          </w:p>
          <w:p>
            <w:pPr>
              <w:numPr>
                <w:ilvl w:val="0"/>
                <w:numId w:val="20"/>
              </w:numPr>
              <w:rPr>
                <w:rStyle w:val="19"/>
                <w:rFonts w:hint="eastAsia" w:ascii="宋体" w:hAnsi="宋体" w:eastAsia="宋体" w:cs="宋体"/>
                <w:color w:val="auto"/>
                <w:sz w:val="21"/>
                <w:szCs w:val="21"/>
                <w:highlight w:val="none"/>
              </w:rPr>
            </w:pPr>
            <w:r>
              <w:rPr>
                <w:rStyle w:val="19"/>
                <w:rFonts w:hint="eastAsia" w:ascii="宋体" w:hAnsi="宋体" w:eastAsia="宋体" w:cs="宋体"/>
                <w:color w:val="auto"/>
                <w:sz w:val="21"/>
                <w:szCs w:val="21"/>
                <w:highlight w:val="none"/>
              </w:rPr>
              <w:t>最大扫描厚度：2.0毫米</w:t>
            </w:r>
          </w:p>
          <w:p>
            <w:pPr>
              <w:numPr>
                <w:ilvl w:val="0"/>
                <w:numId w:val="20"/>
              </w:numPr>
              <w:rPr>
                <w:rStyle w:val="19"/>
                <w:rFonts w:hint="eastAsia" w:ascii="宋体" w:hAnsi="宋体" w:eastAsia="宋体" w:cs="宋体"/>
                <w:color w:val="auto"/>
                <w:sz w:val="21"/>
                <w:szCs w:val="21"/>
                <w:highlight w:val="none"/>
              </w:rPr>
            </w:pPr>
            <w:r>
              <w:rPr>
                <w:rFonts w:hint="eastAsia" w:ascii="宋体"/>
                <w:b/>
                <w:bCs/>
                <w:color w:val="auto"/>
                <w:szCs w:val="20"/>
                <w:highlight w:val="none"/>
                <w:u w:val="none"/>
              </w:rPr>
              <w:t>▲</w:t>
            </w:r>
            <w:r>
              <w:rPr>
                <w:rStyle w:val="19"/>
                <w:rFonts w:hint="eastAsia" w:ascii="宋体" w:hAnsi="宋体" w:eastAsia="宋体" w:cs="宋体"/>
                <w:color w:val="auto"/>
                <w:sz w:val="21"/>
                <w:szCs w:val="21"/>
                <w:highlight w:val="none"/>
              </w:rPr>
              <w:t>扫描速度:</w:t>
            </w:r>
          </w:p>
          <w:p>
            <w:pPr>
              <w:ind w:left="420"/>
              <w:rPr>
                <w:rStyle w:val="19"/>
                <w:rFonts w:hint="eastAsia" w:ascii="宋体" w:hAnsi="宋体" w:eastAsia="宋体" w:cs="宋体"/>
                <w:color w:val="auto"/>
                <w:sz w:val="21"/>
                <w:szCs w:val="21"/>
                <w:highlight w:val="none"/>
              </w:rPr>
            </w:pPr>
            <w:r>
              <w:rPr>
                <w:rStyle w:val="19"/>
                <w:rFonts w:hint="eastAsia" w:ascii="宋体" w:hAnsi="宋体" w:eastAsia="宋体" w:cs="宋体"/>
                <w:color w:val="auto"/>
                <w:sz w:val="21"/>
                <w:szCs w:val="21"/>
                <w:highlight w:val="none"/>
              </w:rPr>
              <w:t>8位灰度&amp; mono @200dpi/秒</w:t>
            </w:r>
            <w:r>
              <w:rPr>
                <w:rStyle w:val="19"/>
                <w:rFonts w:hint="eastAsia" w:ascii="宋体" w:hAnsi="宋体" w:eastAsia="宋体" w:cs="宋体"/>
                <w:color w:val="auto"/>
                <w:sz w:val="21"/>
                <w:szCs w:val="21"/>
                <w:highlight w:val="none"/>
              </w:rPr>
              <w:tab/>
            </w:r>
            <w:r>
              <w:rPr>
                <w:rStyle w:val="19"/>
                <w:rFonts w:hint="eastAsia" w:ascii="宋体" w:hAnsi="宋体" w:eastAsia="宋体" w:cs="宋体"/>
                <w:color w:val="auto"/>
                <w:sz w:val="21"/>
                <w:szCs w:val="21"/>
                <w:highlight w:val="none"/>
              </w:rPr>
              <w:t>36.67厘米/秒 =10.7米/分钟</w:t>
            </w:r>
          </w:p>
          <w:p>
            <w:pPr>
              <w:ind w:left="420"/>
              <w:rPr>
                <w:rStyle w:val="19"/>
                <w:rFonts w:hint="eastAsia" w:ascii="宋体" w:hAnsi="宋体" w:eastAsia="宋体" w:cs="宋体"/>
                <w:color w:val="auto"/>
                <w:sz w:val="21"/>
                <w:szCs w:val="21"/>
                <w:highlight w:val="none"/>
              </w:rPr>
            </w:pPr>
            <w:r>
              <w:rPr>
                <w:rStyle w:val="19"/>
                <w:rFonts w:hint="eastAsia" w:ascii="宋体" w:hAnsi="宋体" w:eastAsia="宋体" w:cs="宋体"/>
                <w:color w:val="auto"/>
                <w:sz w:val="21"/>
                <w:szCs w:val="21"/>
                <w:highlight w:val="none"/>
              </w:rPr>
              <w:t>24位彩色 @200dpi/秒</w:t>
            </w:r>
            <w:r>
              <w:rPr>
                <w:rStyle w:val="19"/>
                <w:rFonts w:hint="eastAsia" w:ascii="宋体" w:hAnsi="宋体" w:eastAsia="宋体" w:cs="宋体"/>
                <w:color w:val="auto"/>
                <w:sz w:val="21"/>
                <w:szCs w:val="21"/>
                <w:highlight w:val="none"/>
              </w:rPr>
              <w:tab/>
            </w:r>
            <w:r>
              <w:rPr>
                <w:rStyle w:val="19"/>
                <w:rFonts w:hint="eastAsia" w:ascii="宋体" w:hAnsi="宋体" w:eastAsia="宋体" w:cs="宋体"/>
                <w:color w:val="auto"/>
                <w:sz w:val="21"/>
                <w:szCs w:val="21"/>
                <w:highlight w:val="none"/>
              </w:rPr>
              <w:t xml:space="preserve"> 17.78厘米/秒 =22米/分钟</w:t>
            </w:r>
          </w:p>
          <w:p>
            <w:pPr>
              <w:numPr>
                <w:ilvl w:val="0"/>
                <w:numId w:val="20"/>
              </w:numPr>
              <w:rPr>
                <w:rStyle w:val="19"/>
                <w:rFonts w:hint="eastAsia" w:ascii="宋体" w:hAnsi="宋体" w:eastAsia="宋体" w:cs="宋体"/>
                <w:color w:val="auto"/>
                <w:sz w:val="21"/>
                <w:szCs w:val="21"/>
                <w:highlight w:val="none"/>
              </w:rPr>
            </w:pPr>
            <w:r>
              <w:rPr>
                <w:rStyle w:val="19"/>
                <w:rFonts w:hint="eastAsia" w:ascii="宋体" w:hAnsi="宋体" w:eastAsia="宋体" w:cs="宋体"/>
                <w:color w:val="auto"/>
                <w:sz w:val="21"/>
                <w:szCs w:val="21"/>
                <w:highlight w:val="none"/>
              </w:rPr>
              <w:t>扫描误差：+/-0.1%+/-1像素</w:t>
            </w:r>
          </w:p>
          <w:p>
            <w:pPr>
              <w:numPr>
                <w:ilvl w:val="0"/>
                <w:numId w:val="20"/>
              </w:numPr>
              <w:rPr>
                <w:rStyle w:val="19"/>
                <w:rFonts w:hint="eastAsia" w:ascii="宋体" w:hAnsi="宋体" w:eastAsia="宋体" w:cs="宋体"/>
                <w:color w:val="auto"/>
                <w:sz w:val="21"/>
                <w:szCs w:val="21"/>
                <w:highlight w:val="none"/>
              </w:rPr>
            </w:pPr>
            <w:r>
              <w:rPr>
                <w:rFonts w:hint="eastAsia" w:ascii="宋体"/>
                <w:b/>
                <w:bCs/>
                <w:color w:val="auto"/>
                <w:szCs w:val="20"/>
                <w:highlight w:val="none"/>
                <w:u w:val="none"/>
              </w:rPr>
              <w:t>▲</w:t>
            </w:r>
            <w:r>
              <w:rPr>
                <w:rStyle w:val="19"/>
                <w:rFonts w:hint="eastAsia" w:ascii="宋体" w:hAnsi="宋体" w:eastAsia="宋体" w:cs="宋体"/>
                <w:color w:val="auto"/>
                <w:sz w:val="21"/>
                <w:szCs w:val="21"/>
                <w:highlight w:val="none"/>
              </w:rPr>
              <w:t>成像技术：单一扫描头数字成像技术（CIS），单一是整体连接的图像传感器</w:t>
            </w:r>
          </w:p>
          <w:p>
            <w:pPr>
              <w:numPr>
                <w:ilvl w:val="0"/>
                <w:numId w:val="20"/>
              </w:numPr>
              <w:rPr>
                <w:rStyle w:val="19"/>
                <w:rFonts w:hint="eastAsia" w:ascii="宋体" w:hAnsi="宋体" w:eastAsia="宋体" w:cs="宋体"/>
                <w:color w:val="auto"/>
                <w:sz w:val="21"/>
                <w:szCs w:val="21"/>
                <w:highlight w:val="none"/>
              </w:rPr>
            </w:pPr>
            <w:r>
              <w:rPr>
                <w:rFonts w:hint="eastAsia" w:ascii="宋体"/>
                <w:b/>
                <w:bCs/>
                <w:color w:val="auto"/>
                <w:szCs w:val="20"/>
                <w:highlight w:val="none"/>
                <w:u w:val="none"/>
              </w:rPr>
              <w:t>▲</w:t>
            </w:r>
            <w:r>
              <w:rPr>
                <w:rStyle w:val="19"/>
                <w:rFonts w:hint="eastAsia" w:ascii="宋体" w:hAnsi="宋体" w:eastAsia="宋体" w:cs="宋体"/>
                <w:color w:val="auto"/>
                <w:sz w:val="21"/>
                <w:szCs w:val="21"/>
                <w:highlight w:val="none"/>
              </w:rPr>
              <w:t>光源系统：双向长寿命LED照明灯照明系统最有效优化并支持瞬动扫描功能</w:t>
            </w:r>
          </w:p>
          <w:p>
            <w:pPr>
              <w:numPr>
                <w:ilvl w:val="0"/>
                <w:numId w:val="20"/>
              </w:numPr>
              <w:rPr>
                <w:rStyle w:val="19"/>
                <w:rFonts w:hint="eastAsia" w:ascii="宋体" w:hAnsi="宋体" w:eastAsia="宋体" w:cs="宋体"/>
                <w:color w:val="auto"/>
                <w:sz w:val="21"/>
                <w:szCs w:val="21"/>
                <w:highlight w:val="none"/>
              </w:rPr>
            </w:pPr>
            <w:r>
              <w:rPr>
                <w:rStyle w:val="19"/>
                <w:rFonts w:hint="eastAsia" w:ascii="宋体" w:hAnsi="宋体" w:eastAsia="宋体" w:cs="宋体"/>
                <w:color w:val="auto"/>
                <w:sz w:val="21"/>
                <w:szCs w:val="21"/>
                <w:highlight w:val="none"/>
              </w:rPr>
              <w:t>图像处理：黑色和白色(全色全谱)16位灰度图像捕捉的48位主要点彩色图像捕捉</w:t>
            </w:r>
          </w:p>
          <w:p>
            <w:pPr>
              <w:numPr>
                <w:ilvl w:val="0"/>
                <w:numId w:val="20"/>
              </w:numPr>
              <w:rPr>
                <w:rStyle w:val="19"/>
                <w:rFonts w:hint="eastAsia" w:ascii="宋体" w:hAnsi="宋体" w:eastAsia="宋体" w:cs="宋体"/>
                <w:color w:val="auto"/>
                <w:sz w:val="21"/>
                <w:szCs w:val="21"/>
                <w:highlight w:val="none"/>
              </w:rPr>
            </w:pPr>
            <w:r>
              <w:rPr>
                <w:rStyle w:val="19"/>
                <w:rFonts w:hint="eastAsia" w:ascii="宋体" w:hAnsi="宋体" w:eastAsia="宋体" w:cs="宋体"/>
                <w:color w:val="auto"/>
                <w:sz w:val="21"/>
                <w:szCs w:val="21"/>
                <w:highlight w:val="none"/>
              </w:rPr>
              <w:t>数据捕获（彩色/灰度）：48-bit / 16-bit</w:t>
            </w:r>
          </w:p>
          <w:p>
            <w:pPr>
              <w:numPr>
                <w:ilvl w:val="0"/>
                <w:numId w:val="20"/>
              </w:numPr>
              <w:rPr>
                <w:rStyle w:val="19"/>
                <w:rFonts w:hint="eastAsia" w:ascii="宋体" w:hAnsi="宋体" w:eastAsia="宋体" w:cs="宋体"/>
                <w:color w:val="auto"/>
                <w:sz w:val="21"/>
                <w:szCs w:val="21"/>
                <w:highlight w:val="none"/>
              </w:rPr>
            </w:pPr>
            <w:r>
              <w:rPr>
                <w:rStyle w:val="19"/>
                <w:rFonts w:hint="eastAsia" w:ascii="宋体" w:hAnsi="宋体" w:eastAsia="宋体" w:cs="宋体"/>
                <w:color w:val="auto"/>
                <w:sz w:val="21"/>
                <w:szCs w:val="21"/>
                <w:highlight w:val="none"/>
              </w:rPr>
              <w:t>色彩空间：</w:t>
            </w:r>
            <w:r>
              <w:rPr>
                <w:rFonts w:hint="eastAsia" w:ascii="宋体" w:hAnsi="宋体" w:eastAsia="宋体" w:cs="宋体"/>
                <w:color w:val="auto"/>
                <w:kern w:val="0"/>
                <w:sz w:val="21"/>
                <w:szCs w:val="21"/>
                <w:highlight w:val="none"/>
              </w:rPr>
              <w:t>sRGB、RGB、RAW RGB、profile RGB，支持全域色彩空间</w:t>
            </w:r>
            <w:r>
              <w:rPr>
                <w:rStyle w:val="19"/>
                <w:rFonts w:hint="eastAsia" w:ascii="宋体" w:hAnsi="宋体" w:eastAsia="宋体" w:cs="宋体"/>
                <w:color w:val="auto"/>
                <w:sz w:val="21"/>
                <w:szCs w:val="21"/>
                <w:highlight w:val="none"/>
              </w:rPr>
              <w:t>。</w:t>
            </w:r>
          </w:p>
          <w:p>
            <w:pPr>
              <w:numPr>
                <w:ilvl w:val="0"/>
                <w:numId w:val="20"/>
              </w:numPr>
              <w:rPr>
                <w:rStyle w:val="19"/>
                <w:rFonts w:hint="eastAsia" w:ascii="宋体" w:hAnsi="宋体" w:eastAsia="宋体" w:cs="宋体"/>
                <w:color w:val="auto"/>
                <w:sz w:val="21"/>
                <w:szCs w:val="21"/>
                <w:highlight w:val="none"/>
              </w:rPr>
            </w:pPr>
            <w:r>
              <w:rPr>
                <w:rFonts w:hint="eastAsia" w:ascii="宋体"/>
                <w:b/>
                <w:bCs/>
                <w:color w:val="auto"/>
                <w:szCs w:val="20"/>
                <w:highlight w:val="none"/>
                <w:u w:val="none"/>
              </w:rPr>
              <w:t>▲</w:t>
            </w:r>
            <w:r>
              <w:rPr>
                <w:rStyle w:val="19"/>
                <w:rFonts w:hint="eastAsia" w:ascii="宋体" w:hAnsi="宋体" w:eastAsia="宋体" w:cs="宋体"/>
                <w:color w:val="auto"/>
                <w:sz w:val="21"/>
                <w:szCs w:val="21"/>
                <w:highlight w:val="none"/>
              </w:rPr>
              <w:t>介质传送系统：SureDrive:单一向上施压主动驱动式压纸滚筒系统；图像朝上平放、前进后出或前进扫描后返回（扫描后返回可选择且可安装回纸挡板）</w:t>
            </w:r>
          </w:p>
          <w:p>
            <w:pPr>
              <w:numPr>
                <w:ilvl w:val="0"/>
                <w:numId w:val="20"/>
              </w:numPr>
              <w:rPr>
                <w:rStyle w:val="19"/>
                <w:rFonts w:hint="eastAsia" w:ascii="宋体" w:hAnsi="宋体" w:eastAsia="宋体" w:cs="宋体"/>
                <w:color w:val="auto"/>
                <w:sz w:val="21"/>
                <w:szCs w:val="21"/>
                <w:highlight w:val="none"/>
              </w:rPr>
            </w:pPr>
            <w:r>
              <w:rPr>
                <w:rStyle w:val="19"/>
                <w:rFonts w:hint="eastAsia" w:ascii="宋体" w:hAnsi="宋体" w:eastAsia="宋体" w:cs="宋体"/>
                <w:color w:val="auto"/>
                <w:sz w:val="21"/>
                <w:szCs w:val="21"/>
                <w:highlight w:val="none"/>
              </w:rPr>
              <w:t>接口：超快速度的USB 3.0数据传输速率高达85</w:t>
            </w:r>
            <w:r>
              <w:rPr>
                <w:rStyle w:val="19"/>
                <w:rFonts w:hint="eastAsia" w:ascii="宋体" w:hAnsi="宋体" w:eastAsia="宋体" w:cs="宋体"/>
                <w:color w:val="auto"/>
                <w:sz w:val="21"/>
                <w:szCs w:val="21"/>
                <w:highlight w:val="none"/>
                <w:lang w:val="en-US" w:eastAsia="zh-CN"/>
              </w:rPr>
              <w:t xml:space="preserve"> </w:t>
            </w:r>
            <w:r>
              <w:rPr>
                <w:rStyle w:val="19"/>
                <w:rFonts w:hint="eastAsia" w:ascii="宋体" w:hAnsi="宋体" w:eastAsia="宋体" w:cs="宋体"/>
                <w:color w:val="auto"/>
                <w:sz w:val="21"/>
                <w:szCs w:val="21"/>
                <w:highlight w:val="none"/>
              </w:rPr>
              <w:t>mb /秒</w:t>
            </w:r>
          </w:p>
          <w:p>
            <w:pPr>
              <w:ind w:left="420"/>
              <w:rPr>
                <w:rStyle w:val="19"/>
                <w:rFonts w:hint="eastAsia" w:ascii="宋体" w:hAnsi="宋体" w:eastAsia="宋体" w:cs="宋体"/>
                <w:color w:val="auto"/>
                <w:sz w:val="21"/>
                <w:szCs w:val="21"/>
                <w:highlight w:val="none"/>
              </w:rPr>
            </w:pPr>
            <w:r>
              <w:rPr>
                <w:rStyle w:val="19"/>
                <w:rFonts w:hint="eastAsia" w:ascii="宋体" w:hAnsi="宋体" w:eastAsia="宋体" w:cs="宋体"/>
                <w:color w:val="auto"/>
                <w:sz w:val="21"/>
                <w:szCs w:val="21"/>
                <w:highlight w:val="none"/>
              </w:rPr>
              <w:t>优化USB2转移率35 mb /秒(使用USB电缆提供2米)。</w:t>
            </w:r>
          </w:p>
          <w:p>
            <w:pPr>
              <w:numPr>
                <w:ilvl w:val="0"/>
                <w:numId w:val="20"/>
              </w:numPr>
              <w:rPr>
                <w:rStyle w:val="19"/>
                <w:rFonts w:hint="eastAsia" w:ascii="宋体" w:hAnsi="宋体" w:eastAsia="宋体" w:cs="宋体"/>
                <w:color w:val="auto"/>
                <w:sz w:val="21"/>
                <w:szCs w:val="21"/>
                <w:highlight w:val="none"/>
              </w:rPr>
            </w:pPr>
            <w:r>
              <w:rPr>
                <w:rStyle w:val="19"/>
                <w:rFonts w:hint="eastAsia" w:ascii="宋体" w:hAnsi="宋体" w:eastAsia="宋体" w:cs="宋体"/>
                <w:color w:val="auto"/>
                <w:sz w:val="21"/>
                <w:szCs w:val="21"/>
                <w:highlight w:val="none"/>
              </w:rPr>
              <w:t>TWAIN：Twain 驱动包括提供基本控制扫描仪的颜色模式,分辨率和纸张大小设置</w:t>
            </w:r>
          </w:p>
          <w:p>
            <w:pPr>
              <w:numPr>
                <w:ilvl w:val="0"/>
                <w:numId w:val="20"/>
              </w:numPr>
              <w:rPr>
                <w:rStyle w:val="19"/>
                <w:rFonts w:hint="eastAsia" w:ascii="宋体" w:hAnsi="宋体" w:eastAsia="宋体" w:cs="宋体"/>
                <w:color w:val="auto"/>
                <w:sz w:val="21"/>
                <w:szCs w:val="21"/>
                <w:highlight w:val="none"/>
              </w:rPr>
            </w:pPr>
            <w:r>
              <w:rPr>
                <w:rStyle w:val="19"/>
                <w:rFonts w:hint="eastAsia" w:ascii="宋体" w:hAnsi="宋体" w:eastAsia="宋体" w:cs="宋体"/>
                <w:color w:val="auto"/>
                <w:sz w:val="21"/>
                <w:szCs w:val="21"/>
                <w:highlight w:val="none"/>
              </w:rPr>
              <w:t>扫描仪主机上的液晶显示面板操作和状态：液晶显示控制面板安装在扫描仪主机的上盖中间部位，介质宽度显示，开始，停止，前进和后退操作按钮，扫描仪状态提示。</w:t>
            </w:r>
          </w:p>
          <w:p>
            <w:pPr>
              <w:numPr>
                <w:ilvl w:val="0"/>
                <w:numId w:val="20"/>
              </w:numPr>
              <w:rPr>
                <w:rStyle w:val="19"/>
                <w:rFonts w:hint="eastAsia" w:ascii="宋体" w:hAnsi="宋体" w:eastAsia="宋体" w:cs="宋体"/>
                <w:color w:val="auto"/>
                <w:sz w:val="21"/>
                <w:szCs w:val="21"/>
                <w:highlight w:val="none"/>
              </w:rPr>
            </w:pPr>
            <w:r>
              <w:rPr>
                <w:rStyle w:val="19"/>
                <w:rFonts w:hint="eastAsia" w:ascii="宋体" w:hAnsi="宋体" w:eastAsia="宋体" w:cs="宋体"/>
                <w:color w:val="auto"/>
                <w:sz w:val="21"/>
                <w:szCs w:val="21"/>
                <w:highlight w:val="none"/>
              </w:rPr>
              <w:t>电力需求和功耗：外部电源100~ 240伏交流电50-60Hz扫描仪功耗:&lt;53 w(扫描中)/5w(待机)</w:t>
            </w:r>
          </w:p>
          <w:p>
            <w:pPr>
              <w:numPr>
                <w:ilvl w:val="0"/>
                <w:numId w:val="20"/>
              </w:numPr>
              <w:rPr>
                <w:rStyle w:val="19"/>
                <w:rFonts w:hint="eastAsia" w:ascii="宋体" w:hAnsi="宋体" w:eastAsia="宋体" w:cs="宋体"/>
                <w:color w:val="auto"/>
                <w:sz w:val="21"/>
                <w:szCs w:val="21"/>
                <w:highlight w:val="none"/>
              </w:rPr>
            </w:pPr>
            <w:r>
              <w:rPr>
                <w:rStyle w:val="19"/>
                <w:rFonts w:hint="eastAsia" w:ascii="宋体" w:hAnsi="宋体" w:eastAsia="宋体" w:cs="宋体"/>
                <w:color w:val="auto"/>
                <w:sz w:val="21"/>
                <w:szCs w:val="21"/>
                <w:highlight w:val="none"/>
              </w:rPr>
              <w:t>操作环境：温度在10oC–35oC之间,35%–80% 相对湿度</w:t>
            </w:r>
          </w:p>
          <w:p>
            <w:pPr>
              <w:numPr>
                <w:ilvl w:val="0"/>
                <w:numId w:val="20"/>
              </w:numPr>
              <w:rPr>
                <w:rStyle w:val="19"/>
                <w:rFonts w:hint="eastAsia" w:ascii="宋体" w:hAnsi="宋体" w:eastAsia="宋体" w:cs="宋体"/>
                <w:color w:val="auto"/>
                <w:sz w:val="21"/>
                <w:szCs w:val="21"/>
                <w:highlight w:val="none"/>
              </w:rPr>
            </w:pPr>
            <w:r>
              <w:rPr>
                <w:rFonts w:hint="eastAsia" w:ascii="宋体"/>
                <w:b/>
                <w:bCs/>
                <w:color w:val="auto"/>
                <w:szCs w:val="20"/>
                <w:highlight w:val="none"/>
                <w:u w:val="none"/>
              </w:rPr>
              <w:t>▲</w:t>
            </w:r>
            <w:r>
              <w:rPr>
                <w:rStyle w:val="19"/>
                <w:rFonts w:hint="eastAsia" w:ascii="宋体" w:hAnsi="宋体" w:eastAsia="宋体" w:cs="宋体"/>
                <w:color w:val="auto"/>
                <w:sz w:val="21"/>
                <w:szCs w:val="21"/>
                <w:highlight w:val="none"/>
              </w:rPr>
              <w:t>标配软件：SmartWorks_EZ Touch及Smss v1.0档案系统，</w:t>
            </w:r>
            <w:r>
              <w:rPr>
                <w:rFonts w:hint="eastAsia" w:ascii="宋体" w:hAnsi="宋体" w:eastAsia="宋体" w:cs="宋体"/>
                <w:color w:val="auto"/>
                <w:kern w:val="0"/>
                <w:sz w:val="21"/>
                <w:szCs w:val="21"/>
                <w:highlight w:val="none"/>
              </w:rPr>
              <w:t>简单，直观的用户界面为触摸屏操作设计。功能：扫描到文件/复制/电子邮件/打印/USB/存储设备可实时调节图像亮度、调整预设和选择预定义的文档。可扫描TIFF，JPG，PDF，PNG等文件类型。</w:t>
            </w:r>
            <w:r>
              <w:rPr>
                <w:rStyle w:val="19"/>
                <w:rFonts w:hint="eastAsia" w:ascii="宋体" w:hAnsi="宋体" w:eastAsia="宋体" w:cs="宋体"/>
                <w:color w:val="auto"/>
                <w:sz w:val="21"/>
                <w:szCs w:val="21"/>
                <w:highlight w:val="none"/>
              </w:rPr>
              <w:t>专业扫描软件。最好的图像存档解决方案,扫描更效率。“一次扫描，任意调整”功能。</w:t>
            </w:r>
          </w:p>
          <w:p>
            <w:pPr>
              <w:numPr>
                <w:ilvl w:val="0"/>
                <w:numId w:val="20"/>
              </w:numPr>
              <w:rPr>
                <w:rStyle w:val="19"/>
                <w:rFonts w:hint="eastAsia" w:ascii="宋体" w:hAnsi="宋体" w:eastAsia="宋体" w:cs="宋体"/>
                <w:color w:val="auto"/>
                <w:sz w:val="21"/>
                <w:szCs w:val="21"/>
                <w:highlight w:val="none"/>
              </w:rPr>
            </w:pPr>
            <w:r>
              <w:rPr>
                <w:rStyle w:val="19"/>
                <w:rFonts w:hint="eastAsia" w:ascii="宋体" w:hAnsi="宋体" w:eastAsia="宋体" w:cs="宋体"/>
                <w:color w:val="auto"/>
                <w:sz w:val="21"/>
                <w:szCs w:val="21"/>
                <w:highlight w:val="none"/>
              </w:rPr>
              <w:t>标准配件：落地支架包括接纸栏</w:t>
            </w:r>
          </w:p>
          <w:p>
            <w:pPr>
              <w:numPr>
                <w:ilvl w:val="0"/>
                <w:numId w:val="20"/>
              </w:numPr>
              <w:rPr>
                <w:rStyle w:val="19"/>
                <w:rFonts w:hint="eastAsia" w:ascii="宋体" w:hAnsi="宋体" w:eastAsia="宋体" w:cs="宋体"/>
                <w:color w:val="auto"/>
                <w:sz w:val="21"/>
                <w:szCs w:val="21"/>
                <w:highlight w:val="none"/>
              </w:rPr>
            </w:pPr>
            <w:r>
              <w:rPr>
                <w:rFonts w:hint="eastAsia" w:ascii="宋体"/>
                <w:b/>
                <w:bCs/>
                <w:color w:val="auto"/>
                <w:szCs w:val="20"/>
                <w:highlight w:val="none"/>
                <w:u w:val="none"/>
              </w:rPr>
              <w:t>▲</w:t>
            </w:r>
            <w:r>
              <w:rPr>
                <w:rFonts w:hint="eastAsia" w:ascii="宋体" w:hAnsi="宋体" w:eastAsia="宋体" w:cs="宋体"/>
                <w:color w:val="auto"/>
                <w:sz w:val="21"/>
                <w:szCs w:val="21"/>
                <w:highlight w:val="none"/>
              </w:rPr>
              <w:t>相关证明：为保证供货渠道的合法性，投标人必须提供硬件设备生产厂商出具的针对本项目的授权书和售后服务承诺书</w:t>
            </w:r>
            <w:r>
              <w:rPr>
                <w:rFonts w:hint="eastAsia" w:ascii="宋体" w:hAnsi="宋体" w:cs="宋体"/>
                <w:color w:val="auto"/>
                <w:sz w:val="21"/>
                <w:szCs w:val="21"/>
                <w:highlight w:val="none"/>
                <w:lang w:eastAsia="zh-CN"/>
              </w:rPr>
              <w:t>复印件（原件核查）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03" w:type="dxa"/>
            <w:gridSpan w:val="2"/>
            <w:vAlign w:val="center"/>
          </w:tcPr>
          <w:p>
            <w:pPr>
              <w:pStyle w:val="9"/>
              <w:spacing w:line="400" w:lineRule="atLeast"/>
              <w:rPr>
                <w:rFonts w:hint="eastAsia" w:ascii="宋体" w:hAnsi="宋体" w:eastAsia="宋体" w:cs="宋体"/>
                <w:color w:val="auto"/>
                <w:sz w:val="21"/>
                <w:szCs w:val="21"/>
                <w:highlight w:val="none"/>
                <w:lang w:eastAsia="zh-CN"/>
              </w:rPr>
            </w:pPr>
            <w:r>
              <w:rPr>
                <w:rFonts w:hint="eastAsia" w:ascii="宋体"/>
                <w:b/>
                <w:bCs/>
                <w:color w:val="auto"/>
                <w:szCs w:val="20"/>
                <w:highlight w:val="none"/>
                <w:u w:val="none"/>
              </w:rPr>
              <w:t>▲</w:t>
            </w:r>
            <w:r>
              <w:rPr>
                <w:rFonts w:hint="eastAsia" w:ascii="宋体" w:hAnsi="宋体" w:eastAsia="宋体" w:cs="宋体"/>
                <w:color w:val="auto"/>
                <w:sz w:val="21"/>
                <w:szCs w:val="21"/>
                <w:highlight w:val="none"/>
              </w:rPr>
              <w:t xml:space="preserve">货物验收及培训： </w:t>
            </w:r>
            <w:r>
              <w:rPr>
                <w:rFonts w:hint="eastAsia" w:ascii="宋体" w:hAnsi="宋体" w:cs="宋体"/>
                <w:color w:val="auto"/>
                <w:sz w:val="21"/>
                <w:szCs w:val="21"/>
                <w:highlight w:val="none"/>
                <w:lang w:eastAsia="zh-CN"/>
              </w:rPr>
              <w:t>（投标时提供相关承诺函作为证明材料）</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（1）中标人必须在供货时，提供大幅面扫描仪原厂供货证明（原件）作为验收依据。</w:t>
            </w:r>
          </w:p>
          <w:p>
            <w:pPr>
              <w:ind w:left="525" w:hanging="525" w:hangingChars="2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（2）中标人必须在供货时，提供大幅面扫描仪原厂质保与服务承诺函（原件），确保得到原厂服务，作为验收依据。</w:t>
            </w:r>
          </w:p>
          <w:p>
            <w:pPr>
              <w:ind w:left="525" w:hanging="525" w:hangingChars="250"/>
              <w:jc w:val="left"/>
              <w:rPr>
                <w:rStyle w:val="19"/>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招标人</w:t>
            </w:r>
            <w:r>
              <w:rPr>
                <w:rFonts w:hint="eastAsia" w:ascii="宋体" w:hAnsi="宋体" w:eastAsia="宋体" w:cs="宋体"/>
                <w:color w:val="auto"/>
                <w:sz w:val="21"/>
                <w:szCs w:val="21"/>
                <w:highlight w:val="none"/>
              </w:rPr>
              <w:t>对货物的数量和质量进行初步验收后，对不符合要求的货物可立即要求退换；在</w:t>
            </w:r>
            <w:r>
              <w:rPr>
                <w:rFonts w:hint="eastAsia" w:ascii="宋体" w:hAnsi="宋体" w:eastAsia="宋体" w:cs="宋体"/>
                <w:color w:val="auto"/>
                <w:sz w:val="21"/>
                <w:szCs w:val="21"/>
                <w:highlight w:val="none"/>
                <w:lang w:eastAsia="zh-CN"/>
              </w:rPr>
              <w:t>招标人</w:t>
            </w:r>
            <w:r>
              <w:rPr>
                <w:rFonts w:hint="eastAsia" w:ascii="宋体" w:hAnsi="宋体" w:eastAsia="宋体" w:cs="宋体"/>
                <w:color w:val="auto"/>
                <w:sz w:val="21"/>
                <w:szCs w:val="21"/>
                <w:highlight w:val="none"/>
              </w:rPr>
              <w:t>将所有的货物按采购文件要求和国家标准或行业标准进行检测验收后，由厂家专业人员培训以及厂家专业服务。</w:t>
            </w:r>
          </w:p>
        </w:tc>
      </w:tr>
    </w:tbl>
    <w:p>
      <w:pPr>
        <w:pStyle w:val="4"/>
        <w:spacing w:after="0" w:afterLines="0"/>
        <w:ind w:lef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9、高速扫描仪</w:t>
      </w:r>
    </w:p>
    <w:tbl>
      <w:tblPr>
        <w:tblStyle w:val="17"/>
        <w:tblW w:w="8415"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spacing w:line="240" w:lineRule="auto"/>
              <w:jc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指标</w:t>
            </w:r>
          </w:p>
        </w:tc>
        <w:tc>
          <w:tcPr>
            <w:tcW w:w="6390" w:type="dxa"/>
            <w:vAlign w:val="center"/>
          </w:tcPr>
          <w:p>
            <w:pPr>
              <w:spacing w:line="240" w:lineRule="auto"/>
              <w:jc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吞吐速度（横向，信纸/A4尺寸）</w:t>
            </w:r>
          </w:p>
        </w:tc>
        <w:tc>
          <w:tcPr>
            <w:tcW w:w="6390" w:type="dxa"/>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在200dpi和300dpi分辨率下，每分钟最多扫描50页/100个图像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扫描原件</w:t>
            </w:r>
          </w:p>
        </w:tc>
        <w:tc>
          <w:tcPr>
            <w:tcW w:w="6390" w:type="dxa"/>
            <w:vAlign w:val="center"/>
          </w:tcPr>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双CCD</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彩色采集位深为48位 (16×3)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操作控制面板</w:t>
            </w:r>
          </w:p>
        </w:tc>
        <w:tc>
          <w:tcPr>
            <w:tcW w:w="6390" w:type="dxa"/>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图形液晶显示屏，配四个操作控制按钮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光学分辨率</w:t>
            </w:r>
          </w:p>
        </w:tc>
        <w:tc>
          <w:tcPr>
            <w:tcW w:w="6390" w:type="dxa"/>
            <w:vAlign w:val="center"/>
          </w:tcPr>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600dpi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照明</w:t>
            </w:r>
          </w:p>
        </w:tc>
        <w:tc>
          <w:tcPr>
            <w:tcW w:w="6390" w:type="dxa"/>
            <w:vAlign w:val="center"/>
          </w:tcPr>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双LED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输出分辨率</w:t>
            </w:r>
          </w:p>
        </w:tc>
        <w:tc>
          <w:tcPr>
            <w:tcW w:w="6390" w:type="dxa"/>
            <w:vAlign w:val="center"/>
          </w:tcPr>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最高1200dpi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最大/最小文档宽度</w:t>
            </w:r>
          </w:p>
        </w:tc>
        <w:tc>
          <w:tcPr>
            <w:tcW w:w="6390" w:type="dxa"/>
            <w:vAlign w:val="center"/>
          </w:tcPr>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自动进纸：863.6毫米（34英寸）/ 63.5毫米（2.5英寸）</w:t>
            </w:r>
          </w:p>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手动进纸：863.6毫米（34英寸）/ 50毫米（2 英寸）（仅限后部出纸）</w:t>
            </w:r>
          </w:p>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长文档模式：4.1米（160英寸）最大长度（支持不间断扫描模式）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最大/最小文档长度</w:t>
            </w:r>
          </w:p>
        </w:tc>
        <w:tc>
          <w:tcPr>
            <w:tcW w:w="6390" w:type="dxa"/>
            <w:vAlign w:val="center"/>
          </w:tcPr>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自动进纸：305毫米（12英寸）/ 63.5毫米（2.5英寸）</w:t>
            </w:r>
          </w:p>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手动进纸：305 毫米（12英寸）/ 50毫米（2英寸）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纸张厚度和重量</w:t>
            </w:r>
          </w:p>
        </w:tc>
        <w:tc>
          <w:tcPr>
            <w:tcW w:w="6390" w:type="dxa"/>
            <w:vAlign w:val="center"/>
          </w:tcPr>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34-413 g/m2 (9-110 lb.) 纸张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rPr>
            </w:pPr>
            <w:r>
              <w:rPr>
                <w:rFonts w:hint="eastAsia" w:ascii="宋体"/>
                <w:b/>
                <w:bCs/>
                <w:color w:val="auto"/>
                <w:szCs w:val="20"/>
                <w:highlight w:val="none"/>
                <w:u w:val="none"/>
              </w:rPr>
              <w:t>▲</w:t>
            </w:r>
            <w:r>
              <w:rPr>
                <w:rFonts w:hint="eastAsia" w:ascii="宋体" w:hAnsi="宋体" w:eastAsia="宋体" w:cs="宋体"/>
                <w:color w:val="auto"/>
                <w:sz w:val="21"/>
                <w:szCs w:val="21"/>
                <w:highlight w:val="none"/>
              </w:rPr>
              <w:t>进纸器/升降台</w:t>
            </w:r>
          </w:p>
        </w:tc>
        <w:tc>
          <w:tcPr>
            <w:tcW w:w="6390" w:type="dxa"/>
            <w:vAlign w:val="center"/>
          </w:tcPr>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自动250张升降台设计，每批放纸最大250张/80g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rPr>
            </w:pPr>
            <w:r>
              <w:rPr>
                <w:rFonts w:hint="eastAsia" w:ascii="宋体"/>
                <w:b/>
                <w:bCs/>
                <w:color w:val="auto"/>
                <w:szCs w:val="20"/>
                <w:highlight w:val="none"/>
                <w:u w:val="none"/>
              </w:rPr>
              <w:t>▲</w:t>
            </w:r>
            <w:r>
              <w:rPr>
                <w:rFonts w:hint="eastAsia" w:ascii="宋体" w:hAnsi="宋体" w:eastAsia="宋体" w:cs="宋体"/>
                <w:color w:val="auto"/>
                <w:sz w:val="21"/>
                <w:szCs w:val="21"/>
                <w:highlight w:val="none"/>
              </w:rPr>
              <w:t>纸张通道选项</w:t>
            </w:r>
          </w:p>
        </w:tc>
        <w:tc>
          <w:tcPr>
            <w:tcW w:w="6390" w:type="dxa"/>
            <w:vAlign w:val="center"/>
          </w:tcPr>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直通道和U型通道两种方式并有手动档位设置控件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文档感应</w:t>
            </w:r>
          </w:p>
        </w:tc>
        <w:tc>
          <w:tcPr>
            <w:tcW w:w="6390" w:type="dxa"/>
            <w:vAlign w:val="center"/>
          </w:tcPr>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超声波多进纸检测；智能文档保护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连接性</w:t>
            </w:r>
          </w:p>
        </w:tc>
        <w:tc>
          <w:tcPr>
            <w:tcW w:w="6390" w:type="dxa"/>
            <w:vAlign w:val="center"/>
          </w:tcPr>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USB 2.0（与支持 USB 3.0 的 PC 兼容）；包括 USB 3.0 缆线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rPr>
            </w:pPr>
            <w:r>
              <w:rPr>
                <w:rFonts w:hint="eastAsia" w:ascii="宋体"/>
                <w:b/>
                <w:bCs/>
                <w:color w:val="auto"/>
                <w:szCs w:val="20"/>
                <w:highlight w:val="none"/>
                <w:u w:val="none"/>
              </w:rPr>
              <w:t>▲</w:t>
            </w:r>
            <w:r>
              <w:rPr>
                <w:rFonts w:hint="eastAsia" w:ascii="宋体" w:hAnsi="宋体" w:eastAsia="宋体" w:cs="宋体"/>
                <w:color w:val="auto"/>
                <w:sz w:val="21"/>
                <w:szCs w:val="21"/>
                <w:highlight w:val="none"/>
              </w:rPr>
              <w:t>标配软件</w:t>
            </w:r>
          </w:p>
        </w:tc>
        <w:tc>
          <w:tcPr>
            <w:tcW w:w="6390" w:type="dxa"/>
            <w:vAlign w:val="center"/>
          </w:tcPr>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标配 TWAIN、ISIS 和 WIA 驱动程序； Capture Desktop Software；Paperport v11.2、 Smart Touch、Smss 档案管理软件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lang w:eastAsia="en-US"/>
              </w:rPr>
            </w:pPr>
            <w:r>
              <w:rPr>
                <w:rFonts w:hint="eastAsia" w:ascii="宋体" w:hAnsi="宋体" w:eastAsia="宋体" w:cs="宋体"/>
                <w:color w:val="auto"/>
                <w:sz w:val="21"/>
                <w:szCs w:val="21"/>
                <w:highlight w:val="none"/>
                <w:lang w:eastAsia="en-US"/>
              </w:rPr>
              <w:t>影像功能</w:t>
            </w:r>
          </w:p>
        </w:tc>
        <w:tc>
          <w:tcPr>
            <w:tcW w:w="6390" w:type="dxa"/>
            <w:vAlign w:val="center"/>
          </w:tcPr>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完美页面扫描；智能阈值处理；自适应阈值处理；纠偏；自动裁剪；相对裁剪；强制裁剪；电子滤色；双流扫描；互动的色彩、亮度和对比度调整；自动调整方向；自动颜色检测；智能平滑背景颜色；智能图像边缘填充；图像合并；基于内容的空白页检测；条纹过滤；影像孔填充；锐化过滤；自动亮度调整；特殊文档模式；连续扫描模式；补丁码；自动照片裁剪；黑白影像分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文件格式输出</w:t>
            </w:r>
          </w:p>
        </w:tc>
        <w:tc>
          <w:tcPr>
            <w:tcW w:w="6390" w:type="dxa"/>
            <w:vAlign w:val="center"/>
          </w:tcPr>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en-US"/>
              </w:rPr>
              <w:t>单页和多页 TIFF、JPEG、RTF、BMP、PDF、可搜索</w:t>
            </w:r>
            <w:r>
              <w:rPr>
                <w:rFonts w:hint="eastAsia" w:ascii="宋体" w:hAnsi="宋体" w:eastAsia="宋体" w:cs="宋体"/>
                <w:color w:val="auto"/>
                <w:sz w:val="21"/>
                <w:szCs w:val="21"/>
                <w:highlight w:val="none"/>
              </w:rPr>
              <w:t>式</w:t>
            </w:r>
            <w:r>
              <w:rPr>
                <w:rFonts w:hint="eastAsia" w:ascii="宋体" w:hAnsi="宋体" w:eastAsia="宋体" w:cs="宋体"/>
                <w:color w:val="auto"/>
                <w:sz w:val="21"/>
                <w:szCs w:val="21"/>
                <w:highlight w:val="none"/>
                <w:lang w:eastAsia="en-US"/>
              </w:rPr>
              <w:t xml:space="preserve"> 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可选</w:t>
            </w:r>
            <w:r>
              <w:rPr>
                <w:rFonts w:hint="eastAsia" w:ascii="宋体" w:hAnsi="宋体" w:eastAsia="宋体" w:cs="宋体"/>
                <w:color w:val="auto"/>
                <w:sz w:val="21"/>
                <w:szCs w:val="21"/>
                <w:highlight w:val="none"/>
                <w:lang w:eastAsia="en-US"/>
              </w:rPr>
              <w:t>附件</w:t>
            </w:r>
          </w:p>
        </w:tc>
        <w:tc>
          <w:tcPr>
            <w:tcW w:w="6390" w:type="dxa"/>
            <w:vAlign w:val="center"/>
          </w:tcPr>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零边距 Legal 平板附件 216x356mm（8.5x14英寸）</w:t>
            </w:r>
          </w:p>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零边距 A3 平板附件 304.8mm x 457mm (12x 18英寸)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电气要求</w:t>
            </w:r>
          </w:p>
        </w:tc>
        <w:tc>
          <w:tcPr>
            <w:tcW w:w="6390" w:type="dxa"/>
            <w:vAlign w:val="center"/>
          </w:tcPr>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100-240 V（国际），50-60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功耗</w:t>
            </w:r>
          </w:p>
        </w:tc>
        <w:tc>
          <w:tcPr>
            <w:tcW w:w="6390" w:type="dxa"/>
            <w:vAlign w:val="center"/>
          </w:tcPr>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关闭模式：&lt;0.5 瓦；运行时：&lt;75 瓦；睡眠模式：&lt;4.5 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环境因素</w:t>
            </w:r>
          </w:p>
        </w:tc>
        <w:tc>
          <w:tcPr>
            <w:tcW w:w="6390" w:type="dxa"/>
            <w:vAlign w:val="center"/>
          </w:tcPr>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Energy Star（能源之星）扫描仪 工作温度：15-35° C (59-95° F)</w:t>
            </w:r>
          </w:p>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工作湿度：15% 到 76% 相对湿度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声学噪音(操作员位置的声音压力水平)</w:t>
            </w:r>
          </w:p>
        </w:tc>
        <w:tc>
          <w:tcPr>
            <w:tcW w:w="6390" w:type="dxa"/>
            <w:vAlign w:val="center"/>
          </w:tcPr>
          <w:p>
            <w:pPr>
              <w:autoSpaceDE w:val="0"/>
              <w:autoSpaceDN w:val="0"/>
              <w:adjustRightInd w:val="0"/>
              <w:spacing w:line="240" w:lineRule="auto"/>
              <w:rPr>
                <w:rFonts w:hint="eastAsia" w:ascii="宋体" w:hAnsi="宋体" w:eastAsia="宋体" w:cs="宋体"/>
                <w:color w:val="auto"/>
                <w:sz w:val="21"/>
                <w:szCs w:val="21"/>
                <w:highlight w:val="none"/>
                <w:lang w:eastAsia="en-US"/>
              </w:rPr>
            </w:pPr>
            <w:r>
              <w:rPr>
                <w:rFonts w:hint="eastAsia" w:ascii="宋体" w:hAnsi="宋体" w:eastAsia="宋体" w:cs="宋体"/>
                <w:color w:val="auto"/>
                <w:sz w:val="21"/>
                <w:szCs w:val="21"/>
                <w:highlight w:val="none"/>
                <w:lang w:eastAsia="en-US"/>
              </w:rPr>
              <w:t>关闭或就绪模式：&lt;40 dB(A)</w:t>
            </w:r>
          </w:p>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en-US"/>
              </w:rPr>
              <w:t>工作模式：&lt;60 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建议的 PC 配置</w:t>
            </w:r>
          </w:p>
        </w:tc>
        <w:tc>
          <w:tcPr>
            <w:tcW w:w="6390" w:type="dxa"/>
            <w:vAlign w:val="center"/>
          </w:tcPr>
          <w:p>
            <w:pPr>
              <w:autoSpaceDE w:val="0"/>
              <w:autoSpaceDN w:val="0"/>
              <w:adjustRightInd w:val="0"/>
              <w:spacing w:line="240" w:lineRule="auto"/>
              <w:rPr>
                <w:rFonts w:hint="eastAsia" w:ascii="宋体" w:hAnsi="宋体" w:eastAsia="宋体" w:cs="宋体"/>
                <w:color w:val="auto"/>
                <w:sz w:val="21"/>
                <w:szCs w:val="21"/>
                <w:highlight w:val="none"/>
                <w:lang w:eastAsia="en-US"/>
              </w:rPr>
            </w:pPr>
            <w:r>
              <w:rPr>
                <w:rFonts w:hint="eastAsia" w:ascii="宋体" w:hAnsi="宋体" w:eastAsia="宋体" w:cs="宋体"/>
                <w:color w:val="auto"/>
                <w:sz w:val="21"/>
                <w:szCs w:val="21"/>
                <w:highlight w:val="none"/>
                <w:lang w:eastAsia="en-US"/>
              </w:rPr>
              <w:t>Intel Core 2 Duo，每个核 2.66 GHz（或同等产品），3 GB 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可用的耗材</w:t>
            </w:r>
          </w:p>
        </w:tc>
        <w:tc>
          <w:tcPr>
            <w:tcW w:w="6390" w:type="dxa"/>
            <w:vAlign w:val="center"/>
          </w:tcPr>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辊子清洁垫，除静电用品、消耗品（进纸模块、分离模块、分离块、前部输送辊）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25"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rPr>
            </w:pPr>
            <w:r>
              <w:rPr>
                <w:rFonts w:hint="eastAsia" w:ascii="宋体"/>
                <w:b/>
                <w:bCs/>
                <w:color w:val="auto"/>
                <w:szCs w:val="20"/>
                <w:highlight w:val="none"/>
                <w:u w:val="none"/>
              </w:rPr>
              <w:t>▲</w:t>
            </w:r>
            <w:r>
              <w:rPr>
                <w:rFonts w:hint="eastAsia" w:ascii="宋体" w:hAnsi="宋体" w:eastAsia="宋体" w:cs="宋体"/>
                <w:color w:val="auto"/>
                <w:sz w:val="21"/>
                <w:szCs w:val="21"/>
                <w:highlight w:val="none"/>
              </w:rPr>
              <w:t>服务</w:t>
            </w:r>
          </w:p>
        </w:tc>
        <w:tc>
          <w:tcPr>
            <w:tcW w:w="6390" w:type="dxa"/>
            <w:vAlign w:val="center"/>
          </w:tcPr>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一年原厂上门服务售后服务保障</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提供</w:t>
            </w:r>
            <w:r>
              <w:rPr>
                <w:rFonts w:hint="eastAsia" w:ascii="宋体" w:hAnsi="宋体" w:cs="宋体"/>
                <w:color w:val="auto"/>
                <w:kern w:val="0"/>
                <w:sz w:val="21"/>
                <w:szCs w:val="21"/>
                <w:highlight w:val="none"/>
                <w:lang w:eastAsia="zh-CN"/>
              </w:rPr>
              <w:t>原厂</w:t>
            </w:r>
            <w:r>
              <w:rPr>
                <w:rFonts w:hint="eastAsia" w:ascii="宋体" w:hAnsi="宋体" w:eastAsia="宋体" w:cs="宋体"/>
                <w:color w:val="auto"/>
                <w:kern w:val="0"/>
                <w:sz w:val="21"/>
                <w:szCs w:val="21"/>
                <w:highlight w:val="none"/>
              </w:rPr>
              <w:t>授权函</w:t>
            </w:r>
            <w:r>
              <w:rPr>
                <w:rFonts w:hint="eastAsia" w:ascii="宋体" w:hAnsi="宋体" w:cs="宋体"/>
                <w:color w:val="auto"/>
                <w:kern w:val="0"/>
                <w:sz w:val="21"/>
                <w:szCs w:val="21"/>
                <w:highlight w:val="none"/>
                <w:lang w:eastAsia="zh-CN"/>
              </w:rPr>
              <w:t>复印件及</w:t>
            </w:r>
            <w:r>
              <w:rPr>
                <w:rFonts w:hint="eastAsia" w:ascii="宋体" w:hAnsi="宋体" w:eastAsia="宋体" w:cs="宋体"/>
                <w:color w:val="auto"/>
                <w:kern w:val="0"/>
                <w:sz w:val="21"/>
                <w:szCs w:val="21"/>
                <w:highlight w:val="none"/>
              </w:rPr>
              <w:t>售后服务承诺函</w:t>
            </w:r>
            <w:r>
              <w:rPr>
                <w:rFonts w:hint="eastAsia" w:ascii="宋体" w:hAnsi="宋体" w:cs="宋体"/>
                <w:color w:val="auto"/>
                <w:kern w:val="0"/>
                <w:sz w:val="21"/>
                <w:szCs w:val="21"/>
                <w:highlight w:val="none"/>
                <w:lang w:eastAsia="zh-CN"/>
              </w:rPr>
              <w:t>复印件（原件核查）】</w:t>
            </w:r>
          </w:p>
        </w:tc>
      </w:tr>
    </w:tbl>
    <w:p>
      <w:pPr>
        <w:pStyle w:val="4"/>
        <w:spacing w:after="0" w:afterLines="0"/>
        <w:ind w:lef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10、防火墙</w:t>
      </w:r>
    </w:p>
    <w:tbl>
      <w:tblPr>
        <w:tblStyle w:val="17"/>
        <w:tblW w:w="8415"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6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00" w:type="dxa"/>
            <w:vAlign w:val="center"/>
          </w:tcPr>
          <w:p>
            <w:pPr>
              <w:widowControl/>
              <w:spacing w:line="24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项目</w:t>
            </w:r>
          </w:p>
        </w:tc>
        <w:tc>
          <w:tcPr>
            <w:tcW w:w="6915" w:type="dxa"/>
            <w:vAlign w:val="center"/>
          </w:tcPr>
          <w:p>
            <w:pPr>
              <w:widowControl/>
              <w:spacing w:line="24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500"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接口</w:t>
            </w: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1个配置口（CON）；主机自带8千兆电+2千兆Combo+2千兆电Bypass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00"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扩展槽位</w:t>
            </w: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00"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扩展板卡类型</w:t>
            </w: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00"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存储介质</w:t>
            </w: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1×500G/1T硬盘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环境温度</w:t>
            </w: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工作：0～45℃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非工作：-40～70℃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00"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运行模式</w:t>
            </w: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路由模式、透明模式、混杂模式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0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AAA服务</w:t>
            </w: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Portal认证、RADIUS认证、HWTACACS认证、PKI /CA（X.509格式）认证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域认证、CHAP验证、PAP验证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150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防火墙</w:t>
            </w: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SOP虚拟防火墙技术，支持CPU、内存、存储等硬件资源划分的完全虚拟化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安全区域划分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可以防御Land、Smurf、Fraggle、Ping of Death、Tear Drop、IP Spoofing、IP分片报文、ARP欺骗、ARP主动反向查询、TCP报文标志位不合法超大ICMP报文、地址扫描、端口扫描、SYN Flood、UPD Flood、ICMP Flood、DNS Flood等多种恶意攻击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基础和扩展的访问控制列表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基于时间段的访问控制列表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基于用户、应用的访问控制列表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ASPF应用层报文过滤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静态和动态黑名单功能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MAC和IP绑定功能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基于MAC的访问控制列表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支持802.1q VLAN 透传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病毒防护</w:t>
            </w: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基于病毒特征进行检测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支持病毒库手动和自动升级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报文流处理模式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支持HTTP、FTP、SMTP、POP3协议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支持的病毒类型：Backdoor、Email-Worm、IM-Worm、P2P-Worm、Trojan、AdWare、Virus等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支持病毒日志和报表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50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深度入侵防御</w:t>
            </w: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支持对黑客攻击、蠕虫/病毒、木马、恶意代码、间谍软件/广告软件、DoS/DDoS等常见的攻击防御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支持缓冲区溢出、SQL注入、IDS/IPS逃逸等攻击的防御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支持攻击特征库的分类（根据攻击类型、目标机系统进行分类）、分级（分高、中、低、提示四级）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支持攻击特征库的手动和自动升级（TFTP和HTTP）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支持对BT等P2P/IM识别和控制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邮件/网页/应用层过滤</w:t>
            </w: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邮件过滤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SMTP邮件地址过滤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邮件标题过滤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邮件内容过滤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邮件附件过滤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网页过滤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HTTP URL过滤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HTTP内容过滤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应用层过滤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Java Blocking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ActiveX Blocking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SQL注入攻击防范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NAT</w:t>
            </w: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支持多个内部地址映射到同一个公网地址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支持多个内部地址映射到多个公网地址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支持内部地址到公网地址一一映射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支持源地址和目的地址同时转换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支持外部网络主机访问内部服务器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支持内部地址直接映射到接口公网IP地址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支持DNS映射功能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可配置支持地址转换的有效时间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支持多种NAT ALG，包括DNS、FTP、H.323、ILS、MSN、NBT、PPTP、SIP等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500"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VPN</w:t>
            </w: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L2TP VPN、IPSec VPN、GRE VPN、SSL VPN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IPv6</w:t>
            </w: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基于IPv6的状态防火墙及攻击防范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IPv6协议：IPv6转发、ICMPv6、PMTU、Ping6、DNS6、TraceRT6、Telnet6、DHCPv6 Client、DHCPv6 Relay等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IPv6路由：RIPng、OSPFv3、BGP4+、静态路由、策略路由、PIM-SM、PIM-DM等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IPv6安全：NAT-PT、IPv6 Tunnel、IPv6 Packet Filter、Radius、IPv6域间策略、IPv6连接数限制等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高可靠性</w:t>
            </w: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支持SCF 2:1虚拟化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支持双机状态热备（Active/Active和Active/Backup两种工作模式）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支持双机配置同步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支持IPSec VPN的IKE状态同步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支持VRRP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易维护性</w:t>
            </w: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支持基于命令行的配置管理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支持Web方式进行远程配置管理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 SSM安全管理中心进行设备管理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支持标准网管 SNMPv3，并且兼容SNMP v1和v2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00"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智能安全策略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00"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环保与认证</w:t>
            </w:r>
          </w:p>
        </w:tc>
        <w:tc>
          <w:tcPr>
            <w:tcW w:w="6915"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color w:val="auto"/>
                <w:highlight w:val="none"/>
                <w:lang w:eastAsia="zh-CN"/>
              </w:rPr>
              <w:t>欧盟</w:t>
            </w:r>
            <w:r>
              <w:rPr>
                <w:rFonts w:hint="eastAsia" w:ascii="宋体" w:hAnsi="宋体" w:eastAsia="宋体" w:cs="宋体"/>
                <w:color w:val="auto"/>
                <w:kern w:val="0"/>
                <w:sz w:val="21"/>
                <w:szCs w:val="21"/>
                <w:highlight w:val="none"/>
              </w:rPr>
              <w:t>RoHS环保认证</w:t>
            </w:r>
          </w:p>
        </w:tc>
      </w:tr>
    </w:tbl>
    <w:p>
      <w:pPr>
        <w:pStyle w:val="4"/>
        <w:spacing w:after="0" w:afterLines="0"/>
        <w:ind w:lef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r>
        <w:rPr>
          <w:rFonts w:hint="eastAsia" w:cs="宋体"/>
          <w:color w:val="auto"/>
          <w:sz w:val="21"/>
          <w:szCs w:val="21"/>
          <w:highlight w:val="none"/>
          <w:lang w:eastAsia="zh-CN"/>
        </w:rPr>
        <w:t>储存</w:t>
      </w:r>
      <w:r>
        <w:rPr>
          <w:rFonts w:hint="eastAsia" w:ascii="宋体" w:hAnsi="宋体" w:eastAsia="宋体" w:cs="宋体"/>
          <w:color w:val="auto"/>
          <w:sz w:val="21"/>
          <w:szCs w:val="21"/>
          <w:highlight w:val="none"/>
        </w:rPr>
        <w:t>交换机</w:t>
      </w:r>
    </w:p>
    <w:p>
      <w:pPr>
        <w:pStyle w:val="4"/>
        <w:spacing w:after="0" w:afterLines="0"/>
        <w:ind w:lef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 服务器接入交换机</w:t>
      </w:r>
    </w:p>
    <w:tbl>
      <w:tblPr>
        <w:tblStyle w:val="17"/>
        <w:tblW w:w="8445"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6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Align w:val="center"/>
          </w:tcPr>
          <w:p>
            <w:pPr>
              <w:widowControl/>
              <w:spacing w:line="24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项目</w:t>
            </w:r>
          </w:p>
        </w:tc>
        <w:tc>
          <w:tcPr>
            <w:tcW w:w="6874" w:type="dxa"/>
            <w:vAlign w:val="center"/>
          </w:tcPr>
          <w:p>
            <w:pPr>
              <w:widowControl/>
              <w:spacing w:line="240" w:lineRule="auto"/>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交换容量</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598Gbps/5.98Tbps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包转发率</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216Mpps/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222Mpps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重量</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管理网口</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571"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管理串口</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1个RJ-45 Console口，1个Mini USB Console口（不能同时工作，Mini USB优先）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前面板</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24个10/100/1000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Base-T自适应以太网端口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571"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业务端口描述</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4个万兆SFP+口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扩展插槽</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扩展板卡</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2端口40GE QSFP+接口板卡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2端口万兆SFP+接口板卡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2端口万兆电接口板卡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8端口万兆SFP+接口板卡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8端口万兆电接口板卡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6端口千兆光+4端口千兆电接口（2combo）板卡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12端口万兆光接口板卡*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SDN/Openflow</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支持OpenFlow 1.3标准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支持多控制器（EQUAL模式、主备模式）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支持多表流水线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支持Group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571"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MAC地址表项</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64K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端口聚合</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支持GE端口聚合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支持10GE端口聚合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支持40G聚合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支持静态聚合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支持动态聚合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支持跨设备聚合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端口特性</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支持IEEE802.3x 流量控制（全双工）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支持基于端口速率百分比的风暴抑制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支持基于PPS的风暴抑制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支持基于bps的风暴抑制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571"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Jumbo Frame</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MAC地址表</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支持黑洞MAC地址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支持设置端口MAC地址学习最大个数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VLAN</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支持基于端口的VLAN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支持基于MAC的VLAN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基于协议的VLAN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基于IP子网的VLAN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支持QinQ，灵活QinQ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支持VLAN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支持Voice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支持GVRP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二层环网协议</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支持STP/RSTP/MSTP、PVST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支持SmartLink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支持RRPP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支持ERPS以太环保护协议（G.8032）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DHCP</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DHCP Client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DHCP 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DHCP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DHCP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DHCP Snooping option82/DHCP Relay option82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IRF2</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支持IRF2智能弹性架构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571"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智能弹性架构</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支持分布式设备管理，分布式链路聚合，分布式弹性路由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支持通过标准以太网接口等方式进行堆叠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支持本地堆叠和远程堆叠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IRF3</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 PE（Port Extender，端口扩展）模式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PE 模式下支持本地转发和纵向转发模式切换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支持自动从 CB（Controlling Bridge，控制桥）更新版本零配置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IP路由</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支持静态路由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支持RIPv1/v2，RIPng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支持OSPFv1/v2，OSPFv3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支持BGP4，BGP4+ for 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支持IS-IS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支持等价路由，策略路由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支持VRRP/VRRPv3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IPv6</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支持ND（Neighbor Discovery）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支持PMTU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支持IPv6-Ping，IPv6-Tracert，IPv6-Telnet，IPv6-TFTP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支持手动配置Tunnel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支持6to4 tunnel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支持ISATAP tunnel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支持IPv6 in IPv6 tunnel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支持IPv4 in IPv6 tunnel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支持GRE tunnel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1571"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组播</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支持IGMP Snooping v1/v2/v3，MLD Snooping v1/v2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支持PIM 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支持MLD Proxy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支持组播VLAN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支持IGMP v1/v2/v3，MLD v1/v2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支持PIM-DM，PIM-SM，PIM-SSM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支持MSDP，MSDP for 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支持MBGP，MBGP for 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镜像</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支持流镜像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支持N:4端口镜像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支持本地和远程端口镜像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OAM</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支持802.1ag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支持802.3ah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1571"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支持ACL\QoS</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支持L2（Layer 2）~L4（Layer 4）包过滤功能，提供基于源MAC地址、目的MAC地址、源IP(IPv4/IPv6)地址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目的IP(IPv4/IPv6)地址、TCP/UDP端口号、VLAN的流分类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支持时间段（Time Range）ACL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支持入方向和出方向的双向ACL策略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支持基于VLAN下发ACL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支持对端口接收报文的速率和发送报文的速率进行限制，最小粒度为8Kbps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支持报文重定向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支持报文的802.1p和DSCP优先级重新标记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支持CAR（Committed Access Rate）功能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每个端口支持8个输出队列，CPU口支持48个队列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支持灵活的队列调度算法，可以同时基于端口和队列进行设置，支持SP、WRR、WFQ、SP+WRR、WDRR五种模式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支持WRED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安全特性</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支持用户分级管理和口令保护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支持802.1X认证/集中式MAC地址认证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支持Guest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支持RADIUS认证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支持SSH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支持端口隔离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支持端口安全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支持PORTAL认证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可支持DHCP Snooping，防止欺骗的DHCP服务器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支持动态ARP检测，防止中间人攻击和ARP拒绝服务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支持BPDU guard， Root guard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支持uRPF(单播反向路径检测)，杜绝IP源地址欺骗，防范病毒和攻击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支持IP/Port/MAC的绑定功能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支持OSPF、RIPv2报文的明文及MD5密文认证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支持PKI（Public Key Infrastructure，公钥基础设施）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管理与维护</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支持XModem/FTP/TFTP加载升级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支持命令行接口（CLI），Telnet，Console口进行配置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支持SNMPv1/v2/v3，WEB网管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支持RMON （Remote Monitoring）告警、事件、历史记录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支持iMC智能管理中心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支持系统日志，分级告警，调试信息输出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支持NTP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支持电源的告警功能，风扇、温度告警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支持Ping、Tracert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支持VCT（Virtual Cable Test）电缆检测功能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支持DLDP（Device Link Detection Protocol）单向链路检测协议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支持LLDP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支持Loopback-detection 端口环回检测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绿色节能</w:t>
            </w: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支持EEE(802.3az)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端口自动Power down功能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71" w:type="dxa"/>
            <w:vMerge w:val="continue"/>
            <w:vAlign w:val="center"/>
          </w:tcPr>
          <w:p>
            <w:pPr>
              <w:widowControl/>
              <w:spacing w:line="240" w:lineRule="auto"/>
              <w:jc w:val="center"/>
              <w:rPr>
                <w:rFonts w:hint="eastAsia" w:ascii="宋体" w:hAnsi="宋体" w:eastAsia="宋体" w:cs="宋体"/>
                <w:color w:val="auto"/>
                <w:kern w:val="0"/>
                <w:sz w:val="21"/>
                <w:szCs w:val="21"/>
                <w:highlight w:val="none"/>
              </w:rPr>
            </w:pPr>
          </w:p>
        </w:tc>
        <w:tc>
          <w:tcPr>
            <w:tcW w:w="6874" w:type="dxa"/>
            <w:vAlign w:val="center"/>
          </w:tcPr>
          <w:p>
            <w:pPr>
              <w:widowControl/>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端口定时down功能（Schedule job）</w:t>
            </w:r>
          </w:p>
        </w:tc>
      </w:tr>
    </w:tbl>
    <w:p>
      <w:pPr>
        <w:pStyle w:val="4"/>
        <w:spacing w:after="0" w:afterLines="0"/>
        <w:ind w:left="0"/>
        <w:jc w:val="left"/>
        <w:rPr>
          <w:rFonts w:hint="eastAsia" w:ascii="宋体" w:hAnsi="宋体" w:eastAsia="宋体" w:cs="宋体"/>
          <w:color w:val="auto"/>
          <w:sz w:val="21"/>
          <w:szCs w:val="21"/>
          <w:highlight w:val="none"/>
          <w:lang w:val="en-GB"/>
        </w:rPr>
      </w:pPr>
      <w:r>
        <w:rPr>
          <w:rFonts w:hint="eastAsia" w:ascii="宋体" w:hAnsi="宋体" w:eastAsia="宋体" w:cs="宋体"/>
          <w:color w:val="auto"/>
          <w:sz w:val="21"/>
          <w:szCs w:val="21"/>
          <w:highlight w:val="none"/>
        </w:rPr>
        <w:t>11.2存储网接入交换机</w:t>
      </w:r>
    </w:p>
    <w:tbl>
      <w:tblPr>
        <w:tblStyle w:val="17"/>
        <w:tblW w:w="8445"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6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90" w:type="dxa"/>
            <w:vAlign w:val="center"/>
          </w:tcPr>
          <w:p>
            <w:pPr>
              <w:widowControl/>
              <w:spacing w:line="24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项目</w:t>
            </w:r>
          </w:p>
        </w:tc>
        <w:tc>
          <w:tcPr>
            <w:tcW w:w="6855" w:type="dxa"/>
            <w:vAlign w:val="center"/>
          </w:tcPr>
          <w:p>
            <w:pPr>
              <w:widowControl/>
              <w:spacing w:line="240" w:lineRule="auto"/>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90"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交换容量</w:t>
            </w: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256Gbps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90"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包转发率</w:t>
            </w: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42Mpps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1590"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管理端口</w:t>
            </w: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1个Console口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9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固定端口</w:t>
            </w: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8个10/100/1000Base-T以太网端口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2个1000Base-X以太网端口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端口汇聚</w:t>
            </w: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支持LACP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支持手工聚合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每个聚合组最大支持8个端口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1590"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二层环网协议</w:t>
            </w: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支持STP/RSTP/MSTP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VLAN</w:t>
            </w: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支持基于端口的VLAN（4K个）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支持基于MAC的VLAN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支持基于协议的VLAN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支持GVRP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支持QinQ、灵活QinQ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支持VLAN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支持GUEST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DHCP</w:t>
            </w: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支持DHCP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支持DHCP Client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支持DHCP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支持DHCP 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支持DHCP Snooping Option82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90"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IPv4</w:t>
            </w: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支持IPv4静态路由，RIP，ospf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IPv6</w:t>
            </w: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支持IPv4和IPv6双协议栈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支持IPv6静态路由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支持ND、PMTUD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支持Pingv6、Telnetv6、FTPv6、TFTPv6、ICMPv6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9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组播</w:t>
            </w: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支持IGMP Snooping、支持快速离开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支持MLD 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支持组播VLAN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90"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堆叠</w:t>
            </w: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支持最大32台设备混合堆叠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镜像</w:t>
            </w: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支持端口镜像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支持流镜像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59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ACL</w:t>
            </w: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支持L2～L4包过滤功能，可以匹配报文前80个字节，提供基于源MAC地址、目的MAC地址、源IP地址、目的IP地址、IP协议类型、TCP/UDP端口、 TCP/UDP端口范围、VLAN等定义ACL。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支持基于端口、VLAN下发ACL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支持基于时间段（Time Range）的ACL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支持基于硬件的IPv6 ACL和QoS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QoS</w:t>
            </w: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支持Diff-Serv QoS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每个端口支持8个输出队列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支持802.1p/DSCP优先级映射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支持队列调度机制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支持优先级标记Mark/Remark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支持基于流的包过滤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支持基于流的重定向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支持基于流的限速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支持Voice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安全性</w:t>
            </w: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用户分级管理和口令保护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支持Guest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支持IEEE 802.1X认证/集中MAC地址认证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支持EAD快速部署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支持AAA&amp;RADIUS&amp;HWTACACS认证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支持MAC地址学习数目限制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支持MAC地址黑洞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支持SSH 2.0，为用户登录提供安全加密通道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支持SSL，保障数据传输安全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支持HABP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支持SAVI 源地址有效性验证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支持端口隔离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支持ARP报文限速功能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支持IP 源地址保护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支持ARP入侵检测功能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支持防Dos攻击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支持广播报文抑制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支持主备数据备份机制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支持IP＋端口的绑定、IP+MAC的绑定、端口＋MAC的绑定、IP+MAC+端口的绑定、IP+MAC+端口+VLAN的绑定的功能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支持CPU防护功能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可靠性</w:t>
            </w: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支持以太网OAM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支持CFD 连通错误检测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支持Smart Link，可以为双上行组网提供高效可靠的链路备份、负载分担和快速收敛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支持Monitor Link，可以监控上行链路状态，配合Smart Link更高效的链路备份切换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支持DLDP， 可检测发现单向连通链路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支持RRPP快速环网保护协议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59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系统管理</w:t>
            </w: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支持Console/AUX Modem/Telnet/SSH2.0 命令行配置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支持FTP、TFTP、Xmodem、SFTP文件上下载管理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支持SNMP V1/V2c/V3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支持RMON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支持VCT电缆检测功能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支持TR069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支持NTP时钟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支持系统工作日志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支持集群管理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 iMC智能管理中心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590" w:type="dxa"/>
            <w:vMerge w:val="restart"/>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环境湿度</w:t>
            </w: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运行环境湿度：5%～95%（非凝结）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1590" w:type="dxa"/>
            <w:vMerge w:val="continue"/>
            <w:vAlign w:val="center"/>
          </w:tcPr>
          <w:p>
            <w:pPr>
              <w:widowControl/>
              <w:spacing w:line="240" w:lineRule="auto"/>
              <w:jc w:val="left"/>
              <w:rPr>
                <w:rFonts w:hint="eastAsia" w:ascii="宋体" w:hAnsi="宋体" w:eastAsia="宋体" w:cs="宋体"/>
                <w:color w:val="auto"/>
                <w:kern w:val="0"/>
                <w:sz w:val="21"/>
                <w:szCs w:val="21"/>
                <w:highlight w:val="none"/>
              </w:rPr>
            </w:pP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存储环境湿度：5%～95%（非凝结）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90" w:type="dxa"/>
            <w:vAlign w:val="center"/>
          </w:tcPr>
          <w:p>
            <w:pPr>
              <w:widowControl/>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环保</w:t>
            </w:r>
          </w:p>
        </w:tc>
        <w:tc>
          <w:tcPr>
            <w:tcW w:w="6855" w:type="dxa"/>
            <w:vAlign w:val="center"/>
          </w:tcPr>
          <w:p>
            <w:pPr>
              <w:widowControl/>
              <w:spacing w:line="24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China RoHs,EEE</w:t>
            </w:r>
          </w:p>
        </w:tc>
      </w:tr>
    </w:tbl>
    <w:p>
      <w:pPr>
        <w:pStyle w:val="8"/>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ascii="宋体" w:hAnsi="宋体" w:eastAsia="宋体"/>
          <w:b/>
          <w:bCs/>
          <w:color w:val="auto"/>
          <w:sz w:val="21"/>
          <w:szCs w:val="21"/>
          <w:highlight w:val="none"/>
        </w:rPr>
      </w:pPr>
      <w:r>
        <w:rPr>
          <w:rFonts w:hint="eastAsia" w:ascii="宋体"/>
          <w:b w:val="0"/>
          <w:bCs w:val="0"/>
          <w:color w:val="auto"/>
          <w:szCs w:val="20"/>
          <w:highlight w:val="none"/>
          <w:lang w:eastAsia="zh-CN"/>
        </w:rPr>
        <w:t>上述列表中的技术参数为本项目所采购设备的基本配置要求，对未有注明的参数要求，均以标准配置为准。如在各技术参数中仅为某一品牌或型号所特有的，仅起说明作用，并没有任何限制性。投标人可以选用替代标准。</w:t>
      </w:r>
    </w:p>
    <w:p>
      <w:pPr>
        <w:pStyle w:val="8"/>
        <w:numPr>
          <w:ilvl w:val="0"/>
          <w:numId w:val="8"/>
        </w:numPr>
        <w:tabs>
          <w:tab w:val="left" w:pos="540"/>
        </w:tabs>
        <w:adjustRightInd w:val="0"/>
        <w:snapToGrid w:val="0"/>
        <w:spacing w:line="360" w:lineRule="auto"/>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项目服务要求</w:t>
      </w:r>
    </w:p>
    <w:p>
      <w:pPr>
        <w:pStyle w:val="4"/>
        <w:spacing w:after="0" w:afterLines="0"/>
        <w:ind w:left="0"/>
        <w:jc w:val="left"/>
        <w:rPr>
          <w:rFonts w:ascii="宋体" w:hAnsi="宋体"/>
          <w:color w:val="auto"/>
          <w:highlight w:val="none"/>
        </w:rPr>
      </w:pPr>
      <w:r>
        <w:rPr>
          <w:rFonts w:hint="eastAsia"/>
          <w:color w:val="auto"/>
          <w:szCs w:val="24"/>
          <w:highlight w:val="none"/>
        </w:rPr>
        <w:t>1</w:t>
      </w:r>
      <w:r>
        <w:rPr>
          <w:rFonts w:hint="eastAsia" w:cs="宋体"/>
          <w:color w:val="auto"/>
          <w:szCs w:val="24"/>
          <w:highlight w:val="none"/>
        </w:rPr>
        <w:t>、</w:t>
      </w:r>
      <w:r>
        <w:rPr>
          <w:rFonts w:hint="eastAsia"/>
          <w:color w:val="auto"/>
          <w:szCs w:val="24"/>
          <w:highlight w:val="none"/>
        </w:rPr>
        <w:t>技术支持</w:t>
      </w:r>
    </w:p>
    <w:p>
      <w:pPr>
        <w:numPr>
          <w:ilvl w:val="0"/>
          <w:numId w:val="0"/>
        </w:numPr>
        <w:spacing w:line="360" w:lineRule="auto"/>
        <w:ind w:leftChars="0" w:firstLine="420" w:firstLineChars="200"/>
        <w:rPr>
          <w:rFonts w:ascii="宋体" w:hAnsi="宋体"/>
          <w:color w:val="auto"/>
          <w:highlight w:val="none"/>
        </w:rPr>
      </w:pPr>
      <w:r>
        <w:rPr>
          <w:rFonts w:hint="eastAsia" w:ascii="宋体" w:hAnsi="宋体"/>
          <w:color w:val="auto"/>
          <w:highlight w:val="none"/>
          <w:lang w:val="en-US" w:eastAsia="zh-CN"/>
        </w:rPr>
        <w:t>1）</w:t>
      </w:r>
      <w:r>
        <w:rPr>
          <w:rFonts w:hint="eastAsia" w:ascii="宋体" w:hAnsi="宋体"/>
          <w:color w:val="auto"/>
          <w:highlight w:val="none"/>
        </w:rPr>
        <w:t>投标人应提出全套的技术支持方案。</w:t>
      </w:r>
    </w:p>
    <w:p>
      <w:pPr>
        <w:numPr>
          <w:ilvl w:val="0"/>
          <w:numId w:val="0"/>
        </w:numPr>
        <w:spacing w:line="360" w:lineRule="auto"/>
        <w:ind w:leftChars="0" w:firstLine="420" w:firstLineChars="200"/>
        <w:rPr>
          <w:rFonts w:ascii="宋体" w:hAnsi="宋体"/>
          <w:color w:val="auto"/>
          <w:highlight w:val="none"/>
        </w:rPr>
      </w:pPr>
      <w:r>
        <w:rPr>
          <w:rFonts w:hint="eastAsia" w:ascii="宋体" w:hAnsi="宋体"/>
          <w:color w:val="auto"/>
          <w:highlight w:val="none"/>
          <w:lang w:val="en-US" w:eastAsia="zh-CN"/>
        </w:rPr>
        <w:t>2）</w:t>
      </w:r>
      <w:r>
        <w:rPr>
          <w:rFonts w:hint="eastAsia" w:ascii="宋体" w:hAnsi="宋体"/>
          <w:color w:val="auto"/>
          <w:highlight w:val="none"/>
        </w:rPr>
        <w:t>投标人在现场调试和试运行过程中如果对软件、硬件作了改动，则必须修改技术方案，及时知会</w:t>
      </w:r>
      <w:r>
        <w:rPr>
          <w:rFonts w:hint="eastAsia" w:ascii="宋体" w:hAnsi="宋体"/>
          <w:color w:val="auto"/>
          <w:highlight w:val="none"/>
          <w:lang w:eastAsia="zh-CN"/>
        </w:rPr>
        <w:t>招标人</w:t>
      </w:r>
      <w:r>
        <w:rPr>
          <w:rFonts w:hint="eastAsia" w:ascii="宋体" w:hAnsi="宋体"/>
          <w:color w:val="auto"/>
          <w:highlight w:val="none"/>
        </w:rPr>
        <w:t>并在最终验收测试时投标人向</w:t>
      </w:r>
      <w:r>
        <w:rPr>
          <w:rFonts w:hint="eastAsia" w:ascii="宋体" w:hAnsi="宋体"/>
          <w:color w:val="auto"/>
          <w:highlight w:val="none"/>
          <w:lang w:eastAsia="zh-CN"/>
        </w:rPr>
        <w:t>招标人</w:t>
      </w:r>
      <w:r>
        <w:rPr>
          <w:rFonts w:hint="eastAsia" w:ascii="宋体" w:hAnsi="宋体"/>
          <w:color w:val="auto"/>
          <w:highlight w:val="none"/>
        </w:rPr>
        <w:t>提交最终技术方案。</w:t>
      </w:r>
    </w:p>
    <w:p>
      <w:pPr>
        <w:pStyle w:val="4"/>
        <w:spacing w:after="0" w:afterLines="0"/>
        <w:ind w:left="0"/>
        <w:jc w:val="left"/>
        <w:rPr>
          <w:color w:val="auto"/>
          <w:szCs w:val="24"/>
          <w:highlight w:val="none"/>
        </w:rPr>
      </w:pPr>
      <w:r>
        <w:rPr>
          <w:rFonts w:hint="eastAsia"/>
          <w:color w:val="auto"/>
          <w:szCs w:val="24"/>
          <w:highlight w:val="none"/>
        </w:rPr>
        <w:t>2、售后服务</w:t>
      </w:r>
    </w:p>
    <w:p>
      <w:pPr>
        <w:spacing w:line="360" w:lineRule="auto"/>
        <w:ind w:firstLine="420" w:firstLineChars="200"/>
        <w:rPr>
          <w:rFonts w:ascii="宋体" w:hAnsi="宋体"/>
          <w:color w:val="auto"/>
          <w:highlight w:val="none"/>
        </w:rPr>
      </w:pPr>
      <w:r>
        <w:rPr>
          <w:rFonts w:hint="eastAsia" w:ascii="宋体" w:hAnsi="宋体"/>
          <w:color w:val="auto"/>
          <w:highlight w:val="none"/>
          <w:lang w:eastAsia="zh-CN"/>
        </w:rPr>
        <w:t>投标人提供的软件</w:t>
      </w:r>
      <w:r>
        <w:rPr>
          <w:rFonts w:hint="eastAsia" w:ascii="宋体" w:hAnsi="宋体"/>
          <w:color w:val="auto"/>
          <w:highlight w:val="none"/>
        </w:rPr>
        <w:t>必须要有以下免费升级和服务条件：自双方代表在项目验收签字之日起的1年内为免费升级和服务期，在此期间内，投标人应负责对其提供的产品（包括购买软件及工具）进行安装调试现场服务，免收任何费用（如维护费、人工费、差旅费等）。</w:t>
      </w:r>
    </w:p>
    <w:p>
      <w:pPr>
        <w:pStyle w:val="4"/>
        <w:spacing w:after="0" w:afterLines="0" w:line="360" w:lineRule="auto"/>
        <w:ind w:left="0"/>
        <w:jc w:val="left"/>
        <w:rPr>
          <w:color w:val="auto"/>
          <w:szCs w:val="24"/>
          <w:highlight w:val="none"/>
        </w:rPr>
      </w:pPr>
      <w:r>
        <w:rPr>
          <w:rFonts w:hint="eastAsia"/>
          <w:color w:val="auto"/>
          <w:szCs w:val="24"/>
          <w:highlight w:val="none"/>
        </w:rPr>
        <w:t>3、质保期</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w:t>
      </w:r>
      <w:r>
        <w:rPr>
          <w:rFonts w:hint="eastAsia" w:ascii="宋体" w:hAnsi="宋体" w:cs="宋体"/>
          <w:color w:val="auto"/>
          <w:kern w:val="0"/>
          <w:szCs w:val="21"/>
          <w:highlight w:val="none"/>
        </w:rPr>
        <w:t>质保期</w:t>
      </w:r>
      <w:r>
        <w:rPr>
          <w:rFonts w:hint="eastAsia" w:ascii="宋体" w:hAnsi="宋体" w:cs="宋体"/>
          <w:color w:val="auto"/>
          <w:kern w:val="0"/>
          <w:szCs w:val="21"/>
          <w:highlight w:val="none"/>
          <w:lang w:eastAsia="zh-CN"/>
        </w:rPr>
        <w:t>为项目整体验收合格之日起1年</w:t>
      </w:r>
      <w:r>
        <w:rPr>
          <w:rFonts w:hint="eastAsia" w:ascii="宋体" w:hAnsi="宋体" w:eastAsia="宋体" w:cs="宋体"/>
          <w:color w:val="auto"/>
          <w:kern w:val="0"/>
          <w:sz w:val="21"/>
          <w:szCs w:val="21"/>
          <w:highlight w:val="none"/>
        </w:rPr>
        <w:t>（含硬件、软件等），质保期内承诺</w:t>
      </w:r>
      <w:r>
        <w:rPr>
          <w:rFonts w:hint="eastAsia" w:ascii="宋体" w:hAnsi="宋体" w:eastAsia="宋体" w:cs="宋体"/>
          <w:color w:val="auto"/>
          <w:kern w:val="0"/>
          <w:sz w:val="21"/>
          <w:szCs w:val="21"/>
          <w:highlight w:val="none"/>
          <w:lang w:eastAsia="zh-CN"/>
        </w:rPr>
        <w:t>对软件</w:t>
      </w:r>
      <w:r>
        <w:rPr>
          <w:rFonts w:hint="eastAsia" w:ascii="宋体" w:hAnsi="宋体" w:eastAsia="宋体" w:cs="宋体"/>
          <w:color w:val="auto"/>
          <w:kern w:val="0"/>
          <w:sz w:val="21"/>
          <w:szCs w:val="21"/>
          <w:highlight w:val="none"/>
        </w:rPr>
        <w:t>免费升级和服务。期满后，继续向</w:t>
      </w:r>
      <w:r>
        <w:rPr>
          <w:rFonts w:hint="eastAsia" w:ascii="宋体" w:hAnsi="宋体" w:cs="宋体"/>
          <w:color w:val="auto"/>
          <w:kern w:val="0"/>
          <w:sz w:val="21"/>
          <w:szCs w:val="21"/>
          <w:highlight w:val="none"/>
          <w:lang w:eastAsia="zh-CN"/>
        </w:rPr>
        <w:t>招标人</w:t>
      </w:r>
      <w:r>
        <w:rPr>
          <w:rFonts w:hint="eastAsia" w:ascii="宋体" w:hAnsi="宋体" w:eastAsia="宋体" w:cs="宋体"/>
          <w:color w:val="auto"/>
          <w:kern w:val="0"/>
          <w:sz w:val="21"/>
          <w:szCs w:val="21"/>
          <w:highlight w:val="none"/>
        </w:rPr>
        <w:t>提供产品维护、技术支持、产品升级等服务。</w:t>
      </w:r>
    </w:p>
    <w:p>
      <w:pPr>
        <w:pStyle w:val="2"/>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 xml:space="preserve"> 2）</w:t>
      </w:r>
      <w:r>
        <w:rPr>
          <w:rFonts w:hint="eastAsia" w:ascii="宋体" w:hAnsi="宋体" w:cs="宋体"/>
          <w:color w:val="auto"/>
          <w:sz w:val="21"/>
          <w:szCs w:val="21"/>
          <w:highlight w:val="none"/>
        </w:rPr>
        <w:t>设备维护期</w:t>
      </w:r>
      <w:r>
        <w:rPr>
          <w:rFonts w:hint="eastAsia" w:ascii="宋体" w:hAnsi="宋体" w:cs="宋体"/>
          <w:color w:val="auto"/>
          <w:sz w:val="21"/>
          <w:szCs w:val="21"/>
          <w:highlight w:val="none"/>
          <w:lang w:eastAsia="zh-CN"/>
        </w:rPr>
        <w:t>为项目整体验收合格之日起1年</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rPr>
        <w:t>维护期内中标人对所供货物实行包修、包维护保养，期满后可同时提供终身有偿维修保养服务</w:t>
      </w:r>
      <w:r>
        <w:rPr>
          <w:rFonts w:hint="eastAsia" w:ascii="宋体" w:hAnsi="宋体" w:eastAsia="宋体" w:cs="宋体"/>
          <w:color w:val="auto"/>
          <w:sz w:val="21"/>
          <w:szCs w:val="21"/>
          <w:highlight w:val="none"/>
          <w:lang w:val="en-US" w:eastAsia="zh-CN"/>
        </w:rPr>
        <w:t>。</w:t>
      </w:r>
    </w:p>
    <w:p>
      <w:pPr>
        <w:pStyle w:val="2"/>
        <w:spacing w:line="360" w:lineRule="auto"/>
        <w:ind w:firstLine="230" w:firstLineChars="100"/>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color w:val="auto"/>
          <w:sz w:val="21"/>
          <w:szCs w:val="21"/>
          <w:highlight w:val="none"/>
          <w:lang w:val="en-US" w:eastAsia="zh-CN"/>
        </w:rPr>
        <w:t>3）质保期内，如系统非人为因素出现故障而造成短期停用时，则质保期和免费维修</w:t>
      </w:r>
      <w:r>
        <w:rPr>
          <w:rFonts w:hint="eastAsia" w:ascii="宋体" w:hAnsi="宋体" w:eastAsia="宋体" w:cs="宋体"/>
          <w:snapToGrid w:val="0"/>
          <w:color w:val="auto"/>
          <w:kern w:val="0"/>
          <w:sz w:val="21"/>
          <w:szCs w:val="21"/>
          <w:highlight w:val="none"/>
          <w:lang w:val="en-US" w:eastAsia="zh-CN"/>
        </w:rPr>
        <w:t>期相应顺延。如货物因自身故障致停用时间累计超过20天时，则质保期在状态恢复正常时重新起计或对故障货物予以重新更换。</w:t>
      </w:r>
    </w:p>
    <w:p>
      <w:pPr>
        <w:numPr>
          <w:ilvl w:val="0"/>
          <w:numId w:val="0"/>
        </w:numPr>
        <w:spacing w:line="360" w:lineRule="auto"/>
        <w:ind w:leftChars="0" w:firstLine="210" w:firstLineChars="100"/>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4）质保期内须提供周期上门免费服务：周期为2个月一次；形式为预约上门，服务内容为周期保养检修、检测系统运行状况、处理使用过程中出现的问题等，并免费提供维修所需的配件及服务。</w:t>
      </w:r>
    </w:p>
    <w:p>
      <w:pPr>
        <w:numPr>
          <w:ilvl w:val="0"/>
          <w:numId w:val="0"/>
        </w:numPr>
        <w:spacing w:line="360" w:lineRule="auto"/>
        <w:ind w:leftChars="0"/>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 xml:space="preserve">  5）中标人负责向招标人提供现场操作及必要的调试维护培训。</w:t>
      </w:r>
    </w:p>
    <w:p>
      <w:pPr>
        <w:numPr>
          <w:ilvl w:val="0"/>
          <w:numId w:val="0"/>
        </w:numPr>
        <w:spacing w:line="360" w:lineRule="auto"/>
        <w:ind w:leftChars="0"/>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 xml:space="preserve">  6）中标人应设有稳定可靠的售后服务机构或同类合作机构。提供常设7天×24小时热线服务和长期的免费技术支持。对招标人的售后服务通知，中标人接报后1小时内响应，4小时内到达现场，24小时内处理完毕。如24小时内未处理完毕，中标人须提供相同档次备用设备予招标人临时使用或采取应急措施解决，不得影响招标人的正常工作业务。</w:t>
      </w:r>
    </w:p>
    <w:p>
      <w:pPr>
        <w:numPr>
          <w:ilvl w:val="0"/>
          <w:numId w:val="0"/>
        </w:numPr>
        <w:spacing w:line="360" w:lineRule="auto"/>
        <w:ind w:leftChars="0"/>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 xml:space="preserve">  7）如招标人认为系统存在不足之处，可书面向中标人提出申请。中标人应按招标人的申请，免费为系统提供适应性修改，以满足招标人的使用需求。</w:t>
      </w:r>
    </w:p>
    <w:p>
      <w:pPr>
        <w:numPr>
          <w:ilvl w:val="0"/>
          <w:numId w:val="0"/>
        </w:numPr>
        <w:spacing w:line="360" w:lineRule="auto"/>
        <w:ind w:leftChars="0" w:firstLine="210" w:firstLineChars="100"/>
        <w:rPr>
          <w:rFonts w:hint="eastAsia"/>
          <w:color w:val="auto"/>
          <w:highlight w:val="none"/>
          <w:lang w:val="en-US" w:eastAsia="zh-CN"/>
        </w:rPr>
      </w:pPr>
      <w:r>
        <w:rPr>
          <w:rFonts w:hint="eastAsia" w:ascii="宋体" w:hAnsi="宋体" w:eastAsia="宋体" w:cs="宋体"/>
          <w:snapToGrid w:val="0"/>
          <w:color w:val="auto"/>
          <w:kern w:val="0"/>
          <w:sz w:val="21"/>
          <w:szCs w:val="21"/>
          <w:highlight w:val="none"/>
          <w:lang w:val="en-US" w:eastAsia="zh-CN"/>
        </w:rPr>
        <w:t>8）中标人应对系统运行的稳定性负责。负责免费修改出错的软件系统。若中标人承担的软硬件系统在功能上、性能上达不到设计要求，招标人有权要求中标人进行及时完善的修改。同时，若系统出现故障，中标人应协助招标人找出故障原因，如网络故障、数据库故障、线路故障、计算机故障、软件故障等。</w:t>
      </w:r>
    </w:p>
    <w:p>
      <w:pPr>
        <w:pStyle w:val="4"/>
        <w:spacing w:after="0" w:afterLines="0" w:line="360" w:lineRule="auto"/>
        <w:ind w:left="0"/>
        <w:jc w:val="left"/>
        <w:rPr>
          <w:color w:val="auto"/>
          <w:szCs w:val="24"/>
          <w:highlight w:val="none"/>
        </w:rPr>
      </w:pPr>
      <w:r>
        <w:rPr>
          <w:rFonts w:hint="eastAsia"/>
          <w:color w:val="auto"/>
          <w:szCs w:val="24"/>
          <w:highlight w:val="none"/>
        </w:rPr>
        <w:t>4、培训服务要求</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在项目的实施过程中，</w:t>
      </w:r>
      <w:r>
        <w:rPr>
          <w:rFonts w:hint="eastAsia" w:ascii="宋体" w:hAnsi="宋体"/>
          <w:color w:val="auto"/>
          <w:kern w:val="0"/>
          <w:highlight w:val="none"/>
          <w:lang w:eastAsia="zh-CN"/>
        </w:rPr>
        <w:t>中标人需安排</w:t>
      </w:r>
      <w:r>
        <w:rPr>
          <w:rFonts w:hint="eastAsia" w:ascii="宋体" w:hAnsi="宋体"/>
          <w:color w:val="auto"/>
          <w:kern w:val="0"/>
          <w:highlight w:val="none"/>
        </w:rPr>
        <w:t>厂商为</w:t>
      </w:r>
      <w:r>
        <w:rPr>
          <w:rFonts w:hint="eastAsia" w:ascii="宋体" w:hAnsi="宋体"/>
          <w:color w:val="auto"/>
          <w:kern w:val="0"/>
          <w:highlight w:val="none"/>
          <w:lang w:eastAsia="zh-CN"/>
        </w:rPr>
        <w:t>用户</w:t>
      </w:r>
      <w:r>
        <w:rPr>
          <w:rFonts w:hint="eastAsia" w:ascii="宋体" w:hAnsi="宋体"/>
          <w:color w:val="auto"/>
          <w:kern w:val="0"/>
          <w:highlight w:val="none"/>
        </w:rPr>
        <w:t>提供系统管理、最终用户培训，并根据使用的需求设定相应的培训计划，从而保证系统能够正常稳定地运行。具体培训项目和课程由双方共同确认。培训工作将使用升级后的新系统测试环境作为模拟应用系统，以便</w:t>
      </w:r>
      <w:r>
        <w:rPr>
          <w:rFonts w:hint="eastAsia" w:ascii="宋体" w:hAnsi="宋体"/>
          <w:color w:val="auto"/>
          <w:kern w:val="0"/>
          <w:highlight w:val="none"/>
          <w:lang w:eastAsia="zh-CN"/>
        </w:rPr>
        <w:t>用户</w:t>
      </w:r>
      <w:r>
        <w:rPr>
          <w:rFonts w:hint="eastAsia" w:ascii="宋体" w:hAnsi="宋体"/>
          <w:color w:val="auto"/>
          <w:kern w:val="0"/>
          <w:highlight w:val="none"/>
        </w:rPr>
        <w:t>系统管理人员能够在真实应用环境下学习系统的操作，以提高学习的速度和质量，同时也能够提供一个集中测试的机会。</w:t>
      </w:r>
    </w:p>
    <w:p>
      <w:pPr>
        <w:numPr>
          <w:ilvl w:val="0"/>
          <w:numId w:val="21"/>
        </w:numPr>
        <w:spacing w:line="360" w:lineRule="auto"/>
        <w:ind w:left="0" w:firstLine="0"/>
        <w:rPr>
          <w:rFonts w:ascii="宋体" w:hAnsi="宋体"/>
          <w:b/>
          <w:color w:val="auto"/>
          <w:kern w:val="0"/>
          <w:highlight w:val="none"/>
        </w:rPr>
      </w:pPr>
      <w:r>
        <w:rPr>
          <w:rFonts w:hint="eastAsia" w:ascii="宋体" w:hAnsi="宋体"/>
          <w:b/>
          <w:color w:val="auto"/>
          <w:kern w:val="0"/>
          <w:highlight w:val="none"/>
        </w:rPr>
        <w:t>管理员培训</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目的是让系统管理员掌握系统的新功能，具备系统管理的正常运行，常见故障的分析、判断和处理能力，达到熟练掌握系统中操作、使用和维护的目的。培训形式为项目实施过程中</w:t>
      </w:r>
      <w:r>
        <w:rPr>
          <w:rFonts w:hint="eastAsia" w:ascii="宋体" w:hAnsi="宋体"/>
          <w:color w:val="auto"/>
          <w:kern w:val="0"/>
          <w:highlight w:val="none"/>
          <w:lang w:eastAsia="zh-CN"/>
        </w:rPr>
        <w:t>的培训</w:t>
      </w:r>
      <w:r>
        <w:rPr>
          <w:rFonts w:hint="eastAsia" w:ascii="宋体" w:hAnsi="宋体"/>
          <w:color w:val="auto"/>
          <w:kern w:val="0"/>
          <w:highlight w:val="none"/>
        </w:rPr>
        <w:t>、现场面授</w:t>
      </w:r>
      <w:r>
        <w:rPr>
          <w:rFonts w:hint="eastAsia" w:ascii="宋体" w:hAnsi="宋体"/>
          <w:color w:val="auto"/>
          <w:kern w:val="0"/>
          <w:highlight w:val="none"/>
          <w:lang w:eastAsia="zh-CN"/>
        </w:rPr>
        <w:t>培训</w:t>
      </w:r>
      <w:r>
        <w:rPr>
          <w:rFonts w:hint="eastAsia" w:ascii="宋体" w:hAnsi="宋体"/>
          <w:color w:val="auto"/>
          <w:kern w:val="0"/>
          <w:highlight w:val="none"/>
        </w:rPr>
        <w:t>两种，课时不得少于5个工作日，保证管理人员能够熟练应用本系统。</w:t>
      </w:r>
    </w:p>
    <w:p>
      <w:pPr>
        <w:numPr>
          <w:ilvl w:val="0"/>
          <w:numId w:val="21"/>
        </w:numPr>
        <w:spacing w:line="360" w:lineRule="auto"/>
        <w:ind w:left="0" w:firstLine="0"/>
        <w:rPr>
          <w:rFonts w:ascii="宋体" w:hAnsi="宋体"/>
          <w:b/>
          <w:color w:val="auto"/>
          <w:kern w:val="0"/>
          <w:highlight w:val="none"/>
        </w:rPr>
      </w:pPr>
      <w:r>
        <w:rPr>
          <w:rFonts w:hint="eastAsia" w:ascii="宋体" w:hAnsi="宋体"/>
          <w:b/>
          <w:color w:val="auto"/>
          <w:kern w:val="0"/>
          <w:highlight w:val="none"/>
        </w:rPr>
        <w:t>关键用户培训</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目的是让公司关键用户能够掌握对关键的业务操作，熟悉档案系统功能、使用、相关设置方法，具备对业务出现常见的故障分析、判断和处理能力。培训形式为现场面授，课时不得少于3个工作日，保证使用用户能熟练使用本系统。</w:t>
      </w:r>
    </w:p>
    <w:p>
      <w:pPr>
        <w:numPr>
          <w:ilvl w:val="0"/>
          <w:numId w:val="21"/>
        </w:numPr>
        <w:spacing w:line="360" w:lineRule="auto"/>
        <w:ind w:left="0" w:firstLine="0"/>
        <w:rPr>
          <w:rFonts w:ascii="宋体" w:hAnsi="宋体"/>
          <w:b/>
          <w:color w:val="auto"/>
          <w:kern w:val="0"/>
          <w:highlight w:val="none"/>
        </w:rPr>
      </w:pPr>
      <w:r>
        <w:rPr>
          <w:rFonts w:hint="eastAsia" w:ascii="宋体" w:hAnsi="宋体"/>
          <w:b/>
          <w:color w:val="auto"/>
          <w:kern w:val="0"/>
          <w:highlight w:val="none"/>
        </w:rPr>
        <w:t>一般用户培训</w:t>
      </w:r>
    </w:p>
    <w:p>
      <w:pPr>
        <w:spacing w:line="360" w:lineRule="auto"/>
        <w:ind w:firstLine="420" w:firstLineChars="200"/>
        <w:rPr>
          <w:rFonts w:ascii="宋体" w:hAnsi="宋体"/>
          <w:color w:val="auto"/>
          <w:kern w:val="0"/>
          <w:highlight w:val="none"/>
        </w:rPr>
      </w:pPr>
      <w:r>
        <w:rPr>
          <w:rFonts w:hint="eastAsia" w:ascii="宋体" w:hAnsi="宋体"/>
          <w:color w:val="auto"/>
          <w:highlight w:val="none"/>
        </w:rPr>
        <w:t>一般用户培训采用集中分批培训的方式</w:t>
      </w:r>
      <w:r>
        <w:rPr>
          <w:rFonts w:hint="eastAsia" w:ascii="宋体" w:hAnsi="宋体"/>
          <w:color w:val="auto"/>
          <w:kern w:val="0"/>
          <w:highlight w:val="none"/>
        </w:rPr>
        <w:t>，在集中的时间段内、集中的地点，完成对办公系统使用人员的培训活动。培训形式为现场面授，课时不得少于2个工作日。双方共同协商，确认最终需要参加培训人员的名单以及培训地点。根据人员名单，制定《档案系统培训课时安排表》。</w:t>
      </w:r>
    </w:p>
    <w:p>
      <w:pPr>
        <w:pStyle w:val="8"/>
        <w:numPr>
          <w:ilvl w:val="0"/>
          <w:numId w:val="8"/>
        </w:numPr>
        <w:tabs>
          <w:tab w:val="left" w:pos="540"/>
        </w:tabs>
        <w:adjustRightInd w:val="0"/>
        <w:snapToGrid w:val="0"/>
        <w:spacing w:line="360" w:lineRule="auto"/>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项目其他要求</w:t>
      </w:r>
    </w:p>
    <w:p>
      <w:pPr>
        <w:pStyle w:val="4"/>
        <w:spacing w:after="0" w:afterLines="0"/>
        <w:ind w:left="0"/>
        <w:jc w:val="left"/>
        <w:rPr>
          <w:color w:val="auto"/>
          <w:szCs w:val="21"/>
          <w:highlight w:val="none"/>
        </w:rPr>
      </w:pPr>
      <w:r>
        <w:rPr>
          <w:rFonts w:hint="eastAsia"/>
          <w:color w:val="auto"/>
          <w:szCs w:val="21"/>
          <w:highlight w:val="none"/>
        </w:rPr>
        <w:t>1、保密要求</w:t>
      </w:r>
    </w:p>
    <w:p>
      <w:pPr>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lang w:eastAsia="zh-CN"/>
        </w:rPr>
        <w:t>中标人</w:t>
      </w:r>
      <w:r>
        <w:rPr>
          <w:rFonts w:hint="eastAsia" w:ascii="宋体" w:hAnsi="宋体"/>
          <w:color w:val="auto"/>
          <w:kern w:val="0"/>
          <w:szCs w:val="21"/>
          <w:highlight w:val="none"/>
        </w:rPr>
        <w:t>应遵守</w:t>
      </w:r>
      <w:r>
        <w:rPr>
          <w:rFonts w:hint="eastAsia" w:ascii="宋体" w:hAnsi="宋体"/>
          <w:color w:val="auto"/>
          <w:kern w:val="0"/>
          <w:szCs w:val="21"/>
          <w:highlight w:val="none"/>
          <w:lang w:eastAsia="zh-CN"/>
        </w:rPr>
        <w:t>招标人</w:t>
      </w:r>
      <w:r>
        <w:rPr>
          <w:rFonts w:hint="eastAsia" w:ascii="宋体" w:hAnsi="宋体"/>
          <w:color w:val="auto"/>
          <w:kern w:val="0"/>
          <w:szCs w:val="21"/>
          <w:highlight w:val="none"/>
        </w:rPr>
        <w:t>的保密规定，对项目涉及商业条款、组织机构信息、系统架构及数据流程信息、运行信息等本项目的产出内容予以保密。未经</w:t>
      </w:r>
      <w:r>
        <w:rPr>
          <w:rFonts w:hint="eastAsia" w:ascii="宋体" w:hAnsi="宋体"/>
          <w:color w:val="auto"/>
          <w:kern w:val="0"/>
          <w:szCs w:val="21"/>
          <w:highlight w:val="none"/>
          <w:lang w:eastAsia="zh-CN"/>
        </w:rPr>
        <w:t>招标人</w:t>
      </w:r>
      <w:r>
        <w:rPr>
          <w:rFonts w:hint="eastAsia" w:ascii="宋体" w:hAnsi="宋体"/>
          <w:color w:val="auto"/>
          <w:kern w:val="0"/>
          <w:szCs w:val="21"/>
          <w:highlight w:val="none"/>
        </w:rPr>
        <w:t>书面同意，不得向任何第三方以任何名义提供</w:t>
      </w:r>
      <w:r>
        <w:rPr>
          <w:rFonts w:hint="eastAsia" w:ascii="宋体" w:hAnsi="宋体"/>
          <w:color w:val="auto"/>
          <w:kern w:val="0"/>
          <w:szCs w:val="21"/>
          <w:highlight w:val="none"/>
          <w:lang w:eastAsia="zh-CN"/>
        </w:rPr>
        <w:t>招标人</w:t>
      </w:r>
      <w:r>
        <w:rPr>
          <w:rFonts w:hint="eastAsia" w:ascii="宋体" w:hAnsi="宋体"/>
          <w:color w:val="auto"/>
          <w:kern w:val="0"/>
          <w:szCs w:val="21"/>
          <w:highlight w:val="none"/>
        </w:rPr>
        <w:t>涉密信息。</w:t>
      </w:r>
    </w:p>
    <w:p>
      <w:pPr>
        <w:pStyle w:val="4"/>
        <w:spacing w:after="120"/>
        <w:ind w:left="0"/>
        <w:jc w:val="left"/>
        <w:rPr>
          <w:color w:val="auto"/>
          <w:szCs w:val="24"/>
          <w:highlight w:val="none"/>
        </w:rPr>
      </w:pPr>
      <w:r>
        <w:rPr>
          <w:rFonts w:hint="eastAsia"/>
          <w:color w:val="auto"/>
          <w:szCs w:val="24"/>
          <w:highlight w:val="none"/>
        </w:rPr>
        <w:t>2、服务要求</w:t>
      </w:r>
    </w:p>
    <w:p>
      <w:pPr>
        <w:widowControl/>
        <w:numPr>
          <w:ilvl w:val="0"/>
          <w:numId w:val="0"/>
        </w:numPr>
        <w:spacing w:line="360" w:lineRule="auto"/>
        <w:ind w:leftChars="0" w:firstLine="420" w:firstLineChars="200"/>
        <w:jc w:val="left"/>
        <w:rPr>
          <w:rFonts w:ascii="宋体" w:hAnsi="宋体" w:cs="宋体"/>
          <w:color w:val="auto"/>
          <w:kern w:val="0"/>
          <w:highlight w:val="none"/>
        </w:rPr>
      </w:pP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投标人应在响应文件中详细提出项目进度计划表，最终的项目实施计划进度表由用户认可。</w:t>
      </w:r>
    </w:p>
    <w:p>
      <w:pPr>
        <w:widowControl/>
        <w:numPr>
          <w:ilvl w:val="0"/>
          <w:numId w:val="0"/>
        </w:numPr>
        <w:spacing w:line="360" w:lineRule="auto"/>
        <w:ind w:leftChars="0" w:firstLine="420" w:firstLineChars="200"/>
        <w:jc w:val="left"/>
        <w:rPr>
          <w:rFonts w:ascii="宋体" w:hAnsi="宋体" w:cs="宋体"/>
          <w:color w:val="auto"/>
          <w:kern w:val="0"/>
          <w:highlight w:val="none"/>
        </w:rPr>
      </w:pPr>
      <w:r>
        <w:rPr>
          <w:rFonts w:hint="eastAsia" w:ascii="宋体" w:hAnsi="宋体" w:cs="宋体"/>
          <w:color w:val="auto"/>
          <w:kern w:val="0"/>
          <w:highlight w:val="none"/>
          <w:lang w:val="en-US" w:eastAsia="zh-CN"/>
        </w:rPr>
        <w:t>2）</w:t>
      </w:r>
      <w:r>
        <w:rPr>
          <w:rFonts w:hint="eastAsia" w:ascii="宋体" w:hAnsi="宋体" w:cs="宋体"/>
          <w:color w:val="auto"/>
          <w:kern w:val="0"/>
          <w:highlight w:val="none"/>
        </w:rPr>
        <w:t>投标人必须在响应文件中详细说明项目管理组织机构（包括：机构设置、项目负责人、主要人员构成、职责、关系）、资金调度等项目资源管理的各个方面，制定并执行有效的管理制度，确保整个项目组高效、负责开展各项工作。</w:t>
      </w:r>
    </w:p>
    <w:p>
      <w:pPr>
        <w:widowControl/>
        <w:numPr>
          <w:ilvl w:val="0"/>
          <w:numId w:val="0"/>
        </w:numPr>
        <w:spacing w:line="360" w:lineRule="auto"/>
        <w:ind w:leftChars="0" w:firstLine="420" w:firstLineChars="200"/>
        <w:jc w:val="left"/>
        <w:rPr>
          <w:rFonts w:ascii="宋体" w:hAnsi="宋体" w:cs="宋体"/>
          <w:color w:val="auto"/>
          <w:kern w:val="0"/>
          <w:highlight w:val="none"/>
        </w:rPr>
      </w:pPr>
      <w:r>
        <w:rPr>
          <w:rFonts w:hint="eastAsia" w:ascii="宋体" w:hAnsi="宋体" w:cs="宋体"/>
          <w:color w:val="auto"/>
          <w:kern w:val="0"/>
          <w:highlight w:val="none"/>
          <w:lang w:val="en-US" w:eastAsia="zh-CN"/>
        </w:rPr>
        <w:t>3）</w:t>
      </w:r>
      <w:r>
        <w:rPr>
          <w:rFonts w:hint="eastAsia" w:ascii="宋体" w:hAnsi="宋体" w:cs="宋体"/>
          <w:color w:val="auto"/>
          <w:kern w:val="0"/>
          <w:highlight w:val="none"/>
        </w:rPr>
        <w:t>为使工程按质、按量、按时及有序实施，投标人对本项目必须有一个完善的管理组织机构及项目负责人，投标人投标时应提交该组织机构的详细资料，包括职员姓名、职务、职称、主要资历、经验及承担过的项目。</w:t>
      </w:r>
    </w:p>
    <w:p>
      <w:pPr>
        <w:widowControl/>
        <w:numPr>
          <w:ilvl w:val="0"/>
          <w:numId w:val="0"/>
        </w:numPr>
        <w:spacing w:line="360" w:lineRule="auto"/>
        <w:ind w:leftChars="0" w:firstLine="420" w:firstLineChars="200"/>
        <w:jc w:val="left"/>
        <w:rPr>
          <w:rFonts w:ascii="宋体" w:hAnsi="宋体" w:cs="宋体"/>
          <w:color w:val="auto"/>
          <w:kern w:val="0"/>
          <w:highlight w:val="none"/>
        </w:rPr>
      </w:pPr>
      <w:r>
        <w:rPr>
          <w:rFonts w:hint="eastAsia" w:ascii="宋体" w:hAnsi="宋体" w:cs="宋体"/>
          <w:color w:val="auto"/>
          <w:kern w:val="0"/>
          <w:highlight w:val="none"/>
          <w:lang w:val="en-US" w:eastAsia="zh-CN"/>
        </w:rPr>
        <w:t>4）</w:t>
      </w:r>
      <w:r>
        <w:rPr>
          <w:rFonts w:hint="eastAsia" w:ascii="宋体" w:hAnsi="宋体" w:cs="宋体"/>
          <w:color w:val="auto"/>
          <w:kern w:val="0"/>
          <w:highlight w:val="none"/>
        </w:rPr>
        <w:t>投标人必须在响应文件中详细明确说明项目沟通计划，确保投标人与用户之间、投标人内部、不同项目供应商之间信息沟通顺畅。</w:t>
      </w:r>
    </w:p>
    <w:p>
      <w:pPr>
        <w:pStyle w:val="8"/>
        <w:numPr>
          <w:ilvl w:val="0"/>
          <w:numId w:val="8"/>
        </w:numPr>
        <w:tabs>
          <w:tab w:val="left" w:pos="540"/>
        </w:tabs>
        <w:adjustRightInd w:val="0"/>
        <w:snapToGrid w:val="0"/>
        <w:spacing w:line="360" w:lineRule="auto"/>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项目实施时间及地点说明</w:t>
      </w:r>
    </w:p>
    <w:p>
      <w:pPr>
        <w:widowControl/>
        <w:numPr>
          <w:ilvl w:val="0"/>
          <w:numId w:val="22"/>
        </w:numPr>
        <w:spacing w:line="360" w:lineRule="auto"/>
        <w:ind w:left="0" w:firstLine="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实施时间：合同签订后12个月内，完成本项目软硬件系统安装、试运行及相关技术服务。 </w:t>
      </w:r>
    </w:p>
    <w:p>
      <w:pPr>
        <w:widowControl/>
        <w:numPr>
          <w:ilvl w:val="0"/>
          <w:numId w:val="22"/>
        </w:numPr>
        <w:spacing w:line="360" w:lineRule="auto"/>
        <w:ind w:left="0" w:firstLine="0"/>
        <w:jc w:val="left"/>
        <w:rPr>
          <w:rFonts w:ascii="宋体" w:hAnsi="宋体" w:cs="宋体"/>
          <w:color w:val="auto"/>
          <w:kern w:val="0"/>
          <w:szCs w:val="21"/>
          <w:highlight w:val="none"/>
        </w:rPr>
      </w:pPr>
      <w:r>
        <w:rPr>
          <w:rFonts w:hint="eastAsia" w:ascii="宋体" w:hAnsi="宋体" w:cs="宋体"/>
          <w:color w:val="auto"/>
          <w:kern w:val="0"/>
          <w:szCs w:val="21"/>
          <w:highlight w:val="none"/>
        </w:rPr>
        <w:t>实施地点：</w:t>
      </w:r>
      <w:r>
        <w:rPr>
          <w:rFonts w:hint="eastAsia" w:ascii="宋体" w:hAnsi="宋体" w:cs="宋体"/>
          <w:color w:val="auto"/>
          <w:kern w:val="0"/>
          <w:szCs w:val="21"/>
          <w:highlight w:val="none"/>
          <w:lang w:eastAsia="zh-CN"/>
        </w:rPr>
        <w:t>招标人</w:t>
      </w:r>
      <w:r>
        <w:rPr>
          <w:rFonts w:hint="eastAsia" w:ascii="宋体" w:hAnsi="宋体" w:cs="宋体"/>
          <w:color w:val="auto"/>
          <w:kern w:val="0"/>
          <w:szCs w:val="21"/>
          <w:highlight w:val="none"/>
        </w:rPr>
        <w:t>指定地点。</w:t>
      </w:r>
    </w:p>
    <w:p>
      <w:pPr>
        <w:pStyle w:val="8"/>
        <w:numPr>
          <w:ilvl w:val="0"/>
          <w:numId w:val="8"/>
        </w:numPr>
        <w:tabs>
          <w:tab w:val="left" w:pos="540"/>
        </w:tabs>
        <w:adjustRightInd w:val="0"/>
        <w:snapToGrid w:val="0"/>
        <w:spacing w:line="360" w:lineRule="auto"/>
        <w:rPr>
          <w:rFonts w:hint="eastAsia" w:ascii="宋体" w:hAnsi="宋体" w:eastAsia="宋体" w:cs="宋体"/>
          <w:b/>
          <w:bCs/>
          <w:color w:val="auto"/>
          <w:highlight w:val="none"/>
          <w:lang w:eastAsia="zh-CN"/>
        </w:rPr>
      </w:pPr>
      <w:r>
        <w:rPr>
          <w:rFonts w:hint="eastAsia" w:hAnsi="宋体"/>
          <w:b/>
          <w:bCs/>
          <w:color w:val="auto"/>
          <w:highlight w:val="none"/>
          <w:lang w:eastAsia="zh-CN"/>
        </w:rPr>
        <w:t>报价</w:t>
      </w:r>
      <w:r>
        <w:rPr>
          <w:rFonts w:hint="eastAsia" w:hAnsi="宋体"/>
          <w:b/>
          <w:bCs/>
          <w:color w:val="auto"/>
          <w:highlight w:val="none"/>
          <w:lang w:val="en-US" w:eastAsia="zh-CN"/>
        </w:rPr>
        <w:t>要求</w:t>
      </w:r>
    </w:p>
    <w:p>
      <w:pPr>
        <w:pStyle w:val="8"/>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报价中必须包含为完成</w:t>
      </w:r>
      <w:r>
        <w:rPr>
          <w:rFonts w:hint="eastAsia" w:ascii="宋体" w:hAnsi="宋体" w:eastAsia="宋体" w:cs="宋体"/>
          <w:b w:val="0"/>
          <w:bCs w:val="0"/>
          <w:color w:val="auto"/>
          <w:highlight w:val="none"/>
          <w:lang w:eastAsia="zh-CN"/>
        </w:rPr>
        <w:t>采购</w:t>
      </w:r>
      <w:r>
        <w:rPr>
          <w:rFonts w:hint="eastAsia" w:ascii="宋体" w:hAnsi="宋体" w:eastAsia="宋体" w:cs="宋体"/>
          <w:b w:val="0"/>
          <w:bCs w:val="0"/>
          <w:color w:val="auto"/>
          <w:highlight w:val="none"/>
        </w:rPr>
        <w:t>内容所须的一切工作的费用，包括</w:t>
      </w:r>
      <w:r>
        <w:rPr>
          <w:rFonts w:hint="eastAsia" w:hAnsi="宋体" w:eastAsia="宋体" w:cs="宋体"/>
          <w:b w:val="0"/>
          <w:bCs w:val="0"/>
          <w:color w:val="auto"/>
          <w:highlight w:val="none"/>
          <w:lang w:eastAsia="zh-CN"/>
        </w:rPr>
        <w:t>设备费、</w:t>
      </w:r>
      <w:r>
        <w:rPr>
          <w:rFonts w:hint="eastAsia" w:ascii="宋体" w:hAnsi="宋体" w:eastAsia="宋体" w:cs="宋体"/>
          <w:b w:val="0"/>
          <w:bCs w:val="0"/>
          <w:color w:val="auto"/>
          <w:highlight w:val="none"/>
        </w:rPr>
        <w:t>在工作中所发生的其他各种因素的</w:t>
      </w:r>
      <w:r>
        <w:rPr>
          <w:rFonts w:hint="eastAsia" w:ascii="宋体" w:hAnsi="宋体" w:eastAsia="宋体" w:cs="宋体"/>
          <w:b w:val="0"/>
          <w:bCs w:val="0"/>
          <w:color w:val="auto"/>
          <w:highlight w:val="none"/>
          <w:lang w:eastAsia="zh-CN"/>
        </w:rPr>
        <w:t>安装费、</w:t>
      </w:r>
      <w:r>
        <w:rPr>
          <w:rFonts w:hint="eastAsia" w:ascii="宋体" w:hAnsi="宋体" w:eastAsia="宋体"/>
          <w:color w:val="auto"/>
          <w:sz w:val="21"/>
          <w:highlight w:val="none"/>
        </w:rPr>
        <w:t>人工费</w:t>
      </w:r>
      <w:r>
        <w:rPr>
          <w:rFonts w:hint="eastAsia" w:hAnsi="宋体" w:eastAsia="宋体"/>
          <w:color w:val="auto"/>
          <w:sz w:val="21"/>
          <w:highlight w:val="none"/>
          <w:lang w:eastAsia="zh-CN"/>
        </w:rPr>
        <w:t>、</w:t>
      </w:r>
      <w:r>
        <w:rPr>
          <w:rFonts w:hint="eastAsia" w:ascii="宋体" w:hAnsi="宋体" w:eastAsia="宋体" w:cs="宋体"/>
          <w:b w:val="0"/>
          <w:bCs w:val="0"/>
          <w:color w:val="auto"/>
          <w:highlight w:val="none"/>
        </w:rPr>
        <w:t>直接费、间接费、利润、税金及其它税费、人员保险费、全额含税发票、合同实施过程中的应预见和不可预见费用等。</w:t>
      </w:r>
    </w:p>
    <w:p>
      <w:pPr>
        <w:pStyle w:val="8"/>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color w:val="auto"/>
          <w:sz w:val="21"/>
          <w:szCs w:val="21"/>
          <w:highlight w:val="none"/>
          <w:lang w:val="en-US" w:eastAsia="zh-CN"/>
        </w:rPr>
      </w:pPr>
      <w:r>
        <w:rPr>
          <w:rFonts w:hint="eastAsia" w:hAnsi="宋体" w:cs="宋体"/>
          <w:b w:val="0"/>
          <w:bCs w:val="0"/>
          <w:color w:val="auto"/>
          <w:highlight w:val="none"/>
          <w:lang w:eastAsia="zh-CN"/>
        </w:rPr>
        <w:t>因本项目资金分别由用户单位</w:t>
      </w:r>
      <w:r>
        <w:rPr>
          <w:rFonts w:hint="eastAsia"/>
          <w:color w:val="auto"/>
          <w:sz w:val="21"/>
          <w:szCs w:val="21"/>
          <w:highlight w:val="none"/>
          <w:lang w:val="en-US" w:eastAsia="zh-CN"/>
        </w:rPr>
        <w:t>按比例支付，因此</w:t>
      </w:r>
      <w:r>
        <w:rPr>
          <w:rFonts w:hint="eastAsia" w:hAnsi="宋体" w:cs="宋体"/>
          <w:b w:val="0"/>
          <w:bCs w:val="0"/>
          <w:color w:val="auto"/>
          <w:highlight w:val="none"/>
          <w:lang w:eastAsia="zh-CN"/>
        </w:rPr>
        <w:t>报价包含三大部分，包含对招标人报价（包含对采购清单一览表的所有项目，分项报价中需每项列明），对</w:t>
      </w:r>
      <w:r>
        <w:rPr>
          <w:rFonts w:hint="eastAsia" w:eastAsia="宋体"/>
          <w:color w:val="auto"/>
          <w:sz w:val="21"/>
          <w:szCs w:val="21"/>
          <w:highlight w:val="none"/>
          <w:lang w:val="en-US" w:eastAsia="zh-CN"/>
        </w:rPr>
        <w:t>佛山市南海区佛山西站投资建设有限公司</w:t>
      </w:r>
      <w:r>
        <w:rPr>
          <w:rFonts w:hint="eastAsia"/>
          <w:color w:val="auto"/>
          <w:sz w:val="21"/>
          <w:szCs w:val="21"/>
          <w:highlight w:val="none"/>
          <w:lang w:val="en-US" w:eastAsia="zh-CN"/>
        </w:rPr>
        <w:t>报价（</w:t>
      </w:r>
      <w:r>
        <w:rPr>
          <w:rFonts w:hint="eastAsia" w:ascii="宋体" w:hAnsi="宋体" w:eastAsia="宋体" w:cs="宋体"/>
          <w:color w:val="auto"/>
          <w:sz w:val="21"/>
          <w:szCs w:val="21"/>
          <w:highlight w:val="none"/>
        </w:rPr>
        <w:t>档案整理服务</w:t>
      </w:r>
      <w:r>
        <w:rPr>
          <w:rFonts w:hint="eastAsia" w:hAnsi="宋体" w:cs="宋体"/>
          <w:color w:val="auto"/>
          <w:sz w:val="21"/>
          <w:szCs w:val="21"/>
          <w:highlight w:val="none"/>
          <w:lang w:eastAsia="zh-CN"/>
        </w:rPr>
        <w:t>及</w:t>
      </w:r>
      <w:r>
        <w:rPr>
          <w:rFonts w:hint="eastAsia" w:ascii="宋体" w:hAnsi="宋体" w:eastAsia="宋体" w:cs="宋体"/>
          <w:color w:val="auto"/>
          <w:sz w:val="21"/>
          <w:szCs w:val="21"/>
          <w:highlight w:val="none"/>
        </w:rPr>
        <w:t>数字化加工服务</w:t>
      </w:r>
      <w:r>
        <w:rPr>
          <w:rFonts w:hint="eastAsia"/>
          <w:color w:val="auto"/>
          <w:sz w:val="21"/>
          <w:szCs w:val="21"/>
          <w:highlight w:val="none"/>
          <w:lang w:val="en-US" w:eastAsia="zh-CN"/>
        </w:rPr>
        <w:t>）及对</w:t>
      </w:r>
      <w:r>
        <w:rPr>
          <w:rFonts w:hint="eastAsia" w:eastAsia="宋体"/>
          <w:color w:val="auto"/>
          <w:sz w:val="21"/>
          <w:szCs w:val="21"/>
          <w:highlight w:val="none"/>
          <w:lang w:val="en-US" w:eastAsia="zh-CN"/>
        </w:rPr>
        <w:t>佛山市南海大业佳诚投资有限公司</w:t>
      </w:r>
      <w:r>
        <w:rPr>
          <w:rFonts w:hint="eastAsia"/>
          <w:color w:val="auto"/>
          <w:sz w:val="21"/>
          <w:szCs w:val="21"/>
          <w:highlight w:val="none"/>
          <w:lang w:val="en-US" w:eastAsia="zh-CN"/>
        </w:rPr>
        <w:t>报价（</w:t>
      </w:r>
      <w:r>
        <w:rPr>
          <w:rFonts w:hint="eastAsia" w:ascii="宋体" w:hAnsi="宋体" w:eastAsia="宋体" w:cs="宋体"/>
          <w:color w:val="auto"/>
          <w:sz w:val="21"/>
          <w:szCs w:val="21"/>
          <w:highlight w:val="none"/>
        </w:rPr>
        <w:t>档案整理服务</w:t>
      </w:r>
      <w:r>
        <w:rPr>
          <w:rFonts w:hint="eastAsia" w:hAnsi="宋体" w:cs="宋体"/>
          <w:color w:val="auto"/>
          <w:sz w:val="21"/>
          <w:szCs w:val="21"/>
          <w:highlight w:val="none"/>
          <w:lang w:eastAsia="zh-CN"/>
        </w:rPr>
        <w:t>及</w:t>
      </w:r>
      <w:r>
        <w:rPr>
          <w:rFonts w:hint="eastAsia" w:ascii="宋体" w:hAnsi="宋体" w:eastAsia="宋体" w:cs="宋体"/>
          <w:color w:val="auto"/>
          <w:sz w:val="21"/>
          <w:szCs w:val="21"/>
          <w:highlight w:val="none"/>
        </w:rPr>
        <w:t>数字化加工服务</w:t>
      </w:r>
      <w:r>
        <w:rPr>
          <w:rFonts w:hint="eastAsia"/>
          <w:color w:val="auto"/>
          <w:sz w:val="21"/>
          <w:szCs w:val="21"/>
          <w:highlight w:val="none"/>
          <w:lang w:val="en-US" w:eastAsia="zh-CN"/>
        </w:rPr>
        <w:t>）。总报价为三项报价合计，以总报价计算价格得分。</w:t>
      </w:r>
    </w:p>
    <w:tbl>
      <w:tblPr>
        <w:tblStyle w:val="17"/>
        <w:tblW w:w="6662" w:type="dxa"/>
        <w:jc w:val="center"/>
        <w:tblInd w:w="7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32"/>
        <w:gridCol w:w="26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4032" w:type="dxa"/>
            <w:tcBorders>
              <w:top w:val="single" w:color="auto" w:sz="12" w:space="0"/>
              <w:bottom w:val="double" w:color="auto" w:sz="4" w:space="0"/>
            </w:tcBorders>
            <w:shd w:val="clear" w:color="auto" w:fill="EEECE1"/>
            <w:vAlign w:val="center"/>
          </w:tcPr>
          <w:p>
            <w:pPr>
              <w:spacing w:line="360" w:lineRule="auto"/>
              <w:jc w:val="center"/>
              <w:rPr>
                <w:rFonts w:hint="eastAsia" w:ascii="宋体" w:eastAsia="宋体"/>
                <w:b/>
                <w:color w:val="auto"/>
                <w:szCs w:val="21"/>
                <w:highlight w:val="none"/>
                <w:u w:val="none"/>
                <w:lang w:eastAsia="zh-CN"/>
              </w:rPr>
            </w:pPr>
            <w:r>
              <w:rPr>
                <w:rFonts w:hint="eastAsia" w:ascii="宋体"/>
                <w:b/>
                <w:color w:val="auto"/>
                <w:szCs w:val="21"/>
                <w:highlight w:val="none"/>
                <w:u w:val="none"/>
                <w:lang w:eastAsia="zh-CN"/>
              </w:rPr>
              <w:t>用户单位</w:t>
            </w:r>
          </w:p>
        </w:tc>
        <w:tc>
          <w:tcPr>
            <w:tcW w:w="2630" w:type="dxa"/>
            <w:tcBorders>
              <w:top w:val="single" w:color="auto" w:sz="12" w:space="0"/>
              <w:bottom w:val="double" w:color="auto" w:sz="4" w:space="0"/>
            </w:tcBorders>
            <w:shd w:val="clear" w:color="auto" w:fill="EEECE1"/>
            <w:vAlign w:val="center"/>
          </w:tcPr>
          <w:p>
            <w:pPr>
              <w:spacing w:line="360" w:lineRule="auto"/>
              <w:jc w:val="center"/>
              <w:rPr>
                <w:rFonts w:hint="eastAsia" w:ascii="宋体"/>
                <w:b/>
                <w:color w:val="auto"/>
                <w:szCs w:val="21"/>
                <w:highlight w:val="none"/>
                <w:u w:val="none"/>
              </w:rPr>
            </w:pPr>
            <w:r>
              <w:rPr>
                <w:rFonts w:hint="eastAsia" w:ascii="宋体"/>
                <w:b/>
                <w:color w:val="auto"/>
                <w:szCs w:val="21"/>
                <w:highlight w:val="none"/>
                <w:u w:val="none"/>
              </w:rPr>
              <w:t>最高限价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4032" w:type="dxa"/>
            <w:tcBorders>
              <w:top w:val="single" w:color="auto" w:sz="4" w:space="0"/>
              <w:bottom w:val="single" w:color="auto" w:sz="4" w:space="0"/>
            </w:tcBorders>
            <w:vAlign w:val="center"/>
          </w:tcPr>
          <w:p>
            <w:pPr>
              <w:spacing w:line="240" w:lineRule="auto"/>
              <w:jc w:val="center"/>
              <w:rPr>
                <w:rFonts w:hint="eastAsia" w:ascii="宋体" w:hAnsi="宋体" w:eastAsia="宋体" w:cs="宋体"/>
                <w:bCs/>
                <w:color w:val="auto"/>
                <w:szCs w:val="21"/>
                <w:highlight w:val="none"/>
                <w:u w:val="none"/>
              </w:rPr>
            </w:pPr>
            <w:r>
              <w:rPr>
                <w:rFonts w:hint="eastAsia" w:ascii="宋体" w:hAnsi="宋体" w:eastAsia="宋体" w:cs="宋体"/>
                <w:bCs/>
                <w:color w:val="auto"/>
                <w:szCs w:val="21"/>
                <w:highlight w:val="none"/>
                <w:u w:val="none"/>
              </w:rPr>
              <w:t>佛山市南海区铁路投资有限公司</w:t>
            </w:r>
          </w:p>
        </w:tc>
        <w:tc>
          <w:tcPr>
            <w:tcW w:w="26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snapToGrid/>
                <w:color w:val="auto"/>
                <w:spacing w:val="0"/>
                <w:kern w:val="2"/>
                <w:sz w:val="21"/>
                <w:szCs w:val="24"/>
                <w:highlight w:val="none"/>
                <w:u w:val="none"/>
              </w:rPr>
            </w:pPr>
            <w:r>
              <w:rPr>
                <w:rFonts w:hint="eastAsia" w:ascii="宋体" w:hAnsi="宋体" w:cs="宋体"/>
                <w:i w:val="0"/>
                <w:color w:val="auto"/>
                <w:kern w:val="0"/>
                <w:sz w:val="22"/>
                <w:szCs w:val="22"/>
                <w:highlight w:val="none"/>
                <w:u w:val="none"/>
                <w:lang w:val="en-US" w:eastAsia="zh-CN" w:bidi="ar"/>
              </w:rPr>
              <w:t>人民币</w:t>
            </w:r>
            <w:r>
              <w:rPr>
                <w:rFonts w:hint="eastAsia" w:ascii="宋体" w:hAnsi="宋体" w:eastAsia="宋体" w:cs="宋体"/>
                <w:i w:val="0"/>
                <w:color w:val="auto"/>
                <w:kern w:val="0"/>
                <w:sz w:val="22"/>
                <w:szCs w:val="22"/>
                <w:highlight w:val="none"/>
                <w:u w:val="none"/>
                <w:lang w:val="en-US" w:eastAsia="zh-CN" w:bidi="ar"/>
              </w:rPr>
              <w:t>3</w:t>
            </w:r>
            <w:r>
              <w:rPr>
                <w:rFonts w:hint="eastAsia" w:ascii="宋体" w:hAnsi="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US" w:eastAsia="zh-CN" w:bidi="ar"/>
              </w:rPr>
              <w:t>479</w:t>
            </w:r>
            <w:r>
              <w:rPr>
                <w:rFonts w:hint="eastAsia" w:ascii="宋体" w:hAnsi="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US" w:eastAsia="zh-CN" w:bidi="ar"/>
              </w:rPr>
              <w:t>716.752</w:t>
            </w:r>
            <w:r>
              <w:rPr>
                <w:rFonts w:hint="eastAsia" w:ascii="宋体" w:hAnsi="宋体" w:cs="宋体"/>
                <w:i w:val="0"/>
                <w:color w:val="auto"/>
                <w:kern w:val="0"/>
                <w:sz w:val="22"/>
                <w:szCs w:val="22"/>
                <w:highlight w:val="none"/>
                <w:u w:val="none"/>
                <w:lang w:val="en-US" w:eastAsia="zh-CN" w:bidi="ar"/>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4032" w:type="dxa"/>
            <w:tcBorders>
              <w:top w:val="single" w:color="auto" w:sz="4" w:space="0"/>
              <w:bottom w:val="single" w:color="auto" w:sz="4" w:space="0"/>
            </w:tcBorders>
            <w:vAlign w:val="center"/>
          </w:tcPr>
          <w:p>
            <w:pPr>
              <w:spacing w:line="240" w:lineRule="auto"/>
              <w:jc w:val="center"/>
              <w:rPr>
                <w:rFonts w:hint="eastAsia" w:ascii="宋体" w:hAnsi="宋体" w:eastAsia="宋体" w:cs="宋体"/>
                <w:bCs/>
                <w:color w:val="auto"/>
                <w:szCs w:val="21"/>
                <w:highlight w:val="none"/>
                <w:u w:val="none"/>
              </w:rPr>
            </w:pPr>
            <w:r>
              <w:rPr>
                <w:rFonts w:hint="eastAsia" w:ascii="宋体" w:hAnsi="宋体" w:eastAsia="宋体" w:cs="宋体"/>
                <w:color w:val="auto"/>
                <w:sz w:val="21"/>
                <w:szCs w:val="21"/>
                <w:highlight w:val="none"/>
                <w:lang w:val="en-US" w:eastAsia="zh-CN"/>
              </w:rPr>
              <w:t>佛山市南海区佛山西站投资建设有限公司</w:t>
            </w:r>
          </w:p>
        </w:tc>
        <w:tc>
          <w:tcPr>
            <w:tcW w:w="263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snapToGrid/>
                <w:color w:val="auto"/>
                <w:spacing w:val="0"/>
                <w:kern w:val="2"/>
                <w:sz w:val="21"/>
                <w:szCs w:val="21"/>
                <w:highlight w:val="none"/>
                <w:u w:val="none"/>
              </w:rPr>
            </w:pPr>
            <w:r>
              <w:rPr>
                <w:rFonts w:hint="eastAsia" w:ascii="宋体" w:hAnsi="宋体" w:cs="宋体"/>
                <w:i w:val="0"/>
                <w:color w:val="auto"/>
                <w:kern w:val="0"/>
                <w:sz w:val="22"/>
                <w:szCs w:val="22"/>
                <w:highlight w:val="none"/>
                <w:u w:val="none"/>
                <w:lang w:val="en-US" w:eastAsia="zh-CN" w:bidi="ar"/>
              </w:rPr>
              <w:t>人民币</w:t>
            </w:r>
            <w:r>
              <w:rPr>
                <w:rFonts w:hint="eastAsia" w:ascii="宋体" w:hAnsi="宋体" w:eastAsia="宋体" w:cs="宋体"/>
                <w:i w:val="0"/>
                <w:color w:val="auto"/>
                <w:kern w:val="0"/>
                <w:sz w:val="22"/>
                <w:szCs w:val="22"/>
                <w:highlight w:val="none"/>
                <w:u w:val="none"/>
                <w:lang w:val="en-US" w:eastAsia="zh-CN" w:bidi="ar"/>
              </w:rPr>
              <w:t>958</w:t>
            </w:r>
            <w:r>
              <w:rPr>
                <w:rFonts w:hint="eastAsia" w:ascii="宋体" w:hAnsi="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US" w:eastAsia="zh-CN" w:bidi="ar"/>
              </w:rPr>
              <w:t>356.74</w:t>
            </w:r>
            <w:r>
              <w:rPr>
                <w:rFonts w:hint="eastAsia" w:ascii="宋体" w:hAnsi="宋体" w:cs="宋体"/>
                <w:i w:val="0"/>
                <w:color w:val="auto"/>
                <w:kern w:val="0"/>
                <w:sz w:val="22"/>
                <w:szCs w:val="22"/>
                <w:highlight w:val="none"/>
                <w:u w:val="none"/>
                <w:lang w:val="en-US" w:eastAsia="zh-CN" w:bidi="ar"/>
              </w:rPr>
              <w:t>7元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4032" w:type="dxa"/>
            <w:tcBorders>
              <w:top w:val="single" w:color="auto" w:sz="4" w:space="0"/>
            </w:tcBorders>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佛山市南海大业佳诚投资有限公司</w:t>
            </w:r>
          </w:p>
        </w:tc>
        <w:tc>
          <w:tcPr>
            <w:tcW w:w="263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snapToGrid/>
                <w:color w:val="auto"/>
                <w:spacing w:val="0"/>
                <w:kern w:val="2"/>
                <w:sz w:val="21"/>
                <w:szCs w:val="21"/>
                <w:highlight w:val="none"/>
                <w:u w:val="none"/>
              </w:rPr>
            </w:pPr>
            <w:r>
              <w:rPr>
                <w:rFonts w:hint="eastAsia" w:ascii="宋体" w:hAnsi="宋体" w:cs="宋体"/>
                <w:i w:val="0"/>
                <w:color w:val="auto"/>
                <w:kern w:val="0"/>
                <w:sz w:val="22"/>
                <w:szCs w:val="22"/>
                <w:highlight w:val="none"/>
                <w:u w:val="none"/>
                <w:lang w:val="en-US" w:eastAsia="zh-CN" w:bidi="ar"/>
              </w:rPr>
              <w:t>人民币</w:t>
            </w:r>
            <w:r>
              <w:rPr>
                <w:rFonts w:hint="eastAsia" w:ascii="宋体" w:hAnsi="宋体" w:eastAsia="宋体" w:cs="宋体"/>
                <w:i w:val="0"/>
                <w:color w:val="auto"/>
                <w:kern w:val="0"/>
                <w:sz w:val="22"/>
                <w:szCs w:val="22"/>
                <w:highlight w:val="none"/>
                <w:u w:val="none"/>
                <w:lang w:val="en-US" w:eastAsia="zh-CN" w:bidi="ar"/>
              </w:rPr>
              <w:t>212</w:t>
            </w:r>
            <w:r>
              <w:rPr>
                <w:rFonts w:hint="eastAsia" w:ascii="宋体" w:hAnsi="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US" w:eastAsia="zh-CN" w:bidi="ar"/>
              </w:rPr>
              <w:t>968.1</w:t>
            </w:r>
            <w:r>
              <w:rPr>
                <w:rFonts w:hint="eastAsia" w:ascii="宋体" w:hAnsi="宋体" w:cs="宋体"/>
                <w:i w:val="0"/>
                <w:color w:val="auto"/>
                <w:kern w:val="0"/>
                <w:sz w:val="22"/>
                <w:szCs w:val="22"/>
                <w:highlight w:val="none"/>
                <w:u w:val="none"/>
                <w:lang w:val="en-US" w:eastAsia="zh-CN" w:bidi="ar"/>
              </w:rPr>
              <w:t>7元</w:t>
            </w:r>
          </w:p>
        </w:tc>
      </w:tr>
    </w:tbl>
    <w:p>
      <w:pPr>
        <w:pStyle w:val="8"/>
        <w:numPr>
          <w:ilvl w:val="0"/>
          <w:numId w:val="8"/>
        </w:numPr>
        <w:tabs>
          <w:tab w:val="left" w:pos="540"/>
        </w:tabs>
        <w:adjustRightInd w:val="0"/>
        <w:snapToGrid w:val="0"/>
        <w:spacing w:line="360" w:lineRule="auto"/>
        <w:rPr>
          <w:rFonts w:hint="eastAsia"/>
          <w:b/>
          <w:color w:val="auto"/>
          <w:highlight w:val="none"/>
        </w:rPr>
      </w:pPr>
      <w:r>
        <w:rPr>
          <w:rFonts w:hint="eastAsia"/>
          <w:b/>
          <w:color w:val="auto"/>
          <w:highlight w:val="none"/>
        </w:rPr>
        <w:t>安装、调试与验收</w:t>
      </w:r>
    </w:p>
    <w:p>
      <w:pPr>
        <w:pStyle w:val="8"/>
        <w:numPr>
          <w:ilvl w:val="0"/>
          <w:numId w:val="23"/>
        </w:numPr>
        <w:tabs>
          <w:tab w:val="left" w:pos="425"/>
          <w:tab w:val="left" w:pos="540"/>
        </w:tabs>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中标人</w:t>
      </w:r>
      <w:r>
        <w:rPr>
          <w:rFonts w:hint="eastAsia" w:ascii="宋体" w:hAnsi="宋体" w:eastAsia="宋体" w:cs="宋体"/>
          <w:color w:val="auto"/>
          <w:sz w:val="21"/>
          <w:szCs w:val="21"/>
          <w:highlight w:val="none"/>
        </w:rPr>
        <w:t>必须依照招标文件的要求和投标文件的承诺，将设备、系统安装并调试至正常运行的最佳状态。</w:t>
      </w:r>
    </w:p>
    <w:p>
      <w:pPr>
        <w:pStyle w:val="8"/>
        <w:numPr>
          <w:ilvl w:val="0"/>
          <w:numId w:val="23"/>
        </w:numPr>
        <w:tabs>
          <w:tab w:val="left" w:pos="425"/>
          <w:tab w:val="left" w:pos="540"/>
        </w:tabs>
        <w:adjustRightInd w:val="0"/>
        <w:snapToGrid w:val="0"/>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货物若有国家标准按照国家标准验收，若无国家标准按行业标准验收，为原制造商制造的全新产品，整机无污染，无侵权行为、表面无划损、无任何缺陷隐患，在中国境内可依常规安全合法使用。 </w:t>
      </w:r>
    </w:p>
    <w:p>
      <w:pPr>
        <w:numPr>
          <w:ilvl w:val="0"/>
          <w:numId w:val="23"/>
        </w:numPr>
        <w:tabs>
          <w:tab w:val="left" w:pos="425"/>
          <w:tab w:val="left" w:pos="900"/>
        </w:tabs>
        <w:autoSpaceDE w:val="0"/>
        <w:autoSpaceDN w:val="0"/>
        <w:adjustRightInd w:val="0"/>
        <w:snapToGrid w:val="0"/>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货物为原厂商未启封全新包装，具出厂合格证，序列号、包装箱号与出厂批号一致，并可追索查阅。所有随设备的附件必须齐全。</w:t>
      </w:r>
    </w:p>
    <w:p>
      <w:pPr>
        <w:numPr>
          <w:ilvl w:val="0"/>
          <w:numId w:val="23"/>
        </w:numPr>
        <w:tabs>
          <w:tab w:val="left" w:pos="425"/>
          <w:tab w:val="left" w:pos="900"/>
        </w:tabs>
        <w:autoSpaceDE w:val="0"/>
        <w:autoSpaceDN w:val="0"/>
        <w:adjustRightInd w:val="0"/>
        <w:snapToGrid w:val="0"/>
        <w:spacing w:line="360" w:lineRule="auto"/>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rPr>
        <w:t>依照招标文件要求及投标文件的承诺内容对档案管理系统最终成果（含零配件、标准附件、材料等）、产品、型号、规格、数量、外型、外观、包装及资料、文件（如相关合格证书、全套使用说明书等））进行验收。</w:t>
      </w:r>
    </w:p>
    <w:p>
      <w:pPr>
        <w:numPr>
          <w:ilvl w:val="0"/>
          <w:numId w:val="23"/>
        </w:numPr>
        <w:tabs>
          <w:tab w:val="left" w:pos="425"/>
          <w:tab w:val="left" w:pos="900"/>
        </w:tabs>
        <w:autoSpaceDE w:val="0"/>
        <w:autoSpaceDN w:val="0"/>
        <w:adjustRightInd w:val="0"/>
        <w:snapToGrid w:val="0"/>
        <w:spacing w:line="360" w:lineRule="auto"/>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rPr>
        <w:t>如商检或系统测试中发现档案管理系统性能指标或功能上不符合招标文件和合同要求时，将被视作性能不合格，</w:t>
      </w:r>
      <w:r>
        <w:rPr>
          <w:rFonts w:hint="eastAsia" w:ascii="宋体" w:hAnsi="宋体" w:eastAsia="宋体" w:cs="宋体"/>
          <w:snapToGrid w:val="0"/>
          <w:color w:val="auto"/>
          <w:kern w:val="0"/>
          <w:sz w:val="21"/>
          <w:szCs w:val="21"/>
          <w:highlight w:val="none"/>
          <w:lang w:eastAsia="zh-CN"/>
        </w:rPr>
        <w:t>招标人</w:t>
      </w:r>
      <w:r>
        <w:rPr>
          <w:rFonts w:hint="eastAsia" w:ascii="宋体" w:hAnsi="宋体" w:eastAsia="宋体" w:cs="宋体"/>
          <w:snapToGrid w:val="0"/>
          <w:color w:val="auto"/>
          <w:kern w:val="0"/>
          <w:sz w:val="21"/>
          <w:szCs w:val="21"/>
          <w:highlight w:val="none"/>
        </w:rPr>
        <w:t>有权拒收或要求赔偿。</w:t>
      </w:r>
    </w:p>
    <w:p>
      <w:pPr>
        <w:numPr>
          <w:ilvl w:val="0"/>
          <w:numId w:val="23"/>
        </w:numPr>
        <w:tabs>
          <w:tab w:val="left" w:pos="425"/>
          <w:tab w:val="left" w:pos="900"/>
        </w:tabs>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snapToGrid w:val="0"/>
          <w:color w:val="auto"/>
          <w:kern w:val="0"/>
          <w:sz w:val="21"/>
          <w:szCs w:val="21"/>
          <w:highlight w:val="none"/>
        </w:rPr>
        <w:t>货物在本项目整体验收合格交付使用前的保管安全责任由</w:t>
      </w:r>
      <w:r>
        <w:rPr>
          <w:rFonts w:hint="eastAsia" w:ascii="宋体" w:hAnsi="宋体" w:eastAsia="宋体" w:cs="宋体"/>
          <w:snapToGrid w:val="0"/>
          <w:color w:val="auto"/>
          <w:kern w:val="0"/>
          <w:sz w:val="21"/>
          <w:szCs w:val="21"/>
          <w:highlight w:val="none"/>
          <w:lang w:eastAsia="zh-CN"/>
        </w:rPr>
        <w:t>中标人</w:t>
      </w:r>
      <w:r>
        <w:rPr>
          <w:rFonts w:hint="eastAsia" w:ascii="宋体" w:hAnsi="宋体" w:eastAsia="宋体" w:cs="宋体"/>
          <w:snapToGrid w:val="0"/>
          <w:color w:val="auto"/>
          <w:kern w:val="0"/>
          <w:sz w:val="21"/>
          <w:szCs w:val="21"/>
          <w:highlight w:val="none"/>
        </w:rPr>
        <w:t>承担。</w:t>
      </w:r>
      <w:r>
        <w:rPr>
          <w:rFonts w:hint="eastAsia" w:ascii="宋体" w:hAnsi="宋体" w:eastAsia="宋体" w:cs="宋体"/>
          <w:snapToGrid w:val="0"/>
          <w:color w:val="auto"/>
          <w:kern w:val="0"/>
          <w:sz w:val="21"/>
          <w:szCs w:val="21"/>
          <w:highlight w:val="none"/>
          <w:lang w:eastAsia="zh-CN"/>
        </w:rPr>
        <w:t>中标人</w:t>
      </w:r>
      <w:r>
        <w:rPr>
          <w:rFonts w:hint="eastAsia" w:ascii="宋体" w:hAnsi="宋体" w:eastAsia="宋体" w:cs="宋体"/>
          <w:snapToGrid w:val="0"/>
          <w:color w:val="auto"/>
          <w:kern w:val="0"/>
          <w:sz w:val="21"/>
          <w:szCs w:val="21"/>
          <w:highlight w:val="none"/>
        </w:rPr>
        <w:t>可根据本项目的实际情况和需要，就设备货物是否分批进场，分批次验收等问题，结合自身经验，自行拟定本项目的实施进度方案。实际执行时，</w:t>
      </w:r>
      <w:r>
        <w:rPr>
          <w:rFonts w:hint="eastAsia" w:ascii="宋体" w:hAnsi="宋体" w:eastAsia="宋体" w:cs="宋体"/>
          <w:snapToGrid w:val="0"/>
          <w:color w:val="auto"/>
          <w:kern w:val="0"/>
          <w:sz w:val="21"/>
          <w:szCs w:val="21"/>
          <w:highlight w:val="none"/>
          <w:lang w:eastAsia="zh-CN"/>
        </w:rPr>
        <w:t>招标人</w:t>
      </w:r>
      <w:r>
        <w:rPr>
          <w:rFonts w:hint="eastAsia" w:ascii="宋体" w:hAnsi="宋体" w:eastAsia="宋体" w:cs="宋体"/>
          <w:snapToGrid w:val="0"/>
          <w:color w:val="auto"/>
          <w:kern w:val="0"/>
          <w:sz w:val="21"/>
          <w:szCs w:val="21"/>
          <w:highlight w:val="none"/>
        </w:rPr>
        <w:t>对</w:t>
      </w:r>
      <w:r>
        <w:rPr>
          <w:rFonts w:hint="eastAsia" w:ascii="宋体" w:hAnsi="宋体" w:eastAsia="宋体" w:cs="宋体"/>
          <w:snapToGrid w:val="0"/>
          <w:color w:val="auto"/>
          <w:kern w:val="0"/>
          <w:sz w:val="21"/>
          <w:szCs w:val="21"/>
          <w:highlight w:val="none"/>
          <w:lang w:eastAsia="zh-CN"/>
        </w:rPr>
        <w:t>中标人</w:t>
      </w:r>
      <w:r>
        <w:rPr>
          <w:rFonts w:hint="eastAsia" w:ascii="宋体" w:hAnsi="宋体" w:eastAsia="宋体" w:cs="宋体"/>
          <w:snapToGrid w:val="0"/>
          <w:color w:val="auto"/>
          <w:kern w:val="0"/>
          <w:sz w:val="21"/>
          <w:szCs w:val="21"/>
          <w:highlight w:val="none"/>
        </w:rPr>
        <w:t>的实施进度方案，可根据本项目实际情况进行调整，</w:t>
      </w:r>
      <w:r>
        <w:rPr>
          <w:rFonts w:hint="eastAsia" w:ascii="宋体" w:hAnsi="宋体" w:eastAsia="宋体" w:cs="宋体"/>
          <w:snapToGrid w:val="0"/>
          <w:color w:val="auto"/>
          <w:kern w:val="0"/>
          <w:sz w:val="21"/>
          <w:szCs w:val="21"/>
          <w:highlight w:val="none"/>
          <w:lang w:eastAsia="zh-CN"/>
        </w:rPr>
        <w:t>中标人</w:t>
      </w:r>
      <w:r>
        <w:rPr>
          <w:rFonts w:hint="eastAsia" w:ascii="宋体" w:hAnsi="宋体" w:eastAsia="宋体" w:cs="宋体"/>
          <w:snapToGrid w:val="0"/>
          <w:color w:val="auto"/>
          <w:kern w:val="0"/>
          <w:sz w:val="21"/>
          <w:szCs w:val="21"/>
          <w:highlight w:val="none"/>
        </w:rPr>
        <w:t>须予以服从。一切实施进度方案必须得到</w:t>
      </w:r>
      <w:r>
        <w:rPr>
          <w:rFonts w:hint="eastAsia" w:ascii="宋体" w:hAnsi="宋体" w:eastAsia="宋体" w:cs="宋体"/>
          <w:snapToGrid w:val="0"/>
          <w:color w:val="auto"/>
          <w:kern w:val="0"/>
          <w:sz w:val="21"/>
          <w:szCs w:val="21"/>
          <w:highlight w:val="none"/>
          <w:lang w:eastAsia="zh-CN"/>
        </w:rPr>
        <w:t>招标人</w:t>
      </w:r>
      <w:r>
        <w:rPr>
          <w:rFonts w:hint="eastAsia" w:ascii="宋体" w:hAnsi="宋体" w:eastAsia="宋体" w:cs="宋体"/>
          <w:snapToGrid w:val="0"/>
          <w:color w:val="auto"/>
          <w:kern w:val="0"/>
          <w:sz w:val="21"/>
          <w:szCs w:val="21"/>
          <w:highlight w:val="none"/>
        </w:rPr>
        <w:t>的认可后，方能执行。</w:t>
      </w:r>
    </w:p>
    <w:p>
      <w:pPr>
        <w:numPr>
          <w:ilvl w:val="0"/>
          <w:numId w:val="23"/>
        </w:numPr>
        <w:tabs>
          <w:tab w:val="left" w:pos="425"/>
          <w:tab w:val="left" w:pos="900"/>
        </w:tabs>
        <w:autoSpaceDE w:val="0"/>
        <w:autoSpaceDN w:val="0"/>
        <w:adjustRightInd w:val="0"/>
        <w:snapToGrid w:val="0"/>
        <w:spacing w:line="360" w:lineRule="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lang w:eastAsia="zh-CN"/>
        </w:rPr>
        <w:t>中标人</w:t>
      </w:r>
      <w:r>
        <w:rPr>
          <w:rFonts w:hint="eastAsia" w:ascii="宋体" w:hAnsi="宋体" w:eastAsia="宋体" w:cs="宋体"/>
          <w:snapToGrid w:val="0"/>
          <w:color w:val="auto"/>
          <w:kern w:val="0"/>
          <w:sz w:val="21"/>
          <w:szCs w:val="21"/>
          <w:highlight w:val="none"/>
        </w:rPr>
        <w:t>须为安装调试提供必需的一切条件及相关费用。在货物到达</w:t>
      </w:r>
      <w:r>
        <w:rPr>
          <w:rFonts w:hint="eastAsia" w:ascii="宋体" w:hAnsi="宋体" w:eastAsia="宋体" w:cs="宋体"/>
          <w:snapToGrid w:val="0"/>
          <w:color w:val="auto"/>
          <w:kern w:val="0"/>
          <w:sz w:val="21"/>
          <w:szCs w:val="21"/>
          <w:highlight w:val="none"/>
          <w:lang w:eastAsia="zh-CN"/>
        </w:rPr>
        <w:t>招标人</w:t>
      </w:r>
      <w:r>
        <w:rPr>
          <w:rFonts w:hint="eastAsia" w:ascii="宋体" w:hAnsi="宋体" w:eastAsia="宋体" w:cs="宋体"/>
          <w:snapToGrid w:val="0"/>
          <w:color w:val="auto"/>
          <w:kern w:val="0"/>
          <w:sz w:val="21"/>
          <w:szCs w:val="21"/>
          <w:highlight w:val="none"/>
        </w:rPr>
        <w:t>（使用单位）指定地点后，</w:t>
      </w:r>
      <w:r>
        <w:rPr>
          <w:rFonts w:hint="eastAsia" w:ascii="宋体" w:hAnsi="宋体" w:eastAsia="宋体" w:cs="宋体"/>
          <w:snapToGrid w:val="0"/>
          <w:color w:val="auto"/>
          <w:kern w:val="0"/>
          <w:sz w:val="21"/>
          <w:szCs w:val="21"/>
          <w:highlight w:val="none"/>
          <w:lang w:eastAsia="zh-CN"/>
        </w:rPr>
        <w:t>中标人</w:t>
      </w:r>
      <w:r>
        <w:rPr>
          <w:rFonts w:hint="eastAsia" w:ascii="宋体" w:hAnsi="宋体" w:eastAsia="宋体" w:cs="宋体"/>
          <w:snapToGrid w:val="0"/>
          <w:color w:val="auto"/>
          <w:kern w:val="0"/>
          <w:sz w:val="21"/>
          <w:szCs w:val="21"/>
          <w:highlight w:val="none"/>
        </w:rPr>
        <w:t>应在1个工作日内派技术人员到达现场，在</w:t>
      </w:r>
      <w:r>
        <w:rPr>
          <w:rFonts w:hint="eastAsia" w:ascii="宋体" w:hAnsi="宋体" w:eastAsia="宋体" w:cs="宋体"/>
          <w:snapToGrid w:val="0"/>
          <w:color w:val="auto"/>
          <w:kern w:val="0"/>
          <w:sz w:val="21"/>
          <w:szCs w:val="21"/>
          <w:highlight w:val="none"/>
          <w:lang w:eastAsia="zh-CN"/>
        </w:rPr>
        <w:t>招标人</w:t>
      </w:r>
      <w:r>
        <w:rPr>
          <w:rFonts w:hint="eastAsia" w:ascii="宋体" w:hAnsi="宋体" w:eastAsia="宋体" w:cs="宋体"/>
          <w:snapToGrid w:val="0"/>
          <w:color w:val="auto"/>
          <w:kern w:val="0"/>
          <w:sz w:val="21"/>
          <w:szCs w:val="21"/>
          <w:highlight w:val="none"/>
        </w:rPr>
        <w:t>技术人员在场的情况下组织安装、调试。</w:t>
      </w:r>
    </w:p>
    <w:p>
      <w:pPr>
        <w:numPr>
          <w:ilvl w:val="0"/>
          <w:numId w:val="23"/>
        </w:numPr>
        <w:tabs>
          <w:tab w:val="left" w:pos="425"/>
          <w:tab w:val="left" w:pos="900"/>
        </w:tabs>
        <w:autoSpaceDE w:val="0"/>
        <w:autoSpaceDN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snapToGrid w:val="0"/>
          <w:color w:val="auto"/>
          <w:kern w:val="0"/>
          <w:sz w:val="21"/>
          <w:szCs w:val="21"/>
          <w:highlight w:val="none"/>
        </w:rPr>
        <w:t>安装调试时，</w:t>
      </w:r>
      <w:r>
        <w:rPr>
          <w:rFonts w:hint="eastAsia" w:ascii="宋体" w:hAnsi="宋体" w:eastAsia="宋体" w:cs="宋体"/>
          <w:snapToGrid w:val="0"/>
          <w:color w:val="auto"/>
          <w:kern w:val="0"/>
          <w:sz w:val="21"/>
          <w:szCs w:val="21"/>
          <w:highlight w:val="none"/>
          <w:lang w:eastAsia="zh-CN"/>
        </w:rPr>
        <w:t>中标人</w:t>
      </w:r>
      <w:r>
        <w:rPr>
          <w:rFonts w:hint="eastAsia" w:ascii="宋体" w:hAnsi="宋体" w:eastAsia="宋体" w:cs="宋体"/>
          <w:snapToGrid w:val="0"/>
          <w:color w:val="auto"/>
          <w:kern w:val="0"/>
          <w:sz w:val="21"/>
          <w:szCs w:val="21"/>
          <w:highlight w:val="none"/>
        </w:rPr>
        <w:t>的人员应服从</w:t>
      </w:r>
      <w:r>
        <w:rPr>
          <w:rFonts w:hint="eastAsia" w:ascii="宋体" w:hAnsi="宋体" w:eastAsia="宋体" w:cs="宋体"/>
          <w:snapToGrid w:val="0"/>
          <w:color w:val="auto"/>
          <w:kern w:val="0"/>
          <w:sz w:val="21"/>
          <w:szCs w:val="21"/>
          <w:highlight w:val="none"/>
          <w:lang w:eastAsia="zh-CN"/>
        </w:rPr>
        <w:t>招标人</w:t>
      </w:r>
      <w:r>
        <w:rPr>
          <w:rFonts w:hint="eastAsia" w:ascii="宋体" w:hAnsi="宋体" w:eastAsia="宋体" w:cs="宋体"/>
          <w:snapToGrid w:val="0"/>
          <w:color w:val="auto"/>
          <w:kern w:val="0"/>
          <w:sz w:val="21"/>
          <w:szCs w:val="21"/>
          <w:highlight w:val="none"/>
        </w:rPr>
        <w:t>、使用单位或其他管理单位的管理，做好沟通协调工作，做好安全防护措施。</w:t>
      </w:r>
      <w:r>
        <w:rPr>
          <w:rFonts w:hint="eastAsia" w:ascii="宋体" w:hAnsi="宋体" w:eastAsia="宋体" w:cs="宋体"/>
          <w:snapToGrid w:val="0"/>
          <w:color w:val="auto"/>
          <w:kern w:val="0"/>
          <w:sz w:val="21"/>
          <w:szCs w:val="21"/>
          <w:highlight w:val="none"/>
          <w:lang w:eastAsia="zh-CN"/>
        </w:rPr>
        <w:t>中标人</w:t>
      </w:r>
      <w:r>
        <w:rPr>
          <w:rFonts w:hint="eastAsia" w:ascii="宋体" w:hAnsi="宋体" w:eastAsia="宋体" w:cs="宋体"/>
          <w:snapToGrid w:val="0"/>
          <w:color w:val="auto"/>
          <w:kern w:val="0"/>
          <w:sz w:val="21"/>
          <w:szCs w:val="21"/>
          <w:highlight w:val="none"/>
        </w:rPr>
        <w:t>的人员在安装调试过程中发生的安全事故由</w:t>
      </w:r>
      <w:r>
        <w:rPr>
          <w:rFonts w:hint="eastAsia" w:ascii="宋体" w:hAnsi="宋体" w:eastAsia="宋体" w:cs="宋体"/>
          <w:snapToGrid w:val="0"/>
          <w:color w:val="auto"/>
          <w:kern w:val="0"/>
          <w:sz w:val="21"/>
          <w:szCs w:val="21"/>
          <w:highlight w:val="none"/>
          <w:lang w:eastAsia="zh-CN"/>
        </w:rPr>
        <w:t>中标人</w:t>
      </w:r>
      <w:r>
        <w:rPr>
          <w:rFonts w:hint="eastAsia" w:ascii="宋体" w:hAnsi="宋体" w:eastAsia="宋体" w:cs="宋体"/>
          <w:snapToGrid w:val="0"/>
          <w:color w:val="auto"/>
          <w:kern w:val="0"/>
          <w:sz w:val="21"/>
          <w:szCs w:val="21"/>
          <w:highlight w:val="none"/>
        </w:rPr>
        <w:t>承担。</w:t>
      </w:r>
    </w:p>
    <w:p>
      <w:pPr>
        <w:numPr>
          <w:ilvl w:val="0"/>
          <w:numId w:val="23"/>
        </w:numPr>
        <w:tabs>
          <w:tab w:val="left" w:pos="425"/>
          <w:tab w:val="left" w:pos="900"/>
        </w:tabs>
        <w:autoSpaceDE w:val="0"/>
        <w:autoSpaceDN w:val="0"/>
        <w:adjustRightInd w:val="0"/>
        <w:snapToGrid w:val="0"/>
        <w:spacing w:line="360" w:lineRule="auto"/>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招标人在整体验收后60天内如对货物的型号、规格、质量有异议时，应在妥善保管货物的同时，即向中标人提出书面异议。</w:t>
      </w:r>
    </w:p>
    <w:p>
      <w:pPr>
        <w:numPr>
          <w:ilvl w:val="0"/>
          <w:numId w:val="23"/>
        </w:numPr>
        <w:tabs>
          <w:tab w:val="left" w:pos="425"/>
          <w:tab w:val="left" w:pos="900"/>
        </w:tabs>
        <w:autoSpaceDE w:val="0"/>
        <w:autoSpaceDN w:val="0"/>
        <w:adjustRightInd w:val="0"/>
        <w:snapToGrid w:val="0"/>
        <w:spacing w:line="360" w:lineRule="auto"/>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中标人在接到招标人书面异议后，应在2天内负责处理并函复招标人处理情况，否则，即视为默认招标人提出的异议和处理意见。</w:t>
      </w:r>
    </w:p>
    <w:p>
      <w:pPr>
        <w:numPr>
          <w:ilvl w:val="0"/>
          <w:numId w:val="23"/>
        </w:numPr>
        <w:tabs>
          <w:tab w:val="left" w:pos="425"/>
          <w:tab w:val="left" w:pos="900"/>
        </w:tabs>
        <w:autoSpaceDE w:val="0"/>
        <w:autoSpaceDN w:val="0"/>
        <w:adjustRightInd w:val="0"/>
        <w:snapToGrid w:val="0"/>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snapToGrid w:val="0"/>
          <w:color w:val="auto"/>
          <w:kern w:val="0"/>
          <w:sz w:val="21"/>
          <w:szCs w:val="21"/>
          <w:highlight w:val="none"/>
          <w:lang w:val="en-US" w:eastAsia="zh-CN"/>
        </w:rPr>
        <w:t>招标人因违章操作、保管、保养不善等人为造成货物损毁，所提出的异议中标人有权不予接受。</w:t>
      </w:r>
    </w:p>
    <w:p>
      <w:pPr>
        <w:numPr>
          <w:ilvl w:val="0"/>
          <w:numId w:val="23"/>
        </w:numPr>
        <w:tabs>
          <w:tab w:val="left" w:pos="425"/>
          <w:tab w:val="left" w:pos="900"/>
        </w:tabs>
        <w:autoSpaceDE w:val="0"/>
        <w:autoSpaceDN w:val="0"/>
        <w:adjustRightInd w:val="0"/>
        <w:snapToGrid w:val="0"/>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中标人</w:t>
      </w:r>
      <w:r>
        <w:rPr>
          <w:rFonts w:hint="eastAsia" w:ascii="宋体" w:hAnsi="宋体" w:eastAsia="宋体" w:cs="宋体"/>
          <w:b w:val="0"/>
          <w:bCs w:val="0"/>
          <w:color w:val="auto"/>
          <w:sz w:val="21"/>
          <w:szCs w:val="21"/>
          <w:highlight w:val="none"/>
        </w:rPr>
        <w:t>应将关键主机设备的用户手册、保修手册、有关单证资料及配备件、随机工具等交付给</w:t>
      </w:r>
      <w:r>
        <w:rPr>
          <w:rFonts w:hint="eastAsia" w:ascii="宋体" w:hAnsi="宋体" w:eastAsia="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rPr>
        <w:t>，使用操作及安全须知等重要资料应附有中文说明。</w:t>
      </w:r>
    </w:p>
    <w:p>
      <w:pPr>
        <w:numPr>
          <w:ilvl w:val="0"/>
          <w:numId w:val="23"/>
        </w:numPr>
        <w:tabs>
          <w:tab w:val="left" w:pos="425"/>
          <w:tab w:val="left" w:pos="900"/>
        </w:tabs>
        <w:autoSpaceDE w:val="0"/>
        <w:autoSpaceDN w:val="0"/>
        <w:adjustRightInd w:val="0"/>
        <w:snapToGrid w:val="0"/>
        <w:spacing w:line="360" w:lineRule="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提供完整的维护手册、使用及维护光盘。提供维护软件及开放密码。提供完整的安装软件，以便日后系统重装。</w:t>
      </w:r>
    </w:p>
    <w:p>
      <w:pPr>
        <w:numPr>
          <w:ilvl w:val="0"/>
          <w:numId w:val="23"/>
        </w:numPr>
        <w:tabs>
          <w:tab w:val="left" w:pos="425"/>
          <w:tab w:val="left" w:pos="900"/>
        </w:tabs>
        <w:autoSpaceDE w:val="0"/>
        <w:autoSpaceDN w:val="0"/>
        <w:adjustRightInd w:val="0"/>
        <w:snapToGrid w:val="0"/>
        <w:spacing w:line="360" w:lineRule="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如有备件，</w:t>
      </w:r>
      <w:r>
        <w:rPr>
          <w:rFonts w:hint="eastAsia" w:ascii="宋体" w:hAnsi="宋体" w:eastAsia="宋体" w:cs="宋体"/>
          <w:snapToGrid w:val="0"/>
          <w:color w:val="auto"/>
          <w:kern w:val="0"/>
          <w:sz w:val="21"/>
          <w:szCs w:val="21"/>
          <w:highlight w:val="none"/>
          <w:lang w:eastAsia="zh-CN"/>
        </w:rPr>
        <w:t>中标人</w:t>
      </w:r>
      <w:r>
        <w:rPr>
          <w:rFonts w:hint="eastAsia" w:ascii="宋体" w:hAnsi="宋体" w:eastAsia="宋体" w:cs="宋体"/>
          <w:snapToGrid w:val="0"/>
          <w:color w:val="auto"/>
          <w:kern w:val="0"/>
          <w:sz w:val="21"/>
          <w:szCs w:val="21"/>
          <w:highlight w:val="none"/>
        </w:rPr>
        <w:t>应随机向</w:t>
      </w:r>
      <w:r>
        <w:rPr>
          <w:rFonts w:hint="eastAsia" w:ascii="宋体" w:hAnsi="宋体" w:eastAsia="宋体" w:cs="宋体"/>
          <w:snapToGrid w:val="0"/>
          <w:color w:val="auto"/>
          <w:kern w:val="0"/>
          <w:sz w:val="21"/>
          <w:szCs w:val="21"/>
          <w:highlight w:val="none"/>
          <w:lang w:eastAsia="zh-CN"/>
        </w:rPr>
        <w:t>招标人</w:t>
      </w:r>
      <w:r>
        <w:rPr>
          <w:rFonts w:hint="eastAsia" w:ascii="宋体" w:hAnsi="宋体" w:eastAsia="宋体" w:cs="宋体"/>
          <w:snapToGrid w:val="0"/>
          <w:color w:val="auto"/>
          <w:kern w:val="0"/>
          <w:sz w:val="21"/>
          <w:szCs w:val="21"/>
          <w:highlight w:val="none"/>
        </w:rPr>
        <w:t>提供一套标准备件包，并列出清单及单价。</w:t>
      </w:r>
    </w:p>
    <w:p>
      <w:pPr>
        <w:numPr>
          <w:ilvl w:val="0"/>
          <w:numId w:val="23"/>
        </w:numPr>
        <w:tabs>
          <w:tab w:val="left" w:pos="425"/>
          <w:tab w:val="left" w:pos="900"/>
        </w:tabs>
        <w:autoSpaceDE w:val="0"/>
        <w:autoSpaceDN w:val="0"/>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snapToGrid w:val="0"/>
          <w:color w:val="auto"/>
          <w:kern w:val="0"/>
          <w:sz w:val="21"/>
          <w:szCs w:val="21"/>
          <w:highlight w:val="none"/>
          <w:lang w:eastAsia="zh-CN"/>
        </w:rPr>
        <w:t>中标人</w:t>
      </w:r>
      <w:r>
        <w:rPr>
          <w:rFonts w:hint="eastAsia" w:ascii="宋体" w:hAnsi="宋体" w:eastAsia="宋体" w:cs="宋体"/>
          <w:snapToGrid w:val="0"/>
          <w:color w:val="auto"/>
          <w:kern w:val="0"/>
          <w:sz w:val="21"/>
          <w:szCs w:val="21"/>
          <w:highlight w:val="none"/>
        </w:rPr>
        <w:t>须向</w:t>
      </w:r>
      <w:r>
        <w:rPr>
          <w:rFonts w:hint="eastAsia" w:ascii="宋体" w:hAnsi="宋体" w:eastAsia="宋体" w:cs="宋体"/>
          <w:snapToGrid w:val="0"/>
          <w:color w:val="auto"/>
          <w:kern w:val="0"/>
          <w:sz w:val="21"/>
          <w:szCs w:val="21"/>
          <w:highlight w:val="none"/>
          <w:lang w:eastAsia="zh-CN"/>
        </w:rPr>
        <w:t>招标人</w:t>
      </w:r>
      <w:r>
        <w:rPr>
          <w:rFonts w:hint="eastAsia" w:ascii="宋体" w:hAnsi="宋体" w:eastAsia="宋体" w:cs="宋体"/>
          <w:snapToGrid w:val="0"/>
          <w:color w:val="auto"/>
          <w:kern w:val="0"/>
          <w:sz w:val="21"/>
          <w:szCs w:val="21"/>
          <w:highlight w:val="none"/>
        </w:rPr>
        <w:t>提供设备的运行、安装、使用环境要求。</w:t>
      </w:r>
    </w:p>
    <w:p>
      <w:pPr>
        <w:numPr>
          <w:ilvl w:val="0"/>
          <w:numId w:val="23"/>
        </w:numPr>
        <w:tabs>
          <w:tab w:val="left" w:pos="425"/>
          <w:tab w:val="left" w:pos="900"/>
        </w:tabs>
        <w:autoSpaceDE w:val="0"/>
        <w:autoSpaceDN w:val="0"/>
        <w:adjustRightInd w:val="0"/>
        <w:snapToGrid w:val="0"/>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rPr>
        <w:t>组成验收小组按国家有关规定、规范进行验收，必要时邀请相关的专业人员或机构参与验收。因货物质量问题发生争议时，由本地质量技术监督部门鉴定。货物符合质量技术标准的，鉴定费由</w:t>
      </w:r>
      <w:r>
        <w:rPr>
          <w:rFonts w:hint="eastAsia" w:ascii="宋体" w:hAnsi="宋体" w:eastAsia="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rPr>
        <w:t>承担；否则鉴定费由</w:t>
      </w:r>
      <w:r>
        <w:rPr>
          <w:rFonts w:hint="eastAsia" w:ascii="宋体" w:hAnsi="宋体" w:eastAsia="宋体" w:cs="宋体"/>
          <w:b w:val="0"/>
          <w:bCs w:val="0"/>
          <w:color w:val="auto"/>
          <w:sz w:val="21"/>
          <w:szCs w:val="21"/>
          <w:highlight w:val="none"/>
          <w:lang w:eastAsia="zh-CN"/>
        </w:rPr>
        <w:t>中标人</w:t>
      </w:r>
      <w:r>
        <w:rPr>
          <w:rFonts w:hint="eastAsia" w:ascii="宋体" w:hAnsi="宋体" w:eastAsia="宋体" w:cs="宋体"/>
          <w:b w:val="0"/>
          <w:bCs w:val="0"/>
          <w:color w:val="auto"/>
          <w:sz w:val="21"/>
          <w:szCs w:val="21"/>
          <w:highlight w:val="none"/>
        </w:rPr>
        <w:t>承担。</w:t>
      </w:r>
    </w:p>
    <w:p>
      <w:pPr>
        <w:pStyle w:val="8"/>
        <w:numPr>
          <w:ilvl w:val="0"/>
          <w:numId w:val="8"/>
        </w:numPr>
        <w:tabs>
          <w:tab w:val="left" w:pos="540"/>
        </w:tabs>
        <w:adjustRightInd w:val="0"/>
        <w:snapToGrid w:val="0"/>
        <w:spacing w:line="360" w:lineRule="auto"/>
        <w:rPr>
          <w:rFonts w:hint="eastAsia" w:hAnsi="宋体"/>
          <w:b/>
          <w:bCs/>
          <w:color w:val="auto"/>
          <w:highlight w:val="none"/>
        </w:rPr>
      </w:pPr>
      <w:r>
        <w:rPr>
          <w:rFonts w:hint="eastAsia" w:hAnsi="宋体"/>
          <w:b/>
          <w:bCs/>
          <w:color w:val="auto"/>
          <w:highlight w:val="none"/>
          <w:lang w:eastAsia="zh-CN"/>
        </w:rPr>
        <w:t>结算方式</w:t>
      </w:r>
    </w:p>
    <w:p>
      <w:pPr>
        <w:numPr>
          <w:ilvl w:val="0"/>
          <w:numId w:val="24"/>
        </w:numPr>
        <w:tabs>
          <w:tab w:val="left" w:pos="0"/>
        </w:tabs>
        <w:spacing w:line="360" w:lineRule="auto"/>
        <w:ind w:left="425" w:leftChars="0" w:hanging="425" w:firstLineChars="0"/>
        <w:rPr>
          <w:rFonts w:hint="eastAsia" w:ascii="宋体" w:hAnsi="宋体" w:eastAsia="宋体" w:cs="宋体"/>
          <w:b w:val="0"/>
          <w:bCs w:val="0"/>
          <w:snapToGrid w:val="0"/>
          <w:color w:val="auto"/>
          <w:kern w:val="0"/>
          <w:sz w:val="21"/>
          <w:szCs w:val="21"/>
          <w:highlight w:val="none"/>
        </w:rPr>
      </w:pPr>
      <w:r>
        <w:rPr>
          <w:rFonts w:hint="eastAsia" w:ascii="宋体" w:hAnsi="宋体" w:eastAsia="宋体" w:cs="宋体"/>
          <w:b w:val="0"/>
          <w:bCs w:val="0"/>
          <w:snapToGrid w:val="0"/>
          <w:color w:val="auto"/>
          <w:kern w:val="0"/>
          <w:sz w:val="21"/>
          <w:szCs w:val="21"/>
          <w:highlight w:val="none"/>
          <w:lang w:val="en-US" w:eastAsia="zh-CN"/>
        </w:rPr>
        <w:t>系统和设备结算：</w:t>
      </w:r>
      <w:r>
        <w:rPr>
          <w:rFonts w:hint="eastAsia" w:ascii="宋体" w:hAnsi="宋体" w:eastAsia="宋体" w:cs="宋体"/>
          <w:b w:val="0"/>
          <w:bCs w:val="0"/>
          <w:snapToGrid w:val="0"/>
          <w:color w:val="auto"/>
          <w:kern w:val="0"/>
          <w:sz w:val="21"/>
          <w:szCs w:val="21"/>
          <w:highlight w:val="none"/>
        </w:rPr>
        <w:t>按</w:t>
      </w:r>
      <w:r>
        <w:rPr>
          <w:rFonts w:hint="eastAsia" w:ascii="宋体" w:hAnsi="宋体" w:eastAsia="宋体" w:cs="宋体"/>
          <w:b w:val="0"/>
          <w:bCs w:val="0"/>
          <w:snapToGrid w:val="0"/>
          <w:color w:val="auto"/>
          <w:kern w:val="0"/>
          <w:sz w:val="21"/>
          <w:szCs w:val="21"/>
          <w:highlight w:val="none"/>
          <w:lang w:eastAsia="zh-CN"/>
        </w:rPr>
        <w:t>系统和</w:t>
      </w:r>
      <w:r>
        <w:rPr>
          <w:rFonts w:hint="eastAsia" w:ascii="宋体" w:hAnsi="宋体" w:eastAsia="宋体" w:cs="宋体"/>
          <w:b w:val="0"/>
          <w:bCs w:val="0"/>
          <w:snapToGrid w:val="0"/>
          <w:color w:val="auto"/>
          <w:kern w:val="0"/>
          <w:sz w:val="21"/>
          <w:szCs w:val="21"/>
          <w:highlight w:val="none"/>
        </w:rPr>
        <w:t>设备</w:t>
      </w:r>
      <w:r>
        <w:rPr>
          <w:rFonts w:hint="eastAsia" w:ascii="宋体" w:hAnsi="宋体" w:eastAsia="宋体" w:cs="宋体"/>
          <w:b w:val="0"/>
          <w:bCs w:val="0"/>
          <w:snapToGrid w:val="0"/>
          <w:color w:val="auto"/>
          <w:kern w:val="0"/>
          <w:sz w:val="21"/>
          <w:szCs w:val="21"/>
          <w:highlight w:val="none"/>
          <w:lang w:eastAsia="zh-CN"/>
        </w:rPr>
        <w:t>投标</w:t>
      </w:r>
      <w:r>
        <w:rPr>
          <w:rFonts w:hint="eastAsia" w:ascii="宋体" w:hAnsi="宋体" w:eastAsia="宋体" w:cs="宋体"/>
          <w:b w:val="0"/>
          <w:bCs w:val="0"/>
          <w:snapToGrid w:val="0"/>
          <w:color w:val="auto"/>
          <w:kern w:val="0"/>
          <w:sz w:val="21"/>
          <w:szCs w:val="21"/>
          <w:highlight w:val="none"/>
        </w:rPr>
        <w:t>固定不变价及</w:t>
      </w:r>
      <w:r>
        <w:rPr>
          <w:rFonts w:hint="eastAsia" w:ascii="宋体" w:hAnsi="宋体" w:eastAsia="宋体" w:cs="宋体"/>
          <w:b w:val="0"/>
          <w:bCs w:val="0"/>
          <w:snapToGrid w:val="0"/>
          <w:color w:val="auto"/>
          <w:kern w:val="0"/>
          <w:sz w:val="21"/>
          <w:szCs w:val="21"/>
          <w:highlight w:val="none"/>
          <w:lang w:eastAsia="zh-CN"/>
        </w:rPr>
        <w:t>中标人</w:t>
      </w:r>
      <w:r>
        <w:rPr>
          <w:rFonts w:hint="eastAsia" w:ascii="宋体" w:hAnsi="宋体" w:eastAsia="宋体" w:cs="宋体"/>
          <w:b w:val="0"/>
          <w:bCs w:val="0"/>
          <w:snapToGrid w:val="0"/>
          <w:color w:val="auto"/>
          <w:kern w:val="0"/>
          <w:sz w:val="21"/>
          <w:szCs w:val="21"/>
          <w:highlight w:val="none"/>
        </w:rPr>
        <w:t>供货并经</w:t>
      </w:r>
      <w:r>
        <w:rPr>
          <w:rFonts w:hint="eastAsia" w:ascii="宋体" w:hAnsi="宋体" w:eastAsia="宋体" w:cs="宋体"/>
          <w:b w:val="0"/>
          <w:bCs w:val="0"/>
          <w:snapToGrid w:val="0"/>
          <w:color w:val="auto"/>
          <w:kern w:val="0"/>
          <w:sz w:val="21"/>
          <w:szCs w:val="21"/>
          <w:highlight w:val="none"/>
          <w:lang w:eastAsia="zh-CN"/>
        </w:rPr>
        <w:t>招标人</w:t>
      </w:r>
      <w:r>
        <w:rPr>
          <w:rFonts w:hint="eastAsia" w:ascii="宋体" w:hAnsi="宋体" w:eastAsia="宋体" w:cs="宋体"/>
          <w:b w:val="0"/>
          <w:bCs w:val="0"/>
          <w:snapToGrid w:val="0"/>
          <w:color w:val="auto"/>
          <w:kern w:val="0"/>
          <w:sz w:val="21"/>
          <w:szCs w:val="21"/>
          <w:highlight w:val="none"/>
        </w:rPr>
        <w:t>书面确认的设备数量进行结算。</w:t>
      </w:r>
    </w:p>
    <w:p>
      <w:pPr>
        <w:pStyle w:val="2"/>
        <w:numPr>
          <w:ilvl w:val="0"/>
          <w:numId w:val="24"/>
        </w:numPr>
        <w:spacing w:line="360" w:lineRule="auto"/>
        <w:ind w:left="425" w:leftChars="0" w:hanging="425" w:firstLineChars="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档案整理服务费用结算：按</w:t>
      </w:r>
      <w:r>
        <w:rPr>
          <w:rFonts w:hint="eastAsia" w:ascii="宋体" w:hAnsi="宋体" w:cs="宋体"/>
          <w:b w:val="0"/>
          <w:bCs w:val="0"/>
          <w:color w:val="auto"/>
          <w:sz w:val="21"/>
          <w:szCs w:val="21"/>
          <w:highlight w:val="none"/>
          <w:lang w:val="en-US" w:eastAsia="zh-CN"/>
        </w:rPr>
        <w:t>用户</w:t>
      </w:r>
      <w:r>
        <w:rPr>
          <w:rFonts w:hint="eastAsia" w:ascii="宋体" w:hAnsi="宋体" w:eastAsia="宋体" w:cs="宋体"/>
          <w:b w:val="0"/>
          <w:bCs w:val="0"/>
          <w:color w:val="auto"/>
          <w:sz w:val="21"/>
          <w:szCs w:val="21"/>
          <w:highlight w:val="none"/>
          <w:lang w:val="en-US" w:eastAsia="zh-CN"/>
        </w:rPr>
        <w:t>实际扫描数量统计，经</w:t>
      </w:r>
      <w:r>
        <w:rPr>
          <w:rFonts w:hint="eastAsia" w:ascii="宋体" w:hAnsi="宋体" w:cs="宋体"/>
          <w:b w:val="0"/>
          <w:bCs w:val="0"/>
          <w:color w:val="auto"/>
          <w:sz w:val="21"/>
          <w:szCs w:val="21"/>
          <w:highlight w:val="none"/>
          <w:lang w:val="en-US" w:eastAsia="zh-CN"/>
        </w:rPr>
        <w:t>用户和中标人</w:t>
      </w:r>
      <w:r>
        <w:rPr>
          <w:rFonts w:hint="eastAsia" w:ascii="宋体" w:hAnsi="宋体" w:eastAsia="宋体" w:cs="宋体"/>
          <w:b w:val="0"/>
          <w:bCs w:val="0"/>
          <w:color w:val="auto"/>
          <w:sz w:val="21"/>
          <w:szCs w:val="21"/>
          <w:highlight w:val="none"/>
          <w:lang w:val="en-US" w:eastAsia="zh-CN"/>
        </w:rPr>
        <w:t>双方签字确认数量，根据中标人投标时的单价结算，服务费用</w:t>
      </w:r>
      <w:r>
        <w:rPr>
          <w:rFonts w:hint="eastAsia" w:ascii="宋体" w:hAnsi="宋体" w:cs="宋体"/>
          <w:b w:val="0"/>
          <w:bCs w:val="0"/>
          <w:color w:val="auto"/>
          <w:sz w:val="21"/>
          <w:szCs w:val="21"/>
          <w:highlight w:val="none"/>
          <w:lang w:val="en-US" w:eastAsia="zh-CN"/>
        </w:rPr>
        <w:t>由各用户</w:t>
      </w:r>
      <w:r>
        <w:rPr>
          <w:rFonts w:hint="eastAsia" w:ascii="宋体" w:hAnsi="宋体" w:eastAsia="宋体" w:cs="宋体"/>
          <w:b w:val="0"/>
          <w:bCs w:val="0"/>
          <w:color w:val="auto"/>
          <w:sz w:val="21"/>
          <w:szCs w:val="21"/>
          <w:highlight w:val="none"/>
          <w:lang w:val="en-US" w:eastAsia="zh-CN"/>
        </w:rPr>
        <w:t>每月结算一次。</w:t>
      </w:r>
    </w:p>
    <w:p>
      <w:pPr>
        <w:pStyle w:val="8"/>
        <w:numPr>
          <w:ilvl w:val="0"/>
          <w:numId w:val="8"/>
        </w:numPr>
        <w:tabs>
          <w:tab w:val="left" w:pos="540"/>
        </w:tabs>
        <w:adjustRightInd w:val="0"/>
        <w:snapToGrid w:val="0"/>
        <w:spacing w:line="360" w:lineRule="auto"/>
        <w:rPr>
          <w:rFonts w:hint="eastAsia" w:hAnsi="宋体"/>
          <w:b/>
          <w:bCs/>
          <w:color w:val="auto"/>
          <w:highlight w:val="none"/>
        </w:rPr>
      </w:pPr>
      <w:r>
        <w:rPr>
          <w:rFonts w:hint="eastAsia" w:hAnsi="宋体"/>
          <w:b/>
          <w:bCs/>
          <w:color w:val="auto"/>
          <w:highlight w:val="none"/>
        </w:rPr>
        <w:t>付款方式</w:t>
      </w:r>
    </w:p>
    <w:p>
      <w:pPr>
        <w:pStyle w:val="8"/>
        <w:tabs>
          <w:tab w:val="left" w:pos="2340"/>
        </w:tabs>
        <w:adjustRightInd w:val="0"/>
        <w:snapToGrid w:val="0"/>
        <w:spacing w:line="360" w:lineRule="auto"/>
        <w:ind w:firstLine="525" w:firstLineChars="250"/>
        <w:rPr>
          <w:rFonts w:hint="eastAsia" w:hAnsi="宋体"/>
          <w:bCs/>
          <w:color w:val="auto"/>
          <w:highlight w:val="none"/>
        </w:rPr>
      </w:pPr>
      <w:r>
        <w:rPr>
          <w:rFonts w:hint="eastAsia" w:hAnsi="宋体"/>
          <w:bCs/>
          <w:color w:val="auto"/>
          <w:highlight w:val="none"/>
        </w:rPr>
        <w:t>由</w:t>
      </w:r>
      <w:r>
        <w:rPr>
          <w:rFonts w:hint="eastAsia" w:hAnsi="宋体"/>
          <w:bCs/>
          <w:color w:val="auto"/>
          <w:highlight w:val="none"/>
          <w:lang w:eastAsia="zh-CN"/>
        </w:rPr>
        <w:t>用户</w:t>
      </w:r>
      <w:r>
        <w:rPr>
          <w:rFonts w:hint="eastAsia" w:hAnsi="宋体"/>
          <w:bCs/>
          <w:color w:val="auto"/>
          <w:highlight w:val="none"/>
        </w:rPr>
        <w:t>按下列程序付款：</w:t>
      </w:r>
    </w:p>
    <w:p>
      <w:pPr>
        <w:pStyle w:val="8"/>
        <w:numPr>
          <w:ilvl w:val="0"/>
          <w:numId w:val="25"/>
        </w:numPr>
        <w:tabs>
          <w:tab w:val="left" w:pos="2340"/>
        </w:tabs>
        <w:adjustRightInd w:val="0"/>
        <w:snapToGrid w:val="0"/>
        <w:spacing w:line="360" w:lineRule="auto"/>
        <w:rPr>
          <w:rFonts w:hint="eastAsia" w:hAnsi="宋体"/>
          <w:bCs/>
          <w:color w:val="auto"/>
          <w:highlight w:val="none"/>
        </w:rPr>
      </w:pPr>
      <w:r>
        <w:rPr>
          <w:rFonts w:hint="eastAsia" w:hAnsi="宋体"/>
          <w:bCs/>
          <w:color w:val="auto"/>
          <w:highlight w:val="none"/>
        </w:rPr>
        <w:t>签订合同后15个工作日内，</w:t>
      </w:r>
      <w:r>
        <w:rPr>
          <w:rFonts w:hint="eastAsia" w:hAnsi="宋体"/>
          <w:bCs/>
          <w:color w:val="auto"/>
          <w:highlight w:val="none"/>
          <w:lang w:eastAsia="zh-CN"/>
        </w:rPr>
        <w:t>中标人分别向用户</w:t>
      </w:r>
      <w:r>
        <w:rPr>
          <w:rFonts w:hint="eastAsia" w:hAnsi="宋体"/>
          <w:bCs/>
          <w:color w:val="auto"/>
          <w:highlight w:val="none"/>
        </w:rPr>
        <w:t>提出申请，</w:t>
      </w:r>
      <w:r>
        <w:rPr>
          <w:rFonts w:hint="eastAsia" w:hAnsi="宋体"/>
          <w:bCs/>
          <w:color w:val="auto"/>
          <w:highlight w:val="none"/>
          <w:lang w:eastAsia="zh-CN"/>
        </w:rPr>
        <w:t>用户</w:t>
      </w:r>
      <w:r>
        <w:rPr>
          <w:rFonts w:hint="eastAsia" w:hAnsi="宋体"/>
          <w:bCs/>
          <w:color w:val="auto"/>
          <w:highlight w:val="none"/>
        </w:rPr>
        <w:t>向</w:t>
      </w:r>
      <w:r>
        <w:rPr>
          <w:rFonts w:hint="eastAsia" w:hAnsi="宋体"/>
          <w:bCs/>
          <w:color w:val="auto"/>
          <w:highlight w:val="none"/>
          <w:lang w:eastAsia="zh-CN"/>
        </w:rPr>
        <w:t>中标人</w:t>
      </w:r>
      <w:r>
        <w:rPr>
          <w:rFonts w:hint="eastAsia" w:hAnsi="宋体"/>
          <w:bCs/>
          <w:color w:val="auto"/>
          <w:highlight w:val="none"/>
        </w:rPr>
        <w:t>支付合同总额的20%</w:t>
      </w:r>
      <w:r>
        <w:rPr>
          <w:rFonts w:hint="eastAsia" w:hAnsi="宋体"/>
          <w:bCs/>
          <w:color w:val="auto"/>
          <w:highlight w:val="none"/>
          <w:lang w:eastAsia="zh-CN"/>
        </w:rPr>
        <w:t>（按其用户单位合同金额比例进行支付）</w:t>
      </w:r>
      <w:r>
        <w:rPr>
          <w:rFonts w:hint="eastAsia" w:hAnsi="宋体"/>
          <w:bCs/>
          <w:color w:val="auto"/>
          <w:highlight w:val="none"/>
        </w:rPr>
        <w:t>。</w:t>
      </w:r>
    </w:p>
    <w:p>
      <w:pPr>
        <w:pStyle w:val="8"/>
        <w:numPr>
          <w:ilvl w:val="0"/>
          <w:numId w:val="25"/>
        </w:numPr>
        <w:tabs>
          <w:tab w:val="left" w:pos="2340"/>
        </w:tabs>
        <w:adjustRightInd w:val="0"/>
        <w:snapToGrid w:val="0"/>
        <w:spacing w:line="360" w:lineRule="auto"/>
        <w:rPr>
          <w:rFonts w:hint="eastAsia" w:ascii="宋体" w:hAnsi="宋体" w:eastAsia="宋体" w:cs="宋体"/>
          <w:color w:val="auto"/>
          <w:sz w:val="21"/>
          <w:szCs w:val="21"/>
          <w:highlight w:val="none"/>
          <w:u w:val="none"/>
        </w:rPr>
      </w:pPr>
      <w:r>
        <w:rPr>
          <w:rFonts w:hint="eastAsia" w:ascii="宋体" w:hAnsi="宋体" w:eastAsia="宋体" w:cs="宋体"/>
          <w:snapToGrid w:val="0"/>
          <w:color w:val="auto"/>
          <w:kern w:val="0"/>
          <w:sz w:val="21"/>
          <w:szCs w:val="21"/>
          <w:highlight w:val="none"/>
        </w:rPr>
        <w:t>项目设备及软件进场并</w:t>
      </w:r>
      <w:r>
        <w:rPr>
          <w:rFonts w:hint="eastAsia" w:ascii="宋体" w:hAnsi="宋体" w:eastAsia="宋体" w:cs="宋体"/>
          <w:snapToGrid w:val="0"/>
          <w:color w:val="auto"/>
          <w:kern w:val="0"/>
          <w:sz w:val="21"/>
          <w:szCs w:val="21"/>
          <w:highlight w:val="none"/>
          <w:lang w:eastAsia="zh-CN"/>
        </w:rPr>
        <w:t>完成</w:t>
      </w:r>
      <w:r>
        <w:rPr>
          <w:rFonts w:hint="eastAsia" w:ascii="宋体" w:hAnsi="宋体" w:eastAsia="宋体" w:cs="宋体"/>
          <w:snapToGrid w:val="0"/>
          <w:color w:val="auto"/>
          <w:kern w:val="0"/>
          <w:sz w:val="21"/>
          <w:szCs w:val="21"/>
          <w:highlight w:val="none"/>
        </w:rPr>
        <w:t>系统建设后1</w:t>
      </w:r>
      <w:r>
        <w:rPr>
          <w:rFonts w:hint="eastAsia" w:ascii="宋体" w:hAnsi="宋体" w:eastAsia="宋体" w:cs="宋体"/>
          <w:snapToGrid w:val="0"/>
          <w:color w:val="auto"/>
          <w:kern w:val="0"/>
          <w:sz w:val="21"/>
          <w:szCs w:val="21"/>
          <w:highlight w:val="none"/>
          <w:lang w:val="en-US" w:eastAsia="zh-CN"/>
        </w:rPr>
        <w:t>5</w:t>
      </w:r>
      <w:r>
        <w:rPr>
          <w:rFonts w:hint="eastAsia" w:ascii="宋体" w:hAnsi="宋体" w:eastAsia="宋体" w:cs="宋体"/>
          <w:snapToGrid w:val="0"/>
          <w:color w:val="auto"/>
          <w:kern w:val="0"/>
          <w:sz w:val="21"/>
          <w:szCs w:val="21"/>
          <w:highlight w:val="none"/>
        </w:rPr>
        <w:t>个工作日内，</w:t>
      </w:r>
      <w:r>
        <w:rPr>
          <w:rFonts w:hint="eastAsia" w:hAnsi="宋体"/>
          <w:bCs/>
          <w:color w:val="auto"/>
          <w:highlight w:val="none"/>
          <w:lang w:eastAsia="zh-CN"/>
        </w:rPr>
        <w:t>用户</w:t>
      </w:r>
      <w:r>
        <w:rPr>
          <w:rFonts w:hint="eastAsia" w:ascii="宋体" w:hAnsi="宋体" w:eastAsia="宋体" w:cs="宋体"/>
          <w:snapToGrid w:val="0"/>
          <w:color w:val="auto"/>
          <w:kern w:val="0"/>
          <w:sz w:val="21"/>
          <w:szCs w:val="21"/>
          <w:highlight w:val="none"/>
        </w:rPr>
        <w:t>向</w:t>
      </w:r>
      <w:r>
        <w:rPr>
          <w:rFonts w:hint="eastAsia" w:ascii="宋体" w:hAnsi="宋体" w:eastAsia="宋体" w:cs="宋体"/>
          <w:snapToGrid w:val="0"/>
          <w:color w:val="auto"/>
          <w:kern w:val="0"/>
          <w:sz w:val="21"/>
          <w:szCs w:val="21"/>
          <w:highlight w:val="none"/>
          <w:lang w:eastAsia="zh-CN"/>
        </w:rPr>
        <w:t>中标人</w:t>
      </w:r>
      <w:r>
        <w:rPr>
          <w:rFonts w:hint="eastAsia" w:ascii="宋体" w:hAnsi="宋体" w:eastAsia="宋体" w:cs="宋体"/>
          <w:snapToGrid w:val="0"/>
          <w:color w:val="auto"/>
          <w:kern w:val="0"/>
          <w:sz w:val="21"/>
          <w:szCs w:val="21"/>
          <w:highlight w:val="none"/>
        </w:rPr>
        <w:t>支付至合同总额的</w:t>
      </w:r>
      <w:r>
        <w:rPr>
          <w:rFonts w:hint="eastAsia" w:ascii="宋体" w:hAnsi="宋体" w:eastAsia="宋体" w:cs="宋体"/>
          <w:snapToGrid w:val="0"/>
          <w:color w:val="auto"/>
          <w:kern w:val="0"/>
          <w:sz w:val="21"/>
          <w:szCs w:val="21"/>
          <w:highlight w:val="none"/>
          <w:lang w:val="en-US" w:eastAsia="zh-CN"/>
        </w:rPr>
        <w:t>5</w:t>
      </w:r>
      <w:r>
        <w:rPr>
          <w:rFonts w:hint="eastAsia" w:ascii="宋体" w:hAnsi="宋体" w:eastAsia="宋体" w:cs="宋体"/>
          <w:snapToGrid w:val="0"/>
          <w:color w:val="auto"/>
          <w:kern w:val="0"/>
          <w:sz w:val="21"/>
          <w:szCs w:val="21"/>
          <w:highlight w:val="none"/>
        </w:rPr>
        <w:t>0%</w:t>
      </w:r>
      <w:r>
        <w:rPr>
          <w:rFonts w:hint="eastAsia" w:hAnsi="宋体"/>
          <w:bCs/>
          <w:color w:val="auto"/>
          <w:highlight w:val="none"/>
          <w:lang w:eastAsia="zh-CN"/>
        </w:rPr>
        <w:t>（按其用户单位合同金额比例进行支付）</w:t>
      </w:r>
      <w:r>
        <w:rPr>
          <w:rFonts w:hint="eastAsia" w:ascii="宋体" w:hAnsi="宋体" w:eastAsia="宋体" w:cs="宋体"/>
          <w:snapToGrid w:val="0"/>
          <w:color w:val="auto"/>
          <w:kern w:val="0"/>
          <w:sz w:val="21"/>
          <w:szCs w:val="21"/>
          <w:highlight w:val="none"/>
        </w:rPr>
        <w:t>。</w:t>
      </w:r>
    </w:p>
    <w:p>
      <w:pPr>
        <w:pStyle w:val="8"/>
        <w:numPr>
          <w:ilvl w:val="0"/>
          <w:numId w:val="25"/>
        </w:numPr>
        <w:tabs>
          <w:tab w:val="left" w:pos="2340"/>
        </w:tabs>
        <w:adjustRightInd w:val="0"/>
        <w:snapToGrid w:val="0"/>
        <w:spacing w:line="360" w:lineRule="auto"/>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项目完成</w:t>
      </w:r>
      <w:r>
        <w:rPr>
          <w:rFonts w:hint="eastAsia" w:hAnsi="宋体" w:cs="宋体"/>
          <w:snapToGrid w:val="0"/>
          <w:color w:val="auto"/>
          <w:kern w:val="0"/>
          <w:sz w:val="21"/>
          <w:szCs w:val="21"/>
          <w:highlight w:val="none"/>
          <w:lang w:val="en-US" w:eastAsia="zh-CN"/>
        </w:rPr>
        <w:t>项目整体</w:t>
      </w:r>
      <w:r>
        <w:rPr>
          <w:rFonts w:hint="eastAsia" w:ascii="宋体" w:hAnsi="宋体" w:eastAsia="宋体" w:cs="宋体"/>
          <w:snapToGrid w:val="0"/>
          <w:color w:val="auto"/>
          <w:kern w:val="0"/>
          <w:sz w:val="21"/>
          <w:szCs w:val="21"/>
          <w:highlight w:val="none"/>
          <w:lang w:val="en-US" w:eastAsia="zh-CN"/>
        </w:rPr>
        <w:t>验收后15个工作日内，</w:t>
      </w:r>
      <w:r>
        <w:rPr>
          <w:rFonts w:hint="eastAsia" w:hAnsi="宋体"/>
          <w:bCs/>
          <w:color w:val="auto"/>
          <w:highlight w:val="none"/>
          <w:lang w:eastAsia="zh-CN"/>
        </w:rPr>
        <w:t>用户</w:t>
      </w:r>
      <w:r>
        <w:rPr>
          <w:rFonts w:hint="eastAsia" w:ascii="宋体" w:hAnsi="宋体" w:eastAsia="宋体" w:cs="宋体"/>
          <w:snapToGrid w:val="0"/>
          <w:color w:val="auto"/>
          <w:kern w:val="0"/>
          <w:sz w:val="21"/>
          <w:szCs w:val="21"/>
          <w:highlight w:val="none"/>
          <w:lang w:val="en-US" w:eastAsia="zh-CN"/>
        </w:rPr>
        <w:t>向中标人支付至结算</w:t>
      </w:r>
      <w:r>
        <w:rPr>
          <w:rFonts w:hint="eastAsia" w:hAnsi="宋体" w:cs="宋体"/>
          <w:snapToGrid w:val="0"/>
          <w:color w:val="auto"/>
          <w:kern w:val="0"/>
          <w:sz w:val="21"/>
          <w:szCs w:val="21"/>
          <w:highlight w:val="none"/>
          <w:lang w:val="en-US" w:eastAsia="zh-CN"/>
        </w:rPr>
        <w:t>总价</w:t>
      </w:r>
      <w:r>
        <w:rPr>
          <w:rFonts w:hint="eastAsia" w:ascii="宋体" w:hAnsi="宋体" w:eastAsia="宋体" w:cs="宋体"/>
          <w:snapToGrid w:val="0"/>
          <w:color w:val="auto"/>
          <w:kern w:val="0"/>
          <w:sz w:val="21"/>
          <w:szCs w:val="21"/>
          <w:highlight w:val="none"/>
          <w:lang w:val="en-US" w:eastAsia="zh-CN"/>
        </w:rPr>
        <w:t>的95%</w:t>
      </w:r>
      <w:r>
        <w:rPr>
          <w:rFonts w:hint="eastAsia" w:hAnsi="宋体"/>
          <w:bCs/>
          <w:color w:val="auto"/>
          <w:highlight w:val="none"/>
          <w:lang w:eastAsia="zh-CN"/>
        </w:rPr>
        <w:t>（按其用户单位合同金额比例进行支付）</w:t>
      </w:r>
      <w:r>
        <w:rPr>
          <w:rFonts w:hint="eastAsia" w:ascii="宋体" w:hAnsi="宋体" w:eastAsia="宋体" w:cs="宋体"/>
          <w:snapToGrid w:val="0"/>
          <w:color w:val="auto"/>
          <w:kern w:val="0"/>
          <w:sz w:val="21"/>
          <w:szCs w:val="21"/>
          <w:highlight w:val="none"/>
          <w:lang w:val="en-US" w:eastAsia="zh-CN"/>
        </w:rPr>
        <w:t>。</w:t>
      </w:r>
    </w:p>
    <w:p>
      <w:pPr>
        <w:pStyle w:val="8"/>
        <w:numPr>
          <w:ilvl w:val="0"/>
          <w:numId w:val="25"/>
        </w:numPr>
        <w:tabs>
          <w:tab w:val="left" w:pos="2340"/>
        </w:tabs>
        <w:adjustRightInd w:val="0"/>
        <w:snapToGrid w:val="0"/>
        <w:spacing w:line="360" w:lineRule="auto"/>
        <w:rPr>
          <w:rFonts w:hint="eastAsia" w:hAnsi="宋体"/>
          <w:bCs/>
          <w:color w:val="auto"/>
          <w:highlight w:val="none"/>
        </w:rPr>
      </w:pPr>
      <w:r>
        <w:rPr>
          <w:rFonts w:hint="eastAsia" w:ascii="宋体" w:hAnsi="宋体" w:eastAsia="宋体" w:cs="宋体"/>
          <w:snapToGrid w:val="0"/>
          <w:color w:val="auto"/>
          <w:kern w:val="0"/>
          <w:sz w:val="21"/>
          <w:szCs w:val="21"/>
          <w:highlight w:val="none"/>
          <w:lang w:val="en-US" w:eastAsia="zh-CN"/>
        </w:rPr>
        <w:t>项目</w:t>
      </w:r>
      <w:r>
        <w:rPr>
          <w:rFonts w:hint="eastAsia" w:hAnsi="宋体" w:cs="宋体"/>
          <w:snapToGrid w:val="0"/>
          <w:color w:val="auto"/>
          <w:kern w:val="0"/>
          <w:sz w:val="21"/>
          <w:szCs w:val="21"/>
          <w:highlight w:val="none"/>
          <w:lang w:val="en-US" w:eastAsia="zh-CN"/>
        </w:rPr>
        <w:t>质保期</w:t>
      </w:r>
      <w:r>
        <w:rPr>
          <w:rFonts w:hint="eastAsia" w:ascii="宋体" w:hAnsi="宋体" w:eastAsia="宋体" w:cs="宋体"/>
          <w:snapToGrid w:val="0"/>
          <w:color w:val="auto"/>
          <w:kern w:val="0"/>
          <w:sz w:val="21"/>
          <w:szCs w:val="21"/>
          <w:highlight w:val="none"/>
          <w:lang w:val="en-US" w:eastAsia="zh-CN"/>
        </w:rPr>
        <w:t>完成后15个工作日内，</w:t>
      </w:r>
      <w:r>
        <w:rPr>
          <w:rFonts w:hint="eastAsia" w:hAnsi="宋体"/>
          <w:bCs/>
          <w:color w:val="auto"/>
          <w:highlight w:val="none"/>
          <w:lang w:eastAsia="zh-CN"/>
        </w:rPr>
        <w:t>用户</w:t>
      </w:r>
      <w:r>
        <w:rPr>
          <w:rFonts w:hint="eastAsia" w:ascii="宋体" w:hAnsi="宋体" w:eastAsia="宋体" w:cs="宋体"/>
          <w:snapToGrid w:val="0"/>
          <w:color w:val="auto"/>
          <w:kern w:val="0"/>
          <w:sz w:val="21"/>
          <w:szCs w:val="21"/>
          <w:highlight w:val="none"/>
          <w:lang w:val="en-US" w:eastAsia="zh-CN"/>
        </w:rPr>
        <w:t>向中标人支付至结算总价的100%</w:t>
      </w:r>
      <w:r>
        <w:rPr>
          <w:rFonts w:hint="eastAsia" w:hAnsi="宋体"/>
          <w:bCs/>
          <w:color w:val="auto"/>
          <w:highlight w:val="none"/>
          <w:lang w:eastAsia="zh-CN"/>
        </w:rPr>
        <w:t>（按其用户单位合同金额比例进行支付）</w:t>
      </w:r>
      <w:r>
        <w:rPr>
          <w:rFonts w:hint="eastAsia" w:ascii="宋体" w:hAnsi="宋体" w:eastAsia="宋体" w:cs="宋体"/>
          <w:snapToGrid w:val="0"/>
          <w:color w:val="auto"/>
          <w:kern w:val="0"/>
          <w:sz w:val="21"/>
          <w:szCs w:val="21"/>
          <w:highlight w:val="none"/>
          <w:lang w:val="en-US" w:eastAsia="zh-CN"/>
        </w:rPr>
        <w:t>。</w:t>
      </w:r>
    </w:p>
    <w:p>
      <w:pPr>
        <w:pStyle w:val="8"/>
        <w:numPr>
          <w:ilvl w:val="0"/>
          <w:numId w:val="25"/>
        </w:numPr>
        <w:tabs>
          <w:tab w:val="left" w:pos="2340"/>
        </w:tabs>
        <w:adjustRightInd w:val="0"/>
        <w:snapToGrid w:val="0"/>
        <w:spacing w:line="360" w:lineRule="auto"/>
        <w:rPr>
          <w:rFonts w:hint="eastAsia" w:hAnsi="宋体"/>
          <w:bCs/>
          <w:color w:val="auto"/>
          <w:highlight w:val="none"/>
        </w:rPr>
      </w:pPr>
      <w:r>
        <w:rPr>
          <w:rFonts w:hint="eastAsia" w:hAnsi="宋体"/>
          <w:bCs/>
          <w:color w:val="auto"/>
          <w:highlight w:val="none"/>
        </w:rPr>
        <w:t>中标人凭以下有效文件与招标人结算：</w:t>
      </w:r>
    </w:p>
    <w:p>
      <w:pPr>
        <w:autoSpaceDE w:val="0"/>
        <w:autoSpaceDN w:val="0"/>
        <w:adjustRightInd w:val="0"/>
        <w:snapToGrid w:val="0"/>
        <w:spacing w:line="360" w:lineRule="auto"/>
        <w:ind w:left="425"/>
        <w:jc w:val="left"/>
        <w:rPr>
          <w:rFonts w:hint="eastAsia" w:ascii="宋体" w:hAnsi="宋体"/>
          <w:color w:val="auto"/>
          <w:kern w:val="21"/>
          <w:szCs w:val="21"/>
          <w:highlight w:val="none"/>
        </w:rPr>
      </w:pPr>
      <w:r>
        <w:rPr>
          <w:rFonts w:hint="eastAsia" w:ascii="宋体" w:hAnsi="宋体"/>
          <w:color w:val="auto"/>
          <w:kern w:val="21"/>
          <w:szCs w:val="21"/>
          <w:highlight w:val="none"/>
        </w:rPr>
        <w:t>（1）合同；</w:t>
      </w:r>
    </w:p>
    <w:p>
      <w:pPr>
        <w:autoSpaceDE w:val="0"/>
        <w:autoSpaceDN w:val="0"/>
        <w:adjustRightInd w:val="0"/>
        <w:snapToGrid w:val="0"/>
        <w:spacing w:line="360" w:lineRule="auto"/>
        <w:ind w:left="425"/>
        <w:jc w:val="left"/>
        <w:rPr>
          <w:rFonts w:hint="eastAsia" w:ascii="宋体" w:hAnsi="宋体"/>
          <w:color w:val="auto"/>
          <w:kern w:val="21"/>
          <w:szCs w:val="21"/>
          <w:highlight w:val="none"/>
        </w:rPr>
      </w:pPr>
      <w:r>
        <w:rPr>
          <w:rFonts w:hint="eastAsia" w:ascii="宋体" w:hAnsi="宋体"/>
          <w:color w:val="auto"/>
          <w:kern w:val="21"/>
          <w:szCs w:val="21"/>
          <w:highlight w:val="none"/>
        </w:rPr>
        <w:t>（2）中标人开具的正式发票；</w:t>
      </w:r>
    </w:p>
    <w:p>
      <w:pPr>
        <w:autoSpaceDE w:val="0"/>
        <w:autoSpaceDN w:val="0"/>
        <w:adjustRightInd w:val="0"/>
        <w:snapToGrid w:val="0"/>
        <w:spacing w:line="360" w:lineRule="auto"/>
        <w:ind w:left="425"/>
        <w:jc w:val="left"/>
        <w:rPr>
          <w:rFonts w:hint="eastAsia" w:ascii="宋体" w:hAnsi="宋体"/>
          <w:color w:val="auto"/>
          <w:kern w:val="21"/>
          <w:szCs w:val="21"/>
          <w:highlight w:val="none"/>
        </w:rPr>
      </w:pPr>
      <w:r>
        <w:rPr>
          <w:rFonts w:hint="eastAsia" w:ascii="宋体" w:hAnsi="宋体"/>
          <w:color w:val="auto"/>
          <w:kern w:val="21"/>
          <w:szCs w:val="21"/>
          <w:highlight w:val="none"/>
        </w:rPr>
        <w:t>（3）验收/成果报告（加盖招标人公章）；</w:t>
      </w:r>
    </w:p>
    <w:p>
      <w:pPr>
        <w:autoSpaceDE w:val="0"/>
        <w:autoSpaceDN w:val="0"/>
        <w:adjustRightInd w:val="0"/>
        <w:snapToGrid w:val="0"/>
        <w:spacing w:line="360" w:lineRule="auto"/>
        <w:ind w:left="425"/>
        <w:jc w:val="left"/>
        <w:rPr>
          <w:rFonts w:hint="eastAsia" w:ascii="宋体" w:hAnsi="宋体"/>
          <w:color w:val="auto"/>
          <w:kern w:val="21"/>
          <w:szCs w:val="21"/>
          <w:highlight w:val="none"/>
        </w:rPr>
      </w:pPr>
      <w:r>
        <w:rPr>
          <w:rFonts w:hint="eastAsia" w:ascii="宋体" w:hAnsi="宋体"/>
          <w:color w:val="auto"/>
          <w:kern w:val="21"/>
          <w:szCs w:val="21"/>
          <w:highlight w:val="none"/>
        </w:rPr>
        <w:t>（4）中标通知书。</w:t>
      </w:r>
    </w:p>
    <w:p>
      <w:pPr>
        <w:pStyle w:val="8"/>
        <w:numPr>
          <w:ilvl w:val="0"/>
          <w:numId w:val="8"/>
        </w:numPr>
        <w:tabs>
          <w:tab w:val="left" w:pos="540"/>
        </w:tabs>
        <w:adjustRightInd w:val="0"/>
        <w:snapToGrid w:val="0"/>
        <w:spacing w:line="360" w:lineRule="auto"/>
        <w:rPr>
          <w:rFonts w:hint="eastAsia" w:hAnsi="宋体" w:cs="宋体"/>
          <w:b/>
          <w:color w:val="auto"/>
          <w:highlight w:val="none"/>
        </w:rPr>
      </w:pPr>
      <w:r>
        <w:rPr>
          <w:rFonts w:hint="eastAsia" w:hAnsi="宋体" w:cs="宋体"/>
          <w:b/>
          <w:color w:val="auto"/>
          <w:highlight w:val="none"/>
        </w:rPr>
        <w:t>现场演示</w:t>
      </w:r>
    </w:p>
    <w:p>
      <w:pPr>
        <w:numPr>
          <w:ilvl w:val="0"/>
          <w:numId w:val="26"/>
        </w:numPr>
        <w:tabs>
          <w:tab w:val="left" w:pos="567"/>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投标人演示顺序以投标人签到顺序为准；</w:t>
      </w:r>
    </w:p>
    <w:p>
      <w:pPr>
        <w:numPr>
          <w:ilvl w:val="0"/>
          <w:numId w:val="26"/>
        </w:numPr>
        <w:tabs>
          <w:tab w:val="left" w:pos="567"/>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每位投标人有</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 xml:space="preserve">分钟的演示时间； </w:t>
      </w:r>
    </w:p>
    <w:p>
      <w:pPr>
        <w:numPr>
          <w:ilvl w:val="0"/>
          <w:numId w:val="26"/>
        </w:numPr>
        <w:tabs>
          <w:tab w:val="left" w:pos="567"/>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投标人自行准备演示所需材料</w:t>
      </w:r>
      <w:r>
        <w:rPr>
          <w:rFonts w:hint="eastAsia" w:ascii="宋体" w:hAnsi="宋体" w:cs="宋体"/>
          <w:color w:val="auto"/>
          <w:szCs w:val="21"/>
          <w:highlight w:val="none"/>
          <w:lang w:eastAsia="zh-CN"/>
        </w:rPr>
        <w:t>及设备</w:t>
      </w:r>
      <w:r>
        <w:rPr>
          <w:rFonts w:hint="eastAsia" w:ascii="宋体" w:hAnsi="宋体" w:cs="宋体"/>
          <w:color w:val="auto"/>
          <w:szCs w:val="21"/>
          <w:highlight w:val="none"/>
        </w:rPr>
        <w:t>；</w:t>
      </w:r>
    </w:p>
    <w:p>
      <w:pPr>
        <w:numPr>
          <w:ilvl w:val="0"/>
          <w:numId w:val="26"/>
        </w:numPr>
        <w:tabs>
          <w:tab w:val="left" w:pos="567"/>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演示内容详见《技术部分评分表》。</w:t>
      </w:r>
    </w:p>
    <w:p>
      <w:pPr>
        <w:pStyle w:val="2"/>
        <w:rPr>
          <w:rFonts w:hint="eastAsia"/>
          <w:color w:val="auto"/>
          <w:highlight w:val="none"/>
        </w:rPr>
      </w:pPr>
    </w:p>
    <w:p>
      <w:pPr>
        <w:spacing w:line="360" w:lineRule="auto"/>
        <w:ind w:left="357" w:leftChars="29" w:hanging="296" w:hangingChars="141"/>
        <w:rPr>
          <w:rFonts w:cs="宋体"/>
          <w:color w:val="auto"/>
          <w:highlight w:val="none"/>
        </w:rPr>
      </w:pPr>
    </w:p>
    <w:p>
      <w:pPr>
        <w:spacing w:line="360" w:lineRule="auto"/>
        <w:ind w:left="357" w:leftChars="29" w:hanging="296" w:hangingChars="141"/>
        <w:rPr>
          <w:rFonts w:hint="eastAsia" w:ascii="宋体" w:hAnsi="宋体"/>
          <w:color w:val="auto"/>
          <w:szCs w:val="21"/>
          <w:highlight w:val="none"/>
        </w:rPr>
      </w:pPr>
    </w:p>
    <w:p>
      <w:pPr>
        <w:adjustRightInd w:val="0"/>
        <w:snapToGrid w:val="0"/>
        <w:spacing w:before="156" w:beforeLines="50" w:after="156" w:afterLines="50" w:line="360" w:lineRule="auto"/>
        <w:jc w:val="center"/>
        <w:outlineLvl w:val="0"/>
        <w:rPr>
          <w:rFonts w:hint="eastAsia" w:ascii="宋体" w:hAnsi="宋体"/>
          <w:b/>
          <w:bCs/>
          <w:color w:val="auto"/>
          <w:sz w:val="28"/>
          <w:highlight w:val="none"/>
        </w:rPr>
      </w:pPr>
      <w:r>
        <w:rPr>
          <w:b/>
          <w:bCs/>
          <w:color w:val="auto"/>
          <w:sz w:val="28"/>
          <w:szCs w:val="28"/>
          <w:highlight w:val="none"/>
        </w:rPr>
        <w:br w:type="page"/>
      </w:r>
      <w:bookmarkStart w:id="4" w:name="_Toc2765"/>
      <w:r>
        <w:rPr>
          <w:rFonts w:hint="eastAsia"/>
          <w:b/>
          <w:bCs/>
          <w:color w:val="auto"/>
          <w:sz w:val="28"/>
          <w:szCs w:val="28"/>
          <w:highlight w:val="none"/>
        </w:rPr>
        <w:t>第四章  评分体系与标准</w:t>
      </w:r>
      <w:bookmarkEnd w:id="4"/>
    </w:p>
    <w:p>
      <w:pPr>
        <w:numPr>
          <w:ilvl w:val="0"/>
          <w:numId w:val="27"/>
        </w:numPr>
        <w:tabs>
          <w:tab w:val="left" w:pos="630"/>
        </w:tabs>
        <w:autoSpaceDE w:val="0"/>
        <w:autoSpaceDN w:val="0"/>
        <w:adjustRightInd w:val="0"/>
        <w:spacing w:line="360" w:lineRule="auto"/>
        <w:rPr>
          <w:rFonts w:ascii="宋体" w:cs="宋体"/>
          <w:color w:val="auto"/>
          <w:szCs w:val="21"/>
          <w:highlight w:val="none"/>
        </w:rPr>
      </w:pPr>
      <w:r>
        <w:rPr>
          <w:rFonts w:hint="eastAsia" w:ascii="宋体" w:cs="宋体"/>
          <w:color w:val="auto"/>
          <w:szCs w:val="21"/>
          <w:highlight w:val="none"/>
        </w:rPr>
        <w:t>本评标办法采用综合评分法。</w:t>
      </w:r>
    </w:p>
    <w:p>
      <w:pPr>
        <w:numPr>
          <w:ilvl w:val="0"/>
          <w:numId w:val="27"/>
        </w:numPr>
        <w:tabs>
          <w:tab w:val="left" w:pos="630"/>
        </w:tabs>
        <w:autoSpaceDE w:val="0"/>
        <w:autoSpaceDN w:val="0"/>
        <w:adjustRightInd w:val="0"/>
        <w:spacing w:line="360" w:lineRule="auto"/>
        <w:rPr>
          <w:rFonts w:ascii="宋体" w:cs="宋体"/>
          <w:color w:val="auto"/>
          <w:szCs w:val="21"/>
          <w:highlight w:val="none"/>
        </w:rPr>
      </w:pPr>
      <w:r>
        <w:rPr>
          <w:rFonts w:hint="eastAsia" w:ascii="宋体" w:cs="宋体"/>
          <w:color w:val="auto"/>
          <w:szCs w:val="21"/>
          <w:highlight w:val="none"/>
        </w:rPr>
        <w:t>评标步骤：评标委员会先进行投标文件初审，对通过初审的投标文件进行技术、商务及价格的详细评审最后评标委员会出具评标报告。</w:t>
      </w:r>
    </w:p>
    <w:p>
      <w:pPr>
        <w:numPr>
          <w:ilvl w:val="0"/>
          <w:numId w:val="27"/>
        </w:numPr>
        <w:tabs>
          <w:tab w:val="left" w:pos="630"/>
        </w:tabs>
        <w:autoSpaceDE w:val="0"/>
        <w:autoSpaceDN w:val="0"/>
        <w:adjustRightInd w:val="0"/>
        <w:spacing w:line="360" w:lineRule="auto"/>
        <w:rPr>
          <w:rFonts w:hint="eastAsia" w:ascii="宋体" w:cs="宋体"/>
          <w:color w:val="auto"/>
          <w:szCs w:val="21"/>
          <w:highlight w:val="none"/>
        </w:rPr>
      </w:pPr>
      <w:r>
        <w:rPr>
          <w:rFonts w:hint="eastAsia" w:ascii="宋体" w:cs="宋体"/>
          <w:color w:val="auto"/>
          <w:szCs w:val="21"/>
          <w:highlight w:val="none"/>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adjustRightInd w:val="0"/>
        <w:snapToGrid w:val="0"/>
        <w:spacing w:before="156" w:beforeLines="50" w:after="156" w:afterLines="50" w:line="360" w:lineRule="auto"/>
        <w:jc w:val="center"/>
        <w:rPr>
          <w:rFonts w:hint="eastAsia" w:ascii="黑体" w:hAnsi="宋体" w:eastAsia="黑体" w:cs="宋体"/>
          <w:color w:val="auto"/>
          <w:sz w:val="28"/>
          <w:szCs w:val="28"/>
          <w:highlight w:val="none"/>
        </w:rPr>
      </w:pPr>
      <w:r>
        <w:rPr>
          <w:rFonts w:hint="eastAsia" w:ascii="黑体" w:hAnsi="宋体" w:eastAsia="黑体" w:cs="宋体"/>
          <w:color w:val="auto"/>
          <w:sz w:val="28"/>
          <w:szCs w:val="28"/>
          <w:highlight w:val="none"/>
        </w:rPr>
        <w:t>资格、符合性评审条款</w:t>
      </w:r>
    </w:p>
    <w:p>
      <w:pPr>
        <w:spacing w:line="360" w:lineRule="auto"/>
        <w:rPr>
          <w:rFonts w:hint="eastAsia"/>
          <w:snapToGrid w:val="0"/>
          <w:color w:val="auto"/>
          <w:spacing w:val="8"/>
          <w:highlight w:val="none"/>
        </w:rPr>
      </w:pPr>
      <w:r>
        <w:rPr>
          <w:rFonts w:hint="eastAsia" w:ascii="宋体" w:hAnsi="宋体" w:cs="宋体"/>
          <w:color w:val="auto"/>
          <w:highlight w:val="none"/>
        </w:rPr>
        <w:t>项目名称：</w:t>
      </w:r>
      <w:r>
        <w:rPr>
          <w:rFonts w:hint="eastAsia" w:ascii="宋体" w:hAnsi="宋体"/>
          <w:color w:val="auto"/>
          <w:szCs w:val="21"/>
          <w:highlight w:val="none"/>
          <w:lang w:eastAsia="zh-CN"/>
        </w:rPr>
        <w:t>档案综合整理服务</w:t>
      </w:r>
    </w:p>
    <w:p>
      <w:pPr>
        <w:spacing w:line="360" w:lineRule="auto"/>
        <w:rPr>
          <w:snapToGrid w:val="0"/>
          <w:color w:val="auto"/>
          <w:spacing w:val="8"/>
          <w:highlight w:val="none"/>
        </w:rPr>
      </w:pPr>
      <w:r>
        <w:rPr>
          <w:rFonts w:hint="eastAsia" w:ascii="宋体" w:hAnsi="宋体" w:cs="宋体"/>
          <w:color w:val="auto"/>
          <w:highlight w:val="none"/>
        </w:rPr>
        <w:t>项目编号：</w:t>
      </w:r>
      <w:r>
        <w:rPr>
          <w:rFonts w:hint="eastAsia" w:ascii="宋体" w:hAnsi="宋体"/>
          <w:color w:val="auto"/>
          <w:highlight w:val="none"/>
          <w:lang w:eastAsia="zh-CN"/>
        </w:rPr>
        <w:t>GDZC-18GZ057</w:t>
      </w:r>
    </w:p>
    <w:tbl>
      <w:tblPr>
        <w:tblStyle w:val="17"/>
        <w:tblW w:w="912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0"/>
        <w:gridCol w:w="81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jc w:val="center"/>
        </w:trPr>
        <w:tc>
          <w:tcPr>
            <w:tcW w:w="990" w:type="dxa"/>
            <w:tcBorders>
              <w:right w:val="single" w:color="auto" w:sz="4" w:space="0"/>
            </w:tcBorders>
            <w:vAlign w:val="center"/>
          </w:tcPr>
          <w:p>
            <w:pPr>
              <w:jc w:val="center"/>
              <w:rPr>
                <w:rFonts w:hint="eastAsia" w:ascii="宋体" w:cs="宋体"/>
                <w:b/>
                <w:color w:val="auto"/>
                <w:highlight w:val="none"/>
              </w:rPr>
            </w:pPr>
            <w:r>
              <w:rPr>
                <w:rFonts w:hint="eastAsia" w:ascii="宋体" w:cs="宋体"/>
                <w:b/>
                <w:color w:val="auto"/>
                <w:highlight w:val="none"/>
              </w:rPr>
              <w:t>序号</w:t>
            </w:r>
          </w:p>
        </w:tc>
        <w:tc>
          <w:tcPr>
            <w:tcW w:w="8137" w:type="dxa"/>
            <w:tcBorders>
              <w:left w:val="single" w:color="auto" w:sz="4" w:space="0"/>
            </w:tcBorders>
            <w:vAlign w:val="center"/>
          </w:tcPr>
          <w:p>
            <w:pPr>
              <w:jc w:val="center"/>
              <w:rPr>
                <w:rFonts w:ascii="宋体" w:cs="宋体"/>
                <w:color w:val="auto"/>
                <w:highlight w:val="none"/>
              </w:rPr>
            </w:pPr>
            <w:r>
              <w:rPr>
                <w:rFonts w:hint="eastAsia" w:ascii="宋体" w:hAnsi="宋体" w:cs="宋体"/>
                <w:color w:val="auto"/>
                <w:highlight w:val="none"/>
              </w:rPr>
              <w:t>评审内容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28"/>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具备招标文件中规定资格要求的及资格证明文件齐全；</w:t>
            </w:r>
            <w:r>
              <w:rPr>
                <w:rFonts w:ascii="宋体" w:hAnsi="宋体" w:cs="宋体"/>
                <w:color w:val="auto"/>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28"/>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vAlign w:val="center"/>
          </w:tcPr>
          <w:p>
            <w:pPr>
              <w:rPr>
                <w:rFonts w:hint="eastAsia" w:ascii="宋体" w:hAnsi="宋体" w:cs="宋体"/>
                <w:color w:val="auto"/>
                <w:highlight w:val="none"/>
              </w:rPr>
            </w:pPr>
            <w:r>
              <w:rPr>
                <w:rFonts w:hint="eastAsia" w:ascii="宋体" w:hAnsi="宋体" w:cs="宋体"/>
                <w:color w:val="auto"/>
                <w:highlight w:val="none"/>
              </w:rPr>
              <w:t>投标函已提交并符合招标文件要求的；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28"/>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投标人按招标文件要求缴纳投标保证金的；</w:t>
            </w:r>
            <w:r>
              <w:rPr>
                <w:rFonts w:ascii="宋体" w:hAnsi="宋体" w:cs="宋体"/>
                <w:color w:val="auto"/>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28"/>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vAlign w:val="center"/>
          </w:tcPr>
          <w:p>
            <w:pPr>
              <w:ind w:left="19" w:hanging="18" w:hangingChars="9"/>
              <w:rPr>
                <w:rFonts w:ascii="宋体" w:hAnsi="宋体" w:cs="宋体"/>
                <w:color w:val="auto"/>
                <w:highlight w:val="none"/>
              </w:rPr>
            </w:pPr>
            <w:r>
              <w:rPr>
                <w:rFonts w:hint="eastAsia" w:ascii="宋体" w:hAnsi="宋体" w:cs="宋体"/>
                <w:color w:val="auto"/>
                <w:highlight w:val="none"/>
              </w:rPr>
              <w:t>按照招标文件规定要求签署、盖章且投标文件有法定代表人签字，或签字人有法定代表人有效授权书的；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28"/>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vAlign w:val="center"/>
          </w:tcPr>
          <w:p>
            <w:pPr>
              <w:rPr>
                <w:rFonts w:hint="eastAsia"/>
                <w:b/>
                <w:color w:val="auto"/>
                <w:highlight w:val="none"/>
              </w:rPr>
            </w:pPr>
            <w:r>
              <w:rPr>
                <w:rFonts w:hint="eastAsia" w:ascii="宋体" w:hAnsi="宋体" w:cs="宋体"/>
                <w:color w:val="auto"/>
                <w:highlight w:val="none"/>
              </w:rPr>
              <w:t>投标报价未超过本项目最高限价</w:t>
            </w:r>
            <w:r>
              <w:rPr>
                <w:rFonts w:hint="eastAsia" w:ascii="宋体" w:hAnsi="宋体" w:cs="宋体"/>
                <w:color w:val="auto"/>
                <w:highlight w:val="none"/>
                <w:lang w:eastAsia="zh-CN"/>
              </w:rPr>
              <w:t>及最高总限价</w:t>
            </w:r>
            <w:r>
              <w:rPr>
                <w:rFonts w:hint="eastAsia" w:ascii="宋体" w:hAnsi="宋体" w:cs="宋体"/>
                <w:color w:val="auto"/>
                <w:highlight w:val="none"/>
              </w:rPr>
              <w:t>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28"/>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投标文件没有招标文件中规定的其它无效投标条款的；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28"/>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vAlign w:val="center"/>
          </w:tcPr>
          <w:p>
            <w:pPr>
              <w:rPr>
                <w:rFonts w:hint="eastAsia" w:ascii="宋体" w:hAnsi="宋体" w:cs="宋体"/>
                <w:color w:val="auto"/>
                <w:highlight w:val="none"/>
              </w:rPr>
            </w:pPr>
            <w:r>
              <w:rPr>
                <w:rFonts w:hint="eastAsia" w:ascii="宋体" w:hAnsi="宋体" w:cs="宋体"/>
                <w:color w:val="auto"/>
                <w:highlight w:val="none"/>
              </w:rPr>
              <w:t>按有关法律、法规、规章不属于投标无效的。</w:t>
            </w:r>
          </w:p>
        </w:tc>
      </w:tr>
    </w:tbl>
    <w:p>
      <w:pPr>
        <w:spacing w:line="400" w:lineRule="exact"/>
        <w:rPr>
          <w:rFonts w:hint="eastAsia"/>
          <w:color w:val="auto"/>
          <w:highlight w:val="none"/>
        </w:rPr>
      </w:pPr>
    </w:p>
    <w:p>
      <w:pPr>
        <w:spacing w:line="400" w:lineRule="exact"/>
        <w:rPr>
          <w:color w:val="auto"/>
          <w:highlight w:val="none"/>
        </w:rPr>
        <w:sectPr>
          <w:footerReference r:id="rId10" w:type="first"/>
          <w:footerReference r:id="rId9" w:type="default"/>
          <w:pgSz w:w="11906" w:h="16838"/>
          <w:pgMar w:top="1440" w:right="1106" w:bottom="1440" w:left="1440" w:header="851" w:footer="992" w:gutter="0"/>
          <w:pgNumType w:start="1"/>
          <w:cols w:space="720" w:num="1"/>
          <w:docGrid w:type="lines" w:linePitch="312" w:charSpace="0"/>
        </w:sectPr>
      </w:pPr>
    </w:p>
    <w:p>
      <w:pPr>
        <w:adjustRightInd w:val="0"/>
        <w:snapToGrid w:val="0"/>
        <w:spacing w:before="156" w:beforeLines="50" w:after="156" w:afterLines="50" w:line="360" w:lineRule="auto"/>
        <w:jc w:val="center"/>
        <w:rPr>
          <w:rFonts w:ascii="黑体" w:hAnsi="宋体" w:eastAsia="黑体" w:cs="宋体"/>
          <w:color w:val="auto"/>
          <w:sz w:val="28"/>
          <w:szCs w:val="28"/>
          <w:highlight w:val="none"/>
        </w:rPr>
      </w:pPr>
      <w:r>
        <w:rPr>
          <w:rFonts w:hint="eastAsia" w:ascii="黑体" w:hAnsi="宋体" w:eastAsia="黑体" w:cs="宋体"/>
          <w:color w:val="auto"/>
          <w:sz w:val="28"/>
          <w:szCs w:val="28"/>
          <w:highlight w:val="none"/>
        </w:rPr>
        <w:t>技术部分评分表</w:t>
      </w:r>
    </w:p>
    <w:p>
      <w:pPr>
        <w:adjustRightInd w:val="0"/>
        <w:snapToGrid w:val="0"/>
        <w:spacing w:before="156" w:beforeLines="50" w:after="156" w:afterLines="50" w:line="360" w:lineRule="auto"/>
        <w:jc w:val="center"/>
        <w:rPr>
          <w:rFonts w:hint="eastAsia" w:ascii="黑体" w:hAnsi="宋体" w:eastAsia="黑体" w:cs="宋体"/>
          <w:color w:val="auto"/>
          <w:sz w:val="28"/>
          <w:szCs w:val="28"/>
          <w:highlight w:val="none"/>
        </w:rPr>
      </w:pPr>
      <w:r>
        <w:rPr>
          <w:rFonts w:hint="eastAsia" w:ascii="黑体" w:hAnsi="宋体" w:eastAsia="黑体" w:cs="宋体"/>
          <w:color w:val="auto"/>
          <w:sz w:val="28"/>
          <w:szCs w:val="28"/>
          <w:highlight w:val="none"/>
        </w:rPr>
        <w:t>（</w:t>
      </w:r>
      <w:r>
        <w:rPr>
          <w:rFonts w:hint="eastAsia" w:ascii="黑体" w:hAnsi="宋体" w:eastAsia="黑体" w:cs="宋体"/>
          <w:color w:val="auto"/>
          <w:sz w:val="28"/>
          <w:szCs w:val="28"/>
          <w:highlight w:val="none"/>
          <w:lang w:val="en-US" w:eastAsia="zh-CN"/>
        </w:rPr>
        <w:t>55</w:t>
      </w:r>
      <w:r>
        <w:rPr>
          <w:rFonts w:hint="eastAsia" w:ascii="黑体" w:hAnsi="宋体" w:eastAsia="黑体" w:cs="宋体"/>
          <w:color w:val="auto"/>
          <w:sz w:val="28"/>
          <w:szCs w:val="28"/>
          <w:highlight w:val="none"/>
        </w:rPr>
        <w:t>分）</w:t>
      </w:r>
    </w:p>
    <w:p>
      <w:pPr>
        <w:spacing w:line="360" w:lineRule="auto"/>
        <w:ind w:firstLine="105" w:firstLineChars="50"/>
        <w:rPr>
          <w:rFonts w:hint="eastAsia" w:ascii="宋体" w:hAnsi="宋体" w:cs="宋体"/>
          <w:color w:val="auto"/>
          <w:highlight w:val="none"/>
        </w:rPr>
      </w:pPr>
      <w:r>
        <w:rPr>
          <w:rFonts w:hint="eastAsia" w:ascii="宋体" w:hAnsi="宋体" w:cs="宋体"/>
          <w:color w:val="auto"/>
          <w:highlight w:val="none"/>
        </w:rPr>
        <w:t>项目名称：</w:t>
      </w:r>
      <w:r>
        <w:rPr>
          <w:rFonts w:hint="eastAsia" w:ascii="宋体" w:hAnsi="宋体"/>
          <w:color w:val="auto"/>
          <w:szCs w:val="21"/>
          <w:highlight w:val="none"/>
          <w:lang w:eastAsia="zh-CN"/>
        </w:rPr>
        <w:t>档案综合整理服务</w:t>
      </w:r>
    </w:p>
    <w:p>
      <w:pPr>
        <w:spacing w:line="360" w:lineRule="auto"/>
        <w:ind w:firstLine="105" w:firstLineChars="50"/>
        <w:rPr>
          <w:rFonts w:ascii="宋体" w:hAnsi="宋体"/>
          <w:color w:val="auto"/>
          <w:highlight w:val="none"/>
        </w:rPr>
      </w:pPr>
      <w:r>
        <w:rPr>
          <w:rFonts w:hint="eastAsia" w:ascii="宋体" w:hAnsi="宋体" w:cs="宋体"/>
          <w:color w:val="auto"/>
          <w:highlight w:val="none"/>
        </w:rPr>
        <w:t>项目编号：</w:t>
      </w:r>
      <w:r>
        <w:rPr>
          <w:rFonts w:hint="eastAsia" w:ascii="宋体" w:hAnsi="宋体"/>
          <w:color w:val="auto"/>
          <w:highlight w:val="none"/>
          <w:lang w:eastAsia="zh-CN"/>
        </w:rPr>
        <w:t>GDZC-18GZ057</w:t>
      </w:r>
    </w:p>
    <w:tbl>
      <w:tblPr>
        <w:tblStyle w:val="17"/>
        <w:tblW w:w="882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27"/>
        <w:gridCol w:w="66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exact"/>
          <w:jc w:val="center"/>
        </w:trPr>
        <w:tc>
          <w:tcPr>
            <w:tcW w:w="2227" w:type="dxa"/>
            <w:vAlign w:val="center"/>
          </w:tcPr>
          <w:p>
            <w:pPr>
              <w:jc w:val="center"/>
              <w:rPr>
                <w:rFonts w:ascii="宋体" w:cs="宋体"/>
                <w:color w:val="auto"/>
                <w:highlight w:val="none"/>
              </w:rPr>
            </w:pPr>
            <w:r>
              <w:rPr>
                <w:rFonts w:hint="eastAsia" w:ascii="宋体" w:hAnsi="宋体" w:cs="宋体"/>
                <w:color w:val="auto"/>
                <w:highlight w:val="none"/>
              </w:rPr>
              <w:t>评审内容</w:t>
            </w:r>
          </w:p>
        </w:tc>
        <w:tc>
          <w:tcPr>
            <w:tcW w:w="6600" w:type="dxa"/>
            <w:vAlign w:val="center"/>
          </w:tcPr>
          <w:p>
            <w:pPr>
              <w:jc w:val="center"/>
              <w:rPr>
                <w:rFonts w:ascii="宋体" w:hAnsi="宋体" w:cs="宋体"/>
                <w:color w:val="auto"/>
                <w:highlight w:val="none"/>
                <w:u w:val="single"/>
              </w:rPr>
            </w:pPr>
            <w:r>
              <w:rPr>
                <w:rFonts w:hint="eastAsia" w:ascii="宋体" w:hAnsi="宋体" w:cs="宋体"/>
                <w:color w:val="auto"/>
                <w:highlight w:val="none"/>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2227" w:type="dxa"/>
            <w:vAlign w:val="center"/>
          </w:tcPr>
          <w:p>
            <w:pPr>
              <w:pStyle w:val="7"/>
              <w:spacing w:line="240" w:lineRule="auto"/>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重要技术参数及性能响应程度</w:t>
            </w:r>
          </w:p>
          <w:p>
            <w:pPr>
              <w:pStyle w:val="7"/>
              <w:spacing w:line="240" w:lineRule="auto"/>
              <w:ind w:left="0" w:leftChars="0"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&lt;</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lang w:val="en-US" w:eastAsia="zh-CN"/>
              </w:rPr>
              <w:t>分&gt;</w:t>
            </w:r>
          </w:p>
        </w:tc>
        <w:tc>
          <w:tcPr>
            <w:tcW w:w="6600" w:type="dxa"/>
            <w:vAlign w:val="center"/>
          </w:tcPr>
          <w:p>
            <w:pPr>
              <w:spacing w:line="240" w:lineRule="auto"/>
              <w:rPr>
                <w:rFonts w:hint="eastAsia"/>
                <w:color w:val="auto"/>
                <w:highlight w:val="none"/>
              </w:rPr>
            </w:pPr>
            <w:r>
              <w:rPr>
                <w:rFonts w:hint="eastAsia"/>
                <w:color w:val="auto"/>
                <w:highlight w:val="none"/>
              </w:rPr>
              <w:t>技术参数中带“▲”号指标项完全满足或优于招标文件要求的，得</w:t>
            </w:r>
            <w:r>
              <w:rPr>
                <w:rFonts w:hint="eastAsia"/>
                <w:color w:val="auto"/>
                <w:highlight w:val="none"/>
                <w:lang w:val="en-US" w:eastAsia="zh-CN"/>
              </w:rPr>
              <w:t>20</w:t>
            </w:r>
            <w:r>
              <w:rPr>
                <w:rFonts w:hint="eastAsia"/>
                <w:color w:val="auto"/>
                <w:highlight w:val="none"/>
              </w:rPr>
              <w:t>分；标注“▲”号技术条款不响应或负偏离的，每项扣0.5分，直至扣完为止。</w:t>
            </w:r>
          </w:p>
          <w:p>
            <w:pPr>
              <w:pStyle w:val="2"/>
              <w:rPr>
                <w:rFonts w:hint="eastAsia"/>
                <w:color w:val="auto"/>
                <w:highlight w:val="none"/>
                <w:lang w:val="en-US" w:eastAsia="zh-CN"/>
              </w:rPr>
            </w:pPr>
            <w:r>
              <w:rPr>
                <w:rFonts w:hint="eastAsia"/>
                <w:color w:val="auto"/>
                <w:highlight w:val="none"/>
                <w:lang w:eastAsia="zh-CN"/>
              </w:rPr>
              <w:t>（</w:t>
            </w:r>
            <w:r>
              <w:rPr>
                <w:rFonts w:hint="eastAsia" w:ascii="宋体" w:hAnsi="宋体" w:eastAsia="宋体" w:cs="宋体"/>
                <w:color w:val="auto"/>
                <w:sz w:val="21"/>
                <w:szCs w:val="21"/>
                <w:highlight w:val="none"/>
                <w:lang w:val="en-US" w:eastAsia="zh-CN"/>
              </w:rPr>
              <w:t>根据重要技术参数</w:t>
            </w:r>
            <w:r>
              <w:rPr>
                <w:rFonts w:hint="eastAsia" w:ascii="宋体" w:hAnsi="宋体" w:eastAsia="宋体" w:cs="宋体"/>
                <w:b/>
                <w:bCs/>
                <w:color w:val="auto"/>
                <w:sz w:val="21"/>
                <w:szCs w:val="21"/>
                <w:highlight w:val="none"/>
              </w:rPr>
              <w:t>“▲”</w:t>
            </w:r>
            <w:r>
              <w:rPr>
                <w:rFonts w:hint="eastAsia" w:ascii="宋体" w:hAnsi="宋体" w:eastAsia="宋体" w:cs="宋体"/>
                <w:color w:val="auto"/>
                <w:sz w:val="21"/>
                <w:szCs w:val="21"/>
                <w:highlight w:val="none"/>
                <w:lang w:val="en-US" w:eastAsia="zh-CN"/>
              </w:rPr>
              <w:t>中需提供的资料作为证明文件，若需求参数中没有明知清楚，</w:t>
            </w:r>
            <w:r>
              <w:rPr>
                <w:rFonts w:hint="eastAsia" w:ascii="宋体" w:hAnsi="宋体" w:eastAsia="宋体" w:cs="宋体"/>
                <w:b/>
                <w:bCs w:val="0"/>
                <w:color w:val="auto"/>
                <w:sz w:val="21"/>
                <w:szCs w:val="21"/>
                <w:highlight w:val="none"/>
                <w:lang w:val="en-US" w:eastAsia="zh-CN"/>
              </w:rPr>
              <w:t>则提供检测报告复印件或产品彩页或官方功能截图</w:t>
            </w:r>
            <w:r>
              <w:rPr>
                <w:rFonts w:hint="eastAsia" w:ascii="宋体" w:hAnsi="宋体" w:cs="宋体"/>
                <w:b/>
                <w:bCs w:val="0"/>
                <w:color w:val="auto"/>
                <w:sz w:val="21"/>
                <w:szCs w:val="21"/>
                <w:highlight w:val="none"/>
                <w:lang w:val="en-US" w:eastAsia="zh-CN"/>
              </w:rPr>
              <w:t>或厂家提供的原厂功能证明文件并须加盖厂家公章</w:t>
            </w:r>
            <w:r>
              <w:rPr>
                <w:rFonts w:hint="eastAsia" w:ascii="宋体" w:hAnsi="宋体" w:eastAsia="宋体" w:cs="宋体"/>
                <w:color w:val="auto"/>
                <w:sz w:val="21"/>
                <w:szCs w:val="21"/>
                <w:highlight w:val="none"/>
                <w:lang w:val="en-US" w:eastAsia="zh-CN"/>
              </w:rPr>
              <w:t>作为证明材料</w:t>
            </w:r>
            <w:r>
              <w:rPr>
                <w:rFonts w:hint="eastAsia" w:ascii="宋体" w:hAnsi="宋体" w:cs="宋体"/>
                <w:color w:val="auto"/>
                <w:sz w:val="21"/>
                <w:szCs w:val="21"/>
                <w:highlight w:val="none"/>
                <w:lang w:val="en-US" w:eastAsia="zh-CN"/>
              </w:rPr>
              <w:t>，</w:t>
            </w:r>
            <w:r>
              <w:rPr>
                <w:rFonts w:hint="eastAsia" w:ascii="宋体" w:hAnsi="宋体" w:cs="宋体"/>
                <w:b/>
                <w:bCs w:val="0"/>
                <w:color w:val="auto"/>
                <w:sz w:val="21"/>
                <w:szCs w:val="21"/>
                <w:highlight w:val="none"/>
                <w:lang w:val="en-US" w:eastAsia="zh-CN"/>
              </w:rPr>
              <w:t>需要原件核查的请按要求提供</w:t>
            </w:r>
            <w:r>
              <w:rPr>
                <w:rFonts w:hint="eastAsia"/>
                <w:color w:val="auto"/>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30" w:hRule="atLeast"/>
          <w:jc w:val="center"/>
        </w:trPr>
        <w:tc>
          <w:tcPr>
            <w:tcW w:w="2227" w:type="dxa"/>
            <w:vMerge w:val="restart"/>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项目实施</w:t>
            </w:r>
          </w:p>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&lt;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分&gt;</w:t>
            </w:r>
          </w:p>
        </w:tc>
        <w:tc>
          <w:tcPr>
            <w:tcW w:w="6600" w:type="dxa"/>
            <w:vAlign w:val="center"/>
          </w:tcPr>
          <w:p>
            <w:pPr>
              <w:widowControl/>
              <w:spacing w:line="24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根据各投标人</w:t>
            </w:r>
            <w:r>
              <w:rPr>
                <w:rFonts w:hint="eastAsia" w:ascii="宋体" w:hAnsi="宋体" w:eastAsia="宋体" w:cs="宋体"/>
                <w:color w:val="auto"/>
                <w:kern w:val="0"/>
                <w:sz w:val="21"/>
                <w:szCs w:val="21"/>
                <w:highlight w:val="none"/>
              </w:rPr>
              <w:t>结合本项目情况，提供针对性的项目实施方案（包括系统的集成接口、历史数据迁移等）</w:t>
            </w:r>
            <w:r>
              <w:rPr>
                <w:rFonts w:hint="eastAsia" w:ascii="宋体" w:hAnsi="宋体" w:eastAsia="宋体" w:cs="宋体"/>
                <w:color w:val="auto"/>
                <w:kern w:val="0"/>
                <w:sz w:val="21"/>
                <w:szCs w:val="21"/>
                <w:highlight w:val="none"/>
                <w:lang w:eastAsia="zh-CN"/>
              </w:rPr>
              <w:t>进行横向比较：</w:t>
            </w:r>
          </w:p>
          <w:p>
            <w:pPr>
              <w:widowControl/>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方案非常合理，</w:t>
            </w:r>
            <w:r>
              <w:rPr>
                <w:rFonts w:hint="eastAsia" w:ascii="宋体" w:hAnsi="宋体" w:eastAsia="宋体" w:cs="宋体"/>
                <w:color w:val="auto"/>
                <w:sz w:val="21"/>
                <w:szCs w:val="21"/>
                <w:highlight w:val="none"/>
                <w:lang w:eastAsia="zh-CN"/>
              </w:rPr>
              <w:t>详细、</w:t>
            </w:r>
            <w:r>
              <w:rPr>
                <w:rFonts w:hint="eastAsia" w:ascii="宋体" w:hAnsi="宋体" w:eastAsia="宋体" w:cs="宋体"/>
                <w:color w:val="auto"/>
                <w:sz w:val="21"/>
                <w:szCs w:val="21"/>
                <w:highlight w:val="none"/>
              </w:rPr>
              <w:t>措施完善性和可操作性强的，得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widowControl/>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方案合理，</w:t>
            </w:r>
            <w:r>
              <w:rPr>
                <w:rFonts w:hint="eastAsia" w:ascii="宋体" w:hAnsi="宋体" w:eastAsia="宋体" w:cs="宋体"/>
                <w:color w:val="auto"/>
                <w:sz w:val="21"/>
                <w:szCs w:val="21"/>
                <w:highlight w:val="none"/>
                <w:lang w:eastAsia="zh-CN"/>
              </w:rPr>
              <w:t>较详细、</w:t>
            </w:r>
            <w:r>
              <w:rPr>
                <w:rFonts w:hint="eastAsia" w:ascii="宋体" w:hAnsi="宋体" w:eastAsia="宋体" w:cs="宋体"/>
                <w:color w:val="auto"/>
                <w:sz w:val="21"/>
                <w:szCs w:val="21"/>
                <w:highlight w:val="none"/>
              </w:rPr>
              <w:t>措施完善性和可操作性较强的，得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widowControl/>
              <w:spacing w:line="24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方案合理性一般，措施完善性和可操作性</w:t>
            </w:r>
            <w:r>
              <w:rPr>
                <w:rFonts w:hint="eastAsia" w:ascii="宋体" w:hAnsi="宋体" w:eastAsia="宋体" w:cs="宋体"/>
                <w:color w:val="auto"/>
                <w:sz w:val="21"/>
                <w:szCs w:val="21"/>
                <w:highlight w:val="none"/>
                <w:lang w:eastAsia="zh-CN"/>
              </w:rPr>
              <w:t>一般</w:t>
            </w:r>
            <w:r>
              <w:rPr>
                <w:rFonts w:hint="eastAsia" w:ascii="宋体" w:hAnsi="宋体" w:eastAsia="宋体" w:cs="宋体"/>
                <w:color w:val="auto"/>
                <w:sz w:val="21"/>
                <w:szCs w:val="21"/>
                <w:highlight w:val="none"/>
              </w:rPr>
              <w:t>的，得</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widowControl/>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其余情况或不提供，得</w:t>
            </w:r>
            <w:r>
              <w:rPr>
                <w:rFonts w:hint="eastAsia" w:ascii="宋体" w:hAnsi="宋体" w:eastAsia="宋体" w:cs="宋体"/>
                <w:color w:val="auto"/>
                <w:sz w:val="21"/>
                <w:szCs w:val="21"/>
                <w:highlight w:val="none"/>
                <w:lang w:val="en-US" w:eastAsia="zh-CN"/>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30" w:hRule="atLeast"/>
          <w:jc w:val="center"/>
        </w:trPr>
        <w:tc>
          <w:tcPr>
            <w:tcW w:w="2227" w:type="dxa"/>
            <w:vMerge w:val="continue"/>
            <w:vAlign w:val="center"/>
          </w:tcPr>
          <w:p>
            <w:pPr>
              <w:widowControl/>
              <w:jc w:val="center"/>
              <w:rPr>
                <w:rFonts w:hint="eastAsia" w:ascii="宋体" w:hAnsi="宋体" w:eastAsia="宋体" w:cs="宋体"/>
                <w:color w:val="auto"/>
                <w:sz w:val="21"/>
                <w:szCs w:val="21"/>
                <w:highlight w:val="none"/>
              </w:rPr>
            </w:pPr>
          </w:p>
        </w:tc>
        <w:tc>
          <w:tcPr>
            <w:tcW w:w="6600" w:type="dxa"/>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根据各</w:t>
            </w:r>
            <w:r>
              <w:rPr>
                <w:rFonts w:hint="eastAsia" w:ascii="宋体" w:hAnsi="宋体" w:eastAsia="宋体" w:cs="宋体"/>
                <w:color w:val="auto"/>
                <w:sz w:val="21"/>
                <w:szCs w:val="21"/>
                <w:highlight w:val="none"/>
                <w:lang w:eastAsia="zh-CN"/>
              </w:rPr>
              <w:t>投标人提出的进度计划、工作安排及质量保证措施</w:t>
            </w:r>
            <w:r>
              <w:rPr>
                <w:rFonts w:hint="eastAsia" w:ascii="宋体" w:hAnsi="宋体" w:eastAsia="宋体" w:cs="宋体"/>
                <w:color w:val="auto"/>
                <w:sz w:val="21"/>
                <w:szCs w:val="21"/>
                <w:highlight w:val="none"/>
              </w:rPr>
              <w:t>进行</w:t>
            </w:r>
            <w:r>
              <w:rPr>
                <w:rFonts w:hint="eastAsia" w:ascii="宋体" w:hAnsi="宋体" w:eastAsia="宋体" w:cs="宋体"/>
                <w:color w:val="auto"/>
                <w:sz w:val="21"/>
                <w:szCs w:val="21"/>
                <w:highlight w:val="none"/>
                <w:lang w:eastAsia="zh-CN"/>
              </w:rPr>
              <w:t>横向</w:t>
            </w:r>
            <w:r>
              <w:rPr>
                <w:rFonts w:hint="eastAsia" w:ascii="宋体" w:hAnsi="宋体" w:eastAsia="宋体" w:cs="宋体"/>
                <w:color w:val="auto"/>
                <w:sz w:val="21"/>
                <w:szCs w:val="21"/>
                <w:highlight w:val="none"/>
              </w:rPr>
              <w:t>比较：</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进度计划及工作安排详细、具体，内容齐全，有完善的质量保证措施，得</w:t>
            </w:r>
            <w:r>
              <w:rPr>
                <w:rFonts w:hint="eastAsia" w:ascii="宋体" w:hAnsi="宋体" w:eastAsia="宋体" w:cs="宋体"/>
                <w:color w:val="auto"/>
                <w:sz w:val="21"/>
                <w:szCs w:val="21"/>
                <w:highlight w:val="none"/>
                <w:lang w:val="en-US" w:eastAsia="zh-CN"/>
              </w:rPr>
              <w:t>2分；</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进度计划及工作安排较详细、较具体，内容较齐全，有较完善的质量保证措施，得</w:t>
            </w:r>
            <w:r>
              <w:rPr>
                <w:rFonts w:hint="eastAsia" w:ascii="宋体" w:hAnsi="宋体" w:eastAsia="宋体" w:cs="宋体"/>
                <w:color w:val="auto"/>
                <w:sz w:val="21"/>
                <w:szCs w:val="21"/>
                <w:highlight w:val="none"/>
                <w:lang w:val="en-US" w:eastAsia="zh-CN"/>
              </w:rPr>
              <w:t>1分；</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进度计划及工作安排一般，质量保证措施一般，得</w:t>
            </w:r>
            <w:r>
              <w:rPr>
                <w:rFonts w:hint="eastAsia" w:ascii="宋体" w:hAnsi="宋体" w:eastAsia="宋体" w:cs="宋体"/>
                <w:color w:val="auto"/>
                <w:sz w:val="21"/>
                <w:szCs w:val="21"/>
                <w:highlight w:val="none"/>
                <w:lang w:val="en-US" w:eastAsia="zh-CN"/>
              </w:rPr>
              <w:t>0.5分；</w:t>
            </w:r>
          </w:p>
          <w:p>
            <w:pPr>
              <w:widowControl/>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30" w:hRule="atLeast"/>
          <w:jc w:val="center"/>
        </w:trPr>
        <w:tc>
          <w:tcPr>
            <w:tcW w:w="2227" w:type="dxa"/>
            <w:vMerge w:val="continue"/>
            <w:vAlign w:val="center"/>
          </w:tcPr>
          <w:p>
            <w:pPr>
              <w:widowControl/>
              <w:jc w:val="center"/>
              <w:rPr>
                <w:rFonts w:hint="eastAsia" w:ascii="宋体" w:hAnsi="宋体" w:eastAsia="宋体" w:cs="宋体"/>
                <w:color w:val="auto"/>
                <w:sz w:val="21"/>
                <w:szCs w:val="21"/>
                <w:highlight w:val="none"/>
              </w:rPr>
            </w:pPr>
          </w:p>
        </w:tc>
        <w:tc>
          <w:tcPr>
            <w:tcW w:w="6600" w:type="dxa"/>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根据各</w:t>
            </w:r>
            <w:r>
              <w:rPr>
                <w:rFonts w:hint="eastAsia" w:ascii="宋体" w:hAnsi="宋体" w:eastAsia="宋体" w:cs="宋体"/>
                <w:color w:val="auto"/>
                <w:sz w:val="21"/>
                <w:szCs w:val="21"/>
                <w:highlight w:val="none"/>
                <w:lang w:eastAsia="zh-CN"/>
              </w:rPr>
              <w:t>投标人提出的培训计划</w:t>
            </w:r>
            <w:r>
              <w:rPr>
                <w:rFonts w:hint="eastAsia" w:ascii="宋体" w:hAnsi="宋体" w:eastAsia="宋体" w:cs="宋体"/>
                <w:color w:val="auto"/>
                <w:sz w:val="21"/>
                <w:szCs w:val="21"/>
                <w:highlight w:val="none"/>
              </w:rPr>
              <w:t>进行</w:t>
            </w:r>
            <w:r>
              <w:rPr>
                <w:rFonts w:hint="eastAsia" w:ascii="宋体" w:hAnsi="宋体" w:eastAsia="宋体" w:cs="宋体"/>
                <w:color w:val="auto"/>
                <w:sz w:val="21"/>
                <w:szCs w:val="21"/>
                <w:highlight w:val="none"/>
                <w:lang w:eastAsia="zh-CN"/>
              </w:rPr>
              <w:t>横向</w:t>
            </w:r>
            <w:r>
              <w:rPr>
                <w:rFonts w:hint="eastAsia" w:ascii="宋体" w:hAnsi="宋体" w:eastAsia="宋体" w:cs="宋体"/>
                <w:color w:val="auto"/>
                <w:sz w:val="21"/>
                <w:szCs w:val="21"/>
                <w:highlight w:val="none"/>
              </w:rPr>
              <w:t>比较：</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培训计划详细、具体、内容齐全、合理、针对性强，可行，得</w:t>
            </w:r>
            <w:r>
              <w:rPr>
                <w:rFonts w:hint="eastAsia" w:ascii="宋体" w:hAnsi="宋体" w:eastAsia="宋体" w:cs="宋体"/>
                <w:color w:val="auto"/>
                <w:sz w:val="21"/>
                <w:szCs w:val="21"/>
                <w:highlight w:val="none"/>
                <w:lang w:val="en-US" w:eastAsia="zh-CN"/>
              </w:rPr>
              <w:t>2分；</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培训计划较详细、较具体，内容较齐全，可行性较高，针对性较强，得</w:t>
            </w:r>
            <w:r>
              <w:rPr>
                <w:rFonts w:hint="eastAsia" w:ascii="宋体" w:hAnsi="宋体" w:eastAsia="宋体" w:cs="宋体"/>
                <w:color w:val="auto"/>
                <w:sz w:val="21"/>
                <w:szCs w:val="21"/>
                <w:highlight w:val="none"/>
                <w:lang w:val="en-US" w:eastAsia="zh-CN"/>
              </w:rPr>
              <w:t>1分；</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培训计划内容、可行性、针对性一般的，得</w:t>
            </w:r>
            <w:r>
              <w:rPr>
                <w:rFonts w:hint="eastAsia" w:ascii="宋体" w:hAnsi="宋体" w:eastAsia="宋体" w:cs="宋体"/>
                <w:color w:val="auto"/>
                <w:sz w:val="21"/>
                <w:szCs w:val="21"/>
                <w:highlight w:val="none"/>
                <w:lang w:val="en-US" w:eastAsia="zh-CN"/>
              </w:rPr>
              <w:t>0.5分；</w:t>
            </w:r>
          </w:p>
          <w:p>
            <w:pPr>
              <w:widowControl/>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5" w:hRule="atLeast"/>
          <w:jc w:val="center"/>
        </w:trPr>
        <w:tc>
          <w:tcPr>
            <w:tcW w:w="2227"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档案数字化及整理服务方案</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&lt;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分&gt;</w:t>
            </w:r>
          </w:p>
        </w:tc>
        <w:tc>
          <w:tcPr>
            <w:tcW w:w="6600" w:type="dxa"/>
            <w:vAlign w:val="center"/>
          </w:tcPr>
          <w:p>
            <w:pPr>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根据各投标人提供的</w:t>
            </w:r>
            <w:r>
              <w:rPr>
                <w:rFonts w:hint="eastAsia" w:ascii="宋体" w:hAnsi="宋体" w:eastAsia="宋体" w:cs="宋体"/>
                <w:color w:val="auto"/>
                <w:kern w:val="0"/>
                <w:sz w:val="21"/>
                <w:szCs w:val="21"/>
                <w:highlight w:val="none"/>
              </w:rPr>
              <w:t>档案数字化及整理服务方案</w:t>
            </w:r>
            <w:r>
              <w:rPr>
                <w:rFonts w:hint="eastAsia" w:ascii="宋体" w:hAnsi="宋体" w:eastAsia="宋体" w:cs="宋体"/>
                <w:color w:val="auto"/>
                <w:kern w:val="0"/>
                <w:sz w:val="21"/>
                <w:szCs w:val="21"/>
                <w:highlight w:val="none"/>
                <w:lang w:eastAsia="zh-CN"/>
              </w:rPr>
              <w:t>进行横向比较：</w:t>
            </w:r>
          </w:p>
          <w:p>
            <w:pPr>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eastAsia="zh-CN"/>
              </w:rPr>
              <w:t>投标人提供的</w:t>
            </w:r>
            <w:r>
              <w:rPr>
                <w:rFonts w:hint="eastAsia" w:ascii="宋体" w:hAnsi="宋体" w:eastAsia="宋体" w:cs="宋体"/>
                <w:color w:val="auto"/>
                <w:kern w:val="0"/>
                <w:sz w:val="21"/>
                <w:szCs w:val="21"/>
                <w:highlight w:val="none"/>
              </w:rPr>
              <w:t>档案数字化及整理服务方案</w:t>
            </w:r>
            <w:r>
              <w:rPr>
                <w:rFonts w:hint="eastAsia" w:ascii="宋体" w:hAnsi="宋体" w:eastAsia="宋体" w:cs="宋体"/>
                <w:color w:val="auto"/>
                <w:kern w:val="0"/>
                <w:sz w:val="21"/>
                <w:szCs w:val="21"/>
                <w:highlight w:val="none"/>
                <w:lang w:eastAsia="zh-CN"/>
              </w:rPr>
              <w:t>具体合理，可行性高，满足或优于招标文件要求的，得</w:t>
            </w:r>
            <w:r>
              <w:rPr>
                <w:rFonts w:hint="eastAsia" w:ascii="宋体" w:hAnsi="宋体" w:eastAsia="宋体" w:cs="宋体"/>
                <w:color w:val="auto"/>
                <w:kern w:val="0"/>
                <w:sz w:val="21"/>
                <w:szCs w:val="21"/>
                <w:highlight w:val="none"/>
                <w:lang w:val="en-US" w:eastAsia="zh-CN"/>
              </w:rPr>
              <w:t>2分；</w:t>
            </w:r>
          </w:p>
          <w:p>
            <w:pPr>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eastAsia="zh-CN"/>
              </w:rPr>
              <w:t>投标人提供的</w:t>
            </w:r>
            <w:r>
              <w:rPr>
                <w:rFonts w:hint="eastAsia" w:ascii="宋体" w:hAnsi="宋体" w:eastAsia="宋体" w:cs="宋体"/>
                <w:color w:val="auto"/>
                <w:kern w:val="0"/>
                <w:sz w:val="21"/>
                <w:szCs w:val="21"/>
                <w:highlight w:val="none"/>
              </w:rPr>
              <w:t>档案数字化及整理服务方案</w:t>
            </w:r>
            <w:r>
              <w:rPr>
                <w:rFonts w:hint="eastAsia" w:ascii="宋体" w:hAnsi="宋体" w:eastAsia="宋体" w:cs="宋体"/>
                <w:color w:val="auto"/>
                <w:kern w:val="0"/>
                <w:sz w:val="21"/>
                <w:szCs w:val="21"/>
                <w:highlight w:val="none"/>
                <w:lang w:eastAsia="zh-CN"/>
              </w:rPr>
              <w:t>较具体合理，可行性较高，基本满足招标文件要求的，得</w:t>
            </w:r>
            <w:r>
              <w:rPr>
                <w:rFonts w:hint="eastAsia" w:ascii="宋体" w:hAnsi="宋体" w:eastAsia="宋体" w:cs="宋体"/>
                <w:color w:val="auto"/>
                <w:kern w:val="0"/>
                <w:sz w:val="21"/>
                <w:szCs w:val="21"/>
                <w:highlight w:val="none"/>
                <w:lang w:val="en-US" w:eastAsia="zh-CN"/>
              </w:rPr>
              <w:t>1分；</w:t>
            </w:r>
          </w:p>
          <w:p>
            <w:pPr>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eastAsia="zh-CN"/>
              </w:rPr>
              <w:t>投标人提供的</w:t>
            </w:r>
            <w:r>
              <w:rPr>
                <w:rFonts w:hint="eastAsia" w:ascii="宋体" w:hAnsi="宋体" w:eastAsia="宋体" w:cs="宋体"/>
                <w:color w:val="auto"/>
                <w:kern w:val="0"/>
                <w:sz w:val="21"/>
                <w:szCs w:val="21"/>
                <w:highlight w:val="none"/>
              </w:rPr>
              <w:t>档案数字化及整理服务方案</w:t>
            </w:r>
            <w:r>
              <w:rPr>
                <w:rFonts w:hint="eastAsia" w:ascii="宋体" w:hAnsi="宋体" w:eastAsia="宋体" w:cs="宋体"/>
                <w:color w:val="auto"/>
                <w:kern w:val="0"/>
                <w:sz w:val="21"/>
                <w:szCs w:val="21"/>
                <w:highlight w:val="none"/>
                <w:lang w:eastAsia="zh-CN"/>
              </w:rPr>
              <w:t>一般的，得</w:t>
            </w:r>
            <w:r>
              <w:rPr>
                <w:rFonts w:hint="eastAsia" w:ascii="宋体" w:hAnsi="宋体" w:eastAsia="宋体" w:cs="宋体"/>
                <w:color w:val="auto"/>
                <w:kern w:val="0"/>
                <w:sz w:val="21"/>
                <w:szCs w:val="21"/>
                <w:highlight w:val="none"/>
                <w:lang w:val="en-US" w:eastAsia="zh-CN"/>
              </w:rPr>
              <w:t>0.5分；</w:t>
            </w:r>
          </w:p>
          <w:p>
            <w:pPr>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30" w:hRule="atLeast"/>
          <w:jc w:val="center"/>
        </w:trPr>
        <w:tc>
          <w:tcPr>
            <w:tcW w:w="2227"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档案管理系统功能及技术要求</w:t>
            </w:r>
          </w:p>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&lt;</w:t>
            </w:r>
            <w:r>
              <w:rPr>
                <w:rFonts w:hint="eastAsia" w:ascii="宋体" w:hAnsi="宋体" w:eastAsia="宋体" w:cs="宋体"/>
                <w:color w:val="auto"/>
                <w:kern w:val="0"/>
                <w:sz w:val="21"/>
                <w:szCs w:val="21"/>
                <w:highlight w:val="none"/>
              </w:rPr>
              <w:t>11</w:t>
            </w:r>
            <w:r>
              <w:rPr>
                <w:rFonts w:hint="eastAsia" w:ascii="宋体" w:hAnsi="宋体" w:eastAsia="宋体" w:cs="宋体"/>
                <w:color w:val="auto"/>
                <w:sz w:val="21"/>
                <w:szCs w:val="21"/>
                <w:highlight w:val="none"/>
              </w:rPr>
              <w:t>分&gt;</w:t>
            </w:r>
          </w:p>
        </w:tc>
        <w:tc>
          <w:tcPr>
            <w:tcW w:w="6600"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根据各</w:t>
            </w:r>
            <w:r>
              <w:rPr>
                <w:rFonts w:hint="eastAsia" w:ascii="宋体" w:hAnsi="宋体" w:eastAsia="宋体" w:cs="宋体"/>
                <w:color w:val="auto"/>
                <w:sz w:val="21"/>
                <w:szCs w:val="21"/>
                <w:highlight w:val="none"/>
                <w:lang w:eastAsia="zh-CN"/>
              </w:rPr>
              <w:t>投标人投入本项目</w:t>
            </w:r>
            <w:r>
              <w:rPr>
                <w:rFonts w:hint="eastAsia" w:ascii="宋体" w:hAnsi="宋体" w:eastAsia="宋体" w:cs="宋体"/>
                <w:color w:val="auto"/>
                <w:sz w:val="21"/>
                <w:szCs w:val="21"/>
                <w:highlight w:val="none"/>
              </w:rPr>
              <w:t>档案管理系统</w:t>
            </w:r>
            <w:r>
              <w:rPr>
                <w:rFonts w:hint="eastAsia" w:ascii="宋体" w:hAnsi="宋体" w:eastAsia="宋体" w:cs="宋体"/>
                <w:color w:val="auto"/>
                <w:sz w:val="21"/>
                <w:szCs w:val="21"/>
                <w:highlight w:val="none"/>
                <w:lang w:eastAsia="zh-CN"/>
              </w:rPr>
              <w:t>的功能</w:t>
            </w:r>
            <w:r>
              <w:rPr>
                <w:rFonts w:hint="eastAsia" w:ascii="宋体" w:hAnsi="宋体" w:eastAsia="宋体" w:cs="宋体"/>
                <w:color w:val="auto"/>
                <w:kern w:val="0"/>
                <w:sz w:val="21"/>
                <w:szCs w:val="21"/>
                <w:highlight w:val="none"/>
              </w:rPr>
              <w:t>及技术</w:t>
            </w:r>
            <w:r>
              <w:rPr>
                <w:rFonts w:hint="eastAsia" w:ascii="宋体" w:hAnsi="宋体" w:eastAsia="宋体" w:cs="宋体"/>
                <w:color w:val="auto"/>
                <w:sz w:val="21"/>
                <w:szCs w:val="21"/>
                <w:highlight w:val="none"/>
              </w:rPr>
              <w:t>进行</w:t>
            </w:r>
            <w:r>
              <w:rPr>
                <w:rFonts w:hint="eastAsia" w:ascii="宋体" w:hAnsi="宋体" w:cs="宋体"/>
                <w:color w:val="auto"/>
                <w:sz w:val="21"/>
                <w:szCs w:val="21"/>
                <w:highlight w:val="none"/>
                <w:lang w:eastAsia="zh-CN"/>
              </w:rPr>
              <w:t>评审</w:t>
            </w:r>
            <w:r>
              <w:rPr>
                <w:rFonts w:hint="eastAsia" w:ascii="宋体" w:hAnsi="宋体" w:eastAsia="宋体" w:cs="宋体"/>
                <w:color w:val="auto"/>
                <w:sz w:val="21"/>
                <w:szCs w:val="21"/>
                <w:highlight w:val="none"/>
              </w:rPr>
              <w:t>：</w:t>
            </w:r>
          </w:p>
          <w:p>
            <w:pPr>
              <w:numPr>
                <w:ilvl w:val="0"/>
                <w:numId w:val="29"/>
              </w:numPr>
              <w:ind w:left="425" w:leftChars="0" w:hanging="425"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系统</w:t>
            </w:r>
            <w:r>
              <w:rPr>
                <w:rFonts w:hint="eastAsia" w:ascii="宋体" w:hAnsi="宋体" w:eastAsia="宋体" w:cs="宋体"/>
                <w:color w:val="auto"/>
                <w:sz w:val="21"/>
                <w:szCs w:val="21"/>
                <w:highlight w:val="none"/>
              </w:rPr>
              <w:t>能灵活定义档案业务模板，包括档案类型、结构、档号规则、报表、字段生成等，具备档案信息录入、立卷、报表打印等基本功能，并可以自定义业务流程进行审批业务，进行权限设置</w:t>
            </w:r>
            <w:r>
              <w:rPr>
                <w:rFonts w:hint="eastAsia" w:ascii="宋体" w:hAnsi="宋体" w:eastAsia="宋体" w:cs="宋体"/>
                <w:color w:val="auto"/>
                <w:sz w:val="21"/>
                <w:szCs w:val="21"/>
                <w:highlight w:val="none"/>
                <w:lang w:eastAsia="zh-CN"/>
              </w:rPr>
              <w:t>，得</w:t>
            </w:r>
            <w:r>
              <w:rPr>
                <w:rFonts w:hint="eastAsia" w:ascii="宋体" w:hAnsi="宋体" w:eastAsia="宋体" w:cs="宋体"/>
                <w:color w:val="auto"/>
                <w:sz w:val="21"/>
                <w:szCs w:val="21"/>
                <w:highlight w:val="none"/>
                <w:lang w:val="en-US" w:eastAsia="zh-CN"/>
              </w:rPr>
              <w:t>1分；</w:t>
            </w:r>
          </w:p>
          <w:p>
            <w:pPr>
              <w:numPr>
                <w:ilvl w:val="0"/>
                <w:numId w:val="29"/>
              </w:numPr>
              <w:ind w:left="425" w:leftChars="0" w:hanging="425"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具有元数据管理功能，实现基于元数据的外部数据交换、内部数据统一检索和结果的展现以及电子文件长期保存，可以进行向导式的统计</w:t>
            </w:r>
            <w:r>
              <w:rPr>
                <w:rFonts w:hint="eastAsia" w:ascii="宋体" w:hAnsi="宋体" w:eastAsia="宋体" w:cs="宋体"/>
                <w:color w:val="auto"/>
                <w:sz w:val="21"/>
                <w:szCs w:val="21"/>
                <w:highlight w:val="none"/>
                <w:lang w:eastAsia="zh-CN"/>
              </w:rPr>
              <w:t>，得</w:t>
            </w:r>
            <w:r>
              <w:rPr>
                <w:rFonts w:hint="eastAsia" w:ascii="宋体" w:hAnsi="宋体" w:eastAsia="宋体" w:cs="宋体"/>
                <w:color w:val="auto"/>
                <w:sz w:val="21"/>
                <w:szCs w:val="21"/>
                <w:highlight w:val="none"/>
                <w:lang w:val="en-US" w:eastAsia="zh-CN"/>
              </w:rPr>
              <w:t>1分；</w:t>
            </w:r>
          </w:p>
          <w:p>
            <w:pPr>
              <w:numPr>
                <w:ilvl w:val="0"/>
                <w:numId w:val="29"/>
              </w:numPr>
              <w:ind w:left="425" w:leftChars="0" w:hanging="425"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具有进行数据打包</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支持回收站功能，删除数据有缓存空间</w:t>
            </w:r>
            <w:r>
              <w:rPr>
                <w:rFonts w:hint="eastAsia" w:ascii="宋体" w:hAnsi="宋体" w:eastAsia="宋体" w:cs="宋体"/>
                <w:color w:val="auto"/>
                <w:sz w:val="21"/>
                <w:szCs w:val="21"/>
                <w:highlight w:val="none"/>
                <w:lang w:eastAsia="zh-CN"/>
              </w:rPr>
              <w:t>，得</w:t>
            </w:r>
            <w:r>
              <w:rPr>
                <w:rFonts w:hint="eastAsia" w:ascii="宋体" w:hAnsi="宋体" w:eastAsia="宋体" w:cs="宋体"/>
                <w:color w:val="auto"/>
                <w:sz w:val="21"/>
                <w:szCs w:val="21"/>
                <w:highlight w:val="none"/>
                <w:lang w:val="en-US" w:eastAsia="zh-CN"/>
              </w:rPr>
              <w:t>1分；</w:t>
            </w:r>
          </w:p>
          <w:p>
            <w:pPr>
              <w:numPr>
                <w:ilvl w:val="0"/>
                <w:numId w:val="29"/>
              </w:numPr>
              <w:ind w:left="425" w:leftChars="0" w:hanging="425"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具备反篡改机制，采用MD5技术，对电子文件可进行真实性校验功能</w:t>
            </w:r>
            <w:r>
              <w:rPr>
                <w:rFonts w:hint="eastAsia" w:ascii="宋体" w:hAnsi="宋体" w:eastAsia="宋体" w:cs="宋体"/>
                <w:color w:val="auto"/>
                <w:sz w:val="21"/>
                <w:szCs w:val="21"/>
                <w:highlight w:val="none"/>
                <w:lang w:eastAsia="zh-CN"/>
              </w:rPr>
              <w:t>，得</w:t>
            </w:r>
            <w:r>
              <w:rPr>
                <w:rFonts w:hint="eastAsia" w:ascii="宋体" w:hAnsi="宋体" w:eastAsia="宋体" w:cs="宋体"/>
                <w:color w:val="auto"/>
                <w:sz w:val="21"/>
                <w:szCs w:val="21"/>
                <w:highlight w:val="none"/>
                <w:lang w:val="en-US" w:eastAsia="zh-CN"/>
              </w:rPr>
              <w:t>1分；</w:t>
            </w:r>
          </w:p>
          <w:p>
            <w:pPr>
              <w:numPr>
                <w:ilvl w:val="0"/>
                <w:numId w:val="29"/>
              </w:numPr>
              <w:ind w:left="425" w:leftChars="0" w:hanging="425"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支持档案信息“订阅/推送”，访问用户自行定义感兴趣的关键词，系统将满足订阅条件的档案条目和电子文件依据权限发送给利用者</w:t>
            </w:r>
            <w:r>
              <w:rPr>
                <w:rFonts w:hint="eastAsia" w:ascii="宋体" w:hAnsi="宋体" w:eastAsia="宋体" w:cs="宋体"/>
                <w:color w:val="auto"/>
                <w:sz w:val="21"/>
                <w:szCs w:val="21"/>
                <w:highlight w:val="none"/>
                <w:lang w:eastAsia="zh-CN"/>
              </w:rPr>
              <w:t>，得</w:t>
            </w:r>
            <w:r>
              <w:rPr>
                <w:rFonts w:hint="eastAsia" w:ascii="宋体" w:hAnsi="宋体" w:eastAsia="宋体" w:cs="宋体"/>
                <w:color w:val="auto"/>
                <w:sz w:val="21"/>
                <w:szCs w:val="21"/>
                <w:highlight w:val="none"/>
                <w:lang w:val="en-US" w:eastAsia="zh-CN"/>
              </w:rPr>
              <w:t>1分；</w:t>
            </w:r>
          </w:p>
          <w:p>
            <w:pPr>
              <w:numPr>
                <w:ilvl w:val="0"/>
                <w:numId w:val="29"/>
              </w:numPr>
              <w:ind w:left="425" w:leftChars="0" w:hanging="425"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具备全文检索等功能，并提供全文检索版权证书，能够实现一次性的跨所有档案库检索</w:t>
            </w:r>
            <w:r>
              <w:rPr>
                <w:rFonts w:hint="eastAsia" w:ascii="宋体" w:hAnsi="宋体" w:eastAsia="宋体" w:cs="宋体"/>
                <w:color w:val="auto"/>
                <w:sz w:val="21"/>
                <w:szCs w:val="21"/>
                <w:highlight w:val="none"/>
                <w:lang w:eastAsia="zh-CN"/>
              </w:rPr>
              <w:t>，得</w:t>
            </w:r>
            <w:r>
              <w:rPr>
                <w:rFonts w:hint="eastAsia" w:ascii="宋体" w:hAnsi="宋体" w:eastAsia="宋体" w:cs="宋体"/>
                <w:color w:val="auto"/>
                <w:sz w:val="21"/>
                <w:szCs w:val="21"/>
                <w:highlight w:val="none"/>
                <w:lang w:val="en-US" w:eastAsia="zh-CN"/>
              </w:rPr>
              <w:t>1分；</w:t>
            </w:r>
          </w:p>
          <w:p>
            <w:pPr>
              <w:numPr>
                <w:ilvl w:val="0"/>
                <w:numId w:val="29"/>
              </w:numPr>
              <w:ind w:left="425" w:leftChars="0" w:hanging="425"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具有档案编研功能，支持“所见即所得”的在线档案编研和发布功能</w:t>
            </w:r>
            <w:r>
              <w:rPr>
                <w:rFonts w:hint="eastAsia" w:ascii="宋体" w:hAnsi="宋体" w:eastAsia="宋体" w:cs="宋体"/>
                <w:color w:val="auto"/>
                <w:sz w:val="21"/>
                <w:szCs w:val="21"/>
                <w:highlight w:val="none"/>
                <w:lang w:eastAsia="zh-CN"/>
              </w:rPr>
              <w:t>，得</w:t>
            </w:r>
            <w:r>
              <w:rPr>
                <w:rFonts w:hint="eastAsia" w:ascii="宋体" w:hAnsi="宋体" w:eastAsia="宋体" w:cs="宋体"/>
                <w:color w:val="auto"/>
                <w:sz w:val="21"/>
                <w:szCs w:val="21"/>
                <w:highlight w:val="none"/>
                <w:lang w:val="en-US" w:eastAsia="zh-CN"/>
              </w:rPr>
              <w:t>1分；</w:t>
            </w:r>
          </w:p>
          <w:p>
            <w:pPr>
              <w:numPr>
                <w:ilvl w:val="0"/>
                <w:numId w:val="29"/>
              </w:numPr>
              <w:ind w:left="425" w:leftChars="0" w:hanging="425"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系统可生成脱机录入工具，离线情况下可操作，并支持该工具录入的数据便捷的移交到系统中</w:t>
            </w:r>
            <w:r>
              <w:rPr>
                <w:rFonts w:hint="eastAsia" w:ascii="宋体" w:hAnsi="宋体" w:eastAsia="宋体" w:cs="宋体"/>
                <w:color w:val="auto"/>
                <w:sz w:val="21"/>
                <w:szCs w:val="21"/>
                <w:highlight w:val="none"/>
                <w:lang w:eastAsia="zh-CN"/>
              </w:rPr>
              <w:t>，得</w:t>
            </w:r>
            <w:r>
              <w:rPr>
                <w:rFonts w:hint="eastAsia" w:ascii="宋体" w:hAnsi="宋体" w:eastAsia="宋体" w:cs="宋体"/>
                <w:color w:val="auto"/>
                <w:sz w:val="21"/>
                <w:szCs w:val="21"/>
                <w:highlight w:val="none"/>
                <w:lang w:val="en-US" w:eastAsia="zh-CN"/>
              </w:rPr>
              <w:t>1分；</w:t>
            </w:r>
          </w:p>
          <w:p>
            <w:pPr>
              <w:numPr>
                <w:ilvl w:val="0"/>
                <w:numId w:val="29"/>
              </w:numPr>
              <w:ind w:left="425" w:leftChars="0" w:hanging="425"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提供Flash格式的在线帮助，能够以录像的方式提供在线帮助，可以进行消息提醒，支持在线即时通讯等内容</w:t>
            </w:r>
            <w:r>
              <w:rPr>
                <w:rFonts w:hint="eastAsia" w:ascii="宋体" w:hAnsi="宋体" w:eastAsia="宋体" w:cs="宋体"/>
                <w:color w:val="auto"/>
                <w:sz w:val="21"/>
                <w:szCs w:val="21"/>
                <w:highlight w:val="none"/>
                <w:lang w:eastAsia="zh-CN"/>
              </w:rPr>
              <w:t>，得</w:t>
            </w:r>
            <w:r>
              <w:rPr>
                <w:rFonts w:hint="eastAsia" w:ascii="宋体" w:hAnsi="宋体" w:eastAsia="宋体" w:cs="宋体"/>
                <w:color w:val="auto"/>
                <w:sz w:val="21"/>
                <w:szCs w:val="21"/>
                <w:highlight w:val="none"/>
                <w:lang w:val="en-US" w:eastAsia="zh-CN"/>
              </w:rPr>
              <w:t>2分；</w:t>
            </w:r>
          </w:p>
          <w:p>
            <w:pPr>
              <w:numPr>
                <w:ilvl w:val="0"/>
                <w:numId w:val="29"/>
              </w:numPr>
              <w:ind w:left="425" w:leftChars="0" w:hanging="425"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具备3D库房管理功能，可采用三维虚拟现实方式直观管理库房实体</w:t>
            </w:r>
            <w:r>
              <w:rPr>
                <w:rFonts w:hint="eastAsia" w:ascii="宋体" w:hAnsi="宋体" w:eastAsia="宋体" w:cs="宋体"/>
                <w:color w:val="auto"/>
                <w:sz w:val="21"/>
                <w:szCs w:val="21"/>
                <w:highlight w:val="none"/>
                <w:lang w:eastAsia="zh-CN"/>
              </w:rPr>
              <w:t>，得</w:t>
            </w:r>
            <w:r>
              <w:rPr>
                <w:rFonts w:hint="eastAsia" w:ascii="宋体" w:hAnsi="宋体" w:eastAsia="宋体" w:cs="宋体"/>
                <w:color w:val="auto"/>
                <w:sz w:val="21"/>
                <w:szCs w:val="21"/>
                <w:highlight w:val="none"/>
                <w:lang w:val="en-US" w:eastAsia="zh-CN"/>
              </w:rPr>
              <w:t>1分；</w:t>
            </w:r>
          </w:p>
          <w:p>
            <w:pPr>
              <w:pStyle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本项最高得11分。</w:t>
            </w:r>
          </w:p>
          <w:p>
            <w:pPr>
              <w:pStyle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（提供功能截图作为证明材料）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0" w:hRule="atLeast"/>
          <w:jc w:val="center"/>
        </w:trPr>
        <w:tc>
          <w:tcPr>
            <w:tcW w:w="2227" w:type="dxa"/>
            <w:vAlign w:val="center"/>
          </w:tcPr>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数字化加工软件功能及技术要求</w:t>
            </w:r>
          </w:p>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&lt;</w:t>
            </w:r>
            <w:r>
              <w:rPr>
                <w:rFonts w:hint="eastAsia" w:ascii="宋体" w:hAnsi="宋体" w:eastAsia="宋体" w:cs="宋体"/>
                <w:color w:val="auto"/>
                <w:kern w:val="0"/>
                <w:sz w:val="21"/>
                <w:szCs w:val="21"/>
                <w:highlight w:val="none"/>
              </w:rPr>
              <w:t>3</w:t>
            </w:r>
            <w:r>
              <w:rPr>
                <w:rFonts w:hint="eastAsia" w:ascii="宋体" w:hAnsi="宋体" w:eastAsia="宋体" w:cs="宋体"/>
                <w:color w:val="auto"/>
                <w:sz w:val="21"/>
                <w:szCs w:val="21"/>
                <w:highlight w:val="none"/>
              </w:rPr>
              <w:t>分&gt;</w:t>
            </w:r>
          </w:p>
        </w:tc>
        <w:tc>
          <w:tcPr>
            <w:tcW w:w="6600"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根据各投标人投入本项目</w:t>
            </w:r>
            <w:r>
              <w:rPr>
                <w:rFonts w:hint="eastAsia" w:ascii="宋体" w:hAnsi="宋体" w:eastAsia="宋体" w:cs="宋体"/>
                <w:color w:val="auto"/>
                <w:sz w:val="21"/>
                <w:szCs w:val="21"/>
                <w:highlight w:val="none"/>
              </w:rPr>
              <w:t>数字化加工软件</w:t>
            </w:r>
            <w:r>
              <w:rPr>
                <w:rFonts w:hint="eastAsia" w:ascii="宋体" w:hAnsi="宋体" w:eastAsia="宋体" w:cs="宋体"/>
                <w:color w:val="auto"/>
                <w:sz w:val="21"/>
                <w:szCs w:val="21"/>
                <w:highlight w:val="none"/>
                <w:lang w:eastAsia="zh-CN"/>
              </w:rPr>
              <w:t>的以下</w:t>
            </w:r>
            <w:r>
              <w:rPr>
                <w:rFonts w:hint="eastAsia" w:ascii="宋体" w:hAnsi="宋体" w:eastAsia="宋体" w:cs="宋体"/>
                <w:color w:val="auto"/>
                <w:sz w:val="21"/>
                <w:szCs w:val="21"/>
                <w:highlight w:val="none"/>
              </w:rPr>
              <w:t>功能及技术</w:t>
            </w:r>
            <w:r>
              <w:rPr>
                <w:rFonts w:hint="eastAsia" w:ascii="宋体" w:hAnsi="宋体" w:eastAsia="宋体" w:cs="宋体"/>
                <w:color w:val="auto"/>
                <w:sz w:val="21"/>
                <w:szCs w:val="21"/>
                <w:highlight w:val="none"/>
                <w:lang w:eastAsia="zh-CN"/>
              </w:rPr>
              <w:t>情况进行</w:t>
            </w:r>
            <w:r>
              <w:rPr>
                <w:rFonts w:hint="eastAsia" w:ascii="宋体" w:hAnsi="宋体" w:eastAsia="宋体" w:cs="宋体"/>
                <w:color w:val="auto"/>
                <w:sz w:val="21"/>
                <w:szCs w:val="21"/>
                <w:highlight w:val="none"/>
              </w:rPr>
              <w:t>横向</w:t>
            </w:r>
            <w:r>
              <w:rPr>
                <w:rFonts w:hint="eastAsia" w:ascii="宋体" w:hAnsi="宋体" w:eastAsia="宋体" w:cs="宋体"/>
                <w:color w:val="auto"/>
                <w:sz w:val="21"/>
                <w:szCs w:val="21"/>
                <w:highlight w:val="none"/>
                <w:lang w:eastAsia="zh-CN"/>
              </w:rPr>
              <w:t>比较</w:t>
            </w:r>
            <w:r>
              <w:rPr>
                <w:rFonts w:hint="eastAsia" w:ascii="宋体" w:hAnsi="宋体" w:eastAsia="宋体" w:cs="宋体"/>
                <w:color w:val="auto"/>
                <w:sz w:val="21"/>
                <w:szCs w:val="21"/>
                <w:highlight w:val="none"/>
              </w:rPr>
              <w:t>：</w:t>
            </w:r>
          </w:p>
          <w:p>
            <w:pPr>
              <w:keepNext w:val="0"/>
              <w:keepLines w:val="0"/>
              <w:pageBreakBefore w:val="0"/>
              <w:widowControl w:val="0"/>
              <w:numPr>
                <w:ilvl w:val="0"/>
                <w:numId w:val="3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软件模块化设计，每个岗位单独为独立软件</w:t>
            </w:r>
            <w:r>
              <w:rPr>
                <w:rFonts w:hint="eastAsia" w:ascii="宋体" w:hAnsi="宋体" w:eastAsia="宋体" w:cs="宋体"/>
                <w:color w:val="auto"/>
                <w:sz w:val="21"/>
                <w:szCs w:val="21"/>
                <w:highlight w:val="none"/>
                <w:lang w:eastAsia="zh-CN"/>
              </w:rPr>
              <w:t>界面；</w:t>
            </w:r>
          </w:p>
          <w:p>
            <w:pPr>
              <w:keepNext w:val="0"/>
              <w:keepLines w:val="0"/>
              <w:pageBreakBefore w:val="0"/>
              <w:widowControl w:val="0"/>
              <w:numPr>
                <w:ilvl w:val="0"/>
                <w:numId w:val="3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软件能自动对图像进行</w:t>
            </w:r>
            <w:r>
              <w:rPr>
                <w:rFonts w:hint="eastAsia" w:ascii="宋体" w:hAnsi="宋体" w:eastAsia="宋体" w:cs="宋体"/>
                <w:color w:val="auto"/>
                <w:sz w:val="21"/>
                <w:szCs w:val="21"/>
                <w:highlight w:val="none"/>
                <w:lang w:eastAsia="zh-CN"/>
              </w:rPr>
              <w:t>预</w:t>
            </w:r>
            <w:r>
              <w:rPr>
                <w:rFonts w:hint="eastAsia" w:ascii="宋体" w:hAnsi="宋体" w:eastAsia="宋体" w:cs="宋体"/>
                <w:color w:val="auto"/>
                <w:sz w:val="21"/>
                <w:szCs w:val="21"/>
                <w:highlight w:val="none"/>
              </w:rPr>
              <w:t>处理</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30"/>
              </w:numPr>
              <w:kinsoku/>
              <w:wordWrap/>
              <w:overflowPunct/>
              <w:topLinePunct w:val="0"/>
              <w:autoSpaceDE/>
              <w:autoSpaceDN/>
              <w:bidi w:val="0"/>
              <w:adjustRightInd/>
              <w:snapToGrid/>
              <w:spacing w:line="240" w:lineRule="auto"/>
              <w:ind w:left="420" w:leftChars="0" w:right="0" w:rightChars="0" w:hanging="420" w:hanging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支持手工对图像进行去除黑边、纠偏等处理功能，</w:t>
            </w:r>
            <w:r>
              <w:rPr>
                <w:rFonts w:hint="eastAsia" w:ascii="宋体" w:hAnsi="宋体" w:eastAsia="宋体" w:cs="宋体"/>
                <w:color w:val="auto"/>
                <w:sz w:val="21"/>
                <w:szCs w:val="21"/>
                <w:highlight w:val="none"/>
              </w:rPr>
              <w:t>使用快捷键方式操作软件</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3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具有去孔功能，页码添加功能，自动校正功能</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30"/>
              </w:numPr>
              <w:kinsoku/>
              <w:wordWrap/>
              <w:overflowPunct/>
              <w:topLinePunct w:val="0"/>
              <w:autoSpaceDE/>
              <w:autoSpaceDN/>
              <w:bidi w:val="0"/>
              <w:adjustRightInd/>
              <w:snapToGrid/>
              <w:spacing w:line="240" w:lineRule="auto"/>
              <w:ind w:left="420" w:leftChars="0" w:right="0" w:rightChars="0" w:hanging="420" w:hanging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具备封面和目录数据录入功能，在录入与质检时数据与图像关联显示</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30"/>
              </w:numPr>
              <w:kinsoku/>
              <w:wordWrap/>
              <w:overflowPunct/>
              <w:topLinePunct w:val="0"/>
              <w:autoSpaceDE/>
              <w:autoSpaceDN/>
              <w:bidi w:val="0"/>
              <w:adjustRightInd/>
              <w:snapToGrid/>
              <w:spacing w:line="240" w:lineRule="auto"/>
              <w:ind w:left="420" w:leftChars="0" w:right="0" w:rightChars="0" w:hanging="420" w:hanging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具有管理后台，能实现工序流转回溯，查看所有在做档案状态情况</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30"/>
              </w:numPr>
              <w:kinsoku/>
              <w:wordWrap/>
              <w:overflowPunct/>
              <w:topLinePunct w:val="0"/>
              <w:autoSpaceDE/>
              <w:autoSpaceDN/>
              <w:bidi w:val="0"/>
              <w:adjustRightInd/>
              <w:snapToGrid/>
              <w:spacing w:line="240" w:lineRule="auto"/>
              <w:ind w:left="420" w:leftChars="0" w:right="0" w:rightChars="0" w:hanging="420" w:hangingChars="200"/>
              <w:jc w:val="both"/>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具有日志管理功能，各岗位报表统计功能</w:t>
            </w:r>
            <w:r>
              <w:rPr>
                <w:rFonts w:hint="eastAsia" w:ascii="宋体" w:hAnsi="宋体" w:eastAsia="宋体" w:cs="宋体"/>
                <w:color w:val="auto"/>
                <w:sz w:val="21"/>
                <w:szCs w:val="21"/>
                <w:highlight w:val="none"/>
                <w:lang w:eastAsia="zh-CN"/>
              </w:rPr>
              <w:t>。</w:t>
            </w:r>
          </w:p>
          <w:p>
            <w:pPr>
              <w:pStyle w:val="2"/>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投标人投入本项目数字化加工软件功能齐全，界面清晰，得3分；</w:t>
            </w:r>
          </w:p>
          <w:p>
            <w:pPr>
              <w:pStyle w:val="2"/>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投标人投入本项目数字化加工软件功能较齐全，界面较清晰，得2分；</w:t>
            </w:r>
          </w:p>
          <w:p>
            <w:pPr>
              <w:pStyle w:val="2"/>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投标人投入本项目数字化加工软件功能不全，界面一般，得0.5分；</w:t>
            </w:r>
          </w:p>
          <w:p>
            <w:pPr>
              <w:pStyle w:val="2"/>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不提供不得分。</w:t>
            </w:r>
          </w:p>
          <w:p>
            <w:pPr>
              <w:pStyle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（提供功能截图作为证明材料）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2227"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系统原型演示（PPT演示不得分）</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&lt;</w:t>
            </w:r>
            <w:r>
              <w:rPr>
                <w:rFonts w:hint="eastAsia" w:ascii="宋体" w:hAnsi="宋体" w:eastAsia="宋体" w:cs="宋体"/>
                <w:color w:val="auto"/>
                <w:kern w:val="0"/>
                <w:sz w:val="21"/>
                <w:szCs w:val="21"/>
                <w:highlight w:val="none"/>
              </w:rPr>
              <w:t>11分</w:t>
            </w:r>
            <w:r>
              <w:rPr>
                <w:rFonts w:hint="eastAsia" w:ascii="宋体" w:hAnsi="宋体" w:eastAsia="宋体" w:cs="宋体"/>
                <w:color w:val="auto"/>
                <w:sz w:val="21"/>
                <w:szCs w:val="21"/>
                <w:highlight w:val="none"/>
              </w:rPr>
              <w:t>&gt;</w:t>
            </w:r>
          </w:p>
        </w:tc>
        <w:tc>
          <w:tcPr>
            <w:tcW w:w="6600"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根据各</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kern w:val="0"/>
                <w:sz w:val="21"/>
                <w:szCs w:val="21"/>
                <w:highlight w:val="none"/>
              </w:rPr>
              <w:t>档案管理系统原型演示</w:t>
            </w:r>
            <w:r>
              <w:rPr>
                <w:rFonts w:hint="eastAsia" w:ascii="宋体" w:hAnsi="宋体" w:eastAsia="宋体" w:cs="宋体"/>
                <w:color w:val="auto"/>
                <w:sz w:val="21"/>
                <w:szCs w:val="21"/>
                <w:highlight w:val="none"/>
              </w:rPr>
              <w:t>进行</w:t>
            </w:r>
            <w:r>
              <w:rPr>
                <w:rFonts w:hint="eastAsia" w:ascii="宋体" w:hAnsi="宋体" w:cs="宋体"/>
                <w:color w:val="auto"/>
                <w:sz w:val="21"/>
                <w:szCs w:val="21"/>
                <w:highlight w:val="none"/>
                <w:lang w:eastAsia="zh-CN"/>
              </w:rPr>
              <w:t>评审</w:t>
            </w:r>
            <w:r>
              <w:rPr>
                <w:rFonts w:hint="eastAsia" w:ascii="宋体" w:hAnsi="宋体" w:eastAsia="宋体" w:cs="宋体"/>
                <w:color w:val="auto"/>
                <w:sz w:val="21"/>
                <w:szCs w:val="21"/>
                <w:highlight w:val="none"/>
              </w:rPr>
              <w:t>：</w:t>
            </w:r>
          </w:p>
          <w:p>
            <w:pPr>
              <w:widowControl/>
              <w:numPr>
                <w:ilvl w:val="0"/>
                <w:numId w:val="31"/>
              </w:numPr>
              <w:ind w:left="425" w:leftChars="0" w:hanging="42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系统采用</w:t>
            </w:r>
            <w:r>
              <w:rPr>
                <w:rFonts w:hint="eastAsia" w:ascii="宋体" w:hAnsi="宋体" w:eastAsia="宋体" w:cs="宋体"/>
                <w:color w:val="auto"/>
                <w:sz w:val="21"/>
                <w:szCs w:val="21"/>
                <w:highlight w:val="none"/>
              </w:rPr>
              <w:t>Flex</w:t>
            </w:r>
            <w:r>
              <w:rPr>
                <w:rFonts w:hint="eastAsia" w:ascii="宋体" w:hAnsi="宋体" w:eastAsia="宋体" w:cs="宋体"/>
                <w:color w:val="auto"/>
                <w:kern w:val="0"/>
                <w:sz w:val="21"/>
                <w:szCs w:val="21"/>
                <w:highlight w:val="none"/>
              </w:rPr>
              <w:t>技术多格式文件浏览器</w:t>
            </w:r>
            <w:r>
              <w:rPr>
                <w:rFonts w:hint="eastAsia" w:ascii="宋体" w:hAnsi="宋体" w:eastAsia="宋体" w:cs="宋体"/>
                <w:color w:val="auto"/>
                <w:kern w:val="0"/>
                <w:sz w:val="21"/>
                <w:szCs w:val="21"/>
                <w:highlight w:val="none"/>
                <w:lang w:eastAsia="zh-CN"/>
              </w:rPr>
              <w:t>，得</w:t>
            </w:r>
            <w:r>
              <w:rPr>
                <w:rFonts w:hint="eastAsia" w:ascii="宋体" w:hAnsi="宋体" w:eastAsia="宋体" w:cs="宋体"/>
                <w:color w:val="auto"/>
                <w:kern w:val="0"/>
                <w:sz w:val="21"/>
                <w:szCs w:val="21"/>
                <w:highlight w:val="none"/>
                <w:lang w:val="en-US" w:eastAsia="zh-CN"/>
              </w:rPr>
              <w:t>1分；</w:t>
            </w:r>
          </w:p>
          <w:p>
            <w:pPr>
              <w:widowControl/>
              <w:numPr>
                <w:ilvl w:val="0"/>
                <w:numId w:val="31"/>
              </w:numPr>
              <w:ind w:left="425" w:leftChars="0" w:hanging="425" w:firstLineChars="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支持面向用户内部普通查询用户提供全方位、多角度、深层次的档案信息服务的独立检索系统，主要功能包括档案检索、全文检索、档案借阅申请审批、信息公开、档案专题展示、档案编研创作及编研成果展示的能力等功能</w:t>
            </w:r>
            <w:r>
              <w:rPr>
                <w:rFonts w:hint="eastAsia" w:ascii="宋体" w:hAnsi="宋体" w:eastAsia="宋体" w:cs="宋体"/>
                <w:color w:val="auto"/>
                <w:kern w:val="0"/>
                <w:sz w:val="21"/>
                <w:szCs w:val="21"/>
                <w:highlight w:val="none"/>
                <w:lang w:eastAsia="zh-CN"/>
              </w:rPr>
              <w:t>，得</w:t>
            </w:r>
            <w:r>
              <w:rPr>
                <w:rFonts w:hint="eastAsia" w:ascii="宋体" w:hAnsi="宋体" w:eastAsia="宋体" w:cs="宋体"/>
                <w:color w:val="auto"/>
                <w:kern w:val="0"/>
                <w:sz w:val="21"/>
                <w:szCs w:val="21"/>
                <w:highlight w:val="none"/>
                <w:lang w:val="en-US" w:eastAsia="zh-CN"/>
              </w:rPr>
              <w:t>1分；</w:t>
            </w:r>
          </w:p>
          <w:p>
            <w:pPr>
              <w:widowControl/>
              <w:numPr>
                <w:ilvl w:val="0"/>
                <w:numId w:val="31"/>
              </w:numPr>
              <w:ind w:left="425" w:leftChars="0" w:hanging="42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支持档案门配置模版化功能，新建或调整档案门类可直接调用或复制模版，减少实施与维护工作量</w:t>
            </w:r>
            <w:r>
              <w:rPr>
                <w:rFonts w:hint="eastAsia" w:ascii="宋体" w:hAnsi="宋体" w:eastAsia="宋体" w:cs="宋体"/>
                <w:color w:val="auto"/>
                <w:kern w:val="0"/>
                <w:sz w:val="21"/>
                <w:szCs w:val="21"/>
                <w:highlight w:val="none"/>
                <w:lang w:eastAsia="zh-CN"/>
              </w:rPr>
              <w:t>，得</w:t>
            </w:r>
            <w:r>
              <w:rPr>
                <w:rFonts w:hint="eastAsia" w:ascii="宋体" w:hAnsi="宋体" w:eastAsia="宋体" w:cs="宋体"/>
                <w:color w:val="auto"/>
                <w:kern w:val="0"/>
                <w:sz w:val="21"/>
                <w:szCs w:val="21"/>
                <w:highlight w:val="none"/>
                <w:lang w:val="en-US" w:eastAsia="zh-CN"/>
              </w:rPr>
              <w:t>1分；</w:t>
            </w:r>
          </w:p>
          <w:p>
            <w:pPr>
              <w:widowControl/>
              <w:numPr>
                <w:ilvl w:val="0"/>
                <w:numId w:val="31"/>
              </w:numPr>
              <w:ind w:left="425" w:leftChars="0" w:hanging="42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采用ExtJS技术实现Windows资源管理器界面风格器</w:t>
            </w:r>
            <w:r>
              <w:rPr>
                <w:rFonts w:hint="eastAsia" w:ascii="宋体" w:hAnsi="宋体" w:eastAsia="宋体" w:cs="宋体"/>
                <w:color w:val="auto"/>
                <w:kern w:val="0"/>
                <w:sz w:val="21"/>
                <w:szCs w:val="21"/>
                <w:highlight w:val="none"/>
                <w:lang w:eastAsia="zh-CN"/>
              </w:rPr>
              <w:t>，得</w:t>
            </w:r>
            <w:r>
              <w:rPr>
                <w:rFonts w:hint="eastAsia" w:ascii="宋体" w:hAnsi="宋体" w:eastAsia="宋体" w:cs="宋体"/>
                <w:color w:val="auto"/>
                <w:kern w:val="0"/>
                <w:sz w:val="21"/>
                <w:szCs w:val="21"/>
                <w:highlight w:val="none"/>
                <w:lang w:val="en-US" w:eastAsia="zh-CN"/>
              </w:rPr>
              <w:t>1分；</w:t>
            </w:r>
          </w:p>
          <w:p>
            <w:pPr>
              <w:widowControl/>
              <w:numPr>
                <w:ilvl w:val="0"/>
                <w:numId w:val="31"/>
              </w:numPr>
              <w:ind w:left="425" w:leftChars="0" w:hanging="42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支持用户图形化自定义的工作流程</w:t>
            </w:r>
            <w:r>
              <w:rPr>
                <w:rFonts w:hint="eastAsia" w:ascii="宋体" w:hAnsi="宋体" w:eastAsia="宋体" w:cs="宋体"/>
                <w:color w:val="auto"/>
                <w:kern w:val="0"/>
                <w:sz w:val="21"/>
                <w:szCs w:val="21"/>
                <w:highlight w:val="none"/>
                <w:lang w:eastAsia="zh-CN"/>
              </w:rPr>
              <w:t>，得</w:t>
            </w:r>
            <w:r>
              <w:rPr>
                <w:rFonts w:hint="eastAsia" w:ascii="宋体" w:hAnsi="宋体" w:eastAsia="宋体" w:cs="宋体"/>
                <w:color w:val="auto"/>
                <w:kern w:val="0"/>
                <w:sz w:val="21"/>
                <w:szCs w:val="21"/>
                <w:highlight w:val="none"/>
                <w:lang w:val="en-US" w:eastAsia="zh-CN"/>
              </w:rPr>
              <w:t>1分；</w:t>
            </w:r>
          </w:p>
          <w:p>
            <w:pPr>
              <w:widowControl/>
              <w:numPr>
                <w:ilvl w:val="0"/>
                <w:numId w:val="31"/>
              </w:numPr>
              <w:ind w:left="425" w:leftChars="0" w:hanging="42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支持以ZIP压缩包和EXCEL格式数据导入、导出的备份功能</w:t>
            </w:r>
            <w:r>
              <w:rPr>
                <w:rFonts w:hint="eastAsia" w:ascii="宋体" w:hAnsi="宋体" w:eastAsia="宋体" w:cs="宋体"/>
                <w:color w:val="auto"/>
                <w:kern w:val="0"/>
                <w:sz w:val="21"/>
                <w:szCs w:val="21"/>
                <w:highlight w:val="none"/>
                <w:lang w:eastAsia="zh-CN"/>
              </w:rPr>
              <w:t>，得</w:t>
            </w:r>
            <w:r>
              <w:rPr>
                <w:rFonts w:hint="eastAsia" w:ascii="宋体" w:hAnsi="宋体" w:eastAsia="宋体" w:cs="宋体"/>
                <w:color w:val="auto"/>
                <w:kern w:val="0"/>
                <w:sz w:val="21"/>
                <w:szCs w:val="21"/>
                <w:highlight w:val="none"/>
                <w:lang w:val="en-US" w:eastAsia="zh-CN"/>
              </w:rPr>
              <w:t>2分；</w:t>
            </w:r>
          </w:p>
          <w:p>
            <w:pPr>
              <w:widowControl/>
              <w:numPr>
                <w:ilvl w:val="0"/>
                <w:numId w:val="31"/>
              </w:numPr>
              <w:ind w:left="425" w:leftChars="0" w:hanging="42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w:t>
            </w:r>
            <w:r>
              <w:rPr>
                <w:rFonts w:hint="eastAsia" w:ascii="宋体" w:hAnsi="宋体" w:eastAsia="宋体" w:cs="宋体"/>
                <w:color w:val="auto"/>
                <w:kern w:val="0"/>
                <w:sz w:val="21"/>
                <w:szCs w:val="21"/>
                <w:highlight w:val="none"/>
                <w:lang w:eastAsia="zh-CN"/>
              </w:rPr>
              <w:t>系统用户</w:t>
            </w:r>
            <w:r>
              <w:rPr>
                <w:rFonts w:hint="eastAsia" w:ascii="宋体" w:hAnsi="宋体" w:eastAsia="宋体" w:cs="宋体"/>
                <w:color w:val="auto"/>
                <w:kern w:val="0"/>
                <w:sz w:val="21"/>
                <w:szCs w:val="21"/>
                <w:highlight w:val="none"/>
              </w:rPr>
              <w:t>即时通讯器</w:t>
            </w:r>
            <w:r>
              <w:rPr>
                <w:rFonts w:hint="eastAsia" w:ascii="宋体" w:hAnsi="宋体" w:eastAsia="宋体" w:cs="宋体"/>
                <w:color w:val="auto"/>
                <w:kern w:val="0"/>
                <w:sz w:val="21"/>
                <w:szCs w:val="21"/>
                <w:highlight w:val="none"/>
                <w:lang w:eastAsia="zh-CN"/>
              </w:rPr>
              <w:t>，得</w:t>
            </w:r>
            <w:r>
              <w:rPr>
                <w:rFonts w:hint="eastAsia" w:ascii="宋体" w:hAnsi="宋体" w:eastAsia="宋体" w:cs="宋体"/>
                <w:color w:val="auto"/>
                <w:kern w:val="0"/>
                <w:sz w:val="21"/>
                <w:szCs w:val="21"/>
                <w:highlight w:val="none"/>
                <w:lang w:val="en-US" w:eastAsia="zh-CN"/>
              </w:rPr>
              <w:t>1分；</w:t>
            </w:r>
          </w:p>
          <w:p>
            <w:pPr>
              <w:widowControl/>
              <w:numPr>
                <w:ilvl w:val="0"/>
                <w:numId w:val="31"/>
              </w:numPr>
              <w:ind w:left="425" w:leftChars="0" w:hanging="42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支持以文本或图片形式的自定义水印配置功能，可设置水印的透明度</w:t>
            </w:r>
            <w:r>
              <w:rPr>
                <w:rFonts w:hint="eastAsia" w:ascii="宋体" w:hAnsi="宋体" w:eastAsia="宋体" w:cs="宋体"/>
                <w:color w:val="auto"/>
                <w:kern w:val="0"/>
                <w:sz w:val="21"/>
                <w:szCs w:val="21"/>
                <w:highlight w:val="none"/>
                <w:lang w:eastAsia="zh-CN"/>
              </w:rPr>
              <w:t>，得</w:t>
            </w:r>
            <w:r>
              <w:rPr>
                <w:rFonts w:hint="eastAsia" w:ascii="宋体" w:hAnsi="宋体" w:eastAsia="宋体" w:cs="宋体"/>
                <w:color w:val="auto"/>
                <w:kern w:val="0"/>
                <w:sz w:val="21"/>
                <w:szCs w:val="21"/>
                <w:highlight w:val="none"/>
                <w:lang w:val="en-US" w:eastAsia="zh-CN"/>
              </w:rPr>
              <w:t>1分；</w:t>
            </w:r>
          </w:p>
          <w:p>
            <w:pPr>
              <w:widowControl/>
              <w:numPr>
                <w:ilvl w:val="0"/>
                <w:numId w:val="31"/>
              </w:numPr>
              <w:ind w:left="425" w:leftChars="0" w:hanging="42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系统支持介质预警功能器</w:t>
            </w:r>
            <w:r>
              <w:rPr>
                <w:rFonts w:hint="eastAsia" w:ascii="宋体" w:hAnsi="宋体" w:eastAsia="宋体" w:cs="宋体"/>
                <w:color w:val="auto"/>
                <w:kern w:val="0"/>
                <w:sz w:val="21"/>
                <w:szCs w:val="21"/>
                <w:highlight w:val="none"/>
                <w:lang w:eastAsia="zh-CN"/>
              </w:rPr>
              <w:t>，得</w:t>
            </w:r>
            <w:r>
              <w:rPr>
                <w:rFonts w:hint="eastAsia" w:ascii="宋体" w:hAnsi="宋体" w:eastAsia="宋体" w:cs="宋体"/>
                <w:color w:val="auto"/>
                <w:kern w:val="0"/>
                <w:sz w:val="21"/>
                <w:szCs w:val="21"/>
                <w:highlight w:val="none"/>
                <w:lang w:val="en-US" w:eastAsia="zh-CN"/>
              </w:rPr>
              <w:t>1分；</w:t>
            </w:r>
          </w:p>
          <w:p>
            <w:pPr>
              <w:widowControl/>
              <w:numPr>
                <w:ilvl w:val="0"/>
                <w:numId w:val="31"/>
              </w:numPr>
              <w:ind w:left="425" w:leftChars="0" w:hanging="425" w:firstLineChars="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支持向导式自定义统计方案设计功能，可输出饼状图、柱状图等统计结果</w:t>
            </w:r>
            <w:r>
              <w:rPr>
                <w:rFonts w:hint="eastAsia" w:ascii="宋体" w:hAnsi="宋体" w:eastAsia="宋体" w:cs="宋体"/>
                <w:color w:val="auto"/>
                <w:kern w:val="0"/>
                <w:sz w:val="21"/>
                <w:szCs w:val="21"/>
                <w:highlight w:val="none"/>
                <w:lang w:eastAsia="zh-CN"/>
              </w:rPr>
              <w:t>，得</w:t>
            </w:r>
            <w:r>
              <w:rPr>
                <w:rFonts w:hint="eastAsia" w:ascii="宋体" w:hAnsi="宋体" w:eastAsia="宋体" w:cs="宋体"/>
                <w:color w:val="auto"/>
                <w:kern w:val="0"/>
                <w:sz w:val="21"/>
                <w:szCs w:val="21"/>
                <w:highlight w:val="none"/>
                <w:lang w:val="en-US" w:eastAsia="zh-CN"/>
              </w:rPr>
              <w:t>1分；</w:t>
            </w:r>
          </w:p>
          <w:p>
            <w:pPr>
              <w:widowControl/>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本项最高得11分。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30" w:hRule="atLeast"/>
          <w:jc w:val="center"/>
        </w:trPr>
        <w:tc>
          <w:tcPr>
            <w:tcW w:w="2227"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售后服务</w:t>
            </w:r>
          </w:p>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&lt;</w:t>
            </w:r>
            <w:r>
              <w:rPr>
                <w:rFonts w:hint="eastAsia" w:ascii="宋体" w:hAnsi="宋体" w:eastAsia="宋体" w:cs="宋体"/>
                <w:color w:val="auto"/>
                <w:kern w:val="0"/>
                <w:sz w:val="21"/>
                <w:szCs w:val="21"/>
                <w:highlight w:val="none"/>
              </w:rPr>
              <w:t>2分</w:t>
            </w:r>
            <w:r>
              <w:rPr>
                <w:rFonts w:hint="eastAsia" w:ascii="宋体" w:hAnsi="宋体" w:eastAsia="宋体" w:cs="宋体"/>
                <w:color w:val="auto"/>
                <w:sz w:val="21"/>
                <w:szCs w:val="21"/>
                <w:highlight w:val="none"/>
              </w:rPr>
              <w:t>&gt;</w:t>
            </w:r>
          </w:p>
        </w:tc>
        <w:tc>
          <w:tcPr>
            <w:tcW w:w="6600" w:type="dxa"/>
            <w:vAlign w:val="center"/>
          </w:tcPr>
          <w:p>
            <w:pPr>
              <w:widowControl/>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根据各响应供应商的</w:t>
            </w:r>
            <w:r>
              <w:rPr>
                <w:rFonts w:hint="eastAsia" w:ascii="宋体" w:hAnsi="宋体" w:eastAsia="宋体" w:cs="宋体"/>
                <w:color w:val="auto"/>
                <w:sz w:val="21"/>
                <w:szCs w:val="21"/>
                <w:highlight w:val="none"/>
              </w:rPr>
              <w:t>售后服务方案</w:t>
            </w:r>
            <w:r>
              <w:rPr>
                <w:rFonts w:hint="eastAsia" w:ascii="宋体" w:hAnsi="宋体" w:eastAsia="宋体" w:cs="宋体"/>
                <w:color w:val="auto"/>
                <w:kern w:val="0"/>
                <w:sz w:val="21"/>
                <w:szCs w:val="21"/>
                <w:highlight w:val="none"/>
              </w:rPr>
              <w:t>（包括计划、职责、支持流程、服务措施、服务收费标准等方面）</w:t>
            </w:r>
            <w:r>
              <w:rPr>
                <w:rFonts w:hint="eastAsia" w:ascii="宋体" w:hAnsi="宋体" w:eastAsia="宋体" w:cs="宋体"/>
                <w:color w:val="auto"/>
                <w:sz w:val="21"/>
                <w:szCs w:val="21"/>
                <w:highlight w:val="none"/>
                <w:lang w:eastAsia="zh-CN"/>
              </w:rPr>
              <w:t>进行横向比较：</w:t>
            </w:r>
          </w:p>
          <w:p>
            <w:pPr>
              <w:widowControl/>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售后服务方案</w:t>
            </w:r>
            <w:r>
              <w:rPr>
                <w:rFonts w:hint="eastAsia" w:ascii="宋体" w:hAnsi="宋体" w:eastAsia="宋体" w:cs="宋体"/>
                <w:color w:val="auto"/>
                <w:sz w:val="21"/>
                <w:szCs w:val="21"/>
                <w:highlight w:val="none"/>
                <w:lang w:eastAsia="zh-CN"/>
              </w:rPr>
              <w:t>详细、完善、</w:t>
            </w:r>
            <w:r>
              <w:rPr>
                <w:rFonts w:hint="eastAsia" w:ascii="宋体" w:hAnsi="宋体" w:eastAsia="宋体" w:cs="宋体"/>
                <w:color w:val="auto"/>
                <w:sz w:val="21"/>
                <w:szCs w:val="21"/>
                <w:highlight w:val="none"/>
              </w:rPr>
              <w:t>非常合理、可行性高的，得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widowControl/>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售后服务方案较</w:t>
            </w:r>
            <w:r>
              <w:rPr>
                <w:rFonts w:hint="eastAsia" w:ascii="宋体" w:hAnsi="宋体" w:eastAsia="宋体" w:cs="宋体"/>
                <w:color w:val="auto"/>
                <w:sz w:val="21"/>
                <w:szCs w:val="21"/>
                <w:highlight w:val="none"/>
                <w:lang w:eastAsia="zh-CN"/>
              </w:rPr>
              <w:t>详细、完善、</w:t>
            </w:r>
            <w:r>
              <w:rPr>
                <w:rFonts w:hint="eastAsia" w:ascii="宋体" w:hAnsi="宋体" w:eastAsia="宋体" w:cs="宋体"/>
                <w:color w:val="auto"/>
                <w:sz w:val="21"/>
                <w:szCs w:val="21"/>
                <w:highlight w:val="none"/>
              </w:rPr>
              <w:t>合理、可行性较高的，得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widowControl/>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售后服务方案合理、可行性一般的，得</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widowControl/>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其余情况或不提供，得</w:t>
            </w:r>
            <w:r>
              <w:rPr>
                <w:rFonts w:hint="eastAsia" w:ascii="宋体" w:hAnsi="宋体" w:eastAsia="宋体" w:cs="宋体"/>
                <w:color w:val="auto"/>
                <w:sz w:val="21"/>
                <w:szCs w:val="21"/>
                <w:highlight w:val="none"/>
                <w:lang w:val="en-US" w:eastAsia="zh-CN"/>
              </w:rPr>
              <w:t>0分</w:t>
            </w:r>
          </w:p>
        </w:tc>
      </w:tr>
    </w:tbl>
    <w:p>
      <w:pPr>
        <w:snapToGrid w:val="0"/>
        <w:spacing w:line="360" w:lineRule="auto"/>
        <w:ind w:firstLine="105" w:firstLineChars="50"/>
        <w:rPr>
          <w:rFonts w:hint="eastAsia" w:ascii="宋体" w:cs="宋体"/>
          <w:snapToGrid w:val="0"/>
          <w:color w:val="auto"/>
          <w:kern w:val="0"/>
          <w:highlight w:val="none"/>
        </w:rPr>
      </w:pPr>
      <w:r>
        <w:rPr>
          <w:rFonts w:hint="eastAsia" w:ascii="宋体" w:cs="宋体"/>
          <w:snapToGrid w:val="0"/>
          <w:color w:val="auto"/>
          <w:kern w:val="0"/>
          <w:highlight w:val="none"/>
        </w:rPr>
        <w:t>备注：</w:t>
      </w:r>
    </w:p>
    <w:p>
      <w:pPr>
        <w:numPr>
          <w:ilvl w:val="0"/>
          <w:numId w:val="32"/>
        </w:numPr>
        <w:snapToGrid w:val="0"/>
        <w:spacing w:line="360" w:lineRule="auto"/>
        <w:ind w:hanging="240"/>
        <w:rPr>
          <w:rFonts w:hint="eastAsia" w:ascii="宋体" w:hAnsi="宋体"/>
          <w:bCs/>
          <w:color w:val="auto"/>
          <w:highlight w:val="none"/>
        </w:rPr>
      </w:pPr>
      <w:r>
        <w:rPr>
          <w:rFonts w:hint="eastAsia" w:ascii="宋体" w:hAnsi="宋体"/>
          <w:bCs/>
          <w:color w:val="auto"/>
          <w:highlight w:val="none"/>
        </w:rPr>
        <w:t>招标文件要求提交的与评价指标体系相关的各类有效资料，投标人如未按要求提交的，该项评分为零分。</w:t>
      </w:r>
    </w:p>
    <w:p>
      <w:pPr>
        <w:numPr>
          <w:ilvl w:val="0"/>
          <w:numId w:val="32"/>
        </w:numPr>
        <w:snapToGrid w:val="0"/>
        <w:spacing w:line="360" w:lineRule="auto"/>
        <w:ind w:hanging="240"/>
        <w:rPr>
          <w:rFonts w:hint="eastAsia" w:ascii="宋体" w:hAnsi="宋体"/>
          <w:bCs/>
          <w:color w:val="auto"/>
          <w:highlight w:val="none"/>
        </w:rPr>
      </w:pPr>
      <w:r>
        <w:rPr>
          <w:rFonts w:hint="eastAsia" w:ascii="宋体" w:hAnsi="宋体"/>
          <w:bCs/>
          <w:color w:val="auto"/>
          <w:highlight w:val="none"/>
        </w:rPr>
        <w:t>技术评分：所有评委评分分值的算术平均值（四舍五入后，</w:t>
      </w:r>
      <w:r>
        <w:rPr>
          <w:rFonts w:hint="eastAsia" w:ascii="Arial" w:hAnsi="Arial" w:cs="Arial"/>
          <w:color w:val="auto"/>
          <w:szCs w:val="20"/>
          <w:highlight w:val="none"/>
        </w:rPr>
        <w:t>小数点后保留两位有效数</w:t>
      </w:r>
      <w:r>
        <w:rPr>
          <w:rFonts w:hint="eastAsia" w:ascii="宋体" w:hAnsi="宋体"/>
          <w:bCs/>
          <w:color w:val="auto"/>
          <w:highlight w:val="none"/>
        </w:rPr>
        <w:t>）。</w:t>
      </w:r>
    </w:p>
    <w:p>
      <w:pPr>
        <w:numPr>
          <w:ilvl w:val="0"/>
          <w:numId w:val="32"/>
        </w:numPr>
        <w:snapToGrid w:val="0"/>
        <w:spacing w:line="360" w:lineRule="auto"/>
        <w:ind w:hanging="240"/>
        <w:rPr>
          <w:rFonts w:hint="eastAsia" w:ascii="宋体" w:hAnsi="宋体"/>
          <w:bCs/>
          <w:color w:val="auto"/>
          <w:highlight w:val="none"/>
        </w:rPr>
      </w:pPr>
      <w:r>
        <w:rPr>
          <w:rFonts w:hint="eastAsia" w:ascii="宋体" w:hAnsi="宋体"/>
          <w:bCs/>
          <w:color w:val="auto"/>
          <w:highlight w:val="none"/>
        </w:rPr>
        <w:t>评审内容中所要求提交“原件”的应独立封装，并内附“资料原件提交清单”（详见第七章投标文件格式），评标结束当日退回，如未提供原件的，该项评分为0分。“资料原件提交清单”请按要求提交，如因未提交产生的不利影响，由投标人自行承担</w:t>
      </w:r>
      <w:r>
        <w:rPr>
          <w:rFonts w:hint="eastAsia" w:ascii="宋体" w:hAnsi="宋体"/>
          <w:bCs/>
          <w:color w:val="auto"/>
          <w:highlight w:val="none"/>
          <w:lang w:eastAsia="zh-CN"/>
        </w:rPr>
        <w:t>。</w:t>
      </w:r>
    </w:p>
    <w:p>
      <w:pPr>
        <w:pStyle w:val="2"/>
        <w:rPr>
          <w:rFonts w:hint="eastAsia"/>
          <w:color w:val="auto"/>
          <w:highlight w:val="none"/>
        </w:rPr>
      </w:pPr>
    </w:p>
    <w:p>
      <w:pPr>
        <w:snapToGrid w:val="0"/>
        <w:spacing w:line="360" w:lineRule="auto"/>
        <w:ind w:left="181" w:leftChars="86" w:firstLine="1470" w:firstLineChars="700"/>
        <w:rPr>
          <w:rFonts w:hint="eastAsia" w:ascii="宋体" w:hAnsi="宋体"/>
          <w:bCs/>
          <w:color w:val="auto"/>
          <w:highlight w:val="none"/>
        </w:rPr>
      </w:pPr>
    </w:p>
    <w:p>
      <w:pPr>
        <w:snapToGrid w:val="0"/>
        <w:spacing w:line="360" w:lineRule="auto"/>
        <w:ind w:left="181" w:leftChars="86" w:firstLine="1470" w:firstLineChars="700"/>
        <w:rPr>
          <w:rFonts w:hint="eastAsia" w:ascii="宋体" w:hAnsi="宋体"/>
          <w:bCs/>
          <w:color w:val="auto"/>
          <w:highlight w:val="none"/>
        </w:rPr>
      </w:pPr>
    </w:p>
    <w:p>
      <w:pPr>
        <w:snapToGrid w:val="0"/>
        <w:spacing w:line="360" w:lineRule="auto"/>
        <w:ind w:left="181" w:leftChars="86" w:firstLine="1470" w:firstLineChars="700"/>
        <w:rPr>
          <w:rFonts w:hint="eastAsia" w:ascii="宋体" w:hAnsi="宋体"/>
          <w:bCs/>
          <w:color w:val="auto"/>
          <w:highlight w:val="none"/>
        </w:rPr>
      </w:pPr>
    </w:p>
    <w:p>
      <w:pPr>
        <w:adjustRightInd w:val="0"/>
        <w:snapToGrid w:val="0"/>
        <w:spacing w:before="156" w:beforeLines="50" w:after="156" w:afterLines="50" w:line="360" w:lineRule="auto"/>
        <w:jc w:val="center"/>
        <w:rPr>
          <w:rFonts w:ascii="黑体" w:hAnsi="宋体" w:eastAsia="黑体" w:cs="宋体"/>
          <w:color w:val="auto"/>
          <w:sz w:val="28"/>
          <w:szCs w:val="28"/>
          <w:highlight w:val="none"/>
        </w:rPr>
      </w:pPr>
      <w:r>
        <w:rPr>
          <w:rFonts w:hint="eastAsia" w:ascii="黑体" w:hAnsi="宋体" w:eastAsia="黑体" w:cs="宋体"/>
          <w:color w:val="auto"/>
          <w:sz w:val="28"/>
          <w:szCs w:val="28"/>
          <w:highlight w:val="none"/>
        </w:rPr>
        <w:t>商务部分评分表</w:t>
      </w:r>
    </w:p>
    <w:p>
      <w:pPr>
        <w:adjustRightInd w:val="0"/>
        <w:snapToGrid w:val="0"/>
        <w:spacing w:before="156" w:beforeLines="50" w:after="156" w:afterLines="50" w:line="360" w:lineRule="auto"/>
        <w:jc w:val="center"/>
        <w:rPr>
          <w:rFonts w:ascii="黑体" w:hAnsi="宋体" w:eastAsia="黑体" w:cs="宋体"/>
          <w:color w:val="auto"/>
          <w:sz w:val="28"/>
          <w:szCs w:val="28"/>
          <w:highlight w:val="none"/>
        </w:rPr>
      </w:pPr>
      <w:r>
        <w:rPr>
          <w:rFonts w:hint="eastAsia" w:ascii="黑体" w:hAnsi="宋体" w:eastAsia="黑体" w:cs="宋体"/>
          <w:color w:val="auto"/>
          <w:sz w:val="28"/>
          <w:szCs w:val="28"/>
          <w:highlight w:val="none"/>
        </w:rPr>
        <w:t>（</w:t>
      </w:r>
      <w:r>
        <w:rPr>
          <w:rFonts w:hint="eastAsia" w:ascii="黑体" w:hAnsi="宋体" w:eastAsia="黑体" w:cs="宋体"/>
          <w:color w:val="auto"/>
          <w:sz w:val="28"/>
          <w:szCs w:val="28"/>
          <w:highlight w:val="none"/>
          <w:lang w:val="en-US" w:eastAsia="zh-CN"/>
        </w:rPr>
        <w:t>35</w:t>
      </w:r>
      <w:r>
        <w:rPr>
          <w:rFonts w:hint="eastAsia" w:ascii="黑体" w:hAnsi="宋体" w:eastAsia="黑体" w:cs="宋体"/>
          <w:color w:val="auto"/>
          <w:sz w:val="28"/>
          <w:szCs w:val="28"/>
          <w:highlight w:val="none"/>
        </w:rPr>
        <w:t>分）</w:t>
      </w:r>
    </w:p>
    <w:p>
      <w:pPr>
        <w:spacing w:line="276" w:lineRule="auto"/>
        <w:ind w:firstLine="210" w:firstLineChars="100"/>
        <w:rPr>
          <w:rFonts w:hint="eastAsia" w:cs="宋体"/>
          <w:snapToGrid w:val="0"/>
          <w:color w:val="auto"/>
          <w:spacing w:val="8"/>
          <w:highlight w:val="none"/>
        </w:rPr>
      </w:pPr>
      <w:r>
        <w:rPr>
          <w:rFonts w:hint="eastAsia" w:ascii="宋体" w:hAnsi="宋体" w:cs="宋体"/>
          <w:color w:val="auto"/>
          <w:highlight w:val="none"/>
        </w:rPr>
        <w:t>项目名称：</w:t>
      </w:r>
      <w:r>
        <w:rPr>
          <w:rFonts w:hint="eastAsia" w:ascii="宋体" w:hAnsi="宋体"/>
          <w:color w:val="auto"/>
          <w:szCs w:val="21"/>
          <w:highlight w:val="none"/>
          <w:lang w:eastAsia="zh-CN"/>
        </w:rPr>
        <w:t>档案综合整理服务</w:t>
      </w:r>
    </w:p>
    <w:p>
      <w:pPr>
        <w:spacing w:line="360" w:lineRule="auto"/>
        <w:ind w:firstLine="210" w:firstLineChars="100"/>
        <w:rPr>
          <w:rFonts w:ascii="宋体" w:hAnsi="宋体"/>
          <w:color w:val="auto"/>
          <w:highlight w:val="none"/>
        </w:rPr>
      </w:pPr>
      <w:r>
        <w:rPr>
          <w:rFonts w:hint="eastAsia" w:ascii="宋体" w:hAnsi="宋体" w:cs="宋体"/>
          <w:color w:val="auto"/>
          <w:highlight w:val="none"/>
        </w:rPr>
        <w:t>项目编号：</w:t>
      </w:r>
      <w:r>
        <w:rPr>
          <w:rFonts w:hint="eastAsia" w:ascii="宋体" w:hAnsi="宋体"/>
          <w:color w:val="auto"/>
          <w:highlight w:val="none"/>
          <w:lang w:eastAsia="zh-CN"/>
        </w:rPr>
        <w:t>GDZC-18GZ057</w:t>
      </w:r>
    </w:p>
    <w:tbl>
      <w:tblPr>
        <w:tblStyle w:val="17"/>
        <w:tblW w:w="882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66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9" w:hRule="exact"/>
          <w:jc w:val="center"/>
        </w:trPr>
        <w:tc>
          <w:tcPr>
            <w:tcW w:w="2144" w:type="dxa"/>
            <w:vAlign w:val="center"/>
          </w:tcPr>
          <w:p>
            <w:pPr>
              <w:spacing w:line="240" w:lineRule="auto"/>
              <w:jc w:val="center"/>
              <w:rPr>
                <w:rFonts w:ascii="宋体" w:cs="宋体"/>
                <w:color w:val="auto"/>
                <w:highlight w:val="none"/>
              </w:rPr>
            </w:pPr>
            <w:r>
              <w:rPr>
                <w:rFonts w:hint="eastAsia" w:ascii="宋体" w:hAnsi="宋体" w:cs="宋体"/>
                <w:color w:val="auto"/>
                <w:highlight w:val="none"/>
              </w:rPr>
              <w:t>评审内容</w:t>
            </w:r>
          </w:p>
        </w:tc>
        <w:tc>
          <w:tcPr>
            <w:tcW w:w="6683" w:type="dxa"/>
            <w:vAlign w:val="center"/>
          </w:tcPr>
          <w:p>
            <w:pPr>
              <w:spacing w:line="240" w:lineRule="auto"/>
              <w:jc w:val="center"/>
              <w:rPr>
                <w:rFonts w:ascii="宋体" w:hAnsi="宋体" w:cs="宋体"/>
                <w:color w:val="auto"/>
                <w:highlight w:val="none"/>
                <w:u w:val="single"/>
              </w:rPr>
            </w:pPr>
            <w:r>
              <w:rPr>
                <w:rFonts w:hint="eastAsia" w:ascii="宋体" w:hAnsi="宋体" w:cs="宋体"/>
                <w:color w:val="auto"/>
                <w:highlight w:val="none"/>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60" w:hRule="atLeast"/>
          <w:jc w:val="center"/>
        </w:trPr>
        <w:tc>
          <w:tcPr>
            <w:tcW w:w="2144" w:type="dxa"/>
            <w:vAlign w:val="center"/>
          </w:tcPr>
          <w:p>
            <w:pPr>
              <w:widowControl/>
              <w:spacing w:line="240" w:lineRule="auto"/>
              <w:jc w:val="center"/>
              <w:rPr>
                <w:color w:val="auto"/>
                <w:szCs w:val="21"/>
                <w:highlight w:val="none"/>
              </w:rPr>
            </w:pPr>
            <w:r>
              <w:rPr>
                <w:rFonts w:hint="eastAsia" w:ascii="宋体" w:hAnsi="宋体"/>
                <w:color w:val="auto"/>
                <w:kern w:val="0"/>
                <w:highlight w:val="none"/>
              </w:rPr>
              <w:t>档案软件</w:t>
            </w:r>
            <w:r>
              <w:rPr>
                <w:rFonts w:hint="eastAsia"/>
                <w:color w:val="auto"/>
                <w:szCs w:val="21"/>
                <w:highlight w:val="none"/>
              </w:rPr>
              <w:t>产品</w:t>
            </w:r>
            <w:r>
              <w:rPr>
                <w:rFonts w:hint="eastAsia"/>
                <w:color w:val="auto"/>
                <w:szCs w:val="21"/>
                <w:highlight w:val="none"/>
                <w:lang w:eastAsia="zh-CN"/>
              </w:rPr>
              <w:t>质量</w:t>
            </w:r>
          </w:p>
          <w:p>
            <w:pPr>
              <w:spacing w:line="240" w:lineRule="auto"/>
              <w:jc w:val="center"/>
              <w:rPr>
                <w:rFonts w:ascii="宋体" w:cs="宋体"/>
                <w:color w:val="auto"/>
                <w:highlight w:val="none"/>
              </w:rPr>
            </w:pPr>
            <w:r>
              <w:rPr>
                <w:rFonts w:hint="eastAsia" w:asciiTheme="majorEastAsia" w:hAnsiTheme="majorEastAsia" w:eastAsiaTheme="majorEastAsia" w:cstheme="majorEastAsia"/>
                <w:color w:val="auto"/>
                <w:szCs w:val="21"/>
                <w:highlight w:val="none"/>
              </w:rPr>
              <w:t>&lt;</w:t>
            </w:r>
            <w:r>
              <w:rPr>
                <w:rFonts w:hint="eastAsia" w:asciiTheme="majorEastAsia" w:hAnsiTheme="majorEastAsia" w:eastAsiaTheme="majorEastAsia" w:cstheme="majorEastAsia"/>
                <w:color w:val="auto"/>
                <w:szCs w:val="21"/>
                <w:highlight w:val="none"/>
                <w:lang w:val="en-US" w:eastAsia="zh-CN"/>
              </w:rPr>
              <w:t>5</w:t>
            </w:r>
            <w:r>
              <w:rPr>
                <w:rFonts w:hint="eastAsia" w:asciiTheme="majorEastAsia" w:hAnsiTheme="majorEastAsia" w:eastAsiaTheme="majorEastAsia" w:cstheme="majorEastAsia"/>
                <w:color w:val="auto"/>
                <w:szCs w:val="21"/>
                <w:highlight w:val="none"/>
              </w:rPr>
              <w:t>分&gt;</w:t>
            </w:r>
          </w:p>
        </w:tc>
        <w:tc>
          <w:tcPr>
            <w:tcW w:w="6683" w:type="dxa"/>
            <w:vAlign w:val="center"/>
          </w:tcPr>
          <w:p>
            <w:pPr>
              <w:widowControl/>
              <w:numPr>
                <w:ilvl w:val="-1"/>
                <w:numId w:val="0"/>
              </w:numPr>
              <w:spacing w:line="240" w:lineRule="auto"/>
              <w:ind w:left="0" w:leftChars="0" w:firstLine="0" w:firstLineChars="0"/>
              <w:jc w:val="left"/>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rPr>
              <w:t>投标人提供的档案软件</w:t>
            </w:r>
            <w:r>
              <w:rPr>
                <w:rFonts w:hint="eastAsia" w:ascii="宋体" w:hAnsi="宋体" w:eastAsia="宋体" w:cs="宋体"/>
                <w:color w:val="auto"/>
                <w:szCs w:val="21"/>
                <w:highlight w:val="none"/>
              </w:rPr>
              <w:t>产品</w:t>
            </w:r>
            <w:r>
              <w:rPr>
                <w:rFonts w:hint="eastAsia" w:ascii="宋体" w:hAnsi="宋体" w:eastAsia="宋体" w:cs="宋体"/>
                <w:color w:val="auto"/>
                <w:kern w:val="0"/>
                <w:highlight w:val="none"/>
              </w:rPr>
              <w:t>具有软件产品质量检测检验中心</w:t>
            </w:r>
            <w:r>
              <w:rPr>
                <w:rFonts w:hint="eastAsia" w:ascii="宋体" w:hAnsi="宋体" w:eastAsia="宋体" w:cs="宋体"/>
                <w:color w:val="auto"/>
                <w:kern w:val="0"/>
                <w:highlight w:val="none"/>
                <w:lang w:eastAsia="zh-CN"/>
              </w:rPr>
              <w:t>出具</w:t>
            </w:r>
            <w:r>
              <w:rPr>
                <w:rFonts w:hint="eastAsia" w:ascii="宋体" w:hAnsi="宋体" w:eastAsia="宋体" w:cs="宋体"/>
                <w:color w:val="auto"/>
                <w:kern w:val="0"/>
                <w:highlight w:val="none"/>
              </w:rPr>
              <w:t>的测试报告，</w:t>
            </w:r>
            <w:r>
              <w:rPr>
                <w:rFonts w:hint="eastAsia" w:ascii="宋体" w:hAnsi="宋体" w:eastAsia="宋体" w:cs="宋体"/>
                <w:color w:val="auto"/>
                <w:kern w:val="0"/>
                <w:highlight w:val="none"/>
                <w:lang w:eastAsia="zh-CN"/>
              </w:rPr>
              <w:t>得</w:t>
            </w:r>
            <w:r>
              <w:rPr>
                <w:rFonts w:hint="eastAsia" w:ascii="宋体" w:hAnsi="宋体" w:eastAsia="宋体" w:cs="宋体"/>
                <w:color w:val="auto"/>
                <w:kern w:val="0"/>
                <w:highlight w:val="none"/>
                <w:lang w:val="en-US" w:eastAsia="zh-CN"/>
              </w:rPr>
              <w:t>5分。</w:t>
            </w:r>
          </w:p>
          <w:p>
            <w:pPr>
              <w:widowControl/>
              <w:spacing w:line="240" w:lineRule="auto"/>
              <w:jc w:val="left"/>
              <w:rPr>
                <w:rFonts w:ascii="宋体" w:hAnsi="宋体"/>
                <w:color w:val="auto"/>
                <w:highlight w:val="none"/>
              </w:rPr>
            </w:pPr>
            <w:r>
              <w:rPr>
                <w:rFonts w:hint="eastAsia" w:ascii="宋体" w:hAnsi="宋体"/>
                <w:color w:val="auto"/>
                <w:kern w:val="0"/>
                <w:highlight w:val="none"/>
                <w:lang w:val="en-US" w:eastAsia="zh-CN"/>
              </w:rPr>
              <w:t>（</w:t>
            </w:r>
            <w:r>
              <w:rPr>
                <w:rFonts w:hint="eastAsia" w:ascii="宋体" w:hAnsi="宋体"/>
                <w:color w:val="auto"/>
                <w:kern w:val="0"/>
                <w:highlight w:val="none"/>
              </w:rPr>
              <w:t>提供</w:t>
            </w:r>
            <w:r>
              <w:rPr>
                <w:rFonts w:hint="eastAsia" w:ascii="宋体" w:hAnsi="宋体"/>
                <w:color w:val="auto"/>
                <w:kern w:val="0"/>
                <w:highlight w:val="none"/>
                <w:lang w:eastAsia="zh-CN"/>
              </w:rPr>
              <w:t>相关文件</w:t>
            </w:r>
            <w:r>
              <w:rPr>
                <w:rFonts w:hint="eastAsia" w:ascii="宋体" w:hAnsi="宋体"/>
                <w:color w:val="auto"/>
                <w:kern w:val="0"/>
                <w:highlight w:val="none"/>
              </w:rPr>
              <w:t>复印件并盖原厂家公章</w:t>
            </w:r>
            <w:r>
              <w:rPr>
                <w:rFonts w:hint="eastAsia" w:ascii="宋体" w:hAnsi="宋体"/>
                <w:color w:val="auto"/>
                <w:kern w:val="0"/>
                <w:highlight w:val="none"/>
                <w:lang w:eastAsia="zh-CN"/>
              </w:rPr>
              <w:t>作为证明材料，否则不得分</w:t>
            </w:r>
            <w:r>
              <w:rPr>
                <w:rFonts w:hint="eastAsia" w:ascii="宋体" w:hAnsi="宋体" w:cs="宋体"/>
                <w:color w:val="auto"/>
                <w:kern w:val="0"/>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35" w:hRule="atLeast"/>
          <w:jc w:val="center"/>
        </w:trPr>
        <w:tc>
          <w:tcPr>
            <w:tcW w:w="2144" w:type="dxa"/>
            <w:vMerge w:val="restart"/>
            <w:vAlign w:val="center"/>
          </w:tcPr>
          <w:p>
            <w:pPr>
              <w:widowControl/>
              <w:spacing w:line="240" w:lineRule="auto"/>
              <w:jc w:val="center"/>
              <w:rPr>
                <w:rFonts w:hint="eastAsia" w:eastAsia="宋体"/>
                <w:color w:val="auto"/>
                <w:highlight w:val="none"/>
                <w:lang w:eastAsia="zh-CN"/>
              </w:rPr>
            </w:pPr>
            <w:r>
              <w:rPr>
                <w:rFonts w:hint="eastAsia"/>
                <w:color w:val="auto"/>
                <w:highlight w:val="none"/>
              </w:rPr>
              <w:t>数据</w:t>
            </w:r>
            <w:r>
              <w:rPr>
                <w:color w:val="auto"/>
                <w:highlight w:val="none"/>
              </w:rPr>
              <w:t>恢复服务</w:t>
            </w:r>
            <w:r>
              <w:rPr>
                <w:rFonts w:hint="eastAsia"/>
                <w:color w:val="auto"/>
                <w:highlight w:val="none"/>
                <w:lang w:eastAsia="zh-CN"/>
              </w:rPr>
              <w:t>及保密</w:t>
            </w:r>
          </w:p>
          <w:p>
            <w:pPr>
              <w:spacing w:line="240" w:lineRule="auto"/>
              <w:jc w:val="center"/>
              <w:rPr>
                <w:rFonts w:hint="eastAsia"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 w:val="21"/>
                <w:szCs w:val="21"/>
                <w:highlight w:val="none"/>
              </w:rPr>
              <w:t>&lt;</w:t>
            </w:r>
            <w:r>
              <w:rPr>
                <w:rFonts w:hint="eastAsia" w:asciiTheme="majorEastAsia" w:hAnsiTheme="majorEastAsia" w:eastAsiaTheme="majorEastAsia" w:cstheme="majorEastAsia"/>
                <w:color w:val="auto"/>
                <w:sz w:val="21"/>
                <w:szCs w:val="21"/>
                <w:highlight w:val="none"/>
                <w:lang w:val="en-US" w:eastAsia="zh-CN"/>
              </w:rPr>
              <w:t>12</w:t>
            </w:r>
            <w:r>
              <w:rPr>
                <w:rFonts w:hint="eastAsia" w:asciiTheme="majorEastAsia" w:hAnsiTheme="majorEastAsia" w:eastAsiaTheme="majorEastAsia" w:cstheme="majorEastAsia"/>
                <w:color w:val="auto"/>
                <w:sz w:val="21"/>
                <w:szCs w:val="21"/>
                <w:highlight w:val="none"/>
              </w:rPr>
              <w:t>分&gt;</w:t>
            </w:r>
          </w:p>
        </w:tc>
        <w:tc>
          <w:tcPr>
            <w:tcW w:w="6683" w:type="dxa"/>
            <w:vAlign w:val="center"/>
          </w:tcPr>
          <w:p>
            <w:pPr>
              <w:widowControl/>
              <w:spacing w:line="240" w:lineRule="auto"/>
              <w:jc w:val="left"/>
              <w:rPr>
                <w:rFonts w:hint="eastAsia"/>
                <w:color w:val="auto"/>
                <w:highlight w:val="none"/>
                <w:lang w:eastAsia="zh-CN"/>
              </w:rPr>
            </w:pPr>
            <w:r>
              <w:rPr>
                <w:rFonts w:hint="eastAsia"/>
                <w:color w:val="auto"/>
                <w:highlight w:val="none"/>
                <w:lang w:eastAsia="zh-CN"/>
              </w:rPr>
              <w:t>拟投入本项目的</w:t>
            </w:r>
            <w:r>
              <w:rPr>
                <w:rFonts w:hint="eastAsia"/>
                <w:color w:val="auto"/>
                <w:highlight w:val="none"/>
              </w:rPr>
              <w:t>数据恢复服务机构具有国家保密局颁发的“涉密信息系统集成资质甲级”证书，且证书业务种类为“数据恢复”</w:t>
            </w:r>
            <w:r>
              <w:rPr>
                <w:rFonts w:hint="eastAsia"/>
                <w:color w:val="auto"/>
                <w:highlight w:val="none"/>
                <w:lang w:val="en-US" w:eastAsia="zh-CN"/>
              </w:rPr>
              <w:t>，得6</w:t>
            </w:r>
            <w:r>
              <w:rPr>
                <w:rFonts w:hint="eastAsia"/>
                <w:color w:val="auto"/>
                <w:highlight w:val="none"/>
              </w:rPr>
              <w:t>分</w:t>
            </w:r>
            <w:r>
              <w:rPr>
                <w:rFonts w:hint="eastAsia"/>
                <w:color w:val="auto"/>
                <w:highlight w:val="none"/>
                <w:lang w:eastAsia="zh-CN"/>
              </w:rPr>
              <w:t>。</w:t>
            </w:r>
          </w:p>
          <w:p>
            <w:pPr>
              <w:pStyle w:val="2"/>
              <w:spacing w:line="240" w:lineRule="auto"/>
              <w:rPr>
                <w:rFonts w:hint="eastAsia"/>
                <w:color w:val="auto"/>
                <w:highlight w:val="none"/>
                <w:lang w:val="en-US" w:eastAsia="zh-CN"/>
              </w:rPr>
            </w:pPr>
            <w:r>
              <w:rPr>
                <w:rFonts w:hint="eastAsia" w:cs="Times New Roman"/>
                <w:bCs w:val="0"/>
                <w:color w:val="auto"/>
                <w:spacing w:val="0"/>
                <w:kern w:val="2"/>
                <w:sz w:val="21"/>
                <w:szCs w:val="24"/>
                <w:highlight w:val="none"/>
                <w:lang w:eastAsia="zh-CN"/>
              </w:rPr>
              <w:t>（</w:t>
            </w:r>
            <w:r>
              <w:rPr>
                <w:rFonts w:hint="eastAsia" w:ascii="Times New Roman" w:hAnsi="Times New Roman" w:cs="Times New Roman"/>
                <w:bCs w:val="0"/>
                <w:color w:val="auto"/>
                <w:spacing w:val="0"/>
                <w:kern w:val="2"/>
                <w:sz w:val="21"/>
                <w:szCs w:val="24"/>
                <w:highlight w:val="none"/>
                <w:lang w:eastAsia="zh-CN"/>
              </w:rPr>
              <w:t>提供相关证书复印件作为证明材料</w:t>
            </w:r>
            <w:r>
              <w:rPr>
                <w:rFonts w:hint="eastAsia" w:cs="Times New Roman"/>
                <w:bCs w:val="0"/>
                <w:color w:val="auto"/>
                <w:spacing w:val="0"/>
                <w:kern w:val="2"/>
                <w:sz w:val="21"/>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30" w:hRule="atLeast"/>
          <w:jc w:val="center"/>
        </w:trPr>
        <w:tc>
          <w:tcPr>
            <w:tcW w:w="2144" w:type="dxa"/>
            <w:vMerge w:val="continue"/>
            <w:vAlign w:val="center"/>
          </w:tcPr>
          <w:p>
            <w:pPr>
              <w:spacing w:line="240" w:lineRule="auto"/>
              <w:jc w:val="center"/>
              <w:rPr>
                <w:rFonts w:hint="eastAsia" w:asciiTheme="majorEastAsia" w:hAnsiTheme="majorEastAsia" w:eastAsiaTheme="majorEastAsia" w:cstheme="majorEastAsia"/>
                <w:color w:val="auto"/>
                <w:sz w:val="21"/>
                <w:szCs w:val="21"/>
                <w:highlight w:val="none"/>
              </w:rPr>
            </w:pPr>
          </w:p>
        </w:tc>
        <w:tc>
          <w:tcPr>
            <w:tcW w:w="6683" w:type="dxa"/>
            <w:vAlign w:val="center"/>
          </w:tcPr>
          <w:p>
            <w:pPr>
              <w:pStyle w:val="2"/>
              <w:spacing w:line="240" w:lineRule="auto"/>
              <w:rPr>
                <w:rFonts w:hint="eastAsia" w:cs="Times New Roman"/>
                <w:bCs w:val="0"/>
                <w:color w:val="auto"/>
                <w:spacing w:val="0"/>
                <w:kern w:val="2"/>
                <w:sz w:val="21"/>
                <w:szCs w:val="24"/>
                <w:highlight w:val="none"/>
                <w:lang w:val="en-US" w:eastAsia="zh-CN"/>
              </w:rPr>
            </w:pPr>
            <w:r>
              <w:rPr>
                <w:rFonts w:hint="eastAsia" w:cs="Times New Roman"/>
                <w:bCs w:val="0"/>
                <w:color w:val="auto"/>
                <w:spacing w:val="0"/>
                <w:kern w:val="2"/>
                <w:sz w:val="21"/>
                <w:szCs w:val="24"/>
                <w:highlight w:val="none"/>
                <w:lang w:eastAsia="zh-CN"/>
              </w:rPr>
              <w:t>拟投入本项目的设备提供由国家信息中心信息安全研究与服务中心免费提供档案系统服务器3年或以上硬盘数据恢复服务，提供授权书及售后服务承诺函，得6分。</w:t>
            </w:r>
          </w:p>
          <w:p>
            <w:pPr>
              <w:pStyle w:val="2"/>
              <w:spacing w:line="240" w:lineRule="auto"/>
              <w:rPr>
                <w:rFonts w:hint="eastAsia" w:cs="Times New Roman"/>
                <w:bCs w:val="0"/>
                <w:color w:val="auto"/>
                <w:spacing w:val="0"/>
                <w:kern w:val="2"/>
                <w:sz w:val="21"/>
                <w:szCs w:val="24"/>
                <w:highlight w:val="none"/>
                <w:lang w:val="en-US" w:eastAsia="zh-CN"/>
              </w:rPr>
            </w:pPr>
            <w:r>
              <w:rPr>
                <w:rFonts w:hint="eastAsia" w:cs="Times New Roman"/>
                <w:bCs w:val="0"/>
                <w:color w:val="auto"/>
                <w:spacing w:val="0"/>
                <w:kern w:val="2"/>
                <w:sz w:val="21"/>
                <w:szCs w:val="24"/>
                <w:highlight w:val="none"/>
                <w:lang w:val="en-US" w:eastAsia="zh-CN"/>
              </w:rPr>
              <w:t>（提供相关证明文件复印件作为证明材料，</w:t>
            </w:r>
            <w:r>
              <w:rPr>
                <w:rFonts w:hint="eastAsia"/>
                <w:b/>
                <w:bCs w:val="0"/>
                <w:color w:val="auto"/>
                <w:sz w:val="21"/>
                <w:szCs w:val="21"/>
                <w:highlight w:val="none"/>
                <w:u w:val="double"/>
                <w:lang w:val="en-GB" w:eastAsia="zh-CN"/>
              </w:rPr>
              <w:t>原件核查</w:t>
            </w:r>
            <w:r>
              <w:rPr>
                <w:rFonts w:hint="eastAsia" w:cs="Times New Roman"/>
                <w:bCs w:val="0"/>
                <w:color w:val="auto"/>
                <w:spacing w:val="0"/>
                <w:kern w:val="2"/>
                <w:sz w:val="21"/>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0" w:hRule="atLeast"/>
          <w:jc w:val="center"/>
        </w:trPr>
        <w:tc>
          <w:tcPr>
            <w:tcW w:w="2144" w:type="dxa"/>
            <w:vMerge w:val="restart"/>
            <w:vAlign w:val="center"/>
          </w:tcPr>
          <w:p>
            <w:pPr>
              <w:widowControl/>
              <w:spacing w:line="240" w:lineRule="auto"/>
              <w:jc w:val="center"/>
              <w:rPr>
                <w:rFonts w:hint="eastAsia" w:eastAsia="宋体"/>
                <w:color w:val="auto"/>
                <w:highlight w:val="none"/>
                <w:lang w:eastAsia="zh-CN"/>
              </w:rPr>
            </w:pPr>
            <w:r>
              <w:rPr>
                <w:rFonts w:hint="eastAsia"/>
                <w:color w:val="auto"/>
                <w:highlight w:val="none"/>
                <w:lang w:eastAsia="zh-CN"/>
              </w:rPr>
              <w:t>产品创新性</w:t>
            </w:r>
          </w:p>
          <w:p>
            <w:pPr>
              <w:widowControl/>
              <w:spacing w:line="240" w:lineRule="auto"/>
              <w:jc w:val="center"/>
              <w:rPr>
                <w:rFonts w:hint="eastAsia"/>
                <w:color w:val="auto"/>
                <w:highlight w:val="none"/>
              </w:rPr>
            </w:pPr>
            <w:r>
              <w:rPr>
                <w:rFonts w:hint="eastAsia" w:asciiTheme="majorEastAsia" w:hAnsiTheme="majorEastAsia" w:eastAsiaTheme="majorEastAsia" w:cstheme="majorEastAsia"/>
                <w:color w:val="auto"/>
                <w:szCs w:val="21"/>
                <w:highlight w:val="none"/>
              </w:rPr>
              <w:t>&lt;</w:t>
            </w:r>
            <w:r>
              <w:rPr>
                <w:rFonts w:hint="eastAsia" w:asciiTheme="majorEastAsia" w:hAnsiTheme="majorEastAsia" w:eastAsiaTheme="majorEastAsia" w:cstheme="majorEastAsia"/>
                <w:color w:val="auto"/>
                <w:szCs w:val="21"/>
                <w:highlight w:val="none"/>
                <w:lang w:val="en-US" w:eastAsia="zh-CN"/>
              </w:rPr>
              <w:t>10</w:t>
            </w:r>
            <w:r>
              <w:rPr>
                <w:rFonts w:hint="eastAsia" w:asciiTheme="majorEastAsia" w:hAnsiTheme="majorEastAsia" w:eastAsiaTheme="majorEastAsia" w:cstheme="majorEastAsia"/>
                <w:color w:val="auto"/>
                <w:szCs w:val="21"/>
                <w:highlight w:val="none"/>
              </w:rPr>
              <w:t>分&gt;</w:t>
            </w:r>
          </w:p>
        </w:tc>
        <w:tc>
          <w:tcPr>
            <w:tcW w:w="6683" w:type="dxa"/>
            <w:vAlign w:val="center"/>
          </w:tcPr>
          <w:p>
            <w:pPr>
              <w:widowControl/>
              <w:spacing w:line="240" w:lineRule="auto"/>
              <w:jc w:val="left"/>
              <w:rPr>
                <w:rFonts w:hint="eastAsia" w:ascii="宋体" w:hAnsi="宋体"/>
                <w:color w:val="auto"/>
                <w:kern w:val="0"/>
                <w:highlight w:val="none"/>
                <w:lang w:val="en-US" w:eastAsia="zh-CN"/>
              </w:rPr>
            </w:pPr>
            <w:r>
              <w:rPr>
                <w:rFonts w:hint="eastAsia" w:ascii="宋体" w:hAnsi="宋体"/>
                <w:color w:val="auto"/>
                <w:kern w:val="0"/>
                <w:highlight w:val="none"/>
              </w:rPr>
              <w:t>投标人提供的档案软件</w:t>
            </w:r>
            <w:r>
              <w:rPr>
                <w:rFonts w:hint="eastAsia"/>
                <w:color w:val="auto"/>
                <w:szCs w:val="21"/>
                <w:highlight w:val="none"/>
              </w:rPr>
              <w:t>产品获得</w:t>
            </w:r>
            <w:r>
              <w:rPr>
                <w:rFonts w:hint="eastAsia"/>
                <w:color w:val="auto"/>
                <w:highlight w:val="none"/>
              </w:rPr>
              <w:t>自主创新产品证书</w:t>
            </w:r>
            <w:r>
              <w:rPr>
                <w:rFonts w:hint="eastAsia" w:ascii="宋体" w:hAnsi="宋体"/>
                <w:color w:val="auto"/>
                <w:kern w:val="0"/>
                <w:highlight w:val="none"/>
              </w:rPr>
              <w:t>，</w:t>
            </w:r>
            <w:r>
              <w:rPr>
                <w:rFonts w:hint="eastAsia" w:ascii="宋体" w:hAnsi="宋体"/>
                <w:color w:val="auto"/>
                <w:kern w:val="0"/>
                <w:highlight w:val="none"/>
                <w:lang w:eastAsia="zh-CN"/>
              </w:rPr>
              <w:t>得</w:t>
            </w:r>
            <w:r>
              <w:rPr>
                <w:rFonts w:hint="eastAsia" w:ascii="宋体" w:hAnsi="宋体"/>
                <w:color w:val="auto"/>
                <w:kern w:val="0"/>
                <w:highlight w:val="none"/>
                <w:lang w:val="en-US" w:eastAsia="zh-CN"/>
              </w:rPr>
              <w:t>5分。</w:t>
            </w:r>
          </w:p>
          <w:p>
            <w:pPr>
              <w:widowControl/>
              <w:spacing w:line="240" w:lineRule="auto"/>
              <w:jc w:val="left"/>
              <w:rPr>
                <w:rFonts w:hint="eastAsia" w:asciiTheme="majorEastAsia" w:hAnsiTheme="majorEastAsia" w:eastAsiaTheme="majorEastAsia" w:cstheme="majorEastAsia"/>
                <w:color w:val="auto"/>
                <w:szCs w:val="21"/>
                <w:highlight w:val="none"/>
                <w:lang w:val="en-GB"/>
              </w:rPr>
            </w:pPr>
            <w:r>
              <w:rPr>
                <w:rFonts w:hint="eastAsia" w:ascii="宋体" w:hAnsi="宋体"/>
                <w:color w:val="auto"/>
                <w:kern w:val="0"/>
                <w:highlight w:val="none"/>
                <w:lang w:val="en-US" w:eastAsia="zh-CN"/>
              </w:rPr>
              <w:t>（</w:t>
            </w:r>
            <w:r>
              <w:rPr>
                <w:rFonts w:hint="eastAsia" w:ascii="宋体" w:hAnsi="宋体"/>
                <w:color w:val="auto"/>
                <w:kern w:val="0"/>
                <w:highlight w:val="none"/>
              </w:rPr>
              <w:t>提供</w:t>
            </w:r>
            <w:r>
              <w:rPr>
                <w:rFonts w:hint="eastAsia" w:ascii="宋体" w:hAnsi="宋体"/>
                <w:color w:val="auto"/>
                <w:kern w:val="0"/>
                <w:highlight w:val="none"/>
                <w:lang w:eastAsia="zh-CN"/>
              </w:rPr>
              <w:t>证书</w:t>
            </w:r>
            <w:r>
              <w:rPr>
                <w:rFonts w:hint="eastAsia" w:ascii="宋体" w:hAnsi="宋体"/>
                <w:color w:val="auto"/>
                <w:kern w:val="0"/>
                <w:highlight w:val="none"/>
              </w:rPr>
              <w:t>复印件并盖原厂家公章</w:t>
            </w:r>
            <w:r>
              <w:rPr>
                <w:rFonts w:hint="eastAsia" w:ascii="宋体" w:hAnsi="宋体"/>
                <w:color w:val="auto"/>
                <w:kern w:val="0"/>
                <w:highlight w:val="none"/>
                <w:lang w:eastAsia="zh-CN"/>
              </w:rPr>
              <w:t>，否则不得分</w:t>
            </w:r>
            <w:r>
              <w:rPr>
                <w:rFonts w:hint="eastAsia" w:ascii="宋体" w:hAnsi="宋体" w:cs="宋体"/>
                <w:color w:val="auto"/>
                <w:kern w:val="0"/>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10" w:hRule="atLeast"/>
          <w:jc w:val="center"/>
        </w:trPr>
        <w:tc>
          <w:tcPr>
            <w:tcW w:w="2144" w:type="dxa"/>
            <w:vMerge w:val="continue"/>
            <w:vAlign w:val="center"/>
          </w:tcPr>
          <w:p>
            <w:pPr>
              <w:widowControl/>
              <w:spacing w:line="240" w:lineRule="auto"/>
              <w:jc w:val="center"/>
              <w:rPr>
                <w:rFonts w:hint="eastAsia"/>
                <w:color w:val="auto"/>
                <w:highlight w:val="none"/>
              </w:rPr>
            </w:pPr>
          </w:p>
        </w:tc>
        <w:tc>
          <w:tcPr>
            <w:tcW w:w="6683" w:type="dxa"/>
            <w:vAlign w:val="center"/>
          </w:tcPr>
          <w:p>
            <w:pPr>
              <w:widowControl/>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投标人提供的</w:t>
            </w:r>
            <w:r>
              <w:rPr>
                <w:rFonts w:hint="eastAsia" w:ascii="宋体" w:hAnsi="宋体" w:cs="宋体"/>
                <w:color w:val="auto"/>
                <w:highlight w:val="none"/>
                <w:lang w:eastAsia="zh-CN"/>
              </w:rPr>
              <w:t>拟投入本项目的设备或软件</w:t>
            </w:r>
            <w:r>
              <w:rPr>
                <w:rFonts w:hint="eastAsia" w:ascii="宋体" w:hAnsi="宋体" w:eastAsia="宋体" w:cs="宋体"/>
                <w:color w:val="auto"/>
                <w:highlight w:val="none"/>
              </w:rPr>
              <w:t>具有计算机软件著作权证书</w:t>
            </w:r>
            <w:r>
              <w:rPr>
                <w:rFonts w:hint="eastAsia" w:ascii="宋体" w:hAnsi="宋体" w:cs="宋体"/>
                <w:color w:val="auto"/>
                <w:highlight w:val="none"/>
                <w:lang w:eastAsia="zh-CN"/>
              </w:rPr>
              <w:t>：</w:t>
            </w:r>
          </w:p>
          <w:p>
            <w:pPr>
              <w:widowControl/>
              <w:numPr>
                <w:ilvl w:val="0"/>
                <w:numId w:val="33"/>
              </w:numPr>
              <w:spacing w:line="240" w:lineRule="auto"/>
              <w:ind w:left="425" w:leftChars="0" w:hanging="425" w:firstLineChars="0"/>
              <w:rPr>
                <w:rFonts w:hint="eastAsia" w:ascii="宋体" w:hAnsi="宋体" w:eastAsia="宋体" w:cs="宋体"/>
                <w:color w:val="auto"/>
                <w:highlight w:val="none"/>
              </w:rPr>
            </w:pPr>
            <w:r>
              <w:rPr>
                <w:rFonts w:hint="eastAsia" w:ascii="宋体" w:hAnsi="宋体" w:eastAsia="宋体" w:cs="宋体"/>
                <w:color w:val="auto"/>
                <w:highlight w:val="none"/>
              </w:rPr>
              <w:t>数量为6个或以上的，得</w:t>
            </w:r>
            <w:r>
              <w:rPr>
                <w:rFonts w:hint="eastAsia" w:ascii="宋体" w:hAnsi="宋体" w:cs="宋体"/>
                <w:color w:val="auto"/>
                <w:highlight w:val="none"/>
                <w:lang w:val="en-US" w:eastAsia="zh-CN"/>
              </w:rPr>
              <w:t>5</w:t>
            </w:r>
            <w:r>
              <w:rPr>
                <w:rFonts w:hint="eastAsia" w:ascii="宋体" w:hAnsi="宋体" w:eastAsia="宋体" w:cs="宋体"/>
                <w:color w:val="auto"/>
                <w:highlight w:val="none"/>
              </w:rPr>
              <w:t>分；</w:t>
            </w:r>
          </w:p>
          <w:p>
            <w:pPr>
              <w:widowControl/>
              <w:numPr>
                <w:ilvl w:val="0"/>
                <w:numId w:val="33"/>
              </w:numPr>
              <w:spacing w:line="240" w:lineRule="auto"/>
              <w:ind w:left="425" w:leftChars="0" w:hanging="425" w:firstLineChars="0"/>
              <w:rPr>
                <w:rFonts w:hint="eastAsia" w:ascii="宋体" w:hAnsi="宋体" w:eastAsia="宋体" w:cs="宋体"/>
                <w:color w:val="auto"/>
                <w:highlight w:val="none"/>
                <w:lang w:val="en-GB"/>
              </w:rPr>
            </w:pPr>
            <w:r>
              <w:rPr>
                <w:rFonts w:hint="eastAsia" w:ascii="宋体" w:hAnsi="宋体" w:eastAsia="宋体" w:cs="宋体"/>
                <w:color w:val="auto"/>
                <w:highlight w:val="none"/>
              </w:rPr>
              <w:t>数量为1～5个的，得</w:t>
            </w:r>
            <w:r>
              <w:rPr>
                <w:rFonts w:hint="eastAsia" w:ascii="宋体" w:hAnsi="宋体" w:cs="宋体"/>
                <w:color w:val="auto"/>
                <w:highlight w:val="none"/>
                <w:lang w:val="en-US" w:eastAsia="zh-CN"/>
              </w:rPr>
              <w:t>2.5</w:t>
            </w:r>
            <w:r>
              <w:rPr>
                <w:rFonts w:hint="eastAsia" w:ascii="宋体" w:hAnsi="宋体" w:eastAsia="宋体" w:cs="宋体"/>
                <w:color w:val="auto"/>
                <w:highlight w:val="none"/>
              </w:rPr>
              <w:t>分；</w:t>
            </w:r>
          </w:p>
          <w:p>
            <w:pPr>
              <w:widowControl/>
              <w:numPr>
                <w:ilvl w:val="0"/>
                <w:numId w:val="33"/>
              </w:numPr>
              <w:spacing w:line="240" w:lineRule="auto"/>
              <w:ind w:left="425" w:leftChars="0" w:hanging="425" w:firstLineChars="0"/>
              <w:rPr>
                <w:rFonts w:hint="eastAsia" w:ascii="宋体" w:hAnsi="宋体" w:eastAsia="宋体" w:cs="宋体"/>
                <w:color w:val="auto"/>
                <w:sz w:val="21"/>
                <w:szCs w:val="21"/>
                <w:highlight w:val="none"/>
                <w:lang w:val="en-GB"/>
              </w:rPr>
            </w:pPr>
            <w:r>
              <w:rPr>
                <w:rFonts w:hint="eastAsia" w:ascii="宋体" w:hAnsi="宋体" w:eastAsia="宋体" w:cs="宋体"/>
                <w:color w:val="auto"/>
                <w:sz w:val="21"/>
                <w:szCs w:val="21"/>
                <w:highlight w:val="none"/>
              </w:rPr>
              <w:t>数量为0的，得0分。</w:t>
            </w:r>
          </w:p>
          <w:p>
            <w:pPr>
              <w:pStyle w:val="2"/>
              <w:spacing w:line="240" w:lineRule="auto"/>
              <w:rPr>
                <w:rFonts w:hint="eastAsia" w:eastAsia="宋体"/>
                <w:color w:val="auto"/>
                <w:highlight w:val="none"/>
                <w:lang w:val="en-GB" w:eastAsia="zh-CN"/>
              </w:rPr>
            </w:pPr>
            <w:r>
              <w:rPr>
                <w:rFonts w:hint="eastAsia"/>
                <w:color w:val="auto"/>
                <w:sz w:val="21"/>
                <w:szCs w:val="21"/>
                <w:highlight w:val="none"/>
                <w:lang w:val="en-GB" w:eastAsia="zh-CN"/>
              </w:rPr>
              <w:t>（提供证书复印件并盖原厂家公章，否则不得分）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5" w:hRule="atLeast"/>
          <w:jc w:val="center"/>
        </w:trPr>
        <w:tc>
          <w:tcPr>
            <w:tcW w:w="2144" w:type="dxa"/>
            <w:vAlign w:val="center"/>
          </w:tcPr>
          <w:p>
            <w:pPr>
              <w:widowControl/>
              <w:spacing w:line="240" w:lineRule="auto"/>
              <w:jc w:val="center"/>
              <w:rPr>
                <w:rFonts w:hint="eastAsia" w:ascii="宋体" w:hAnsi="宋体"/>
                <w:color w:val="auto"/>
                <w:kern w:val="0"/>
                <w:highlight w:val="none"/>
              </w:rPr>
            </w:pPr>
            <w:r>
              <w:rPr>
                <w:rFonts w:hint="eastAsia" w:ascii="宋体" w:hAnsi="宋体"/>
                <w:color w:val="auto"/>
                <w:kern w:val="0"/>
                <w:highlight w:val="none"/>
              </w:rPr>
              <w:t>质量管理体系认证</w:t>
            </w:r>
            <w:r>
              <w:rPr>
                <w:rFonts w:hint="eastAsia" w:asciiTheme="majorEastAsia" w:hAnsiTheme="majorEastAsia" w:eastAsiaTheme="majorEastAsia" w:cstheme="majorEastAsia"/>
                <w:color w:val="auto"/>
                <w:szCs w:val="21"/>
                <w:highlight w:val="none"/>
              </w:rPr>
              <w:t>&lt;</w:t>
            </w:r>
            <w:r>
              <w:rPr>
                <w:rFonts w:hint="eastAsia" w:asciiTheme="majorEastAsia" w:hAnsiTheme="majorEastAsia" w:eastAsiaTheme="majorEastAsia" w:cstheme="majorEastAsia"/>
                <w:color w:val="auto"/>
                <w:szCs w:val="21"/>
                <w:highlight w:val="none"/>
                <w:lang w:val="en-US" w:eastAsia="zh-CN"/>
              </w:rPr>
              <w:t>1</w:t>
            </w:r>
            <w:r>
              <w:rPr>
                <w:rFonts w:hint="eastAsia" w:asciiTheme="majorEastAsia" w:hAnsiTheme="majorEastAsia" w:eastAsiaTheme="majorEastAsia" w:cstheme="majorEastAsia"/>
                <w:color w:val="auto"/>
                <w:szCs w:val="21"/>
                <w:highlight w:val="none"/>
              </w:rPr>
              <w:t>分&gt;</w:t>
            </w:r>
          </w:p>
        </w:tc>
        <w:tc>
          <w:tcPr>
            <w:tcW w:w="6683" w:type="dxa"/>
            <w:vAlign w:val="center"/>
          </w:tcPr>
          <w:p>
            <w:pPr>
              <w:widowControl/>
              <w:spacing w:line="240" w:lineRule="auto"/>
              <w:jc w:val="left"/>
              <w:rPr>
                <w:rFonts w:hint="eastAsia" w:ascii="宋体" w:hAnsi="宋体" w:eastAsia="宋体"/>
                <w:color w:val="auto"/>
                <w:kern w:val="0"/>
                <w:highlight w:val="none"/>
                <w:lang w:eastAsia="zh-CN"/>
              </w:rPr>
            </w:pPr>
            <w:r>
              <w:rPr>
                <w:rFonts w:hint="eastAsia" w:ascii="宋体" w:hAnsi="宋体"/>
                <w:color w:val="auto"/>
                <w:kern w:val="0"/>
                <w:highlight w:val="none"/>
              </w:rPr>
              <w:t>提供档案软件原厂商具有ISO9001: 2015质量管理体系认证证书，且认证内容</w:t>
            </w:r>
            <w:r>
              <w:rPr>
                <w:rFonts w:hint="eastAsia" w:ascii="宋体" w:hAnsi="宋体"/>
                <w:color w:val="auto"/>
                <w:kern w:val="0"/>
                <w:highlight w:val="none"/>
                <w:lang w:eastAsia="zh-CN"/>
              </w:rPr>
              <w:t>须包含</w:t>
            </w:r>
            <w:r>
              <w:rPr>
                <w:rFonts w:hint="eastAsia" w:ascii="宋体" w:hAnsi="宋体"/>
                <w:color w:val="auto"/>
                <w:kern w:val="0"/>
                <w:highlight w:val="none"/>
              </w:rPr>
              <w:t>为“智慧档案软件开发；档案大数据软件开发”</w:t>
            </w:r>
            <w:r>
              <w:rPr>
                <w:rFonts w:hint="eastAsia" w:ascii="宋体" w:hAnsi="宋体"/>
                <w:color w:val="auto"/>
                <w:kern w:val="0"/>
                <w:highlight w:val="none"/>
                <w:lang w:eastAsia="zh-CN"/>
              </w:rPr>
              <w:t>。</w:t>
            </w:r>
          </w:p>
          <w:p>
            <w:pPr>
              <w:widowControl/>
              <w:spacing w:line="240" w:lineRule="auto"/>
              <w:jc w:val="left"/>
              <w:rPr>
                <w:rFonts w:hint="eastAsia"/>
                <w:color w:val="auto"/>
                <w:highlight w:val="none"/>
                <w:lang w:val="en-GB"/>
              </w:rPr>
            </w:pPr>
            <w:r>
              <w:rPr>
                <w:rFonts w:hint="eastAsia" w:ascii="宋体" w:hAnsi="宋体"/>
                <w:color w:val="auto"/>
                <w:kern w:val="0"/>
                <w:highlight w:val="none"/>
              </w:rPr>
              <w:t>（提供相关证明文件复印件并盖原厂家公章，否则不得分）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24" w:hRule="atLeast"/>
          <w:jc w:val="center"/>
        </w:trPr>
        <w:tc>
          <w:tcPr>
            <w:tcW w:w="2144" w:type="dxa"/>
            <w:vAlign w:val="center"/>
          </w:tcPr>
          <w:p>
            <w:pPr>
              <w:widowControl/>
              <w:spacing w:line="240" w:lineRule="auto"/>
              <w:jc w:val="center"/>
              <w:rPr>
                <w:rFonts w:hint="eastAsia" w:eastAsia="宋体"/>
                <w:color w:val="auto"/>
                <w:szCs w:val="21"/>
                <w:highlight w:val="none"/>
                <w:lang w:eastAsia="zh-CN"/>
              </w:rPr>
            </w:pPr>
            <w:r>
              <w:rPr>
                <w:rFonts w:hint="eastAsia"/>
                <w:color w:val="auto"/>
                <w:szCs w:val="21"/>
                <w:highlight w:val="none"/>
                <w:lang w:eastAsia="zh-CN"/>
              </w:rPr>
              <w:t>同类项目业绩</w:t>
            </w:r>
          </w:p>
          <w:p>
            <w:pPr>
              <w:widowControl/>
              <w:spacing w:line="240" w:lineRule="auto"/>
              <w:jc w:val="center"/>
              <w:rPr>
                <w:rFonts w:hint="eastAsia"/>
                <w:color w:val="auto"/>
                <w:highlight w:val="none"/>
              </w:rPr>
            </w:pPr>
            <w:r>
              <w:rPr>
                <w:rFonts w:hint="eastAsia" w:asciiTheme="majorEastAsia" w:hAnsiTheme="majorEastAsia" w:eastAsiaTheme="majorEastAsia" w:cstheme="majorEastAsia"/>
                <w:color w:val="auto"/>
                <w:szCs w:val="21"/>
                <w:highlight w:val="none"/>
              </w:rPr>
              <w:t>&lt;</w:t>
            </w:r>
            <w:r>
              <w:rPr>
                <w:rFonts w:hint="eastAsia" w:asciiTheme="majorEastAsia" w:hAnsiTheme="majorEastAsia" w:eastAsiaTheme="majorEastAsia" w:cstheme="majorEastAsia"/>
                <w:color w:val="auto"/>
                <w:szCs w:val="21"/>
                <w:highlight w:val="none"/>
                <w:lang w:val="en-US" w:eastAsia="zh-CN"/>
              </w:rPr>
              <w:t>7</w:t>
            </w:r>
            <w:r>
              <w:rPr>
                <w:rFonts w:hint="eastAsia" w:asciiTheme="majorEastAsia" w:hAnsiTheme="majorEastAsia" w:eastAsiaTheme="majorEastAsia" w:cstheme="majorEastAsia"/>
                <w:color w:val="auto"/>
                <w:szCs w:val="21"/>
                <w:highlight w:val="none"/>
              </w:rPr>
              <w:t>分&gt;</w:t>
            </w:r>
          </w:p>
        </w:tc>
        <w:tc>
          <w:tcPr>
            <w:tcW w:w="6683" w:type="dxa"/>
            <w:vAlign w:val="center"/>
          </w:tcPr>
          <w:p>
            <w:pPr>
              <w:widowControl/>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投标人</w:t>
            </w:r>
            <w:r>
              <w:rPr>
                <w:rFonts w:hint="eastAsia" w:ascii="宋体" w:hAnsi="宋体" w:cs="宋体"/>
                <w:color w:val="auto"/>
                <w:highlight w:val="none"/>
                <w:lang w:eastAsia="zh-CN"/>
              </w:rPr>
              <w:t>使用拟投入本项目的档案软件产品</w:t>
            </w:r>
            <w:r>
              <w:rPr>
                <w:rFonts w:hint="eastAsia" w:ascii="宋体" w:hAnsi="宋体" w:eastAsia="宋体" w:cs="宋体"/>
                <w:color w:val="auto"/>
                <w:highlight w:val="none"/>
                <w:lang w:eastAsia="zh-CN"/>
              </w:rPr>
              <w:t>自</w:t>
            </w:r>
            <w:r>
              <w:rPr>
                <w:rFonts w:hint="eastAsia" w:ascii="宋体" w:hAnsi="宋体" w:eastAsia="宋体" w:cs="宋体"/>
                <w:color w:val="auto"/>
                <w:highlight w:val="none"/>
                <w:lang w:val="en-US" w:eastAsia="zh-CN"/>
              </w:rPr>
              <w:t>2015年1月1日至今（以合同签订时间为准）</w:t>
            </w:r>
            <w:r>
              <w:rPr>
                <w:rFonts w:hint="eastAsia" w:ascii="宋体" w:hAnsi="宋体" w:cs="宋体"/>
                <w:color w:val="auto"/>
                <w:highlight w:val="none"/>
                <w:lang w:val="en-US" w:eastAsia="zh-CN"/>
              </w:rPr>
              <w:t>承接同类型项目</w:t>
            </w:r>
            <w:r>
              <w:rPr>
                <w:rFonts w:hint="eastAsia" w:ascii="宋体" w:hAnsi="宋体" w:eastAsia="宋体" w:cs="宋体"/>
                <w:color w:val="auto"/>
                <w:highlight w:val="none"/>
              </w:rPr>
              <w:t>的</w:t>
            </w:r>
            <w:r>
              <w:rPr>
                <w:rFonts w:hint="eastAsia" w:ascii="宋体" w:hAnsi="宋体" w:cs="宋体"/>
                <w:color w:val="auto"/>
                <w:highlight w:val="none"/>
                <w:lang w:eastAsia="zh-CN"/>
              </w:rPr>
              <w:t>业绩</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每提供</w:t>
            </w:r>
            <w:r>
              <w:rPr>
                <w:rFonts w:hint="eastAsia" w:ascii="宋体" w:hAnsi="宋体" w:eastAsia="宋体" w:cs="宋体"/>
                <w:color w:val="auto"/>
                <w:highlight w:val="none"/>
                <w:lang w:val="en-US" w:eastAsia="zh-CN"/>
              </w:rPr>
              <w:t>1项，得1分，本项最高得7分。</w:t>
            </w:r>
          </w:p>
          <w:p>
            <w:pPr>
              <w:pStyle w:val="2"/>
              <w:spacing w:line="240" w:lineRule="auto"/>
              <w:rPr>
                <w:rFonts w:hint="eastAsia"/>
                <w:color w:val="auto"/>
                <w:highlight w:val="none"/>
                <w:lang w:val="en-GB"/>
              </w:rPr>
            </w:pPr>
            <w:r>
              <w:rPr>
                <w:rFonts w:hint="eastAsia" w:ascii="宋体" w:hAnsi="宋体"/>
                <w:color w:val="auto"/>
                <w:kern w:val="0"/>
                <w:sz w:val="21"/>
                <w:szCs w:val="21"/>
                <w:highlight w:val="none"/>
                <w:lang w:val="en-US" w:eastAsia="zh-CN"/>
              </w:rPr>
              <w:t>（</w:t>
            </w:r>
            <w:r>
              <w:rPr>
                <w:rFonts w:hint="eastAsia" w:ascii="宋体" w:hAnsi="宋体"/>
                <w:color w:val="auto"/>
                <w:kern w:val="0"/>
                <w:sz w:val="21"/>
                <w:szCs w:val="21"/>
                <w:highlight w:val="none"/>
              </w:rPr>
              <w:t>提供</w:t>
            </w:r>
            <w:r>
              <w:rPr>
                <w:rFonts w:hint="eastAsia" w:ascii="宋体" w:hAnsi="宋体"/>
                <w:color w:val="auto"/>
                <w:kern w:val="0"/>
                <w:sz w:val="21"/>
                <w:szCs w:val="21"/>
                <w:highlight w:val="none"/>
                <w:lang w:eastAsia="zh-CN"/>
              </w:rPr>
              <w:t>合同关键页</w:t>
            </w:r>
            <w:r>
              <w:rPr>
                <w:rFonts w:hint="eastAsia" w:ascii="宋体" w:hAnsi="宋体"/>
                <w:color w:val="auto"/>
                <w:kern w:val="0"/>
                <w:sz w:val="21"/>
                <w:szCs w:val="21"/>
                <w:highlight w:val="none"/>
              </w:rPr>
              <w:t>复印件并盖原厂家公章</w:t>
            </w:r>
            <w:r>
              <w:rPr>
                <w:rFonts w:hint="eastAsia" w:ascii="宋体" w:hAnsi="宋体"/>
                <w:color w:val="auto"/>
                <w:kern w:val="0"/>
                <w:sz w:val="21"/>
                <w:szCs w:val="21"/>
                <w:highlight w:val="none"/>
                <w:lang w:eastAsia="zh-CN"/>
              </w:rPr>
              <w:t>，否则不得分</w:t>
            </w:r>
            <w:r>
              <w:rPr>
                <w:rFonts w:hint="eastAsia" w:ascii="宋体" w:hAnsi="宋体" w:cs="宋体"/>
                <w:color w:val="auto"/>
                <w:kern w:val="0"/>
                <w:sz w:val="21"/>
                <w:szCs w:val="21"/>
                <w:highlight w:val="none"/>
                <w:lang w:eastAsia="zh-CN"/>
              </w:rPr>
              <w:t>）</w:t>
            </w:r>
          </w:p>
        </w:tc>
      </w:tr>
    </w:tbl>
    <w:p>
      <w:pPr>
        <w:snapToGrid w:val="0"/>
        <w:spacing w:line="360" w:lineRule="auto"/>
        <w:ind w:left="210" w:leftChars="100"/>
        <w:rPr>
          <w:rFonts w:hint="eastAsia" w:ascii="宋体" w:cs="宋体"/>
          <w:snapToGrid w:val="0"/>
          <w:color w:val="auto"/>
          <w:kern w:val="0"/>
          <w:highlight w:val="none"/>
        </w:rPr>
      </w:pPr>
      <w:r>
        <w:rPr>
          <w:rFonts w:hint="eastAsia" w:ascii="宋体" w:cs="宋体"/>
          <w:snapToGrid w:val="0"/>
          <w:color w:val="auto"/>
          <w:kern w:val="0"/>
          <w:highlight w:val="none"/>
        </w:rPr>
        <w:t>备注：</w:t>
      </w:r>
    </w:p>
    <w:p>
      <w:pPr>
        <w:numPr>
          <w:ilvl w:val="0"/>
          <w:numId w:val="34"/>
        </w:numPr>
        <w:snapToGrid w:val="0"/>
        <w:spacing w:line="360" w:lineRule="auto"/>
        <w:ind w:hanging="240"/>
        <w:rPr>
          <w:rFonts w:hint="eastAsia" w:ascii="宋体" w:hAnsi="宋体"/>
          <w:bCs/>
          <w:color w:val="auto"/>
          <w:highlight w:val="none"/>
        </w:rPr>
      </w:pPr>
      <w:r>
        <w:rPr>
          <w:rFonts w:hint="eastAsia" w:ascii="宋体" w:hAnsi="宋体"/>
          <w:bCs/>
          <w:color w:val="auto"/>
          <w:highlight w:val="none"/>
        </w:rPr>
        <w:t>招标文件要求提交的与评价指标体系相关的各类有效资料，投标人如未按要求提交的，该项评分为零分。</w:t>
      </w:r>
    </w:p>
    <w:p>
      <w:pPr>
        <w:numPr>
          <w:ilvl w:val="0"/>
          <w:numId w:val="34"/>
        </w:numPr>
        <w:snapToGrid w:val="0"/>
        <w:spacing w:line="360" w:lineRule="auto"/>
        <w:ind w:hanging="240"/>
        <w:rPr>
          <w:rFonts w:hint="eastAsia" w:ascii="宋体" w:hAnsi="宋体"/>
          <w:bCs/>
          <w:color w:val="auto"/>
          <w:highlight w:val="none"/>
        </w:rPr>
      </w:pPr>
      <w:r>
        <w:rPr>
          <w:rFonts w:hint="eastAsia" w:ascii="宋体" w:hAnsi="宋体"/>
          <w:bCs/>
          <w:color w:val="auto"/>
          <w:highlight w:val="none"/>
        </w:rPr>
        <w:t>商务评分：所有评委评分分值的算术平均值（四舍五入后，</w:t>
      </w:r>
      <w:r>
        <w:rPr>
          <w:rFonts w:hint="eastAsia" w:ascii="Arial" w:hAnsi="Arial" w:cs="Arial"/>
          <w:color w:val="auto"/>
          <w:szCs w:val="20"/>
          <w:highlight w:val="none"/>
        </w:rPr>
        <w:t>小数点后保留两位有效数</w:t>
      </w:r>
      <w:r>
        <w:rPr>
          <w:rFonts w:hint="eastAsia" w:ascii="宋体" w:hAnsi="宋体"/>
          <w:bCs/>
          <w:color w:val="auto"/>
          <w:highlight w:val="none"/>
        </w:rPr>
        <w:t>）。</w:t>
      </w:r>
    </w:p>
    <w:p>
      <w:pPr>
        <w:numPr>
          <w:ilvl w:val="0"/>
          <w:numId w:val="34"/>
        </w:numPr>
        <w:snapToGrid w:val="0"/>
        <w:spacing w:line="360" w:lineRule="auto"/>
        <w:ind w:hanging="240"/>
        <w:rPr>
          <w:rFonts w:hint="eastAsia"/>
          <w:color w:val="auto"/>
          <w:highlight w:val="none"/>
        </w:rPr>
      </w:pPr>
      <w:r>
        <w:rPr>
          <w:rFonts w:hint="eastAsia" w:ascii="宋体" w:hAnsi="宋体"/>
          <w:bCs/>
          <w:color w:val="auto"/>
          <w:highlight w:val="none"/>
        </w:rPr>
        <w:t>评审内容中所要求提交“原件”的应独立封装，并内附“资料原件提交清单”（详见第七章投标文件格式），评标结束当日退回，如未提供原件的，该项评分为0分。“资料原件提交清单”请按要求提交，如因未提交产生的不利影响，由投标人自行承担</w:t>
      </w:r>
      <w:r>
        <w:rPr>
          <w:rFonts w:hint="eastAsia" w:ascii="宋体" w:hAnsi="宋体"/>
          <w:bCs/>
          <w:color w:val="auto"/>
          <w:highlight w:val="none"/>
          <w:lang w:eastAsia="zh-CN"/>
        </w:rPr>
        <w:t>。</w:t>
      </w:r>
    </w:p>
    <w:p>
      <w:pPr>
        <w:adjustRightInd w:val="0"/>
        <w:snapToGrid w:val="0"/>
        <w:spacing w:before="156" w:beforeLines="50" w:after="156" w:afterLines="50" w:line="360" w:lineRule="auto"/>
        <w:jc w:val="center"/>
        <w:rPr>
          <w:rFonts w:ascii="黑体" w:hAnsi="宋体" w:eastAsia="黑体" w:cs="宋体"/>
          <w:color w:val="auto"/>
          <w:sz w:val="28"/>
          <w:szCs w:val="28"/>
          <w:highlight w:val="none"/>
        </w:rPr>
      </w:pPr>
      <w:r>
        <w:rPr>
          <w:rFonts w:hint="eastAsia" w:ascii="黑体" w:hAnsi="宋体" w:eastAsia="黑体" w:cs="宋体"/>
          <w:color w:val="auto"/>
          <w:sz w:val="28"/>
          <w:szCs w:val="28"/>
          <w:highlight w:val="none"/>
        </w:rPr>
        <w:t>价 格 评 分 表</w:t>
      </w:r>
    </w:p>
    <w:p>
      <w:pPr>
        <w:adjustRightInd w:val="0"/>
        <w:snapToGrid w:val="0"/>
        <w:spacing w:before="156" w:beforeLines="50" w:after="156" w:afterLines="50" w:line="360" w:lineRule="auto"/>
        <w:jc w:val="center"/>
        <w:rPr>
          <w:rFonts w:hint="eastAsia" w:ascii="黑体" w:hAnsi="宋体" w:eastAsia="黑体" w:cs="宋体"/>
          <w:color w:val="auto"/>
          <w:sz w:val="28"/>
          <w:szCs w:val="28"/>
          <w:highlight w:val="none"/>
        </w:rPr>
      </w:pPr>
      <w:r>
        <w:rPr>
          <w:rFonts w:hint="eastAsia" w:ascii="黑体" w:hAnsi="宋体" w:eastAsia="黑体" w:cs="宋体"/>
          <w:color w:val="auto"/>
          <w:sz w:val="28"/>
          <w:szCs w:val="28"/>
          <w:highlight w:val="none"/>
        </w:rPr>
        <w:t>（</w:t>
      </w:r>
      <w:r>
        <w:rPr>
          <w:rFonts w:hint="eastAsia" w:ascii="黑体" w:hAnsi="宋体" w:eastAsia="黑体" w:cs="宋体"/>
          <w:color w:val="auto"/>
          <w:sz w:val="28"/>
          <w:szCs w:val="28"/>
          <w:highlight w:val="none"/>
          <w:lang w:val="en-US" w:eastAsia="zh-CN"/>
        </w:rPr>
        <w:t>10</w:t>
      </w:r>
      <w:r>
        <w:rPr>
          <w:rFonts w:hint="eastAsia" w:ascii="黑体" w:hAnsi="宋体" w:eastAsia="黑体" w:cs="宋体"/>
          <w:color w:val="auto"/>
          <w:sz w:val="28"/>
          <w:szCs w:val="28"/>
          <w:highlight w:val="none"/>
        </w:rPr>
        <w:t>分）</w:t>
      </w:r>
    </w:p>
    <w:p>
      <w:pPr>
        <w:numPr>
          <w:ilvl w:val="0"/>
          <w:numId w:val="35"/>
        </w:numPr>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价格核准：</w:t>
      </w:r>
    </w:p>
    <w:p>
      <w:pPr>
        <w:numPr>
          <w:ilvl w:val="1"/>
          <w:numId w:val="35"/>
        </w:num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评标委员会详细分析、核准价格表，检查其是否存在计算上或累加上的算术错误，修正错误的原则如下：</w:t>
      </w:r>
    </w:p>
    <w:p>
      <w:pPr>
        <w:numPr>
          <w:ilvl w:val="2"/>
          <w:numId w:val="35"/>
        </w:numPr>
        <w:tabs>
          <w:tab w:val="left" w:pos="1480"/>
        </w:tabs>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投标文件中开标一览表（报价表）内容与投标文件中相应内容不一致的，以开标一览表（报价表）为准；</w:t>
      </w:r>
    </w:p>
    <w:p>
      <w:pPr>
        <w:numPr>
          <w:ilvl w:val="2"/>
          <w:numId w:val="35"/>
        </w:numPr>
        <w:tabs>
          <w:tab w:val="left" w:pos="1480"/>
        </w:tabs>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大写金额和小写金额不一致的，以大写金额为准；</w:t>
      </w:r>
    </w:p>
    <w:p>
      <w:pPr>
        <w:numPr>
          <w:ilvl w:val="2"/>
          <w:numId w:val="35"/>
        </w:numPr>
        <w:tabs>
          <w:tab w:val="left" w:pos="1480"/>
        </w:tabs>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单价金额小数点或者百分比有明显错位的，以开标一览表的总价为准，并修改单价；</w:t>
      </w:r>
    </w:p>
    <w:p>
      <w:pPr>
        <w:numPr>
          <w:ilvl w:val="2"/>
          <w:numId w:val="35"/>
        </w:numPr>
        <w:tabs>
          <w:tab w:val="left" w:pos="1480"/>
        </w:tabs>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总价金额与按单价汇总金额不一致的，以单价金额计算结果为准。</w:t>
      </w:r>
    </w:p>
    <w:p>
      <w:pPr>
        <w:tabs>
          <w:tab w:val="left" w:pos="640"/>
          <w:tab w:val="left" w:pos="1060"/>
        </w:tabs>
        <w:autoSpaceDE w:val="0"/>
        <w:autoSpaceDN w:val="0"/>
        <w:adjustRightInd w:val="0"/>
        <w:snapToGrid w:val="0"/>
        <w:spacing w:line="360" w:lineRule="auto"/>
        <w:ind w:left="638" w:leftChars="304"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同时出现两种以上不一致的，按照前款规定的顺序修正。</w:t>
      </w:r>
    </w:p>
    <w:p>
      <w:pPr>
        <w:numPr>
          <w:ilvl w:val="1"/>
          <w:numId w:val="35"/>
        </w:numPr>
        <w:adjustRightInd w:val="0"/>
        <w:snapToGrid w:val="0"/>
        <w:spacing w:line="360"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修正后的报价经投标人确认后产生约束力，投标人不确认的，其投标无效。</w:t>
      </w:r>
    </w:p>
    <w:p>
      <w:pPr>
        <w:numPr>
          <w:ilvl w:val="1"/>
          <w:numId w:val="35"/>
        </w:numPr>
        <w:adjustRightInd w:val="0"/>
        <w:snapToGrid w:val="0"/>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评标委员会认为投标人的报价明显低于其他通过符合性审查投标人的报价，有可能影响产品质量或者不能诚信履约的，要求其在评标现场规定的时间内提供书面说明，必要时提交相关证明材料；投标人不能证明其报价合理性的，评标委员会将其作为无效投标处理。</w:t>
      </w:r>
    </w:p>
    <w:p>
      <w:pPr>
        <w:numPr>
          <w:ilvl w:val="1"/>
          <w:numId w:val="35"/>
        </w:numPr>
        <w:adjustRightInd w:val="0"/>
        <w:snapToGrid w:val="0"/>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按下列第3点</w:t>
      </w:r>
      <w:r>
        <w:rPr>
          <w:rFonts w:hint="eastAsia" w:ascii="宋体" w:hAnsi="宋体" w:eastAsia="宋体" w:cs="宋体"/>
          <w:color w:val="auto"/>
          <w:sz w:val="21"/>
          <w:szCs w:val="21"/>
          <w:highlight w:val="none"/>
        </w:rPr>
        <w:t>小型和微型企业产品价格进行价格扣除。</w:t>
      </w:r>
    </w:p>
    <w:p>
      <w:pPr>
        <w:numPr>
          <w:ilvl w:val="0"/>
          <w:numId w:val="35"/>
        </w:numPr>
        <w:adjustRightInd w:val="0"/>
        <w:snapToGrid w:val="0"/>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综合评分法中的价格分统一采用低价优先法计算，即满足招标文件要求（通过资格性、符合性审查）且投标价格最低的有效投标报价（指价格核准后的价格，下同）为评标基准价，其价格分为满分。其他投标人的价格分统一按照下列公式计算：</w:t>
      </w:r>
    </w:p>
    <w:p>
      <w:pPr>
        <w:adjustRightInd w:val="0"/>
        <w:snapToGrid w:val="0"/>
        <w:spacing w:line="360" w:lineRule="auto"/>
        <w:ind w:firstLine="413" w:firstLineChars="196"/>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投标报价得分=(评标基准价/投标报价)×价格权值×100</w:t>
      </w:r>
    </w:p>
    <w:p>
      <w:pPr>
        <w:adjustRightInd w:val="0"/>
        <w:snapToGrid w:val="0"/>
        <w:spacing w:line="360" w:lineRule="auto"/>
        <w:ind w:firstLine="411" w:firstLineChars="196"/>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备注：投标报价得分四舍五入后，</w:t>
      </w:r>
      <w:r>
        <w:rPr>
          <w:rFonts w:hint="eastAsia" w:ascii="宋体" w:hAnsi="宋体" w:eastAsia="宋体" w:cs="宋体"/>
          <w:color w:val="auto"/>
          <w:sz w:val="21"/>
          <w:szCs w:val="21"/>
          <w:highlight w:val="none"/>
        </w:rPr>
        <w:t>小数点后保留两位有效数</w:t>
      </w:r>
      <w:r>
        <w:rPr>
          <w:rFonts w:hint="eastAsia" w:ascii="宋体" w:hAnsi="宋体" w:eastAsia="宋体" w:cs="宋体"/>
          <w:bCs/>
          <w:color w:val="auto"/>
          <w:sz w:val="21"/>
          <w:szCs w:val="21"/>
          <w:highlight w:val="none"/>
        </w:rPr>
        <w:t>；</w:t>
      </w:r>
    </w:p>
    <w:p>
      <w:pPr>
        <w:numPr>
          <w:ilvl w:val="0"/>
          <w:numId w:val="35"/>
        </w:num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小型和微型企业产品价格扣除</w:t>
      </w:r>
    </w:p>
    <w:p>
      <w:pPr>
        <w:numPr>
          <w:ilvl w:val="1"/>
          <w:numId w:val="35"/>
        </w:numPr>
        <w:adjustRightInd w:val="0"/>
        <w:snapToGrid w:val="0"/>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根据财政部、工业和信息化部印发的《政府采购促进中小企业发展暂行办法》（财库[2011]181号）的规定，对小型和微型企业产品的价格给予6%的扣除，用扣除后的价格参与评审； </w:t>
      </w:r>
    </w:p>
    <w:p>
      <w:pPr>
        <w:numPr>
          <w:ilvl w:val="1"/>
          <w:numId w:val="35"/>
        </w:numPr>
        <w:adjustRightInd w:val="0"/>
        <w:snapToGrid w:val="0"/>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《政府采购促进中小企业发展暂行办法》所称中小企业（含中型、小型、微型企业，下同）应当同时符合以下条件：</w:t>
      </w:r>
    </w:p>
    <w:p>
      <w:pPr>
        <w:numPr>
          <w:ilvl w:val="2"/>
          <w:numId w:val="35"/>
        </w:numPr>
        <w:adjustRightInd w:val="0"/>
        <w:snapToGrid w:val="0"/>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符合中小企业划分标准； </w:t>
      </w:r>
    </w:p>
    <w:p>
      <w:pPr>
        <w:numPr>
          <w:ilvl w:val="2"/>
          <w:numId w:val="35"/>
        </w:numPr>
        <w:adjustRightInd w:val="0"/>
        <w:snapToGrid w:val="0"/>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提供本企业制造的货物、承担的工程或者服务，或者提供其他中小企业制造的货物。本项所称货物不包括使用大型企业注册商标的货物。</w:t>
      </w:r>
    </w:p>
    <w:p>
      <w:pPr>
        <w:adjustRightInd w:val="0"/>
        <w:snapToGrid w:val="0"/>
        <w:spacing w:line="360" w:lineRule="auto"/>
        <w:ind w:left="735" w:leftChars="350"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中小企业划分标准以《工业和信息化部、国家统计局、国家发展和改革委员会、财政部关于印发中小企业划型标准规定的通知》（工信部联企业[2011]300号）规定的划分标准为准。</w:t>
      </w:r>
    </w:p>
    <w:p>
      <w:pPr>
        <w:adjustRightInd w:val="0"/>
        <w:snapToGrid w:val="0"/>
        <w:spacing w:line="360" w:lineRule="auto"/>
        <w:ind w:left="315" w:leftChars="150"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小型、微型企业提供中型企业制造的货物的，视同为中型企业。</w:t>
      </w:r>
    </w:p>
    <w:p>
      <w:pPr>
        <w:numPr>
          <w:ilvl w:val="1"/>
          <w:numId w:val="35"/>
        </w:numPr>
        <w:adjustRightInd w:val="0"/>
        <w:snapToGrid w:val="0"/>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参加政府采购活动的中小企业应当提供《中小企业声明函》（格式见第七章投标文件格式）</w:t>
      </w:r>
    </w:p>
    <w:p>
      <w:pPr>
        <w:adjustRightInd w:val="0"/>
        <w:snapToGrid w:val="0"/>
        <w:spacing w:line="360" w:lineRule="auto"/>
        <w:rPr>
          <w:rFonts w:hint="eastAsia" w:ascii="宋体" w:hAnsi="宋体"/>
          <w:bCs/>
          <w:color w:val="auto"/>
          <w:highlight w:val="none"/>
        </w:rPr>
      </w:pPr>
    </w:p>
    <w:p>
      <w:pPr>
        <w:spacing w:line="360" w:lineRule="auto"/>
        <w:ind w:left="588"/>
        <w:rPr>
          <w:rFonts w:hint="eastAsia" w:ascii="宋体" w:hAnsi="宋体"/>
          <w:b/>
          <w:color w:val="auto"/>
          <w:highlight w:val="none"/>
        </w:rPr>
        <w:sectPr>
          <w:pgSz w:w="11906" w:h="16838"/>
          <w:pgMar w:top="1440" w:right="1286" w:bottom="1440" w:left="1440" w:header="851" w:footer="992" w:gutter="0"/>
          <w:cols w:space="720" w:num="1"/>
          <w:docGrid w:type="lines" w:linePitch="312" w:charSpace="0"/>
        </w:sectPr>
      </w:pPr>
    </w:p>
    <w:p>
      <w:pPr>
        <w:snapToGrid w:val="0"/>
        <w:spacing w:line="360" w:lineRule="auto"/>
        <w:jc w:val="center"/>
        <w:outlineLvl w:val="0"/>
        <w:rPr>
          <w:rFonts w:hint="eastAsia"/>
          <w:b/>
          <w:bCs/>
          <w:color w:val="auto"/>
          <w:sz w:val="44"/>
          <w:szCs w:val="44"/>
          <w:highlight w:val="none"/>
        </w:rPr>
      </w:pPr>
      <w:bookmarkStart w:id="5" w:name="_Toc355879665"/>
    </w:p>
    <w:p>
      <w:pPr>
        <w:snapToGrid w:val="0"/>
        <w:spacing w:line="360" w:lineRule="auto"/>
        <w:jc w:val="center"/>
        <w:outlineLvl w:val="0"/>
        <w:rPr>
          <w:rFonts w:hint="eastAsia"/>
          <w:b/>
          <w:bCs/>
          <w:color w:val="auto"/>
          <w:sz w:val="44"/>
          <w:szCs w:val="44"/>
          <w:highlight w:val="none"/>
        </w:rPr>
      </w:pPr>
    </w:p>
    <w:p>
      <w:pPr>
        <w:snapToGrid w:val="0"/>
        <w:spacing w:line="360" w:lineRule="auto"/>
        <w:jc w:val="center"/>
        <w:outlineLvl w:val="0"/>
        <w:rPr>
          <w:rFonts w:hint="eastAsia"/>
          <w:b/>
          <w:bCs/>
          <w:color w:val="auto"/>
          <w:sz w:val="44"/>
          <w:szCs w:val="44"/>
          <w:highlight w:val="none"/>
        </w:rPr>
      </w:pPr>
    </w:p>
    <w:p>
      <w:pPr>
        <w:snapToGrid w:val="0"/>
        <w:spacing w:line="360" w:lineRule="auto"/>
        <w:jc w:val="center"/>
        <w:outlineLvl w:val="0"/>
        <w:rPr>
          <w:rFonts w:hint="eastAsia"/>
          <w:b/>
          <w:bCs/>
          <w:color w:val="auto"/>
          <w:sz w:val="44"/>
          <w:szCs w:val="44"/>
          <w:highlight w:val="none"/>
        </w:rPr>
      </w:pPr>
    </w:p>
    <w:p>
      <w:pPr>
        <w:snapToGrid w:val="0"/>
        <w:spacing w:line="360" w:lineRule="auto"/>
        <w:jc w:val="center"/>
        <w:outlineLvl w:val="0"/>
        <w:rPr>
          <w:rFonts w:hint="eastAsia"/>
          <w:b/>
          <w:bCs/>
          <w:color w:val="auto"/>
          <w:sz w:val="44"/>
          <w:szCs w:val="44"/>
          <w:highlight w:val="none"/>
        </w:rPr>
      </w:pPr>
    </w:p>
    <w:p>
      <w:pPr>
        <w:snapToGrid w:val="0"/>
        <w:spacing w:line="360" w:lineRule="auto"/>
        <w:jc w:val="center"/>
        <w:outlineLvl w:val="0"/>
        <w:rPr>
          <w:b/>
          <w:bCs/>
          <w:color w:val="auto"/>
          <w:sz w:val="44"/>
          <w:szCs w:val="44"/>
          <w:highlight w:val="none"/>
        </w:rPr>
      </w:pPr>
      <w:bookmarkStart w:id="6" w:name="_Toc16107"/>
      <w:r>
        <w:rPr>
          <w:rFonts w:hint="eastAsia"/>
          <w:b/>
          <w:bCs/>
          <w:color w:val="auto"/>
          <w:sz w:val="44"/>
          <w:szCs w:val="44"/>
          <w:highlight w:val="none"/>
        </w:rPr>
        <w:t>第五章</w:t>
      </w:r>
      <w:bookmarkEnd w:id="5"/>
      <w:bookmarkEnd w:id="6"/>
    </w:p>
    <w:p>
      <w:pPr>
        <w:snapToGrid w:val="0"/>
        <w:spacing w:line="360" w:lineRule="auto"/>
        <w:jc w:val="center"/>
        <w:outlineLvl w:val="0"/>
        <w:rPr>
          <w:b/>
          <w:bCs/>
          <w:color w:val="auto"/>
          <w:sz w:val="44"/>
          <w:szCs w:val="44"/>
          <w:highlight w:val="none"/>
        </w:rPr>
      </w:pPr>
      <w:bookmarkStart w:id="7" w:name="_Toc355879666"/>
      <w:bookmarkStart w:id="8" w:name="_Toc3070"/>
      <w:r>
        <w:rPr>
          <w:rFonts w:hint="eastAsia"/>
          <w:b/>
          <w:bCs/>
          <w:color w:val="auto"/>
          <w:sz w:val="44"/>
          <w:szCs w:val="44"/>
          <w:highlight w:val="none"/>
        </w:rPr>
        <w:t>投 标 人 须 知</w:t>
      </w:r>
      <w:bookmarkEnd w:id="7"/>
      <w:bookmarkEnd w:id="8"/>
    </w:p>
    <w:p>
      <w:pPr>
        <w:numPr>
          <w:ilvl w:val="0"/>
          <w:numId w:val="36"/>
        </w:numPr>
        <w:autoSpaceDE w:val="0"/>
        <w:autoSpaceDN w:val="0"/>
        <w:adjustRightInd w:val="0"/>
        <w:snapToGrid w:val="0"/>
        <w:spacing w:before="312" w:beforeLines="100" w:after="312" w:afterLines="100" w:line="360" w:lineRule="auto"/>
        <w:jc w:val="center"/>
        <w:outlineLvl w:val="0"/>
        <w:rPr>
          <w:rFonts w:ascii="宋体" w:hAnsi="宋体"/>
          <w:b/>
          <w:color w:val="auto"/>
          <w:sz w:val="28"/>
          <w:szCs w:val="28"/>
          <w:highlight w:val="none"/>
        </w:rPr>
      </w:pPr>
      <w:r>
        <w:rPr>
          <w:rFonts w:ascii="黑体" w:eastAsia="黑体" w:cs="黑体"/>
          <w:b/>
          <w:bCs/>
          <w:color w:val="auto"/>
          <w:sz w:val="52"/>
          <w:szCs w:val="52"/>
          <w:highlight w:val="none"/>
        </w:rPr>
        <w:br w:type="page"/>
      </w:r>
      <w:bookmarkStart w:id="9" w:name="_Toc355879667"/>
      <w:bookmarkStart w:id="10" w:name="_Toc29681"/>
      <w:r>
        <w:rPr>
          <w:rFonts w:ascii="宋体" w:hAnsi="宋体"/>
          <w:b/>
          <w:color w:val="auto"/>
          <w:sz w:val="28"/>
          <w:szCs w:val="28"/>
          <w:highlight w:val="none"/>
          <w:lang w:eastAsia="zh-TW"/>
        </w:rPr>
        <w:t>说 明</w:t>
      </w:r>
      <w:bookmarkEnd w:id="9"/>
      <w:bookmarkEnd w:id="10"/>
      <w:bookmarkStart w:id="11" w:name="_Toc292267791"/>
    </w:p>
    <w:bookmarkEnd w:id="11"/>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12" w:name="_Toc27715"/>
      <w:bookmarkStart w:id="13" w:name="_Toc355879668"/>
      <w:r>
        <w:rPr>
          <w:rFonts w:hint="eastAsia" w:ascii="宋体" w:hAnsi="宋体"/>
          <w:b/>
          <w:bCs/>
          <w:color w:val="auto"/>
          <w:szCs w:val="21"/>
          <w:highlight w:val="none"/>
        </w:rPr>
        <w:t>适用范围</w:t>
      </w:r>
      <w:bookmarkEnd w:id="12"/>
      <w:bookmarkEnd w:id="13"/>
    </w:p>
    <w:p>
      <w:pPr>
        <w:numPr>
          <w:ilvl w:val="1"/>
          <w:numId w:val="37"/>
        </w:numPr>
        <w:autoSpaceDE w:val="0"/>
        <w:autoSpaceDN w:val="0"/>
        <w:adjustRightInd w:val="0"/>
        <w:snapToGrid w:val="0"/>
        <w:spacing w:line="360" w:lineRule="auto"/>
        <w:jc w:val="left"/>
        <w:rPr>
          <w:rFonts w:hint="eastAsia" w:ascii="宋体" w:hAnsi="宋体"/>
          <w:b/>
          <w:bCs/>
          <w:color w:val="auto"/>
          <w:szCs w:val="21"/>
          <w:highlight w:val="none"/>
        </w:rPr>
      </w:pPr>
      <w:r>
        <w:rPr>
          <w:rFonts w:hint="eastAsia" w:ascii="宋体" w:hAnsi="宋体"/>
          <w:color w:val="auto"/>
          <w:szCs w:val="21"/>
          <w:highlight w:val="none"/>
        </w:rPr>
        <w:t>本招标文件适用于本投标邀请函中所述项目的招投标</w:t>
      </w:r>
      <w:r>
        <w:rPr>
          <w:rFonts w:ascii="宋体" w:hAnsi="宋体"/>
          <w:color w:val="auto"/>
          <w:szCs w:val="21"/>
          <w:highlight w:val="none"/>
        </w:rPr>
        <w:t>活动</w:t>
      </w:r>
      <w:r>
        <w:rPr>
          <w:rFonts w:hint="eastAsia" w:ascii="宋体" w:hAnsi="宋体"/>
          <w:color w:val="auto"/>
          <w:szCs w:val="21"/>
          <w:highlight w:val="none"/>
        </w:rPr>
        <w:t>。</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14" w:name="_Toc355879669"/>
      <w:bookmarkStart w:id="15" w:name="_Toc22967"/>
      <w:r>
        <w:rPr>
          <w:rFonts w:hint="eastAsia" w:ascii="宋体" w:hAnsi="宋体"/>
          <w:b/>
          <w:bCs/>
          <w:color w:val="auto"/>
          <w:szCs w:val="21"/>
          <w:highlight w:val="none"/>
        </w:rPr>
        <w:t>监管部门及招标采购单位</w:t>
      </w:r>
      <w:bookmarkEnd w:id="14"/>
      <w:bookmarkEnd w:id="15"/>
    </w:p>
    <w:p>
      <w:pPr>
        <w:numPr>
          <w:ilvl w:val="1"/>
          <w:numId w:val="37"/>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olor w:val="auto"/>
          <w:szCs w:val="21"/>
          <w:highlight w:val="none"/>
        </w:rPr>
        <w:t>监管部门指招标人或其上级主管单位纪律部门</w:t>
      </w:r>
      <w:r>
        <w:rPr>
          <w:rFonts w:hint="eastAsia" w:ascii="宋体" w:hAnsi="宋体" w:cs="宋体"/>
          <w:color w:val="auto"/>
          <w:szCs w:val="21"/>
          <w:highlight w:val="none"/>
        </w:rPr>
        <w:t>。</w:t>
      </w:r>
    </w:p>
    <w:p>
      <w:pPr>
        <w:numPr>
          <w:ilvl w:val="1"/>
          <w:numId w:val="37"/>
        </w:numPr>
        <w:autoSpaceDE w:val="0"/>
        <w:autoSpaceDN w:val="0"/>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招标采购单位</w:t>
      </w:r>
      <w:r>
        <w:rPr>
          <w:rFonts w:hint="eastAsia" w:ascii="宋体" w:hAnsi="宋体"/>
          <w:color w:val="auto"/>
          <w:szCs w:val="21"/>
          <w:highlight w:val="none"/>
        </w:rPr>
        <w:t>指招标人及招标代理机构。</w:t>
      </w:r>
    </w:p>
    <w:p>
      <w:pPr>
        <w:numPr>
          <w:ilvl w:val="1"/>
          <w:numId w:val="37"/>
        </w:numPr>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招标人指进行招标的单位，</w:t>
      </w:r>
      <w:r>
        <w:rPr>
          <w:rFonts w:hint="eastAsia" w:ascii="宋体" w:hAnsi="宋体" w:cs="宋体"/>
          <w:color w:val="auto"/>
          <w:szCs w:val="21"/>
          <w:highlight w:val="none"/>
          <w:lang w:eastAsia="zh-TW"/>
        </w:rPr>
        <w:t>本招标文件第</w:t>
      </w:r>
      <w:r>
        <w:rPr>
          <w:rFonts w:hint="eastAsia" w:ascii="宋体" w:hAnsi="宋体" w:cs="宋体"/>
          <w:color w:val="auto"/>
          <w:szCs w:val="21"/>
          <w:highlight w:val="none"/>
        </w:rPr>
        <w:t>二</w:t>
      </w:r>
      <w:r>
        <w:rPr>
          <w:rFonts w:hint="eastAsia" w:ascii="宋体" w:hAnsi="宋体" w:cs="宋体"/>
          <w:color w:val="auto"/>
          <w:szCs w:val="21"/>
          <w:highlight w:val="none"/>
          <w:lang w:eastAsia="zh-TW"/>
        </w:rPr>
        <w:t>章</w:t>
      </w:r>
      <w:r>
        <w:rPr>
          <w:rFonts w:hint="eastAsia" w:ascii="宋体" w:hAnsi="宋体" w:cs="黑体"/>
          <w:b/>
          <w:color w:val="auto"/>
          <w:szCs w:val="21"/>
          <w:highlight w:val="none"/>
          <w:lang w:eastAsia="zh-TW"/>
        </w:rPr>
        <w:t>投标资料表</w:t>
      </w:r>
      <w:r>
        <w:rPr>
          <w:rFonts w:hint="eastAsia" w:ascii="宋体" w:hAnsi="宋体" w:cs="宋体"/>
          <w:color w:val="auto"/>
          <w:szCs w:val="21"/>
          <w:highlight w:val="none"/>
          <w:lang w:eastAsia="zh-TW"/>
        </w:rPr>
        <w:t>中所述的招标人已拥有一笔</w:t>
      </w:r>
      <w:r>
        <w:rPr>
          <w:rFonts w:hint="eastAsia" w:ascii="宋体" w:hAnsi="宋体" w:cs="宋体"/>
          <w:color w:val="auto"/>
          <w:szCs w:val="21"/>
          <w:highlight w:val="none"/>
        </w:rPr>
        <w:t>非财政性的</w:t>
      </w:r>
      <w:r>
        <w:rPr>
          <w:rFonts w:hint="eastAsia" w:ascii="宋体" w:hAnsi="宋体" w:cs="宋体"/>
          <w:color w:val="auto"/>
          <w:szCs w:val="21"/>
          <w:highlight w:val="none"/>
          <w:lang w:eastAsia="zh-TW"/>
        </w:rPr>
        <w:t>资金。招标人计划将一部分</w:t>
      </w:r>
      <w:r>
        <w:rPr>
          <w:rFonts w:hint="eastAsia" w:ascii="宋体" w:hAnsi="宋体" w:cs="宋体"/>
          <w:color w:val="auto"/>
          <w:szCs w:val="21"/>
          <w:highlight w:val="none"/>
        </w:rPr>
        <w:t>或全部</w:t>
      </w:r>
      <w:r>
        <w:rPr>
          <w:rFonts w:hint="eastAsia" w:ascii="宋体" w:hAnsi="宋体" w:cs="宋体"/>
          <w:color w:val="auto"/>
          <w:szCs w:val="21"/>
          <w:highlight w:val="none"/>
          <w:lang w:eastAsia="zh-TW"/>
        </w:rPr>
        <w:t>资金用于支付本次</w:t>
      </w:r>
      <w:r>
        <w:rPr>
          <w:rFonts w:hint="eastAsia" w:ascii="宋体" w:hAnsi="宋体" w:cs="宋体"/>
          <w:color w:val="auto"/>
          <w:szCs w:val="21"/>
          <w:highlight w:val="none"/>
        </w:rPr>
        <w:t>采购</w:t>
      </w:r>
      <w:r>
        <w:rPr>
          <w:rFonts w:hint="eastAsia" w:ascii="宋体" w:hAnsi="宋体" w:cs="宋体"/>
          <w:color w:val="auto"/>
          <w:szCs w:val="21"/>
          <w:highlight w:val="none"/>
          <w:lang w:eastAsia="zh-TW"/>
        </w:rPr>
        <w:t>后所签订合同项下的款项</w:t>
      </w:r>
      <w:r>
        <w:rPr>
          <w:rFonts w:hint="eastAsia" w:ascii="宋体" w:hAnsi="宋体" w:cs="宋体"/>
          <w:color w:val="auto"/>
          <w:szCs w:val="21"/>
          <w:highlight w:val="none"/>
        </w:rPr>
        <w:t>。</w:t>
      </w:r>
    </w:p>
    <w:p>
      <w:pPr>
        <w:numPr>
          <w:ilvl w:val="1"/>
          <w:numId w:val="37"/>
        </w:numPr>
        <w:autoSpaceDE w:val="0"/>
        <w:autoSpaceDN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招标代理机构是指依法取得招标资格、从事招标代理业务并提供相关服务的专门机构。</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16" w:name="_Toc355879670"/>
      <w:bookmarkStart w:id="17" w:name="_Toc6479"/>
      <w:r>
        <w:rPr>
          <w:rFonts w:hint="eastAsia" w:ascii="宋体" w:hAnsi="宋体"/>
          <w:b/>
          <w:bCs/>
          <w:color w:val="auto"/>
          <w:szCs w:val="21"/>
          <w:highlight w:val="none"/>
        </w:rPr>
        <w:t>合格的投标人</w:t>
      </w:r>
      <w:bookmarkEnd w:id="16"/>
      <w:bookmarkEnd w:id="17"/>
    </w:p>
    <w:p>
      <w:pPr>
        <w:numPr>
          <w:ilvl w:val="1"/>
          <w:numId w:val="37"/>
        </w:numPr>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投标人是响应招标并且符合招标文件规定资格条件和参加投标竞争的法人、其他组织或者自然人。</w:t>
      </w:r>
    </w:p>
    <w:p>
      <w:pPr>
        <w:numPr>
          <w:ilvl w:val="1"/>
          <w:numId w:val="37"/>
        </w:numPr>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合格的投标人</w:t>
      </w:r>
    </w:p>
    <w:p>
      <w:pPr>
        <w:numPr>
          <w:ilvl w:val="2"/>
          <w:numId w:val="37"/>
        </w:numPr>
        <w:tabs>
          <w:tab w:val="left" w:pos="851"/>
        </w:tabs>
        <w:autoSpaceDE w:val="0"/>
        <w:autoSpaceDN w:val="0"/>
        <w:adjustRightInd w:val="0"/>
        <w:snapToGrid w:val="0"/>
        <w:spacing w:line="360" w:lineRule="auto"/>
        <w:rPr>
          <w:rFonts w:ascii="宋体" w:hAnsi="宋体"/>
          <w:color w:val="auto"/>
          <w:szCs w:val="21"/>
          <w:highlight w:val="none"/>
        </w:rPr>
      </w:pPr>
      <w:r>
        <w:rPr>
          <w:rFonts w:ascii="宋体" w:hAnsi="宋体"/>
          <w:color w:val="auto"/>
          <w:szCs w:val="21"/>
          <w:highlight w:val="none"/>
        </w:rPr>
        <w:t>具有独立承担民事责任的能力。</w:t>
      </w:r>
    </w:p>
    <w:p>
      <w:pPr>
        <w:numPr>
          <w:ilvl w:val="2"/>
          <w:numId w:val="37"/>
        </w:numPr>
        <w:tabs>
          <w:tab w:val="left" w:pos="851"/>
        </w:tabs>
        <w:autoSpaceDE w:val="0"/>
        <w:autoSpaceDN w:val="0"/>
        <w:adjustRightInd w:val="0"/>
        <w:snapToGrid w:val="0"/>
        <w:spacing w:line="360" w:lineRule="auto"/>
        <w:rPr>
          <w:rFonts w:hint="eastAsia" w:ascii="宋体" w:hAnsi="宋体"/>
          <w:color w:val="auto"/>
          <w:szCs w:val="21"/>
          <w:highlight w:val="none"/>
        </w:rPr>
      </w:pPr>
      <w:r>
        <w:rPr>
          <w:rFonts w:ascii="宋体" w:hAnsi="宋体"/>
          <w:color w:val="auto"/>
          <w:szCs w:val="21"/>
          <w:highlight w:val="none"/>
        </w:rPr>
        <w:t>具有良好的商业信誉和健全的财务会计制度</w:t>
      </w:r>
      <w:r>
        <w:rPr>
          <w:rFonts w:hint="eastAsia" w:ascii="宋体" w:hAnsi="宋体"/>
          <w:color w:val="auto"/>
          <w:szCs w:val="21"/>
          <w:highlight w:val="none"/>
        </w:rPr>
        <w:t>。</w:t>
      </w:r>
    </w:p>
    <w:p>
      <w:pPr>
        <w:numPr>
          <w:ilvl w:val="2"/>
          <w:numId w:val="37"/>
        </w:numPr>
        <w:tabs>
          <w:tab w:val="left" w:pos="851"/>
        </w:tabs>
        <w:autoSpaceDE w:val="0"/>
        <w:autoSpaceDN w:val="0"/>
        <w:adjustRightInd w:val="0"/>
        <w:snapToGrid w:val="0"/>
        <w:spacing w:line="360" w:lineRule="auto"/>
        <w:rPr>
          <w:rFonts w:hint="eastAsia" w:ascii="宋体" w:hAnsi="宋体"/>
          <w:color w:val="auto"/>
          <w:szCs w:val="21"/>
          <w:highlight w:val="none"/>
        </w:rPr>
      </w:pPr>
      <w:r>
        <w:rPr>
          <w:rFonts w:ascii="宋体" w:hAnsi="宋体"/>
          <w:color w:val="auto"/>
          <w:szCs w:val="21"/>
          <w:highlight w:val="none"/>
        </w:rPr>
        <w:t>具有履行合同所必需的设备和专业技术能力</w:t>
      </w:r>
      <w:r>
        <w:rPr>
          <w:rFonts w:hint="eastAsia" w:ascii="宋体" w:hAnsi="宋体"/>
          <w:color w:val="auto"/>
          <w:szCs w:val="21"/>
          <w:highlight w:val="none"/>
        </w:rPr>
        <w:t>。</w:t>
      </w:r>
    </w:p>
    <w:p>
      <w:pPr>
        <w:numPr>
          <w:ilvl w:val="2"/>
          <w:numId w:val="37"/>
        </w:numPr>
        <w:tabs>
          <w:tab w:val="left" w:pos="851"/>
        </w:tabs>
        <w:autoSpaceDE w:val="0"/>
        <w:autoSpaceDN w:val="0"/>
        <w:adjustRightInd w:val="0"/>
        <w:snapToGrid w:val="0"/>
        <w:spacing w:line="360" w:lineRule="auto"/>
        <w:rPr>
          <w:rFonts w:hint="eastAsia" w:ascii="宋体" w:hAnsi="宋体"/>
          <w:color w:val="auto"/>
          <w:szCs w:val="21"/>
          <w:highlight w:val="none"/>
        </w:rPr>
      </w:pPr>
      <w:r>
        <w:rPr>
          <w:rFonts w:ascii="宋体" w:hAnsi="宋体"/>
          <w:color w:val="auto"/>
          <w:szCs w:val="21"/>
          <w:highlight w:val="none"/>
        </w:rPr>
        <w:t>有依法缴纳税收和社会保障资金的良好记录</w:t>
      </w:r>
      <w:r>
        <w:rPr>
          <w:rFonts w:hint="eastAsia" w:ascii="宋体" w:hAnsi="宋体"/>
          <w:color w:val="auto"/>
          <w:szCs w:val="21"/>
          <w:highlight w:val="none"/>
        </w:rPr>
        <w:t>。</w:t>
      </w:r>
    </w:p>
    <w:p>
      <w:pPr>
        <w:numPr>
          <w:ilvl w:val="2"/>
          <w:numId w:val="37"/>
        </w:numPr>
        <w:tabs>
          <w:tab w:val="left" w:pos="851"/>
        </w:tabs>
        <w:autoSpaceDE w:val="0"/>
        <w:autoSpaceDN w:val="0"/>
        <w:adjustRightInd w:val="0"/>
        <w:snapToGrid w:val="0"/>
        <w:spacing w:line="360" w:lineRule="auto"/>
        <w:rPr>
          <w:rFonts w:hint="eastAsia" w:ascii="宋体" w:hAnsi="宋体"/>
          <w:color w:val="auto"/>
          <w:szCs w:val="21"/>
          <w:highlight w:val="none"/>
        </w:rPr>
      </w:pPr>
      <w:r>
        <w:rPr>
          <w:rFonts w:ascii="宋体" w:hAnsi="宋体"/>
          <w:color w:val="auto"/>
          <w:szCs w:val="21"/>
          <w:highlight w:val="none"/>
        </w:rPr>
        <w:t>参加政府采购活动前三年内，在经营活动中没有重大违法记录</w:t>
      </w:r>
      <w:r>
        <w:rPr>
          <w:rFonts w:hint="eastAsia" w:ascii="宋体" w:hAnsi="宋体"/>
          <w:color w:val="auto"/>
          <w:szCs w:val="21"/>
          <w:highlight w:val="none"/>
        </w:rPr>
        <w:t>。</w:t>
      </w:r>
    </w:p>
    <w:p>
      <w:pPr>
        <w:numPr>
          <w:ilvl w:val="2"/>
          <w:numId w:val="37"/>
        </w:numPr>
        <w:tabs>
          <w:tab w:val="left" w:pos="851"/>
        </w:tabs>
        <w:autoSpaceDE w:val="0"/>
        <w:autoSpaceDN w:val="0"/>
        <w:adjustRightInd w:val="0"/>
        <w:snapToGrid w:val="0"/>
        <w:spacing w:line="360" w:lineRule="auto"/>
        <w:rPr>
          <w:rFonts w:hint="eastAsia" w:ascii="宋体" w:hAnsi="宋体"/>
          <w:color w:val="auto"/>
          <w:szCs w:val="21"/>
          <w:highlight w:val="none"/>
        </w:rPr>
      </w:pPr>
      <w:r>
        <w:rPr>
          <w:rFonts w:ascii="宋体" w:hAnsi="宋体"/>
          <w:color w:val="auto"/>
          <w:szCs w:val="21"/>
          <w:highlight w:val="none"/>
        </w:rPr>
        <w:t>法律、行政法规规定的其他条件</w:t>
      </w:r>
      <w:r>
        <w:rPr>
          <w:rFonts w:hint="eastAsia" w:ascii="宋体" w:hAnsi="宋体"/>
          <w:color w:val="auto"/>
          <w:szCs w:val="21"/>
          <w:highlight w:val="none"/>
        </w:rPr>
        <w:t>。</w:t>
      </w:r>
    </w:p>
    <w:p>
      <w:pPr>
        <w:numPr>
          <w:ilvl w:val="2"/>
          <w:numId w:val="37"/>
        </w:numPr>
        <w:tabs>
          <w:tab w:val="left" w:pos="851"/>
          <w:tab w:val="left" w:pos="1260"/>
          <w:tab w:val="clear" w:pos="1135"/>
        </w:tabs>
        <w:autoSpaceDE w:val="0"/>
        <w:autoSpaceDN w:val="0"/>
        <w:adjustRightInd w:val="0"/>
        <w:snapToGrid w:val="0"/>
        <w:spacing w:line="360" w:lineRule="auto"/>
        <w:ind w:left="1260" w:hanging="692"/>
        <w:rPr>
          <w:rFonts w:hint="eastAsia" w:ascii="宋体" w:hAnsi="宋体"/>
          <w:color w:val="auto"/>
          <w:szCs w:val="21"/>
          <w:highlight w:val="none"/>
        </w:rPr>
      </w:pPr>
      <w:r>
        <w:rPr>
          <w:rFonts w:hint="eastAsia" w:ascii="宋体" w:hAnsi="宋体"/>
          <w:color w:val="auto"/>
          <w:szCs w:val="21"/>
          <w:highlight w:val="none"/>
        </w:rPr>
        <w:t>只有在法律上和财务上独立、合法运作并独立于招标人和招标代理机构的供货商才  能参加投标。</w:t>
      </w:r>
    </w:p>
    <w:p>
      <w:pPr>
        <w:numPr>
          <w:ilvl w:val="2"/>
          <w:numId w:val="37"/>
        </w:numPr>
        <w:tabs>
          <w:tab w:val="left" w:pos="851"/>
        </w:tabs>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符合</w:t>
      </w:r>
      <w:r>
        <w:rPr>
          <w:rFonts w:hint="eastAsia" w:ascii="宋体" w:hAnsi="宋体" w:cs="黑体"/>
          <w:color w:val="auto"/>
          <w:szCs w:val="21"/>
          <w:highlight w:val="none"/>
        </w:rPr>
        <w:t>第一章投标邀请函“合格投标人资格要求”</w:t>
      </w:r>
      <w:r>
        <w:rPr>
          <w:rFonts w:hint="eastAsia" w:ascii="宋体" w:hAnsi="宋体"/>
          <w:color w:val="auto"/>
          <w:szCs w:val="21"/>
          <w:highlight w:val="none"/>
        </w:rPr>
        <w:t>的特殊条款</w:t>
      </w:r>
      <w:r>
        <w:rPr>
          <w:rFonts w:hint="eastAsia" w:ascii="宋体" w:hAnsi="宋体" w:cs="黑体"/>
          <w:color w:val="auto"/>
          <w:szCs w:val="21"/>
          <w:highlight w:val="none"/>
        </w:rPr>
        <w:t>。</w:t>
      </w:r>
    </w:p>
    <w:p>
      <w:pPr>
        <w:numPr>
          <w:ilvl w:val="1"/>
          <w:numId w:val="37"/>
        </w:numPr>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中标人是指经法定程序确定并授予合同的投标人。</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18" w:name="_Toc322096862"/>
      <w:bookmarkStart w:id="19" w:name="_Toc24857"/>
      <w:r>
        <w:rPr>
          <w:rFonts w:hint="eastAsia" w:ascii="宋体" w:hAnsi="宋体"/>
          <w:b/>
          <w:bCs/>
          <w:color w:val="auto"/>
          <w:szCs w:val="21"/>
          <w:highlight w:val="none"/>
        </w:rPr>
        <w:t>合格的服务和货物</w:t>
      </w:r>
      <w:bookmarkEnd w:id="18"/>
      <w:bookmarkEnd w:id="19"/>
    </w:p>
    <w:p>
      <w:pPr>
        <w:numPr>
          <w:ilvl w:val="1"/>
          <w:numId w:val="37"/>
        </w:numPr>
        <w:tabs>
          <w:tab w:val="left" w:pos="540"/>
        </w:tabs>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“服务”是指投标人按招标文件规定完成的全部服务内容，其中包括完成服务所需的货物，及须承担的技术支持、培训和其它伴随服务。</w:t>
      </w:r>
    </w:p>
    <w:p>
      <w:pPr>
        <w:numPr>
          <w:ilvl w:val="1"/>
          <w:numId w:val="37"/>
        </w:numPr>
        <w:tabs>
          <w:tab w:val="left" w:pos="540"/>
        </w:tabs>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货物”是指投标人制造或组织符合招标文件要求的货物等。投标的货物必须是其合法生产、合法来源的符合国家有关标准要求的货物，并满足招标文件规定的规格、参数、质量、价格、有效期、售后服务等要求。</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20" w:name="_Toc355879672"/>
      <w:bookmarkStart w:id="21" w:name="_Toc23223"/>
      <w:r>
        <w:rPr>
          <w:rFonts w:hint="eastAsia" w:ascii="宋体" w:hAnsi="宋体"/>
          <w:b/>
          <w:bCs/>
          <w:color w:val="auto"/>
          <w:szCs w:val="21"/>
          <w:highlight w:val="none"/>
        </w:rPr>
        <w:t>投标费用</w:t>
      </w:r>
      <w:bookmarkEnd w:id="20"/>
      <w:bookmarkEnd w:id="21"/>
    </w:p>
    <w:p>
      <w:pPr>
        <w:numPr>
          <w:ilvl w:val="1"/>
          <w:numId w:val="37"/>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lang w:eastAsia="zh-TW"/>
        </w:rPr>
        <w:t>投标人应承担所有与准备和参加投标有关的费用。不论投标的结果如何</w:t>
      </w:r>
      <w:r>
        <w:rPr>
          <w:rFonts w:hint="eastAsia" w:ascii="宋体" w:hAnsi="宋体" w:cs="宋体"/>
          <w:color w:val="auto"/>
          <w:szCs w:val="21"/>
          <w:highlight w:val="none"/>
        </w:rPr>
        <w:t>，</w:t>
      </w:r>
      <w:r>
        <w:rPr>
          <w:rFonts w:hint="eastAsia" w:ascii="宋体" w:hAnsi="宋体" w:cs="宋体"/>
          <w:color w:val="auto"/>
          <w:szCs w:val="21"/>
          <w:highlight w:val="none"/>
          <w:lang w:eastAsia="zh-TW"/>
        </w:rPr>
        <w:t>招标采购单位均无义务和责任承担这些费用</w:t>
      </w:r>
      <w:r>
        <w:rPr>
          <w:rFonts w:hint="eastAsia" w:ascii="宋体" w:hAnsi="宋体" w:cs="宋体"/>
          <w:color w:val="auto"/>
          <w:szCs w:val="21"/>
          <w:highlight w:val="none"/>
        </w:rPr>
        <w:t>。</w:t>
      </w:r>
    </w:p>
    <w:p>
      <w:pPr>
        <w:numPr>
          <w:ilvl w:val="0"/>
          <w:numId w:val="36"/>
        </w:numPr>
        <w:autoSpaceDE w:val="0"/>
        <w:autoSpaceDN w:val="0"/>
        <w:adjustRightInd w:val="0"/>
        <w:snapToGrid w:val="0"/>
        <w:spacing w:before="312" w:beforeLines="100" w:after="312" w:afterLines="100" w:line="360" w:lineRule="auto"/>
        <w:jc w:val="center"/>
        <w:outlineLvl w:val="0"/>
        <w:rPr>
          <w:rFonts w:ascii="宋体" w:hAnsi="宋体"/>
          <w:b/>
          <w:color w:val="auto"/>
          <w:sz w:val="28"/>
          <w:szCs w:val="28"/>
          <w:highlight w:val="none"/>
          <w:lang w:eastAsia="zh-TW"/>
        </w:rPr>
      </w:pPr>
      <w:bookmarkStart w:id="22" w:name="_Toc3292"/>
      <w:r>
        <w:rPr>
          <w:rFonts w:hint="eastAsia" w:ascii="宋体" w:hAnsi="宋体"/>
          <w:b/>
          <w:color w:val="auto"/>
          <w:sz w:val="28"/>
          <w:szCs w:val="28"/>
          <w:highlight w:val="none"/>
          <w:lang w:eastAsia="zh-TW"/>
        </w:rPr>
        <w:t>招标文件</w:t>
      </w:r>
      <w:bookmarkEnd w:id="22"/>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23" w:name="_Toc355879674"/>
      <w:bookmarkStart w:id="24" w:name="_Toc9125"/>
      <w:r>
        <w:rPr>
          <w:rFonts w:hint="eastAsia" w:ascii="宋体" w:hAnsi="宋体"/>
          <w:b/>
          <w:bCs/>
          <w:color w:val="auto"/>
          <w:szCs w:val="21"/>
          <w:highlight w:val="none"/>
        </w:rPr>
        <w:t>招标文件的编制依据与构成</w:t>
      </w:r>
      <w:bookmarkEnd w:id="23"/>
      <w:bookmarkEnd w:id="24"/>
    </w:p>
    <w:p>
      <w:pPr>
        <w:numPr>
          <w:ilvl w:val="1"/>
          <w:numId w:val="37"/>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olor w:val="auto"/>
          <w:szCs w:val="21"/>
          <w:highlight w:val="none"/>
        </w:rPr>
        <w:t>本招标文件的编制参照《中华人民共和国招标投标法》、《中华人民共和国政府采购法》。</w:t>
      </w:r>
    </w:p>
    <w:p>
      <w:pPr>
        <w:numPr>
          <w:ilvl w:val="1"/>
          <w:numId w:val="37"/>
        </w:numPr>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lang w:eastAsia="zh-TW"/>
        </w:rPr>
        <w:t>要求提供的货物、</w:t>
      </w:r>
      <w:r>
        <w:rPr>
          <w:rFonts w:hint="eastAsia" w:ascii="宋体" w:hAnsi="宋体" w:cs="宋体"/>
          <w:color w:val="auto"/>
          <w:szCs w:val="21"/>
          <w:highlight w:val="none"/>
        </w:rPr>
        <w:t>采购</w:t>
      </w:r>
      <w:r>
        <w:rPr>
          <w:rFonts w:hint="eastAsia" w:ascii="宋体" w:hAnsi="宋体" w:cs="宋体"/>
          <w:color w:val="auto"/>
          <w:szCs w:val="21"/>
          <w:highlight w:val="none"/>
          <w:lang w:eastAsia="zh-TW"/>
        </w:rPr>
        <w:t>过程和合同条件在招标文件中均有说明。招标文件以中文文字编写。</w:t>
      </w:r>
    </w:p>
    <w:p>
      <w:pPr>
        <w:snapToGrid w:val="0"/>
        <w:spacing w:line="360" w:lineRule="auto"/>
        <w:ind w:left="571" w:leftChars="272"/>
        <w:rPr>
          <w:rFonts w:ascii="宋体" w:hAnsi="宋体"/>
          <w:color w:val="auto"/>
          <w:szCs w:val="21"/>
          <w:highlight w:val="none"/>
        </w:rPr>
      </w:pPr>
      <w:r>
        <w:rPr>
          <w:rFonts w:hint="eastAsia" w:ascii="宋体" w:hAnsi="宋体" w:cs="宋体"/>
          <w:color w:val="auto"/>
          <w:szCs w:val="21"/>
          <w:highlight w:val="none"/>
          <w:lang w:eastAsia="zh-TW"/>
        </w:rPr>
        <w:t>招标文件共</w:t>
      </w:r>
      <w:r>
        <w:rPr>
          <w:rFonts w:hint="eastAsia" w:ascii="宋体" w:hAnsi="宋体" w:cs="宋体"/>
          <w:color w:val="auto"/>
          <w:szCs w:val="21"/>
          <w:highlight w:val="none"/>
        </w:rPr>
        <w:t>七</w:t>
      </w:r>
      <w:r>
        <w:rPr>
          <w:rFonts w:hint="eastAsia" w:ascii="宋体" w:hAnsi="宋体" w:cs="宋体"/>
          <w:color w:val="auto"/>
          <w:szCs w:val="21"/>
          <w:highlight w:val="none"/>
          <w:lang w:eastAsia="zh-TW"/>
        </w:rPr>
        <w:t>章</w:t>
      </w:r>
      <w:r>
        <w:rPr>
          <w:rFonts w:hint="eastAsia" w:ascii="宋体" w:hAnsi="宋体" w:cs="宋体"/>
          <w:color w:val="auto"/>
          <w:szCs w:val="21"/>
          <w:highlight w:val="none"/>
        </w:rPr>
        <w:t>，由下列文件以及在招标过程中发出的澄清、修改和补充文件组成，</w:t>
      </w:r>
      <w:r>
        <w:rPr>
          <w:rFonts w:hint="eastAsia" w:ascii="宋体" w:hAnsi="宋体" w:cs="宋体"/>
          <w:color w:val="auto"/>
          <w:szCs w:val="21"/>
          <w:highlight w:val="none"/>
          <w:lang w:eastAsia="zh-TW"/>
        </w:rPr>
        <w:t>内容如下</w:t>
      </w:r>
      <w:r>
        <w:rPr>
          <w:rFonts w:hint="eastAsia" w:ascii="宋体" w:hAnsi="宋体" w:cs="宋体"/>
          <w:color w:val="auto"/>
          <w:szCs w:val="21"/>
          <w:highlight w:val="none"/>
        </w:rPr>
        <w:t>：</w:t>
      </w:r>
    </w:p>
    <w:p>
      <w:pPr>
        <w:snapToGrid w:val="0"/>
        <w:spacing w:line="360" w:lineRule="auto"/>
        <w:ind w:left="445" w:leftChars="212" w:firstLine="143"/>
        <w:rPr>
          <w:rFonts w:ascii="宋体" w:hAnsi="宋体"/>
          <w:color w:val="auto"/>
          <w:szCs w:val="21"/>
          <w:highlight w:val="none"/>
        </w:rPr>
      </w:pPr>
      <w:r>
        <w:rPr>
          <w:rFonts w:hint="eastAsia" w:ascii="宋体" w:hAnsi="宋体" w:cs="宋体"/>
          <w:color w:val="auto"/>
          <w:szCs w:val="21"/>
          <w:highlight w:val="none"/>
          <w:lang w:eastAsia="zh-TW"/>
        </w:rPr>
        <w:t>第一章</w:t>
      </w:r>
      <w:r>
        <w:rPr>
          <w:rFonts w:hint="eastAsia" w:ascii="宋体" w:hAnsi="宋体" w:cs="宋体"/>
          <w:color w:val="auto"/>
          <w:szCs w:val="21"/>
          <w:highlight w:val="none"/>
        </w:rPr>
        <w:t>　</w:t>
      </w:r>
      <w:r>
        <w:rPr>
          <w:rFonts w:hint="eastAsia" w:ascii="宋体" w:hAnsi="宋体" w:cs="宋体"/>
          <w:color w:val="auto"/>
          <w:szCs w:val="21"/>
          <w:highlight w:val="none"/>
          <w:lang w:eastAsia="zh-TW"/>
        </w:rPr>
        <w:t>投标邀请函</w:t>
      </w:r>
    </w:p>
    <w:p>
      <w:pPr>
        <w:snapToGrid w:val="0"/>
        <w:spacing w:line="360" w:lineRule="auto"/>
        <w:ind w:left="688" w:leftChars="270" w:hanging="121"/>
        <w:rPr>
          <w:rFonts w:ascii="宋体" w:hAnsi="宋体"/>
          <w:color w:val="auto"/>
          <w:szCs w:val="21"/>
          <w:highlight w:val="none"/>
        </w:rPr>
      </w:pPr>
      <w:r>
        <w:rPr>
          <w:rFonts w:hint="eastAsia" w:ascii="宋体" w:hAnsi="宋体" w:cs="宋体"/>
          <w:color w:val="auto"/>
          <w:szCs w:val="21"/>
          <w:highlight w:val="none"/>
          <w:lang w:eastAsia="zh-TW"/>
        </w:rPr>
        <w:t>第二章</w:t>
      </w:r>
      <w:r>
        <w:rPr>
          <w:rFonts w:hint="eastAsia" w:ascii="宋体" w:hAnsi="宋体" w:cs="宋体"/>
          <w:color w:val="auto"/>
          <w:szCs w:val="21"/>
          <w:highlight w:val="none"/>
        </w:rPr>
        <w:t>　</w:t>
      </w:r>
      <w:r>
        <w:rPr>
          <w:rFonts w:hint="eastAsia" w:ascii="宋体" w:hAnsi="宋体" w:cs="宋体"/>
          <w:color w:val="auto"/>
          <w:szCs w:val="21"/>
          <w:highlight w:val="none"/>
          <w:lang w:eastAsia="zh-TW"/>
        </w:rPr>
        <w:t>投标资料表</w:t>
      </w:r>
    </w:p>
    <w:p>
      <w:pPr>
        <w:snapToGrid w:val="0"/>
        <w:spacing w:line="360" w:lineRule="auto"/>
        <w:ind w:left="688" w:leftChars="270" w:hanging="121"/>
        <w:rPr>
          <w:rFonts w:hint="eastAsia" w:ascii="宋体" w:hAnsi="宋体"/>
          <w:color w:val="auto"/>
          <w:szCs w:val="21"/>
          <w:highlight w:val="none"/>
        </w:rPr>
      </w:pPr>
      <w:r>
        <w:rPr>
          <w:rFonts w:hint="eastAsia" w:ascii="宋体" w:hAnsi="宋体" w:cs="宋体"/>
          <w:color w:val="auto"/>
          <w:szCs w:val="21"/>
          <w:highlight w:val="none"/>
          <w:lang w:eastAsia="zh-TW"/>
        </w:rPr>
        <w:t>第</w:t>
      </w:r>
      <w:r>
        <w:rPr>
          <w:rFonts w:hint="eastAsia" w:ascii="宋体" w:hAnsi="宋体" w:cs="宋体"/>
          <w:color w:val="auto"/>
          <w:szCs w:val="21"/>
          <w:highlight w:val="none"/>
        </w:rPr>
        <w:t>三</w:t>
      </w:r>
      <w:r>
        <w:rPr>
          <w:rFonts w:hint="eastAsia" w:ascii="宋体" w:hAnsi="宋体" w:cs="宋体"/>
          <w:color w:val="auto"/>
          <w:szCs w:val="21"/>
          <w:highlight w:val="none"/>
          <w:lang w:eastAsia="zh-TW"/>
        </w:rPr>
        <w:t>章</w:t>
      </w:r>
      <w:r>
        <w:rPr>
          <w:rFonts w:hint="eastAsia" w:ascii="宋体" w:hAnsi="宋体" w:cs="宋体"/>
          <w:color w:val="auto"/>
          <w:szCs w:val="21"/>
          <w:highlight w:val="none"/>
        </w:rPr>
        <w:t>　</w:t>
      </w:r>
      <w:r>
        <w:rPr>
          <w:rFonts w:hint="eastAsia" w:ascii="宋体" w:hAnsi="宋体" w:cs="宋体"/>
          <w:color w:val="auto"/>
          <w:szCs w:val="21"/>
          <w:highlight w:val="none"/>
          <w:lang w:eastAsia="zh-TW"/>
        </w:rPr>
        <w:t>用户需求书</w:t>
      </w:r>
    </w:p>
    <w:p>
      <w:pPr>
        <w:snapToGrid w:val="0"/>
        <w:spacing w:line="360" w:lineRule="auto"/>
        <w:ind w:left="688" w:leftChars="270" w:hanging="121"/>
        <w:rPr>
          <w:rFonts w:ascii="宋体" w:hAnsi="宋体"/>
          <w:color w:val="auto"/>
          <w:szCs w:val="21"/>
          <w:highlight w:val="none"/>
        </w:rPr>
      </w:pPr>
      <w:r>
        <w:rPr>
          <w:rFonts w:hint="eastAsia" w:ascii="宋体" w:hAnsi="宋体" w:cs="宋体"/>
          <w:color w:val="auto"/>
          <w:szCs w:val="21"/>
          <w:highlight w:val="none"/>
          <w:lang w:eastAsia="zh-TW"/>
        </w:rPr>
        <w:t>第</w:t>
      </w:r>
      <w:r>
        <w:rPr>
          <w:rFonts w:hint="eastAsia" w:ascii="宋体" w:hAnsi="宋体" w:cs="宋体"/>
          <w:color w:val="auto"/>
          <w:szCs w:val="21"/>
          <w:highlight w:val="none"/>
        </w:rPr>
        <w:t>四</w:t>
      </w:r>
      <w:r>
        <w:rPr>
          <w:rFonts w:hint="eastAsia" w:ascii="宋体" w:hAnsi="宋体" w:cs="宋体"/>
          <w:color w:val="auto"/>
          <w:szCs w:val="21"/>
          <w:highlight w:val="none"/>
          <w:lang w:eastAsia="zh-TW"/>
        </w:rPr>
        <w:t>章</w:t>
      </w:r>
      <w:r>
        <w:rPr>
          <w:rFonts w:hint="eastAsia" w:ascii="宋体" w:hAnsi="宋体" w:cs="宋体"/>
          <w:color w:val="auto"/>
          <w:szCs w:val="21"/>
          <w:highlight w:val="none"/>
        </w:rPr>
        <w:t>　</w:t>
      </w:r>
      <w:r>
        <w:rPr>
          <w:rFonts w:hint="eastAsia" w:ascii="宋体" w:hAnsi="宋体" w:cs="宋体"/>
          <w:color w:val="auto"/>
          <w:szCs w:val="21"/>
          <w:highlight w:val="none"/>
          <w:lang w:eastAsia="zh-TW"/>
        </w:rPr>
        <w:t>评分</w:t>
      </w:r>
      <w:r>
        <w:rPr>
          <w:rFonts w:hint="eastAsia" w:ascii="宋体" w:hAnsi="宋体" w:cs="宋体"/>
          <w:color w:val="auto"/>
          <w:szCs w:val="21"/>
          <w:highlight w:val="none"/>
        </w:rPr>
        <w:t>体系</w:t>
      </w:r>
      <w:r>
        <w:rPr>
          <w:rFonts w:hint="eastAsia" w:ascii="宋体" w:hAnsi="宋体" w:cs="宋体"/>
          <w:color w:val="auto"/>
          <w:szCs w:val="21"/>
          <w:highlight w:val="none"/>
          <w:lang w:eastAsia="zh-TW"/>
        </w:rPr>
        <w:t>和标准</w:t>
      </w:r>
    </w:p>
    <w:p>
      <w:pPr>
        <w:snapToGrid w:val="0"/>
        <w:spacing w:line="360" w:lineRule="auto"/>
        <w:ind w:left="688" w:leftChars="270" w:hanging="121"/>
        <w:rPr>
          <w:rFonts w:ascii="宋体" w:hAnsi="宋体"/>
          <w:color w:val="auto"/>
          <w:szCs w:val="21"/>
          <w:highlight w:val="none"/>
        </w:rPr>
      </w:pPr>
      <w:r>
        <w:rPr>
          <w:rFonts w:hint="eastAsia" w:ascii="宋体" w:hAnsi="宋体" w:cs="宋体"/>
          <w:color w:val="auto"/>
          <w:szCs w:val="21"/>
          <w:highlight w:val="none"/>
          <w:lang w:eastAsia="zh-TW"/>
        </w:rPr>
        <w:t>第</w:t>
      </w:r>
      <w:r>
        <w:rPr>
          <w:rFonts w:hint="eastAsia" w:ascii="宋体" w:hAnsi="宋体" w:cs="宋体"/>
          <w:color w:val="auto"/>
          <w:szCs w:val="21"/>
          <w:highlight w:val="none"/>
        </w:rPr>
        <w:t>五</w:t>
      </w:r>
      <w:r>
        <w:rPr>
          <w:rFonts w:hint="eastAsia" w:ascii="宋体" w:hAnsi="宋体" w:cs="宋体"/>
          <w:color w:val="auto"/>
          <w:szCs w:val="21"/>
          <w:highlight w:val="none"/>
          <w:lang w:eastAsia="zh-TW"/>
        </w:rPr>
        <w:t>章</w:t>
      </w:r>
      <w:r>
        <w:rPr>
          <w:rFonts w:hint="eastAsia" w:ascii="宋体" w:hAnsi="宋体" w:cs="宋体"/>
          <w:color w:val="auto"/>
          <w:szCs w:val="21"/>
          <w:highlight w:val="none"/>
        </w:rPr>
        <w:t>　</w:t>
      </w:r>
      <w:r>
        <w:rPr>
          <w:rFonts w:hint="eastAsia" w:ascii="宋体" w:hAnsi="宋体" w:cs="宋体"/>
          <w:color w:val="auto"/>
          <w:szCs w:val="21"/>
          <w:highlight w:val="none"/>
          <w:lang w:eastAsia="zh-TW"/>
        </w:rPr>
        <w:t>投标人须知</w:t>
      </w:r>
    </w:p>
    <w:p>
      <w:pPr>
        <w:snapToGrid w:val="0"/>
        <w:spacing w:line="360" w:lineRule="auto"/>
        <w:ind w:left="688" w:leftChars="270" w:hanging="121"/>
        <w:rPr>
          <w:rFonts w:hint="eastAsia" w:ascii="宋体" w:hAnsi="宋体" w:cs="宋体"/>
          <w:color w:val="auto"/>
          <w:szCs w:val="21"/>
          <w:highlight w:val="none"/>
        </w:rPr>
      </w:pPr>
      <w:r>
        <w:rPr>
          <w:rFonts w:hint="eastAsia" w:ascii="宋体" w:hAnsi="宋体" w:cs="宋体"/>
          <w:color w:val="auto"/>
          <w:szCs w:val="21"/>
          <w:highlight w:val="none"/>
          <w:lang w:eastAsia="zh-TW"/>
        </w:rPr>
        <w:t>第</w:t>
      </w:r>
      <w:r>
        <w:rPr>
          <w:rFonts w:hint="eastAsia" w:ascii="宋体" w:hAnsi="宋体" w:cs="宋体"/>
          <w:color w:val="auto"/>
          <w:szCs w:val="21"/>
          <w:highlight w:val="none"/>
        </w:rPr>
        <w:t>六</w:t>
      </w:r>
      <w:r>
        <w:rPr>
          <w:rFonts w:hint="eastAsia" w:ascii="宋体" w:hAnsi="宋体" w:cs="宋体"/>
          <w:color w:val="auto"/>
          <w:szCs w:val="21"/>
          <w:highlight w:val="none"/>
          <w:lang w:eastAsia="zh-TW"/>
        </w:rPr>
        <w:t>章</w:t>
      </w:r>
      <w:r>
        <w:rPr>
          <w:rFonts w:hint="eastAsia" w:ascii="宋体" w:hAnsi="宋体" w:cs="宋体"/>
          <w:color w:val="auto"/>
          <w:szCs w:val="21"/>
          <w:highlight w:val="none"/>
        </w:rPr>
        <w:t>　</w:t>
      </w:r>
      <w:r>
        <w:rPr>
          <w:rFonts w:hint="eastAsia" w:ascii="宋体" w:hAnsi="宋体" w:cs="宋体"/>
          <w:color w:val="auto"/>
          <w:szCs w:val="21"/>
          <w:highlight w:val="none"/>
          <w:lang w:eastAsia="zh-TW"/>
        </w:rPr>
        <w:t>合同</w:t>
      </w:r>
      <w:r>
        <w:rPr>
          <w:rFonts w:hint="eastAsia" w:ascii="宋体" w:hAnsi="宋体" w:cs="宋体"/>
          <w:color w:val="auto"/>
          <w:szCs w:val="21"/>
          <w:highlight w:val="none"/>
        </w:rPr>
        <w:t>通用</w:t>
      </w:r>
      <w:r>
        <w:rPr>
          <w:rFonts w:hint="eastAsia" w:ascii="宋体" w:hAnsi="宋体" w:cs="宋体"/>
          <w:color w:val="auto"/>
          <w:szCs w:val="21"/>
          <w:highlight w:val="none"/>
          <w:lang w:eastAsia="zh-TW"/>
        </w:rPr>
        <w:t>条款</w:t>
      </w:r>
    </w:p>
    <w:p>
      <w:pPr>
        <w:snapToGrid w:val="0"/>
        <w:spacing w:line="360" w:lineRule="auto"/>
        <w:ind w:left="688" w:leftChars="270" w:hanging="121"/>
        <w:rPr>
          <w:rFonts w:hint="eastAsia" w:ascii="宋体" w:hAnsi="宋体"/>
          <w:color w:val="auto"/>
          <w:szCs w:val="21"/>
          <w:highlight w:val="none"/>
        </w:rPr>
      </w:pPr>
      <w:r>
        <w:rPr>
          <w:rFonts w:hint="eastAsia" w:ascii="宋体" w:hAnsi="宋体" w:cs="宋体"/>
          <w:color w:val="auto"/>
          <w:szCs w:val="21"/>
          <w:highlight w:val="none"/>
        </w:rPr>
        <w:t>第七章　投标文件格式</w:t>
      </w:r>
    </w:p>
    <w:p>
      <w:pPr>
        <w:numPr>
          <w:ilvl w:val="1"/>
          <w:numId w:val="37"/>
        </w:numPr>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投标人应认真阅读、并充分理解招标文件的全部内容（包括所有的补充、修改内容重要事项、格式、条款和</w:t>
      </w:r>
      <w:r>
        <w:rPr>
          <w:rFonts w:hint="eastAsia" w:ascii="宋体" w:hAnsi="宋体" w:cs="宋体"/>
          <w:color w:val="auto"/>
          <w:szCs w:val="21"/>
          <w:highlight w:val="none"/>
        </w:rPr>
        <w:t>服务</w:t>
      </w:r>
      <w:r>
        <w:rPr>
          <w:rFonts w:hint="eastAsia" w:ascii="宋体" w:hAnsi="宋体" w:cs="宋体"/>
          <w:color w:val="auto"/>
          <w:szCs w:val="21"/>
          <w:highlight w:val="none"/>
          <w:lang w:eastAsia="zh-TW"/>
        </w:rPr>
        <w:t>要求等）。投标人没有按照招标文件要求提交全部资料，或者投标</w:t>
      </w:r>
      <w:r>
        <w:rPr>
          <w:rFonts w:hint="eastAsia" w:ascii="宋体" w:hAnsi="宋体" w:cs="宋体"/>
          <w:color w:val="auto"/>
          <w:szCs w:val="21"/>
          <w:highlight w:val="none"/>
        </w:rPr>
        <w:t>文件</w:t>
      </w:r>
      <w:r>
        <w:rPr>
          <w:rFonts w:hint="eastAsia" w:ascii="宋体" w:hAnsi="宋体" w:cs="宋体"/>
          <w:color w:val="auto"/>
          <w:szCs w:val="21"/>
          <w:highlight w:val="none"/>
          <w:lang w:eastAsia="zh-TW"/>
        </w:rPr>
        <w:t>没有对招标文件在各方面都作出实质性响应是投标人的风险，有可能导致其投标被拒绝，或被认定为无效投标或被确定为投标无效。</w:t>
      </w:r>
    </w:p>
    <w:p>
      <w:pPr>
        <w:numPr>
          <w:ilvl w:val="1"/>
          <w:numId w:val="37"/>
        </w:numPr>
        <w:autoSpaceDE w:val="0"/>
        <w:autoSpaceDN w:val="0"/>
        <w:adjustRightInd w:val="0"/>
        <w:snapToGrid w:val="0"/>
        <w:spacing w:line="360" w:lineRule="auto"/>
        <w:jc w:val="left"/>
        <w:rPr>
          <w:rFonts w:hint="eastAsia" w:ascii="宋体" w:hAnsi="宋体" w:cs="宋体"/>
          <w:color w:val="auto"/>
          <w:szCs w:val="21"/>
          <w:highlight w:val="none"/>
          <w:lang w:eastAsia="zh-TW"/>
        </w:rPr>
      </w:pPr>
      <w:r>
        <w:rPr>
          <w:rFonts w:hint="eastAsia" w:ascii="宋体" w:hAnsi="宋体" w:cs="宋体"/>
          <w:color w:val="auto"/>
          <w:szCs w:val="21"/>
          <w:highlight w:val="none"/>
        </w:rPr>
        <w:t>本</w:t>
      </w:r>
      <w:r>
        <w:rPr>
          <w:rFonts w:hint="eastAsia" w:ascii="宋体" w:hAnsi="宋体" w:cs="宋体"/>
          <w:color w:val="auto"/>
          <w:szCs w:val="21"/>
          <w:highlight w:val="none"/>
          <w:lang w:eastAsia="zh-TW"/>
        </w:rPr>
        <w:t>招标文件的解释权归“广东中采招标有限公司”所有。</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25" w:name="_Toc355879675"/>
      <w:bookmarkStart w:id="26" w:name="_Toc30988"/>
      <w:r>
        <w:rPr>
          <w:rFonts w:hint="eastAsia" w:ascii="宋体" w:hAnsi="宋体"/>
          <w:b/>
          <w:bCs/>
          <w:color w:val="auto"/>
          <w:szCs w:val="21"/>
          <w:highlight w:val="none"/>
        </w:rPr>
        <w:t>招标文件的澄清</w:t>
      </w:r>
      <w:bookmarkEnd w:id="25"/>
      <w:bookmarkEnd w:id="26"/>
    </w:p>
    <w:p>
      <w:pPr>
        <w:numPr>
          <w:ilvl w:val="1"/>
          <w:numId w:val="37"/>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lang w:eastAsia="zh-TW"/>
        </w:rPr>
        <w:t>任何要求对招标文件进行澄清的投标人，均应以书面形式在投标截止时间十五日以前通知招标采购单位。招标代理机构将组织招标人对投标人所要求澄清的内容均以书面形式予以答复。必要时，招标采购单位将召开答疑会，并将会议内容以书面形式发给每个购买招标文件的潜在投标人</w:t>
      </w:r>
      <w:r>
        <w:rPr>
          <w:rFonts w:hint="eastAsia" w:ascii="宋体" w:hAnsi="宋体" w:cs="宋体"/>
          <w:color w:val="auto"/>
          <w:szCs w:val="21"/>
          <w:highlight w:val="none"/>
        </w:rPr>
        <w:t>，</w:t>
      </w:r>
      <w:r>
        <w:rPr>
          <w:rFonts w:hint="eastAsia" w:ascii="宋体" w:hAnsi="宋体" w:cs="宋体"/>
          <w:color w:val="auto"/>
          <w:szCs w:val="21"/>
          <w:highlight w:val="none"/>
          <w:lang w:eastAsia="zh-TW"/>
        </w:rPr>
        <w:t>答复中不包括问题的来源。</w:t>
      </w:r>
    </w:p>
    <w:p>
      <w:pPr>
        <w:numPr>
          <w:ilvl w:val="1"/>
          <w:numId w:val="37"/>
        </w:numPr>
        <w:autoSpaceDE w:val="0"/>
        <w:autoSpaceDN w:val="0"/>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TW"/>
        </w:rPr>
        <w:t>投标人在规定的时间内未对招标文件提出澄清或疑问的，招标采购单位将视其为无异议。对招标文件中描述有歧意或前后不一致的地方，评标委员会有权进行评判</w:t>
      </w:r>
      <w:r>
        <w:rPr>
          <w:rFonts w:hint="eastAsia" w:ascii="宋体" w:hAnsi="宋体" w:cs="宋体"/>
          <w:color w:val="auto"/>
          <w:szCs w:val="21"/>
          <w:highlight w:val="none"/>
        </w:rPr>
        <w:t>，</w:t>
      </w:r>
      <w:r>
        <w:rPr>
          <w:rFonts w:hint="eastAsia" w:ascii="宋体" w:hAnsi="宋体" w:cs="宋体"/>
          <w:color w:val="auto"/>
          <w:szCs w:val="21"/>
          <w:highlight w:val="none"/>
          <w:lang w:eastAsia="zh-TW"/>
        </w:rPr>
        <w:t>但对同一条款的评判应适用于每个投标人。</w:t>
      </w:r>
    </w:p>
    <w:p>
      <w:pPr>
        <w:numPr>
          <w:ilvl w:val="1"/>
          <w:numId w:val="37"/>
        </w:numPr>
        <w:autoSpaceDE w:val="0"/>
        <w:autoSpaceDN w:val="0"/>
        <w:adjustRightInd w:val="0"/>
        <w:snapToGrid w:val="0"/>
        <w:spacing w:line="360" w:lineRule="auto"/>
        <w:rPr>
          <w:rFonts w:hint="eastAsia" w:ascii="宋体" w:hAnsi="宋体" w:cs="宋体"/>
          <w:color w:val="auto"/>
          <w:szCs w:val="21"/>
          <w:highlight w:val="none"/>
        </w:rPr>
      </w:pPr>
      <w:bookmarkStart w:id="27" w:name="_Toc355879676"/>
      <w:r>
        <w:rPr>
          <w:rFonts w:hint="eastAsia" w:ascii="宋体" w:hAnsi="宋体" w:cs="宋体"/>
          <w:color w:val="auto"/>
          <w:szCs w:val="21"/>
          <w:highlight w:val="none"/>
        </w:rPr>
        <w:t>除非依本须知第7.1规定的有</w:t>
      </w:r>
      <w:r>
        <w:rPr>
          <w:rFonts w:hint="eastAsia" w:ascii="宋体" w:hAnsi="宋体" w:cs="宋体"/>
          <w:color w:val="auto"/>
          <w:szCs w:val="21"/>
          <w:highlight w:val="none"/>
          <w:lang w:eastAsia="zh-TW"/>
        </w:rPr>
        <w:t>必要时</w:t>
      </w:r>
      <w:r>
        <w:rPr>
          <w:rFonts w:hint="eastAsia" w:ascii="宋体" w:hAnsi="宋体" w:cs="宋体"/>
          <w:color w:val="auto"/>
          <w:szCs w:val="21"/>
          <w:highlight w:val="none"/>
        </w:rPr>
        <w:t>或</w:t>
      </w:r>
      <w:r>
        <w:rPr>
          <w:rFonts w:hint="eastAsia" w:ascii="宋体" w:hAnsi="宋体" w:cs="黑体"/>
          <w:b/>
          <w:color w:val="auto"/>
          <w:szCs w:val="21"/>
          <w:highlight w:val="none"/>
        </w:rPr>
        <w:t>投标资料表</w:t>
      </w:r>
      <w:r>
        <w:rPr>
          <w:rFonts w:hint="eastAsia" w:ascii="宋体" w:hAnsi="宋体" w:cs="宋体"/>
          <w:color w:val="auto"/>
          <w:szCs w:val="21"/>
          <w:highlight w:val="none"/>
        </w:rPr>
        <w:t>中另有规定，不举行项目集中答疑会或现场考察，如举行集中答疑会或现场考察的，则按以下规定：</w:t>
      </w:r>
    </w:p>
    <w:p>
      <w:pPr>
        <w:numPr>
          <w:ilvl w:val="2"/>
          <w:numId w:val="37"/>
        </w:numPr>
        <w:tabs>
          <w:tab w:val="left" w:pos="851"/>
        </w:tabs>
        <w:autoSpaceDE w:val="0"/>
        <w:autoSpaceDN w:val="0"/>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TW"/>
        </w:rPr>
        <w:t>在</w:t>
      </w:r>
      <w:r>
        <w:rPr>
          <w:rFonts w:hint="eastAsia" w:ascii="宋体" w:hAnsi="宋体" w:cs="黑体"/>
          <w:b/>
          <w:color w:val="auto"/>
          <w:szCs w:val="21"/>
          <w:highlight w:val="none"/>
          <w:lang w:eastAsia="zh-TW"/>
        </w:rPr>
        <w:t>投标资料表</w:t>
      </w:r>
      <w:r>
        <w:rPr>
          <w:rFonts w:hint="eastAsia" w:ascii="宋体" w:hAnsi="宋体" w:cs="宋体"/>
          <w:color w:val="auto"/>
          <w:szCs w:val="21"/>
          <w:highlight w:val="none"/>
        </w:rPr>
        <w:t>中规定的日期、时间和地点组织公开答疑会或现场考察；</w:t>
      </w:r>
    </w:p>
    <w:p>
      <w:pPr>
        <w:numPr>
          <w:ilvl w:val="2"/>
          <w:numId w:val="37"/>
        </w:numPr>
        <w:tabs>
          <w:tab w:val="left" w:pos="851"/>
        </w:tabs>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潜在投标人对本项目提出的疑问，需在答疑会或现场考察召开日前至少一个工作日将问题清单以书面形式（加盖公章）提交至招标代理机构，潜在投标人代表于上述的时间和地点出席答疑会或现场考察。</w:t>
      </w:r>
    </w:p>
    <w:p>
      <w:pPr>
        <w:numPr>
          <w:ilvl w:val="2"/>
          <w:numId w:val="37"/>
        </w:numPr>
        <w:tabs>
          <w:tab w:val="left" w:pos="851"/>
        </w:tabs>
        <w:autoSpaceDE w:val="0"/>
        <w:autoSpaceDN w:val="0"/>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TW"/>
        </w:rPr>
        <w:t>已购买</w:t>
      </w:r>
      <w:r>
        <w:rPr>
          <w:rFonts w:hint="eastAsia" w:ascii="宋体" w:hAnsi="宋体" w:cs="宋体"/>
          <w:color w:val="auto"/>
          <w:szCs w:val="21"/>
          <w:highlight w:val="none"/>
        </w:rPr>
        <w:t>招标</w:t>
      </w:r>
      <w:r>
        <w:rPr>
          <w:rFonts w:hint="eastAsia" w:ascii="宋体" w:hAnsi="宋体" w:cs="宋体"/>
          <w:color w:val="auto"/>
          <w:szCs w:val="21"/>
          <w:highlight w:val="none"/>
          <w:lang w:eastAsia="zh-TW"/>
        </w:rPr>
        <w:t>文件的投标人如不出席答疑会</w:t>
      </w:r>
      <w:r>
        <w:rPr>
          <w:rFonts w:hint="eastAsia" w:ascii="宋体" w:hAnsi="宋体" w:cs="宋体"/>
          <w:color w:val="auto"/>
          <w:szCs w:val="21"/>
          <w:highlight w:val="none"/>
        </w:rPr>
        <w:t>或现场考察</w:t>
      </w:r>
      <w:r>
        <w:rPr>
          <w:rFonts w:hint="eastAsia" w:ascii="宋体" w:hAnsi="宋体" w:cs="宋体"/>
          <w:color w:val="auto"/>
          <w:szCs w:val="21"/>
          <w:highlight w:val="none"/>
          <w:lang w:eastAsia="zh-TW"/>
        </w:rPr>
        <w:t>视为对招标文件所有内容无任何异议。</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28" w:name="_Toc1854"/>
      <w:r>
        <w:rPr>
          <w:rFonts w:hint="eastAsia" w:ascii="宋体" w:hAnsi="宋体"/>
          <w:b/>
          <w:bCs/>
          <w:color w:val="auto"/>
          <w:szCs w:val="21"/>
          <w:highlight w:val="none"/>
        </w:rPr>
        <w:t>招标文件的修改</w:t>
      </w:r>
      <w:bookmarkEnd w:id="27"/>
      <w:bookmarkEnd w:id="28"/>
    </w:p>
    <w:p>
      <w:pPr>
        <w:numPr>
          <w:ilvl w:val="1"/>
          <w:numId w:val="37"/>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lang w:eastAsia="zh-TW"/>
        </w:rPr>
        <w:t>无论出于何种原因</w:t>
      </w:r>
      <w:r>
        <w:rPr>
          <w:rFonts w:hint="eastAsia" w:ascii="宋体" w:hAnsi="宋体" w:cs="宋体"/>
          <w:color w:val="auto"/>
          <w:szCs w:val="21"/>
          <w:highlight w:val="none"/>
        </w:rPr>
        <w:t>，</w:t>
      </w:r>
      <w:r>
        <w:rPr>
          <w:rFonts w:hint="eastAsia" w:ascii="宋体" w:hAnsi="宋体" w:cs="宋体"/>
          <w:color w:val="auto"/>
          <w:szCs w:val="21"/>
          <w:highlight w:val="none"/>
          <w:lang w:eastAsia="zh-TW"/>
        </w:rPr>
        <w:t>招标采购单位可主动地或在解答投标人提出的疑问时对招标文件进行修改</w:t>
      </w:r>
      <w:r>
        <w:rPr>
          <w:rFonts w:hint="eastAsia" w:ascii="宋体" w:hAnsi="宋体" w:cs="宋体"/>
          <w:color w:val="auto"/>
          <w:szCs w:val="21"/>
          <w:highlight w:val="none"/>
        </w:rPr>
        <w:t>，</w:t>
      </w:r>
      <w:r>
        <w:rPr>
          <w:rFonts w:hint="eastAsia" w:ascii="宋体" w:hAnsi="宋体" w:cs="宋体"/>
          <w:color w:val="auto"/>
          <w:szCs w:val="21"/>
          <w:highlight w:val="none"/>
          <w:lang w:eastAsia="zh-TW"/>
        </w:rPr>
        <w:t>招标采购单位对已发出的招标文件进行必要修改的，应当在招标文件</w:t>
      </w:r>
      <w:r>
        <w:rPr>
          <w:rFonts w:hint="eastAsia" w:ascii="宋体" w:hAnsi="宋体" w:cs="黑体"/>
          <w:b/>
          <w:color w:val="auto"/>
          <w:szCs w:val="21"/>
          <w:highlight w:val="none"/>
        </w:rPr>
        <w:t>投标资料表</w:t>
      </w:r>
      <w:r>
        <w:rPr>
          <w:rFonts w:hint="eastAsia" w:ascii="宋体" w:hAnsi="宋体" w:cs="宋体"/>
          <w:color w:val="auto"/>
          <w:szCs w:val="21"/>
          <w:highlight w:val="none"/>
          <w:lang w:eastAsia="zh-TW"/>
        </w:rPr>
        <w:t>中所述提交投标文件截止时间十五日前，在财政部门指定的政府采购信息发布媒体上发布更正公告</w:t>
      </w:r>
      <w:r>
        <w:rPr>
          <w:rFonts w:hint="eastAsia" w:ascii="宋体" w:hAnsi="宋体" w:cs="宋体"/>
          <w:color w:val="auto"/>
          <w:szCs w:val="21"/>
          <w:highlight w:val="none"/>
        </w:rPr>
        <w:t>，</w:t>
      </w:r>
      <w:r>
        <w:rPr>
          <w:rFonts w:hint="eastAsia" w:ascii="宋体" w:hAnsi="宋体" w:cs="宋体"/>
          <w:color w:val="auto"/>
          <w:szCs w:val="21"/>
          <w:highlight w:val="none"/>
          <w:lang w:eastAsia="zh-TW"/>
        </w:rPr>
        <w:t>并以书面形式通知所有招标文件收受人。</w:t>
      </w:r>
    </w:p>
    <w:p>
      <w:pPr>
        <w:numPr>
          <w:ilvl w:val="1"/>
          <w:numId w:val="37"/>
        </w:numPr>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澄清或修改时间距投标截止时间不足十五</w:t>
      </w:r>
      <w:r>
        <w:rPr>
          <w:rFonts w:hint="eastAsia" w:ascii="宋体" w:hAnsi="宋体" w:cs="宋体"/>
          <w:color w:val="auto"/>
          <w:szCs w:val="21"/>
          <w:highlight w:val="none"/>
        </w:rPr>
        <w:t>日</w:t>
      </w:r>
      <w:r>
        <w:rPr>
          <w:rFonts w:hint="eastAsia" w:ascii="宋体" w:hAnsi="宋体" w:cs="宋体"/>
          <w:color w:val="auto"/>
          <w:szCs w:val="21"/>
          <w:highlight w:val="none"/>
          <w:lang w:eastAsia="zh-TW"/>
        </w:rPr>
        <w:t>的</w:t>
      </w:r>
      <w:r>
        <w:rPr>
          <w:rFonts w:hint="eastAsia" w:ascii="宋体" w:hAnsi="宋体" w:cs="宋体"/>
          <w:color w:val="auto"/>
          <w:szCs w:val="21"/>
          <w:highlight w:val="none"/>
        </w:rPr>
        <w:t>，招标人</w:t>
      </w:r>
      <w:r>
        <w:rPr>
          <w:rFonts w:hint="eastAsia" w:ascii="宋体" w:hAnsi="宋体" w:cs="宋体"/>
          <w:color w:val="auto"/>
          <w:szCs w:val="21"/>
          <w:highlight w:val="none"/>
          <w:lang w:eastAsia="zh-TW"/>
        </w:rPr>
        <w:t>或招标代理机构在征得已获取招标文件的潜在</w:t>
      </w:r>
      <w:r>
        <w:rPr>
          <w:rFonts w:hint="eastAsia" w:ascii="宋体" w:hAnsi="宋体" w:cs="宋体"/>
          <w:color w:val="auto"/>
          <w:szCs w:val="21"/>
          <w:highlight w:val="none"/>
        </w:rPr>
        <w:t>投标人</w:t>
      </w:r>
      <w:r>
        <w:rPr>
          <w:rFonts w:hint="eastAsia" w:ascii="宋体" w:hAnsi="宋体" w:cs="宋体"/>
          <w:color w:val="auto"/>
          <w:szCs w:val="21"/>
          <w:highlight w:val="none"/>
          <w:lang w:eastAsia="zh-TW"/>
        </w:rPr>
        <w:t>同意并书面确认后，可不改变投标截止时间。</w:t>
      </w:r>
    </w:p>
    <w:p>
      <w:pPr>
        <w:numPr>
          <w:ilvl w:val="1"/>
          <w:numId w:val="37"/>
        </w:numPr>
        <w:autoSpaceDE w:val="0"/>
        <w:autoSpaceDN w:val="0"/>
        <w:adjustRightInd w:val="0"/>
        <w:snapToGrid w:val="0"/>
        <w:spacing w:line="360" w:lineRule="auto"/>
        <w:rPr>
          <w:rFonts w:ascii="宋体" w:hAnsi="宋体" w:cs="宋体"/>
          <w:color w:val="auto"/>
          <w:szCs w:val="21"/>
          <w:highlight w:val="none"/>
          <w:lang w:eastAsia="zh-TW"/>
        </w:rPr>
      </w:pPr>
      <w:r>
        <w:rPr>
          <w:rFonts w:hint="eastAsia" w:ascii="宋体" w:hAnsi="宋体" w:cs="宋体"/>
          <w:color w:val="auto"/>
          <w:szCs w:val="21"/>
          <w:highlight w:val="none"/>
          <w:lang w:eastAsia="zh-TW"/>
        </w:rPr>
        <w:t>招标文件的修改内容是招标文件的组成部分，将以书面形式通知所有购买招标文件的潜在投标人，并对潜在投标人具有约束力。潜在投标人在收到上述通知后</w:t>
      </w:r>
      <w:r>
        <w:rPr>
          <w:rFonts w:hint="eastAsia" w:ascii="宋体" w:hAnsi="宋体" w:cs="宋体"/>
          <w:color w:val="auto"/>
          <w:szCs w:val="21"/>
          <w:highlight w:val="none"/>
        </w:rPr>
        <w:t>，</w:t>
      </w:r>
      <w:r>
        <w:rPr>
          <w:rFonts w:hint="eastAsia" w:ascii="宋体" w:hAnsi="宋体" w:cs="宋体"/>
          <w:color w:val="auto"/>
          <w:szCs w:val="21"/>
          <w:highlight w:val="none"/>
          <w:lang w:eastAsia="zh-TW"/>
        </w:rPr>
        <w:t>应立即以书面形式向招标采购单位确认。如在24小时之内无书面回函则视为同意修改内容，并有责任履行相应的义务。</w:t>
      </w:r>
    </w:p>
    <w:p>
      <w:pPr>
        <w:numPr>
          <w:ilvl w:val="0"/>
          <w:numId w:val="36"/>
        </w:numPr>
        <w:autoSpaceDE w:val="0"/>
        <w:autoSpaceDN w:val="0"/>
        <w:adjustRightInd w:val="0"/>
        <w:snapToGrid w:val="0"/>
        <w:spacing w:before="312" w:beforeLines="100" w:after="312" w:afterLines="100" w:line="360" w:lineRule="auto"/>
        <w:jc w:val="center"/>
        <w:outlineLvl w:val="0"/>
        <w:rPr>
          <w:rFonts w:hint="eastAsia" w:ascii="宋体" w:hAnsi="宋体"/>
          <w:b/>
          <w:color w:val="auto"/>
          <w:sz w:val="28"/>
          <w:szCs w:val="28"/>
          <w:highlight w:val="none"/>
          <w:lang w:eastAsia="zh-TW"/>
        </w:rPr>
      </w:pPr>
      <w:bookmarkStart w:id="29" w:name="_Toc355879677"/>
      <w:bookmarkStart w:id="30" w:name="_Toc24166"/>
      <w:r>
        <w:rPr>
          <w:rFonts w:hint="eastAsia" w:ascii="宋体" w:hAnsi="宋体"/>
          <w:b/>
          <w:color w:val="auto"/>
          <w:sz w:val="28"/>
          <w:szCs w:val="28"/>
          <w:highlight w:val="none"/>
          <w:lang w:eastAsia="zh-TW"/>
        </w:rPr>
        <w:t>投标文件的编制</w:t>
      </w:r>
      <w:bookmarkEnd w:id="29"/>
      <w:bookmarkEnd w:id="30"/>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31" w:name="_Toc3303"/>
      <w:bookmarkStart w:id="32" w:name="_Toc355879678"/>
      <w:r>
        <w:rPr>
          <w:rFonts w:hint="eastAsia" w:ascii="宋体" w:hAnsi="宋体"/>
          <w:b/>
          <w:bCs/>
          <w:color w:val="auto"/>
          <w:szCs w:val="21"/>
          <w:highlight w:val="none"/>
        </w:rPr>
        <w:t>投标的语言</w:t>
      </w:r>
      <w:bookmarkEnd w:id="31"/>
      <w:bookmarkEnd w:id="32"/>
    </w:p>
    <w:p>
      <w:pPr>
        <w:numPr>
          <w:ilvl w:val="1"/>
          <w:numId w:val="37"/>
        </w:numPr>
        <w:autoSpaceDE w:val="0"/>
        <w:autoSpaceDN w:val="0"/>
        <w:adjustRightInd w:val="0"/>
        <w:snapToGrid w:val="0"/>
        <w:spacing w:line="360" w:lineRule="auto"/>
        <w:rPr>
          <w:rFonts w:ascii="宋体" w:hAnsi="宋体" w:cs="黑体"/>
          <w:b/>
          <w:bCs/>
          <w:color w:val="auto"/>
          <w:szCs w:val="21"/>
          <w:highlight w:val="none"/>
        </w:rPr>
      </w:pPr>
      <w:r>
        <w:rPr>
          <w:rFonts w:hint="eastAsia" w:ascii="宋体" w:hAnsi="宋体" w:cs="宋体"/>
          <w:color w:val="auto"/>
          <w:szCs w:val="21"/>
          <w:highlight w:val="none"/>
          <w:lang w:eastAsia="zh-TW"/>
        </w:rPr>
        <w:t>投标人提交的投标文件以及投标人与招标采购单位就有关投标的所有来往函电均应使用中文书写</w:t>
      </w:r>
      <w:r>
        <w:rPr>
          <w:rFonts w:hint="eastAsia" w:ascii="宋体" w:hAnsi="宋体" w:cs="宋体"/>
          <w:color w:val="auto"/>
          <w:szCs w:val="21"/>
          <w:highlight w:val="none"/>
        </w:rPr>
        <w:t>。投</w:t>
      </w:r>
      <w:r>
        <w:rPr>
          <w:rFonts w:hint="eastAsia" w:ascii="宋体" w:hAnsi="宋体" w:cs="宋体"/>
          <w:color w:val="auto"/>
          <w:szCs w:val="21"/>
          <w:highlight w:val="none"/>
          <w:lang w:eastAsia="zh-TW"/>
        </w:rPr>
        <w:t>标人提交的支持资料和己印刷的文献可以用另一种语言</w:t>
      </w:r>
      <w:r>
        <w:rPr>
          <w:rFonts w:hint="eastAsia" w:ascii="宋体" w:hAnsi="宋体" w:cs="宋体"/>
          <w:color w:val="auto"/>
          <w:szCs w:val="21"/>
          <w:highlight w:val="none"/>
        </w:rPr>
        <w:t>，</w:t>
      </w:r>
      <w:r>
        <w:rPr>
          <w:rFonts w:hint="eastAsia" w:ascii="宋体" w:hAnsi="宋体" w:cs="宋体"/>
          <w:color w:val="auto"/>
          <w:szCs w:val="21"/>
          <w:highlight w:val="none"/>
          <w:lang w:eastAsia="zh-TW"/>
        </w:rPr>
        <w:t>但相应内容应附有中文翻译本</w:t>
      </w:r>
      <w:r>
        <w:rPr>
          <w:rFonts w:hint="eastAsia" w:ascii="宋体" w:hAnsi="宋体" w:cs="宋体"/>
          <w:color w:val="auto"/>
          <w:szCs w:val="21"/>
          <w:highlight w:val="none"/>
        </w:rPr>
        <w:t>，</w:t>
      </w:r>
      <w:r>
        <w:rPr>
          <w:rFonts w:hint="eastAsia" w:ascii="宋体" w:hAnsi="宋体" w:cs="宋体"/>
          <w:color w:val="auto"/>
          <w:szCs w:val="21"/>
          <w:highlight w:val="none"/>
          <w:lang w:eastAsia="zh-TW"/>
        </w:rPr>
        <w:t>在解释投标文件的修改内容时以中文翻译本为准。对中文翻译有异议的</w:t>
      </w:r>
      <w:r>
        <w:rPr>
          <w:rFonts w:hint="eastAsia" w:ascii="宋体" w:hAnsi="宋体" w:cs="宋体"/>
          <w:color w:val="auto"/>
          <w:szCs w:val="21"/>
          <w:highlight w:val="none"/>
        </w:rPr>
        <w:t>，</w:t>
      </w:r>
      <w:r>
        <w:rPr>
          <w:rFonts w:hint="eastAsia" w:ascii="宋体" w:hAnsi="宋体" w:cs="宋体"/>
          <w:color w:val="auto"/>
          <w:szCs w:val="21"/>
          <w:highlight w:val="none"/>
          <w:lang w:eastAsia="zh-TW"/>
        </w:rPr>
        <w:t>以权威机构的译本为准。</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33" w:name="_Toc355879679"/>
      <w:bookmarkStart w:id="34" w:name="_Toc31206"/>
      <w:r>
        <w:rPr>
          <w:rFonts w:hint="eastAsia" w:ascii="宋体" w:hAnsi="宋体"/>
          <w:b/>
          <w:bCs/>
          <w:color w:val="auto"/>
          <w:szCs w:val="21"/>
          <w:highlight w:val="none"/>
        </w:rPr>
        <w:t>投标文件的构成</w:t>
      </w:r>
      <w:bookmarkEnd w:id="33"/>
      <w:bookmarkEnd w:id="34"/>
    </w:p>
    <w:p>
      <w:pPr>
        <w:numPr>
          <w:ilvl w:val="1"/>
          <w:numId w:val="37"/>
        </w:numPr>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投标人编写的投标文件应包括</w:t>
      </w:r>
      <w:r>
        <w:rPr>
          <w:rFonts w:hint="eastAsia" w:ascii="宋体" w:hAnsi="宋体" w:cs="宋体"/>
          <w:color w:val="auto"/>
          <w:szCs w:val="21"/>
          <w:highlight w:val="none"/>
        </w:rPr>
        <w:t>初审文件、技术文件、商务文件</w:t>
      </w:r>
      <w:r>
        <w:rPr>
          <w:rFonts w:hint="eastAsia" w:ascii="宋体" w:hAnsi="宋体" w:cs="宋体"/>
          <w:color w:val="auto"/>
          <w:szCs w:val="21"/>
          <w:highlight w:val="none"/>
          <w:lang w:eastAsia="zh-TW"/>
        </w:rPr>
        <w:t>，编排顺序参见投标文件格式</w:t>
      </w:r>
      <w:r>
        <w:rPr>
          <w:rFonts w:hint="eastAsia" w:ascii="宋体" w:hAnsi="宋体" w:cs="宋体"/>
          <w:color w:val="auto"/>
          <w:szCs w:val="21"/>
          <w:highlight w:val="none"/>
        </w:rPr>
        <w:t>。</w:t>
      </w:r>
    </w:p>
    <w:p>
      <w:pPr>
        <w:numPr>
          <w:ilvl w:val="1"/>
          <w:numId w:val="37"/>
        </w:numPr>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投标文件的构成应符合法律法规及招标文件的要求。</w:t>
      </w:r>
    </w:p>
    <w:p>
      <w:pPr>
        <w:numPr>
          <w:ilvl w:val="0"/>
          <w:numId w:val="37"/>
        </w:numPr>
        <w:autoSpaceDE w:val="0"/>
        <w:autoSpaceDN w:val="0"/>
        <w:adjustRightInd w:val="0"/>
        <w:snapToGrid w:val="0"/>
        <w:spacing w:line="360" w:lineRule="auto"/>
        <w:outlineLvl w:val="0"/>
        <w:rPr>
          <w:rFonts w:ascii="宋体" w:hAnsi="宋体"/>
          <w:b/>
          <w:bCs/>
          <w:color w:val="auto"/>
          <w:szCs w:val="21"/>
          <w:highlight w:val="none"/>
        </w:rPr>
      </w:pPr>
      <w:bookmarkStart w:id="35" w:name="_Toc355879680"/>
      <w:bookmarkStart w:id="36" w:name="_Toc19477"/>
      <w:r>
        <w:rPr>
          <w:rFonts w:hint="eastAsia" w:ascii="宋体" w:hAnsi="宋体"/>
          <w:b/>
          <w:bCs/>
          <w:color w:val="auto"/>
          <w:szCs w:val="21"/>
          <w:highlight w:val="none"/>
        </w:rPr>
        <w:t>投标文件的编写</w:t>
      </w:r>
      <w:bookmarkEnd w:id="35"/>
      <w:bookmarkEnd w:id="36"/>
    </w:p>
    <w:p>
      <w:pPr>
        <w:numPr>
          <w:ilvl w:val="1"/>
          <w:numId w:val="37"/>
        </w:numPr>
        <w:autoSpaceDE w:val="0"/>
        <w:autoSpaceDN w:val="0"/>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TW"/>
        </w:rPr>
        <w:t>投标人应完整</w:t>
      </w:r>
      <w:r>
        <w:rPr>
          <w:rFonts w:hint="eastAsia" w:ascii="宋体" w:hAnsi="宋体" w:cs="宋体"/>
          <w:color w:val="auto"/>
          <w:szCs w:val="21"/>
          <w:highlight w:val="none"/>
        </w:rPr>
        <w:t>、真实、准确</w:t>
      </w:r>
      <w:r>
        <w:rPr>
          <w:rFonts w:hint="eastAsia" w:ascii="宋体" w:hAnsi="宋体" w:cs="宋体"/>
          <w:color w:val="auto"/>
          <w:szCs w:val="21"/>
          <w:highlight w:val="none"/>
          <w:lang w:eastAsia="zh-TW"/>
        </w:rPr>
        <w:t>地填写招标文件中提供的投标函、开标一览表(报价表)、投标分项报价表以及招标文件中规定的其它</w:t>
      </w:r>
      <w:r>
        <w:rPr>
          <w:rFonts w:hint="eastAsia" w:ascii="宋体" w:hAnsi="宋体" w:cs="宋体"/>
          <w:color w:val="auto"/>
          <w:szCs w:val="21"/>
          <w:highlight w:val="none"/>
        </w:rPr>
        <w:t>所有</w:t>
      </w:r>
      <w:r>
        <w:rPr>
          <w:rFonts w:hint="eastAsia" w:ascii="宋体" w:hAnsi="宋体" w:cs="宋体"/>
          <w:color w:val="auto"/>
          <w:szCs w:val="21"/>
          <w:highlight w:val="none"/>
          <w:lang w:eastAsia="zh-TW"/>
        </w:rPr>
        <w:t>内容。</w:t>
      </w:r>
    </w:p>
    <w:p>
      <w:pPr>
        <w:numPr>
          <w:ilvl w:val="1"/>
          <w:numId w:val="37"/>
        </w:numPr>
        <w:autoSpaceDE w:val="0"/>
        <w:autoSpaceDN w:val="0"/>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TW"/>
        </w:rPr>
        <w:t>投标人应当对投标文件进行装订，对未经装订的投标文件可能发生的文件散落或缺损，由此造成的后果</w:t>
      </w:r>
      <w:r>
        <w:rPr>
          <w:rFonts w:hint="eastAsia" w:ascii="宋体" w:hAnsi="宋体" w:cs="宋体"/>
          <w:color w:val="auto"/>
          <w:szCs w:val="21"/>
          <w:highlight w:val="none"/>
        </w:rPr>
        <w:t>和</w:t>
      </w:r>
      <w:r>
        <w:rPr>
          <w:rFonts w:hint="eastAsia" w:ascii="宋体" w:hAnsi="宋体" w:cs="宋体"/>
          <w:color w:val="auto"/>
          <w:szCs w:val="21"/>
          <w:highlight w:val="none"/>
          <w:lang w:eastAsia="zh-TW"/>
        </w:rPr>
        <w:t>责任由投标人承担</w:t>
      </w:r>
      <w:r>
        <w:rPr>
          <w:rFonts w:hint="eastAsia" w:ascii="宋体" w:hAnsi="宋体" w:cs="宋体"/>
          <w:color w:val="auto"/>
          <w:szCs w:val="21"/>
          <w:highlight w:val="none"/>
        </w:rPr>
        <w:t>。</w:t>
      </w:r>
    </w:p>
    <w:p>
      <w:pPr>
        <w:numPr>
          <w:ilvl w:val="1"/>
          <w:numId w:val="37"/>
        </w:numPr>
        <w:tabs>
          <w:tab w:val="left" w:pos="709"/>
        </w:tabs>
        <w:autoSpaceDE w:val="0"/>
        <w:autoSpaceDN w:val="0"/>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TW"/>
        </w:rPr>
        <w:t>投标人必须对投标文件所提供的全部资料的真实性承担法律责任，并无条件接受招标采购单位及政府采购监督管理部门等对其中任何资料进行核实的要求。</w:t>
      </w:r>
    </w:p>
    <w:p>
      <w:pPr>
        <w:numPr>
          <w:ilvl w:val="1"/>
          <w:numId w:val="37"/>
        </w:numPr>
        <w:autoSpaceDE w:val="0"/>
        <w:autoSpaceDN w:val="0"/>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TW"/>
        </w:rPr>
        <w:t>如果因为投标人</w:t>
      </w:r>
      <w:r>
        <w:rPr>
          <w:rFonts w:hint="eastAsia" w:ascii="宋体" w:hAnsi="宋体" w:cs="宋体"/>
          <w:color w:val="auto"/>
          <w:szCs w:val="21"/>
          <w:highlight w:val="none"/>
        </w:rPr>
        <w:t>的</w:t>
      </w:r>
      <w:r>
        <w:rPr>
          <w:rFonts w:hint="eastAsia" w:ascii="宋体" w:hAnsi="宋体" w:cs="宋体"/>
          <w:color w:val="auto"/>
          <w:szCs w:val="21"/>
          <w:highlight w:val="none"/>
          <w:lang w:eastAsia="zh-TW"/>
        </w:rPr>
        <w:t>投标文件只填写和提供了本</w:t>
      </w:r>
      <w:r>
        <w:rPr>
          <w:rFonts w:hint="eastAsia" w:ascii="宋体" w:hAnsi="宋体" w:cs="宋体"/>
          <w:color w:val="auto"/>
          <w:szCs w:val="21"/>
          <w:highlight w:val="none"/>
        </w:rPr>
        <w:t>招标文件</w:t>
      </w:r>
      <w:r>
        <w:rPr>
          <w:rFonts w:hint="eastAsia" w:ascii="宋体" w:hAnsi="宋体" w:cs="宋体"/>
          <w:color w:val="auto"/>
          <w:szCs w:val="21"/>
          <w:highlight w:val="none"/>
          <w:lang w:eastAsia="zh-TW"/>
        </w:rPr>
        <w:t>要求的部分内容和附件，或没有提供招标文件中所要求的全部资料及数据，由此造成的后果</w:t>
      </w:r>
      <w:r>
        <w:rPr>
          <w:rFonts w:hint="eastAsia" w:ascii="宋体" w:hAnsi="宋体" w:cs="宋体"/>
          <w:color w:val="auto"/>
          <w:szCs w:val="21"/>
          <w:highlight w:val="none"/>
        </w:rPr>
        <w:t>和</w:t>
      </w:r>
      <w:r>
        <w:rPr>
          <w:rFonts w:hint="eastAsia" w:ascii="宋体" w:hAnsi="宋体" w:cs="宋体"/>
          <w:color w:val="auto"/>
          <w:szCs w:val="21"/>
          <w:highlight w:val="none"/>
          <w:lang w:eastAsia="zh-TW"/>
        </w:rPr>
        <w:t>责任由投标人承担</w:t>
      </w:r>
      <w:r>
        <w:rPr>
          <w:rFonts w:hint="eastAsia" w:ascii="宋体" w:hAnsi="宋体" w:cs="宋体"/>
          <w:color w:val="auto"/>
          <w:szCs w:val="21"/>
          <w:highlight w:val="none"/>
        </w:rPr>
        <w:t>。</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37" w:name="_Toc355879681"/>
      <w:bookmarkStart w:id="38" w:name="_Toc16882"/>
      <w:r>
        <w:rPr>
          <w:rFonts w:hint="eastAsia" w:ascii="宋体" w:hAnsi="宋体"/>
          <w:b/>
          <w:bCs/>
          <w:color w:val="auto"/>
          <w:szCs w:val="21"/>
          <w:highlight w:val="none"/>
        </w:rPr>
        <w:t>投标报价</w:t>
      </w:r>
      <w:bookmarkEnd w:id="37"/>
      <w:bookmarkEnd w:id="38"/>
    </w:p>
    <w:p>
      <w:pPr>
        <w:numPr>
          <w:ilvl w:val="1"/>
          <w:numId w:val="37"/>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lang w:eastAsia="zh-TW"/>
        </w:rPr>
        <w:t>投标人应按照“第</w:t>
      </w:r>
      <w:r>
        <w:rPr>
          <w:rFonts w:hint="eastAsia" w:ascii="宋体" w:hAnsi="宋体" w:cs="宋体"/>
          <w:color w:val="auto"/>
          <w:szCs w:val="21"/>
          <w:highlight w:val="none"/>
        </w:rPr>
        <w:t>三</w:t>
      </w:r>
      <w:r>
        <w:rPr>
          <w:rFonts w:hint="eastAsia" w:ascii="宋体" w:hAnsi="宋体" w:cs="宋体"/>
          <w:color w:val="auto"/>
          <w:szCs w:val="21"/>
          <w:highlight w:val="none"/>
          <w:lang w:eastAsia="zh-TW"/>
        </w:rPr>
        <w:t>章　用户需求书”</w:t>
      </w:r>
      <w:r>
        <w:rPr>
          <w:rFonts w:hint="eastAsia" w:ascii="宋体" w:hAnsi="宋体" w:cs="宋体"/>
          <w:color w:val="auto"/>
          <w:szCs w:val="21"/>
          <w:highlight w:val="none"/>
        </w:rPr>
        <w:t>中采购项目服务要求规定的内容、责任范围进行报价。</w:t>
      </w:r>
      <w:r>
        <w:rPr>
          <w:rFonts w:hint="eastAsia" w:ascii="宋体" w:hAnsi="宋体" w:cs="宋体"/>
          <w:color w:val="auto"/>
          <w:szCs w:val="21"/>
          <w:highlight w:val="none"/>
          <w:lang w:eastAsia="zh-TW"/>
        </w:rPr>
        <w:t>并按《</w:t>
      </w:r>
      <w:r>
        <w:rPr>
          <w:rFonts w:hint="eastAsia" w:ascii="宋体" w:hAnsi="宋体" w:cs="宋体"/>
          <w:color w:val="auto"/>
          <w:szCs w:val="21"/>
          <w:highlight w:val="none"/>
        </w:rPr>
        <w:t>开标一览表(报价表)</w:t>
      </w:r>
      <w:r>
        <w:rPr>
          <w:rFonts w:hint="eastAsia" w:ascii="宋体" w:hAnsi="宋体" w:cs="宋体"/>
          <w:color w:val="auto"/>
          <w:szCs w:val="21"/>
          <w:highlight w:val="none"/>
          <w:lang w:eastAsia="zh-TW"/>
        </w:rPr>
        <w:t>》</w:t>
      </w:r>
      <w:r>
        <w:rPr>
          <w:rFonts w:hint="eastAsia" w:ascii="宋体" w:hAnsi="宋体" w:cs="宋体"/>
          <w:color w:val="auto"/>
          <w:szCs w:val="21"/>
          <w:highlight w:val="none"/>
        </w:rPr>
        <w:t>及</w:t>
      </w:r>
      <w:r>
        <w:rPr>
          <w:rFonts w:hint="eastAsia" w:ascii="宋体" w:hAnsi="宋体" w:cs="宋体"/>
          <w:color w:val="auto"/>
          <w:szCs w:val="21"/>
          <w:highlight w:val="none"/>
          <w:lang w:eastAsia="zh-TW"/>
        </w:rPr>
        <w:t>《投标分项报价表》的</w:t>
      </w:r>
      <w:r>
        <w:rPr>
          <w:rFonts w:hint="eastAsia" w:ascii="宋体" w:hAnsi="宋体" w:cs="宋体"/>
          <w:color w:val="auto"/>
          <w:szCs w:val="21"/>
          <w:highlight w:val="none"/>
        </w:rPr>
        <w:t>要求</w:t>
      </w:r>
      <w:r>
        <w:rPr>
          <w:rFonts w:hint="eastAsia" w:ascii="宋体" w:hAnsi="宋体" w:cs="宋体"/>
          <w:color w:val="auto"/>
          <w:szCs w:val="21"/>
          <w:highlight w:val="none"/>
          <w:lang w:eastAsia="zh-TW"/>
        </w:rPr>
        <w:t>报出总价和分项价格。投标总价中不得包含招标文件要求以外的内容，否则，在评标时不予核减。投标总价中也不得缺漏招标文件所要求的内容，否则，被视为</w:t>
      </w:r>
      <w:r>
        <w:rPr>
          <w:rFonts w:hint="eastAsia" w:ascii="宋体" w:hAnsi="宋体" w:cs="宋体"/>
          <w:color w:val="auto"/>
          <w:szCs w:val="21"/>
          <w:highlight w:val="none"/>
        </w:rPr>
        <w:t>包含在投标报价中</w:t>
      </w:r>
      <w:r>
        <w:rPr>
          <w:rFonts w:hint="eastAsia" w:ascii="宋体" w:hAnsi="宋体" w:cs="宋体"/>
          <w:color w:val="auto"/>
          <w:szCs w:val="21"/>
          <w:highlight w:val="none"/>
          <w:lang w:eastAsia="zh-TW"/>
        </w:rPr>
        <w:t>。</w:t>
      </w:r>
    </w:p>
    <w:p>
      <w:pPr>
        <w:numPr>
          <w:ilvl w:val="1"/>
          <w:numId w:val="37"/>
        </w:numPr>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lang w:eastAsia="zh-TW"/>
        </w:rPr>
        <w:t>投标分项报价表</w:t>
      </w:r>
      <w:r>
        <w:rPr>
          <w:rFonts w:hint="eastAsia" w:ascii="宋体" w:hAnsi="宋体" w:cs="宋体"/>
          <w:color w:val="auto"/>
          <w:szCs w:val="21"/>
          <w:highlight w:val="none"/>
        </w:rPr>
        <w:t>内容应包含：</w:t>
      </w:r>
    </w:p>
    <w:p>
      <w:pPr>
        <w:numPr>
          <w:ilvl w:val="2"/>
          <w:numId w:val="37"/>
        </w:numPr>
        <w:tabs>
          <w:tab w:val="left" w:pos="851"/>
          <w:tab w:val="left" w:pos="1418"/>
        </w:tabs>
        <w:autoSpaceDE w:val="0"/>
        <w:autoSpaceDN w:val="0"/>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招标文件要求全部服务所需的费用；</w:t>
      </w:r>
    </w:p>
    <w:p>
      <w:pPr>
        <w:numPr>
          <w:ilvl w:val="2"/>
          <w:numId w:val="37"/>
        </w:numPr>
        <w:tabs>
          <w:tab w:val="left" w:pos="851"/>
          <w:tab w:val="left" w:pos="1418"/>
        </w:tabs>
        <w:autoSpaceDE w:val="0"/>
        <w:autoSpaceDN w:val="0"/>
        <w:adjustRightInd w:val="0"/>
        <w:snapToGrid w:val="0"/>
        <w:spacing w:line="360" w:lineRule="auto"/>
        <w:jc w:val="left"/>
        <w:rPr>
          <w:rFonts w:hint="eastAsia" w:ascii="宋体" w:hAnsi="宋体"/>
          <w:color w:val="auto"/>
          <w:szCs w:val="21"/>
          <w:highlight w:val="none"/>
        </w:rPr>
      </w:pPr>
      <w:r>
        <w:rPr>
          <w:rFonts w:hint="eastAsia" w:ascii="宋体" w:hAnsi="宋体" w:cs="宋体"/>
          <w:color w:val="auto"/>
          <w:szCs w:val="21"/>
          <w:highlight w:val="none"/>
        </w:rPr>
        <w:t>投标报价包含履行合同所有相关服务所需的费用；</w:t>
      </w:r>
    </w:p>
    <w:p>
      <w:pPr>
        <w:numPr>
          <w:ilvl w:val="2"/>
          <w:numId w:val="37"/>
        </w:numPr>
        <w:tabs>
          <w:tab w:val="left" w:pos="851"/>
          <w:tab w:val="left" w:pos="1418"/>
        </w:tabs>
        <w:autoSpaceDE w:val="0"/>
        <w:autoSpaceDN w:val="0"/>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投标报价均应包含所有的税费；</w:t>
      </w:r>
    </w:p>
    <w:p>
      <w:pPr>
        <w:numPr>
          <w:ilvl w:val="2"/>
          <w:numId w:val="37"/>
        </w:numPr>
        <w:tabs>
          <w:tab w:val="left" w:pos="851"/>
          <w:tab w:val="left" w:pos="1418"/>
        </w:tabs>
        <w:autoSpaceDE w:val="0"/>
        <w:autoSpaceDN w:val="0"/>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其他一切隐含及不可预见的费用；</w:t>
      </w:r>
    </w:p>
    <w:p>
      <w:pPr>
        <w:numPr>
          <w:ilvl w:val="1"/>
          <w:numId w:val="37"/>
        </w:numPr>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rPr>
        <w:t>投标报价为本次招标内容的总价包干，投标报价即为合同价，不得在中标后提出任何增加费用要求，投标人在投标时应充分考虑相关风险性因素。</w:t>
      </w:r>
    </w:p>
    <w:p>
      <w:pPr>
        <w:numPr>
          <w:ilvl w:val="1"/>
          <w:numId w:val="37"/>
        </w:numPr>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rPr>
        <w:t>投标人在中标并签署合同后，完工期限内出现的任何遗漏，均由中标人负责，招标人将不再支付任何费用。</w:t>
      </w:r>
    </w:p>
    <w:p>
      <w:pPr>
        <w:numPr>
          <w:ilvl w:val="1"/>
          <w:numId w:val="37"/>
        </w:numPr>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对于报价免费的</w:t>
      </w:r>
      <w:r>
        <w:rPr>
          <w:rFonts w:hint="eastAsia" w:ascii="宋体" w:hAnsi="宋体" w:cs="宋体"/>
          <w:color w:val="auto"/>
          <w:szCs w:val="21"/>
          <w:highlight w:val="none"/>
        </w:rPr>
        <w:t>内容</w:t>
      </w:r>
      <w:r>
        <w:rPr>
          <w:rFonts w:hint="eastAsia" w:ascii="宋体" w:hAnsi="宋体" w:cs="宋体"/>
          <w:color w:val="auto"/>
          <w:szCs w:val="21"/>
          <w:highlight w:val="none"/>
          <w:lang w:eastAsia="zh-TW"/>
        </w:rPr>
        <w:t>须标明“免费”。</w:t>
      </w:r>
    </w:p>
    <w:p>
      <w:pPr>
        <w:numPr>
          <w:ilvl w:val="1"/>
          <w:numId w:val="37"/>
        </w:numPr>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lang w:eastAsia="zh-TW"/>
        </w:rPr>
        <w:t>投标人根据本须知</w:t>
      </w:r>
      <w:r>
        <w:rPr>
          <w:rFonts w:hint="eastAsia" w:ascii="宋体" w:hAnsi="宋体" w:cs="宋体"/>
          <w:color w:val="auto"/>
          <w:szCs w:val="21"/>
          <w:highlight w:val="none"/>
        </w:rPr>
        <w:t>第12.2条</w:t>
      </w:r>
      <w:r>
        <w:rPr>
          <w:rFonts w:hint="eastAsia" w:ascii="宋体" w:hAnsi="宋体" w:cs="宋体"/>
          <w:color w:val="auto"/>
          <w:szCs w:val="21"/>
          <w:highlight w:val="none"/>
          <w:lang w:eastAsia="zh-TW"/>
        </w:rPr>
        <w:t>的规定将投标</w:t>
      </w:r>
      <w:r>
        <w:rPr>
          <w:rFonts w:hint="eastAsia" w:ascii="宋体" w:hAnsi="宋体" w:cs="宋体"/>
          <w:color w:val="auto"/>
          <w:szCs w:val="21"/>
          <w:highlight w:val="none"/>
        </w:rPr>
        <w:t>报</w:t>
      </w:r>
      <w:r>
        <w:rPr>
          <w:rFonts w:hint="eastAsia" w:ascii="宋体" w:hAnsi="宋体" w:cs="宋体"/>
          <w:color w:val="auto"/>
          <w:szCs w:val="21"/>
          <w:highlight w:val="none"/>
          <w:lang w:eastAsia="zh-TW"/>
        </w:rPr>
        <w:t>价分成几部分</w:t>
      </w:r>
      <w:r>
        <w:rPr>
          <w:rFonts w:hint="eastAsia" w:ascii="宋体" w:hAnsi="宋体" w:cs="宋体"/>
          <w:color w:val="auto"/>
          <w:szCs w:val="21"/>
          <w:highlight w:val="none"/>
        </w:rPr>
        <w:t>，</w:t>
      </w:r>
      <w:r>
        <w:rPr>
          <w:rFonts w:hint="eastAsia" w:ascii="宋体" w:hAnsi="宋体" w:cs="宋体"/>
          <w:color w:val="auto"/>
          <w:szCs w:val="21"/>
          <w:highlight w:val="none"/>
          <w:lang w:eastAsia="zh-TW"/>
        </w:rPr>
        <w:t>只是为了方便对</w:t>
      </w:r>
      <w:r>
        <w:rPr>
          <w:rFonts w:hint="eastAsia" w:ascii="宋体" w:hAnsi="宋体" w:cs="宋体"/>
          <w:color w:val="auto"/>
          <w:szCs w:val="21"/>
          <w:highlight w:val="none"/>
        </w:rPr>
        <w:t>投标文件进行比较，</w:t>
      </w:r>
      <w:r>
        <w:rPr>
          <w:rFonts w:hint="eastAsia" w:ascii="宋体" w:hAnsi="宋体" w:cs="宋体"/>
          <w:color w:val="auto"/>
          <w:szCs w:val="21"/>
          <w:highlight w:val="none"/>
          <w:lang w:eastAsia="zh-TW"/>
        </w:rPr>
        <w:t>并不限制招标人以上述任何条件订立合同的权力。</w:t>
      </w:r>
    </w:p>
    <w:p>
      <w:pPr>
        <w:numPr>
          <w:ilvl w:val="1"/>
          <w:numId w:val="37"/>
        </w:numPr>
        <w:autoSpaceDE w:val="0"/>
        <w:autoSpaceDN w:val="0"/>
        <w:adjustRightInd w:val="0"/>
        <w:snapToGrid w:val="0"/>
        <w:spacing w:line="360" w:lineRule="auto"/>
        <w:jc w:val="left"/>
        <w:rPr>
          <w:rFonts w:hint="eastAsia" w:ascii="宋体" w:hAnsi="宋体" w:cs="宋体"/>
          <w:color w:val="auto"/>
          <w:szCs w:val="21"/>
          <w:highlight w:val="none"/>
        </w:rPr>
      </w:pPr>
      <w:r>
        <w:rPr>
          <w:rFonts w:hint="eastAsia" w:ascii="宋体" w:hAnsi="宋体"/>
          <w:color w:val="auto"/>
          <w:szCs w:val="21"/>
          <w:highlight w:val="none"/>
        </w:rPr>
        <w:t>除</w:t>
      </w:r>
      <w:r>
        <w:rPr>
          <w:rFonts w:hint="eastAsia" w:ascii="宋体" w:hAnsi="宋体"/>
          <w:b/>
          <w:color w:val="auto"/>
          <w:szCs w:val="21"/>
          <w:highlight w:val="none"/>
        </w:rPr>
        <w:t>投标资料表</w:t>
      </w:r>
      <w:r>
        <w:rPr>
          <w:rFonts w:hint="eastAsia" w:ascii="宋体" w:hAnsi="宋体"/>
          <w:color w:val="auto"/>
          <w:szCs w:val="21"/>
          <w:highlight w:val="none"/>
        </w:rPr>
        <w:t>中另有规定，</w:t>
      </w:r>
      <w:r>
        <w:rPr>
          <w:rFonts w:hint="eastAsia" w:ascii="宋体" w:hAnsi="宋体" w:cs="宋体"/>
          <w:color w:val="auto"/>
          <w:szCs w:val="21"/>
          <w:highlight w:val="none"/>
          <w:lang w:eastAsia="zh-TW"/>
        </w:rPr>
        <w:t>投标人所报的投标价在合同执行过程中是固定不变的</w:t>
      </w:r>
      <w:r>
        <w:rPr>
          <w:rFonts w:hint="eastAsia" w:ascii="宋体" w:hAnsi="宋体" w:cs="宋体"/>
          <w:color w:val="auto"/>
          <w:szCs w:val="21"/>
          <w:highlight w:val="none"/>
        </w:rPr>
        <w:t>，</w:t>
      </w:r>
      <w:r>
        <w:rPr>
          <w:rFonts w:hint="eastAsia" w:ascii="宋体" w:hAnsi="宋体" w:cs="宋体"/>
          <w:color w:val="auto"/>
          <w:szCs w:val="21"/>
          <w:highlight w:val="none"/>
          <w:lang w:eastAsia="zh-TW"/>
        </w:rPr>
        <w:t>不得以任何理由予以变更。任何包含价格调整要求的投标被认为是非实质性响应投标而予以拒绝。</w:t>
      </w:r>
    </w:p>
    <w:p>
      <w:pPr>
        <w:numPr>
          <w:ilvl w:val="1"/>
          <w:numId w:val="37"/>
        </w:numPr>
        <w:autoSpaceDE w:val="0"/>
        <w:autoSpaceDN w:val="0"/>
        <w:adjustRightInd w:val="0"/>
        <w:snapToGrid w:val="0"/>
        <w:spacing w:line="360" w:lineRule="auto"/>
        <w:jc w:val="left"/>
        <w:rPr>
          <w:rFonts w:ascii="宋体" w:hAnsi="宋体"/>
          <w:color w:val="auto"/>
          <w:szCs w:val="21"/>
          <w:highlight w:val="none"/>
        </w:rPr>
      </w:pPr>
      <w:r>
        <w:rPr>
          <w:rFonts w:hint="eastAsia" w:ascii="宋体" w:hAnsi="宋体"/>
          <w:color w:val="auto"/>
          <w:szCs w:val="21"/>
          <w:highlight w:val="none"/>
        </w:rPr>
        <w:t>除</w:t>
      </w:r>
      <w:r>
        <w:rPr>
          <w:rFonts w:hint="eastAsia" w:ascii="宋体" w:hAnsi="宋体"/>
          <w:b/>
          <w:color w:val="auto"/>
          <w:szCs w:val="21"/>
          <w:highlight w:val="none"/>
        </w:rPr>
        <w:t>投标资料表</w:t>
      </w:r>
      <w:r>
        <w:rPr>
          <w:rFonts w:hint="eastAsia" w:ascii="宋体" w:hAnsi="宋体"/>
          <w:color w:val="auto"/>
          <w:szCs w:val="21"/>
          <w:highlight w:val="none"/>
        </w:rPr>
        <w:t>中允许有备选方案外，本次招标不接受选择性报价，</w:t>
      </w:r>
      <w:r>
        <w:rPr>
          <w:rFonts w:hint="eastAsia" w:ascii="宋体" w:hAnsi="宋体" w:cs="宋体"/>
          <w:color w:val="auto"/>
          <w:szCs w:val="21"/>
          <w:highlight w:val="none"/>
        </w:rPr>
        <w:t>否则将被视为无效投标。</w:t>
      </w:r>
    </w:p>
    <w:p>
      <w:pPr>
        <w:numPr>
          <w:ilvl w:val="1"/>
          <w:numId w:val="37"/>
        </w:numPr>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除</w:t>
      </w:r>
      <w:r>
        <w:rPr>
          <w:rFonts w:hint="eastAsia" w:ascii="宋体" w:hAnsi="宋体"/>
          <w:b/>
          <w:color w:val="auto"/>
          <w:szCs w:val="21"/>
          <w:highlight w:val="none"/>
        </w:rPr>
        <w:t>投标资料表</w:t>
      </w:r>
      <w:r>
        <w:rPr>
          <w:rFonts w:hint="eastAsia" w:ascii="宋体" w:hAnsi="宋体"/>
          <w:color w:val="auto"/>
          <w:szCs w:val="21"/>
          <w:highlight w:val="none"/>
        </w:rPr>
        <w:t>另有规定外，本次招标不接受具有附加条件的报价，否则将被视为无效投标。</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39" w:name="_Toc355879682"/>
      <w:bookmarkStart w:id="40" w:name="_Toc13138"/>
      <w:r>
        <w:rPr>
          <w:rFonts w:hint="eastAsia" w:ascii="宋体" w:hAnsi="宋体"/>
          <w:b/>
          <w:bCs/>
          <w:color w:val="auto"/>
          <w:szCs w:val="21"/>
          <w:highlight w:val="none"/>
        </w:rPr>
        <w:t>投标货币</w:t>
      </w:r>
      <w:bookmarkEnd w:id="39"/>
      <w:bookmarkEnd w:id="40"/>
    </w:p>
    <w:p>
      <w:pPr>
        <w:numPr>
          <w:ilvl w:val="1"/>
          <w:numId w:val="37"/>
        </w:numPr>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投标人所提供的货物和服务均应以人民币报价。</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41" w:name="_Toc355879683"/>
      <w:bookmarkStart w:id="42" w:name="_Toc23994"/>
      <w:r>
        <w:rPr>
          <w:rFonts w:hint="eastAsia" w:ascii="宋体" w:hAnsi="宋体"/>
          <w:b/>
          <w:bCs/>
          <w:color w:val="auto"/>
          <w:szCs w:val="21"/>
          <w:highlight w:val="none"/>
        </w:rPr>
        <w:t>联合体投标</w:t>
      </w:r>
      <w:bookmarkEnd w:id="41"/>
      <w:bookmarkEnd w:id="42"/>
    </w:p>
    <w:p>
      <w:pPr>
        <w:numPr>
          <w:ilvl w:val="1"/>
          <w:numId w:val="37"/>
        </w:numPr>
        <w:autoSpaceDE w:val="0"/>
        <w:autoSpaceDN w:val="0"/>
        <w:adjustRightInd w:val="0"/>
        <w:snapToGrid w:val="0"/>
        <w:spacing w:line="360" w:lineRule="auto"/>
        <w:jc w:val="left"/>
        <w:rPr>
          <w:rFonts w:hint="eastAsia" w:ascii="宋体" w:hAnsi="宋体" w:cs="黑体"/>
          <w:b/>
          <w:bCs/>
          <w:color w:val="auto"/>
          <w:szCs w:val="21"/>
          <w:highlight w:val="none"/>
        </w:rPr>
      </w:pPr>
      <w:r>
        <w:rPr>
          <w:rFonts w:hint="eastAsia" w:ascii="宋体" w:hAnsi="宋体"/>
          <w:color w:val="auto"/>
          <w:szCs w:val="21"/>
          <w:highlight w:val="none"/>
        </w:rPr>
        <w:t>除非</w:t>
      </w:r>
      <w:r>
        <w:rPr>
          <w:rFonts w:hint="eastAsia" w:ascii="宋体" w:hAnsi="宋体"/>
          <w:b/>
          <w:color w:val="auto"/>
          <w:szCs w:val="21"/>
          <w:highlight w:val="none"/>
        </w:rPr>
        <w:t>投标邀请函</w:t>
      </w:r>
      <w:r>
        <w:rPr>
          <w:rFonts w:hint="eastAsia" w:ascii="宋体" w:hAnsi="宋体"/>
          <w:color w:val="auto"/>
          <w:szCs w:val="21"/>
          <w:highlight w:val="none"/>
        </w:rPr>
        <w:t>中另有规定，不接受联合体投标。如果投标邀请函中规定允许联合体投标的，则必须满足：</w:t>
      </w:r>
    </w:p>
    <w:p>
      <w:pPr>
        <w:numPr>
          <w:ilvl w:val="2"/>
          <w:numId w:val="37"/>
        </w:numPr>
        <w:tabs>
          <w:tab w:val="left" w:pos="851"/>
          <w:tab w:val="left" w:pos="1418"/>
          <w:tab w:val="left" w:pos="1985"/>
          <w:tab w:val="clear" w:pos="1135"/>
        </w:tabs>
        <w:autoSpaceDE w:val="0"/>
        <w:autoSpaceDN w:val="0"/>
        <w:adjustRightInd w:val="0"/>
        <w:snapToGrid w:val="0"/>
        <w:spacing w:line="360" w:lineRule="auto"/>
        <w:ind w:left="1418" w:hanging="850"/>
        <w:jc w:val="left"/>
        <w:rPr>
          <w:rFonts w:hint="eastAsia" w:ascii="宋体" w:hAnsi="宋体" w:cs="宋体"/>
          <w:color w:val="auto"/>
          <w:szCs w:val="21"/>
          <w:highlight w:val="none"/>
        </w:rPr>
      </w:pPr>
      <w:r>
        <w:rPr>
          <w:rFonts w:hint="eastAsia" w:ascii="宋体" w:hAnsi="宋体" w:cs="宋体"/>
          <w:color w:val="auto"/>
          <w:szCs w:val="21"/>
          <w:highlight w:val="none"/>
        </w:rPr>
        <w:t xml:space="preserve">以联合体形式参加投标的，联合体各方均必须符合本须知“合格的投标人”的一般规定，并至少有一方符合满足“合格的投标人”的特殊条款要求； </w:t>
      </w:r>
    </w:p>
    <w:p>
      <w:pPr>
        <w:numPr>
          <w:ilvl w:val="2"/>
          <w:numId w:val="37"/>
        </w:numPr>
        <w:tabs>
          <w:tab w:val="left" w:pos="851"/>
          <w:tab w:val="left" w:pos="1418"/>
          <w:tab w:val="clear" w:pos="1135"/>
        </w:tabs>
        <w:autoSpaceDE w:val="0"/>
        <w:autoSpaceDN w:val="0"/>
        <w:adjustRightInd w:val="0"/>
        <w:snapToGrid w:val="0"/>
        <w:spacing w:line="360" w:lineRule="auto"/>
        <w:ind w:left="1418" w:hanging="850"/>
        <w:jc w:val="left"/>
        <w:rPr>
          <w:rFonts w:hint="eastAsia" w:ascii="宋体" w:hAnsi="宋体" w:cs="宋体"/>
          <w:color w:val="auto"/>
          <w:szCs w:val="21"/>
          <w:highlight w:val="none"/>
        </w:rPr>
      </w:pPr>
      <w:r>
        <w:rPr>
          <w:rFonts w:hint="eastAsia" w:ascii="宋体" w:hAnsi="宋体" w:cs="宋体"/>
          <w:color w:val="auto"/>
          <w:szCs w:val="21"/>
          <w:highlight w:val="none"/>
        </w:rPr>
        <w:t>联合体投标的，必须提供各方签订的共同投标协议，明确约定各方承担的工作和相应的责任。联合体各方签订共同投标协议后，不得再以自己名义单独在同一项目（或包组）中投标，也不得组成新的联合体参加同一项目（或包组）投标；</w:t>
      </w:r>
    </w:p>
    <w:p>
      <w:pPr>
        <w:numPr>
          <w:ilvl w:val="2"/>
          <w:numId w:val="37"/>
        </w:numPr>
        <w:tabs>
          <w:tab w:val="left" w:pos="851"/>
          <w:tab w:val="left" w:pos="1418"/>
          <w:tab w:val="clear" w:pos="1135"/>
        </w:tabs>
        <w:autoSpaceDE w:val="0"/>
        <w:autoSpaceDN w:val="0"/>
        <w:adjustRightInd w:val="0"/>
        <w:snapToGrid w:val="0"/>
        <w:spacing w:line="360" w:lineRule="auto"/>
        <w:ind w:left="1418" w:hanging="850"/>
        <w:jc w:val="left"/>
        <w:rPr>
          <w:rFonts w:hint="eastAsia" w:ascii="宋体" w:hAnsi="宋体" w:cs="宋体"/>
          <w:color w:val="auto"/>
          <w:szCs w:val="21"/>
          <w:highlight w:val="none"/>
        </w:rPr>
      </w:pPr>
      <w:r>
        <w:rPr>
          <w:rFonts w:hint="eastAsia" w:ascii="宋体" w:hAnsi="宋体" w:cs="宋体"/>
          <w:color w:val="auto"/>
          <w:szCs w:val="21"/>
          <w:highlight w:val="none"/>
        </w:rPr>
        <w:t>联合体投标的，可以由联合体中的一方或者共同提交投标保证金，以一方名义提交投标保证金的，对联合体各方均具有约束力。</w:t>
      </w:r>
    </w:p>
    <w:p>
      <w:pPr>
        <w:numPr>
          <w:ilvl w:val="2"/>
          <w:numId w:val="37"/>
        </w:numPr>
        <w:tabs>
          <w:tab w:val="left" w:pos="851"/>
          <w:tab w:val="left" w:pos="1418"/>
        </w:tabs>
        <w:autoSpaceDE w:val="0"/>
        <w:autoSpaceDN w:val="0"/>
        <w:adjustRightInd w:val="0"/>
        <w:snapToGrid w:val="0"/>
        <w:spacing w:line="360" w:lineRule="auto"/>
        <w:jc w:val="left"/>
        <w:rPr>
          <w:rFonts w:hint="eastAsia" w:ascii="宋体" w:hAnsi="宋体" w:cs="宋体"/>
          <w:color w:val="auto"/>
          <w:szCs w:val="21"/>
          <w:highlight w:val="none"/>
        </w:rPr>
      </w:pPr>
      <w:r>
        <w:rPr>
          <w:rFonts w:ascii="宋体" w:hAnsi="宋体" w:cs="宋体"/>
          <w:color w:val="auto"/>
          <w:szCs w:val="21"/>
          <w:highlight w:val="none"/>
        </w:rPr>
        <w:t>联合体</w:t>
      </w:r>
      <w:r>
        <w:rPr>
          <w:rFonts w:hint="eastAsia" w:ascii="宋体" w:hAnsi="宋体" w:cs="宋体"/>
          <w:color w:val="auto"/>
          <w:szCs w:val="21"/>
          <w:highlight w:val="none"/>
        </w:rPr>
        <w:t>中标</w:t>
      </w:r>
      <w:r>
        <w:rPr>
          <w:rFonts w:ascii="宋体" w:hAnsi="宋体" w:cs="宋体"/>
          <w:color w:val="auto"/>
          <w:szCs w:val="21"/>
          <w:highlight w:val="none"/>
        </w:rPr>
        <w:t>的，联合体各方应当共同与</w:t>
      </w:r>
      <w:r>
        <w:rPr>
          <w:rFonts w:hint="eastAsia" w:ascii="宋体" w:hAnsi="宋体" w:cs="宋体"/>
          <w:color w:val="auto"/>
          <w:szCs w:val="21"/>
          <w:highlight w:val="none"/>
        </w:rPr>
        <w:t>招标人</w:t>
      </w:r>
      <w:r>
        <w:rPr>
          <w:rFonts w:ascii="宋体" w:hAnsi="宋体" w:cs="宋体"/>
          <w:color w:val="auto"/>
          <w:szCs w:val="21"/>
          <w:highlight w:val="none"/>
        </w:rPr>
        <w:t>签订合同。</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43" w:name="_Toc355879684"/>
      <w:bookmarkStart w:id="44" w:name="_Toc15507"/>
      <w:r>
        <w:rPr>
          <w:rFonts w:hint="eastAsia" w:ascii="宋体" w:hAnsi="宋体"/>
          <w:b/>
          <w:bCs/>
          <w:color w:val="auto"/>
          <w:szCs w:val="21"/>
          <w:highlight w:val="none"/>
        </w:rPr>
        <w:t>证明投标人合格和资格的文件</w:t>
      </w:r>
      <w:bookmarkEnd w:id="43"/>
      <w:bookmarkEnd w:id="44"/>
    </w:p>
    <w:p>
      <w:pPr>
        <w:numPr>
          <w:ilvl w:val="1"/>
          <w:numId w:val="37"/>
        </w:numPr>
        <w:autoSpaceDE w:val="0"/>
        <w:autoSpaceDN w:val="0"/>
        <w:adjustRightInd w:val="0"/>
        <w:snapToGrid w:val="0"/>
        <w:spacing w:line="360" w:lineRule="auto"/>
        <w:jc w:val="left"/>
        <w:rPr>
          <w:rFonts w:ascii="宋体" w:hAnsi="宋体" w:cs="黑体"/>
          <w:b/>
          <w:bCs/>
          <w:color w:val="auto"/>
          <w:szCs w:val="21"/>
          <w:highlight w:val="none"/>
        </w:rPr>
      </w:pPr>
      <w:r>
        <w:rPr>
          <w:rFonts w:hint="eastAsia" w:ascii="宋体" w:hAnsi="宋体" w:cs="宋体"/>
          <w:color w:val="auto"/>
          <w:szCs w:val="21"/>
          <w:highlight w:val="none"/>
          <w:lang w:eastAsia="zh-TW"/>
        </w:rPr>
        <w:t>投标人应提交证明其有资格参加投标和中标后有能力履行合同的文件</w:t>
      </w:r>
      <w:r>
        <w:rPr>
          <w:rFonts w:hint="eastAsia" w:ascii="宋体" w:hAnsi="宋体" w:cs="宋体"/>
          <w:color w:val="auto"/>
          <w:szCs w:val="21"/>
          <w:highlight w:val="none"/>
        </w:rPr>
        <w:t>，</w:t>
      </w:r>
      <w:r>
        <w:rPr>
          <w:rFonts w:hint="eastAsia" w:ascii="宋体" w:hAnsi="宋体" w:cs="宋体"/>
          <w:color w:val="auto"/>
          <w:szCs w:val="21"/>
          <w:highlight w:val="none"/>
          <w:lang w:eastAsia="zh-TW"/>
        </w:rPr>
        <w:t>并作为其投标文件的一部分。如果投标人为联合体</w:t>
      </w:r>
      <w:r>
        <w:rPr>
          <w:rFonts w:hint="eastAsia" w:ascii="宋体" w:hAnsi="宋体" w:cs="宋体"/>
          <w:color w:val="auto"/>
          <w:szCs w:val="21"/>
          <w:highlight w:val="none"/>
        </w:rPr>
        <w:t>，</w:t>
      </w:r>
      <w:r>
        <w:rPr>
          <w:rFonts w:hint="eastAsia" w:ascii="宋体" w:hAnsi="宋体" w:cs="宋体"/>
          <w:color w:val="auto"/>
          <w:szCs w:val="21"/>
          <w:highlight w:val="none"/>
          <w:lang w:eastAsia="zh-TW"/>
        </w:rPr>
        <w:t>应提交联合体各方的资格证明文件、</w:t>
      </w:r>
      <w:r>
        <w:rPr>
          <w:rFonts w:hint="eastAsia" w:ascii="宋体" w:hAnsi="宋体" w:cs="宋体"/>
          <w:color w:val="auto"/>
          <w:szCs w:val="21"/>
          <w:highlight w:val="none"/>
        </w:rPr>
        <w:t>共同投标协议</w:t>
      </w:r>
      <w:r>
        <w:rPr>
          <w:rFonts w:hint="eastAsia" w:ascii="宋体" w:hAnsi="宋体" w:cs="宋体"/>
          <w:color w:val="auto"/>
          <w:szCs w:val="21"/>
          <w:highlight w:val="none"/>
          <w:lang w:eastAsia="zh-TW"/>
        </w:rPr>
        <w:t>并注明主体方</w:t>
      </w:r>
      <w:r>
        <w:rPr>
          <w:rFonts w:hint="eastAsia" w:ascii="宋体" w:hAnsi="宋体" w:cs="宋体"/>
          <w:color w:val="auto"/>
          <w:szCs w:val="21"/>
          <w:highlight w:val="none"/>
        </w:rPr>
        <w:t>及各方拟承担的工作和责任。</w:t>
      </w:r>
      <w:r>
        <w:rPr>
          <w:rFonts w:hint="eastAsia" w:ascii="宋体" w:hAnsi="宋体" w:cs="宋体"/>
          <w:color w:val="auto"/>
          <w:szCs w:val="21"/>
          <w:highlight w:val="none"/>
          <w:lang w:eastAsia="zh-TW"/>
        </w:rPr>
        <w:t>否则</w:t>
      </w:r>
      <w:r>
        <w:rPr>
          <w:rFonts w:hint="eastAsia" w:ascii="宋体" w:hAnsi="宋体" w:cs="宋体"/>
          <w:color w:val="auto"/>
          <w:szCs w:val="21"/>
          <w:highlight w:val="none"/>
        </w:rPr>
        <w:t>，</w:t>
      </w:r>
      <w:r>
        <w:rPr>
          <w:rFonts w:hint="eastAsia" w:ascii="宋体" w:hAnsi="宋体" w:cs="宋体"/>
          <w:color w:val="auto"/>
          <w:szCs w:val="21"/>
          <w:highlight w:val="none"/>
          <w:lang w:eastAsia="zh-TW"/>
        </w:rPr>
        <w:t>将导致其投标</w:t>
      </w:r>
      <w:r>
        <w:rPr>
          <w:rFonts w:hint="eastAsia" w:ascii="宋体" w:hAnsi="宋体" w:cs="宋体"/>
          <w:color w:val="auto"/>
          <w:szCs w:val="21"/>
          <w:highlight w:val="none"/>
        </w:rPr>
        <w:t>无效。</w:t>
      </w:r>
    </w:p>
    <w:p>
      <w:pPr>
        <w:numPr>
          <w:ilvl w:val="1"/>
          <w:numId w:val="37"/>
        </w:numPr>
        <w:autoSpaceDE w:val="0"/>
        <w:autoSpaceDN w:val="0"/>
        <w:adjustRightInd w:val="0"/>
        <w:snapToGrid w:val="0"/>
        <w:spacing w:line="360" w:lineRule="auto"/>
        <w:rPr>
          <w:rFonts w:ascii="宋体" w:hAnsi="宋体" w:cs="宋体"/>
          <w:color w:val="auto"/>
          <w:szCs w:val="21"/>
          <w:highlight w:val="none"/>
          <w:lang w:eastAsia="zh-TW"/>
        </w:rPr>
      </w:pPr>
      <w:r>
        <w:rPr>
          <w:rFonts w:hint="eastAsia" w:ascii="宋体" w:hAnsi="宋体" w:cs="宋体"/>
          <w:color w:val="auto"/>
          <w:szCs w:val="21"/>
          <w:highlight w:val="none"/>
          <w:lang w:eastAsia="zh-TW"/>
        </w:rPr>
        <w:t>投标人提交的资格证明文件应证明其</w:t>
      </w:r>
      <w:r>
        <w:rPr>
          <w:rFonts w:hint="eastAsia" w:ascii="宋体" w:hAnsi="宋体" w:cs="宋体"/>
          <w:color w:val="auto"/>
          <w:szCs w:val="21"/>
          <w:highlight w:val="none"/>
        </w:rPr>
        <w:t>满足</w:t>
      </w:r>
      <w:r>
        <w:rPr>
          <w:rFonts w:hint="eastAsia" w:ascii="宋体" w:hAnsi="宋体" w:cs="宋体"/>
          <w:color w:val="auto"/>
          <w:szCs w:val="21"/>
          <w:highlight w:val="none"/>
          <w:lang w:eastAsia="zh-TW"/>
        </w:rPr>
        <w:t>本须知定义的合格投标人。</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45" w:name="_Toc355879685"/>
      <w:bookmarkStart w:id="46" w:name="_Toc14538"/>
      <w:r>
        <w:rPr>
          <w:rFonts w:hint="eastAsia" w:ascii="宋体" w:hAnsi="宋体"/>
          <w:b/>
          <w:bCs/>
          <w:color w:val="auto"/>
          <w:szCs w:val="21"/>
          <w:highlight w:val="none"/>
        </w:rPr>
        <w:t>证明服务的合格性和符合招标文件规定的文件</w:t>
      </w:r>
      <w:bookmarkEnd w:id="45"/>
      <w:bookmarkEnd w:id="46"/>
    </w:p>
    <w:p>
      <w:pPr>
        <w:numPr>
          <w:ilvl w:val="1"/>
          <w:numId w:val="37"/>
        </w:numPr>
        <w:autoSpaceDE w:val="0"/>
        <w:autoSpaceDN w:val="0"/>
        <w:adjustRightInd w:val="0"/>
        <w:snapToGrid w:val="0"/>
        <w:spacing w:line="360" w:lineRule="auto"/>
        <w:rPr>
          <w:rFonts w:ascii="宋体" w:hAnsi="宋体" w:cs="黑体"/>
          <w:b/>
          <w:bCs/>
          <w:color w:val="auto"/>
          <w:szCs w:val="21"/>
          <w:highlight w:val="none"/>
        </w:rPr>
      </w:pPr>
      <w:r>
        <w:rPr>
          <w:rFonts w:hint="eastAsia" w:ascii="宋体" w:hAnsi="宋体" w:cs="宋体"/>
          <w:color w:val="auto"/>
          <w:szCs w:val="21"/>
          <w:highlight w:val="none"/>
          <w:lang w:eastAsia="zh-TW"/>
        </w:rPr>
        <w:t>投标人应提交证明文件</w:t>
      </w:r>
      <w:r>
        <w:rPr>
          <w:rFonts w:hint="eastAsia" w:ascii="宋体" w:hAnsi="宋体" w:cs="宋体"/>
          <w:color w:val="auto"/>
          <w:szCs w:val="21"/>
          <w:highlight w:val="none"/>
        </w:rPr>
        <w:t>，</w:t>
      </w:r>
      <w:r>
        <w:rPr>
          <w:rFonts w:hint="eastAsia" w:ascii="宋体" w:hAnsi="宋体" w:cs="宋体"/>
          <w:color w:val="auto"/>
          <w:szCs w:val="21"/>
          <w:highlight w:val="none"/>
          <w:lang w:eastAsia="zh-TW"/>
        </w:rPr>
        <w:t>证明其拟</w:t>
      </w:r>
      <w:r>
        <w:rPr>
          <w:rFonts w:hint="eastAsia" w:ascii="宋体" w:hAnsi="宋体" w:cs="宋体"/>
          <w:color w:val="auto"/>
          <w:szCs w:val="21"/>
          <w:highlight w:val="none"/>
        </w:rPr>
        <w:t>投标</w:t>
      </w:r>
      <w:r>
        <w:rPr>
          <w:rFonts w:hint="eastAsia" w:ascii="宋体" w:hAnsi="宋体" w:cs="宋体"/>
          <w:color w:val="auto"/>
          <w:szCs w:val="21"/>
          <w:highlight w:val="none"/>
          <w:lang w:eastAsia="zh-TW"/>
        </w:rPr>
        <w:t>的服务的合格性符合招标文件规定。该证明文件作为投标文件的一部分。</w:t>
      </w:r>
    </w:p>
    <w:p>
      <w:pPr>
        <w:numPr>
          <w:ilvl w:val="1"/>
          <w:numId w:val="37"/>
        </w:numPr>
        <w:autoSpaceDE w:val="0"/>
        <w:autoSpaceDN w:val="0"/>
        <w:adjustRightInd w:val="0"/>
        <w:snapToGrid w:val="0"/>
        <w:spacing w:line="360" w:lineRule="auto"/>
        <w:rPr>
          <w:rFonts w:ascii="宋体" w:hAnsi="宋体" w:cs="宋体"/>
          <w:color w:val="auto"/>
          <w:szCs w:val="21"/>
          <w:highlight w:val="none"/>
          <w:lang w:eastAsia="zh-TW"/>
        </w:rPr>
      </w:pPr>
      <w:r>
        <w:rPr>
          <w:rFonts w:hint="eastAsia" w:ascii="宋体" w:hAnsi="宋体" w:cs="宋体"/>
          <w:color w:val="auto"/>
          <w:szCs w:val="21"/>
          <w:highlight w:val="none"/>
          <w:lang w:eastAsia="zh-TW"/>
        </w:rPr>
        <w:t>证明货物和服务与招标文件的要求相一致的文件，可以是文字资料、图纸和数据，它包括：</w:t>
      </w:r>
    </w:p>
    <w:p>
      <w:pPr>
        <w:numPr>
          <w:ilvl w:val="2"/>
          <w:numId w:val="37"/>
        </w:numPr>
        <w:tabs>
          <w:tab w:val="left" w:pos="851"/>
          <w:tab w:val="left" w:pos="1418"/>
        </w:tabs>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rPr>
        <w:t>服务主要内容、方案、质量、标准指标等的详细说明；</w:t>
      </w:r>
    </w:p>
    <w:p>
      <w:pPr>
        <w:numPr>
          <w:ilvl w:val="2"/>
          <w:numId w:val="37"/>
        </w:numPr>
        <w:tabs>
          <w:tab w:val="left" w:pos="851"/>
          <w:tab w:val="left" w:pos="1418"/>
          <w:tab w:val="clear" w:pos="1135"/>
        </w:tabs>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s="宋体"/>
          <w:color w:val="auto"/>
          <w:szCs w:val="21"/>
          <w:highlight w:val="none"/>
        </w:rPr>
        <w:t xml:space="preserve">对照招标文件服务内容与要求，逐条说明所提供服务已对招标文件的服务内容与要 </w:t>
      </w:r>
    </w:p>
    <w:p>
      <w:pPr>
        <w:tabs>
          <w:tab w:val="left" w:pos="851"/>
          <w:tab w:val="left" w:pos="1418"/>
        </w:tabs>
        <w:autoSpaceDE w:val="0"/>
        <w:autoSpaceDN w:val="0"/>
        <w:adjustRightInd w:val="0"/>
        <w:snapToGrid w:val="0"/>
        <w:spacing w:line="360" w:lineRule="auto"/>
        <w:ind w:left="567" w:leftChars="270" w:firstLine="850" w:firstLineChars="405"/>
        <w:rPr>
          <w:rFonts w:hint="eastAsia" w:ascii="宋体" w:hAnsi="宋体" w:cs="宋体"/>
          <w:color w:val="auto"/>
          <w:szCs w:val="21"/>
          <w:highlight w:val="none"/>
        </w:rPr>
      </w:pPr>
      <w:r>
        <w:rPr>
          <w:rFonts w:hint="eastAsia" w:ascii="宋体" w:hAnsi="宋体" w:cs="宋体"/>
          <w:color w:val="auto"/>
          <w:szCs w:val="21"/>
          <w:highlight w:val="none"/>
        </w:rPr>
        <w:t>求作出了实质性的响应，并申明与服务内容与要求条文的偏差和例外。特别对有具</w:t>
      </w:r>
    </w:p>
    <w:p>
      <w:pPr>
        <w:tabs>
          <w:tab w:val="left" w:pos="851"/>
          <w:tab w:val="left" w:pos="1418"/>
        </w:tabs>
        <w:autoSpaceDE w:val="0"/>
        <w:autoSpaceDN w:val="0"/>
        <w:adjustRightInd w:val="0"/>
        <w:snapToGrid w:val="0"/>
        <w:spacing w:line="360" w:lineRule="auto"/>
        <w:ind w:left="567" w:leftChars="270" w:firstLine="850" w:firstLineChars="405"/>
        <w:rPr>
          <w:rFonts w:hint="eastAsia" w:ascii="宋体" w:hAnsi="宋体" w:cs="宋体"/>
          <w:color w:val="auto"/>
          <w:szCs w:val="21"/>
          <w:highlight w:val="none"/>
        </w:rPr>
      </w:pPr>
      <w:r>
        <w:rPr>
          <w:rFonts w:hint="eastAsia" w:ascii="宋体" w:hAnsi="宋体" w:cs="宋体"/>
          <w:color w:val="auto"/>
          <w:szCs w:val="21"/>
          <w:highlight w:val="none"/>
        </w:rPr>
        <w:t>体参数要求的指标，投标人须提供所投服务的具体参数值。投标人在阐述时应注意</w:t>
      </w:r>
    </w:p>
    <w:p>
      <w:pPr>
        <w:tabs>
          <w:tab w:val="left" w:pos="851"/>
          <w:tab w:val="left" w:pos="1418"/>
        </w:tabs>
        <w:autoSpaceDE w:val="0"/>
        <w:autoSpaceDN w:val="0"/>
        <w:adjustRightInd w:val="0"/>
        <w:snapToGrid w:val="0"/>
        <w:spacing w:line="360" w:lineRule="auto"/>
        <w:ind w:left="567" w:leftChars="270" w:firstLine="850" w:firstLineChars="405"/>
        <w:rPr>
          <w:rFonts w:hint="eastAsia" w:ascii="宋体" w:hAnsi="宋体" w:cs="宋体"/>
          <w:color w:val="auto"/>
          <w:szCs w:val="21"/>
          <w:highlight w:val="none"/>
        </w:rPr>
      </w:pPr>
      <w:r>
        <w:rPr>
          <w:rFonts w:hint="eastAsia" w:ascii="宋体" w:hAnsi="宋体" w:cs="宋体"/>
          <w:color w:val="auto"/>
          <w:szCs w:val="21"/>
          <w:highlight w:val="none"/>
        </w:rPr>
        <w:t>招标文件的服务内容、要求和标准。投标人在投标中要实质上满足或超过招标文件</w:t>
      </w:r>
    </w:p>
    <w:p>
      <w:pPr>
        <w:tabs>
          <w:tab w:val="left" w:pos="851"/>
          <w:tab w:val="left" w:pos="1418"/>
        </w:tabs>
        <w:autoSpaceDE w:val="0"/>
        <w:autoSpaceDN w:val="0"/>
        <w:adjustRightInd w:val="0"/>
        <w:snapToGrid w:val="0"/>
        <w:spacing w:line="360" w:lineRule="auto"/>
        <w:ind w:left="567" w:leftChars="270" w:firstLine="850" w:firstLineChars="405"/>
        <w:rPr>
          <w:rFonts w:ascii="宋体" w:hAnsi="宋体"/>
          <w:color w:val="auto"/>
          <w:szCs w:val="21"/>
          <w:highlight w:val="none"/>
        </w:rPr>
      </w:pPr>
      <w:r>
        <w:rPr>
          <w:rFonts w:hint="eastAsia" w:ascii="宋体" w:hAnsi="宋体" w:cs="宋体"/>
          <w:color w:val="auto"/>
          <w:szCs w:val="21"/>
          <w:highlight w:val="none"/>
        </w:rPr>
        <w:t>的要求。</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47" w:name="_Toc355879686"/>
      <w:bookmarkStart w:id="48" w:name="_Toc8468"/>
      <w:r>
        <w:rPr>
          <w:rFonts w:hint="eastAsia" w:ascii="宋体" w:hAnsi="宋体"/>
          <w:b/>
          <w:bCs/>
          <w:color w:val="auto"/>
          <w:szCs w:val="21"/>
          <w:highlight w:val="none"/>
        </w:rPr>
        <w:t>投标保证金</w:t>
      </w:r>
      <w:bookmarkEnd w:id="47"/>
      <w:bookmarkEnd w:id="48"/>
    </w:p>
    <w:p>
      <w:pPr>
        <w:numPr>
          <w:ilvl w:val="1"/>
          <w:numId w:val="37"/>
        </w:numPr>
        <w:autoSpaceDE w:val="0"/>
        <w:autoSpaceDN w:val="0"/>
        <w:adjustRightInd w:val="0"/>
        <w:snapToGrid w:val="0"/>
        <w:spacing w:line="360" w:lineRule="auto"/>
        <w:jc w:val="left"/>
        <w:rPr>
          <w:rFonts w:hint="eastAsia" w:ascii="宋体" w:hAnsi="宋体" w:cs="黑体"/>
          <w:b/>
          <w:bCs/>
          <w:color w:val="auto"/>
          <w:szCs w:val="21"/>
          <w:highlight w:val="none"/>
        </w:rPr>
      </w:pPr>
      <w:bookmarkStart w:id="49" w:name="_Toc355879687"/>
      <w:r>
        <w:rPr>
          <w:rFonts w:hint="eastAsia" w:ascii="宋体" w:hAnsi="宋体" w:cs="宋体"/>
          <w:color w:val="auto"/>
          <w:szCs w:val="21"/>
          <w:highlight w:val="none"/>
          <w:lang w:eastAsia="zh-TW"/>
        </w:rPr>
        <w:t>投标人应</w:t>
      </w:r>
      <w:r>
        <w:rPr>
          <w:rFonts w:hint="eastAsia" w:ascii="宋体" w:hAnsi="宋体" w:cs="宋体"/>
          <w:color w:val="auto"/>
          <w:szCs w:val="21"/>
          <w:highlight w:val="none"/>
        </w:rPr>
        <w:t>按</w:t>
      </w:r>
      <w:r>
        <w:rPr>
          <w:rFonts w:hint="eastAsia" w:ascii="宋体" w:hAnsi="宋体" w:cs="宋体"/>
          <w:b/>
          <w:color w:val="auto"/>
          <w:szCs w:val="21"/>
          <w:highlight w:val="none"/>
          <w:lang w:eastAsia="zh-TW"/>
        </w:rPr>
        <w:t>投标资料表</w:t>
      </w:r>
      <w:r>
        <w:rPr>
          <w:rFonts w:hint="eastAsia" w:ascii="宋体" w:hAnsi="宋体" w:cs="宋体"/>
          <w:color w:val="auto"/>
          <w:szCs w:val="21"/>
          <w:highlight w:val="none"/>
          <w:lang w:eastAsia="zh-TW"/>
        </w:rPr>
        <w:t>中规定</w:t>
      </w:r>
      <w:r>
        <w:rPr>
          <w:rFonts w:hint="eastAsia" w:ascii="宋体" w:hAnsi="宋体" w:cs="宋体"/>
          <w:color w:val="auto"/>
          <w:szCs w:val="21"/>
          <w:highlight w:val="none"/>
        </w:rPr>
        <w:t>的金</w:t>
      </w:r>
      <w:r>
        <w:rPr>
          <w:rFonts w:hint="eastAsia" w:ascii="宋体" w:hAnsi="宋体" w:cs="宋体"/>
          <w:color w:val="auto"/>
          <w:szCs w:val="21"/>
          <w:highlight w:val="none"/>
          <w:lang w:eastAsia="zh-TW"/>
        </w:rPr>
        <w:t>额</w:t>
      </w:r>
      <w:r>
        <w:rPr>
          <w:rFonts w:hint="eastAsia" w:ascii="宋体" w:hAnsi="宋体" w:cs="宋体"/>
          <w:color w:val="auto"/>
          <w:szCs w:val="21"/>
          <w:highlight w:val="none"/>
        </w:rPr>
        <w:t>、期限缴纳</w:t>
      </w:r>
      <w:r>
        <w:rPr>
          <w:rFonts w:hint="eastAsia" w:ascii="宋体" w:hAnsi="宋体" w:cs="宋体"/>
          <w:color w:val="auto"/>
          <w:szCs w:val="21"/>
          <w:highlight w:val="none"/>
          <w:lang w:eastAsia="zh-TW"/>
        </w:rPr>
        <w:t>投标保证金</w:t>
      </w:r>
      <w:r>
        <w:rPr>
          <w:rFonts w:hint="eastAsia" w:ascii="宋体" w:hAnsi="宋体" w:cs="宋体"/>
          <w:color w:val="auto"/>
          <w:szCs w:val="21"/>
          <w:highlight w:val="none"/>
        </w:rPr>
        <w:t>，</w:t>
      </w:r>
      <w:r>
        <w:rPr>
          <w:rFonts w:hint="eastAsia" w:ascii="宋体" w:hAnsi="宋体" w:cs="宋体"/>
          <w:color w:val="auto"/>
          <w:szCs w:val="21"/>
          <w:highlight w:val="none"/>
          <w:lang w:eastAsia="zh-TW"/>
        </w:rPr>
        <w:t>并作为其投标</w:t>
      </w:r>
      <w:r>
        <w:rPr>
          <w:rFonts w:hint="eastAsia" w:ascii="宋体" w:hAnsi="宋体" w:cs="宋体"/>
          <w:color w:val="auto"/>
          <w:szCs w:val="21"/>
          <w:highlight w:val="none"/>
        </w:rPr>
        <w:t>文件的组成</w:t>
      </w:r>
      <w:r>
        <w:rPr>
          <w:rFonts w:hint="eastAsia" w:ascii="宋体" w:hAnsi="宋体" w:cs="宋体"/>
          <w:color w:val="auto"/>
          <w:szCs w:val="21"/>
          <w:highlight w:val="none"/>
          <w:lang w:eastAsia="zh-TW"/>
        </w:rPr>
        <w:t>部分。</w:t>
      </w:r>
    </w:p>
    <w:p>
      <w:pPr>
        <w:numPr>
          <w:ilvl w:val="1"/>
          <w:numId w:val="37"/>
        </w:numPr>
        <w:autoSpaceDE w:val="0"/>
        <w:autoSpaceDN w:val="0"/>
        <w:adjustRightInd w:val="0"/>
        <w:snapToGrid w:val="0"/>
        <w:spacing w:line="360" w:lineRule="auto"/>
        <w:jc w:val="left"/>
        <w:rPr>
          <w:rFonts w:ascii="宋体" w:hAnsi="宋体"/>
          <w:color w:val="auto"/>
          <w:szCs w:val="21"/>
          <w:highlight w:val="none"/>
        </w:rPr>
      </w:pPr>
      <w:r>
        <w:rPr>
          <w:rFonts w:hint="eastAsia" w:ascii="宋体" w:hAnsi="宋体" w:cs="宋体"/>
          <w:color w:val="auto"/>
          <w:szCs w:val="21"/>
          <w:highlight w:val="none"/>
          <w:lang w:eastAsia="zh-TW"/>
        </w:rPr>
        <w:t>如无质疑或投诉，未中标的投标人保证金，在中标通知书发出后五个工作日内不计利息原额退还；如有质疑或投诉，招标采购单位将在质疑和投诉处理完毕后不计利息原额退还。</w:t>
      </w:r>
    </w:p>
    <w:p>
      <w:pPr>
        <w:numPr>
          <w:ilvl w:val="1"/>
          <w:numId w:val="37"/>
        </w:numPr>
        <w:autoSpaceDE w:val="0"/>
        <w:autoSpaceDN w:val="0"/>
        <w:adjustRightInd w:val="0"/>
        <w:snapToGrid w:val="0"/>
        <w:spacing w:line="360" w:lineRule="auto"/>
        <w:jc w:val="left"/>
        <w:rPr>
          <w:rFonts w:ascii="宋体" w:hAnsi="宋体" w:cs="宋体"/>
          <w:color w:val="auto"/>
          <w:szCs w:val="21"/>
          <w:highlight w:val="none"/>
          <w:lang w:eastAsia="zh-TW"/>
        </w:rPr>
      </w:pPr>
      <w:r>
        <w:rPr>
          <w:rFonts w:hint="eastAsia" w:ascii="宋体" w:hAnsi="宋体" w:cs="宋体"/>
          <w:color w:val="auto"/>
          <w:szCs w:val="21"/>
          <w:highlight w:val="none"/>
          <w:lang w:eastAsia="zh-TW"/>
        </w:rPr>
        <w:t>中标人的投标保证金，在中标人与招标人签订采购合同后五个工作日内不计利息原额退还。</w:t>
      </w:r>
    </w:p>
    <w:p>
      <w:pPr>
        <w:numPr>
          <w:ilvl w:val="1"/>
          <w:numId w:val="37"/>
        </w:numPr>
        <w:autoSpaceDE w:val="0"/>
        <w:autoSpaceDN w:val="0"/>
        <w:adjustRightInd w:val="0"/>
        <w:snapToGrid w:val="0"/>
        <w:spacing w:line="360" w:lineRule="auto"/>
        <w:jc w:val="left"/>
        <w:rPr>
          <w:rFonts w:ascii="宋体" w:hAnsi="宋体"/>
          <w:color w:val="auto"/>
          <w:szCs w:val="21"/>
          <w:highlight w:val="none"/>
        </w:rPr>
      </w:pPr>
      <w:r>
        <w:rPr>
          <w:rFonts w:hint="eastAsia" w:ascii="宋体" w:hAnsi="宋体" w:cs="宋体"/>
          <w:color w:val="auto"/>
          <w:szCs w:val="21"/>
          <w:highlight w:val="none"/>
          <w:lang w:eastAsia="zh-TW"/>
        </w:rPr>
        <w:t>下列任一情况发生时</w:t>
      </w:r>
      <w:r>
        <w:rPr>
          <w:rFonts w:hint="eastAsia" w:ascii="宋体" w:hAnsi="宋体" w:cs="宋体"/>
          <w:color w:val="auto"/>
          <w:szCs w:val="21"/>
          <w:highlight w:val="none"/>
        </w:rPr>
        <w:t>，</w:t>
      </w:r>
      <w:r>
        <w:rPr>
          <w:rFonts w:hint="eastAsia" w:ascii="宋体" w:hAnsi="宋体" w:cs="宋体"/>
          <w:color w:val="auto"/>
          <w:szCs w:val="21"/>
          <w:highlight w:val="none"/>
          <w:lang w:eastAsia="zh-TW"/>
        </w:rPr>
        <w:t>投标保证金将被没收</w:t>
      </w:r>
      <w:r>
        <w:rPr>
          <w:rFonts w:hint="eastAsia" w:ascii="宋体" w:hAnsi="宋体" w:cs="宋体"/>
          <w:color w:val="auto"/>
          <w:szCs w:val="21"/>
          <w:highlight w:val="none"/>
        </w:rPr>
        <w:t>：</w:t>
      </w:r>
    </w:p>
    <w:p>
      <w:pPr>
        <w:numPr>
          <w:ilvl w:val="2"/>
          <w:numId w:val="37"/>
        </w:numPr>
        <w:tabs>
          <w:tab w:val="left" w:pos="851"/>
          <w:tab w:val="left" w:pos="1418"/>
        </w:tabs>
        <w:autoSpaceDE w:val="0"/>
        <w:autoSpaceDN w:val="0"/>
        <w:adjustRightInd w:val="0"/>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投标人在招标文件中规定的投标有效期内撤回其投标；</w:t>
      </w:r>
    </w:p>
    <w:p>
      <w:pPr>
        <w:numPr>
          <w:ilvl w:val="2"/>
          <w:numId w:val="37"/>
        </w:numPr>
        <w:tabs>
          <w:tab w:val="left" w:pos="851"/>
          <w:tab w:val="left" w:pos="1418"/>
        </w:tabs>
        <w:autoSpaceDE w:val="0"/>
        <w:autoSpaceDN w:val="0"/>
        <w:adjustRightInd w:val="0"/>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中标后无正当理由放弃中标或中标人在规定期限内未能根据本须知规定签订合同；</w:t>
      </w:r>
    </w:p>
    <w:p>
      <w:pPr>
        <w:numPr>
          <w:ilvl w:val="2"/>
          <w:numId w:val="37"/>
        </w:numPr>
        <w:tabs>
          <w:tab w:val="left" w:pos="1418"/>
          <w:tab w:val="clear" w:pos="1135"/>
        </w:tabs>
        <w:autoSpaceDE w:val="0"/>
        <w:autoSpaceDN w:val="0"/>
        <w:adjustRightInd w:val="0"/>
        <w:snapToGrid w:val="0"/>
        <w:spacing w:line="360" w:lineRule="auto"/>
        <w:ind w:left="1418" w:hanging="850"/>
        <w:jc w:val="left"/>
        <w:rPr>
          <w:rFonts w:ascii="宋体" w:hAnsi="宋体" w:cs="宋体"/>
          <w:color w:val="auto"/>
          <w:szCs w:val="21"/>
          <w:highlight w:val="none"/>
        </w:rPr>
      </w:pPr>
      <w:r>
        <w:rPr>
          <w:rFonts w:hint="eastAsia" w:ascii="宋体" w:hAnsi="宋体" w:cs="宋体"/>
          <w:color w:val="auto"/>
          <w:szCs w:val="21"/>
          <w:highlight w:val="none"/>
        </w:rPr>
        <w:t>将中标项目转让给他人，或者在投标文件中未说明，且未经招标人同意，违反招标文件规定，将中标项目分包给他人的；</w:t>
      </w:r>
    </w:p>
    <w:p>
      <w:pPr>
        <w:numPr>
          <w:ilvl w:val="2"/>
          <w:numId w:val="37"/>
        </w:numPr>
        <w:tabs>
          <w:tab w:val="left" w:pos="851"/>
          <w:tab w:val="left" w:pos="1418"/>
        </w:tabs>
        <w:autoSpaceDE w:val="0"/>
        <w:autoSpaceDN w:val="0"/>
        <w:adjustRightInd w:val="0"/>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中标人未按本须知规定交纳招标代理服务费。</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50" w:name="_Toc7127"/>
      <w:r>
        <w:rPr>
          <w:rFonts w:hint="eastAsia" w:ascii="宋体" w:hAnsi="宋体"/>
          <w:b/>
          <w:bCs/>
          <w:color w:val="auto"/>
          <w:szCs w:val="21"/>
          <w:highlight w:val="none"/>
        </w:rPr>
        <w:t>投标有效期</w:t>
      </w:r>
      <w:bookmarkEnd w:id="49"/>
      <w:bookmarkEnd w:id="50"/>
    </w:p>
    <w:p>
      <w:pPr>
        <w:numPr>
          <w:ilvl w:val="1"/>
          <w:numId w:val="37"/>
        </w:numPr>
        <w:autoSpaceDE w:val="0"/>
        <w:autoSpaceDN w:val="0"/>
        <w:adjustRightInd w:val="0"/>
        <w:snapToGrid w:val="0"/>
        <w:spacing w:line="360" w:lineRule="auto"/>
        <w:rPr>
          <w:rFonts w:ascii="宋体" w:hAnsi="宋体" w:cs="黑体"/>
          <w:b/>
          <w:bCs/>
          <w:color w:val="auto"/>
          <w:szCs w:val="21"/>
          <w:highlight w:val="none"/>
        </w:rPr>
      </w:pPr>
      <w:r>
        <w:rPr>
          <w:rFonts w:hint="eastAsia" w:ascii="宋体" w:hAnsi="宋体" w:cs="宋体"/>
          <w:color w:val="auto"/>
          <w:szCs w:val="21"/>
          <w:highlight w:val="none"/>
          <w:lang w:eastAsia="zh-TW"/>
        </w:rPr>
        <w:t>投标应自</w:t>
      </w:r>
      <w:r>
        <w:rPr>
          <w:rFonts w:hint="eastAsia" w:ascii="宋体" w:hAnsi="宋体" w:cs="宋体"/>
          <w:b/>
          <w:color w:val="auto"/>
          <w:szCs w:val="21"/>
          <w:highlight w:val="none"/>
          <w:lang w:eastAsia="zh-TW"/>
        </w:rPr>
        <w:t>投标资料表</w:t>
      </w:r>
      <w:r>
        <w:rPr>
          <w:rFonts w:hint="eastAsia" w:ascii="宋体" w:hAnsi="宋体" w:cs="宋体"/>
          <w:color w:val="auto"/>
          <w:szCs w:val="21"/>
          <w:highlight w:val="none"/>
          <w:lang w:eastAsia="zh-TW"/>
        </w:rPr>
        <w:t>中规定的</w:t>
      </w:r>
      <w:r>
        <w:rPr>
          <w:rFonts w:hint="eastAsia" w:ascii="宋体" w:hAnsi="宋体" w:cs="宋体"/>
          <w:color w:val="auto"/>
          <w:szCs w:val="21"/>
          <w:highlight w:val="none"/>
        </w:rPr>
        <w:t>投标文件递交截止时间</w:t>
      </w:r>
      <w:r>
        <w:rPr>
          <w:rFonts w:hint="eastAsia" w:ascii="宋体" w:hAnsi="宋体" w:cs="宋体"/>
          <w:color w:val="auto"/>
          <w:szCs w:val="21"/>
          <w:highlight w:val="none"/>
          <w:lang w:eastAsia="zh-TW"/>
        </w:rPr>
        <w:t>起</w:t>
      </w:r>
      <w:r>
        <w:rPr>
          <w:rFonts w:hint="eastAsia" w:ascii="宋体" w:hAnsi="宋体" w:cs="宋体"/>
          <w:color w:val="auto"/>
          <w:szCs w:val="21"/>
          <w:highlight w:val="none"/>
        </w:rPr>
        <w:t>，</w:t>
      </w:r>
      <w:r>
        <w:rPr>
          <w:rFonts w:hint="eastAsia" w:ascii="宋体" w:hAnsi="宋体" w:cs="宋体"/>
          <w:color w:val="auto"/>
          <w:szCs w:val="21"/>
          <w:highlight w:val="none"/>
          <w:lang w:eastAsia="zh-TW"/>
        </w:rPr>
        <w:t>并在</w:t>
      </w:r>
      <w:r>
        <w:rPr>
          <w:rFonts w:hint="eastAsia" w:ascii="宋体" w:hAnsi="宋体" w:cs="宋体"/>
          <w:b/>
          <w:color w:val="auto"/>
          <w:szCs w:val="21"/>
          <w:highlight w:val="none"/>
          <w:lang w:eastAsia="zh-TW"/>
        </w:rPr>
        <w:t>投标资料表</w:t>
      </w:r>
      <w:r>
        <w:rPr>
          <w:rFonts w:hint="eastAsia" w:ascii="宋体" w:hAnsi="宋体" w:cs="宋体"/>
          <w:color w:val="auto"/>
          <w:szCs w:val="21"/>
          <w:highlight w:val="none"/>
          <w:lang w:eastAsia="zh-TW"/>
        </w:rPr>
        <w:t>中所述期限内保持有效。投标有效期不足的投标将被视为非实质性响应</w:t>
      </w:r>
      <w:r>
        <w:rPr>
          <w:rFonts w:hint="eastAsia" w:ascii="宋体" w:hAnsi="宋体"/>
          <w:color w:val="auto"/>
          <w:szCs w:val="21"/>
          <w:highlight w:val="none"/>
        </w:rPr>
        <w:t>，</w:t>
      </w:r>
      <w:r>
        <w:rPr>
          <w:rFonts w:hint="eastAsia" w:ascii="宋体" w:hAnsi="宋体" w:cs="宋体"/>
          <w:color w:val="auto"/>
          <w:szCs w:val="21"/>
          <w:highlight w:val="none"/>
        </w:rPr>
        <w:t>视为无效投标</w:t>
      </w:r>
      <w:r>
        <w:rPr>
          <w:rFonts w:hint="eastAsia" w:ascii="宋体" w:hAnsi="宋体" w:cs="宋体"/>
          <w:color w:val="auto"/>
          <w:szCs w:val="21"/>
          <w:highlight w:val="none"/>
          <w:lang w:eastAsia="zh-TW"/>
        </w:rPr>
        <w:t>。</w:t>
      </w:r>
    </w:p>
    <w:p>
      <w:pPr>
        <w:numPr>
          <w:ilvl w:val="1"/>
          <w:numId w:val="37"/>
        </w:numPr>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lang w:eastAsia="zh-TW"/>
        </w:rPr>
        <w:t>特殊情况下</w:t>
      </w:r>
      <w:r>
        <w:rPr>
          <w:rFonts w:hint="eastAsia" w:ascii="宋体" w:hAnsi="宋体" w:cs="宋体"/>
          <w:color w:val="auto"/>
          <w:szCs w:val="21"/>
          <w:highlight w:val="none"/>
        </w:rPr>
        <w:t>，</w:t>
      </w:r>
      <w:r>
        <w:rPr>
          <w:rFonts w:hint="eastAsia" w:ascii="宋体" w:hAnsi="宋体" w:cs="宋体"/>
          <w:color w:val="auto"/>
          <w:szCs w:val="21"/>
          <w:highlight w:val="none"/>
          <w:lang w:eastAsia="zh-TW"/>
        </w:rPr>
        <w:t>在原投标有效期截止之前</w:t>
      </w:r>
      <w:r>
        <w:rPr>
          <w:rFonts w:hint="eastAsia" w:ascii="宋体" w:hAnsi="宋体" w:cs="宋体"/>
          <w:color w:val="auto"/>
          <w:szCs w:val="21"/>
          <w:highlight w:val="none"/>
        </w:rPr>
        <w:t>，</w:t>
      </w:r>
      <w:r>
        <w:rPr>
          <w:rFonts w:hint="eastAsia" w:ascii="宋体" w:hAnsi="宋体" w:cs="宋体"/>
          <w:color w:val="auto"/>
          <w:szCs w:val="21"/>
          <w:highlight w:val="none"/>
          <w:lang w:eastAsia="zh-TW"/>
        </w:rPr>
        <w:t>招标代理机构可要求投标人延长投标有效期。这种要求与答复均应以书面形式提交。投标人可拒绝招标代理机构的这种要求</w:t>
      </w:r>
      <w:r>
        <w:rPr>
          <w:rFonts w:hint="eastAsia" w:ascii="宋体" w:hAnsi="宋体" w:cs="宋体"/>
          <w:color w:val="auto"/>
          <w:szCs w:val="21"/>
          <w:highlight w:val="none"/>
        </w:rPr>
        <w:t>，</w:t>
      </w:r>
      <w:r>
        <w:rPr>
          <w:rFonts w:hint="eastAsia" w:ascii="宋体" w:hAnsi="宋体" w:cs="宋体"/>
          <w:color w:val="auto"/>
          <w:szCs w:val="21"/>
          <w:highlight w:val="none"/>
          <w:lang w:eastAsia="zh-TW"/>
        </w:rPr>
        <w:t>其投标保证金将不会被没收</w:t>
      </w:r>
      <w:r>
        <w:rPr>
          <w:rFonts w:hint="eastAsia" w:ascii="宋体" w:hAnsi="宋体" w:cs="宋体"/>
          <w:color w:val="auto"/>
          <w:szCs w:val="21"/>
          <w:highlight w:val="none"/>
        </w:rPr>
        <w:t>，</w:t>
      </w:r>
      <w:r>
        <w:rPr>
          <w:rFonts w:hint="eastAsia" w:ascii="宋体" w:hAnsi="宋体" w:cs="宋体"/>
          <w:color w:val="auto"/>
          <w:szCs w:val="21"/>
          <w:highlight w:val="none"/>
          <w:lang w:eastAsia="zh-TW"/>
        </w:rPr>
        <w:t>但其投标在原投标有效期期满后将不再有效。同意延长投标有效期的投标人将不会被要求和允许修正其投标</w:t>
      </w:r>
      <w:r>
        <w:rPr>
          <w:rFonts w:hint="eastAsia" w:ascii="宋体" w:hAnsi="宋体" w:cs="宋体"/>
          <w:color w:val="auto"/>
          <w:szCs w:val="21"/>
          <w:highlight w:val="none"/>
        </w:rPr>
        <w:t>，</w:t>
      </w:r>
      <w:r>
        <w:rPr>
          <w:rFonts w:hint="eastAsia" w:ascii="宋体" w:hAnsi="宋体" w:cs="宋体"/>
          <w:color w:val="auto"/>
          <w:szCs w:val="21"/>
          <w:highlight w:val="none"/>
          <w:lang w:eastAsia="zh-TW"/>
        </w:rPr>
        <w:t>而只会被要求相应地延长其投标保证金的有效期。在这种情况下</w:t>
      </w:r>
      <w:r>
        <w:rPr>
          <w:rFonts w:hint="eastAsia" w:ascii="宋体" w:hAnsi="宋体" w:cs="宋体"/>
          <w:color w:val="auto"/>
          <w:szCs w:val="21"/>
          <w:highlight w:val="none"/>
        </w:rPr>
        <w:t>，</w:t>
      </w:r>
      <w:r>
        <w:rPr>
          <w:rFonts w:hint="eastAsia" w:ascii="宋体" w:hAnsi="宋体" w:cs="宋体"/>
          <w:color w:val="auto"/>
          <w:szCs w:val="21"/>
          <w:highlight w:val="none"/>
          <w:lang w:eastAsia="zh-TW"/>
        </w:rPr>
        <w:t>本须知有关投标保证金的退还和没收的规定将在延长了的有效期内继续有效。</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51" w:name="_Toc355879688"/>
      <w:bookmarkStart w:id="52" w:name="_Toc29020"/>
      <w:r>
        <w:rPr>
          <w:rFonts w:hint="eastAsia" w:ascii="宋体" w:hAnsi="宋体"/>
          <w:b/>
          <w:bCs/>
          <w:color w:val="auto"/>
          <w:szCs w:val="21"/>
          <w:highlight w:val="none"/>
        </w:rPr>
        <w:t>投标文件的式样和签署</w:t>
      </w:r>
      <w:bookmarkEnd w:id="51"/>
      <w:bookmarkEnd w:id="52"/>
    </w:p>
    <w:p>
      <w:pPr>
        <w:numPr>
          <w:ilvl w:val="1"/>
          <w:numId w:val="37"/>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lang w:eastAsia="zh-TW"/>
        </w:rPr>
        <w:t>投标文件的式样：投标人应准备一份投标文件正本</w:t>
      </w:r>
      <w:r>
        <w:rPr>
          <w:rFonts w:hint="eastAsia" w:ascii="宋体" w:hAnsi="宋体" w:cs="宋体"/>
          <w:color w:val="auto"/>
          <w:szCs w:val="21"/>
          <w:highlight w:val="none"/>
        </w:rPr>
        <w:t>、电子文件</w:t>
      </w:r>
      <w:r>
        <w:rPr>
          <w:rFonts w:hint="eastAsia" w:ascii="宋体" w:hAnsi="宋体" w:cs="宋体"/>
          <w:color w:val="auto"/>
          <w:szCs w:val="21"/>
          <w:highlight w:val="none"/>
          <w:lang w:eastAsia="zh-TW"/>
        </w:rPr>
        <w:t>和</w:t>
      </w:r>
      <w:r>
        <w:rPr>
          <w:rFonts w:hint="eastAsia" w:ascii="宋体" w:hAnsi="宋体" w:cs="宋体"/>
          <w:b/>
          <w:color w:val="auto"/>
          <w:szCs w:val="21"/>
          <w:highlight w:val="none"/>
          <w:lang w:eastAsia="zh-TW"/>
        </w:rPr>
        <w:t>投标资料表</w:t>
      </w:r>
      <w:r>
        <w:rPr>
          <w:rFonts w:hint="eastAsia" w:ascii="宋体" w:hAnsi="宋体" w:cs="宋体"/>
          <w:color w:val="auto"/>
          <w:szCs w:val="21"/>
          <w:highlight w:val="none"/>
          <w:lang w:eastAsia="zh-TW"/>
        </w:rPr>
        <w:t>中规定数目的副本。每套投标文件须清楚地标明“正本”或</w:t>
      </w:r>
      <w:r>
        <w:rPr>
          <w:rFonts w:hint="eastAsia" w:ascii="宋体" w:hAnsi="宋体" w:cs="宋体"/>
          <w:color w:val="auto"/>
          <w:szCs w:val="21"/>
          <w:highlight w:val="none"/>
        </w:rPr>
        <w:t>“副</w:t>
      </w:r>
      <w:r>
        <w:rPr>
          <w:rFonts w:hint="eastAsia" w:ascii="宋体" w:hAnsi="宋体" w:cs="宋体"/>
          <w:color w:val="auto"/>
          <w:szCs w:val="21"/>
          <w:highlight w:val="none"/>
          <w:lang w:eastAsia="zh-TW"/>
        </w:rPr>
        <w:t>本</w:t>
      </w:r>
      <w:r>
        <w:rPr>
          <w:rFonts w:hint="eastAsia" w:ascii="宋体" w:hAnsi="宋体" w:cs="宋体"/>
          <w:color w:val="auto"/>
          <w:szCs w:val="21"/>
          <w:highlight w:val="none"/>
        </w:rPr>
        <w:t>”</w:t>
      </w:r>
      <w:r>
        <w:rPr>
          <w:rFonts w:hint="eastAsia" w:ascii="宋体" w:hAnsi="宋体" w:cs="宋体"/>
          <w:color w:val="auto"/>
          <w:szCs w:val="21"/>
          <w:highlight w:val="none"/>
          <w:lang w:eastAsia="zh-TW"/>
        </w:rPr>
        <w:t>。若副本与正本不符</w:t>
      </w:r>
      <w:r>
        <w:rPr>
          <w:rFonts w:hint="eastAsia" w:ascii="宋体" w:hAnsi="宋体" w:cs="宋体"/>
          <w:color w:val="auto"/>
          <w:szCs w:val="21"/>
          <w:highlight w:val="none"/>
        </w:rPr>
        <w:t>，</w:t>
      </w:r>
      <w:r>
        <w:rPr>
          <w:rFonts w:hint="eastAsia" w:ascii="宋体" w:hAnsi="宋体" w:cs="宋体"/>
          <w:color w:val="auto"/>
          <w:szCs w:val="21"/>
          <w:highlight w:val="none"/>
          <w:lang w:eastAsia="zh-TW"/>
        </w:rPr>
        <w:t>以正本为准。</w:t>
      </w:r>
    </w:p>
    <w:p>
      <w:pPr>
        <w:numPr>
          <w:ilvl w:val="1"/>
          <w:numId w:val="37"/>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lang w:eastAsia="zh-TW"/>
        </w:rPr>
        <w:t>投标文件的签署：</w:t>
      </w:r>
    </w:p>
    <w:p>
      <w:pPr>
        <w:numPr>
          <w:ilvl w:val="2"/>
          <w:numId w:val="37"/>
        </w:numPr>
        <w:tabs>
          <w:tab w:val="left" w:pos="851"/>
          <w:tab w:val="left" w:pos="1418"/>
          <w:tab w:val="clear" w:pos="1135"/>
        </w:tabs>
        <w:autoSpaceDE w:val="0"/>
        <w:autoSpaceDN w:val="0"/>
        <w:adjustRightInd w:val="0"/>
        <w:snapToGrid w:val="0"/>
        <w:spacing w:line="360" w:lineRule="auto"/>
        <w:ind w:left="1418" w:hanging="850"/>
        <w:rPr>
          <w:rFonts w:ascii="宋体" w:hAnsi="宋体" w:cs="宋体"/>
          <w:color w:val="auto"/>
          <w:szCs w:val="21"/>
          <w:highlight w:val="none"/>
        </w:rPr>
      </w:pPr>
      <w:r>
        <w:rPr>
          <w:rFonts w:hint="eastAsia" w:ascii="宋体" w:hAnsi="宋体" w:cs="宋体"/>
          <w:color w:val="auto"/>
          <w:szCs w:val="21"/>
          <w:highlight w:val="none"/>
          <w:lang w:eastAsia="zh-TW"/>
        </w:rPr>
        <w:t>投标文件的正本需打印或用不褪色墨水书写</w:t>
      </w:r>
      <w:r>
        <w:rPr>
          <w:rFonts w:hint="eastAsia" w:ascii="宋体" w:hAnsi="宋体" w:cs="宋体"/>
          <w:color w:val="auto"/>
          <w:szCs w:val="21"/>
          <w:highlight w:val="none"/>
        </w:rPr>
        <w:t>，投标文件要求签名的</w:t>
      </w:r>
      <w:r>
        <w:rPr>
          <w:rFonts w:hint="eastAsia" w:ascii="宋体" w:hAnsi="宋体" w:cs="宋体"/>
          <w:color w:val="auto"/>
          <w:szCs w:val="21"/>
          <w:highlight w:val="none"/>
          <w:lang w:eastAsia="zh-TW"/>
        </w:rPr>
        <w:t>由</w:t>
      </w:r>
      <w:r>
        <w:rPr>
          <w:rFonts w:hint="eastAsia" w:ascii="宋体" w:hAnsi="宋体" w:cs="宋体"/>
          <w:color w:val="auto"/>
          <w:szCs w:val="21"/>
          <w:highlight w:val="none"/>
        </w:rPr>
        <w:t>法定</w:t>
      </w:r>
      <w:r>
        <w:rPr>
          <w:rFonts w:hint="eastAsia" w:ascii="宋体" w:hAnsi="宋体" w:cs="宋体"/>
          <w:color w:val="auto"/>
          <w:szCs w:val="21"/>
          <w:highlight w:val="none"/>
          <w:lang w:eastAsia="zh-TW"/>
        </w:rPr>
        <w:t>代表人或经其正式授权的代表签字</w:t>
      </w:r>
      <w:r>
        <w:rPr>
          <w:rFonts w:hint="eastAsia" w:ascii="宋体" w:hAnsi="宋体" w:cs="宋体"/>
          <w:color w:val="auto"/>
          <w:szCs w:val="21"/>
          <w:highlight w:val="none"/>
        </w:rPr>
        <w:t>，投标文件每一页均要求加盖投标人公章，投标文件的副本可采用签字盖章后的正本的复印件，与正本具有同等法律效力</w:t>
      </w:r>
      <w:r>
        <w:rPr>
          <w:rFonts w:hint="eastAsia" w:ascii="宋体" w:hAnsi="宋体" w:cs="宋体"/>
          <w:color w:val="auto"/>
          <w:szCs w:val="21"/>
          <w:highlight w:val="none"/>
          <w:lang w:eastAsia="zh-TW"/>
        </w:rPr>
        <w:t>。授权代表须将以书面形式出具的《法定代表人授权</w:t>
      </w:r>
      <w:r>
        <w:rPr>
          <w:rFonts w:hint="eastAsia" w:ascii="宋体" w:hAnsi="宋体" w:cs="宋体"/>
          <w:color w:val="auto"/>
          <w:szCs w:val="21"/>
          <w:highlight w:val="none"/>
        </w:rPr>
        <w:t>委托</w:t>
      </w:r>
      <w:r>
        <w:rPr>
          <w:rFonts w:hint="eastAsia" w:ascii="宋体" w:hAnsi="宋体" w:cs="宋体"/>
          <w:color w:val="auto"/>
          <w:szCs w:val="21"/>
          <w:highlight w:val="none"/>
          <w:lang w:eastAsia="zh-TW"/>
        </w:rPr>
        <w:t>书》附在</w:t>
      </w:r>
      <w:r>
        <w:rPr>
          <w:rFonts w:hint="eastAsia" w:ascii="宋体" w:hAnsi="宋体" w:cs="宋体"/>
          <w:color w:val="auto"/>
          <w:szCs w:val="21"/>
          <w:highlight w:val="none"/>
        </w:rPr>
        <w:t>投</w:t>
      </w:r>
      <w:r>
        <w:rPr>
          <w:rFonts w:hint="eastAsia" w:ascii="宋体" w:hAnsi="宋体" w:cs="宋体"/>
          <w:color w:val="auto"/>
          <w:szCs w:val="21"/>
          <w:highlight w:val="none"/>
          <w:lang w:eastAsia="zh-TW"/>
        </w:rPr>
        <w:t>标文件中。</w:t>
      </w:r>
    </w:p>
    <w:p>
      <w:pPr>
        <w:numPr>
          <w:ilvl w:val="2"/>
          <w:numId w:val="37"/>
        </w:numPr>
        <w:tabs>
          <w:tab w:val="left" w:pos="709"/>
          <w:tab w:val="left" w:pos="1418"/>
        </w:tabs>
        <w:autoSpaceDE w:val="0"/>
        <w:autoSpaceDN w:val="0"/>
        <w:adjustRightInd w:val="0"/>
        <w:snapToGrid w:val="0"/>
        <w:spacing w:line="360" w:lineRule="auto"/>
        <w:ind w:left="1418" w:hanging="851"/>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投标文件中的任何重要的插字、涂改和增删，必须由法定代表人或经其正式授权的代表在旁边签章或签字才有效。</w:t>
      </w:r>
    </w:p>
    <w:p>
      <w:pPr>
        <w:tabs>
          <w:tab w:val="left" w:pos="709"/>
          <w:tab w:val="left" w:pos="851"/>
          <w:tab w:val="left" w:pos="1135"/>
        </w:tabs>
        <w:autoSpaceDE w:val="0"/>
        <w:autoSpaceDN w:val="0"/>
        <w:adjustRightInd w:val="0"/>
        <w:snapToGrid w:val="0"/>
        <w:spacing w:line="360" w:lineRule="auto"/>
        <w:ind w:left="851"/>
        <w:rPr>
          <w:rFonts w:ascii="宋体" w:hAnsi="宋体" w:cs="宋体"/>
          <w:color w:val="auto"/>
          <w:szCs w:val="21"/>
          <w:highlight w:val="none"/>
          <w:lang w:eastAsia="zh-TW"/>
        </w:rPr>
      </w:pPr>
    </w:p>
    <w:p>
      <w:pPr>
        <w:numPr>
          <w:ilvl w:val="0"/>
          <w:numId w:val="36"/>
        </w:numPr>
        <w:autoSpaceDE w:val="0"/>
        <w:autoSpaceDN w:val="0"/>
        <w:adjustRightInd w:val="0"/>
        <w:snapToGrid w:val="0"/>
        <w:spacing w:before="312" w:beforeLines="100" w:after="312" w:afterLines="100" w:line="360" w:lineRule="auto"/>
        <w:jc w:val="center"/>
        <w:outlineLvl w:val="0"/>
        <w:rPr>
          <w:rFonts w:hint="eastAsia" w:ascii="宋体" w:hAnsi="宋体"/>
          <w:b/>
          <w:color w:val="auto"/>
          <w:sz w:val="28"/>
          <w:szCs w:val="28"/>
          <w:highlight w:val="none"/>
          <w:lang w:eastAsia="zh-TW"/>
        </w:rPr>
      </w:pPr>
      <w:bookmarkStart w:id="53" w:name="_Toc15697"/>
      <w:bookmarkStart w:id="54" w:name="_Toc355879689"/>
      <w:r>
        <w:rPr>
          <w:rFonts w:hint="eastAsia" w:ascii="宋体" w:hAnsi="宋体"/>
          <w:b/>
          <w:color w:val="auto"/>
          <w:sz w:val="28"/>
          <w:szCs w:val="28"/>
          <w:highlight w:val="none"/>
          <w:lang w:eastAsia="zh-TW"/>
        </w:rPr>
        <w:t>投标文件的递交</w:t>
      </w:r>
      <w:bookmarkEnd w:id="53"/>
      <w:bookmarkEnd w:id="54"/>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55" w:name="_Toc355879690"/>
      <w:bookmarkStart w:id="56" w:name="_Toc23062"/>
      <w:r>
        <w:rPr>
          <w:rFonts w:hint="eastAsia" w:ascii="宋体" w:hAnsi="宋体"/>
          <w:b/>
          <w:bCs/>
          <w:color w:val="auto"/>
          <w:szCs w:val="21"/>
          <w:highlight w:val="none"/>
        </w:rPr>
        <w:t>投标文件的密封和标记</w:t>
      </w:r>
      <w:bookmarkEnd w:id="55"/>
      <w:bookmarkEnd w:id="56"/>
    </w:p>
    <w:p>
      <w:pPr>
        <w:numPr>
          <w:ilvl w:val="1"/>
          <w:numId w:val="37"/>
        </w:numPr>
        <w:autoSpaceDE w:val="0"/>
        <w:autoSpaceDN w:val="0"/>
        <w:adjustRightInd w:val="0"/>
        <w:snapToGrid w:val="0"/>
        <w:spacing w:line="360" w:lineRule="auto"/>
        <w:rPr>
          <w:rFonts w:hint="eastAsia" w:ascii="宋体" w:hAnsi="宋体" w:cs="黑体"/>
          <w:b/>
          <w:bCs/>
          <w:dstrike/>
          <w:color w:val="auto"/>
          <w:szCs w:val="21"/>
          <w:highlight w:val="none"/>
        </w:rPr>
      </w:pPr>
      <w:r>
        <w:rPr>
          <w:rFonts w:hint="eastAsia" w:ascii="宋体" w:hAnsi="宋体" w:cs="宋体"/>
          <w:color w:val="auto"/>
          <w:szCs w:val="21"/>
          <w:highlight w:val="none"/>
          <w:lang w:eastAsia="zh-TW"/>
        </w:rPr>
        <w:t>为方便开标唱标</w:t>
      </w:r>
      <w:r>
        <w:rPr>
          <w:rFonts w:hint="eastAsia" w:ascii="宋体" w:hAnsi="宋体" w:cs="宋体"/>
          <w:color w:val="auto"/>
          <w:szCs w:val="21"/>
          <w:highlight w:val="none"/>
        </w:rPr>
        <w:t>，</w:t>
      </w:r>
      <w:r>
        <w:rPr>
          <w:rFonts w:hint="eastAsia" w:ascii="宋体" w:hAnsi="宋体" w:cs="宋体"/>
          <w:color w:val="auto"/>
          <w:szCs w:val="21"/>
          <w:highlight w:val="none"/>
          <w:lang w:eastAsia="zh-TW"/>
        </w:rPr>
        <w:t>投标人应将开标一览表(报价表)</w:t>
      </w:r>
      <w:r>
        <w:rPr>
          <w:rFonts w:hint="eastAsia" w:ascii="宋体" w:hAnsi="宋体" w:cs="宋体"/>
          <w:color w:val="auto"/>
          <w:szCs w:val="21"/>
          <w:highlight w:val="none"/>
        </w:rPr>
        <w:t>、</w:t>
      </w:r>
      <w:r>
        <w:rPr>
          <w:rFonts w:hint="eastAsia" w:ascii="宋体" w:hAnsi="宋体" w:cs="宋体"/>
          <w:color w:val="auto"/>
          <w:szCs w:val="21"/>
          <w:highlight w:val="none"/>
          <w:lang w:eastAsia="zh-TW"/>
        </w:rPr>
        <w:t>投标保证金</w:t>
      </w:r>
      <w:r>
        <w:rPr>
          <w:rFonts w:hint="eastAsia" w:ascii="宋体" w:hAnsi="宋体" w:cs="宋体"/>
          <w:color w:val="auto"/>
          <w:szCs w:val="21"/>
          <w:highlight w:val="none"/>
        </w:rPr>
        <w:t>缴付凭证、</w:t>
      </w:r>
      <w:r>
        <w:rPr>
          <w:rFonts w:hint="eastAsia" w:ascii="宋体" w:hAnsi="宋体" w:cs="宋体"/>
          <w:color w:val="auto"/>
          <w:szCs w:val="21"/>
          <w:highlight w:val="none"/>
          <w:lang w:eastAsia="zh-TW"/>
        </w:rPr>
        <w:t>法定代表人证明书或法定代表人授权委托书</w:t>
      </w:r>
      <w:r>
        <w:rPr>
          <w:rFonts w:hint="eastAsia" w:ascii="宋体" w:hAnsi="宋体" w:cs="宋体"/>
          <w:color w:val="auto"/>
          <w:szCs w:val="21"/>
          <w:highlight w:val="none"/>
        </w:rPr>
        <w:t>、电子文件和</w:t>
      </w:r>
      <w:r>
        <w:rPr>
          <w:rFonts w:hint="eastAsia" w:ascii="宋体" w:hAnsi="宋体" w:cs="宋体"/>
          <w:color w:val="auto"/>
          <w:szCs w:val="21"/>
          <w:highlight w:val="none"/>
          <w:lang w:eastAsia="zh-CN"/>
        </w:rPr>
        <w:t>企业采购保证金退付委托书</w:t>
      </w:r>
      <w:r>
        <w:rPr>
          <w:rFonts w:hint="eastAsia" w:ascii="宋体" w:hAnsi="宋体" w:cs="宋体"/>
          <w:color w:val="auto"/>
          <w:szCs w:val="21"/>
          <w:highlight w:val="none"/>
        </w:rPr>
        <w:t>函</w:t>
      </w:r>
      <w:r>
        <w:rPr>
          <w:rFonts w:hint="eastAsia" w:ascii="宋体" w:hAnsi="宋体" w:cs="宋体"/>
          <w:color w:val="auto"/>
          <w:szCs w:val="21"/>
          <w:highlight w:val="none"/>
          <w:lang w:eastAsia="zh-TW"/>
        </w:rPr>
        <w:t>单独</w:t>
      </w:r>
      <w:r>
        <w:rPr>
          <w:rFonts w:hint="eastAsia" w:ascii="宋体" w:hAnsi="宋体" w:cs="宋体"/>
          <w:color w:val="auto"/>
          <w:szCs w:val="21"/>
          <w:highlight w:val="none"/>
        </w:rPr>
        <w:t>一起</w:t>
      </w:r>
      <w:r>
        <w:rPr>
          <w:rFonts w:hint="eastAsia" w:ascii="宋体" w:hAnsi="宋体" w:cs="宋体"/>
          <w:color w:val="auto"/>
          <w:szCs w:val="21"/>
          <w:highlight w:val="none"/>
          <w:lang w:eastAsia="zh-TW"/>
        </w:rPr>
        <w:t>密封提交</w:t>
      </w:r>
      <w:r>
        <w:rPr>
          <w:rFonts w:hint="eastAsia" w:ascii="宋体" w:hAnsi="宋体" w:cs="宋体"/>
          <w:color w:val="auto"/>
          <w:szCs w:val="21"/>
          <w:highlight w:val="none"/>
        </w:rPr>
        <w:t>，若联合体投标，应将各方共同签署的《联合投标协议》和《投标联合体授权主体方协议书》一并提交，</w:t>
      </w:r>
      <w:r>
        <w:rPr>
          <w:rFonts w:hint="eastAsia" w:ascii="宋体" w:hAnsi="宋体" w:cs="宋体"/>
          <w:color w:val="auto"/>
          <w:szCs w:val="21"/>
          <w:highlight w:val="none"/>
          <w:lang w:eastAsia="zh-TW"/>
        </w:rPr>
        <w:t>并在信封上标明</w:t>
      </w:r>
      <w:r>
        <w:rPr>
          <w:rFonts w:hint="eastAsia" w:ascii="宋体" w:hAnsi="宋体" w:cs="宋体"/>
          <w:color w:val="auto"/>
          <w:szCs w:val="21"/>
          <w:highlight w:val="none"/>
        </w:rPr>
        <w:t>“开标信封”的</w:t>
      </w:r>
      <w:r>
        <w:rPr>
          <w:rFonts w:hint="eastAsia" w:ascii="宋体" w:hAnsi="宋体" w:cs="宋体"/>
          <w:color w:val="auto"/>
          <w:szCs w:val="21"/>
          <w:highlight w:val="none"/>
          <w:lang w:eastAsia="zh-TW"/>
        </w:rPr>
        <w:t>字样。投标人应将投标文件正本和所有的副本分开密封装在单独的信封中</w:t>
      </w:r>
      <w:r>
        <w:rPr>
          <w:rFonts w:hint="eastAsia" w:ascii="宋体" w:hAnsi="宋体" w:cs="宋体"/>
          <w:color w:val="auto"/>
          <w:szCs w:val="21"/>
          <w:highlight w:val="none"/>
        </w:rPr>
        <w:t>，</w:t>
      </w:r>
      <w:r>
        <w:rPr>
          <w:rFonts w:hint="eastAsia" w:ascii="宋体" w:hAnsi="宋体" w:cs="宋体"/>
          <w:color w:val="auto"/>
          <w:szCs w:val="21"/>
          <w:highlight w:val="none"/>
          <w:lang w:eastAsia="zh-TW"/>
        </w:rPr>
        <w:t>且在信封</w:t>
      </w:r>
      <w:r>
        <w:rPr>
          <w:rFonts w:hint="eastAsia" w:ascii="宋体" w:hAnsi="宋体" w:cs="宋体"/>
          <w:color w:val="auto"/>
          <w:szCs w:val="21"/>
          <w:highlight w:val="none"/>
        </w:rPr>
        <w:t>上</w:t>
      </w:r>
      <w:r>
        <w:rPr>
          <w:rFonts w:hint="eastAsia" w:ascii="宋体" w:hAnsi="宋体" w:cs="宋体"/>
          <w:color w:val="auto"/>
          <w:szCs w:val="21"/>
          <w:highlight w:val="none"/>
          <w:lang w:eastAsia="zh-TW"/>
        </w:rPr>
        <w:t>标明</w:t>
      </w:r>
      <w:r>
        <w:rPr>
          <w:rFonts w:hint="eastAsia" w:ascii="宋体" w:hAnsi="宋体" w:cs="宋体"/>
          <w:color w:val="auto"/>
          <w:szCs w:val="21"/>
          <w:highlight w:val="none"/>
        </w:rPr>
        <w:t>“</w:t>
      </w:r>
      <w:r>
        <w:rPr>
          <w:rFonts w:hint="eastAsia" w:ascii="宋体" w:hAnsi="宋体" w:cs="宋体"/>
          <w:color w:val="auto"/>
          <w:szCs w:val="21"/>
          <w:highlight w:val="none"/>
          <w:lang w:eastAsia="zh-TW"/>
        </w:rPr>
        <w:t>正本</w:t>
      </w:r>
      <w:r>
        <w:rPr>
          <w:rFonts w:hint="eastAsia" w:ascii="宋体" w:hAnsi="宋体" w:cs="宋体"/>
          <w:color w:val="auto"/>
          <w:szCs w:val="21"/>
          <w:highlight w:val="none"/>
        </w:rPr>
        <w:t>”“</w:t>
      </w:r>
      <w:r>
        <w:rPr>
          <w:rFonts w:hint="eastAsia" w:ascii="宋体" w:hAnsi="宋体"/>
          <w:color w:val="auto"/>
          <w:szCs w:val="21"/>
          <w:highlight w:val="none"/>
        </w:rPr>
        <w:t>副</w:t>
      </w:r>
      <w:r>
        <w:rPr>
          <w:rFonts w:hint="eastAsia" w:ascii="宋体" w:hAnsi="宋体" w:cs="宋体"/>
          <w:color w:val="auto"/>
          <w:szCs w:val="21"/>
          <w:highlight w:val="none"/>
          <w:lang w:eastAsia="zh-TW"/>
        </w:rPr>
        <w:t>本</w:t>
      </w:r>
      <w:r>
        <w:rPr>
          <w:rFonts w:hint="eastAsia" w:ascii="宋体" w:hAnsi="宋体" w:cs="宋体"/>
          <w:color w:val="auto"/>
          <w:szCs w:val="21"/>
          <w:highlight w:val="none"/>
        </w:rPr>
        <w:t>”</w:t>
      </w:r>
      <w:r>
        <w:rPr>
          <w:rFonts w:hint="eastAsia" w:ascii="宋体" w:hAnsi="宋体" w:cs="宋体"/>
          <w:color w:val="auto"/>
          <w:szCs w:val="21"/>
          <w:highlight w:val="none"/>
          <w:lang w:eastAsia="zh-TW"/>
        </w:rPr>
        <w:t>字样。</w:t>
      </w:r>
    </w:p>
    <w:p>
      <w:pPr>
        <w:numPr>
          <w:ilvl w:val="1"/>
          <w:numId w:val="37"/>
        </w:numPr>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s="宋体"/>
          <w:color w:val="auto"/>
          <w:szCs w:val="21"/>
          <w:highlight w:val="none"/>
        </w:rPr>
        <w:t>投标文件封装：</w:t>
      </w:r>
    </w:p>
    <w:p>
      <w:pPr>
        <w:numPr>
          <w:ilvl w:val="2"/>
          <w:numId w:val="37"/>
        </w:numPr>
        <w:tabs>
          <w:tab w:val="left" w:pos="851"/>
          <w:tab w:val="left" w:pos="1418"/>
        </w:tabs>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lang w:eastAsia="zh-TW"/>
        </w:rPr>
        <w:t>清楚标明递交至</w:t>
      </w:r>
      <w:r>
        <w:rPr>
          <w:rFonts w:hint="eastAsia" w:ascii="宋体" w:hAnsi="宋体" w:cs="宋体"/>
          <w:b/>
          <w:color w:val="auto"/>
          <w:szCs w:val="21"/>
          <w:highlight w:val="none"/>
          <w:lang w:eastAsia="zh-TW"/>
        </w:rPr>
        <w:t>投标资料表</w:t>
      </w:r>
      <w:r>
        <w:rPr>
          <w:rFonts w:hint="eastAsia" w:ascii="宋体" w:hAnsi="宋体" w:cs="宋体"/>
          <w:color w:val="auto"/>
          <w:szCs w:val="21"/>
          <w:highlight w:val="none"/>
          <w:lang w:eastAsia="zh-TW"/>
        </w:rPr>
        <w:t>中指明的地址</w:t>
      </w:r>
      <w:r>
        <w:rPr>
          <w:rFonts w:hint="eastAsia" w:ascii="宋体" w:hAnsi="宋体" w:cs="宋体"/>
          <w:color w:val="auto"/>
          <w:szCs w:val="21"/>
          <w:highlight w:val="none"/>
        </w:rPr>
        <w:t>及写明投标人名称和地址</w:t>
      </w:r>
      <w:r>
        <w:rPr>
          <w:rFonts w:hint="eastAsia" w:ascii="宋体" w:hAnsi="宋体" w:cs="宋体"/>
          <w:color w:val="auto"/>
          <w:szCs w:val="21"/>
          <w:highlight w:val="none"/>
          <w:lang w:eastAsia="zh-TW"/>
        </w:rPr>
        <w:t>。</w:t>
      </w:r>
    </w:p>
    <w:p>
      <w:pPr>
        <w:numPr>
          <w:ilvl w:val="2"/>
          <w:numId w:val="37"/>
        </w:numPr>
        <w:tabs>
          <w:tab w:val="left" w:pos="1418"/>
        </w:tabs>
        <w:autoSpaceDE w:val="0"/>
        <w:autoSpaceDN w:val="0"/>
        <w:adjustRightInd w:val="0"/>
        <w:snapToGrid w:val="0"/>
        <w:spacing w:line="360" w:lineRule="auto"/>
        <w:ind w:left="1418" w:hanging="851"/>
        <w:rPr>
          <w:rFonts w:hint="eastAsia" w:ascii="宋体" w:hAnsi="宋体" w:cs="宋体"/>
          <w:color w:val="auto"/>
          <w:szCs w:val="21"/>
          <w:highlight w:val="none"/>
        </w:rPr>
      </w:pPr>
      <w:r>
        <w:rPr>
          <w:rFonts w:hint="eastAsia" w:ascii="宋体" w:hAnsi="宋体" w:cs="宋体"/>
          <w:color w:val="auto"/>
          <w:szCs w:val="21"/>
          <w:highlight w:val="none"/>
          <w:lang w:eastAsia="zh-TW"/>
        </w:rPr>
        <w:t>注明投标邀请函中指明的项目名称、</w:t>
      </w:r>
      <w:r>
        <w:rPr>
          <w:rFonts w:hint="eastAsia" w:ascii="宋体" w:hAnsi="宋体" w:cs="宋体"/>
          <w:color w:val="auto"/>
          <w:szCs w:val="21"/>
          <w:highlight w:val="none"/>
        </w:rPr>
        <w:t>项目</w:t>
      </w:r>
      <w:r>
        <w:rPr>
          <w:rFonts w:hint="eastAsia" w:ascii="宋体" w:hAnsi="宋体" w:cs="宋体"/>
          <w:color w:val="auto"/>
          <w:szCs w:val="21"/>
          <w:highlight w:val="none"/>
          <w:lang w:eastAsia="zh-TW"/>
        </w:rPr>
        <w:t>编号和</w:t>
      </w:r>
      <w:r>
        <w:rPr>
          <w:rFonts w:hint="eastAsia" w:ascii="宋体" w:hAnsi="宋体"/>
          <w:color w:val="auto"/>
          <w:szCs w:val="21"/>
          <w:highlight w:val="none"/>
        </w:rPr>
        <w:t>“</w:t>
      </w:r>
      <w:r>
        <w:rPr>
          <w:rFonts w:hint="eastAsia" w:ascii="宋体" w:hAnsi="宋体" w:cs="宋体"/>
          <w:color w:val="auto"/>
          <w:szCs w:val="21"/>
          <w:highlight w:val="none"/>
          <w:lang w:eastAsia="zh-TW"/>
        </w:rPr>
        <w:t>在</w:t>
      </w:r>
      <w:r>
        <w:rPr>
          <w:rFonts w:ascii="宋体" w:hAnsi="宋体" w:cs="宋体"/>
          <w:color w:val="auto"/>
          <w:szCs w:val="21"/>
          <w:highlight w:val="none"/>
        </w:rPr>
        <w:t>(</w:t>
      </w:r>
      <w:r>
        <w:rPr>
          <w:rFonts w:hint="eastAsia" w:ascii="宋体" w:hAnsi="宋体" w:cs="宋体"/>
          <w:color w:val="auto"/>
          <w:szCs w:val="21"/>
          <w:highlight w:val="none"/>
        </w:rPr>
        <w:t>招标文件中规定的开标日期和时间</w:t>
      </w:r>
      <w:r>
        <w:rPr>
          <w:rFonts w:ascii="宋体" w:hAnsi="宋体" w:cs="宋体"/>
          <w:color w:val="auto"/>
          <w:szCs w:val="21"/>
          <w:highlight w:val="none"/>
        </w:rPr>
        <w:t>)</w:t>
      </w:r>
      <w:r>
        <w:rPr>
          <w:rFonts w:hint="eastAsia" w:ascii="宋体" w:hAnsi="宋体" w:cs="宋体"/>
          <w:color w:val="auto"/>
          <w:szCs w:val="21"/>
          <w:highlight w:val="none"/>
        </w:rPr>
        <w:t>之前不得启封”的</w:t>
      </w:r>
      <w:r>
        <w:rPr>
          <w:rFonts w:hint="eastAsia" w:ascii="宋体" w:hAnsi="宋体" w:cs="宋体"/>
          <w:color w:val="auto"/>
          <w:szCs w:val="21"/>
          <w:highlight w:val="none"/>
          <w:lang w:eastAsia="zh-TW"/>
        </w:rPr>
        <w:t>字样。</w:t>
      </w:r>
    </w:p>
    <w:p>
      <w:pPr>
        <w:numPr>
          <w:ilvl w:val="1"/>
          <w:numId w:val="37"/>
        </w:numPr>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lang w:eastAsia="zh-TW"/>
        </w:rPr>
        <w:t>如果未按本须知</w:t>
      </w:r>
      <w:r>
        <w:rPr>
          <w:rFonts w:hint="eastAsia" w:ascii="宋体" w:hAnsi="宋体" w:cs="宋体"/>
          <w:color w:val="auto"/>
          <w:szCs w:val="21"/>
          <w:highlight w:val="none"/>
        </w:rPr>
        <w:t>上款</w:t>
      </w:r>
      <w:r>
        <w:rPr>
          <w:rFonts w:hint="eastAsia" w:ascii="宋体" w:hAnsi="宋体" w:cs="宋体"/>
          <w:color w:val="auto"/>
          <w:szCs w:val="21"/>
          <w:highlight w:val="none"/>
          <w:lang w:eastAsia="zh-TW"/>
        </w:rPr>
        <w:t>要求加写标记和</w:t>
      </w:r>
      <w:r>
        <w:rPr>
          <w:rFonts w:hint="eastAsia" w:ascii="宋体" w:hAnsi="宋体" w:cs="宋体"/>
          <w:color w:val="auto"/>
          <w:szCs w:val="21"/>
          <w:highlight w:val="none"/>
        </w:rPr>
        <w:t>密封，</w:t>
      </w:r>
      <w:r>
        <w:rPr>
          <w:rFonts w:hint="eastAsia" w:ascii="宋体" w:hAnsi="宋体" w:cs="宋体"/>
          <w:color w:val="auto"/>
          <w:szCs w:val="21"/>
          <w:highlight w:val="none"/>
          <w:lang w:eastAsia="zh-TW"/>
        </w:rPr>
        <w:t>招标代理机构对误投或提前启封概不负责</w:t>
      </w:r>
      <w:r>
        <w:rPr>
          <w:rFonts w:hint="eastAsia" w:ascii="宋体" w:hAnsi="宋体" w:cs="宋体"/>
          <w:color w:val="auto"/>
          <w:szCs w:val="21"/>
          <w:highlight w:val="none"/>
        </w:rPr>
        <w:t>。</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57" w:name="_Toc355879691"/>
      <w:bookmarkStart w:id="58" w:name="_Toc3914"/>
      <w:r>
        <w:rPr>
          <w:rFonts w:hint="eastAsia" w:ascii="宋体" w:hAnsi="宋体"/>
          <w:b/>
          <w:bCs/>
          <w:color w:val="auto"/>
          <w:szCs w:val="21"/>
          <w:highlight w:val="none"/>
        </w:rPr>
        <w:t>投标截止期</w:t>
      </w:r>
      <w:bookmarkEnd w:id="57"/>
      <w:bookmarkEnd w:id="58"/>
    </w:p>
    <w:p>
      <w:pPr>
        <w:numPr>
          <w:ilvl w:val="1"/>
          <w:numId w:val="37"/>
        </w:numPr>
        <w:autoSpaceDE w:val="0"/>
        <w:autoSpaceDN w:val="0"/>
        <w:adjustRightInd w:val="0"/>
        <w:snapToGrid w:val="0"/>
        <w:spacing w:line="360" w:lineRule="auto"/>
        <w:rPr>
          <w:rFonts w:ascii="宋体" w:hAnsi="宋体" w:cs="黑体"/>
          <w:b/>
          <w:bCs/>
          <w:color w:val="auto"/>
          <w:szCs w:val="21"/>
          <w:highlight w:val="none"/>
        </w:rPr>
      </w:pPr>
      <w:r>
        <w:rPr>
          <w:rFonts w:hint="eastAsia" w:ascii="宋体" w:hAnsi="宋体" w:cs="宋体"/>
          <w:color w:val="auto"/>
          <w:szCs w:val="21"/>
          <w:highlight w:val="none"/>
          <w:lang w:eastAsia="zh-TW"/>
        </w:rPr>
        <w:t>投标人应在不迟于</w:t>
      </w:r>
      <w:r>
        <w:rPr>
          <w:rFonts w:hint="eastAsia" w:ascii="宋体" w:hAnsi="宋体" w:cs="宋体"/>
          <w:b/>
          <w:color w:val="auto"/>
          <w:szCs w:val="21"/>
          <w:highlight w:val="none"/>
        </w:rPr>
        <w:t>投标资料表</w:t>
      </w:r>
      <w:r>
        <w:rPr>
          <w:rFonts w:hint="eastAsia" w:ascii="宋体" w:hAnsi="宋体" w:cs="宋体"/>
          <w:color w:val="auto"/>
          <w:szCs w:val="21"/>
          <w:highlight w:val="none"/>
          <w:lang w:eastAsia="zh-TW"/>
        </w:rPr>
        <w:t>中规定的截止日期和时间将投标文件递交至招标代理机构</w:t>
      </w:r>
      <w:r>
        <w:rPr>
          <w:rFonts w:hint="eastAsia" w:ascii="宋体" w:hAnsi="宋体" w:cs="宋体"/>
          <w:color w:val="auto"/>
          <w:szCs w:val="21"/>
          <w:highlight w:val="none"/>
        </w:rPr>
        <w:t>，</w:t>
      </w:r>
      <w:r>
        <w:rPr>
          <w:rFonts w:hint="eastAsia" w:ascii="宋体" w:hAnsi="宋体" w:cs="宋体"/>
          <w:color w:val="auto"/>
          <w:szCs w:val="21"/>
          <w:highlight w:val="none"/>
          <w:lang w:eastAsia="zh-TW"/>
        </w:rPr>
        <w:t>递交地点应是</w:t>
      </w:r>
      <w:r>
        <w:rPr>
          <w:rFonts w:hint="eastAsia" w:ascii="宋体" w:hAnsi="宋体" w:cs="宋体"/>
          <w:b/>
          <w:color w:val="auto"/>
          <w:szCs w:val="21"/>
          <w:highlight w:val="none"/>
          <w:lang w:eastAsia="zh-TW"/>
        </w:rPr>
        <w:t>投标资料表</w:t>
      </w:r>
      <w:r>
        <w:rPr>
          <w:rFonts w:hint="eastAsia" w:ascii="宋体" w:hAnsi="宋体" w:cs="宋体"/>
          <w:color w:val="auto"/>
          <w:szCs w:val="21"/>
          <w:highlight w:val="none"/>
          <w:lang w:eastAsia="zh-TW"/>
        </w:rPr>
        <w:t>中指明的地址。</w:t>
      </w:r>
    </w:p>
    <w:p>
      <w:pPr>
        <w:numPr>
          <w:ilvl w:val="1"/>
          <w:numId w:val="37"/>
        </w:numPr>
        <w:autoSpaceDE w:val="0"/>
        <w:autoSpaceDN w:val="0"/>
        <w:adjustRightInd w:val="0"/>
        <w:snapToGrid w:val="0"/>
        <w:spacing w:line="360" w:lineRule="auto"/>
        <w:rPr>
          <w:rFonts w:ascii="宋体" w:hAnsi="宋体" w:cs="宋体"/>
          <w:color w:val="auto"/>
          <w:szCs w:val="21"/>
          <w:highlight w:val="none"/>
          <w:lang w:eastAsia="zh-TW"/>
        </w:rPr>
      </w:pPr>
      <w:r>
        <w:rPr>
          <w:rFonts w:hint="eastAsia" w:ascii="宋体" w:hAnsi="宋体" w:cs="宋体"/>
          <w:color w:val="auto"/>
          <w:szCs w:val="21"/>
          <w:highlight w:val="none"/>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color w:val="auto"/>
          <w:szCs w:val="21"/>
          <w:highlight w:val="none"/>
        </w:rPr>
        <w:t>，</w:t>
      </w:r>
      <w:r>
        <w:rPr>
          <w:rFonts w:hint="eastAsia" w:ascii="宋体" w:hAnsi="宋体" w:cs="宋体"/>
          <w:color w:val="auto"/>
          <w:szCs w:val="21"/>
          <w:highlight w:val="none"/>
          <w:lang w:eastAsia="zh-TW"/>
        </w:rPr>
        <w:t>招标采购单位和投标人受投标截止期制约的所有权利和义务均应延长至新的截止期。</w:t>
      </w:r>
    </w:p>
    <w:p>
      <w:pPr>
        <w:numPr>
          <w:ilvl w:val="1"/>
          <w:numId w:val="37"/>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lang w:eastAsia="zh-TW"/>
        </w:rPr>
        <w:t>招标代理机构将</w:t>
      </w:r>
      <w:r>
        <w:rPr>
          <w:rFonts w:hint="eastAsia" w:ascii="宋体" w:hAnsi="宋体" w:cs="宋体"/>
          <w:color w:val="auto"/>
          <w:szCs w:val="21"/>
          <w:highlight w:val="none"/>
        </w:rPr>
        <w:t>拒收</w:t>
      </w:r>
      <w:r>
        <w:rPr>
          <w:rFonts w:hint="eastAsia" w:ascii="宋体" w:hAnsi="宋体" w:cs="宋体"/>
          <w:color w:val="auto"/>
          <w:szCs w:val="21"/>
          <w:highlight w:val="none"/>
          <w:lang w:eastAsia="zh-TW"/>
        </w:rPr>
        <w:t>在</w:t>
      </w:r>
      <w:r>
        <w:rPr>
          <w:rFonts w:hint="eastAsia" w:ascii="宋体" w:hAnsi="宋体" w:cs="宋体"/>
          <w:color w:val="auto"/>
          <w:szCs w:val="21"/>
          <w:highlight w:val="none"/>
        </w:rPr>
        <w:t>招标文件</w:t>
      </w:r>
      <w:r>
        <w:rPr>
          <w:rFonts w:hint="eastAsia" w:ascii="宋体" w:hAnsi="宋体" w:cs="宋体"/>
          <w:color w:val="auto"/>
          <w:szCs w:val="21"/>
          <w:highlight w:val="none"/>
          <w:lang w:eastAsia="zh-TW"/>
        </w:rPr>
        <w:t>规定的</w:t>
      </w:r>
      <w:r>
        <w:rPr>
          <w:rFonts w:hint="eastAsia" w:ascii="宋体" w:hAnsi="宋体" w:cs="宋体"/>
          <w:color w:val="auto"/>
          <w:szCs w:val="21"/>
          <w:highlight w:val="none"/>
        </w:rPr>
        <w:t>投标</w:t>
      </w:r>
      <w:r>
        <w:rPr>
          <w:rFonts w:hint="eastAsia" w:ascii="宋体" w:hAnsi="宋体" w:cs="宋体"/>
          <w:color w:val="auto"/>
          <w:szCs w:val="21"/>
          <w:highlight w:val="none"/>
          <w:lang w:eastAsia="zh-TW"/>
        </w:rPr>
        <w:t>截止时间</w:t>
      </w:r>
      <w:r>
        <w:rPr>
          <w:rFonts w:hint="eastAsia" w:ascii="宋体" w:hAnsi="宋体" w:cs="宋体"/>
          <w:color w:val="auto"/>
          <w:szCs w:val="21"/>
          <w:highlight w:val="none"/>
        </w:rPr>
        <w:t>之</w:t>
      </w:r>
      <w:r>
        <w:rPr>
          <w:rFonts w:hint="eastAsia" w:ascii="宋体" w:hAnsi="宋体" w:cs="宋体"/>
          <w:color w:val="auto"/>
          <w:szCs w:val="21"/>
          <w:highlight w:val="none"/>
          <w:lang w:eastAsia="zh-TW"/>
        </w:rPr>
        <w:t>后</w:t>
      </w:r>
      <w:r>
        <w:rPr>
          <w:rFonts w:hint="eastAsia" w:ascii="宋体" w:hAnsi="宋体" w:cs="宋体"/>
          <w:color w:val="auto"/>
          <w:szCs w:val="21"/>
          <w:highlight w:val="none"/>
        </w:rPr>
        <w:t>送达的投标文件。</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59" w:name="_Toc355879692"/>
      <w:bookmarkStart w:id="60" w:name="_Toc25816"/>
      <w:r>
        <w:rPr>
          <w:rFonts w:hint="eastAsia" w:ascii="宋体" w:hAnsi="宋体"/>
          <w:b/>
          <w:bCs/>
          <w:color w:val="auto"/>
          <w:szCs w:val="21"/>
          <w:highlight w:val="none"/>
        </w:rPr>
        <w:t>投标文件的修改和撤回</w:t>
      </w:r>
      <w:bookmarkEnd w:id="59"/>
      <w:bookmarkEnd w:id="60"/>
    </w:p>
    <w:p>
      <w:pPr>
        <w:numPr>
          <w:ilvl w:val="1"/>
          <w:numId w:val="37"/>
        </w:numPr>
        <w:autoSpaceDE w:val="0"/>
        <w:autoSpaceDN w:val="0"/>
        <w:adjustRightInd w:val="0"/>
        <w:snapToGrid w:val="0"/>
        <w:spacing w:line="360" w:lineRule="auto"/>
        <w:rPr>
          <w:rFonts w:ascii="宋体" w:hAnsi="宋体" w:cs="黑体"/>
          <w:b/>
          <w:bCs/>
          <w:color w:val="auto"/>
          <w:szCs w:val="21"/>
          <w:highlight w:val="none"/>
        </w:rPr>
      </w:pPr>
      <w:r>
        <w:rPr>
          <w:rFonts w:hint="eastAsia" w:ascii="宋体" w:hAnsi="宋体" w:cs="宋体"/>
          <w:color w:val="auto"/>
          <w:szCs w:val="21"/>
          <w:highlight w:val="none"/>
          <w:lang w:eastAsia="zh-TW"/>
        </w:rPr>
        <w:t>投标人在投标截止时间前，可以对所递交的投标文件进行补充、修改或者撤回，并书面通知招标采购单位。补充、修改的内容应当按招标文件要求签署、盖章，并作为投标文件的组成部分。在投标截止时间之后，投标人不得对其投标文件做任何修改和补充。</w:t>
      </w:r>
    </w:p>
    <w:p>
      <w:pPr>
        <w:numPr>
          <w:ilvl w:val="0"/>
          <w:numId w:val="36"/>
        </w:numPr>
        <w:autoSpaceDE w:val="0"/>
        <w:autoSpaceDN w:val="0"/>
        <w:adjustRightInd w:val="0"/>
        <w:snapToGrid w:val="0"/>
        <w:spacing w:before="312" w:beforeLines="100" w:after="312" w:afterLines="100" w:line="360" w:lineRule="auto"/>
        <w:jc w:val="center"/>
        <w:outlineLvl w:val="0"/>
        <w:rPr>
          <w:rFonts w:hint="eastAsia" w:ascii="宋体" w:hAnsi="宋体"/>
          <w:b/>
          <w:color w:val="auto"/>
          <w:sz w:val="28"/>
          <w:szCs w:val="28"/>
          <w:highlight w:val="none"/>
          <w:lang w:eastAsia="zh-TW"/>
        </w:rPr>
      </w:pPr>
      <w:bookmarkStart w:id="61" w:name="_Toc355879693"/>
      <w:bookmarkStart w:id="62" w:name="_Toc32162"/>
      <w:r>
        <w:rPr>
          <w:rFonts w:hint="eastAsia" w:ascii="宋体" w:hAnsi="宋体"/>
          <w:b/>
          <w:color w:val="auto"/>
          <w:sz w:val="28"/>
          <w:szCs w:val="28"/>
          <w:highlight w:val="none"/>
          <w:lang w:eastAsia="zh-TW"/>
        </w:rPr>
        <w:t>开标与评标</w:t>
      </w:r>
      <w:bookmarkEnd w:id="61"/>
      <w:bookmarkEnd w:id="62"/>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63" w:name="_Toc355879694"/>
      <w:bookmarkStart w:id="64" w:name="_Toc15385"/>
      <w:r>
        <w:rPr>
          <w:rFonts w:hint="eastAsia" w:ascii="宋体" w:hAnsi="宋体"/>
          <w:b/>
          <w:bCs/>
          <w:color w:val="auto"/>
          <w:szCs w:val="21"/>
          <w:highlight w:val="none"/>
        </w:rPr>
        <w:t>开标</w:t>
      </w:r>
      <w:bookmarkEnd w:id="63"/>
      <w:bookmarkEnd w:id="64"/>
    </w:p>
    <w:p>
      <w:pPr>
        <w:numPr>
          <w:ilvl w:val="1"/>
          <w:numId w:val="37"/>
        </w:numPr>
        <w:autoSpaceDE w:val="0"/>
        <w:autoSpaceDN w:val="0"/>
        <w:adjustRightInd w:val="0"/>
        <w:snapToGrid w:val="0"/>
        <w:spacing w:line="360" w:lineRule="auto"/>
        <w:rPr>
          <w:rFonts w:ascii="宋体" w:hAnsi="宋体" w:cs="黑体"/>
          <w:b/>
          <w:bCs/>
          <w:color w:val="auto"/>
          <w:szCs w:val="21"/>
          <w:highlight w:val="none"/>
        </w:rPr>
      </w:pPr>
      <w:r>
        <w:rPr>
          <w:rFonts w:hint="eastAsia" w:ascii="宋体" w:hAnsi="宋体" w:cs="宋体"/>
          <w:color w:val="auto"/>
          <w:szCs w:val="21"/>
          <w:highlight w:val="none"/>
          <w:lang w:eastAsia="zh-TW"/>
        </w:rPr>
        <w:t>招标代理机构在投标邀请函中规定的日期、时</w:t>
      </w:r>
      <w:r>
        <w:rPr>
          <w:rFonts w:hint="eastAsia" w:ascii="宋体" w:hAnsi="宋体" w:cs="宋体"/>
          <w:color w:val="auto"/>
          <w:szCs w:val="21"/>
          <w:highlight w:val="none"/>
        </w:rPr>
        <w:t>间</w:t>
      </w:r>
      <w:r>
        <w:rPr>
          <w:rFonts w:hint="eastAsia" w:ascii="宋体" w:hAnsi="宋体" w:cs="宋体"/>
          <w:color w:val="auto"/>
          <w:szCs w:val="21"/>
          <w:highlight w:val="none"/>
          <w:lang w:eastAsia="zh-TW"/>
        </w:rPr>
        <w:t>和地点组织公开开标。开标时邀请所有投标人代表参加。参加开标的代表应签名报到以证明其出席。</w:t>
      </w:r>
    </w:p>
    <w:p>
      <w:pPr>
        <w:numPr>
          <w:ilvl w:val="1"/>
          <w:numId w:val="37"/>
        </w:numPr>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lang w:eastAsia="zh-TW"/>
        </w:rPr>
        <w:t>开标时</w:t>
      </w:r>
      <w:r>
        <w:rPr>
          <w:rFonts w:hint="eastAsia" w:ascii="宋体" w:hAnsi="宋体" w:cs="宋体"/>
          <w:color w:val="auto"/>
          <w:szCs w:val="21"/>
          <w:highlight w:val="none"/>
        </w:rPr>
        <w:t>，</w:t>
      </w:r>
      <w:r>
        <w:rPr>
          <w:rFonts w:hint="eastAsia" w:ascii="宋体" w:hAnsi="宋体" w:cs="宋体"/>
          <w:color w:val="auto"/>
          <w:szCs w:val="21"/>
          <w:highlight w:val="none"/>
          <w:lang w:eastAsia="zh-TW"/>
        </w:rPr>
        <w:t>由按签到顺序递交投标文件的前三名投标人代表作为全体投标人推选的代表</w:t>
      </w:r>
      <w:r>
        <w:rPr>
          <w:rFonts w:hint="eastAsia" w:ascii="宋体" w:hAnsi="宋体" w:cs="宋体"/>
          <w:color w:val="auto"/>
          <w:szCs w:val="21"/>
          <w:highlight w:val="none"/>
        </w:rPr>
        <w:t>就所有</w:t>
      </w:r>
      <w:r>
        <w:rPr>
          <w:rFonts w:hint="eastAsia" w:ascii="宋体" w:hAnsi="宋体" w:cs="宋体"/>
          <w:color w:val="auto"/>
          <w:szCs w:val="21"/>
          <w:highlight w:val="none"/>
          <w:lang w:eastAsia="zh-TW"/>
        </w:rPr>
        <w:t>投标文件的密封情况</w:t>
      </w:r>
      <w:r>
        <w:rPr>
          <w:rFonts w:hint="eastAsia" w:ascii="宋体" w:hAnsi="宋体" w:cs="宋体"/>
          <w:color w:val="auto"/>
          <w:szCs w:val="21"/>
          <w:highlight w:val="none"/>
        </w:rPr>
        <w:t>进行检查，</w:t>
      </w:r>
      <w:r>
        <w:rPr>
          <w:rFonts w:hint="eastAsia" w:ascii="宋体" w:hAnsi="宋体" w:cs="宋体"/>
          <w:color w:val="auto"/>
          <w:szCs w:val="21"/>
          <w:highlight w:val="none"/>
          <w:lang w:eastAsia="zh-TW"/>
        </w:rPr>
        <w:t>也可以由</w:t>
      </w:r>
      <w:r>
        <w:rPr>
          <w:rFonts w:hint="eastAsia" w:ascii="宋体" w:hAnsi="宋体" w:cs="宋体"/>
          <w:color w:val="auto"/>
          <w:szCs w:val="21"/>
          <w:highlight w:val="none"/>
        </w:rPr>
        <w:t>招标</w:t>
      </w:r>
      <w:r>
        <w:rPr>
          <w:rFonts w:hint="eastAsia" w:ascii="宋体" w:hAnsi="宋体" w:cs="宋体"/>
          <w:color w:val="auto"/>
          <w:szCs w:val="21"/>
          <w:highlight w:val="none"/>
          <w:lang w:eastAsia="zh-TW"/>
        </w:rPr>
        <w:t>采购</w:t>
      </w:r>
      <w:r>
        <w:rPr>
          <w:rFonts w:hint="eastAsia" w:ascii="宋体" w:hAnsi="宋体" w:cs="宋体"/>
          <w:color w:val="auto"/>
          <w:szCs w:val="21"/>
          <w:highlight w:val="none"/>
        </w:rPr>
        <w:t>单位</w:t>
      </w:r>
      <w:r>
        <w:rPr>
          <w:rFonts w:hint="eastAsia" w:ascii="宋体" w:hAnsi="宋体" w:cs="宋体"/>
          <w:color w:val="auto"/>
          <w:szCs w:val="21"/>
          <w:highlight w:val="none"/>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color w:val="auto"/>
          <w:szCs w:val="21"/>
          <w:highlight w:val="none"/>
        </w:rPr>
        <w:t>，</w:t>
      </w:r>
      <w:r>
        <w:rPr>
          <w:rFonts w:hint="eastAsia" w:ascii="宋体" w:hAnsi="宋体" w:cs="宋体"/>
          <w:color w:val="auto"/>
          <w:szCs w:val="21"/>
          <w:highlight w:val="none"/>
          <w:lang w:eastAsia="zh-TW"/>
        </w:rPr>
        <w:t>以及招标代理机构认为合适的其他内容。</w:t>
      </w:r>
    </w:p>
    <w:p>
      <w:pPr>
        <w:numPr>
          <w:ilvl w:val="1"/>
          <w:numId w:val="37"/>
        </w:numPr>
        <w:autoSpaceDE w:val="0"/>
        <w:autoSpaceDN w:val="0"/>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TW"/>
        </w:rPr>
        <w:t>在开标时</w:t>
      </w:r>
      <w:r>
        <w:rPr>
          <w:rFonts w:hint="eastAsia" w:ascii="宋体" w:hAnsi="宋体" w:cs="宋体"/>
          <w:color w:val="auto"/>
          <w:szCs w:val="21"/>
          <w:highlight w:val="none"/>
        </w:rPr>
        <w:t>，未宣读的投标价格、价格折扣和招标文件允许提供的备选投标方案等实质内容，</w:t>
      </w:r>
      <w:r>
        <w:rPr>
          <w:rFonts w:hint="eastAsia" w:ascii="宋体" w:hAnsi="宋体" w:cs="宋体"/>
          <w:color w:val="auto"/>
          <w:szCs w:val="21"/>
          <w:highlight w:val="none"/>
          <w:lang w:eastAsia="zh-TW"/>
        </w:rPr>
        <w:t>评标时不予</w:t>
      </w:r>
      <w:r>
        <w:rPr>
          <w:rFonts w:hint="eastAsia" w:ascii="宋体" w:hAnsi="宋体" w:cs="宋体"/>
          <w:color w:val="auto"/>
          <w:szCs w:val="21"/>
          <w:highlight w:val="none"/>
        </w:rPr>
        <w:t>承认</w:t>
      </w:r>
      <w:r>
        <w:rPr>
          <w:rFonts w:hint="eastAsia" w:ascii="宋体" w:hAnsi="宋体" w:cs="宋体"/>
          <w:color w:val="auto"/>
          <w:szCs w:val="21"/>
          <w:highlight w:val="none"/>
          <w:lang w:eastAsia="zh-TW"/>
        </w:rPr>
        <w:t>。</w:t>
      </w:r>
    </w:p>
    <w:p>
      <w:pPr>
        <w:numPr>
          <w:ilvl w:val="1"/>
          <w:numId w:val="37"/>
        </w:numPr>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lang w:eastAsia="zh-TW"/>
        </w:rPr>
        <w:t>招标代理机构将做开标记录</w:t>
      </w:r>
      <w:r>
        <w:rPr>
          <w:rFonts w:hint="eastAsia" w:ascii="宋体" w:hAnsi="宋体" w:cs="宋体"/>
          <w:color w:val="auto"/>
          <w:szCs w:val="21"/>
          <w:highlight w:val="none"/>
        </w:rPr>
        <w:t>，开标记录由投标人代表和有关人员共同签字确认</w:t>
      </w:r>
      <w:r>
        <w:rPr>
          <w:rFonts w:hint="eastAsia" w:ascii="宋体" w:hAnsi="宋体" w:cs="宋体"/>
          <w:color w:val="auto"/>
          <w:szCs w:val="21"/>
          <w:highlight w:val="none"/>
          <w:lang w:eastAsia="zh-TW"/>
        </w:rPr>
        <w:t>。</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65" w:name="_Toc355879695"/>
      <w:bookmarkStart w:id="66" w:name="_Toc9892"/>
      <w:r>
        <w:rPr>
          <w:rFonts w:hint="eastAsia" w:ascii="宋体" w:hAnsi="宋体"/>
          <w:b/>
          <w:bCs/>
          <w:color w:val="auto"/>
          <w:szCs w:val="21"/>
          <w:highlight w:val="none"/>
        </w:rPr>
        <w:t>评标委员会和评标方法</w:t>
      </w:r>
      <w:bookmarkEnd w:id="65"/>
      <w:bookmarkEnd w:id="66"/>
    </w:p>
    <w:p>
      <w:pPr>
        <w:numPr>
          <w:ilvl w:val="1"/>
          <w:numId w:val="37"/>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lang w:eastAsia="zh-TW"/>
        </w:rPr>
        <w:t>评标由依照政府采购法律、法规、规章、政策的规定，组建的评标委员会负责。评标委员会成员按政府采购规定由</w:t>
      </w:r>
      <w:r>
        <w:rPr>
          <w:rFonts w:hint="eastAsia" w:ascii="宋体" w:hAnsi="宋体" w:cs="宋体"/>
          <w:color w:val="auto"/>
          <w:szCs w:val="21"/>
          <w:highlight w:val="none"/>
        </w:rPr>
        <w:t>有关</w:t>
      </w:r>
      <w:r>
        <w:rPr>
          <w:rFonts w:hint="eastAsia" w:ascii="宋体" w:hAnsi="宋体" w:cs="宋体"/>
          <w:color w:val="auto"/>
          <w:szCs w:val="21"/>
          <w:highlight w:val="none"/>
          <w:lang w:eastAsia="zh-TW"/>
        </w:rPr>
        <w:t>技术、经济等方面的专家组成，专家人数构成将按照</w:t>
      </w:r>
      <w:r>
        <w:rPr>
          <w:rFonts w:hint="eastAsia" w:ascii="宋体" w:hAnsi="宋体" w:cs="宋体"/>
          <w:b/>
          <w:color w:val="auto"/>
          <w:szCs w:val="21"/>
          <w:highlight w:val="none"/>
          <w:lang w:eastAsia="zh-TW"/>
        </w:rPr>
        <w:t>投标资料表</w:t>
      </w:r>
      <w:r>
        <w:rPr>
          <w:rFonts w:hint="eastAsia" w:ascii="宋体" w:hAnsi="宋体" w:cs="宋体"/>
          <w:color w:val="auto"/>
          <w:szCs w:val="21"/>
          <w:highlight w:val="none"/>
          <w:lang w:eastAsia="zh-TW"/>
        </w:rPr>
        <w:t>中确定。评标委员会成员依法从政府采购专家库中随机抽取。</w:t>
      </w:r>
    </w:p>
    <w:p>
      <w:pPr>
        <w:numPr>
          <w:ilvl w:val="1"/>
          <w:numId w:val="37"/>
        </w:numPr>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评标委员会名单在</w:t>
      </w:r>
      <w:r>
        <w:rPr>
          <w:rFonts w:hint="eastAsia" w:ascii="宋体" w:hAnsi="宋体" w:cs="宋体"/>
          <w:color w:val="auto"/>
          <w:szCs w:val="21"/>
          <w:highlight w:val="none"/>
        </w:rPr>
        <w:t>评审</w:t>
      </w:r>
      <w:r>
        <w:rPr>
          <w:rFonts w:hint="eastAsia" w:ascii="宋体" w:hAnsi="宋体" w:cs="宋体"/>
          <w:color w:val="auto"/>
          <w:szCs w:val="21"/>
          <w:highlight w:val="none"/>
          <w:lang w:eastAsia="zh-TW"/>
        </w:rPr>
        <w:t>结果确定前严格保密。评审专家有下列情形之一的，受到邀请应主动提出回避，采购当事人也可以要求该评审专家回避：</w:t>
      </w:r>
    </w:p>
    <w:p>
      <w:pPr>
        <w:numPr>
          <w:ilvl w:val="2"/>
          <w:numId w:val="37"/>
        </w:numPr>
        <w:tabs>
          <w:tab w:val="left" w:pos="851"/>
          <w:tab w:val="left" w:pos="1418"/>
        </w:tabs>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三年内曾在参加该采购项目供应商中任职或担任顾问的；</w:t>
      </w:r>
    </w:p>
    <w:p>
      <w:pPr>
        <w:numPr>
          <w:ilvl w:val="2"/>
          <w:numId w:val="37"/>
        </w:numPr>
        <w:tabs>
          <w:tab w:val="left" w:pos="851"/>
          <w:tab w:val="left" w:pos="1418"/>
        </w:tabs>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配偶或直系亲属在参加该采购项目的供应商中任职或担任顾问的；</w:t>
      </w:r>
    </w:p>
    <w:p>
      <w:pPr>
        <w:numPr>
          <w:ilvl w:val="2"/>
          <w:numId w:val="37"/>
        </w:numPr>
        <w:tabs>
          <w:tab w:val="left" w:pos="851"/>
          <w:tab w:val="left" w:pos="1418"/>
        </w:tabs>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与参加该采购项目供应商发生过法律纠纷的；</w:t>
      </w:r>
    </w:p>
    <w:p>
      <w:pPr>
        <w:numPr>
          <w:ilvl w:val="2"/>
          <w:numId w:val="37"/>
        </w:numPr>
        <w:tabs>
          <w:tab w:val="left" w:pos="851"/>
          <w:tab w:val="left" w:pos="1418"/>
        </w:tabs>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评标委员会中，同一任职单位评审专家超过二名的；</w:t>
      </w:r>
    </w:p>
    <w:p>
      <w:pPr>
        <w:numPr>
          <w:ilvl w:val="2"/>
          <w:numId w:val="37"/>
        </w:numPr>
        <w:tabs>
          <w:tab w:val="left" w:pos="851"/>
          <w:tab w:val="left" w:pos="1418"/>
        </w:tabs>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任职单位与招标人或参与该采购项目供应商存在行政隶属关系的；</w:t>
      </w:r>
    </w:p>
    <w:p>
      <w:pPr>
        <w:numPr>
          <w:ilvl w:val="2"/>
          <w:numId w:val="37"/>
        </w:numPr>
        <w:tabs>
          <w:tab w:val="left" w:pos="851"/>
          <w:tab w:val="left" w:pos="1418"/>
        </w:tabs>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参与招标文件论证的；</w:t>
      </w:r>
    </w:p>
    <w:p>
      <w:pPr>
        <w:numPr>
          <w:ilvl w:val="2"/>
          <w:numId w:val="37"/>
        </w:numPr>
        <w:tabs>
          <w:tab w:val="left" w:pos="851"/>
          <w:tab w:val="left" w:pos="1418"/>
        </w:tabs>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法律、法规、规章规定应当回避以及其他可能影响公正评审的。</w:t>
      </w:r>
    </w:p>
    <w:p>
      <w:pPr>
        <w:numPr>
          <w:ilvl w:val="1"/>
          <w:numId w:val="37"/>
        </w:numPr>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评标委员会和有关工作人员不得透露对投标文件的评审和比较以及与评标有关的其他情况。</w:t>
      </w:r>
    </w:p>
    <w:p>
      <w:pPr>
        <w:numPr>
          <w:ilvl w:val="1"/>
          <w:numId w:val="37"/>
        </w:numPr>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评标委员会将按照</w:t>
      </w:r>
      <w:r>
        <w:rPr>
          <w:rFonts w:hint="eastAsia" w:ascii="宋体" w:hAnsi="宋体" w:cs="宋体"/>
          <w:b/>
          <w:color w:val="auto"/>
          <w:szCs w:val="21"/>
          <w:highlight w:val="none"/>
          <w:lang w:eastAsia="zh-TW"/>
        </w:rPr>
        <w:t>投标资料表</w:t>
      </w:r>
      <w:r>
        <w:rPr>
          <w:rFonts w:hint="eastAsia" w:ascii="宋体" w:hAnsi="宋体" w:cs="宋体"/>
          <w:color w:val="auto"/>
          <w:szCs w:val="21"/>
          <w:highlight w:val="none"/>
          <w:lang w:eastAsia="zh-TW"/>
        </w:rPr>
        <w:t>中确定的评标方法</w:t>
      </w:r>
      <w:r>
        <w:rPr>
          <w:rFonts w:hint="eastAsia" w:ascii="宋体" w:hAnsi="宋体" w:cs="宋体"/>
          <w:color w:val="auto"/>
          <w:szCs w:val="21"/>
          <w:highlight w:val="none"/>
        </w:rPr>
        <w:t>和</w:t>
      </w:r>
      <w:r>
        <w:rPr>
          <w:rFonts w:hint="eastAsia" w:ascii="宋体" w:hAnsi="宋体" w:cs="宋体"/>
          <w:color w:val="auto"/>
          <w:szCs w:val="21"/>
          <w:highlight w:val="none"/>
          <w:lang w:eastAsia="zh-TW"/>
        </w:rPr>
        <w:t>本招标文件第</w:t>
      </w:r>
      <w:r>
        <w:rPr>
          <w:rFonts w:hint="eastAsia" w:ascii="宋体" w:hAnsi="宋体" w:cs="宋体"/>
          <w:color w:val="auto"/>
          <w:szCs w:val="21"/>
          <w:highlight w:val="none"/>
        </w:rPr>
        <w:t>四</w:t>
      </w:r>
      <w:r>
        <w:rPr>
          <w:rFonts w:hint="eastAsia" w:ascii="宋体" w:hAnsi="宋体" w:cs="宋体"/>
          <w:color w:val="auto"/>
          <w:szCs w:val="21"/>
          <w:highlight w:val="none"/>
          <w:lang w:eastAsia="zh-TW"/>
        </w:rPr>
        <w:t>章中规定</w:t>
      </w:r>
      <w:r>
        <w:rPr>
          <w:rFonts w:hint="eastAsia" w:ascii="宋体" w:hAnsi="宋体" w:cs="宋体"/>
          <w:color w:val="auto"/>
          <w:szCs w:val="21"/>
          <w:highlight w:val="none"/>
        </w:rPr>
        <w:t>的评标</w:t>
      </w:r>
      <w:r>
        <w:rPr>
          <w:rFonts w:hint="eastAsia" w:ascii="宋体" w:hAnsi="宋体" w:cs="宋体"/>
          <w:color w:val="auto"/>
          <w:szCs w:val="21"/>
          <w:highlight w:val="none"/>
          <w:lang w:eastAsia="zh-TW"/>
        </w:rPr>
        <w:t>标准进行评标。</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67" w:name="_Toc355879696"/>
      <w:bookmarkStart w:id="68" w:name="_Toc29667"/>
      <w:r>
        <w:rPr>
          <w:rFonts w:hint="eastAsia" w:ascii="宋体" w:hAnsi="宋体"/>
          <w:b/>
          <w:bCs/>
          <w:color w:val="auto"/>
          <w:szCs w:val="21"/>
          <w:highlight w:val="none"/>
        </w:rPr>
        <w:t>投标文件的初审</w:t>
      </w:r>
      <w:bookmarkEnd w:id="67"/>
      <w:bookmarkEnd w:id="68"/>
    </w:p>
    <w:p>
      <w:pPr>
        <w:numPr>
          <w:ilvl w:val="1"/>
          <w:numId w:val="37"/>
        </w:numPr>
        <w:autoSpaceDE w:val="0"/>
        <w:autoSpaceDN w:val="0"/>
        <w:adjustRightInd w:val="0"/>
        <w:snapToGrid w:val="0"/>
        <w:spacing w:line="360" w:lineRule="auto"/>
        <w:rPr>
          <w:rFonts w:ascii="宋体" w:hAnsi="宋体" w:cs="黑体"/>
          <w:b/>
          <w:bCs/>
          <w:color w:val="auto"/>
          <w:szCs w:val="21"/>
          <w:highlight w:val="none"/>
        </w:rPr>
      </w:pPr>
      <w:r>
        <w:rPr>
          <w:rFonts w:hint="eastAsia" w:ascii="宋体" w:hAnsi="宋体" w:cs="宋体"/>
          <w:color w:val="auto"/>
          <w:szCs w:val="21"/>
          <w:highlight w:val="none"/>
          <w:lang w:eastAsia="zh-TW"/>
        </w:rPr>
        <w:t>评标委员会将</w:t>
      </w:r>
      <w:r>
        <w:rPr>
          <w:rFonts w:hint="eastAsia" w:ascii="宋体" w:hAnsi="宋体" w:cs="宋体"/>
          <w:color w:val="auto"/>
          <w:szCs w:val="21"/>
          <w:highlight w:val="none"/>
        </w:rPr>
        <w:t>依法</w:t>
      </w:r>
      <w:r>
        <w:rPr>
          <w:rFonts w:hint="eastAsia" w:ascii="宋体" w:hAnsi="宋体" w:cs="宋体"/>
          <w:color w:val="auto"/>
          <w:szCs w:val="21"/>
          <w:highlight w:val="none"/>
          <w:lang w:eastAsia="zh-TW"/>
        </w:rPr>
        <w:t>审查投标文件是否完整、文件签署是否合格、是否按招标文件的规定密封和标记、投标人是否</w:t>
      </w:r>
      <w:r>
        <w:rPr>
          <w:rFonts w:hint="eastAsia" w:ascii="宋体" w:hAnsi="宋体" w:cs="宋体"/>
          <w:color w:val="auto"/>
          <w:szCs w:val="21"/>
          <w:highlight w:val="none"/>
        </w:rPr>
        <w:t>缴纳</w:t>
      </w:r>
      <w:r>
        <w:rPr>
          <w:rFonts w:hint="eastAsia" w:ascii="宋体" w:hAnsi="宋体" w:cs="宋体"/>
          <w:color w:val="auto"/>
          <w:szCs w:val="21"/>
          <w:highlight w:val="none"/>
          <w:lang w:eastAsia="zh-TW"/>
        </w:rPr>
        <w:t>了投标保证金、有无计算</w:t>
      </w:r>
      <w:r>
        <w:rPr>
          <w:rFonts w:hint="eastAsia" w:ascii="宋体" w:hAnsi="宋体" w:cs="宋体"/>
          <w:color w:val="auto"/>
          <w:szCs w:val="21"/>
          <w:highlight w:val="none"/>
        </w:rPr>
        <w:t>上</w:t>
      </w:r>
      <w:r>
        <w:rPr>
          <w:rFonts w:hint="eastAsia" w:ascii="宋体" w:hAnsi="宋体" w:cs="宋体"/>
          <w:color w:val="auto"/>
          <w:szCs w:val="21"/>
          <w:highlight w:val="none"/>
          <w:lang w:eastAsia="zh-TW"/>
        </w:rPr>
        <w:t>的错误等。</w:t>
      </w:r>
    </w:p>
    <w:p>
      <w:pPr>
        <w:numPr>
          <w:ilvl w:val="1"/>
          <w:numId w:val="37"/>
        </w:numPr>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color w:val="auto"/>
          <w:szCs w:val="21"/>
          <w:highlight w:val="none"/>
        </w:rPr>
        <w:t>。如果投标人不接受对其错误的更正，其投标将被视为无效投标或确定为投标无效。</w:t>
      </w:r>
    </w:p>
    <w:p>
      <w:pPr>
        <w:numPr>
          <w:ilvl w:val="1"/>
          <w:numId w:val="37"/>
        </w:numPr>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lang w:eastAsia="zh-TW"/>
        </w:rPr>
        <w:t>对于投标文件中不构成实质性偏差的不正规、不一致或不规则</w:t>
      </w:r>
      <w:r>
        <w:rPr>
          <w:rFonts w:hint="eastAsia" w:ascii="宋体" w:hAnsi="宋体" w:cs="宋体"/>
          <w:color w:val="auto"/>
          <w:szCs w:val="21"/>
          <w:highlight w:val="none"/>
        </w:rPr>
        <w:t>，</w:t>
      </w:r>
      <w:r>
        <w:rPr>
          <w:rFonts w:hint="eastAsia" w:ascii="宋体" w:hAnsi="宋体" w:cs="宋体"/>
          <w:color w:val="auto"/>
          <w:szCs w:val="21"/>
          <w:highlight w:val="none"/>
          <w:lang w:eastAsia="zh-TW"/>
        </w:rPr>
        <w:t>评标委员会可以接受</w:t>
      </w:r>
      <w:r>
        <w:rPr>
          <w:rFonts w:hint="eastAsia" w:ascii="宋体" w:hAnsi="宋体" w:cs="宋体"/>
          <w:color w:val="auto"/>
          <w:szCs w:val="21"/>
          <w:highlight w:val="none"/>
        </w:rPr>
        <w:t>，</w:t>
      </w:r>
      <w:r>
        <w:rPr>
          <w:rFonts w:hint="eastAsia" w:ascii="宋体" w:hAnsi="宋体" w:cs="宋体"/>
          <w:color w:val="auto"/>
          <w:szCs w:val="21"/>
          <w:highlight w:val="none"/>
          <w:lang w:eastAsia="zh-TW"/>
        </w:rPr>
        <w:t>但这种接受不能损害或影响任何投标人的相对排序。</w:t>
      </w:r>
    </w:p>
    <w:p>
      <w:pPr>
        <w:numPr>
          <w:ilvl w:val="1"/>
          <w:numId w:val="37"/>
        </w:numPr>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lang w:eastAsia="zh-TW"/>
        </w:rPr>
        <w:t>在详细评标之前</w:t>
      </w:r>
      <w:r>
        <w:rPr>
          <w:rFonts w:hint="eastAsia" w:ascii="宋体" w:hAnsi="宋体" w:cs="宋体"/>
          <w:color w:val="auto"/>
          <w:szCs w:val="21"/>
          <w:highlight w:val="none"/>
        </w:rPr>
        <w:t>，</w:t>
      </w:r>
      <w:r>
        <w:rPr>
          <w:rFonts w:hint="eastAsia" w:ascii="宋体" w:hAnsi="宋体" w:cs="宋体"/>
          <w:color w:val="auto"/>
          <w:szCs w:val="21"/>
          <w:highlight w:val="none"/>
          <w:lang w:eastAsia="zh-TW"/>
        </w:rPr>
        <w:t>评标委员会要审查每份投标文件是否实质上响应了招标文件的要求。实质上</w:t>
      </w:r>
      <w:r>
        <w:rPr>
          <w:rFonts w:hint="eastAsia" w:ascii="宋体" w:hAnsi="宋体" w:cs="宋体"/>
          <w:color w:val="auto"/>
          <w:szCs w:val="21"/>
          <w:highlight w:val="none"/>
        </w:rPr>
        <w:t>响</w:t>
      </w:r>
      <w:r>
        <w:rPr>
          <w:rFonts w:hint="eastAsia" w:ascii="宋体" w:hAnsi="宋体" w:cs="宋体"/>
          <w:color w:val="auto"/>
          <w:szCs w:val="21"/>
          <w:highlight w:val="none"/>
          <w:lang w:eastAsia="zh-TW"/>
        </w:rPr>
        <w:t>应的投标</w:t>
      </w:r>
      <w:r>
        <w:rPr>
          <w:rFonts w:hint="eastAsia" w:ascii="宋体" w:hAnsi="宋体" w:cs="宋体"/>
          <w:color w:val="auto"/>
          <w:szCs w:val="21"/>
          <w:highlight w:val="none"/>
        </w:rPr>
        <w:t>文件</w:t>
      </w:r>
      <w:r>
        <w:rPr>
          <w:rFonts w:hint="eastAsia" w:ascii="宋体" w:hAnsi="宋体" w:cs="宋体"/>
          <w:color w:val="auto"/>
          <w:szCs w:val="21"/>
          <w:highlight w:val="none"/>
          <w:lang w:eastAsia="zh-TW"/>
        </w:rPr>
        <w:t>应该是与招标文件要求的关键条款</w:t>
      </w:r>
      <w:r>
        <w:rPr>
          <w:rFonts w:hint="eastAsia" w:ascii="宋体" w:hAnsi="宋体" w:cs="宋体"/>
          <w:color w:val="auto"/>
          <w:szCs w:val="21"/>
          <w:highlight w:val="none"/>
        </w:rPr>
        <w:t>、</w:t>
      </w:r>
      <w:r>
        <w:rPr>
          <w:rFonts w:hint="eastAsia" w:ascii="宋体" w:hAnsi="宋体" w:cs="宋体"/>
          <w:color w:val="auto"/>
          <w:szCs w:val="21"/>
          <w:highlight w:val="none"/>
          <w:lang w:eastAsia="zh-TW"/>
        </w:rPr>
        <w:t>条件和规格相符</w:t>
      </w:r>
      <w:r>
        <w:rPr>
          <w:rFonts w:hint="eastAsia" w:ascii="宋体" w:hAnsi="宋体" w:cs="宋体"/>
          <w:color w:val="auto"/>
          <w:szCs w:val="21"/>
          <w:highlight w:val="none"/>
        </w:rPr>
        <w:t>或优于，</w:t>
      </w:r>
      <w:r>
        <w:rPr>
          <w:rFonts w:hint="eastAsia" w:ascii="宋体" w:hAnsi="宋体" w:cs="宋体"/>
          <w:color w:val="auto"/>
          <w:szCs w:val="21"/>
          <w:highlight w:val="none"/>
          <w:lang w:eastAsia="zh-TW"/>
        </w:rPr>
        <w:t>没有</w:t>
      </w:r>
      <w:r>
        <w:rPr>
          <w:rFonts w:hint="eastAsia" w:ascii="宋体" w:hAnsi="宋体" w:cs="宋体"/>
          <w:color w:val="auto"/>
          <w:szCs w:val="21"/>
          <w:highlight w:val="none"/>
        </w:rPr>
        <w:t>实质</w:t>
      </w:r>
      <w:r>
        <w:rPr>
          <w:rFonts w:hint="eastAsia" w:ascii="宋体" w:hAnsi="宋体" w:cs="宋体"/>
          <w:color w:val="auto"/>
          <w:szCs w:val="21"/>
          <w:highlight w:val="none"/>
          <w:lang w:eastAsia="zh-TW"/>
        </w:rPr>
        <w:t>偏离的投标</w:t>
      </w:r>
      <w:r>
        <w:rPr>
          <w:rFonts w:hint="eastAsia" w:ascii="宋体" w:hAnsi="宋体" w:cs="宋体"/>
          <w:color w:val="auto"/>
          <w:szCs w:val="21"/>
          <w:highlight w:val="none"/>
        </w:rPr>
        <w:t>文件</w:t>
      </w:r>
      <w:r>
        <w:rPr>
          <w:rFonts w:hint="eastAsia" w:ascii="宋体" w:hAnsi="宋体" w:cs="宋体"/>
          <w:color w:val="auto"/>
          <w:szCs w:val="21"/>
          <w:highlight w:val="none"/>
          <w:lang w:eastAsia="zh-TW"/>
        </w:rPr>
        <w:t>。评标委员会决定投标的响应性只根据投标</w:t>
      </w:r>
      <w:r>
        <w:rPr>
          <w:rFonts w:hint="eastAsia" w:ascii="宋体" w:hAnsi="宋体" w:cs="宋体"/>
          <w:color w:val="auto"/>
          <w:szCs w:val="21"/>
          <w:highlight w:val="none"/>
        </w:rPr>
        <w:t>文件</w:t>
      </w:r>
      <w:r>
        <w:rPr>
          <w:rFonts w:hint="eastAsia" w:ascii="宋体" w:hAnsi="宋体" w:cs="宋体"/>
          <w:color w:val="auto"/>
          <w:szCs w:val="21"/>
          <w:highlight w:val="none"/>
          <w:lang w:eastAsia="zh-TW"/>
        </w:rPr>
        <w:t>本身的真实无误的内容</w:t>
      </w:r>
      <w:r>
        <w:rPr>
          <w:rFonts w:hint="eastAsia" w:ascii="宋体" w:hAnsi="宋体" w:cs="宋体"/>
          <w:color w:val="auto"/>
          <w:szCs w:val="21"/>
          <w:highlight w:val="none"/>
        </w:rPr>
        <w:t>，</w:t>
      </w:r>
      <w:r>
        <w:rPr>
          <w:rFonts w:hint="eastAsia" w:ascii="宋体" w:hAnsi="宋体" w:cs="宋体"/>
          <w:color w:val="auto"/>
          <w:szCs w:val="21"/>
          <w:highlight w:val="none"/>
          <w:lang w:eastAsia="zh-TW"/>
        </w:rPr>
        <w:t>而不依据外部的证据</w:t>
      </w:r>
      <w:r>
        <w:rPr>
          <w:rFonts w:hint="eastAsia" w:ascii="宋体" w:hAnsi="宋体" w:cs="宋体"/>
          <w:color w:val="auto"/>
          <w:szCs w:val="21"/>
          <w:highlight w:val="none"/>
        </w:rPr>
        <w:t>，</w:t>
      </w:r>
      <w:r>
        <w:rPr>
          <w:rFonts w:hint="eastAsia" w:ascii="宋体" w:hAnsi="宋体" w:cs="宋体"/>
          <w:color w:val="auto"/>
          <w:szCs w:val="21"/>
          <w:highlight w:val="none"/>
          <w:lang w:eastAsia="zh-TW"/>
        </w:rPr>
        <w:t>但投标有不真实不正确的内容时除外。</w:t>
      </w:r>
    </w:p>
    <w:p>
      <w:pPr>
        <w:numPr>
          <w:ilvl w:val="1"/>
          <w:numId w:val="37"/>
        </w:numPr>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lang w:eastAsia="zh-TW"/>
        </w:rPr>
        <w:t>实质上没有响应招标文件要求的投标将</w:t>
      </w:r>
      <w:r>
        <w:rPr>
          <w:rFonts w:hint="eastAsia" w:ascii="宋体" w:hAnsi="宋体" w:cs="宋体"/>
          <w:color w:val="auto"/>
          <w:szCs w:val="21"/>
          <w:highlight w:val="none"/>
        </w:rPr>
        <w:t>被视为无效投标</w:t>
      </w:r>
      <w:r>
        <w:rPr>
          <w:rFonts w:hint="eastAsia" w:ascii="宋体" w:hAnsi="宋体" w:cs="宋体"/>
          <w:color w:val="auto"/>
          <w:szCs w:val="21"/>
          <w:highlight w:val="none"/>
          <w:lang w:eastAsia="zh-TW"/>
        </w:rPr>
        <w:t>。投标人不得通过修正或撤销不合要求的偏离或保留从而使其投标成为实质上响应的投标。</w:t>
      </w:r>
    </w:p>
    <w:p>
      <w:pPr>
        <w:numPr>
          <w:ilvl w:val="2"/>
          <w:numId w:val="37"/>
        </w:numPr>
        <w:tabs>
          <w:tab w:val="left" w:pos="851"/>
          <w:tab w:val="left" w:pos="1418"/>
        </w:tabs>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 xml:space="preserve">在资格性审查、符合性检查时，未能通过资格性、符合性审查被认定为无效投标，具体条款详见招标文件第四章《资格、符合性评审条款》。  </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69" w:name="_Toc355879697"/>
      <w:bookmarkStart w:id="70" w:name="_Toc10612"/>
      <w:r>
        <w:rPr>
          <w:rFonts w:hint="eastAsia" w:ascii="宋体" w:hAnsi="宋体"/>
          <w:b/>
          <w:bCs/>
          <w:color w:val="auto"/>
          <w:szCs w:val="21"/>
          <w:highlight w:val="none"/>
        </w:rPr>
        <w:t>投标文件的澄清</w:t>
      </w:r>
      <w:bookmarkEnd w:id="69"/>
      <w:bookmarkEnd w:id="70"/>
    </w:p>
    <w:p>
      <w:pPr>
        <w:numPr>
          <w:ilvl w:val="1"/>
          <w:numId w:val="37"/>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color w:val="auto"/>
          <w:szCs w:val="21"/>
          <w:highlight w:val="none"/>
        </w:rPr>
        <w:t>不得超出投标文件的范围或者改变投标文件的实质性内容。</w:t>
      </w:r>
      <w:r>
        <w:rPr>
          <w:rFonts w:hint="eastAsia" w:ascii="宋体" w:hAnsi="宋体" w:cs="宋体"/>
          <w:color w:val="auto"/>
          <w:szCs w:val="21"/>
          <w:highlight w:val="none"/>
          <w:lang w:eastAsia="zh-TW"/>
        </w:rPr>
        <w:t>投标人的澄清、说明或者补正应当采用书面形式</w:t>
      </w:r>
      <w:r>
        <w:rPr>
          <w:rFonts w:hint="eastAsia" w:ascii="宋体" w:hAnsi="宋体" w:cs="宋体"/>
          <w:color w:val="auto"/>
          <w:szCs w:val="21"/>
          <w:highlight w:val="none"/>
        </w:rPr>
        <w:t>，</w:t>
      </w:r>
      <w:r>
        <w:rPr>
          <w:rFonts w:hint="eastAsia" w:ascii="宋体" w:hAnsi="宋体" w:cs="宋体"/>
          <w:color w:val="auto"/>
          <w:szCs w:val="21"/>
          <w:highlight w:val="none"/>
          <w:lang w:eastAsia="zh-TW"/>
        </w:rPr>
        <w:t>由其授权的代表签字</w:t>
      </w:r>
      <w:r>
        <w:rPr>
          <w:rFonts w:hint="eastAsia" w:ascii="宋体" w:hAnsi="宋体" w:cs="宋体"/>
          <w:color w:val="auto"/>
          <w:szCs w:val="21"/>
          <w:highlight w:val="none"/>
        </w:rPr>
        <w:t>或盖章</w:t>
      </w:r>
      <w:r>
        <w:rPr>
          <w:rFonts w:hint="eastAsia" w:ascii="宋体" w:hAnsi="宋体" w:cs="宋体"/>
          <w:color w:val="auto"/>
          <w:szCs w:val="21"/>
          <w:highlight w:val="none"/>
          <w:lang w:eastAsia="zh-TW"/>
        </w:rPr>
        <w:t>，并不得超出投标文件的范围或者改变投标文件的实质性内容</w:t>
      </w:r>
      <w:r>
        <w:rPr>
          <w:rFonts w:hint="eastAsia" w:ascii="宋体" w:hAnsi="宋体" w:cs="宋体"/>
          <w:color w:val="auto"/>
          <w:szCs w:val="21"/>
          <w:highlight w:val="none"/>
        </w:rPr>
        <w:t>。</w:t>
      </w:r>
      <w:r>
        <w:rPr>
          <w:rFonts w:hint="eastAsia" w:ascii="宋体" w:hAnsi="宋体" w:cs="宋体"/>
          <w:color w:val="auto"/>
          <w:szCs w:val="21"/>
          <w:highlight w:val="none"/>
          <w:lang w:eastAsia="zh-TW"/>
        </w:rPr>
        <w:t>有关澄清的答复均应由投标人的法定代表人或</w:t>
      </w:r>
      <w:r>
        <w:rPr>
          <w:rFonts w:hint="eastAsia" w:ascii="宋体" w:hAnsi="宋体" w:cs="宋体"/>
          <w:color w:val="auto"/>
          <w:szCs w:val="21"/>
          <w:highlight w:val="none"/>
        </w:rPr>
        <w:t>其</w:t>
      </w:r>
      <w:r>
        <w:rPr>
          <w:rFonts w:hint="eastAsia" w:ascii="宋体" w:hAnsi="宋体" w:cs="宋体"/>
          <w:color w:val="auto"/>
          <w:szCs w:val="21"/>
          <w:highlight w:val="none"/>
          <w:lang w:eastAsia="zh-TW"/>
        </w:rPr>
        <w:t>授权代表签字</w:t>
      </w:r>
      <w:r>
        <w:rPr>
          <w:rFonts w:hint="eastAsia" w:ascii="宋体" w:hAnsi="宋体" w:cs="宋体"/>
          <w:color w:val="auto"/>
          <w:szCs w:val="21"/>
          <w:highlight w:val="none"/>
        </w:rPr>
        <w:t>或盖章</w:t>
      </w:r>
      <w:r>
        <w:rPr>
          <w:rFonts w:hint="eastAsia" w:ascii="宋体" w:hAnsi="宋体" w:cs="宋体"/>
          <w:color w:val="auto"/>
          <w:szCs w:val="21"/>
          <w:highlight w:val="none"/>
          <w:lang w:eastAsia="zh-TW"/>
        </w:rPr>
        <w:t>的书面形式作出。</w:t>
      </w:r>
    </w:p>
    <w:p>
      <w:pPr>
        <w:numPr>
          <w:ilvl w:val="1"/>
          <w:numId w:val="37"/>
        </w:numPr>
        <w:autoSpaceDE w:val="0"/>
        <w:autoSpaceDN w:val="0"/>
        <w:adjustRightInd w:val="0"/>
        <w:snapToGrid w:val="0"/>
        <w:spacing w:line="360" w:lineRule="auto"/>
        <w:rPr>
          <w:rFonts w:ascii="宋体" w:hAnsi="宋体" w:cs="宋体"/>
          <w:color w:val="auto"/>
          <w:szCs w:val="21"/>
          <w:highlight w:val="none"/>
          <w:lang w:eastAsia="zh-TW"/>
        </w:rPr>
      </w:pPr>
      <w:r>
        <w:rPr>
          <w:rFonts w:hint="eastAsia" w:ascii="宋体" w:hAnsi="宋体" w:cs="宋体"/>
          <w:color w:val="auto"/>
          <w:szCs w:val="21"/>
          <w:highlight w:val="none"/>
          <w:lang w:eastAsia="zh-TW"/>
        </w:rPr>
        <w:t>投标人的澄清文件是其投标文件的组成部分。</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71" w:name="_Toc355879698"/>
      <w:bookmarkStart w:id="72" w:name="_Toc9476"/>
      <w:r>
        <w:rPr>
          <w:rFonts w:hint="eastAsia" w:ascii="宋体" w:hAnsi="宋体"/>
          <w:b/>
          <w:bCs/>
          <w:color w:val="auto"/>
          <w:szCs w:val="21"/>
          <w:highlight w:val="none"/>
        </w:rPr>
        <w:t>投标文件详细评价</w:t>
      </w:r>
      <w:bookmarkEnd w:id="71"/>
      <w:bookmarkEnd w:id="72"/>
    </w:p>
    <w:p>
      <w:pPr>
        <w:numPr>
          <w:ilvl w:val="1"/>
          <w:numId w:val="37"/>
        </w:numPr>
        <w:autoSpaceDE w:val="0"/>
        <w:autoSpaceDN w:val="0"/>
        <w:adjustRightInd w:val="0"/>
        <w:snapToGrid w:val="0"/>
        <w:spacing w:line="360" w:lineRule="auto"/>
        <w:rPr>
          <w:rFonts w:ascii="宋体" w:hAnsi="宋体" w:cs="黑体"/>
          <w:b/>
          <w:bCs/>
          <w:color w:val="auto"/>
          <w:szCs w:val="21"/>
          <w:highlight w:val="none"/>
        </w:rPr>
      </w:pPr>
      <w:r>
        <w:rPr>
          <w:rFonts w:hint="eastAsia" w:ascii="宋体" w:hAnsi="宋体"/>
          <w:color w:val="auto"/>
          <w:szCs w:val="21"/>
          <w:highlight w:val="none"/>
        </w:rPr>
        <w:t>评</w:t>
      </w:r>
      <w:r>
        <w:rPr>
          <w:rFonts w:hint="eastAsia" w:ascii="宋体" w:hAnsi="宋体" w:cs="宋体"/>
          <w:color w:val="auto"/>
          <w:szCs w:val="21"/>
          <w:highlight w:val="none"/>
          <w:lang w:eastAsia="zh-TW"/>
        </w:rPr>
        <w:t>标委员会将</w:t>
      </w:r>
      <w:r>
        <w:rPr>
          <w:rFonts w:hint="eastAsia" w:ascii="宋体" w:hAnsi="宋体" w:cs="宋体"/>
          <w:color w:val="auto"/>
          <w:szCs w:val="21"/>
          <w:highlight w:val="none"/>
        </w:rPr>
        <w:t>对通过</w:t>
      </w:r>
      <w:r>
        <w:rPr>
          <w:rFonts w:hint="eastAsia" w:ascii="宋体" w:hAnsi="宋体" w:cs="宋体"/>
          <w:color w:val="auto"/>
          <w:szCs w:val="21"/>
          <w:highlight w:val="none"/>
          <w:lang w:eastAsia="zh-TW"/>
        </w:rPr>
        <w:t>资格性、符合性审查的投标</w:t>
      </w:r>
      <w:r>
        <w:rPr>
          <w:rFonts w:hint="eastAsia" w:ascii="宋体" w:hAnsi="宋体" w:cs="宋体"/>
          <w:color w:val="auto"/>
          <w:szCs w:val="21"/>
          <w:highlight w:val="none"/>
        </w:rPr>
        <w:t>文件</w:t>
      </w:r>
      <w:r>
        <w:rPr>
          <w:rFonts w:hint="eastAsia" w:ascii="宋体" w:hAnsi="宋体" w:cs="宋体"/>
          <w:color w:val="auto"/>
          <w:szCs w:val="21"/>
          <w:highlight w:val="none"/>
          <w:lang w:eastAsia="zh-TW"/>
        </w:rPr>
        <w:t>进行</w:t>
      </w:r>
      <w:r>
        <w:rPr>
          <w:rFonts w:hint="eastAsia" w:ascii="宋体" w:hAnsi="宋体" w:cs="宋体"/>
          <w:color w:val="auto"/>
          <w:szCs w:val="21"/>
          <w:highlight w:val="none"/>
        </w:rPr>
        <w:t>详细</w:t>
      </w:r>
      <w:r>
        <w:rPr>
          <w:rFonts w:hint="eastAsia" w:ascii="宋体" w:hAnsi="宋体" w:cs="宋体"/>
          <w:color w:val="auto"/>
          <w:szCs w:val="21"/>
          <w:highlight w:val="none"/>
          <w:lang w:eastAsia="zh-TW"/>
        </w:rPr>
        <w:t>评价和比较</w:t>
      </w:r>
      <w:r>
        <w:rPr>
          <w:rFonts w:hint="eastAsia" w:ascii="宋体" w:hAnsi="宋体" w:cs="宋体"/>
          <w:color w:val="auto"/>
          <w:szCs w:val="21"/>
          <w:highlight w:val="none"/>
        </w:rPr>
        <w:t>。</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73" w:name="_Toc16637"/>
      <w:bookmarkStart w:id="74" w:name="_Toc355879699"/>
      <w:r>
        <w:rPr>
          <w:rFonts w:hint="eastAsia" w:ascii="宋体" w:hAnsi="宋体"/>
          <w:b/>
          <w:bCs/>
          <w:color w:val="auto"/>
          <w:szCs w:val="21"/>
          <w:highlight w:val="none"/>
        </w:rPr>
        <w:t>定标原则与授标</w:t>
      </w:r>
      <w:bookmarkEnd w:id="73"/>
      <w:bookmarkEnd w:id="74"/>
    </w:p>
    <w:p>
      <w:pPr>
        <w:numPr>
          <w:ilvl w:val="1"/>
          <w:numId w:val="37"/>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olor w:val="auto"/>
          <w:szCs w:val="21"/>
          <w:highlight w:val="none"/>
        </w:rPr>
        <w:t>评标委员会按照招标文件确定的评标方法、步骤、标准，对投标文件进行评审，提出书面评标报告。</w:t>
      </w:r>
    </w:p>
    <w:p>
      <w:pPr>
        <w:numPr>
          <w:ilvl w:val="1"/>
          <w:numId w:val="37"/>
        </w:numPr>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采用综合评分法的，按评审后得分由高到低顺序排列。得分相同的，按投标报价由低到高顺序排列。得分且投标报价相同的，按技术指标优劣顺序排列。除</w:t>
      </w:r>
      <w:r>
        <w:rPr>
          <w:rFonts w:hint="eastAsia" w:ascii="宋体" w:hAnsi="宋体"/>
          <w:b/>
          <w:color w:val="auto"/>
          <w:szCs w:val="21"/>
          <w:highlight w:val="none"/>
        </w:rPr>
        <w:t>投标资料表</w:t>
      </w:r>
      <w:r>
        <w:rPr>
          <w:rFonts w:hint="eastAsia" w:ascii="宋体" w:hAnsi="宋体"/>
          <w:color w:val="auto"/>
          <w:szCs w:val="21"/>
          <w:highlight w:val="none"/>
        </w:rPr>
        <w:t>另有规定的，推荐综合得分排名第一的投标人为第一中标候选人，排名第二的投标人为第二中标候选人。</w:t>
      </w:r>
    </w:p>
    <w:p>
      <w:pPr>
        <w:numPr>
          <w:ilvl w:val="1"/>
          <w:numId w:val="37"/>
        </w:numPr>
        <w:autoSpaceDE w:val="0"/>
        <w:autoSpaceDN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采用</w:t>
      </w:r>
      <w:r>
        <w:rPr>
          <w:rFonts w:hint="eastAsia" w:ascii="宋体" w:hAnsi="宋体" w:cs="宋体"/>
          <w:color w:val="auto"/>
          <w:szCs w:val="21"/>
          <w:highlight w:val="none"/>
          <w:lang w:eastAsia="zh-TW"/>
        </w:rPr>
        <w:t>最低评标价法</w:t>
      </w:r>
      <w:r>
        <w:rPr>
          <w:rFonts w:hint="eastAsia" w:ascii="宋体" w:hAnsi="宋体" w:cs="宋体"/>
          <w:color w:val="auto"/>
          <w:szCs w:val="21"/>
          <w:highlight w:val="none"/>
        </w:rPr>
        <w:t>的，</w:t>
      </w:r>
      <w:r>
        <w:rPr>
          <w:rFonts w:hint="eastAsia" w:ascii="宋体" w:hAnsi="宋体" w:cs="宋体"/>
          <w:color w:val="auto"/>
          <w:szCs w:val="21"/>
          <w:highlight w:val="none"/>
          <w:lang w:eastAsia="zh-TW"/>
        </w:rPr>
        <w:t>按投标报价由低到高顺序排列。投标报价相同的，按技术指标优劣顺序排列。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37"/>
        </w:numPr>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采用性价比法的，按商数得分由高到低顺序排列。商数得分相同的，按投标报价由低到高顺序排列。商数得分且投标报价相同的，按技术指标优劣顺序排列。</w:t>
      </w:r>
    </w:p>
    <w:p>
      <w:pPr>
        <w:numPr>
          <w:ilvl w:val="1"/>
          <w:numId w:val="37"/>
        </w:numPr>
        <w:autoSpaceDE w:val="0"/>
        <w:autoSpaceDN w:val="0"/>
        <w:adjustRightInd w:val="0"/>
        <w:snapToGrid w:val="0"/>
        <w:spacing w:line="360" w:lineRule="auto"/>
        <w:rPr>
          <w:rFonts w:hint="eastAsia" w:ascii="宋体" w:hAnsi="宋体"/>
          <w:color w:val="auto"/>
          <w:szCs w:val="21"/>
          <w:highlight w:val="none"/>
        </w:rPr>
      </w:pPr>
      <w:r>
        <w:rPr>
          <w:rFonts w:ascii="宋体" w:hAnsi="宋体"/>
          <w:color w:val="auto"/>
          <w:szCs w:val="21"/>
          <w:highlight w:val="none"/>
        </w:rPr>
        <w:t>评标委员会提</w:t>
      </w:r>
      <w:r>
        <w:rPr>
          <w:rFonts w:hint="eastAsia" w:ascii="宋体" w:hAnsi="宋体"/>
          <w:color w:val="auto"/>
          <w:szCs w:val="21"/>
          <w:highlight w:val="none"/>
        </w:rPr>
        <w:t>交</w:t>
      </w:r>
      <w:r>
        <w:rPr>
          <w:rFonts w:ascii="宋体" w:hAnsi="宋体"/>
          <w:color w:val="auto"/>
          <w:szCs w:val="21"/>
          <w:highlight w:val="none"/>
        </w:rPr>
        <w:t>评</w:t>
      </w:r>
      <w:r>
        <w:rPr>
          <w:rFonts w:hint="eastAsia" w:ascii="宋体" w:hAnsi="宋体"/>
          <w:color w:val="auto"/>
          <w:szCs w:val="21"/>
          <w:highlight w:val="none"/>
        </w:rPr>
        <w:t>标</w:t>
      </w:r>
      <w:r>
        <w:rPr>
          <w:rFonts w:ascii="宋体" w:hAnsi="宋体"/>
          <w:color w:val="auto"/>
          <w:szCs w:val="21"/>
          <w:highlight w:val="none"/>
        </w:rPr>
        <w:t>报告和推荐中标意见报</w:t>
      </w:r>
      <w:r>
        <w:rPr>
          <w:rFonts w:hint="eastAsia" w:ascii="宋体" w:hAnsi="宋体"/>
          <w:color w:val="auto"/>
          <w:szCs w:val="21"/>
          <w:highlight w:val="none"/>
        </w:rPr>
        <w:t>招标人确认，招标人在收到评标报告后的法定时间内，按照评标报告中推荐的中标候选人顺序确定中标人，也可以事先授权评标委员会直接确定中标人。确认后招标代理机构将在刊登本项目招标公告的法定媒体上</w:t>
      </w:r>
      <w:r>
        <w:rPr>
          <w:rFonts w:ascii="宋体" w:hAnsi="宋体"/>
          <w:color w:val="auto"/>
          <w:szCs w:val="21"/>
          <w:highlight w:val="none"/>
        </w:rPr>
        <w:t>发</w:t>
      </w:r>
      <w:r>
        <w:rPr>
          <w:rFonts w:hint="eastAsia" w:ascii="宋体" w:hAnsi="宋体"/>
          <w:color w:val="auto"/>
          <w:szCs w:val="21"/>
          <w:highlight w:val="none"/>
        </w:rPr>
        <w:t>布中标公告。不在中标名单之列者即为未中标人，招标代理机构不再以其他方式另行通知。</w:t>
      </w:r>
    </w:p>
    <w:p>
      <w:pPr>
        <w:numPr>
          <w:ilvl w:val="1"/>
          <w:numId w:val="37"/>
        </w:numPr>
        <w:autoSpaceDE w:val="0"/>
        <w:autoSpaceDN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因不可抗力或自身原因不能履行政府采购合同的、不按要求与招标人签订政府采购合同、中标人放弃中标、中标资格被依法确认无效的，招标人可以与排位在中标人之后第一位的中标候选人签订政府采购合同，没有其他中标候选人的，应当重新组织采购活动。</w:t>
      </w:r>
    </w:p>
    <w:p>
      <w:pPr>
        <w:numPr>
          <w:ilvl w:val="1"/>
          <w:numId w:val="37"/>
        </w:numPr>
        <w:autoSpaceDE w:val="0"/>
        <w:autoSpaceDN w:val="0"/>
        <w:adjustRightInd w:val="0"/>
        <w:snapToGrid w:val="0"/>
        <w:spacing w:line="360" w:lineRule="auto"/>
        <w:rPr>
          <w:rFonts w:hint="eastAsia" w:ascii="宋体" w:hAnsi="宋体"/>
          <w:color w:val="auto"/>
          <w:szCs w:val="21"/>
          <w:highlight w:val="none"/>
        </w:rPr>
      </w:pPr>
      <w:r>
        <w:rPr>
          <w:rFonts w:ascii="宋体" w:hAnsi="宋体" w:cs="宋体"/>
          <w:color w:val="auto"/>
          <w:szCs w:val="21"/>
          <w:highlight w:val="none"/>
        </w:rPr>
        <w:t>在招标采购中，出现下列情形之一的，应予废标：</w:t>
      </w:r>
    </w:p>
    <w:p>
      <w:pPr>
        <w:tabs>
          <w:tab w:val="left" w:pos="851"/>
        </w:tabs>
        <w:snapToGrid w:val="0"/>
        <w:spacing w:line="360" w:lineRule="auto"/>
        <w:ind w:left="709"/>
        <w:rPr>
          <w:rFonts w:ascii="宋体" w:hAnsi="宋体" w:cs="宋体"/>
          <w:color w:val="auto"/>
          <w:szCs w:val="21"/>
          <w:highlight w:val="none"/>
        </w:rPr>
      </w:pPr>
      <w:r>
        <w:rPr>
          <w:rFonts w:hint="eastAsia" w:ascii="宋体" w:hAnsi="宋体" w:cs="宋体"/>
          <w:color w:val="auto"/>
          <w:szCs w:val="21"/>
          <w:highlight w:val="none"/>
        </w:rPr>
        <w:t>28.7.1</w:t>
      </w:r>
      <w:r>
        <w:rPr>
          <w:rFonts w:ascii="宋体" w:hAnsi="宋体" w:cs="宋体"/>
          <w:color w:val="auto"/>
          <w:szCs w:val="21"/>
          <w:highlight w:val="none"/>
        </w:rPr>
        <w:t>符合专业条件的供应商或者对</w:t>
      </w:r>
      <w:r>
        <w:rPr>
          <w:rFonts w:hint="eastAsia" w:ascii="宋体" w:hAnsi="宋体" w:cs="宋体"/>
          <w:color w:val="auto"/>
          <w:szCs w:val="21"/>
          <w:highlight w:val="none"/>
        </w:rPr>
        <w:t>招标</w:t>
      </w:r>
      <w:r>
        <w:rPr>
          <w:rFonts w:ascii="宋体" w:hAnsi="宋体" w:cs="宋体"/>
          <w:color w:val="auto"/>
          <w:szCs w:val="21"/>
          <w:highlight w:val="none"/>
        </w:rPr>
        <w:t>文件作实质响应的供应商不足三家的；</w:t>
      </w:r>
    </w:p>
    <w:p>
      <w:pPr>
        <w:tabs>
          <w:tab w:val="left" w:pos="851"/>
        </w:tabs>
        <w:snapToGrid w:val="0"/>
        <w:spacing w:line="360" w:lineRule="auto"/>
        <w:ind w:left="709"/>
        <w:rPr>
          <w:rFonts w:ascii="宋体" w:hAnsi="宋体" w:cs="宋体"/>
          <w:color w:val="auto"/>
          <w:szCs w:val="21"/>
          <w:highlight w:val="none"/>
        </w:rPr>
      </w:pPr>
      <w:r>
        <w:rPr>
          <w:rFonts w:hint="eastAsia" w:ascii="宋体" w:hAnsi="宋体" w:cs="宋体"/>
          <w:color w:val="auto"/>
          <w:szCs w:val="21"/>
          <w:highlight w:val="none"/>
        </w:rPr>
        <w:t>28.7.2</w:t>
      </w:r>
      <w:r>
        <w:rPr>
          <w:rFonts w:ascii="宋体" w:hAnsi="宋体" w:cs="宋体"/>
          <w:color w:val="auto"/>
          <w:szCs w:val="21"/>
          <w:highlight w:val="none"/>
        </w:rPr>
        <w:t>出现影响采购公正的违法、违规行为的；</w:t>
      </w:r>
    </w:p>
    <w:p>
      <w:pPr>
        <w:tabs>
          <w:tab w:val="left" w:pos="851"/>
        </w:tabs>
        <w:snapToGrid w:val="0"/>
        <w:spacing w:line="360" w:lineRule="auto"/>
        <w:ind w:left="709"/>
        <w:rPr>
          <w:rFonts w:ascii="宋体" w:hAnsi="宋体" w:cs="宋体"/>
          <w:color w:val="auto"/>
          <w:szCs w:val="21"/>
          <w:highlight w:val="none"/>
        </w:rPr>
      </w:pPr>
      <w:r>
        <w:rPr>
          <w:rFonts w:hint="eastAsia" w:ascii="宋体" w:hAnsi="宋体" w:cs="宋体"/>
          <w:color w:val="auto"/>
          <w:szCs w:val="21"/>
          <w:highlight w:val="none"/>
        </w:rPr>
        <w:t>28.7.3</w:t>
      </w:r>
      <w:r>
        <w:rPr>
          <w:rFonts w:ascii="宋体" w:hAnsi="宋体" w:cs="宋体"/>
          <w:color w:val="auto"/>
          <w:szCs w:val="21"/>
          <w:highlight w:val="none"/>
        </w:rPr>
        <w:t>投标人的报价均超过了采购预算，招标人不能支付的；</w:t>
      </w:r>
    </w:p>
    <w:p>
      <w:pPr>
        <w:tabs>
          <w:tab w:val="left" w:pos="851"/>
        </w:tabs>
        <w:snapToGrid w:val="0"/>
        <w:spacing w:line="360" w:lineRule="auto"/>
        <w:ind w:left="709"/>
        <w:rPr>
          <w:rFonts w:hint="eastAsia" w:ascii="宋体" w:hAnsi="宋体" w:cs="宋体"/>
          <w:color w:val="auto"/>
          <w:szCs w:val="21"/>
          <w:highlight w:val="none"/>
        </w:rPr>
      </w:pPr>
      <w:r>
        <w:rPr>
          <w:rFonts w:hint="eastAsia" w:ascii="宋体" w:hAnsi="宋体" w:cs="宋体"/>
          <w:color w:val="auto"/>
          <w:szCs w:val="21"/>
          <w:highlight w:val="none"/>
        </w:rPr>
        <w:t>28.7.4</w:t>
      </w:r>
      <w:r>
        <w:rPr>
          <w:rFonts w:ascii="宋体" w:hAnsi="宋体" w:cs="宋体"/>
          <w:color w:val="auto"/>
          <w:szCs w:val="21"/>
          <w:highlight w:val="none"/>
        </w:rPr>
        <w:t>因重大变故，采购任务取消的</w:t>
      </w:r>
      <w:r>
        <w:rPr>
          <w:rFonts w:hint="eastAsia" w:ascii="宋体" w:hAnsi="宋体" w:cs="宋体"/>
          <w:color w:val="auto"/>
          <w:szCs w:val="21"/>
          <w:highlight w:val="none"/>
        </w:rPr>
        <w:t>。</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75" w:name="_Toc355879700"/>
      <w:bookmarkStart w:id="76" w:name="_Toc22214"/>
      <w:r>
        <w:rPr>
          <w:rFonts w:hint="eastAsia" w:ascii="宋体" w:hAnsi="宋体"/>
          <w:b/>
          <w:bCs/>
          <w:color w:val="auto"/>
          <w:szCs w:val="21"/>
          <w:highlight w:val="none"/>
        </w:rPr>
        <w:t>质疑与回复</w:t>
      </w:r>
      <w:bookmarkEnd w:id="75"/>
      <w:bookmarkEnd w:id="76"/>
    </w:p>
    <w:p>
      <w:pPr>
        <w:numPr>
          <w:ilvl w:val="1"/>
          <w:numId w:val="37"/>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olor w:val="auto"/>
          <w:szCs w:val="21"/>
          <w:highlight w:val="none"/>
        </w:rPr>
        <w:t>投标人有质疑时，应当在知道或者应知其权益受到损害之日起七个工作日内，以书面形式（加盖投标人公章）向</w:t>
      </w:r>
      <w:r>
        <w:rPr>
          <w:rFonts w:hint="eastAsia" w:ascii="宋体" w:hAnsi="宋体" w:cs="宋体"/>
          <w:color w:val="auto"/>
          <w:szCs w:val="21"/>
          <w:highlight w:val="none"/>
        </w:rPr>
        <w:t>招标采购单位</w:t>
      </w:r>
      <w:r>
        <w:rPr>
          <w:rFonts w:hint="eastAsia" w:ascii="宋体" w:hAnsi="宋体"/>
          <w:color w:val="auto"/>
          <w:szCs w:val="21"/>
          <w:highlight w:val="none"/>
        </w:rPr>
        <w:t>提交质疑书原件，逾期质疑无效。投标人以电话、传真或电邮形式提交的质疑属于无效质疑。</w:t>
      </w:r>
    </w:p>
    <w:p>
      <w:pPr>
        <w:numPr>
          <w:ilvl w:val="1"/>
          <w:numId w:val="37"/>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olor w:val="auto"/>
          <w:szCs w:val="21"/>
          <w:highlight w:val="none"/>
        </w:rPr>
        <w:t>质疑内容不得含有虚假、恶意成分。依据谁主张谁举证的原则，质疑者提供的质疑书应当包括下列主要内容：具体的质疑事项、事实依据及相关确凿的证明材料和注明事实的确切来源、投标人名称、联系人与联系电话、质疑时间，质疑书应当署名并由法定代表人或授权代表签字并加盖公章。</w:t>
      </w:r>
      <w:r>
        <w:rPr>
          <w:rFonts w:hint="eastAsia" w:ascii="宋体" w:hAnsi="宋体" w:cs="宋体"/>
          <w:color w:val="auto"/>
          <w:szCs w:val="21"/>
          <w:highlight w:val="none"/>
        </w:rPr>
        <w:t>招标采购单位</w:t>
      </w:r>
      <w:r>
        <w:rPr>
          <w:rFonts w:hint="eastAsia" w:ascii="宋体" w:hAnsi="宋体"/>
          <w:color w:val="auto"/>
          <w:szCs w:val="21"/>
          <w:highlight w:val="none"/>
        </w:rPr>
        <w:t>受理书面质疑书原件之日起，在规定的期限内作出答复。对于捏造事实、滥用维权扰乱采购秩序的恶意质疑者或举证不全查无实据被驳回次数在一年内达三次以上，将纳入不良行为记录名单并承担相应的法律责任。</w:t>
      </w:r>
    </w:p>
    <w:p>
      <w:pPr>
        <w:numPr>
          <w:ilvl w:val="1"/>
          <w:numId w:val="37"/>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rPr>
        <w:t>招标采购单位</w:t>
      </w:r>
      <w:r>
        <w:rPr>
          <w:rFonts w:hint="eastAsia" w:ascii="宋体" w:hAnsi="宋体"/>
          <w:color w:val="auto"/>
          <w:szCs w:val="21"/>
          <w:highlight w:val="none"/>
        </w:rPr>
        <w:t>在收到供应商的有效书面质疑后七个工作日内作出答复，但答复的内容不涉及商业秘密，质疑供应商对招标人、招标代理机构的质疑答复不满意，或招标人、招标代理机构未在规定期限内作出答复的，可以在答复期满后十五个工作日内向监管部门提出投诉。</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77" w:name="_Toc22337"/>
      <w:bookmarkStart w:id="78" w:name="_Toc355879701"/>
      <w:r>
        <w:rPr>
          <w:rFonts w:hint="eastAsia" w:ascii="宋体" w:hAnsi="宋体"/>
          <w:b/>
          <w:bCs/>
          <w:color w:val="auto"/>
          <w:szCs w:val="21"/>
          <w:highlight w:val="none"/>
        </w:rPr>
        <w:t>中标通知书</w:t>
      </w:r>
      <w:bookmarkEnd w:id="77"/>
      <w:bookmarkEnd w:id="78"/>
    </w:p>
    <w:p>
      <w:pPr>
        <w:numPr>
          <w:ilvl w:val="1"/>
          <w:numId w:val="37"/>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lang w:eastAsia="zh-TW"/>
        </w:rPr>
        <w:t>中标人确定后</w:t>
      </w:r>
      <w:r>
        <w:rPr>
          <w:rFonts w:hint="eastAsia" w:ascii="宋体" w:hAnsi="宋体" w:cs="宋体"/>
          <w:color w:val="auto"/>
          <w:szCs w:val="21"/>
          <w:highlight w:val="none"/>
        </w:rPr>
        <w:t>，</w:t>
      </w:r>
      <w:r>
        <w:rPr>
          <w:rFonts w:hint="eastAsia" w:ascii="宋体" w:hAnsi="宋体" w:cs="宋体"/>
          <w:color w:val="auto"/>
          <w:szCs w:val="21"/>
          <w:highlight w:val="none"/>
          <w:lang w:eastAsia="zh-TW"/>
        </w:rPr>
        <w:t>招标代理机构将在</w:t>
      </w:r>
      <w:r>
        <w:rPr>
          <w:rFonts w:hint="eastAsia" w:ascii="宋体" w:hAnsi="宋体" w:cs="宋体"/>
          <w:color w:val="auto"/>
          <w:szCs w:val="21"/>
          <w:highlight w:val="none"/>
        </w:rPr>
        <w:t>招标信息</w:t>
      </w:r>
      <w:r>
        <w:rPr>
          <w:rFonts w:hint="eastAsia" w:ascii="宋体" w:hAnsi="宋体" w:cs="宋体"/>
          <w:color w:val="auto"/>
          <w:szCs w:val="21"/>
          <w:highlight w:val="none"/>
          <w:lang w:eastAsia="zh-TW"/>
        </w:rPr>
        <w:t>媒体上发布中标公告，并向中标人发出《中标通知书》</w:t>
      </w:r>
      <w:r>
        <w:rPr>
          <w:rFonts w:hint="eastAsia" w:ascii="宋体" w:hAnsi="宋体" w:cs="宋体"/>
          <w:color w:val="auto"/>
          <w:szCs w:val="21"/>
          <w:highlight w:val="none"/>
        </w:rPr>
        <w:t>，</w:t>
      </w:r>
      <w:r>
        <w:rPr>
          <w:rFonts w:hint="eastAsia" w:ascii="宋体" w:hAnsi="宋体"/>
          <w:color w:val="auto"/>
          <w:szCs w:val="21"/>
          <w:highlight w:val="none"/>
        </w:rPr>
        <w:t>向招标人及未中标人发出《招标结果通知书》，</w:t>
      </w:r>
      <w:r>
        <w:rPr>
          <w:rFonts w:hint="eastAsia" w:ascii="宋体" w:hAnsi="宋体" w:cs="宋体"/>
          <w:color w:val="auto"/>
          <w:szCs w:val="21"/>
          <w:highlight w:val="none"/>
          <w:lang w:eastAsia="zh-TW"/>
        </w:rPr>
        <w:t>《中标通知书》对中标人和招标人具有同等法律效力。</w:t>
      </w:r>
    </w:p>
    <w:p>
      <w:pPr>
        <w:numPr>
          <w:ilvl w:val="1"/>
          <w:numId w:val="37"/>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olor w:val="auto"/>
          <w:szCs w:val="21"/>
          <w:highlight w:val="none"/>
        </w:rPr>
        <w:t>《中标通知书》将作为授予合同资格的合法依据，是合同的一个组成部分。</w:t>
      </w:r>
    </w:p>
    <w:p>
      <w:pPr>
        <w:numPr>
          <w:ilvl w:val="0"/>
          <w:numId w:val="36"/>
        </w:numPr>
        <w:autoSpaceDE w:val="0"/>
        <w:autoSpaceDN w:val="0"/>
        <w:adjustRightInd w:val="0"/>
        <w:snapToGrid w:val="0"/>
        <w:spacing w:before="312" w:beforeLines="100" w:after="312" w:afterLines="100" w:line="360" w:lineRule="auto"/>
        <w:jc w:val="center"/>
        <w:outlineLvl w:val="0"/>
        <w:rPr>
          <w:rFonts w:hint="eastAsia" w:ascii="宋体" w:hAnsi="宋体"/>
          <w:b/>
          <w:color w:val="auto"/>
          <w:sz w:val="28"/>
          <w:szCs w:val="28"/>
          <w:highlight w:val="none"/>
          <w:lang w:eastAsia="zh-TW"/>
        </w:rPr>
      </w:pPr>
      <w:bookmarkStart w:id="79" w:name="_Toc21372"/>
      <w:bookmarkStart w:id="80" w:name="_Toc355879702"/>
      <w:r>
        <w:rPr>
          <w:rFonts w:hint="eastAsia" w:ascii="宋体" w:hAnsi="宋体"/>
          <w:b/>
          <w:color w:val="auto"/>
          <w:sz w:val="28"/>
          <w:szCs w:val="28"/>
          <w:highlight w:val="none"/>
          <w:lang w:eastAsia="zh-TW"/>
        </w:rPr>
        <w:t>授予合同</w:t>
      </w:r>
      <w:bookmarkEnd w:id="79"/>
      <w:bookmarkEnd w:id="80"/>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81" w:name="_Toc23608"/>
      <w:bookmarkStart w:id="82" w:name="_Toc355879703"/>
      <w:r>
        <w:rPr>
          <w:rFonts w:hint="eastAsia" w:ascii="宋体" w:hAnsi="宋体"/>
          <w:b/>
          <w:bCs/>
          <w:color w:val="auto"/>
          <w:szCs w:val="21"/>
          <w:highlight w:val="none"/>
        </w:rPr>
        <w:t>合同的订立</w:t>
      </w:r>
      <w:bookmarkEnd w:id="81"/>
      <w:bookmarkEnd w:id="82"/>
    </w:p>
    <w:p>
      <w:pPr>
        <w:numPr>
          <w:ilvl w:val="1"/>
          <w:numId w:val="37"/>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rPr>
        <w:t>除非</w:t>
      </w:r>
      <w:r>
        <w:rPr>
          <w:rFonts w:hint="eastAsia" w:ascii="宋体" w:hAnsi="宋体" w:cs="宋体"/>
          <w:b/>
          <w:color w:val="auto"/>
          <w:szCs w:val="21"/>
          <w:highlight w:val="none"/>
        </w:rPr>
        <w:t>投标资料表</w:t>
      </w:r>
      <w:r>
        <w:rPr>
          <w:rFonts w:hint="eastAsia" w:ascii="宋体" w:hAnsi="宋体" w:cs="宋体"/>
          <w:color w:val="auto"/>
          <w:szCs w:val="21"/>
          <w:highlight w:val="none"/>
        </w:rPr>
        <w:t>另有规定，</w:t>
      </w:r>
      <w:r>
        <w:rPr>
          <w:rFonts w:hint="eastAsia" w:ascii="宋体" w:hAnsi="宋体" w:cs="宋体"/>
          <w:color w:val="auto"/>
          <w:szCs w:val="21"/>
          <w:highlight w:val="none"/>
          <w:lang w:eastAsia="zh-TW"/>
        </w:rPr>
        <w:t>招标人或者</w:t>
      </w:r>
      <w:r>
        <w:rPr>
          <w:rFonts w:hint="eastAsia" w:ascii="宋体" w:hAnsi="宋体" w:cs="宋体"/>
          <w:color w:val="auto"/>
          <w:szCs w:val="21"/>
          <w:highlight w:val="none"/>
        </w:rPr>
        <w:t>招标代理机构</w:t>
      </w:r>
      <w:r>
        <w:rPr>
          <w:rFonts w:hint="eastAsia" w:ascii="宋体" w:hAnsi="宋体" w:cs="宋体"/>
          <w:color w:val="auto"/>
          <w:szCs w:val="21"/>
          <w:highlight w:val="none"/>
          <w:lang w:eastAsia="zh-TW"/>
        </w:rPr>
        <w:t>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color w:val="auto"/>
          <w:szCs w:val="21"/>
          <w:highlight w:val="none"/>
        </w:rPr>
        <w:t>。</w:t>
      </w:r>
    </w:p>
    <w:p>
      <w:pPr>
        <w:numPr>
          <w:ilvl w:val="1"/>
          <w:numId w:val="37"/>
        </w:numPr>
        <w:autoSpaceDE w:val="0"/>
        <w:autoSpaceDN w:val="0"/>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招标采购单位不得向中标人提出任何不合理的要求，作为签订合同的条件，不得与中标人私下订立背离合同实质性内容的协议。</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83" w:name="_Toc9830"/>
      <w:bookmarkStart w:id="84" w:name="_Toc355879704"/>
      <w:r>
        <w:rPr>
          <w:rFonts w:hint="eastAsia" w:ascii="宋体" w:hAnsi="宋体"/>
          <w:b/>
          <w:bCs/>
          <w:color w:val="auto"/>
          <w:szCs w:val="21"/>
          <w:highlight w:val="none"/>
        </w:rPr>
        <w:t>合同的履行</w:t>
      </w:r>
      <w:bookmarkEnd w:id="83"/>
      <w:bookmarkEnd w:id="84"/>
    </w:p>
    <w:p>
      <w:pPr>
        <w:numPr>
          <w:ilvl w:val="1"/>
          <w:numId w:val="37"/>
        </w:numPr>
        <w:autoSpaceDE w:val="0"/>
        <w:autoSpaceDN w:val="0"/>
        <w:adjustRightInd w:val="0"/>
        <w:snapToGrid w:val="0"/>
        <w:spacing w:line="360" w:lineRule="auto"/>
        <w:jc w:val="left"/>
        <w:rPr>
          <w:rFonts w:hint="eastAsia" w:ascii="宋体" w:hAnsi="宋体" w:cs="黑体"/>
          <w:b/>
          <w:bCs/>
          <w:color w:val="auto"/>
          <w:szCs w:val="21"/>
          <w:highlight w:val="none"/>
        </w:rPr>
      </w:pPr>
      <w:r>
        <w:rPr>
          <w:rFonts w:hint="eastAsia" w:ascii="宋体" w:hAnsi="宋体" w:cs="宋体"/>
          <w:color w:val="auto"/>
          <w:szCs w:val="21"/>
          <w:highlight w:val="none"/>
          <w:lang w:eastAsia="zh-TW"/>
        </w:rPr>
        <w:t>合同订立后，合同各方不得擅自变更、中止或者终止合同。合同需要变更的，招标人应将有关合同变更内容，以书面形式报监管部门备案；因特殊情况需要中止或终止合同的，招标人应将中止或终止合同的理由以及相应措施，以书面形式报监管部门备案。</w:t>
      </w:r>
    </w:p>
    <w:p>
      <w:pPr>
        <w:numPr>
          <w:ilvl w:val="1"/>
          <w:numId w:val="37"/>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lang w:eastAsia="zh-TW"/>
        </w:rPr>
        <w:t>合同履行中，招标人需追加与合同标的相同的货物、工程或者服务的，在不改变合同其他条款的前提下，可以与供应商签订补充合同，但所补充合同的采购金额不得超过原</w:t>
      </w:r>
      <w:r>
        <w:rPr>
          <w:rFonts w:hint="eastAsia" w:ascii="宋体" w:hAnsi="宋体" w:cs="宋体"/>
          <w:color w:val="auto"/>
          <w:szCs w:val="21"/>
          <w:highlight w:val="none"/>
        </w:rPr>
        <w:t>合同</w:t>
      </w:r>
      <w:r>
        <w:rPr>
          <w:rFonts w:hint="eastAsia" w:ascii="宋体" w:hAnsi="宋体" w:cs="宋体"/>
          <w:color w:val="auto"/>
          <w:szCs w:val="21"/>
          <w:highlight w:val="none"/>
          <w:lang w:eastAsia="zh-TW"/>
        </w:rPr>
        <w:t>采购金额的百分之十。签订补充合同的必须按规定备案。</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85" w:name="_Toc17575"/>
      <w:bookmarkStart w:id="86" w:name="_Toc355879706"/>
      <w:r>
        <w:rPr>
          <w:rFonts w:hint="eastAsia" w:ascii="宋体" w:hAnsi="宋体"/>
          <w:b/>
          <w:bCs/>
          <w:color w:val="auto"/>
          <w:szCs w:val="21"/>
          <w:highlight w:val="none"/>
        </w:rPr>
        <w:t>履约保证金</w:t>
      </w:r>
      <w:bookmarkEnd w:id="85"/>
      <w:bookmarkEnd w:id="86"/>
    </w:p>
    <w:p>
      <w:pPr>
        <w:numPr>
          <w:ilvl w:val="1"/>
          <w:numId w:val="37"/>
        </w:numPr>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lang w:eastAsia="zh-TW"/>
        </w:rPr>
        <w:t>中标人应按照</w:t>
      </w:r>
      <w:r>
        <w:rPr>
          <w:rFonts w:hint="eastAsia" w:ascii="宋体" w:hAnsi="宋体" w:cs="宋体"/>
          <w:b/>
          <w:color w:val="auto"/>
          <w:szCs w:val="21"/>
          <w:highlight w:val="none"/>
        </w:rPr>
        <w:t>投标资料表</w:t>
      </w:r>
      <w:r>
        <w:rPr>
          <w:rFonts w:hint="eastAsia" w:ascii="宋体" w:hAnsi="宋体" w:cs="宋体"/>
          <w:color w:val="auto"/>
          <w:szCs w:val="21"/>
          <w:highlight w:val="none"/>
          <w:lang w:eastAsia="zh-TW"/>
        </w:rPr>
        <w:t>规定的</w:t>
      </w:r>
      <w:r>
        <w:rPr>
          <w:rFonts w:hint="eastAsia" w:ascii="宋体" w:hAnsi="宋体" w:cs="宋体"/>
          <w:color w:val="auto"/>
          <w:szCs w:val="21"/>
          <w:highlight w:val="none"/>
        </w:rPr>
        <w:t>金额，</w:t>
      </w:r>
      <w:r>
        <w:rPr>
          <w:rFonts w:hint="eastAsia" w:ascii="宋体" w:hAnsi="宋体" w:cs="宋体"/>
          <w:color w:val="auto"/>
          <w:szCs w:val="21"/>
          <w:highlight w:val="none"/>
          <w:lang w:eastAsia="zh-TW"/>
        </w:rPr>
        <w:t>采用招标人可以接受的其他形式向招标人提交履约保证金。</w:t>
      </w:r>
    </w:p>
    <w:p>
      <w:pPr>
        <w:numPr>
          <w:ilvl w:val="0"/>
          <w:numId w:val="37"/>
        </w:numPr>
        <w:autoSpaceDE w:val="0"/>
        <w:autoSpaceDN w:val="0"/>
        <w:adjustRightInd w:val="0"/>
        <w:snapToGrid w:val="0"/>
        <w:spacing w:line="360" w:lineRule="auto"/>
        <w:outlineLvl w:val="0"/>
        <w:rPr>
          <w:rFonts w:hint="eastAsia" w:ascii="宋体" w:hAnsi="宋体"/>
          <w:b/>
          <w:bCs/>
          <w:color w:val="auto"/>
          <w:szCs w:val="21"/>
          <w:highlight w:val="none"/>
        </w:rPr>
      </w:pPr>
      <w:bookmarkStart w:id="87" w:name="_Toc13750"/>
      <w:bookmarkStart w:id="88" w:name="_Toc355879707"/>
      <w:r>
        <w:rPr>
          <w:rFonts w:hint="eastAsia" w:ascii="宋体" w:hAnsi="宋体"/>
          <w:b/>
          <w:bCs/>
          <w:color w:val="auto"/>
          <w:szCs w:val="21"/>
          <w:highlight w:val="none"/>
        </w:rPr>
        <w:t>招标代理服务费</w:t>
      </w:r>
      <w:bookmarkEnd w:id="87"/>
      <w:bookmarkEnd w:id="88"/>
    </w:p>
    <w:p>
      <w:pPr>
        <w:numPr>
          <w:ilvl w:val="1"/>
          <w:numId w:val="37"/>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rPr>
        <w:t>中标人应按照招标文件</w:t>
      </w:r>
      <w:r>
        <w:rPr>
          <w:rFonts w:hint="eastAsia" w:ascii="宋体" w:hAnsi="宋体" w:cs="宋体"/>
          <w:b/>
          <w:color w:val="auto"/>
          <w:szCs w:val="21"/>
          <w:highlight w:val="none"/>
        </w:rPr>
        <w:t>投标资料表</w:t>
      </w:r>
      <w:r>
        <w:rPr>
          <w:rFonts w:hint="eastAsia" w:ascii="宋体" w:hAnsi="宋体" w:cs="宋体"/>
          <w:color w:val="auto"/>
          <w:szCs w:val="21"/>
          <w:highlight w:val="none"/>
        </w:rPr>
        <w:t>中的规定缴纳招标代理服务费。否则，将没收其投标保证金。</w:t>
      </w:r>
    </w:p>
    <w:p>
      <w:pPr>
        <w:numPr>
          <w:ilvl w:val="1"/>
          <w:numId w:val="37"/>
        </w:numPr>
        <w:autoSpaceDE w:val="0"/>
        <w:autoSpaceDN w:val="0"/>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服务费按差额定率累进法计算。</w:t>
      </w:r>
    </w:p>
    <w:tbl>
      <w:tblPr>
        <w:tblStyle w:val="17"/>
        <w:tblW w:w="72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630"/>
        <w:gridCol w:w="36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 w:hRule="atLeast"/>
          <w:jc w:val="center"/>
        </w:trPr>
        <w:tc>
          <w:tcPr>
            <w:tcW w:w="3630" w:type="dxa"/>
            <w:tcBorders>
              <w:tl2br w:val="single" w:color="auto" w:sz="4" w:space="0"/>
            </w:tcBorders>
            <w:vAlign w:val="top"/>
          </w:tcPr>
          <w:p>
            <w:pPr>
              <w:rPr>
                <w:rFonts w:hint="eastAsia" w:ascii="宋体" w:hAnsi="宋体"/>
                <w:color w:val="auto"/>
                <w:szCs w:val="21"/>
                <w:highlight w:val="none"/>
              </w:rPr>
            </w:pPr>
            <w:r>
              <w:rPr>
                <w:rFonts w:hint="eastAsia" w:ascii="宋体" w:hAnsi="宋体"/>
                <w:color w:val="auto"/>
                <w:szCs w:val="21"/>
                <w:highlight w:val="none"/>
              </w:rPr>
              <w:t xml:space="preserve">                  费率</w:t>
            </w:r>
          </w:p>
          <w:p>
            <w:pPr>
              <w:rPr>
                <w:rFonts w:hint="eastAsia" w:ascii="宋体" w:hAnsi="宋体"/>
                <w:color w:val="auto"/>
                <w:szCs w:val="21"/>
                <w:highlight w:val="none"/>
              </w:rPr>
            </w:pPr>
            <w:r>
              <w:rPr>
                <w:rFonts w:hint="eastAsia" w:ascii="宋体" w:hAnsi="宋体"/>
                <w:color w:val="auto"/>
                <w:szCs w:val="21"/>
                <w:highlight w:val="none"/>
              </w:rPr>
              <w:t>中标金额</w:t>
            </w:r>
          </w:p>
        </w:tc>
        <w:tc>
          <w:tcPr>
            <w:tcW w:w="363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服务招标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9" w:hRule="atLeast"/>
          <w:jc w:val="center"/>
        </w:trPr>
        <w:tc>
          <w:tcPr>
            <w:tcW w:w="363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100万元以下</w:t>
            </w:r>
          </w:p>
        </w:tc>
        <w:tc>
          <w:tcPr>
            <w:tcW w:w="3630" w:type="dxa"/>
            <w:vAlign w:val="center"/>
          </w:tcPr>
          <w:p>
            <w:pPr>
              <w:ind w:firstLine="210" w:firstLineChars="100"/>
              <w:jc w:val="center"/>
              <w:rPr>
                <w:rFonts w:hint="eastAsia" w:ascii="宋体" w:hAnsi="宋体"/>
                <w:color w:val="auto"/>
                <w:szCs w:val="21"/>
                <w:highlight w:val="none"/>
              </w:rPr>
            </w:pPr>
            <w:r>
              <w:rPr>
                <w:rFonts w:hint="eastAsia" w:ascii="宋体" w:hAnsi="宋体" w:cs="宋体"/>
                <w:color w:val="auto"/>
                <w:szCs w:val="21"/>
                <w:highlight w:val="none"/>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7" w:hRule="atLeast"/>
          <w:jc w:val="center"/>
        </w:trPr>
        <w:tc>
          <w:tcPr>
            <w:tcW w:w="363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100～500万元</w:t>
            </w:r>
          </w:p>
        </w:tc>
        <w:tc>
          <w:tcPr>
            <w:tcW w:w="3630" w:type="dxa"/>
            <w:vAlign w:val="center"/>
          </w:tcPr>
          <w:p>
            <w:pPr>
              <w:ind w:firstLine="210" w:firstLineChars="100"/>
              <w:jc w:val="center"/>
              <w:rPr>
                <w:rFonts w:hint="eastAsia" w:ascii="宋体" w:hAnsi="宋体"/>
                <w:color w:val="auto"/>
                <w:szCs w:val="21"/>
                <w:highlight w:val="none"/>
              </w:rPr>
            </w:pPr>
            <w:r>
              <w:rPr>
                <w:rFonts w:hint="eastAsia" w:ascii="宋体" w:hAnsi="宋体" w:cs="宋体"/>
                <w:color w:val="auto"/>
                <w:szCs w:val="21"/>
                <w:highlight w:val="none"/>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9" w:hRule="atLeast"/>
          <w:jc w:val="center"/>
        </w:trPr>
        <w:tc>
          <w:tcPr>
            <w:tcW w:w="363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500～1000万元</w:t>
            </w:r>
          </w:p>
        </w:tc>
        <w:tc>
          <w:tcPr>
            <w:tcW w:w="3630" w:type="dxa"/>
            <w:vAlign w:val="center"/>
          </w:tcPr>
          <w:p>
            <w:pPr>
              <w:ind w:firstLine="210" w:firstLineChars="100"/>
              <w:jc w:val="center"/>
              <w:rPr>
                <w:rFonts w:hint="eastAsia" w:ascii="宋体" w:hAnsi="宋体"/>
                <w:color w:val="auto"/>
                <w:szCs w:val="21"/>
                <w:highlight w:val="none"/>
              </w:rPr>
            </w:pPr>
            <w:r>
              <w:rPr>
                <w:rFonts w:hint="eastAsia" w:ascii="宋体" w:hAnsi="宋体" w:cs="宋体"/>
                <w:color w:val="auto"/>
                <w:szCs w:val="21"/>
                <w:highlight w:val="none"/>
              </w:rPr>
              <w:t>0.45%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7" w:hRule="atLeast"/>
          <w:jc w:val="center"/>
        </w:trPr>
        <w:tc>
          <w:tcPr>
            <w:tcW w:w="363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1000～5000万元</w:t>
            </w:r>
          </w:p>
        </w:tc>
        <w:tc>
          <w:tcPr>
            <w:tcW w:w="3630" w:type="dxa"/>
            <w:vAlign w:val="center"/>
          </w:tcPr>
          <w:p>
            <w:pPr>
              <w:ind w:firstLine="210" w:firstLineChars="100"/>
              <w:jc w:val="center"/>
              <w:rPr>
                <w:rFonts w:hint="eastAsia" w:ascii="宋体" w:hAnsi="宋体"/>
                <w:color w:val="auto"/>
                <w:szCs w:val="21"/>
                <w:highlight w:val="none"/>
              </w:rPr>
            </w:pPr>
            <w:r>
              <w:rPr>
                <w:rFonts w:hint="eastAsia" w:ascii="宋体" w:hAnsi="宋体" w:cs="宋体"/>
                <w:color w:val="auto"/>
                <w:szCs w:val="21"/>
                <w:highlight w:val="none"/>
              </w:rPr>
              <w:t>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9" w:hRule="atLeast"/>
          <w:jc w:val="center"/>
        </w:trPr>
        <w:tc>
          <w:tcPr>
            <w:tcW w:w="363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5000万元～1亿元</w:t>
            </w:r>
          </w:p>
        </w:tc>
        <w:tc>
          <w:tcPr>
            <w:tcW w:w="3630" w:type="dxa"/>
            <w:vAlign w:val="center"/>
          </w:tcPr>
          <w:p>
            <w:pPr>
              <w:ind w:firstLine="210" w:firstLineChars="100"/>
              <w:jc w:val="center"/>
              <w:rPr>
                <w:rFonts w:hint="eastAsia" w:ascii="宋体" w:hAnsi="宋体"/>
                <w:color w:val="auto"/>
                <w:szCs w:val="21"/>
                <w:highlight w:val="none"/>
              </w:rPr>
            </w:pPr>
            <w:r>
              <w:rPr>
                <w:rFonts w:hint="eastAsia" w:ascii="宋体" w:hAnsi="宋体" w:cs="宋体"/>
                <w:color w:val="auto"/>
                <w:szCs w:val="21"/>
                <w:highlight w:val="none"/>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7" w:hRule="atLeast"/>
          <w:jc w:val="center"/>
        </w:trPr>
        <w:tc>
          <w:tcPr>
            <w:tcW w:w="363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1～5亿元</w:t>
            </w:r>
          </w:p>
        </w:tc>
        <w:tc>
          <w:tcPr>
            <w:tcW w:w="363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9" w:hRule="atLeast"/>
          <w:jc w:val="center"/>
        </w:trPr>
        <w:tc>
          <w:tcPr>
            <w:tcW w:w="363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5～10亿元</w:t>
            </w:r>
          </w:p>
        </w:tc>
        <w:tc>
          <w:tcPr>
            <w:tcW w:w="363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0.035%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7" w:hRule="atLeast"/>
          <w:jc w:val="center"/>
        </w:trPr>
        <w:tc>
          <w:tcPr>
            <w:tcW w:w="363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10～50亿元</w:t>
            </w:r>
          </w:p>
        </w:tc>
        <w:tc>
          <w:tcPr>
            <w:tcW w:w="3630" w:type="dxa"/>
            <w:vAlign w:val="center"/>
          </w:tcPr>
          <w:p>
            <w:pPr>
              <w:ind w:firstLine="210" w:firstLineChars="100"/>
              <w:jc w:val="center"/>
              <w:rPr>
                <w:rFonts w:hint="eastAsia" w:ascii="宋体" w:hAnsi="宋体"/>
                <w:color w:val="auto"/>
                <w:szCs w:val="21"/>
                <w:highlight w:val="none"/>
              </w:rPr>
            </w:pPr>
            <w:r>
              <w:rPr>
                <w:rFonts w:hint="eastAsia" w:ascii="宋体" w:hAnsi="宋体"/>
                <w:color w:val="auto"/>
                <w:szCs w:val="21"/>
                <w:highlight w:val="none"/>
              </w:rPr>
              <w:t>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9" w:hRule="atLeast"/>
          <w:jc w:val="center"/>
        </w:trPr>
        <w:tc>
          <w:tcPr>
            <w:tcW w:w="363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50～100亿元</w:t>
            </w:r>
          </w:p>
        </w:tc>
        <w:tc>
          <w:tcPr>
            <w:tcW w:w="3630" w:type="dxa"/>
            <w:vAlign w:val="center"/>
          </w:tcPr>
          <w:p>
            <w:pPr>
              <w:ind w:firstLine="210" w:firstLineChars="100"/>
              <w:jc w:val="center"/>
              <w:rPr>
                <w:rFonts w:hint="eastAsia" w:ascii="宋体" w:hAnsi="宋体"/>
                <w:color w:val="auto"/>
                <w:szCs w:val="21"/>
                <w:highlight w:val="none"/>
              </w:rPr>
            </w:pPr>
            <w:r>
              <w:rPr>
                <w:rFonts w:hint="eastAsia" w:ascii="宋体" w:hAnsi="宋体"/>
                <w:color w:val="auto"/>
                <w:szCs w:val="21"/>
                <w:highlight w:val="none"/>
              </w:rPr>
              <w:t>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 w:hRule="atLeast"/>
          <w:jc w:val="center"/>
        </w:trPr>
        <w:tc>
          <w:tcPr>
            <w:tcW w:w="363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100亿以上</w:t>
            </w:r>
          </w:p>
        </w:tc>
        <w:tc>
          <w:tcPr>
            <w:tcW w:w="3630" w:type="dxa"/>
            <w:vAlign w:val="center"/>
          </w:tcPr>
          <w:p>
            <w:pPr>
              <w:ind w:firstLine="210" w:firstLineChars="100"/>
              <w:jc w:val="center"/>
              <w:rPr>
                <w:rFonts w:hint="eastAsia" w:ascii="宋体" w:hAnsi="宋体"/>
                <w:color w:val="auto"/>
                <w:szCs w:val="21"/>
                <w:highlight w:val="none"/>
              </w:rPr>
            </w:pPr>
            <w:r>
              <w:rPr>
                <w:rFonts w:hint="eastAsia" w:ascii="宋体" w:hAnsi="宋体"/>
                <w:color w:val="auto"/>
                <w:szCs w:val="21"/>
                <w:highlight w:val="none"/>
              </w:rPr>
              <w:t>0.004%</w:t>
            </w:r>
          </w:p>
        </w:tc>
      </w:tr>
    </w:tbl>
    <w:p>
      <w:pPr>
        <w:snapToGrid w:val="0"/>
        <w:spacing w:line="360" w:lineRule="auto"/>
        <w:ind w:left="378" w:leftChars="180" w:firstLine="210" w:firstLineChars="100"/>
        <w:rPr>
          <w:rFonts w:hint="eastAsia" w:ascii="宋体" w:hAnsi="宋体" w:cs="宋体"/>
          <w:color w:val="auto"/>
          <w:szCs w:val="21"/>
          <w:highlight w:val="none"/>
        </w:rPr>
      </w:pPr>
      <w:r>
        <w:rPr>
          <w:rFonts w:hint="eastAsia" w:ascii="宋体" w:hAnsi="宋体" w:cs="宋体"/>
          <w:color w:val="auto"/>
          <w:szCs w:val="21"/>
          <w:highlight w:val="none"/>
        </w:rPr>
        <w:t>例如：某服务招标中标金额为850万元，计算招标代理服务收费额如下：</w:t>
      </w:r>
    </w:p>
    <w:p>
      <w:pPr>
        <w:snapToGrid w:val="0"/>
        <w:spacing w:line="360" w:lineRule="auto"/>
        <w:ind w:left="315" w:hanging="315" w:hangingChars="150"/>
        <w:jc w:val="center"/>
        <w:rPr>
          <w:rFonts w:hint="eastAsia" w:ascii="宋体" w:hAnsi="宋体" w:cs="宋体"/>
          <w:color w:val="auto"/>
          <w:szCs w:val="21"/>
          <w:highlight w:val="none"/>
        </w:rPr>
      </w:pPr>
      <w:r>
        <w:rPr>
          <w:rFonts w:hint="eastAsia" w:ascii="宋体" w:hAnsi="宋体" w:cs="宋体"/>
          <w:color w:val="auto"/>
          <w:szCs w:val="21"/>
          <w:highlight w:val="none"/>
        </w:rPr>
        <w:t>100万元×1.5%=1.5万元</w:t>
      </w:r>
    </w:p>
    <w:p>
      <w:pPr>
        <w:snapToGrid w:val="0"/>
        <w:spacing w:line="360" w:lineRule="auto"/>
        <w:ind w:left="315" w:hanging="315" w:hangingChars="150"/>
        <w:jc w:val="center"/>
        <w:rPr>
          <w:rFonts w:hint="eastAsia" w:ascii="宋体" w:hAnsi="宋体" w:cs="宋体"/>
          <w:color w:val="auto"/>
          <w:szCs w:val="21"/>
          <w:highlight w:val="none"/>
        </w:rPr>
      </w:pPr>
      <w:r>
        <w:rPr>
          <w:rFonts w:hint="eastAsia" w:ascii="宋体" w:hAnsi="宋体" w:cs="宋体"/>
          <w:color w:val="auto"/>
          <w:szCs w:val="21"/>
          <w:highlight w:val="none"/>
        </w:rPr>
        <w:t>（500-100）万元×0.8%=3.2万元</w:t>
      </w:r>
    </w:p>
    <w:p>
      <w:pPr>
        <w:snapToGrid w:val="0"/>
        <w:spacing w:line="360" w:lineRule="auto"/>
        <w:ind w:left="315" w:hanging="315" w:hangingChars="150"/>
        <w:jc w:val="center"/>
        <w:rPr>
          <w:rFonts w:hint="eastAsia" w:ascii="宋体" w:hAnsi="宋体" w:cs="宋体"/>
          <w:color w:val="auto"/>
          <w:szCs w:val="21"/>
          <w:highlight w:val="none"/>
        </w:rPr>
      </w:pPr>
      <w:r>
        <w:rPr>
          <w:rFonts w:hint="eastAsia" w:ascii="宋体" w:hAnsi="宋体" w:cs="宋体"/>
          <w:color w:val="auto"/>
          <w:szCs w:val="21"/>
          <w:highlight w:val="none"/>
        </w:rPr>
        <w:t>（850-500）万元×0.45%=1.575万元</w:t>
      </w:r>
    </w:p>
    <w:p>
      <w:pPr>
        <w:snapToGrid w:val="0"/>
        <w:spacing w:line="360" w:lineRule="auto"/>
        <w:ind w:left="332" w:leftChars="158" w:firstLine="2520" w:firstLineChars="1200"/>
        <w:rPr>
          <w:rFonts w:hint="eastAsia" w:ascii="宋体" w:hAnsi="宋体" w:cs="宋体"/>
          <w:color w:val="auto"/>
          <w:szCs w:val="21"/>
          <w:highlight w:val="none"/>
        </w:rPr>
      </w:pPr>
      <w:r>
        <w:rPr>
          <w:rFonts w:hint="eastAsia" w:ascii="宋体" w:hAnsi="宋体" w:cs="宋体"/>
          <w:color w:val="auto"/>
          <w:szCs w:val="21"/>
          <w:highlight w:val="none"/>
        </w:rPr>
        <w:t>合计收费=1.5+3.2+1.575=6.275（万元）</w:t>
      </w:r>
    </w:p>
    <w:p>
      <w:pPr>
        <w:snapToGrid w:val="0"/>
        <w:spacing w:line="360" w:lineRule="auto"/>
        <w:jc w:val="center"/>
        <w:outlineLvl w:val="0"/>
        <w:rPr>
          <w:rFonts w:hint="eastAsia"/>
          <w:b/>
          <w:bCs/>
          <w:color w:val="auto"/>
          <w:sz w:val="28"/>
          <w:szCs w:val="28"/>
          <w:highlight w:val="none"/>
        </w:rPr>
      </w:pPr>
      <w:r>
        <w:rPr>
          <w:b/>
          <w:bCs/>
          <w:color w:val="auto"/>
          <w:sz w:val="28"/>
          <w:szCs w:val="28"/>
          <w:highlight w:val="none"/>
        </w:rPr>
        <w:br w:type="page"/>
      </w:r>
      <w:bookmarkStart w:id="89" w:name="_Toc355879708"/>
    </w:p>
    <w:p>
      <w:pPr>
        <w:snapToGrid w:val="0"/>
        <w:spacing w:line="360" w:lineRule="auto"/>
        <w:jc w:val="center"/>
        <w:outlineLvl w:val="0"/>
        <w:rPr>
          <w:rFonts w:hint="eastAsia"/>
          <w:b/>
          <w:bCs/>
          <w:color w:val="auto"/>
          <w:sz w:val="28"/>
          <w:szCs w:val="28"/>
          <w:highlight w:val="none"/>
        </w:rPr>
      </w:pPr>
    </w:p>
    <w:p>
      <w:pPr>
        <w:snapToGrid w:val="0"/>
        <w:spacing w:line="360" w:lineRule="auto"/>
        <w:jc w:val="center"/>
        <w:outlineLvl w:val="0"/>
        <w:rPr>
          <w:rFonts w:hint="eastAsia"/>
          <w:b/>
          <w:bCs/>
          <w:color w:val="auto"/>
          <w:sz w:val="28"/>
          <w:szCs w:val="28"/>
          <w:highlight w:val="none"/>
        </w:rPr>
      </w:pPr>
    </w:p>
    <w:p>
      <w:pPr>
        <w:snapToGrid w:val="0"/>
        <w:spacing w:line="360" w:lineRule="auto"/>
        <w:jc w:val="center"/>
        <w:outlineLvl w:val="0"/>
        <w:rPr>
          <w:rFonts w:hint="eastAsia"/>
          <w:b/>
          <w:bCs/>
          <w:color w:val="auto"/>
          <w:sz w:val="28"/>
          <w:szCs w:val="28"/>
          <w:highlight w:val="none"/>
        </w:rPr>
      </w:pPr>
    </w:p>
    <w:p>
      <w:pPr>
        <w:snapToGrid w:val="0"/>
        <w:spacing w:line="360" w:lineRule="auto"/>
        <w:jc w:val="center"/>
        <w:outlineLvl w:val="0"/>
        <w:rPr>
          <w:rFonts w:hint="eastAsia"/>
          <w:b/>
          <w:bCs/>
          <w:color w:val="auto"/>
          <w:sz w:val="28"/>
          <w:szCs w:val="28"/>
          <w:highlight w:val="none"/>
        </w:rPr>
      </w:pPr>
    </w:p>
    <w:p>
      <w:pPr>
        <w:snapToGrid w:val="0"/>
        <w:spacing w:line="360" w:lineRule="auto"/>
        <w:jc w:val="center"/>
        <w:outlineLvl w:val="0"/>
        <w:rPr>
          <w:rFonts w:hint="eastAsia"/>
          <w:b/>
          <w:bCs/>
          <w:color w:val="auto"/>
          <w:sz w:val="28"/>
          <w:szCs w:val="28"/>
          <w:highlight w:val="none"/>
        </w:rPr>
      </w:pPr>
    </w:p>
    <w:p>
      <w:pPr>
        <w:snapToGrid w:val="0"/>
        <w:spacing w:line="360" w:lineRule="auto"/>
        <w:jc w:val="center"/>
        <w:outlineLvl w:val="0"/>
        <w:rPr>
          <w:rFonts w:hint="eastAsia"/>
          <w:b/>
          <w:bCs/>
          <w:color w:val="auto"/>
          <w:sz w:val="28"/>
          <w:szCs w:val="28"/>
          <w:highlight w:val="none"/>
        </w:rPr>
      </w:pPr>
    </w:p>
    <w:p>
      <w:pPr>
        <w:snapToGrid w:val="0"/>
        <w:spacing w:line="360" w:lineRule="auto"/>
        <w:jc w:val="center"/>
        <w:outlineLvl w:val="0"/>
        <w:rPr>
          <w:rFonts w:hint="eastAsia"/>
          <w:b/>
          <w:bCs/>
          <w:color w:val="auto"/>
          <w:sz w:val="28"/>
          <w:szCs w:val="28"/>
          <w:highlight w:val="none"/>
        </w:rPr>
      </w:pPr>
    </w:p>
    <w:p>
      <w:pPr>
        <w:snapToGrid w:val="0"/>
        <w:spacing w:line="360" w:lineRule="auto"/>
        <w:jc w:val="center"/>
        <w:outlineLvl w:val="0"/>
        <w:rPr>
          <w:rFonts w:hint="eastAsia"/>
          <w:b/>
          <w:bCs/>
          <w:color w:val="auto"/>
          <w:sz w:val="28"/>
          <w:szCs w:val="28"/>
          <w:highlight w:val="none"/>
        </w:rPr>
      </w:pPr>
    </w:p>
    <w:p>
      <w:pPr>
        <w:snapToGrid w:val="0"/>
        <w:spacing w:line="360" w:lineRule="auto"/>
        <w:jc w:val="center"/>
        <w:outlineLvl w:val="0"/>
        <w:rPr>
          <w:rFonts w:hint="eastAsia"/>
          <w:b/>
          <w:bCs/>
          <w:color w:val="auto"/>
          <w:sz w:val="44"/>
          <w:szCs w:val="44"/>
          <w:highlight w:val="none"/>
        </w:rPr>
      </w:pPr>
      <w:bookmarkStart w:id="90" w:name="_Toc30857"/>
      <w:r>
        <w:rPr>
          <w:rFonts w:hint="eastAsia"/>
          <w:b/>
          <w:bCs/>
          <w:color w:val="auto"/>
          <w:sz w:val="44"/>
          <w:szCs w:val="44"/>
          <w:highlight w:val="none"/>
        </w:rPr>
        <w:t>第六章</w:t>
      </w:r>
      <w:bookmarkEnd w:id="89"/>
      <w:bookmarkEnd w:id="90"/>
    </w:p>
    <w:p>
      <w:pPr>
        <w:snapToGrid w:val="0"/>
        <w:spacing w:line="360" w:lineRule="auto"/>
        <w:jc w:val="center"/>
        <w:outlineLvl w:val="0"/>
        <w:rPr>
          <w:b/>
          <w:bCs/>
          <w:color w:val="auto"/>
          <w:sz w:val="44"/>
          <w:szCs w:val="44"/>
          <w:highlight w:val="none"/>
        </w:rPr>
      </w:pPr>
      <w:bookmarkStart w:id="91" w:name="_Toc16828"/>
      <w:bookmarkStart w:id="92" w:name="_Toc355879709"/>
      <w:r>
        <w:rPr>
          <w:rFonts w:hint="eastAsia"/>
          <w:b/>
          <w:bCs/>
          <w:color w:val="auto"/>
          <w:sz w:val="44"/>
          <w:szCs w:val="44"/>
          <w:highlight w:val="none"/>
        </w:rPr>
        <w:t>合同通用条款</w:t>
      </w:r>
      <w:bookmarkEnd w:id="91"/>
      <w:bookmarkEnd w:id="92"/>
    </w:p>
    <w:p>
      <w:pPr>
        <w:tabs>
          <w:tab w:val="left" w:pos="720"/>
        </w:tabs>
        <w:spacing w:line="360" w:lineRule="auto"/>
        <w:rPr>
          <w:rFonts w:hint="eastAsia" w:ascii="宋体" w:hAnsi="宋体"/>
          <w:b/>
          <w:color w:val="auto"/>
          <w:szCs w:val="21"/>
          <w:highlight w:val="none"/>
        </w:rPr>
      </w:pPr>
      <w:r>
        <w:rPr>
          <w:rFonts w:hint="eastAsia" w:ascii="黑体" w:hAnsi="宋体" w:eastAsia="黑体" w:cs="宋体"/>
          <w:b/>
          <w:color w:val="auto"/>
          <w:sz w:val="52"/>
          <w:szCs w:val="52"/>
          <w:highlight w:val="none"/>
          <w:lang w:eastAsia="zh-TW"/>
        </w:rPr>
        <w:br w:type="page"/>
      </w:r>
      <w:r>
        <w:rPr>
          <w:rFonts w:hint="eastAsia" w:ascii="宋体" w:hAnsi="宋体"/>
          <w:b/>
          <w:color w:val="auto"/>
          <w:szCs w:val="21"/>
          <w:highlight w:val="none"/>
        </w:rPr>
        <w:t>甲    方</w:t>
      </w:r>
      <w:r>
        <w:rPr>
          <w:rFonts w:hint="eastAsia" w:ascii="宋体" w:hAnsi="宋体" w:cs="宋体"/>
          <w:color w:val="auto"/>
          <w:szCs w:val="21"/>
          <w:highlight w:val="none"/>
        </w:rPr>
        <w:t>（招标人）</w:t>
      </w:r>
      <w:r>
        <w:rPr>
          <w:rFonts w:hint="eastAsia" w:ascii="宋体" w:hAnsi="宋体"/>
          <w:b/>
          <w:color w:val="auto"/>
          <w:szCs w:val="21"/>
          <w:highlight w:val="none"/>
        </w:rPr>
        <w:t>：</w:t>
      </w:r>
      <w:r>
        <w:rPr>
          <w:rFonts w:hint="eastAsia" w:ascii="宋体" w:hAnsi="宋体"/>
          <w:b/>
          <w:color w:val="auto"/>
          <w:szCs w:val="21"/>
          <w:highlight w:val="none"/>
          <w:u w:val="single"/>
        </w:rPr>
        <w:t xml:space="preserve">                 </w:t>
      </w:r>
    </w:p>
    <w:p>
      <w:pPr>
        <w:spacing w:line="360" w:lineRule="auto"/>
        <w:rPr>
          <w:rFonts w:hint="eastAsia" w:ascii="宋体" w:hAnsi="宋体"/>
          <w:color w:val="auto"/>
          <w:szCs w:val="21"/>
          <w:highlight w:val="none"/>
        </w:rPr>
      </w:pPr>
      <w:r>
        <w:rPr>
          <w:rFonts w:hint="eastAsia" w:ascii="宋体" w:hAnsi="宋体"/>
          <w:color w:val="auto"/>
          <w:szCs w:val="21"/>
          <w:highlight w:val="none"/>
        </w:rPr>
        <w:t>电    话：           　   传  真：           地  址：</w:t>
      </w:r>
    </w:p>
    <w:p>
      <w:pPr>
        <w:spacing w:line="360" w:lineRule="auto"/>
        <w:rPr>
          <w:rFonts w:hint="eastAsia" w:eastAsia="宋体"/>
          <w:color w:val="auto"/>
          <w:highlight w:val="none"/>
          <w:lang w:eastAsia="zh-CN"/>
        </w:rPr>
      </w:pPr>
      <w:r>
        <w:rPr>
          <w:rFonts w:hint="eastAsia" w:ascii="宋体" w:hAnsi="宋体"/>
          <w:b/>
          <w:color w:val="auto"/>
          <w:szCs w:val="21"/>
          <w:highlight w:val="none"/>
        </w:rPr>
        <w:t>乙    方</w:t>
      </w:r>
      <w:r>
        <w:rPr>
          <w:rFonts w:hint="eastAsia" w:ascii="宋体" w:hAnsi="宋体" w:cs="宋体"/>
          <w:color w:val="auto"/>
          <w:szCs w:val="21"/>
          <w:highlight w:val="none"/>
        </w:rPr>
        <w:t>（中标人）</w:t>
      </w:r>
      <w:r>
        <w:rPr>
          <w:rFonts w:hint="eastAsia" w:ascii="宋体" w:hAnsi="宋体"/>
          <w:b/>
          <w:color w:val="auto"/>
          <w:szCs w:val="21"/>
          <w:highlight w:val="none"/>
        </w:rPr>
        <w:t>：</w:t>
      </w:r>
      <w:r>
        <w:rPr>
          <w:rFonts w:hint="eastAsia" w:ascii="宋体" w:hAnsi="宋体"/>
          <w:b/>
          <w:color w:val="auto"/>
          <w:szCs w:val="21"/>
          <w:highlight w:val="none"/>
          <w:u w:val="single"/>
        </w:rPr>
        <w:t xml:space="preserve">                  </w:t>
      </w:r>
      <w:r>
        <w:rPr>
          <w:rFonts w:hint="eastAsia" w:ascii="宋体" w:hAnsi="宋体"/>
          <w:b/>
          <w:color w:val="auto"/>
          <w:szCs w:val="21"/>
          <w:highlight w:val="none"/>
        </w:rPr>
        <w:br w:type="textWrapping"/>
      </w:r>
      <w:r>
        <w:rPr>
          <w:rFonts w:hint="eastAsia" w:ascii="宋体" w:hAnsi="宋体"/>
          <w:color w:val="auto"/>
          <w:szCs w:val="21"/>
          <w:highlight w:val="none"/>
        </w:rPr>
        <w:t xml:space="preserve">电    话：                传  真：           地  址：   </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项目名称：                                   </w:t>
      </w:r>
      <w:r>
        <w:rPr>
          <w:rFonts w:hint="eastAsia" w:ascii="宋体" w:hAnsi="宋体" w:cs="宋体"/>
          <w:color w:val="auto"/>
          <w:szCs w:val="21"/>
          <w:highlight w:val="none"/>
        </w:rPr>
        <w:t>项目</w:t>
      </w:r>
      <w:r>
        <w:rPr>
          <w:rFonts w:hint="eastAsia" w:ascii="宋体" w:hAnsi="宋体"/>
          <w:color w:val="auto"/>
          <w:szCs w:val="21"/>
          <w:highlight w:val="none"/>
        </w:rPr>
        <w:t xml:space="preserve">编号：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根据 </w:t>
      </w:r>
      <w:r>
        <w:rPr>
          <w:rFonts w:hint="eastAsia" w:ascii="宋体" w:hAnsi="宋体"/>
          <w:color w:val="auto"/>
          <w:szCs w:val="21"/>
          <w:highlight w:val="none"/>
          <w:u w:val="single"/>
        </w:rPr>
        <w:t xml:space="preserve">              项目</w:t>
      </w:r>
      <w:r>
        <w:rPr>
          <w:rFonts w:hint="eastAsia" w:ascii="宋体" w:hAnsi="宋体"/>
          <w:color w:val="auto"/>
          <w:szCs w:val="21"/>
          <w:highlight w:val="none"/>
        </w:rPr>
        <w:t>的采购结果，</w:t>
      </w:r>
      <w:r>
        <w:rPr>
          <w:rFonts w:hint="eastAsia" w:ascii="宋体" w:hAnsi="宋体" w:cs="宋体"/>
          <w:color w:val="auto"/>
          <w:szCs w:val="21"/>
          <w:highlight w:val="none"/>
        </w:rPr>
        <w:t>按照《中华人民共和国招标投标法》</w:t>
      </w:r>
      <w:r>
        <w:rPr>
          <w:rFonts w:hint="eastAsia" w:ascii="宋体" w:hAnsi="宋体"/>
          <w:color w:val="auto"/>
          <w:szCs w:val="21"/>
          <w:highlight w:val="none"/>
        </w:rPr>
        <w:t>、《合同法》的规定，</w:t>
      </w:r>
      <w:r>
        <w:rPr>
          <w:rFonts w:hint="eastAsia" w:ascii="宋体" w:hAnsi="宋体"/>
          <w:color w:val="auto"/>
          <w:kern w:val="28"/>
          <w:szCs w:val="21"/>
          <w:highlight w:val="none"/>
        </w:rPr>
        <w:t>经双方协商，</w:t>
      </w:r>
      <w:r>
        <w:rPr>
          <w:rFonts w:hint="eastAsia" w:ascii="宋体" w:hAnsi="宋体"/>
          <w:color w:val="auto"/>
          <w:szCs w:val="21"/>
          <w:highlight w:val="none"/>
        </w:rPr>
        <w:t>本着平等互利和诚实信用的原则，</w:t>
      </w:r>
      <w:r>
        <w:rPr>
          <w:rFonts w:hint="eastAsia" w:ascii="宋体" w:hAnsi="宋体"/>
          <w:color w:val="auto"/>
          <w:kern w:val="28"/>
          <w:szCs w:val="21"/>
          <w:highlight w:val="none"/>
        </w:rPr>
        <w:t>一致同意签订本合同如下</w:t>
      </w:r>
      <w:r>
        <w:rPr>
          <w:rFonts w:hint="eastAsia" w:ascii="宋体" w:hAnsi="宋体"/>
          <w:color w:val="auto"/>
          <w:szCs w:val="21"/>
          <w:highlight w:val="none"/>
        </w:rPr>
        <w:t>。</w:t>
      </w:r>
    </w:p>
    <w:p>
      <w:pPr>
        <w:numPr>
          <w:ilvl w:val="0"/>
          <w:numId w:val="38"/>
        </w:numPr>
        <w:tabs>
          <w:tab w:val="left" w:pos="426"/>
          <w:tab w:val="clear" w:pos="420"/>
        </w:tabs>
        <w:autoSpaceDE w:val="0"/>
        <w:autoSpaceDN w:val="0"/>
        <w:adjustRightInd w:val="0"/>
        <w:spacing w:line="360" w:lineRule="auto"/>
        <w:jc w:val="left"/>
        <w:rPr>
          <w:rFonts w:hint="eastAsia" w:ascii="宋体" w:hAnsi="宋体"/>
          <w:b/>
          <w:color w:val="auto"/>
          <w:szCs w:val="21"/>
          <w:highlight w:val="none"/>
        </w:rPr>
      </w:pPr>
      <w:r>
        <w:rPr>
          <w:rFonts w:hint="eastAsia" w:ascii="宋体" w:hAnsi="宋体"/>
          <w:b/>
          <w:color w:val="auto"/>
          <w:szCs w:val="21"/>
          <w:highlight w:val="none"/>
        </w:rPr>
        <w:t>合同金额</w:t>
      </w:r>
    </w:p>
    <w:p>
      <w:pPr>
        <w:pStyle w:val="8"/>
        <w:spacing w:line="360" w:lineRule="auto"/>
        <w:ind w:firstLine="420" w:firstLineChars="200"/>
        <w:rPr>
          <w:rFonts w:hint="eastAsia" w:hAnsi="宋体"/>
          <w:color w:val="auto"/>
          <w:highlight w:val="none"/>
        </w:rPr>
      </w:pPr>
      <w:r>
        <w:rPr>
          <w:rFonts w:hint="eastAsia" w:hAnsi="宋体"/>
          <w:color w:val="auto"/>
          <w:highlight w:val="none"/>
        </w:rPr>
        <w:t>合同金额为（大写）：_________________元（￥_______________元）。</w:t>
      </w:r>
    </w:p>
    <w:p>
      <w:pPr>
        <w:pStyle w:val="8"/>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hAnsi="宋体"/>
          <w:color w:val="auto"/>
          <w:highlight w:val="none"/>
        </w:rPr>
      </w:pPr>
      <w:r>
        <w:rPr>
          <w:rFonts w:hint="eastAsia" w:ascii="宋体" w:hAnsi="宋体" w:eastAsia="宋体" w:cs="宋体"/>
          <w:b w:val="0"/>
          <w:bCs w:val="0"/>
          <w:color w:val="auto"/>
          <w:highlight w:val="none"/>
        </w:rPr>
        <w:t>报价中必须包含为完成</w:t>
      </w:r>
      <w:r>
        <w:rPr>
          <w:rFonts w:hint="eastAsia" w:ascii="宋体" w:hAnsi="宋体" w:eastAsia="宋体" w:cs="宋体"/>
          <w:b w:val="0"/>
          <w:bCs w:val="0"/>
          <w:color w:val="auto"/>
          <w:highlight w:val="none"/>
          <w:lang w:eastAsia="zh-CN"/>
        </w:rPr>
        <w:t>采购</w:t>
      </w:r>
      <w:r>
        <w:rPr>
          <w:rFonts w:hint="eastAsia" w:ascii="宋体" w:hAnsi="宋体" w:eastAsia="宋体" w:cs="宋体"/>
          <w:b w:val="0"/>
          <w:bCs w:val="0"/>
          <w:color w:val="auto"/>
          <w:highlight w:val="none"/>
        </w:rPr>
        <w:t>内容所须的一切工作的费用，包括</w:t>
      </w:r>
      <w:r>
        <w:rPr>
          <w:rFonts w:hint="eastAsia" w:hAnsi="宋体" w:eastAsia="宋体" w:cs="宋体"/>
          <w:b w:val="0"/>
          <w:bCs w:val="0"/>
          <w:color w:val="auto"/>
          <w:highlight w:val="none"/>
          <w:lang w:eastAsia="zh-CN"/>
        </w:rPr>
        <w:t>设备费、</w:t>
      </w:r>
      <w:r>
        <w:rPr>
          <w:rFonts w:hint="eastAsia" w:ascii="宋体" w:hAnsi="宋体" w:eastAsia="宋体" w:cs="宋体"/>
          <w:b w:val="0"/>
          <w:bCs w:val="0"/>
          <w:color w:val="auto"/>
          <w:highlight w:val="none"/>
        </w:rPr>
        <w:t>在工作中所发生的其他各种因素的</w:t>
      </w:r>
      <w:r>
        <w:rPr>
          <w:rFonts w:hint="eastAsia" w:ascii="宋体" w:hAnsi="宋体" w:eastAsia="宋体" w:cs="宋体"/>
          <w:b w:val="0"/>
          <w:bCs w:val="0"/>
          <w:color w:val="auto"/>
          <w:highlight w:val="none"/>
          <w:lang w:eastAsia="zh-CN"/>
        </w:rPr>
        <w:t>安装费、</w:t>
      </w:r>
      <w:r>
        <w:rPr>
          <w:rFonts w:hint="eastAsia" w:ascii="宋体" w:hAnsi="宋体" w:eastAsia="宋体"/>
          <w:color w:val="auto"/>
          <w:sz w:val="21"/>
          <w:highlight w:val="none"/>
        </w:rPr>
        <w:t>人工费</w:t>
      </w:r>
      <w:r>
        <w:rPr>
          <w:rFonts w:hint="eastAsia" w:hAnsi="宋体" w:eastAsia="宋体"/>
          <w:color w:val="auto"/>
          <w:sz w:val="21"/>
          <w:highlight w:val="none"/>
          <w:lang w:eastAsia="zh-CN"/>
        </w:rPr>
        <w:t>、</w:t>
      </w:r>
      <w:r>
        <w:rPr>
          <w:rFonts w:hint="eastAsia" w:ascii="宋体" w:hAnsi="宋体" w:eastAsia="宋体" w:cs="宋体"/>
          <w:b w:val="0"/>
          <w:bCs w:val="0"/>
          <w:color w:val="auto"/>
          <w:highlight w:val="none"/>
        </w:rPr>
        <w:t>直接费、间接费、利润、税金及其它税费、人员保险费、全额含税发票、合同实施过程中的应预见和不可预见费用等。</w:t>
      </w:r>
    </w:p>
    <w:p>
      <w:pPr>
        <w:pStyle w:val="8"/>
        <w:spacing w:line="360" w:lineRule="auto"/>
        <w:ind w:firstLine="420" w:firstLineChars="200"/>
        <w:rPr>
          <w:rFonts w:hint="eastAsia" w:eastAsia="宋体"/>
          <w:color w:val="auto"/>
          <w:sz w:val="21"/>
          <w:szCs w:val="21"/>
          <w:highlight w:val="none"/>
          <w:lang w:val="en-US" w:eastAsia="zh-CN"/>
        </w:rPr>
      </w:pPr>
      <w:r>
        <w:rPr>
          <w:rFonts w:hint="eastAsia"/>
          <w:color w:val="auto"/>
          <w:sz w:val="21"/>
          <w:szCs w:val="21"/>
          <w:highlight w:val="none"/>
          <w:lang w:val="en-US" w:eastAsia="zh-CN"/>
        </w:rPr>
        <w:t>其中：</w:t>
      </w:r>
      <w:r>
        <w:rPr>
          <w:rFonts w:hint="eastAsia" w:eastAsia="宋体"/>
          <w:color w:val="auto"/>
          <w:sz w:val="21"/>
          <w:szCs w:val="21"/>
          <w:highlight w:val="none"/>
          <w:lang w:val="en-US" w:eastAsia="zh-CN"/>
        </w:rPr>
        <w:t>佛山市南海区铁路投资有限公司</w:t>
      </w:r>
    </w:p>
    <w:p>
      <w:pPr>
        <w:pStyle w:val="8"/>
        <w:spacing w:line="360" w:lineRule="auto"/>
        <w:ind w:firstLine="1050" w:firstLineChars="500"/>
        <w:rPr>
          <w:rFonts w:hint="eastAsia" w:eastAsia="宋体"/>
          <w:color w:val="auto"/>
          <w:sz w:val="21"/>
          <w:szCs w:val="21"/>
          <w:highlight w:val="none"/>
          <w:lang w:val="en-US" w:eastAsia="zh-CN"/>
        </w:rPr>
      </w:pPr>
      <w:r>
        <w:rPr>
          <w:rFonts w:hint="eastAsia" w:hAnsi="宋体"/>
          <w:color w:val="auto"/>
          <w:highlight w:val="none"/>
        </w:rPr>
        <w:t>金额为（大写）：_________________元（￥_______________元）。</w:t>
      </w:r>
    </w:p>
    <w:p>
      <w:pPr>
        <w:pStyle w:val="8"/>
        <w:spacing w:line="360" w:lineRule="auto"/>
        <w:ind w:firstLine="1050" w:firstLineChars="500"/>
        <w:rPr>
          <w:rFonts w:hint="eastAsia" w:eastAsia="宋体"/>
          <w:color w:val="auto"/>
          <w:sz w:val="21"/>
          <w:szCs w:val="21"/>
          <w:highlight w:val="none"/>
          <w:lang w:val="en-US" w:eastAsia="zh-CN"/>
        </w:rPr>
      </w:pPr>
      <w:r>
        <w:rPr>
          <w:rFonts w:hint="eastAsia" w:eastAsia="宋体"/>
          <w:color w:val="auto"/>
          <w:sz w:val="21"/>
          <w:szCs w:val="21"/>
          <w:highlight w:val="none"/>
          <w:lang w:val="en-US" w:eastAsia="zh-CN"/>
        </w:rPr>
        <w:t>佛山市南海区佛山西站投资建设有限公司</w:t>
      </w:r>
    </w:p>
    <w:p>
      <w:pPr>
        <w:pStyle w:val="8"/>
        <w:spacing w:line="360" w:lineRule="auto"/>
        <w:ind w:firstLine="1050" w:firstLineChars="500"/>
        <w:rPr>
          <w:rFonts w:hint="eastAsia" w:eastAsia="宋体"/>
          <w:color w:val="auto"/>
          <w:sz w:val="21"/>
          <w:szCs w:val="21"/>
          <w:highlight w:val="none"/>
          <w:lang w:val="en-US" w:eastAsia="zh-CN"/>
        </w:rPr>
      </w:pPr>
      <w:r>
        <w:rPr>
          <w:rFonts w:hint="eastAsia" w:hAnsi="宋体"/>
          <w:color w:val="auto"/>
          <w:highlight w:val="none"/>
        </w:rPr>
        <w:t>金额为（大写）：_________________元（￥_______________元）。</w:t>
      </w:r>
    </w:p>
    <w:p>
      <w:pPr>
        <w:pStyle w:val="8"/>
        <w:spacing w:line="360" w:lineRule="auto"/>
        <w:ind w:firstLine="1050" w:firstLineChars="500"/>
        <w:rPr>
          <w:rFonts w:hint="eastAsia" w:eastAsia="宋体"/>
          <w:color w:val="auto"/>
          <w:sz w:val="21"/>
          <w:szCs w:val="21"/>
          <w:highlight w:val="none"/>
          <w:lang w:val="en-US" w:eastAsia="zh-CN"/>
        </w:rPr>
      </w:pPr>
      <w:r>
        <w:rPr>
          <w:rFonts w:hint="eastAsia" w:eastAsia="宋体"/>
          <w:color w:val="auto"/>
          <w:sz w:val="21"/>
          <w:szCs w:val="21"/>
          <w:highlight w:val="none"/>
          <w:lang w:val="en-US" w:eastAsia="zh-CN"/>
        </w:rPr>
        <w:t>佛山市南海大业佳诚投资有限公司</w:t>
      </w:r>
    </w:p>
    <w:p>
      <w:pPr>
        <w:pStyle w:val="8"/>
        <w:spacing w:line="360" w:lineRule="auto"/>
        <w:ind w:firstLine="1050" w:firstLineChars="500"/>
        <w:rPr>
          <w:rFonts w:hint="eastAsia" w:eastAsia="宋体"/>
          <w:color w:val="auto"/>
          <w:sz w:val="21"/>
          <w:szCs w:val="21"/>
          <w:highlight w:val="none"/>
          <w:lang w:val="en-US" w:eastAsia="zh-CN"/>
        </w:rPr>
      </w:pPr>
      <w:r>
        <w:rPr>
          <w:rFonts w:hint="eastAsia" w:hAnsi="宋体"/>
          <w:color w:val="auto"/>
          <w:highlight w:val="none"/>
        </w:rPr>
        <w:t>金额为（大写）：_________________元（￥_______________元）。</w:t>
      </w:r>
    </w:p>
    <w:p>
      <w:pPr>
        <w:numPr>
          <w:ilvl w:val="0"/>
          <w:numId w:val="38"/>
        </w:numPr>
        <w:tabs>
          <w:tab w:val="left" w:pos="426"/>
          <w:tab w:val="clear" w:pos="420"/>
        </w:tabs>
        <w:autoSpaceDE w:val="0"/>
        <w:autoSpaceDN w:val="0"/>
        <w:adjustRightInd w:val="0"/>
        <w:spacing w:line="360" w:lineRule="auto"/>
        <w:jc w:val="left"/>
        <w:rPr>
          <w:rFonts w:hint="eastAsia" w:hAnsi="宋体"/>
          <w:b/>
          <w:color w:val="auto"/>
          <w:highlight w:val="none"/>
        </w:rPr>
      </w:pPr>
      <w:r>
        <w:rPr>
          <w:rFonts w:hint="eastAsia" w:hAnsi="宋体"/>
          <w:b/>
          <w:color w:val="auto"/>
          <w:highlight w:val="none"/>
        </w:rPr>
        <w:t>采购清单一览表</w:t>
      </w:r>
      <w:r>
        <w:rPr>
          <w:rFonts w:hint="eastAsia" w:hAnsi="宋体"/>
          <w:b/>
          <w:color w:val="auto"/>
          <w:highlight w:val="none"/>
          <w:lang w:eastAsia="zh-CN"/>
        </w:rPr>
        <w:t>（以投标文件提供的分项报价清单为准）</w:t>
      </w:r>
    </w:p>
    <w:tbl>
      <w:tblPr>
        <w:tblStyle w:val="17"/>
        <w:tblW w:w="8920" w:type="dxa"/>
        <w:jc w:val="center"/>
        <w:tblInd w:w="-47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335"/>
        <w:gridCol w:w="1335"/>
        <w:gridCol w:w="2555"/>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top"/>
          </w:tcPr>
          <w:p>
            <w:pPr>
              <w:spacing w:line="24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2670" w:type="dxa"/>
            <w:gridSpan w:val="2"/>
            <w:vAlign w:val="top"/>
          </w:tcPr>
          <w:p>
            <w:pPr>
              <w:spacing w:line="24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项目内容</w:t>
            </w:r>
          </w:p>
        </w:tc>
        <w:tc>
          <w:tcPr>
            <w:tcW w:w="2555" w:type="dxa"/>
            <w:vAlign w:val="top"/>
          </w:tcPr>
          <w:p>
            <w:pPr>
              <w:spacing w:line="24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c>
          <w:tcPr>
            <w:tcW w:w="2870" w:type="dxa"/>
            <w:vAlign w:val="top"/>
          </w:tcPr>
          <w:p>
            <w:pPr>
              <w:spacing w:line="24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6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数字档案管理系统</w:t>
            </w:r>
          </w:p>
        </w:tc>
        <w:tc>
          <w:tcPr>
            <w:tcW w:w="255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1套</w:t>
            </w:r>
          </w:p>
        </w:tc>
        <w:tc>
          <w:tcPr>
            <w:tcW w:w="287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设备所有权属</w:t>
            </w:r>
            <w:r>
              <w:rPr>
                <w:rFonts w:hint="eastAsia" w:ascii="宋体" w:hAnsi="宋体" w:cs="宋体"/>
                <w:color w:val="auto"/>
                <w:kern w:val="0"/>
                <w:sz w:val="21"/>
                <w:szCs w:val="21"/>
                <w:highlight w:val="none"/>
                <w:lang w:eastAsia="zh-CN"/>
              </w:rPr>
              <w:t>甲方</w:t>
            </w:r>
            <w:r>
              <w:rPr>
                <w:rFonts w:hint="eastAsia" w:ascii="宋体" w:hAnsi="宋体" w:eastAsia="宋体" w:cs="宋体"/>
                <w:color w:val="auto"/>
                <w:kern w:val="0"/>
                <w:sz w:val="21"/>
                <w:szCs w:val="21"/>
                <w:highlight w:val="none"/>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26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档案咨询服务</w:t>
            </w:r>
          </w:p>
        </w:tc>
        <w:tc>
          <w:tcPr>
            <w:tcW w:w="255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1项</w:t>
            </w:r>
          </w:p>
        </w:tc>
        <w:tc>
          <w:tcPr>
            <w:tcW w:w="2870" w:type="dxa"/>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335"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档案整理服务</w:t>
            </w:r>
          </w:p>
        </w:tc>
        <w:tc>
          <w:tcPr>
            <w:tcW w:w="133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文书档整理</w:t>
            </w:r>
          </w:p>
        </w:tc>
        <w:tc>
          <w:tcPr>
            <w:tcW w:w="255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约</w:t>
            </w:r>
            <w:r>
              <w:rPr>
                <w:rFonts w:hint="eastAsia" w:ascii="宋体" w:hAnsi="宋体" w:eastAsia="宋体" w:cs="宋体"/>
                <w:color w:val="auto"/>
                <w:sz w:val="21"/>
                <w:szCs w:val="21"/>
                <w:highlight w:val="none"/>
              </w:rPr>
              <w:t>10000件</w:t>
            </w:r>
          </w:p>
        </w:tc>
        <w:tc>
          <w:tcPr>
            <w:tcW w:w="2870" w:type="dxa"/>
            <w:vMerge w:val="restart"/>
            <w:vAlign w:val="center"/>
          </w:tcPr>
          <w:p>
            <w:pPr>
              <w:spacing w:line="240" w:lineRule="auto"/>
              <w:jc w:val="center"/>
              <w:rPr>
                <w:rFonts w:hint="eastAsia"/>
                <w:color w:val="auto"/>
                <w:highlight w:val="none"/>
              </w:rPr>
            </w:pPr>
            <w:r>
              <w:rPr>
                <w:rFonts w:hint="eastAsia"/>
                <w:color w:val="auto"/>
                <w:highlight w:val="none"/>
              </w:rPr>
              <w:t>档案盒、卷皮、备考表等主要耗材由</w:t>
            </w:r>
            <w:r>
              <w:rPr>
                <w:rFonts w:hint="eastAsia"/>
                <w:color w:val="auto"/>
                <w:highlight w:val="none"/>
                <w:lang w:eastAsia="zh-CN"/>
              </w:rPr>
              <w:t>甲方</w:t>
            </w:r>
            <w:r>
              <w:rPr>
                <w:rFonts w:hint="eastAsia"/>
                <w:color w:val="auto"/>
                <w:highlight w:val="none"/>
              </w:rPr>
              <w:t>提供</w:t>
            </w:r>
          </w:p>
          <w:p>
            <w:pPr>
              <w:pStyle w:val="2"/>
              <w:jc w:val="center"/>
              <w:rPr>
                <w:rFonts w:hint="eastAsia"/>
                <w:color w:val="auto"/>
                <w:highlight w:val="none"/>
              </w:rPr>
            </w:pPr>
            <w:r>
              <w:rPr>
                <w:rFonts w:hint="eastAsia" w:ascii="Times New Roman" w:hAnsi="Times New Roman" w:eastAsia="宋体" w:cs="Times New Roman"/>
                <w:bCs w:val="0"/>
                <w:color w:val="auto"/>
                <w:spacing w:val="0"/>
                <w:kern w:val="2"/>
                <w:sz w:val="21"/>
                <w:szCs w:val="24"/>
                <w:highlight w:val="none"/>
                <w:lang w:val="en-US" w:eastAsia="zh-CN" w:bidi="ar-SA"/>
              </w:rPr>
              <w:t>备注：其中用户使用数量参考比例为铁投67%，西投27%，大业佳诚6%</w:t>
            </w:r>
            <w:r>
              <w:rPr>
                <w:rFonts w:hint="eastAsia" w:cs="Times New Roman"/>
                <w:bCs w:val="0"/>
                <w:color w:val="auto"/>
                <w:spacing w:val="0"/>
                <w:kern w:val="2"/>
                <w:sz w:val="21"/>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335"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33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工程档案整理</w:t>
            </w:r>
          </w:p>
        </w:tc>
        <w:tc>
          <w:tcPr>
            <w:tcW w:w="255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约</w:t>
            </w:r>
            <w:r>
              <w:rPr>
                <w:rFonts w:hint="eastAsia" w:ascii="宋体" w:hAnsi="宋体" w:eastAsia="宋体" w:cs="宋体"/>
                <w:color w:val="auto"/>
                <w:sz w:val="21"/>
                <w:szCs w:val="21"/>
                <w:highlight w:val="none"/>
              </w:rPr>
              <w:t>7000盒</w:t>
            </w:r>
          </w:p>
        </w:tc>
        <w:tc>
          <w:tcPr>
            <w:tcW w:w="2870" w:type="dxa"/>
            <w:vMerge w:val="continue"/>
            <w:vAlign w:val="center"/>
          </w:tcPr>
          <w:p>
            <w:pPr>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335"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33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工程图纸整理</w:t>
            </w:r>
          </w:p>
        </w:tc>
        <w:tc>
          <w:tcPr>
            <w:tcW w:w="255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约</w:t>
            </w:r>
            <w:r>
              <w:rPr>
                <w:rFonts w:hint="eastAsia" w:ascii="宋体" w:hAnsi="宋体" w:eastAsia="宋体" w:cs="宋体"/>
                <w:color w:val="auto"/>
                <w:sz w:val="21"/>
                <w:szCs w:val="21"/>
                <w:highlight w:val="none"/>
              </w:rPr>
              <w:t>280000张</w:t>
            </w:r>
          </w:p>
        </w:tc>
        <w:tc>
          <w:tcPr>
            <w:tcW w:w="2870" w:type="dxa"/>
            <w:vMerge w:val="continue"/>
            <w:vAlign w:val="center"/>
          </w:tcPr>
          <w:p>
            <w:pPr>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25"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335" w:type="dxa"/>
            <w:vMerge w:val="restart"/>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数字化加工服务</w:t>
            </w:r>
          </w:p>
        </w:tc>
        <w:tc>
          <w:tcPr>
            <w:tcW w:w="133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对于所有的档案目录数据一一对应整理</w:t>
            </w:r>
          </w:p>
        </w:tc>
        <w:tc>
          <w:tcPr>
            <w:tcW w:w="255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约</w:t>
            </w:r>
            <w:r>
              <w:rPr>
                <w:rFonts w:hint="eastAsia" w:ascii="宋体" w:hAnsi="宋体" w:eastAsia="宋体" w:cs="宋体"/>
                <w:color w:val="auto"/>
                <w:sz w:val="21"/>
                <w:szCs w:val="21"/>
                <w:highlight w:val="none"/>
              </w:rPr>
              <w:t>20000条</w:t>
            </w:r>
          </w:p>
        </w:tc>
        <w:tc>
          <w:tcPr>
            <w:tcW w:w="2870" w:type="dxa"/>
            <w:vMerge w:val="restart"/>
            <w:vAlign w:val="center"/>
          </w:tcPr>
          <w:p>
            <w:pPr>
              <w:autoSpaceDE w:val="0"/>
              <w:autoSpaceDN w:val="0"/>
              <w:adjustRightInd w:val="0"/>
              <w:spacing w:line="240" w:lineRule="auto"/>
              <w:jc w:val="center"/>
              <w:rPr>
                <w:rFonts w:hint="eastAsia"/>
                <w:color w:val="auto"/>
                <w:highlight w:val="none"/>
              </w:rPr>
            </w:pPr>
            <w:r>
              <w:rPr>
                <w:rFonts w:hint="eastAsia"/>
                <w:color w:val="auto"/>
                <w:highlight w:val="none"/>
              </w:rPr>
              <w:t>加工完成后须将成果挂接入数字档案管理系统存储设备中；质检费用已经包含在数字化单价内，不再另行支付</w:t>
            </w:r>
          </w:p>
          <w:p>
            <w:pPr>
              <w:pStyle w:val="2"/>
              <w:jc w:val="center"/>
              <w:rPr>
                <w:rFonts w:hint="eastAsia"/>
                <w:color w:val="auto"/>
                <w:highlight w:val="none"/>
              </w:rPr>
            </w:pPr>
            <w:r>
              <w:rPr>
                <w:rFonts w:hint="eastAsia" w:ascii="Times New Roman" w:hAnsi="Times New Roman" w:eastAsia="宋体" w:cs="Times New Roman"/>
                <w:bCs w:val="0"/>
                <w:color w:val="auto"/>
                <w:spacing w:val="0"/>
                <w:kern w:val="2"/>
                <w:sz w:val="21"/>
                <w:szCs w:val="24"/>
                <w:highlight w:val="none"/>
                <w:lang w:val="en-US" w:eastAsia="zh-CN" w:bidi="ar-SA"/>
              </w:rPr>
              <w:t>备注：其中用户使用数量参考比例为铁投67%，西投27%，大业佳诚6%</w:t>
            </w:r>
            <w:r>
              <w:rPr>
                <w:rFonts w:hint="eastAsia" w:cs="Times New Roman"/>
                <w:bCs w:val="0"/>
                <w:color w:val="auto"/>
                <w:spacing w:val="0"/>
                <w:kern w:val="2"/>
                <w:sz w:val="21"/>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25"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335"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33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A4档案资料扫描</w:t>
            </w:r>
          </w:p>
        </w:tc>
        <w:tc>
          <w:tcPr>
            <w:tcW w:w="255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约</w:t>
            </w:r>
            <w:r>
              <w:rPr>
                <w:rFonts w:hint="eastAsia" w:ascii="宋体" w:hAnsi="宋体" w:eastAsia="宋体" w:cs="宋体"/>
                <w:color w:val="auto"/>
                <w:sz w:val="21"/>
                <w:szCs w:val="21"/>
                <w:highlight w:val="none"/>
              </w:rPr>
              <w:t>110000页</w:t>
            </w:r>
          </w:p>
        </w:tc>
        <w:tc>
          <w:tcPr>
            <w:tcW w:w="2870" w:type="dxa"/>
            <w:vMerge w:val="continue"/>
            <w:vAlign w:val="center"/>
          </w:tcPr>
          <w:p>
            <w:pPr>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825"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335"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33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A3档案资料扫描</w:t>
            </w:r>
          </w:p>
        </w:tc>
        <w:tc>
          <w:tcPr>
            <w:tcW w:w="255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约</w:t>
            </w:r>
            <w:r>
              <w:rPr>
                <w:rFonts w:hint="eastAsia" w:ascii="宋体" w:hAnsi="宋体" w:eastAsia="宋体" w:cs="宋体"/>
                <w:color w:val="auto"/>
                <w:sz w:val="21"/>
                <w:szCs w:val="21"/>
                <w:highlight w:val="none"/>
              </w:rPr>
              <w:t>270000页</w:t>
            </w:r>
          </w:p>
        </w:tc>
        <w:tc>
          <w:tcPr>
            <w:tcW w:w="2870" w:type="dxa"/>
            <w:vMerge w:val="continue"/>
            <w:vAlign w:val="center"/>
          </w:tcPr>
          <w:p>
            <w:pPr>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825"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335" w:type="dxa"/>
            <w:vMerge w:val="continue"/>
            <w:vAlign w:val="center"/>
          </w:tcPr>
          <w:p>
            <w:pPr>
              <w:spacing w:line="240" w:lineRule="auto"/>
              <w:jc w:val="center"/>
              <w:rPr>
                <w:rFonts w:hint="eastAsia" w:ascii="宋体" w:hAnsi="宋体" w:eastAsia="宋体" w:cs="宋体"/>
                <w:color w:val="auto"/>
                <w:sz w:val="21"/>
                <w:szCs w:val="21"/>
                <w:highlight w:val="none"/>
              </w:rPr>
            </w:pPr>
          </w:p>
        </w:tc>
        <w:tc>
          <w:tcPr>
            <w:tcW w:w="133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A0-A2图纸档案扫描</w:t>
            </w:r>
          </w:p>
        </w:tc>
        <w:tc>
          <w:tcPr>
            <w:tcW w:w="255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约</w:t>
            </w:r>
            <w:r>
              <w:rPr>
                <w:rFonts w:hint="eastAsia" w:ascii="宋体" w:hAnsi="宋体" w:eastAsia="宋体" w:cs="宋体"/>
                <w:color w:val="auto"/>
                <w:sz w:val="21"/>
                <w:szCs w:val="21"/>
                <w:highlight w:val="none"/>
              </w:rPr>
              <w:t>280000张</w:t>
            </w:r>
          </w:p>
        </w:tc>
        <w:tc>
          <w:tcPr>
            <w:tcW w:w="2870" w:type="dxa"/>
            <w:vMerge w:val="continue"/>
            <w:vAlign w:val="center"/>
          </w:tcPr>
          <w:p>
            <w:pPr>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26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服务器设备</w:t>
            </w:r>
          </w:p>
        </w:tc>
        <w:tc>
          <w:tcPr>
            <w:tcW w:w="255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2台</w:t>
            </w:r>
          </w:p>
        </w:tc>
        <w:tc>
          <w:tcPr>
            <w:tcW w:w="287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设备所有权属</w:t>
            </w:r>
            <w:r>
              <w:rPr>
                <w:rFonts w:hint="eastAsia" w:ascii="宋体" w:hAnsi="宋体" w:cs="宋体"/>
                <w:color w:val="auto"/>
                <w:kern w:val="0"/>
                <w:sz w:val="21"/>
                <w:szCs w:val="21"/>
                <w:highlight w:val="none"/>
                <w:lang w:eastAsia="zh-CN"/>
              </w:rPr>
              <w:t>甲方</w:t>
            </w:r>
            <w:r>
              <w:rPr>
                <w:rFonts w:hint="eastAsia" w:ascii="宋体" w:hAnsi="宋体" w:eastAsia="宋体" w:cs="宋体"/>
                <w:color w:val="auto"/>
                <w:kern w:val="0"/>
                <w:sz w:val="21"/>
                <w:szCs w:val="21"/>
                <w:highlight w:val="none"/>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26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存储设备</w:t>
            </w:r>
          </w:p>
        </w:tc>
        <w:tc>
          <w:tcPr>
            <w:tcW w:w="255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1套</w:t>
            </w:r>
          </w:p>
        </w:tc>
        <w:tc>
          <w:tcPr>
            <w:tcW w:w="287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设备所有权属</w:t>
            </w:r>
            <w:r>
              <w:rPr>
                <w:rFonts w:hint="eastAsia" w:ascii="宋体" w:hAnsi="宋体" w:cs="宋体"/>
                <w:color w:val="auto"/>
                <w:kern w:val="0"/>
                <w:sz w:val="21"/>
                <w:szCs w:val="21"/>
                <w:highlight w:val="none"/>
                <w:lang w:eastAsia="zh-CN"/>
              </w:rPr>
              <w:t>甲方</w:t>
            </w:r>
            <w:r>
              <w:rPr>
                <w:rFonts w:hint="eastAsia" w:ascii="宋体" w:hAnsi="宋体" w:eastAsia="宋体" w:cs="宋体"/>
                <w:color w:val="auto"/>
                <w:kern w:val="0"/>
                <w:sz w:val="21"/>
                <w:szCs w:val="21"/>
                <w:highlight w:val="none"/>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26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VPN设备</w:t>
            </w:r>
          </w:p>
        </w:tc>
        <w:tc>
          <w:tcPr>
            <w:tcW w:w="255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1套</w:t>
            </w:r>
          </w:p>
        </w:tc>
        <w:tc>
          <w:tcPr>
            <w:tcW w:w="287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设备所有权属</w:t>
            </w:r>
            <w:r>
              <w:rPr>
                <w:rFonts w:hint="eastAsia" w:ascii="宋体" w:hAnsi="宋体" w:cs="宋体"/>
                <w:color w:val="auto"/>
                <w:kern w:val="0"/>
                <w:sz w:val="21"/>
                <w:szCs w:val="21"/>
                <w:highlight w:val="none"/>
                <w:lang w:eastAsia="zh-CN"/>
              </w:rPr>
              <w:t>甲方</w:t>
            </w:r>
            <w:r>
              <w:rPr>
                <w:rFonts w:hint="eastAsia" w:ascii="宋体" w:hAnsi="宋体" w:eastAsia="宋体" w:cs="宋体"/>
                <w:color w:val="auto"/>
                <w:kern w:val="0"/>
                <w:sz w:val="21"/>
                <w:szCs w:val="21"/>
                <w:highlight w:val="none"/>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26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数据库系统</w:t>
            </w:r>
          </w:p>
        </w:tc>
        <w:tc>
          <w:tcPr>
            <w:tcW w:w="255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1套</w:t>
            </w:r>
          </w:p>
        </w:tc>
        <w:tc>
          <w:tcPr>
            <w:tcW w:w="287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设备所有权属</w:t>
            </w:r>
            <w:r>
              <w:rPr>
                <w:rFonts w:hint="eastAsia" w:ascii="宋体" w:hAnsi="宋体" w:cs="宋体"/>
                <w:color w:val="auto"/>
                <w:kern w:val="0"/>
                <w:sz w:val="21"/>
                <w:szCs w:val="21"/>
                <w:highlight w:val="none"/>
                <w:lang w:eastAsia="zh-CN"/>
              </w:rPr>
              <w:t>甲方</w:t>
            </w:r>
            <w:r>
              <w:rPr>
                <w:rFonts w:hint="eastAsia" w:ascii="宋体" w:hAnsi="宋体" w:eastAsia="宋体" w:cs="宋体"/>
                <w:color w:val="auto"/>
                <w:kern w:val="0"/>
                <w:sz w:val="21"/>
                <w:szCs w:val="21"/>
                <w:highlight w:val="none"/>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26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操作系统</w:t>
            </w:r>
          </w:p>
        </w:tc>
        <w:tc>
          <w:tcPr>
            <w:tcW w:w="255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2套</w:t>
            </w:r>
          </w:p>
        </w:tc>
        <w:tc>
          <w:tcPr>
            <w:tcW w:w="287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设备所有权属</w:t>
            </w:r>
            <w:r>
              <w:rPr>
                <w:rFonts w:hint="eastAsia" w:ascii="宋体" w:hAnsi="宋体" w:cs="宋体"/>
                <w:color w:val="auto"/>
                <w:kern w:val="0"/>
                <w:sz w:val="21"/>
                <w:szCs w:val="21"/>
                <w:highlight w:val="none"/>
                <w:lang w:eastAsia="zh-CN"/>
              </w:rPr>
              <w:t>甲方</w:t>
            </w:r>
            <w:r>
              <w:rPr>
                <w:rFonts w:hint="eastAsia" w:ascii="宋体" w:hAnsi="宋体" w:eastAsia="宋体" w:cs="宋体"/>
                <w:color w:val="auto"/>
                <w:kern w:val="0"/>
                <w:sz w:val="21"/>
                <w:szCs w:val="21"/>
                <w:highlight w:val="none"/>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26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大幅面扫描仪</w:t>
            </w:r>
          </w:p>
        </w:tc>
        <w:tc>
          <w:tcPr>
            <w:tcW w:w="255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1台</w:t>
            </w:r>
          </w:p>
        </w:tc>
        <w:tc>
          <w:tcPr>
            <w:tcW w:w="287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设备所有权属</w:t>
            </w:r>
            <w:r>
              <w:rPr>
                <w:rFonts w:hint="eastAsia" w:ascii="宋体" w:hAnsi="宋体" w:cs="宋体"/>
                <w:color w:val="auto"/>
                <w:kern w:val="0"/>
                <w:sz w:val="21"/>
                <w:szCs w:val="21"/>
                <w:highlight w:val="none"/>
                <w:lang w:eastAsia="zh-CN"/>
              </w:rPr>
              <w:t>甲方</w:t>
            </w:r>
            <w:r>
              <w:rPr>
                <w:rFonts w:hint="eastAsia" w:ascii="宋体" w:hAnsi="宋体" w:eastAsia="宋体" w:cs="宋体"/>
                <w:color w:val="auto"/>
                <w:kern w:val="0"/>
                <w:sz w:val="21"/>
                <w:szCs w:val="21"/>
                <w:highlight w:val="none"/>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26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高速扫描仪</w:t>
            </w:r>
          </w:p>
        </w:tc>
        <w:tc>
          <w:tcPr>
            <w:tcW w:w="255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1台</w:t>
            </w:r>
          </w:p>
        </w:tc>
        <w:tc>
          <w:tcPr>
            <w:tcW w:w="287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设备所有权属</w:t>
            </w:r>
            <w:r>
              <w:rPr>
                <w:rFonts w:hint="eastAsia" w:ascii="宋体" w:hAnsi="宋体" w:cs="宋体"/>
                <w:color w:val="auto"/>
                <w:kern w:val="0"/>
                <w:sz w:val="21"/>
                <w:szCs w:val="21"/>
                <w:highlight w:val="none"/>
                <w:lang w:eastAsia="zh-CN"/>
              </w:rPr>
              <w:t>甲方</w:t>
            </w:r>
            <w:r>
              <w:rPr>
                <w:rFonts w:hint="eastAsia" w:ascii="宋体" w:hAnsi="宋体" w:eastAsia="宋体" w:cs="宋体"/>
                <w:color w:val="auto"/>
                <w:kern w:val="0"/>
                <w:sz w:val="21"/>
                <w:szCs w:val="21"/>
                <w:highlight w:val="none"/>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26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防火墙</w:t>
            </w:r>
          </w:p>
        </w:tc>
        <w:tc>
          <w:tcPr>
            <w:tcW w:w="255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1台</w:t>
            </w:r>
          </w:p>
        </w:tc>
        <w:tc>
          <w:tcPr>
            <w:tcW w:w="287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设备所有权属</w:t>
            </w:r>
            <w:r>
              <w:rPr>
                <w:rFonts w:hint="eastAsia" w:ascii="宋体" w:hAnsi="宋体" w:cs="宋体"/>
                <w:color w:val="auto"/>
                <w:kern w:val="0"/>
                <w:sz w:val="21"/>
                <w:szCs w:val="21"/>
                <w:highlight w:val="none"/>
                <w:lang w:eastAsia="zh-CN"/>
              </w:rPr>
              <w:t>甲方</w:t>
            </w:r>
            <w:r>
              <w:rPr>
                <w:rFonts w:hint="eastAsia" w:ascii="宋体" w:hAnsi="宋体" w:eastAsia="宋体" w:cs="宋体"/>
                <w:color w:val="auto"/>
                <w:kern w:val="0"/>
                <w:sz w:val="21"/>
                <w:szCs w:val="21"/>
                <w:highlight w:val="none"/>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2670" w:type="dxa"/>
            <w:gridSpan w:val="2"/>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存储交换机</w:t>
            </w:r>
          </w:p>
        </w:tc>
        <w:tc>
          <w:tcPr>
            <w:tcW w:w="255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1台</w:t>
            </w:r>
          </w:p>
        </w:tc>
        <w:tc>
          <w:tcPr>
            <w:tcW w:w="287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设备所有权属</w:t>
            </w:r>
            <w:r>
              <w:rPr>
                <w:rFonts w:hint="eastAsia" w:ascii="宋体" w:hAnsi="宋体" w:cs="宋体"/>
                <w:color w:val="auto"/>
                <w:kern w:val="0"/>
                <w:sz w:val="21"/>
                <w:szCs w:val="21"/>
                <w:highlight w:val="none"/>
                <w:lang w:eastAsia="zh-CN"/>
              </w:rPr>
              <w:t>甲方</w:t>
            </w:r>
            <w:r>
              <w:rPr>
                <w:rFonts w:hint="eastAsia" w:ascii="宋体" w:hAnsi="宋体" w:eastAsia="宋体" w:cs="宋体"/>
                <w:color w:val="auto"/>
                <w:kern w:val="0"/>
                <w:sz w:val="21"/>
                <w:szCs w:val="21"/>
                <w:highlight w:val="none"/>
              </w:rPr>
              <w:t>所有</w:t>
            </w:r>
          </w:p>
        </w:tc>
      </w:tr>
    </w:tbl>
    <w:p>
      <w:pPr>
        <w:spacing w:line="360" w:lineRule="auto"/>
        <w:ind w:firstLine="525" w:firstLineChars="250"/>
        <w:jc w:val="left"/>
        <w:rPr>
          <w:rFonts w:hint="eastAsia" w:hAnsi="宋体"/>
          <w:b/>
          <w:color w:val="auto"/>
          <w:highlight w:val="none"/>
        </w:rPr>
      </w:pPr>
      <w:r>
        <w:rPr>
          <w:rFonts w:hint="eastAsia" w:ascii="宋体" w:hAnsi="宋体"/>
          <w:color w:val="auto"/>
          <w:szCs w:val="21"/>
          <w:highlight w:val="none"/>
        </w:rPr>
        <w:t>档案整理、数字化加工等技术服务工作量，按照工程结束验收后的实际扫描数量来统计，以</w:t>
      </w:r>
      <w:r>
        <w:rPr>
          <w:rFonts w:hint="eastAsia" w:ascii="宋体" w:hAnsi="宋体"/>
          <w:color w:val="auto"/>
          <w:szCs w:val="21"/>
          <w:highlight w:val="none"/>
          <w:lang w:eastAsia="zh-CN"/>
        </w:rPr>
        <w:t>乙方</w:t>
      </w:r>
      <w:r>
        <w:rPr>
          <w:rFonts w:hint="eastAsia" w:ascii="宋体" w:hAnsi="宋体"/>
          <w:color w:val="auto"/>
          <w:szCs w:val="21"/>
          <w:highlight w:val="none"/>
        </w:rPr>
        <w:t>投标单价为依据结算，统计方法及费用结算须经双方确认。</w:t>
      </w:r>
    </w:p>
    <w:p>
      <w:pPr>
        <w:numPr>
          <w:ilvl w:val="0"/>
          <w:numId w:val="38"/>
        </w:numPr>
        <w:tabs>
          <w:tab w:val="left" w:pos="426"/>
          <w:tab w:val="clear" w:pos="420"/>
        </w:tabs>
        <w:autoSpaceDE w:val="0"/>
        <w:autoSpaceDN w:val="0"/>
        <w:adjustRightInd w:val="0"/>
        <w:spacing w:line="360" w:lineRule="auto"/>
        <w:jc w:val="left"/>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项目服务要求</w:t>
      </w:r>
    </w:p>
    <w:p>
      <w:pPr>
        <w:pStyle w:val="4"/>
        <w:numPr>
          <w:ilvl w:val="0"/>
          <w:numId w:val="39"/>
        </w:numPr>
        <w:spacing w:after="0" w:afterLines="0"/>
        <w:ind w:left="425" w:hanging="425"/>
        <w:jc w:val="left"/>
        <w:rPr>
          <w:rFonts w:ascii="宋体" w:hAnsi="宋体"/>
          <w:color w:val="auto"/>
          <w:highlight w:val="none"/>
        </w:rPr>
      </w:pPr>
      <w:r>
        <w:rPr>
          <w:rFonts w:hint="eastAsia"/>
          <w:color w:val="auto"/>
          <w:szCs w:val="24"/>
          <w:highlight w:val="none"/>
        </w:rPr>
        <w:t>技术支持</w:t>
      </w:r>
    </w:p>
    <w:p>
      <w:pPr>
        <w:numPr>
          <w:ilvl w:val="1"/>
          <w:numId w:val="40"/>
        </w:numPr>
        <w:spacing w:line="360" w:lineRule="auto"/>
        <w:ind w:left="567" w:leftChars="0" w:hanging="567" w:firstLineChars="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应提出全套的技术支持方案。</w:t>
      </w:r>
    </w:p>
    <w:p>
      <w:pPr>
        <w:numPr>
          <w:ilvl w:val="1"/>
          <w:numId w:val="40"/>
        </w:numPr>
        <w:spacing w:line="360" w:lineRule="auto"/>
        <w:ind w:left="567" w:leftChars="0" w:hanging="567" w:firstLineChars="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在现场调试和试运行过程中如果对软件、硬件作了改动，则必须修改技术方案，及时知会</w:t>
      </w:r>
      <w:r>
        <w:rPr>
          <w:rFonts w:hint="eastAsia" w:ascii="宋体" w:hAnsi="宋体"/>
          <w:color w:val="auto"/>
          <w:highlight w:val="none"/>
          <w:lang w:eastAsia="zh-CN"/>
        </w:rPr>
        <w:t>甲方</w:t>
      </w:r>
      <w:r>
        <w:rPr>
          <w:rFonts w:hint="eastAsia" w:ascii="宋体" w:hAnsi="宋体"/>
          <w:color w:val="auto"/>
          <w:highlight w:val="none"/>
        </w:rPr>
        <w:t>并在最终验收测试时</w:t>
      </w:r>
      <w:r>
        <w:rPr>
          <w:rFonts w:hint="eastAsia" w:ascii="宋体" w:hAnsi="宋体"/>
          <w:color w:val="auto"/>
          <w:highlight w:val="none"/>
          <w:lang w:eastAsia="zh-CN"/>
        </w:rPr>
        <w:t>乙方</w:t>
      </w:r>
      <w:r>
        <w:rPr>
          <w:rFonts w:hint="eastAsia" w:ascii="宋体" w:hAnsi="宋体"/>
          <w:color w:val="auto"/>
          <w:highlight w:val="none"/>
        </w:rPr>
        <w:t>向</w:t>
      </w:r>
      <w:r>
        <w:rPr>
          <w:rFonts w:hint="eastAsia" w:ascii="宋体" w:hAnsi="宋体"/>
          <w:color w:val="auto"/>
          <w:highlight w:val="none"/>
          <w:lang w:eastAsia="zh-CN"/>
        </w:rPr>
        <w:t>甲方</w:t>
      </w:r>
      <w:r>
        <w:rPr>
          <w:rFonts w:hint="eastAsia" w:ascii="宋体" w:hAnsi="宋体"/>
          <w:color w:val="auto"/>
          <w:highlight w:val="none"/>
        </w:rPr>
        <w:t>提交最终技术方案。</w:t>
      </w:r>
    </w:p>
    <w:p>
      <w:pPr>
        <w:pStyle w:val="4"/>
        <w:numPr>
          <w:ilvl w:val="0"/>
          <w:numId w:val="39"/>
        </w:numPr>
        <w:spacing w:after="0" w:afterLines="0"/>
        <w:ind w:left="425" w:hanging="425"/>
        <w:jc w:val="left"/>
        <w:rPr>
          <w:color w:val="auto"/>
          <w:szCs w:val="24"/>
          <w:highlight w:val="none"/>
        </w:rPr>
      </w:pPr>
      <w:r>
        <w:rPr>
          <w:rFonts w:hint="eastAsia"/>
          <w:color w:val="auto"/>
          <w:szCs w:val="24"/>
          <w:highlight w:val="none"/>
        </w:rPr>
        <w:t>售后服务</w:t>
      </w:r>
    </w:p>
    <w:p>
      <w:pPr>
        <w:spacing w:line="360" w:lineRule="auto"/>
        <w:ind w:firstLine="420" w:firstLineChars="200"/>
        <w:rPr>
          <w:rFonts w:ascii="宋体" w:hAnsi="宋体"/>
          <w:color w:val="auto"/>
          <w:highlight w:val="none"/>
        </w:rPr>
      </w:pPr>
      <w:r>
        <w:rPr>
          <w:rFonts w:hint="eastAsia" w:ascii="宋体" w:hAnsi="宋体"/>
          <w:color w:val="auto"/>
          <w:highlight w:val="none"/>
          <w:lang w:eastAsia="zh-CN"/>
        </w:rPr>
        <w:t>乙方提供的软件</w:t>
      </w:r>
      <w:r>
        <w:rPr>
          <w:rFonts w:hint="eastAsia" w:ascii="宋体" w:hAnsi="宋体"/>
          <w:color w:val="auto"/>
          <w:highlight w:val="none"/>
        </w:rPr>
        <w:t>必须要有以下免费升级和服务条件：自双方代表在项目验收签字之日起的1年内为免费升级和服务期，在此期间内，</w:t>
      </w:r>
      <w:r>
        <w:rPr>
          <w:rFonts w:hint="eastAsia" w:ascii="宋体" w:hAnsi="宋体"/>
          <w:color w:val="auto"/>
          <w:highlight w:val="none"/>
          <w:lang w:eastAsia="zh-CN"/>
        </w:rPr>
        <w:t>乙方</w:t>
      </w:r>
      <w:r>
        <w:rPr>
          <w:rFonts w:hint="eastAsia" w:ascii="宋体" w:hAnsi="宋体"/>
          <w:color w:val="auto"/>
          <w:highlight w:val="none"/>
        </w:rPr>
        <w:t>应负责对其提供的产品（包括购买软件及工具）进行安装调试现场服务，免收任何费用（如维护费、人工费、差旅费等）。</w:t>
      </w:r>
    </w:p>
    <w:p>
      <w:pPr>
        <w:pStyle w:val="4"/>
        <w:numPr>
          <w:ilvl w:val="0"/>
          <w:numId w:val="39"/>
        </w:numPr>
        <w:spacing w:after="0" w:afterLines="0" w:line="360" w:lineRule="auto"/>
        <w:ind w:left="425" w:hanging="425"/>
        <w:jc w:val="left"/>
        <w:rPr>
          <w:rFonts w:hint="eastAsia"/>
          <w:color w:val="auto"/>
          <w:szCs w:val="24"/>
          <w:highlight w:val="none"/>
        </w:rPr>
      </w:pPr>
      <w:r>
        <w:rPr>
          <w:rFonts w:hint="eastAsia"/>
          <w:color w:val="auto"/>
          <w:szCs w:val="24"/>
          <w:highlight w:val="none"/>
        </w:rPr>
        <w:t>质保期</w:t>
      </w:r>
    </w:p>
    <w:p>
      <w:pPr>
        <w:numPr>
          <w:ilvl w:val="1"/>
          <w:numId w:val="41"/>
        </w:numPr>
        <w:spacing w:line="360" w:lineRule="auto"/>
        <w:ind w:left="567" w:hanging="567" w:firstLineChars="0"/>
        <w:rPr>
          <w:rFonts w:hint="eastAsia" w:ascii="宋体" w:hAnsi="宋体" w:eastAsia="宋体" w:cs="Times New Roman"/>
          <w:color w:val="auto"/>
          <w:kern w:val="2"/>
          <w:sz w:val="21"/>
          <w:szCs w:val="24"/>
          <w:highlight w:val="none"/>
        </w:rPr>
      </w:pPr>
      <w:r>
        <w:rPr>
          <w:rFonts w:hint="eastAsia" w:ascii="宋体" w:hAnsi="宋体" w:eastAsia="宋体" w:cs="Times New Roman"/>
          <w:color w:val="auto"/>
          <w:kern w:val="2"/>
          <w:sz w:val="21"/>
          <w:szCs w:val="24"/>
          <w:highlight w:val="none"/>
        </w:rPr>
        <w:t>质保期</w:t>
      </w:r>
      <w:r>
        <w:rPr>
          <w:rFonts w:hint="eastAsia" w:ascii="宋体" w:hAnsi="宋体" w:cs="Times New Roman"/>
          <w:color w:val="auto"/>
          <w:kern w:val="2"/>
          <w:sz w:val="21"/>
          <w:szCs w:val="24"/>
          <w:highlight w:val="none"/>
          <w:lang w:eastAsia="zh-CN"/>
        </w:rPr>
        <w:t>为项目整体验收合格之日起1年</w:t>
      </w:r>
      <w:r>
        <w:rPr>
          <w:rFonts w:hint="eastAsia" w:ascii="宋体" w:hAnsi="宋体" w:eastAsia="宋体" w:cs="Times New Roman"/>
          <w:color w:val="auto"/>
          <w:kern w:val="2"/>
          <w:sz w:val="21"/>
          <w:szCs w:val="24"/>
          <w:highlight w:val="none"/>
        </w:rPr>
        <w:t>（含硬件、软件等），质保期内承诺</w:t>
      </w:r>
      <w:r>
        <w:rPr>
          <w:rFonts w:hint="eastAsia" w:ascii="宋体" w:hAnsi="宋体" w:eastAsia="宋体" w:cs="Times New Roman"/>
          <w:color w:val="auto"/>
          <w:kern w:val="2"/>
          <w:sz w:val="21"/>
          <w:szCs w:val="24"/>
          <w:highlight w:val="none"/>
          <w:lang w:eastAsia="zh-CN"/>
        </w:rPr>
        <w:t>对软件</w:t>
      </w:r>
      <w:r>
        <w:rPr>
          <w:rFonts w:hint="eastAsia" w:ascii="宋体" w:hAnsi="宋体" w:eastAsia="宋体" w:cs="Times New Roman"/>
          <w:color w:val="auto"/>
          <w:kern w:val="2"/>
          <w:sz w:val="21"/>
          <w:szCs w:val="24"/>
          <w:highlight w:val="none"/>
        </w:rPr>
        <w:t>免费升级和服务。期满后，继续向</w:t>
      </w:r>
      <w:r>
        <w:rPr>
          <w:rFonts w:hint="eastAsia" w:ascii="宋体" w:hAnsi="宋体" w:cs="Times New Roman"/>
          <w:color w:val="auto"/>
          <w:kern w:val="2"/>
          <w:sz w:val="21"/>
          <w:szCs w:val="24"/>
          <w:highlight w:val="none"/>
          <w:lang w:eastAsia="zh-CN"/>
        </w:rPr>
        <w:t>甲方</w:t>
      </w:r>
      <w:r>
        <w:rPr>
          <w:rFonts w:hint="eastAsia" w:ascii="宋体" w:hAnsi="宋体" w:eastAsia="宋体" w:cs="Times New Roman"/>
          <w:color w:val="auto"/>
          <w:kern w:val="2"/>
          <w:sz w:val="21"/>
          <w:szCs w:val="24"/>
          <w:highlight w:val="none"/>
        </w:rPr>
        <w:t>提供产品维护、技术支持、产品升级等服务。</w:t>
      </w:r>
    </w:p>
    <w:p>
      <w:pPr>
        <w:numPr>
          <w:ilvl w:val="1"/>
          <w:numId w:val="41"/>
        </w:numPr>
        <w:spacing w:line="360" w:lineRule="auto"/>
        <w:ind w:left="567" w:hanging="567"/>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设备维护期</w:t>
      </w:r>
      <w:r>
        <w:rPr>
          <w:rFonts w:hint="eastAsia" w:ascii="宋体" w:hAnsi="宋体" w:cs="Times New Roman"/>
          <w:color w:val="auto"/>
          <w:sz w:val="21"/>
          <w:szCs w:val="24"/>
          <w:highlight w:val="none"/>
          <w:lang w:val="en-US" w:eastAsia="zh-CN"/>
        </w:rPr>
        <w:t>为项目整体验收合格之日起1年</w:t>
      </w:r>
      <w:r>
        <w:rPr>
          <w:rFonts w:hint="eastAsia" w:ascii="宋体" w:hAnsi="宋体" w:eastAsia="宋体" w:cs="Times New Roman"/>
          <w:color w:val="auto"/>
          <w:sz w:val="21"/>
          <w:szCs w:val="24"/>
          <w:highlight w:val="none"/>
          <w:lang w:val="en-US" w:eastAsia="zh-CN"/>
        </w:rPr>
        <w:t>，</w:t>
      </w:r>
      <w:r>
        <w:rPr>
          <w:rFonts w:hint="eastAsia" w:ascii="宋体" w:hAnsi="宋体" w:cs="Times New Roman"/>
          <w:color w:val="auto"/>
          <w:sz w:val="21"/>
          <w:szCs w:val="24"/>
          <w:highlight w:val="none"/>
        </w:rPr>
        <w:t>维护期内</w:t>
      </w:r>
      <w:r>
        <w:rPr>
          <w:rFonts w:hint="eastAsia" w:ascii="宋体" w:hAnsi="宋体" w:cs="Times New Roman"/>
          <w:color w:val="auto"/>
          <w:sz w:val="21"/>
          <w:szCs w:val="24"/>
          <w:highlight w:val="none"/>
          <w:lang w:val="en-US" w:eastAsia="zh-CN"/>
        </w:rPr>
        <w:t>乙方</w:t>
      </w:r>
      <w:r>
        <w:rPr>
          <w:rFonts w:hint="eastAsia" w:ascii="宋体" w:hAnsi="宋体" w:eastAsia="宋体" w:cs="Times New Roman"/>
          <w:color w:val="auto"/>
          <w:sz w:val="21"/>
          <w:szCs w:val="24"/>
          <w:highlight w:val="none"/>
          <w:lang w:val="en-US" w:eastAsia="zh-CN"/>
        </w:rPr>
        <w:t>对所供货物实行包修、包维护保养，期满后可同时提供终身有偿维修保养服务。</w:t>
      </w:r>
    </w:p>
    <w:p>
      <w:pPr>
        <w:numPr>
          <w:ilvl w:val="1"/>
          <w:numId w:val="41"/>
        </w:numPr>
        <w:spacing w:line="360" w:lineRule="auto"/>
        <w:ind w:left="567" w:hanging="567" w:firstLineChars="0"/>
        <w:rPr>
          <w:rFonts w:hint="eastAsia" w:ascii="宋体" w:hAnsi="宋体" w:eastAsia="宋体" w:cs="Times New Roman"/>
          <w:snapToGrid/>
          <w:color w:val="auto"/>
          <w:kern w:val="2"/>
          <w:sz w:val="21"/>
          <w:szCs w:val="24"/>
          <w:highlight w:val="none"/>
          <w:lang w:val="en-US" w:eastAsia="zh-CN"/>
        </w:rPr>
      </w:pPr>
      <w:r>
        <w:rPr>
          <w:rFonts w:hint="eastAsia" w:ascii="宋体" w:hAnsi="宋体" w:eastAsia="宋体" w:cs="Times New Roman"/>
          <w:color w:val="auto"/>
          <w:sz w:val="21"/>
          <w:szCs w:val="24"/>
          <w:highlight w:val="none"/>
          <w:lang w:val="en-US" w:eastAsia="zh-CN"/>
        </w:rPr>
        <w:t>质保期内，如系统非人为因素出现故障而造成短期停用时，则质保期和免费维修</w:t>
      </w:r>
      <w:r>
        <w:rPr>
          <w:rFonts w:hint="eastAsia" w:ascii="宋体" w:hAnsi="宋体" w:eastAsia="宋体" w:cs="Times New Roman"/>
          <w:snapToGrid/>
          <w:color w:val="auto"/>
          <w:kern w:val="2"/>
          <w:sz w:val="21"/>
          <w:szCs w:val="24"/>
          <w:highlight w:val="none"/>
          <w:lang w:val="en-US" w:eastAsia="zh-CN"/>
        </w:rPr>
        <w:t>期相应顺延。如货物因自身故障致停用时间累计超过20天时，则质保期在状态恢复正常时重新起计或对故障货物予以重新更换。</w:t>
      </w:r>
    </w:p>
    <w:p>
      <w:pPr>
        <w:numPr>
          <w:ilvl w:val="1"/>
          <w:numId w:val="41"/>
        </w:numPr>
        <w:spacing w:line="360" w:lineRule="auto"/>
        <w:ind w:left="567" w:leftChars="0" w:hanging="567" w:firstLineChars="0"/>
        <w:rPr>
          <w:rFonts w:hint="eastAsia" w:ascii="宋体" w:hAnsi="宋体" w:eastAsia="宋体" w:cs="Times New Roman"/>
          <w:snapToGrid/>
          <w:color w:val="auto"/>
          <w:kern w:val="2"/>
          <w:sz w:val="21"/>
          <w:szCs w:val="24"/>
          <w:highlight w:val="none"/>
          <w:lang w:val="en-US" w:eastAsia="zh-CN"/>
        </w:rPr>
      </w:pPr>
      <w:r>
        <w:rPr>
          <w:rFonts w:hint="eastAsia" w:ascii="宋体" w:hAnsi="宋体" w:eastAsia="宋体" w:cs="Times New Roman"/>
          <w:snapToGrid/>
          <w:color w:val="auto"/>
          <w:kern w:val="2"/>
          <w:sz w:val="21"/>
          <w:szCs w:val="24"/>
          <w:highlight w:val="none"/>
          <w:lang w:val="en-US" w:eastAsia="zh-CN"/>
        </w:rPr>
        <w:t>质保期内须提供周期上门免费服务：周期为2个月一次；形式为预约上门，服务内容为周期保养检修、检测系统运行状况、处理使用过程中出现的问题等，并免费提供维修所需的配件及服务。</w:t>
      </w:r>
    </w:p>
    <w:p>
      <w:pPr>
        <w:numPr>
          <w:ilvl w:val="1"/>
          <w:numId w:val="41"/>
        </w:numPr>
        <w:spacing w:line="360" w:lineRule="auto"/>
        <w:ind w:left="567" w:leftChars="0" w:hanging="567"/>
        <w:rPr>
          <w:rFonts w:hint="eastAsia" w:ascii="宋体" w:hAnsi="宋体" w:eastAsia="宋体" w:cs="Times New Roman"/>
          <w:snapToGrid/>
          <w:color w:val="auto"/>
          <w:kern w:val="2"/>
          <w:sz w:val="21"/>
          <w:szCs w:val="24"/>
          <w:highlight w:val="none"/>
          <w:lang w:val="en-US" w:eastAsia="zh-CN"/>
        </w:rPr>
      </w:pPr>
      <w:r>
        <w:rPr>
          <w:rFonts w:hint="eastAsia" w:ascii="宋体" w:hAnsi="宋体" w:cs="Times New Roman"/>
          <w:snapToGrid/>
          <w:color w:val="auto"/>
          <w:kern w:val="2"/>
          <w:sz w:val="21"/>
          <w:szCs w:val="24"/>
          <w:highlight w:val="none"/>
          <w:lang w:val="en-US" w:eastAsia="zh-CN"/>
        </w:rPr>
        <w:t>乙方</w:t>
      </w:r>
      <w:r>
        <w:rPr>
          <w:rFonts w:hint="eastAsia" w:ascii="宋体" w:hAnsi="宋体" w:eastAsia="宋体" w:cs="Times New Roman"/>
          <w:snapToGrid/>
          <w:color w:val="auto"/>
          <w:kern w:val="2"/>
          <w:sz w:val="21"/>
          <w:szCs w:val="24"/>
          <w:highlight w:val="none"/>
          <w:lang w:val="en-US" w:eastAsia="zh-CN"/>
        </w:rPr>
        <w:t>负责向</w:t>
      </w:r>
      <w:r>
        <w:rPr>
          <w:rFonts w:hint="eastAsia" w:ascii="宋体" w:hAnsi="宋体" w:cs="Times New Roman"/>
          <w:snapToGrid/>
          <w:color w:val="auto"/>
          <w:kern w:val="2"/>
          <w:sz w:val="21"/>
          <w:szCs w:val="24"/>
          <w:highlight w:val="none"/>
          <w:lang w:val="en-US" w:eastAsia="zh-CN"/>
        </w:rPr>
        <w:t>甲方</w:t>
      </w:r>
      <w:r>
        <w:rPr>
          <w:rFonts w:hint="eastAsia" w:ascii="宋体" w:hAnsi="宋体" w:eastAsia="宋体" w:cs="Times New Roman"/>
          <w:snapToGrid/>
          <w:color w:val="auto"/>
          <w:kern w:val="2"/>
          <w:sz w:val="21"/>
          <w:szCs w:val="24"/>
          <w:highlight w:val="none"/>
          <w:lang w:val="en-US" w:eastAsia="zh-CN"/>
        </w:rPr>
        <w:t>提供现场操作及必要的调试维护培训。</w:t>
      </w:r>
    </w:p>
    <w:p>
      <w:pPr>
        <w:numPr>
          <w:ilvl w:val="1"/>
          <w:numId w:val="41"/>
        </w:numPr>
        <w:spacing w:line="360" w:lineRule="auto"/>
        <w:ind w:left="567" w:leftChars="0" w:hanging="567"/>
        <w:rPr>
          <w:rFonts w:hint="eastAsia" w:ascii="宋体" w:hAnsi="宋体" w:eastAsia="宋体" w:cs="Times New Roman"/>
          <w:snapToGrid/>
          <w:color w:val="auto"/>
          <w:kern w:val="2"/>
          <w:sz w:val="21"/>
          <w:szCs w:val="24"/>
          <w:highlight w:val="none"/>
          <w:lang w:val="en-US" w:eastAsia="zh-CN"/>
        </w:rPr>
      </w:pPr>
      <w:r>
        <w:rPr>
          <w:rFonts w:hint="eastAsia" w:ascii="宋体" w:hAnsi="宋体" w:cs="Times New Roman"/>
          <w:snapToGrid/>
          <w:color w:val="auto"/>
          <w:kern w:val="2"/>
          <w:sz w:val="21"/>
          <w:szCs w:val="24"/>
          <w:highlight w:val="none"/>
          <w:lang w:val="en-US" w:eastAsia="zh-CN"/>
        </w:rPr>
        <w:t>乙方</w:t>
      </w:r>
      <w:r>
        <w:rPr>
          <w:rFonts w:hint="eastAsia" w:ascii="宋体" w:hAnsi="宋体" w:eastAsia="宋体" w:cs="Times New Roman"/>
          <w:snapToGrid/>
          <w:color w:val="auto"/>
          <w:kern w:val="2"/>
          <w:sz w:val="21"/>
          <w:szCs w:val="24"/>
          <w:highlight w:val="none"/>
          <w:lang w:val="en-US" w:eastAsia="zh-CN"/>
        </w:rPr>
        <w:t>应设有稳定可靠的售后服务机构或同类合作机构。提供常设7天×24小时热线服务和长期的免费技术支持。对</w:t>
      </w:r>
      <w:r>
        <w:rPr>
          <w:rFonts w:hint="eastAsia" w:ascii="宋体" w:hAnsi="宋体" w:cs="Times New Roman"/>
          <w:snapToGrid/>
          <w:color w:val="auto"/>
          <w:kern w:val="2"/>
          <w:sz w:val="21"/>
          <w:szCs w:val="24"/>
          <w:highlight w:val="none"/>
          <w:lang w:val="en-US" w:eastAsia="zh-CN"/>
        </w:rPr>
        <w:t>甲方</w:t>
      </w:r>
      <w:r>
        <w:rPr>
          <w:rFonts w:hint="eastAsia" w:ascii="宋体" w:hAnsi="宋体" w:eastAsia="宋体" w:cs="Times New Roman"/>
          <w:snapToGrid/>
          <w:color w:val="auto"/>
          <w:kern w:val="2"/>
          <w:sz w:val="21"/>
          <w:szCs w:val="24"/>
          <w:highlight w:val="none"/>
          <w:lang w:val="en-US" w:eastAsia="zh-CN"/>
        </w:rPr>
        <w:t>的售后服务通知，</w:t>
      </w:r>
      <w:r>
        <w:rPr>
          <w:rFonts w:hint="eastAsia" w:ascii="宋体" w:hAnsi="宋体" w:cs="Times New Roman"/>
          <w:snapToGrid/>
          <w:color w:val="auto"/>
          <w:kern w:val="2"/>
          <w:sz w:val="21"/>
          <w:szCs w:val="24"/>
          <w:highlight w:val="none"/>
          <w:lang w:val="en-US" w:eastAsia="zh-CN"/>
        </w:rPr>
        <w:t>乙方</w:t>
      </w:r>
      <w:r>
        <w:rPr>
          <w:rFonts w:hint="eastAsia" w:ascii="宋体" w:hAnsi="宋体" w:eastAsia="宋体" w:cs="Times New Roman"/>
          <w:snapToGrid/>
          <w:color w:val="auto"/>
          <w:kern w:val="2"/>
          <w:sz w:val="21"/>
          <w:szCs w:val="24"/>
          <w:highlight w:val="none"/>
          <w:lang w:val="en-US" w:eastAsia="zh-CN"/>
        </w:rPr>
        <w:t>接报后1小时内响应，4小时内到达现场，24小时内处理完毕。如24小时内未处理完毕，</w:t>
      </w:r>
      <w:r>
        <w:rPr>
          <w:rFonts w:hint="eastAsia" w:ascii="宋体" w:hAnsi="宋体" w:cs="Times New Roman"/>
          <w:snapToGrid/>
          <w:color w:val="auto"/>
          <w:kern w:val="2"/>
          <w:sz w:val="21"/>
          <w:szCs w:val="24"/>
          <w:highlight w:val="none"/>
          <w:lang w:val="en-US" w:eastAsia="zh-CN"/>
        </w:rPr>
        <w:t>乙方</w:t>
      </w:r>
      <w:r>
        <w:rPr>
          <w:rFonts w:hint="eastAsia" w:ascii="宋体" w:hAnsi="宋体" w:eastAsia="宋体" w:cs="Times New Roman"/>
          <w:snapToGrid/>
          <w:color w:val="auto"/>
          <w:kern w:val="2"/>
          <w:sz w:val="21"/>
          <w:szCs w:val="24"/>
          <w:highlight w:val="none"/>
          <w:lang w:val="en-US" w:eastAsia="zh-CN"/>
        </w:rPr>
        <w:t>须提供相同档次备用设备予</w:t>
      </w:r>
      <w:r>
        <w:rPr>
          <w:rFonts w:hint="eastAsia" w:ascii="宋体" w:hAnsi="宋体" w:cs="Times New Roman"/>
          <w:snapToGrid/>
          <w:color w:val="auto"/>
          <w:kern w:val="2"/>
          <w:sz w:val="21"/>
          <w:szCs w:val="24"/>
          <w:highlight w:val="none"/>
          <w:lang w:val="en-US" w:eastAsia="zh-CN"/>
        </w:rPr>
        <w:t>甲方</w:t>
      </w:r>
      <w:r>
        <w:rPr>
          <w:rFonts w:hint="eastAsia" w:ascii="宋体" w:hAnsi="宋体" w:eastAsia="宋体" w:cs="Times New Roman"/>
          <w:snapToGrid/>
          <w:color w:val="auto"/>
          <w:kern w:val="2"/>
          <w:sz w:val="21"/>
          <w:szCs w:val="24"/>
          <w:highlight w:val="none"/>
          <w:lang w:val="en-US" w:eastAsia="zh-CN"/>
        </w:rPr>
        <w:t>临时使用或采取应急措施解决，不得影响</w:t>
      </w:r>
      <w:r>
        <w:rPr>
          <w:rFonts w:hint="eastAsia" w:ascii="宋体" w:hAnsi="宋体" w:cs="Times New Roman"/>
          <w:snapToGrid/>
          <w:color w:val="auto"/>
          <w:kern w:val="2"/>
          <w:sz w:val="21"/>
          <w:szCs w:val="24"/>
          <w:highlight w:val="none"/>
          <w:lang w:val="en-US" w:eastAsia="zh-CN"/>
        </w:rPr>
        <w:t>甲方</w:t>
      </w:r>
      <w:r>
        <w:rPr>
          <w:rFonts w:hint="eastAsia" w:ascii="宋体" w:hAnsi="宋体" w:eastAsia="宋体" w:cs="Times New Roman"/>
          <w:snapToGrid/>
          <w:color w:val="auto"/>
          <w:kern w:val="2"/>
          <w:sz w:val="21"/>
          <w:szCs w:val="24"/>
          <w:highlight w:val="none"/>
          <w:lang w:val="en-US" w:eastAsia="zh-CN"/>
        </w:rPr>
        <w:t>的正常工作业务。</w:t>
      </w:r>
    </w:p>
    <w:p>
      <w:pPr>
        <w:numPr>
          <w:ilvl w:val="1"/>
          <w:numId w:val="41"/>
        </w:numPr>
        <w:spacing w:line="360" w:lineRule="auto"/>
        <w:ind w:left="567" w:leftChars="0" w:hanging="567"/>
        <w:rPr>
          <w:rFonts w:hint="eastAsia" w:ascii="宋体" w:hAnsi="宋体" w:eastAsia="宋体" w:cs="Times New Roman"/>
          <w:snapToGrid/>
          <w:color w:val="auto"/>
          <w:kern w:val="2"/>
          <w:sz w:val="21"/>
          <w:szCs w:val="24"/>
          <w:highlight w:val="none"/>
          <w:lang w:val="en-US" w:eastAsia="zh-CN"/>
        </w:rPr>
      </w:pPr>
      <w:r>
        <w:rPr>
          <w:rFonts w:hint="eastAsia" w:ascii="宋体" w:hAnsi="宋体" w:eastAsia="宋体" w:cs="Times New Roman"/>
          <w:snapToGrid/>
          <w:color w:val="auto"/>
          <w:kern w:val="2"/>
          <w:sz w:val="21"/>
          <w:szCs w:val="24"/>
          <w:highlight w:val="none"/>
          <w:lang w:val="en-US" w:eastAsia="zh-CN"/>
        </w:rPr>
        <w:t>如</w:t>
      </w:r>
      <w:r>
        <w:rPr>
          <w:rFonts w:hint="eastAsia" w:ascii="宋体" w:hAnsi="宋体" w:cs="Times New Roman"/>
          <w:snapToGrid/>
          <w:color w:val="auto"/>
          <w:kern w:val="2"/>
          <w:sz w:val="21"/>
          <w:szCs w:val="24"/>
          <w:highlight w:val="none"/>
          <w:lang w:val="en-US" w:eastAsia="zh-CN"/>
        </w:rPr>
        <w:t>甲方</w:t>
      </w:r>
      <w:r>
        <w:rPr>
          <w:rFonts w:hint="eastAsia" w:ascii="宋体" w:hAnsi="宋体" w:eastAsia="宋体" w:cs="Times New Roman"/>
          <w:snapToGrid/>
          <w:color w:val="auto"/>
          <w:kern w:val="2"/>
          <w:sz w:val="21"/>
          <w:szCs w:val="24"/>
          <w:highlight w:val="none"/>
          <w:lang w:val="en-US" w:eastAsia="zh-CN"/>
        </w:rPr>
        <w:t>认为系统存在不足之处，可书面向</w:t>
      </w:r>
      <w:r>
        <w:rPr>
          <w:rFonts w:hint="eastAsia" w:ascii="宋体" w:hAnsi="宋体" w:cs="Times New Roman"/>
          <w:snapToGrid/>
          <w:color w:val="auto"/>
          <w:kern w:val="2"/>
          <w:sz w:val="21"/>
          <w:szCs w:val="24"/>
          <w:highlight w:val="none"/>
          <w:lang w:val="en-US" w:eastAsia="zh-CN"/>
        </w:rPr>
        <w:t>乙方</w:t>
      </w:r>
      <w:r>
        <w:rPr>
          <w:rFonts w:hint="eastAsia" w:ascii="宋体" w:hAnsi="宋体" w:eastAsia="宋体" w:cs="Times New Roman"/>
          <w:snapToGrid/>
          <w:color w:val="auto"/>
          <w:kern w:val="2"/>
          <w:sz w:val="21"/>
          <w:szCs w:val="24"/>
          <w:highlight w:val="none"/>
          <w:lang w:val="en-US" w:eastAsia="zh-CN"/>
        </w:rPr>
        <w:t>提出申请。</w:t>
      </w:r>
      <w:r>
        <w:rPr>
          <w:rFonts w:hint="eastAsia" w:ascii="宋体" w:hAnsi="宋体" w:cs="Times New Roman"/>
          <w:snapToGrid/>
          <w:color w:val="auto"/>
          <w:kern w:val="2"/>
          <w:sz w:val="21"/>
          <w:szCs w:val="24"/>
          <w:highlight w:val="none"/>
          <w:lang w:val="en-US" w:eastAsia="zh-CN"/>
        </w:rPr>
        <w:t>乙方</w:t>
      </w:r>
      <w:r>
        <w:rPr>
          <w:rFonts w:hint="eastAsia" w:ascii="宋体" w:hAnsi="宋体" w:eastAsia="宋体" w:cs="Times New Roman"/>
          <w:snapToGrid/>
          <w:color w:val="auto"/>
          <w:kern w:val="2"/>
          <w:sz w:val="21"/>
          <w:szCs w:val="24"/>
          <w:highlight w:val="none"/>
          <w:lang w:val="en-US" w:eastAsia="zh-CN"/>
        </w:rPr>
        <w:t>应按</w:t>
      </w:r>
      <w:r>
        <w:rPr>
          <w:rFonts w:hint="eastAsia" w:ascii="宋体" w:hAnsi="宋体" w:cs="Times New Roman"/>
          <w:snapToGrid/>
          <w:color w:val="auto"/>
          <w:kern w:val="2"/>
          <w:sz w:val="21"/>
          <w:szCs w:val="24"/>
          <w:highlight w:val="none"/>
          <w:lang w:val="en-US" w:eastAsia="zh-CN"/>
        </w:rPr>
        <w:t>甲方</w:t>
      </w:r>
      <w:r>
        <w:rPr>
          <w:rFonts w:hint="eastAsia" w:ascii="宋体" w:hAnsi="宋体" w:eastAsia="宋体" w:cs="Times New Roman"/>
          <w:snapToGrid/>
          <w:color w:val="auto"/>
          <w:kern w:val="2"/>
          <w:sz w:val="21"/>
          <w:szCs w:val="24"/>
          <w:highlight w:val="none"/>
          <w:lang w:val="en-US" w:eastAsia="zh-CN"/>
        </w:rPr>
        <w:t>的申请，免费为系统提供适应性修改，以满足</w:t>
      </w:r>
      <w:r>
        <w:rPr>
          <w:rFonts w:hint="eastAsia" w:ascii="宋体" w:hAnsi="宋体" w:cs="Times New Roman"/>
          <w:snapToGrid/>
          <w:color w:val="auto"/>
          <w:kern w:val="2"/>
          <w:sz w:val="21"/>
          <w:szCs w:val="24"/>
          <w:highlight w:val="none"/>
          <w:lang w:val="en-US" w:eastAsia="zh-CN"/>
        </w:rPr>
        <w:t>甲方</w:t>
      </w:r>
      <w:r>
        <w:rPr>
          <w:rFonts w:hint="eastAsia" w:ascii="宋体" w:hAnsi="宋体" w:eastAsia="宋体" w:cs="Times New Roman"/>
          <w:snapToGrid/>
          <w:color w:val="auto"/>
          <w:kern w:val="2"/>
          <w:sz w:val="21"/>
          <w:szCs w:val="24"/>
          <w:highlight w:val="none"/>
          <w:lang w:val="en-US" w:eastAsia="zh-CN"/>
        </w:rPr>
        <w:t>的使用需求。</w:t>
      </w:r>
    </w:p>
    <w:p>
      <w:pPr>
        <w:numPr>
          <w:ilvl w:val="1"/>
          <w:numId w:val="41"/>
        </w:numPr>
        <w:spacing w:line="360" w:lineRule="auto"/>
        <w:ind w:left="567" w:leftChars="0" w:hanging="567"/>
        <w:rPr>
          <w:rFonts w:hint="eastAsia" w:ascii="宋体" w:hAnsi="宋体"/>
          <w:color w:val="auto"/>
          <w:highlight w:val="none"/>
          <w:lang w:val="en-US" w:eastAsia="zh-CN"/>
        </w:rPr>
      </w:pPr>
      <w:r>
        <w:rPr>
          <w:rFonts w:hint="eastAsia" w:ascii="宋体" w:hAnsi="宋体" w:cs="Times New Roman"/>
          <w:snapToGrid/>
          <w:color w:val="auto"/>
          <w:kern w:val="2"/>
          <w:sz w:val="21"/>
          <w:szCs w:val="24"/>
          <w:highlight w:val="none"/>
          <w:lang w:val="en-US" w:eastAsia="zh-CN"/>
        </w:rPr>
        <w:t>乙方</w:t>
      </w:r>
      <w:r>
        <w:rPr>
          <w:rFonts w:hint="eastAsia" w:ascii="宋体" w:hAnsi="宋体" w:eastAsia="宋体" w:cs="Times New Roman"/>
          <w:snapToGrid/>
          <w:color w:val="auto"/>
          <w:kern w:val="2"/>
          <w:sz w:val="21"/>
          <w:szCs w:val="24"/>
          <w:highlight w:val="none"/>
          <w:lang w:val="en-US" w:eastAsia="zh-CN"/>
        </w:rPr>
        <w:t>应对系统运行的稳定性负责。负责免费修改出错的软件系统。若</w:t>
      </w:r>
      <w:r>
        <w:rPr>
          <w:rFonts w:hint="eastAsia" w:ascii="宋体" w:hAnsi="宋体" w:cs="Times New Roman"/>
          <w:snapToGrid/>
          <w:color w:val="auto"/>
          <w:kern w:val="2"/>
          <w:sz w:val="21"/>
          <w:szCs w:val="24"/>
          <w:highlight w:val="none"/>
          <w:lang w:val="en-US" w:eastAsia="zh-CN"/>
        </w:rPr>
        <w:t>乙方</w:t>
      </w:r>
      <w:r>
        <w:rPr>
          <w:rFonts w:hint="eastAsia" w:ascii="宋体" w:hAnsi="宋体" w:eastAsia="宋体" w:cs="Times New Roman"/>
          <w:snapToGrid/>
          <w:color w:val="auto"/>
          <w:kern w:val="2"/>
          <w:sz w:val="21"/>
          <w:szCs w:val="24"/>
          <w:highlight w:val="none"/>
          <w:lang w:val="en-US" w:eastAsia="zh-CN"/>
        </w:rPr>
        <w:t>承担的软硬件系统在功能上、性能上达不到设计要求，</w:t>
      </w:r>
      <w:r>
        <w:rPr>
          <w:rFonts w:hint="eastAsia" w:ascii="宋体" w:hAnsi="宋体" w:cs="Times New Roman"/>
          <w:snapToGrid/>
          <w:color w:val="auto"/>
          <w:kern w:val="2"/>
          <w:sz w:val="21"/>
          <w:szCs w:val="24"/>
          <w:highlight w:val="none"/>
          <w:lang w:val="en-US" w:eastAsia="zh-CN"/>
        </w:rPr>
        <w:t>甲方</w:t>
      </w:r>
      <w:r>
        <w:rPr>
          <w:rFonts w:hint="eastAsia" w:ascii="宋体" w:hAnsi="宋体" w:eastAsia="宋体" w:cs="Times New Roman"/>
          <w:snapToGrid/>
          <w:color w:val="auto"/>
          <w:kern w:val="2"/>
          <w:sz w:val="21"/>
          <w:szCs w:val="24"/>
          <w:highlight w:val="none"/>
          <w:lang w:val="en-US" w:eastAsia="zh-CN"/>
        </w:rPr>
        <w:t>有权要求</w:t>
      </w:r>
      <w:r>
        <w:rPr>
          <w:rFonts w:hint="eastAsia" w:ascii="宋体" w:hAnsi="宋体" w:cs="Times New Roman"/>
          <w:snapToGrid/>
          <w:color w:val="auto"/>
          <w:kern w:val="2"/>
          <w:sz w:val="21"/>
          <w:szCs w:val="24"/>
          <w:highlight w:val="none"/>
          <w:lang w:val="en-US" w:eastAsia="zh-CN"/>
        </w:rPr>
        <w:t>乙方</w:t>
      </w:r>
      <w:r>
        <w:rPr>
          <w:rFonts w:hint="eastAsia" w:ascii="宋体" w:hAnsi="宋体" w:eastAsia="宋体" w:cs="Times New Roman"/>
          <w:snapToGrid/>
          <w:color w:val="auto"/>
          <w:kern w:val="2"/>
          <w:sz w:val="21"/>
          <w:szCs w:val="24"/>
          <w:highlight w:val="none"/>
          <w:lang w:val="en-US" w:eastAsia="zh-CN"/>
        </w:rPr>
        <w:t>进行及时完善的修改。同时，若系统出现故障，</w:t>
      </w:r>
      <w:r>
        <w:rPr>
          <w:rFonts w:hint="eastAsia" w:ascii="宋体" w:hAnsi="宋体" w:cs="Times New Roman"/>
          <w:snapToGrid/>
          <w:color w:val="auto"/>
          <w:kern w:val="2"/>
          <w:sz w:val="21"/>
          <w:szCs w:val="24"/>
          <w:highlight w:val="none"/>
          <w:lang w:val="en-US" w:eastAsia="zh-CN"/>
        </w:rPr>
        <w:t>乙方</w:t>
      </w:r>
      <w:r>
        <w:rPr>
          <w:rFonts w:hint="eastAsia" w:ascii="宋体" w:hAnsi="宋体" w:eastAsia="宋体" w:cs="Times New Roman"/>
          <w:snapToGrid/>
          <w:color w:val="auto"/>
          <w:kern w:val="2"/>
          <w:sz w:val="21"/>
          <w:szCs w:val="24"/>
          <w:highlight w:val="none"/>
          <w:lang w:val="en-US" w:eastAsia="zh-CN"/>
        </w:rPr>
        <w:t>应协助</w:t>
      </w:r>
      <w:r>
        <w:rPr>
          <w:rFonts w:hint="eastAsia" w:ascii="宋体" w:hAnsi="宋体" w:cs="Times New Roman"/>
          <w:snapToGrid/>
          <w:color w:val="auto"/>
          <w:kern w:val="2"/>
          <w:sz w:val="21"/>
          <w:szCs w:val="24"/>
          <w:highlight w:val="none"/>
          <w:lang w:val="en-US" w:eastAsia="zh-CN"/>
        </w:rPr>
        <w:t>甲方</w:t>
      </w:r>
      <w:r>
        <w:rPr>
          <w:rFonts w:hint="eastAsia" w:ascii="宋体" w:hAnsi="宋体" w:eastAsia="宋体" w:cs="Times New Roman"/>
          <w:snapToGrid/>
          <w:color w:val="auto"/>
          <w:kern w:val="2"/>
          <w:sz w:val="21"/>
          <w:szCs w:val="24"/>
          <w:highlight w:val="none"/>
          <w:lang w:val="en-US" w:eastAsia="zh-CN"/>
        </w:rPr>
        <w:t>找出故障原因，如网络故障、数据库故障、线路故障、计算机故障、软件故障等。</w:t>
      </w:r>
    </w:p>
    <w:p>
      <w:pPr>
        <w:pStyle w:val="4"/>
        <w:numPr>
          <w:ilvl w:val="0"/>
          <w:numId w:val="39"/>
        </w:numPr>
        <w:spacing w:after="0" w:afterLines="0" w:line="360" w:lineRule="auto"/>
        <w:ind w:left="425" w:hanging="425"/>
        <w:jc w:val="left"/>
        <w:rPr>
          <w:rFonts w:hint="eastAsia"/>
          <w:color w:val="auto"/>
          <w:szCs w:val="24"/>
          <w:highlight w:val="none"/>
        </w:rPr>
      </w:pPr>
      <w:r>
        <w:rPr>
          <w:rFonts w:hint="eastAsia"/>
          <w:color w:val="auto"/>
          <w:szCs w:val="24"/>
          <w:highlight w:val="none"/>
        </w:rPr>
        <w:t>培训服务要求</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在项目的实施过程中，</w:t>
      </w:r>
      <w:r>
        <w:rPr>
          <w:rFonts w:hint="eastAsia" w:ascii="宋体" w:hAnsi="宋体"/>
          <w:color w:val="auto"/>
          <w:kern w:val="0"/>
          <w:highlight w:val="none"/>
          <w:lang w:eastAsia="zh-CN"/>
        </w:rPr>
        <w:t>乙方需安排</w:t>
      </w:r>
      <w:r>
        <w:rPr>
          <w:rFonts w:hint="eastAsia" w:ascii="宋体" w:hAnsi="宋体"/>
          <w:color w:val="auto"/>
          <w:kern w:val="0"/>
          <w:highlight w:val="none"/>
        </w:rPr>
        <w:t>厂商为</w:t>
      </w:r>
      <w:r>
        <w:rPr>
          <w:rFonts w:hint="eastAsia" w:ascii="宋体" w:hAnsi="宋体"/>
          <w:color w:val="auto"/>
          <w:kern w:val="0"/>
          <w:highlight w:val="none"/>
          <w:lang w:eastAsia="zh-CN"/>
        </w:rPr>
        <w:t>用户</w:t>
      </w:r>
      <w:r>
        <w:rPr>
          <w:rFonts w:hint="eastAsia" w:ascii="宋体" w:hAnsi="宋体"/>
          <w:color w:val="auto"/>
          <w:kern w:val="0"/>
          <w:highlight w:val="none"/>
        </w:rPr>
        <w:t>提供系统管理、最终用户培训，并根据使用的需求设定相应的培训计划，从而保证系统能够正常稳定地运行。具体培训项目和课程由双方共同确认。培训工作将使用升级后的新系统测试环境作为模拟应用系统，以便</w:t>
      </w:r>
      <w:r>
        <w:rPr>
          <w:rFonts w:hint="eastAsia" w:ascii="宋体" w:hAnsi="宋体"/>
          <w:color w:val="auto"/>
          <w:kern w:val="0"/>
          <w:highlight w:val="none"/>
          <w:lang w:eastAsia="zh-CN"/>
        </w:rPr>
        <w:t>用户</w:t>
      </w:r>
      <w:r>
        <w:rPr>
          <w:rFonts w:hint="eastAsia" w:ascii="宋体" w:hAnsi="宋体"/>
          <w:color w:val="auto"/>
          <w:kern w:val="0"/>
          <w:highlight w:val="none"/>
        </w:rPr>
        <w:t>系统管理人员能够在真实应用环境下学习系统的操作，以提高学习的速度和质量，同时也能够提供一个集中测试的机会。</w:t>
      </w:r>
    </w:p>
    <w:p>
      <w:pPr>
        <w:numPr>
          <w:ilvl w:val="1"/>
          <w:numId w:val="42"/>
        </w:numPr>
        <w:spacing w:line="360" w:lineRule="auto"/>
        <w:ind w:left="850" w:hanging="453"/>
        <w:rPr>
          <w:rFonts w:ascii="宋体" w:hAnsi="宋体"/>
          <w:b/>
          <w:color w:val="auto"/>
          <w:kern w:val="0"/>
          <w:highlight w:val="none"/>
        </w:rPr>
      </w:pPr>
      <w:r>
        <w:rPr>
          <w:rFonts w:hint="eastAsia" w:ascii="宋体" w:hAnsi="宋体"/>
          <w:b/>
          <w:color w:val="auto"/>
          <w:kern w:val="0"/>
          <w:highlight w:val="none"/>
        </w:rPr>
        <w:t>管理员培训</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目的是让系统管理员掌握系统的新功能，具备系统管理的正常运行，常见故障的分析、判断和处理能力，达到熟练掌握系统中操作、使用和维护的目的。培训形式为项目实施过程中</w:t>
      </w:r>
      <w:r>
        <w:rPr>
          <w:rFonts w:hint="eastAsia" w:ascii="宋体" w:hAnsi="宋体"/>
          <w:color w:val="auto"/>
          <w:kern w:val="0"/>
          <w:highlight w:val="none"/>
          <w:lang w:eastAsia="zh-CN"/>
        </w:rPr>
        <w:t>的培训</w:t>
      </w:r>
      <w:r>
        <w:rPr>
          <w:rFonts w:hint="eastAsia" w:ascii="宋体" w:hAnsi="宋体"/>
          <w:color w:val="auto"/>
          <w:kern w:val="0"/>
          <w:highlight w:val="none"/>
        </w:rPr>
        <w:t>、现场面授</w:t>
      </w:r>
      <w:r>
        <w:rPr>
          <w:rFonts w:hint="eastAsia" w:ascii="宋体" w:hAnsi="宋体"/>
          <w:color w:val="auto"/>
          <w:kern w:val="0"/>
          <w:highlight w:val="none"/>
          <w:lang w:eastAsia="zh-CN"/>
        </w:rPr>
        <w:t>培训</w:t>
      </w:r>
      <w:r>
        <w:rPr>
          <w:rFonts w:hint="eastAsia" w:ascii="宋体" w:hAnsi="宋体"/>
          <w:color w:val="auto"/>
          <w:kern w:val="0"/>
          <w:highlight w:val="none"/>
        </w:rPr>
        <w:t>两种，课时不得少于5个工作日，保证管理人员能够熟练应用本系统。</w:t>
      </w:r>
    </w:p>
    <w:p>
      <w:pPr>
        <w:numPr>
          <w:ilvl w:val="1"/>
          <w:numId w:val="42"/>
        </w:numPr>
        <w:spacing w:line="360" w:lineRule="auto"/>
        <w:ind w:left="850" w:hanging="453"/>
        <w:rPr>
          <w:rFonts w:hint="eastAsia" w:ascii="宋体" w:hAnsi="宋体"/>
          <w:b/>
          <w:color w:val="auto"/>
          <w:kern w:val="0"/>
          <w:highlight w:val="none"/>
        </w:rPr>
      </w:pPr>
      <w:r>
        <w:rPr>
          <w:rFonts w:hint="eastAsia" w:ascii="宋体" w:hAnsi="宋体"/>
          <w:b/>
          <w:color w:val="auto"/>
          <w:kern w:val="0"/>
          <w:highlight w:val="none"/>
        </w:rPr>
        <w:t>关键用户培训</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目的是让公司关键用户能够掌握对关键的业务操作，熟悉档案系统功能、使用、相关设置方法，具备对业务出现常见的故障分析、判断和处理能力。培训形式为现场面授，课时不得少于3个工作日，保证使用用户能熟练使用本系统。</w:t>
      </w:r>
    </w:p>
    <w:p>
      <w:pPr>
        <w:numPr>
          <w:ilvl w:val="1"/>
          <w:numId w:val="42"/>
        </w:numPr>
        <w:spacing w:line="360" w:lineRule="auto"/>
        <w:ind w:left="850" w:hanging="453"/>
        <w:rPr>
          <w:rFonts w:hint="eastAsia" w:ascii="宋体" w:hAnsi="宋体"/>
          <w:b/>
          <w:color w:val="auto"/>
          <w:kern w:val="0"/>
          <w:highlight w:val="none"/>
        </w:rPr>
      </w:pPr>
      <w:r>
        <w:rPr>
          <w:rFonts w:hint="eastAsia" w:ascii="宋体" w:hAnsi="宋体"/>
          <w:b/>
          <w:color w:val="auto"/>
          <w:kern w:val="0"/>
          <w:highlight w:val="none"/>
        </w:rPr>
        <w:t>一般用户培训</w:t>
      </w:r>
    </w:p>
    <w:p>
      <w:pPr>
        <w:spacing w:line="360" w:lineRule="auto"/>
        <w:ind w:firstLine="420" w:firstLineChars="200"/>
        <w:rPr>
          <w:rFonts w:ascii="宋体" w:hAnsi="宋体"/>
          <w:color w:val="auto"/>
          <w:kern w:val="0"/>
          <w:highlight w:val="none"/>
        </w:rPr>
      </w:pPr>
      <w:r>
        <w:rPr>
          <w:rFonts w:hint="eastAsia" w:ascii="宋体" w:hAnsi="宋体"/>
          <w:color w:val="auto"/>
          <w:highlight w:val="none"/>
        </w:rPr>
        <w:t>一般用户培训采用集中分批培训的方式</w:t>
      </w:r>
      <w:r>
        <w:rPr>
          <w:rFonts w:hint="eastAsia" w:ascii="宋体" w:hAnsi="宋体"/>
          <w:color w:val="auto"/>
          <w:kern w:val="0"/>
          <w:highlight w:val="none"/>
        </w:rPr>
        <w:t>，在集中的时间段内、集中的地点，完成对办公系统使用人员的培训活动。培训形式为现场面授，课时不得少于2个工作日。双方共同协商，确认最终需要参加培训人员的名单以及培训地点。根据人员名单，制定《档案系统培训课时安排表》。</w:t>
      </w:r>
    </w:p>
    <w:p>
      <w:pPr>
        <w:numPr>
          <w:ilvl w:val="0"/>
          <w:numId w:val="38"/>
        </w:numPr>
        <w:tabs>
          <w:tab w:val="left" w:pos="426"/>
          <w:tab w:val="clear" w:pos="420"/>
        </w:tabs>
        <w:autoSpaceDE w:val="0"/>
        <w:autoSpaceDN w:val="0"/>
        <w:adjustRightInd w:val="0"/>
        <w:spacing w:line="360" w:lineRule="auto"/>
        <w:jc w:val="left"/>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项目其他要求</w:t>
      </w:r>
    </w:p>
    <w:p>
      <w:pPr>
        <w:pStyle w:val="4"/>
        <w:numPr>
          <w:ilvl w:val="0"/>
          <w:numId w:val="43"/>
        </w:numPr>
        <w:spacing w:after="0" w:afterLines="0"/>
        <w:ind w:left="0" w:firstLine="425"/>
        <w:jc w:val="left"/>
        <w:rPr>
          <w:rFonts w:hint="eastAsia"/>
          <w:color w:val="auto"/>
          <w:szCs w:val="24"/>
          <w:highlight w:val="none"/>
        </w:rPr>
      </w:pPr>
      <w:r>
        <w:rPr>
          <w:rFonts w:hint="eastAsia"/>
          <w:color w:val="auto"/>
          <w:szCs w:val="24"/>
          <w:highlight w:val="none"/>
        </w:rPr>
        <w:t>保密要求</w:t>
      </w:r>
    </w:p>
    <w:p>
      <w:pPr>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lang w:eastAsia="zh-CN"/>
        </w:rPr>
        <w:t>乙方</w:t>
      </w:r>
      <w:r>
        <w:rPr>
          <w:rFonts w:hint="eastAsia" w:ascii="宋体" w:hAnsi="宋体"/>
          <w:color w:val="auto"/>
          <w:kern w:val="0"/>
          <w:szCs w:val="21"/>
          <w:highlight w:val="none"/>
        </w:rPr>
        <w:t>应遵守</w:t>
      </w:r>
      <w:r>
        <w:rPr>
          <w:rFonts w:hint="eastAsia" w:ascii="宋体" w:hAnsi="宋体"/>
          <w:color w:val="auto"/>
          <w:kern w:val="0"/>
          <w:szCs w:val="21"/>
          <w:highlight w:val="none"/>
          <w:lang w:eastAsia="zh-CN"/>
        </w:rPr>
        <w:t>招标人</w:t>
      </w:r>
      <w:r>
        <w:rPr>
          <w:rFonts w:hint="eastAsia" w:ascii="宋体" w:hAnsi="宋体"/>
          <w:color w:val="auto"/>
          <w:kern w:val="0"/>
          <w:szCs w:val="21"/>
          <w:highlight w:val="none"/>
        </w:rPr>
        <w:t>的保密规定，对项目涉及商业条款、组织机构信息、系统架构及数据流程信息、运行信息等本项目的产出内容予以保密。未经</w:t>
      </w:r>
      <w:r>
        <w:rPr>
          <w:rFonts w:hint="eastAsia" w:ascii="宋体" w:hAnsi="宋体"/>
          <w:color w:val="auto"/>
          <w:kern w:val="0"/>
          <w:szCs w:val="21"/>
          <w:highlight w:val="none"/>
          <w:lang w:eastAsia="zh-CN"/>
        </w:rPr>
        <w:t>甲方</w:t>
      </w:r>
      <w:r>
        <w:rPr>
          <w:rFonts w:hint="eastAsia" w:ascii="宋体" w:hAnsi="宋体"/>
          <w:color w:val="auto"/>
          <w:kern w:val="0"/>
          <w:szCs w:val="21"/>
          <w:highlight w:val="none"/>
        </w:rPr>
        <w:t>书面同意，不得向任何第三方以任何名义提供</w:t>
      </w:r>
      <w:r>
        <w:rPr>
          <w:rFonts w:hint="eastAsia" w:ascii="宋体" w:hAnsi="宋体"/>
          <w:color w:val="auto"/>
          <w:kern w:val="0"/>
          <w:szCs w:val="21"/>
          <w:highlight w:val="none"/>
          <w:lang w:eastAsia="zh-CN"/>
        </w:rPr>
        <w:t>甲方</w:t>
      </w:r>
      <w:r>
        <w:rPr>
          <w:rFonts w:hint="eastAsia" w:ascii="宋体" w:hAnsi="宋体"/>
          <w:color w:val="auto"/>
          <w:kern w:val="0"/>
          <w:szCs w:val="21"/>
          <w:highlight w:val="none"/>
        </w:rPr>
        <w:t>涉密信息。</w:t>
      </w:r>
    </w:p>
    <w:p>
      <w:pPr>
        <w:pStyle w:val="4"/>
        <w:numPr>
          <w:ilvl w:val="0"/>
          <w:numId w:val="43"/>
        </w:numPr>
        <w:spacing w:after="0" w:afterLines="0"/>
        <w:ind w:left="0" w:firstLine="425"/>
        <w:jc w:val="left"/>
        <w:rPr>
          <w:color w:val="auto"/>
          <w:szCs w:val="24"/>
          <w:highlight w:val="none"/>
        </w:rPr>
      </w:pPr>
      <w:r>
        <w:rPr>
          <w:rFonts w:hint="eastAsia"/>
          <w:color w:val="auto"/>
          <w:szCs w:val="24"/>
          <w:highlight w:val="none"/>
        </w:rPr>
        <w:t>服务要求</w:t>
      </w:r>
    </w:p>
    <w:p>
      <w:pPr>
        <w:widowControl/>
        <w:numPr>
          <w:ilvl w:val="1"/>
          <w:numId w:val="44"/>
        </w:numPr>
        <w:spacing w:line="360" w:lineRule="auto"/>
        <w:ind w:left="567" w:leftChars="0" w:hanging="567" w:firstLineChars="0"/>
        <w:jc w:val="left"/>
        <w:rPr>
          <w:rFonts w:ascii="宋体" w:hAnsi="宋体" w:cs="宋体"/>
          <w:color w:val="auto"/>
          <w:kern w:val="0"/>
          <w:highlight w:val="none"/>
        </w:rPr>
      </w:pPr>
      <w:r>
        <w:rPr>
          <w:rFonts w:hint="eastAsia" w:ascii="宋体" w:hAnsi="宋体" w:cs="宋体"/>
          <w:color w:val="auto"/>
          <w:kern w:val="0"/>
          <w:highlight w:val="none"/>
          <w:lang w:eastAsia="zh-CN"/>
        </w:rPr>
        <w:t>乙方</w:t>
      </w:r>
      <w:r>
        <w:rPr>
          <w:rFonts w:hint="eastAsia" w:ascii="宋体" w:hAnsi="宋体" w:cs="宋体"/>
          <w:color w:val="auto"/>
          <w:kern w:val="0"/>
          <w:highlight w:val="none"/>
        </w:rPr>
        <w:t>应在响应文件中详细提出项目进度计划表，最终的项目实施计划进度表由用户认可。</w:t>
      </w:r>
    </w:p>
    <w:p>
      <w:pPr>
        <w:widowControl/>
        <w:numPr>
          <w:ilvl w:val="1"/>
          <w:numId w:val="44"/>
        </w:numPr>
        <w:spacing w:line="360" w:lineRule="auto"/>
        <w:ind w:left="567" w:leftChars="0" w:hanging="567" w:firstLineChars="0"/>
        <w:jc w:val="left"/>
        <w:rPr>
          <w:rFonts w:ascii="宋体" w:hAnsi="宋体" w:cs="宋体"/>
          <w:color w:val="auto"/>
          <w:kern w:val="0"/>
          <w:highlight w:val="none"/>
        </w:rPr>
      </w:pPr>
      <w:r>
        <w:rPr>
          <w:rFonts w:hint="eastAsia" w:ascii="宋体" w:hAnsi="宋体" w:cs="宋体"/>
          <w:color w:val="auto"/>
          <w:kern w:val="0"/>
          <w:highlight w:val="none"/>
          <w:lang w:eastAsia="zh-CN"/>
        </w:rPr>
        <w:t>乙方</w:t>
      </w:r>
      <w:r>
        <w:rPr>
          <w:rFonts w:hint="eastAsia" w:ascii="宋体" w:hAnsi="宋体" w:cs="宋体"/>
          <w:color w:val="auto"/>
          <w:kern w:val="0"/>
          <w:highlight w:val="none"/>
        </w:rPr>
        <w:t>必须在响应文件中详细说明项目管理组织机构（包括：机构设置、项目负责人、主要人员构成、职责、关系）、资金调度等项目资源管理的各个方面，制定并执行有效的管理制度，确保整个项目组高效、负责开展各项工作。</w:t>
      </w:r>
    </w:p>
    <w:p>
      <w:pPr>
        <w:widowControl/>
        <w:numPr>
          <w:ilvl w:val="1"/>
          <w:numId w:val="44"/>
        </w:numPr>
        <w:spacing w:line="360" w:lineRule="auto"/>
        <w:ind w:left="567" w:leftChars="0" w:hanging="567" w:firstLineChars="0"/>
        <w:jc w:val="left"/>
        <w:rPr>
          <w:rFonts w:ascii="宋体" w:hAnsi="宋体" w:cs="宋体"/>
          <w:color w:val="auto"/>
          <w:kern w:val="0"/>
          <w:highlight w:val="none"/>
        </w:rPr>
      </w:pPr>
      <w:r>
        <w:rPr>
          <w:rFonts w:hint="eastAsia" w:ascii="宋体" w:hAnsi="宋体" w:cs="宋体"/>
          <w:color w:val="auto"/>
          <w:kern w:val="0"/>
          <w:highlight w:val="none"/>
        </w:rPr>
        <w:t>为使工程按质、按量、按时及有序实施，</w:t>
      </w:r>
      <w:r>
        <w:rPr>
          <w:rFonts w:hint="eastAsia" w:ascii="宋体" w:hAnsi="宋体" w:cs="宋体"/>
          <w:color w:val="auto"/>
          <w:kern w:val="0"/>
          <w:highlight w:val="none"/>
          <w:lang w:eastAsia="zh-CN"/>
        </w:rPr>
        <w:t>乙方</w:t>
      </w:r>
      <w:r>
        <w:rPr>
          <w:rFonts w:hint="eastAsia" w:ascii="宋体" w:hAnsi="宋体" w:cs="宋体"/>
          <w:color w:val="auto"/>
          <w:kern w:val="0"/>
          <w:highlight w:val="none"/>
        </w:rPr>
        <w:t>对本项目必须有一个完善的管理组织机构及项目负责人，</w:t>
      </w:r>
      <w:r>
        <w:rPr>
          <w:rFonts w:hint="eastAsia" w:ascii="宋体" w:hAnsi="宋体" w:cs="宋体"/>
          <w:color w:val="auto"/>
          <w:kern w:val="0"/>
          <w:highlight w:val="none"/>
          <w:lang w:eastAsia="zh-CN"/>
        </w:rPr>
        <w:t>乙方</w:t>
      </w:r>
      <w:r>
        <w:rPr>
          <w:rFonts w:hint="eastAsia" w:ascii="宋体" w:hAnsi="宋体" w:cs="宋体"/>
          <w:color w:val="auto"/>
          <w:kern w:val="0"/>
          <w:highlight w:val="none"/>
        </w:rPr>
        <w:t>投标时应提交该组织机构的详细资料，包括职员姓名、职务、职称、主要资历、经验及承担过的项目。</w:t>
      </w:r>
    </w:p>
    <w:p>
      <w:pPr>
        <w:widowControl/>
        <w:numPr>
          <w:ilvl w:val="1"/>
          <w:numId w:val="44"/>
        </w:numPr>
        <w:spacing w:line="360" w:lineRule="auto"/>
        <w:ind w:left="567" w:leftChars="0" w:hanging="567" w:firstLineChars="0"/>
        <w:jc w:val="left"/>
        <w:rPr>
          <w:rFonts w:ascii="宋体" w:hAnsi="宋体" w:cs="宋体"/>
          <w:color w:val="auto"/>
          <w:kern w:val="0"/>
          <w:highlight w:val="none"/>
        </w:rPr>
      </w:pPr>
      <w:r>
        <w:rPr>
          <w:rFonts w:hint="eastAsia" w:ascii="宋体" w:hAnsi="宋体" w:cs="宋体"/>
          <w:color w:val="auto"/>
          <w:kern w:val="0"/>
          <w:highlight w:val="none"/>
          <w:lang w:eastAsia="zh-CN"/>
        </w:rPr>
        <w:t>乙方</w:t>
      </w:r>
      <w:r>
        <w:rPr>
          <w:rFonts w:hint="eastAsia" w:ascii="宋体" w:hAnsi="宋体" w:cs="宋体"/>
          <w:color w:val="auto"/>
          <w:kern w:val="0"/>
          <w:highlight w:val="none"/>
        </w:rPr>
        <w:t>必须在响应文件中详细明确说明项目沟通计划，确保</w:t>
      </w:r>
      <w:r>
        <w:rPr>
          <w:rFonts w:hint="eastAsia" w:ascii="宋体" w:hAnsi="宋体" w:cs="宋体"/>
          <w:color w:val="auto"/>
          <w:kern w:val="0"/>
          <w:highlight w:val="none"/>
          <w:lang w:eastAsia="zh-CN"/>
        </w:rPr>
        <w:t>乙方</w:t>
      </w:r>
      <w:r>
        <w:rPr>
          <w:rFonts w:hint="eastAsia" w:ascii="宋体" w:hAnsi="宋体" w:cs="宋体"/>
          <w:color w:val="auto"/>
          <w:kern w:val="0"/>
          <w:highlight w:val="none"/>
        </w:rPr>
        <w:t>与用户之间、</w:t>
      </w:r>
      <w:r>
        <w:rPr>
          <w:rFonts w:hint="eastAsia" w:ascii="宋体" w:hAnsi="宋体" w:cs="宋体"/>
          <w:color w:val="auto"/>
          <w:kern w:val="0"/>
          <w:highlight w:val="none"/>
          <w:lang w:eastAsia="zh-CN"/>
        </w:rPr>
        <w:t>乙方</w:t>
      </w:r>
      <w:r>
        <w:rPr>
          <w:rFonts w:hint="eastAsia" w:ascii="宋体" w:hAnsi="宋体" w:cs="宋体"/>
          <w:color w:val="auto"/>
          <w:kern w:val="0"/>
          <w:highlight w:val="none"/>
        </w:rPr>
        <w:t>内部、不同项目供应商之间信息沟通顺畅。</w:t>
      </w:r>
    </w:p>
    <w:p>
      <w:pPr>
        <w:pStyle w:val="4"/>
        <w:numPr>
          <w:ilvl w:val="0"/>
          <w:numId w:val="43"/>
        </w:numPr>
        <w:spacing w:after="0" w:afterLines="0"/>
        <w:ind w:left="0" w:firstLine="425"/>
        <w:jc w:val="left"/>
        <w:rPr>
          <w:rFonts w:hint="eastAsia"/>
          <w:color w:val="auto"/>
          <w:szCs w:val="24"/>
          <w:highlight w:val="none"/>
        </w:rPr>
      </w:pPr>
      <w:r>
        <w:rPr>
          <w:rFonts w:hint="eastAsia"/>
          <w:color w:val="auto"/>
          <w:szCs w:val="24"/>
          <w:highlight w:val="none"/>
        </w:rPr>
        <w:t>档案数据安全与恢复要求：为确保档案数据安全，在服务器出现硬盘故障无法恢复及数据丢失时，乙方需由国家信息中心信息安全研究与服务中心免费提供档案系统服务器3年硬盘数据恢复服务。</w:t>
      </w:r>
    </w:p>
    <w:p>
      <w:pPr>
        <w:numPr>
          <w:ilvl w:val="0"/>
          <w:numId w:val="38"/>
        </w:numPr>
        <w:tabs>
          <w:tab w:val="left" w:pos="426"/>
          <w:tab w:val="clear" w:pos="420"/>
        </w:tabs>
        <w:autoSpaceDE w:val="0"/>
        <w:autoSpaceDN w:val="0"/>
        <w:adjustRightInd w:val="0"/>
        <w:spacing w:line="360" w:lineRule="auto"/>
        <w:jc w:val="left"/>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项目实施时间及地点说明</w:t>
      </w:r>
    </w:p>
    <w:p>
      <w:pPr>
        <w:widowControl/>
        <w:numPr>
          <w:ilvl w:val="0"/>
          <w:numId w:val="45"/>
        </w:numPr>
        <w:spacing w:line="360" w:lineRule="auto"/>
        <w:ind w:left="425" w:leftChars="0" w:hanging="425" w:firstLineChars="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实施时间：合同签订后12个月内，完成本项目软硬件系统安装、试运行及相关技术服务。 </w:t>
      </w:r>
    </w:p>
    <w:p>
      <w:pPr>
        <w:widowControl/>
        <w:numPr>
          <w:ilvl w:val="0"/>
          <w:numId w:val="45"/>
        </w:numPr>
        <w:spacing w:line="360" w:lineRule="auto"/>
        <w:ind w:left="425" w:leftChars="0" w:hanging="425"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Cs w:val="21"/>
          <w:highlight w:val="none"/>
        </w:rPr>
        <w:t>实施地点：</w:t>
      </w:r>
      <w:r>
        <w:rPr>
          <w:rFonts w:hint="eastAsia" w:ascii="宋体" w:hAnsi="宋体" w:eastAsia="宋体" w:cs="宋体"/>
          <w:color w:val="auto"/>
          <w:kern w:val="0"/>
          <w:szCs w:val="21"/>
          <w:highlight w:val="none"/>
          <w:lang w:eastAsia="zh-CN"/>
        </w:rPr>
        <w:t>甲方</w:t>
      </w:r>
      <w:r>
        <w:rPr>
          <w:rFonts w:hint="eastAsia" w:ascii="宋体" w:hAnsi="宋体" w:eastAsia="宋体" w:cs="宋体"/>
          <w:color w:val="auto"/>
          <w:kern w:val="0"/>
          <w:szCs w:val="21"/>
          <w:highlight w:val="none"/>
        </w:rPr>
        <w:t>指定地点。</w:t>
      </w:r>
    </w:p>
    <w:p>
      <w:pPr>
        <w:numPr>
          <w:ilvl w:val="0"/>
          <w:numId w:val="38"/>
        </w:numPr>
        <w:tabs>
          <w:tab w:val="left" w:pos="426"/>
          <w:tab w:val="clear" w:pos="420"/>
        </w:tabs>
        <w:autoSpaceDE w:val="0"/>
        <w:autoSpaceDN w:val="0"/>
        <w:adjustRightInd w:val="0"/>
        <w:spacing w:line="360" w:lineRule="auto"/>
        <w:jc w:val="left"/>
        <w:rPr>
          <w:rFonts w:hint="eastAsia"/>
          <w:b/>
          <w:color w:val="auto"/>
          <w:highlight w:val="none"/>
        </w:rPr>
      </w:pPr>
      <w:r>
        <w:rPr>
          <w:rFonts w:hint="eastAsia"/>
          <w:b/>
          <w:color w:val="auto"/>
          <w:highlight w:val="none"/>
        </w:rPr>
        <w:t>安装、调试与验收</w:t>
      </w:r>
    </w:p>
    <w:p>
      <w:pPr>
        <w:pStyle w:val="8"/>
        <w:numPr>
          <w:ilvl w:val="0"/>
          <w:numId w:val="46"/>
        </w:numPr>
        <w:tabs>
          <w:tab w:val="left" w:pos="425"/>
          <w:tab w:val="left" w:pos="540"/>
        </w:tabs>
        <w:adjustRightInd w:val="0"/>
        <w:snapToGrid w:val="0"/>
        <w:spacing w:line="360" w:lineRule="auto"/>
        <w:ind w:left="425" w:leftChars="0" w:hanging="425" w:firstLineChars="0"/>
        <w:rPr>
          <w:rFonts w:hint="eastAsia" w:ascii="宋体" w:hAnsi="宋体" w:eastAsia="宋体" w:cs="宋体"/>
          <w:color w:val="auto"/>
          <w:sz w:val="21"/>
          <w:szCs w:val="21"/>
          <w:highlight w:val="none"/>
        </w:rPr>
      </w:pPr>
      <w:r>
        <w:rPr>
          <w:rFonts w:hint="eastAsia" w:hAnsi="宋体" w:cs="宋体"/>
          <w:color w:val="auto"/>
          <w:sz w:val="21"/>
          <w:szCs w:val="21"/>
          <w:highlight w:val="none"/>
          <w:lang w:eastAsia="zh-CN"/>
        </w:rPr>
        <w:t>乙方</w:t>
      </w:r>
      <w:r>
        <w:rPr>
          <w:rFonts w:hint="eastAsia" w:ascii="宋体" w:hAnsi="宋体" w:eastAsia="宋体" w:cs="宋体"/>
          <w:color w:val="auto"/>
          <w:sz w:val="21"/>
          <w:szCs w:val="21"/>
          <w:highlight w:val="none"/>
        </w:rPr>
        <w:t>必须依照招标文件的要求和投标文件的承诺，将设备、系统安装并调试至正常运行的最佳状态。</w:t>
      </w:r>
    </w:p>
    <w:p>
      <w:pPr>
        <w:pStyle w:val="8"/>
        <w:numPr>
          <w:ilvl w:val="0"/>
          <w:numId w:val="46"/>
        </w:numPr>
        <w:tabs>
          <w:tab w:val="left" w:pos="425"/>
          <w:tab w:val="left" w:pos="540"/>
        </w:tabs>
        <w:adjustRightInd w:val="0"/>
        <w:snapToGrid w:val="0"/>
        <w:spacing w:line="360" w:lineRule="auto"/>
        <w:ind w:left="425" w:leftChars="0" w:hanging="425" w:firstLineChars="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货物若有国家标准按照国家标准验收，若无国家标准按行业标准验收，为原制造商制造的全新产品，整机无污染，无侵权行为、表面无划损、无任何缺陷隐患，在中国境内可依常规安全合法使用。 </w:t>
      </w:r>
    </w:p>
    <w:p>
      <w:pPr>
        <w:numPr>
          <w:ilvl w:val="0"/>
          <w:numId w:val="46"/>
        </w:numPr>
        <w:tabs>
          <w:tab w:val="left" w:pos="425"/>
          <w:tab w:val="left" w:pos="900"/>
        </w:tabs>
        <w:autoSpaceDE w:val="0"/>
        <w:autoSpaceDN w:val="0"/>
        <w:adjustRightInd w:val="0"/>
        <w:snapToGrid w:val="0"/>
        <w:spacing w:line="360" w:lineRule="auto"/>
        <w:ind w:left="425" w:leftChars="0" w:hanging="425" w:firstLineChars="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货物为原厂商未启封全新包装，具出厂合格证，序列号、包装箱号与出厂批号一致，并可追索查阅。所有随设备的附件必须齐全。</w:t>
      </w:r>
    </w:p>
    <w:p>
      <w:pPr>
        <w:numPr>
          <w:ilvl w:val="0"/>
          <w:numId w:val="46"/>
        </w:numPr>
        <w:tabs>
          <w:tab w:val="left" w:pos="425"/>
          <w:tab w:val="left" w:pos="900"/>
        </w:tabs>
        <w:autoSpaceDE w:val="0"/>
        <w:autoSpaceDN w:val="0"/>
        <w:adjustRightInd w:val="0"/>
        <w:snapToGrid w:val="0"/>
        <w:spacing w:line="360" w:lineRule="auto"/>
        <w:ind w:left="425" w:leftChars="0" w:hanging="425" w:firstLineChars="0"/>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rPr>
        <w:t>依照招标文件要求及投标文件的承诺内容对档案管理系统最终成果（含零配件、标准附件、材料等）、产品、型号、规格、数量、外型、外观、包装及资料、文件（如相关合格证书、全套使用说明书等））进行验收。</w:t>
      </w:r>
    </w:p>
    <w:p>
      <w:pPr>
        <w:numPr>
          <w:ilvl w:val="0"/>
          <w:numId w:val="46"/>
        </w:numPr>
        <w:tabs>
          <w:tab w:val="left" w:pos="425"/>
          <w:tab w:val="left" w:pos="900"/>
        </w:tabs>
        <w:autoSpaceDE w:val="0"/>
        <w:autoSpaceDN w:val="0"/>
        <w:adjustRightInd w:val="0"/>
        <w:snapToGrid w:val="0"/>
        <w:spacing w:line="360" w:lineRule="auto"/>
        <w:ind w:left="425" w:leftChars="0" w:hanging="425" w:firstLineChars="0"/>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rPr>
        <w:t>如商检或系统测试中发现档案管理系统性能指标或功能上不符合招标文件和合同要求时，将被视作性能不合格，</w:t>
      </w:r>
      <w:r>
        <w:rPr>
          <w:rFonts w:hint="eastAsia" w:ascii="宋体" w:hAnsi="宋体" w:cs="宋体"/>
          <w:snapToGrid w:val="0"/>
          <w:color w:val="auto"/>
          <w:kern w:val="0"/>
          <w:sz w:val="21"/>
          <w:szCs w:val="21"/>
          <w:highlight w:val="none"/>
          <w:lang w:eastAsia="zh-CN"/>
        </w:rPr>
        <w:t>甲方</w:t>
      </w:r>
      <w:r>
        <w:rPr>
          <w:rFonts w:hint="eastAsia" w:ascii="宋体" w:hAnsi="宋体" w:eastAsia="宋体" w:cs="宋体"/>
          <w:snapToGrid w:val="0"/>
          <w:color w:val="auto"/>
          <w:kern w:val="0"/>
          <w:sz w:val="21"/>
          <w:szCs w:val="21"/>
          <w:highlight w:val="none"/>
        </w:rPr>
        <w:t>有权拒收或要求赔偿。</w:t>
      </w:r>
    </w:p>
    <w:p>
      <w:pPr>
        <w:numPr>
          <w:ilvl w:val="0"/>
          <w:numId w:val="46"/>
        </w:numPr>
        <w:tabs>
          <w:tab w:val="left" w:pos="425"/>
          <w:tab w:val="left" w:pos="900"/>
        </w:tabs>
        <w:autoSpaceDE w:val="0"/>
        <w:autoSpaceDN w:val="0"/>
        <w:adjustRightInd w:val="0"/>
        <w:snapToGrid w:val="0"/>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snapToGrid w:val="0"/>
          <w:color w:val="auto"/>
          <w:kern w:val="0"/>
          <w:sz w:val="21"/>
          <w:szCs w:val="21"/>
          <w:highlight w:val="none"/>
        </w:rPr>
        <w:t>货物在本项目整体验收合格交付使用前的保管安全责任由</w:t>
      </w:r>
      <w:r>
        <w:rPr>
          <w:rFonts w:hint="eastAsia" w:ascii="宋体" w:hAnsi="宋体" w:cs="宋体"/>
          <w:snapToGrid w:val="0"/>
          <w:color w:val="auto"/>
          <w:kern w:val="0"/>
          <w:sz w:val="21"/>
          <w:szCs w:val="21"/>
          <w:highlight w:val="none"/>
          <w:lang w:eastAsia="zh-CN"/>
        </w:rPr>
        <w:t>乙方</w:t>
      </w:r>
      <w:r>
        <w:rPr>
          <w:rFonts w:hint="eastAsia" w:ascii="宋体" w:hAnsi="宋体" w:eastAsia="宋体" w:cs="宋体"/>
          <w:snapToGrid w:val="0"/>
          <w:color w:val="auto"/>
          <w:kern w:val="0"/>
          <w:sz w:val="21"/>
          <w:szCs w:val="21"/>
          <w:highlight w:val="none"/>
        </w:rPr>
        <w:t>承担。</w:t>
      </w:r>
      <w:r>
        <w:rPr>
          <w:rFonts w:hint="eastAsia" w:ascii="宋体" w:hAnsi="宋体" w:cs="宋体"/>
          <w:snapToGrid w:val="0"/>
          <w:color w:val="auto"/>
          <w:kern w:val="0"/>
          <w:sz w:val="21"/>
          <w:szCs w:val="21"/>
          <w:highlight w:val="none"/>
          <w:lang w:eastAsia="zh-CN"/>
        </w:rPr>
        <w:t>乙方</w:t>
      </w:r>
      <w:r>
        <w:rPr>
          <w:rFonts w:hint="eastAsia" w:ascii="宋体" w:hAnsi="宋体" w:eastAsia="宋体" w:cs="宋体"/>
          <w:snapToGrid w:val="0"/>
          <w:color w:val="auto"/>
          <w:kern w:val="0"/>
          <w:sz w:val="21"/>
          <w:szCs w:val="21"/>
          <w:highlight w:val="none"/>
        </w:rPr>
        <w:t>可根据本项目的实际情况和需要，就设备货物是否分批进场，分批次验收等问题，结合自身经验，自行拟定本项目的实施进度方案。实际执行时，</w:t>
      </w:r>
      <w:r>
        <w:rPr>
          <w:rFonts w:hint="eastAsia" w:ascii="宋体" w:hAnsi="宋体" w:cs="宋体"/>
          <w:snapToGrid w:val="0"/>
          <w:color w:val="auto"/>
          <w:kern w:val="0"/>
          <w:sz w:val="21"/>
          <w:szCs w:val="21"/>
          <w:highlight w:val="none"/>
          <w:lang w:eastAsia="zh-CN"/>
        </w:rPr>
        <w:t>甲方</w:t>
      </w:r>
      <w:r>
        <w:rPr>
          <w:rFonts w:hint="eastAsia" w:ascii="宋体" w:hAnsi="宋体" w:eastAsia="宋体" w:cs="宋体"/>
          <w:snapToGrid w:val="0"/>
          <w:color w:val="auto"/>
          <w:kern w:val="0"/>
          <w:sz w:val="21"/>
          <w:szCs w:val="21"/>
          <w:highlight w:val="none"/>
        </w:rPr>
        <w:t>对</w:t>
      </w:r>
      <w:r>
        <w:rPr>
          <w:rFonts w:hint="eastAsia" w:ascii="宋体" w:hAnsi="宋体" w:cs="宋体"/>
          <w:snapToGrid w:val="0"/>
          <w:color w:val="auto"/>
          <w:kern w:val="0"/>
          <w:sz w:val="21"/>
          <w:szCs w:val="21"/>
          <w:highlight w:val="none"/>
          <w:lang w:eastAsia="zh-CN"/>
        </w:rPr>
        <w:t>乙方</w:t>
      </w:r>
      <w:r>
        <w:rPr>
          <w:rFonts w:hint="eastAsia" w:ascii="宋体" w:hAnsi="宋体" w:eastAsia="宋体" w:cs="宋体"/>
          <w:snapToGrid w:val="0"/>
          <w:color w:val="auto"/>
          <w:kern w:val="0"/>
          <w:sz w:val="21"/>
          <w:szCs w:val="21"/>
          <w:highlight w:val="none"/>
        </w:rPr>
        <w:t>的实施进度方案，可根据本项目实际情况进行调整，</w:t>
      </w:r>
      <w:r>
        <w:rPr>
          <w:rFonts w:hint="eastAsia" w:ascii="宋体" w:hAnsi="宋体" w:cs="宋体"/>
          <w:snapToGrid w:val="0"/>
          <w:color w:val="auto"/>
          <w:kern w:val="0"/>
          <w:sz w:val="21"/>
          <w:szCs w:val="21"/>
          <w:highlight w:val="none"/>
          <w:lang w:eastAsia="zh-CN"/>
        </w:rPr>
        <w:t>乙方</w:t>
      </w:r>
      <w:r>
        <w:rPr>
          <w:rFonts w:hint="eastAsia" w:ascii="宋体" w:hAnsi="宋体" w:eastAsia="宋体" w:cs="宋体"/>
          <w:snapToGrid w:val="0"/>
          <w:color w:val="auto"/>
          <w:kern w:val="0"/>
          <w:sz w:val="21"/>
          <w:szCs w:val="21"/>
          <w:highlight w:val="none"/>
        </w:rPr>
        <w:t>须予以服从。一切实施进度方案必须得到</w:t>
      </w:r>
      <w:r>
        <w:rPr>
          <w:rFonts w:hint="eastAsia" w:ascii="宋体" w:hAnsi="宋体" w:cs="宋体"/>
          <w:snapToGrid w:val="0"/>
          <w:color w:val="auto"/>
          <w:kern w:val="0"/>
          <w:sz w:val="21"/>
          <w:szCs w:val="21"/>
          <w:highlight w:val="none"/>
          <w:lang w:eastAsia="zh-CN"/>
        </w:rPr>
        <w:t>甲方</w:t>
      </w:r>
      <w:r>
        <w:rPr>
          <w:rFonts w:hint="eastAsia" w:ascii="宋体" w:hAnsi="宋体" w:eastAsia="宋体" w:cs="宋体"/>
          <w:snapToGrid w:val="0"/>
          <w:color w:val="auto"/>
          <w:kern w:val="0"/>
          <w:sz w:val="21"/>
          <w:szCs w:val="21"/>
          <w:highlight w:val="none"/>
        </w:rPr>
        <w:t>的认可后，方能执行。</w:t>
      </w:r>
    </w:p>
    <w:p>
      <w:pPr>
        <w:numPr>
          <w:ilvl w:val="0"/>
          <w:numId w:val="46"/>
        </w:numPr>
        <w:tabs>
          <w:tab w:val="left" w:pos="425"/>
          <w:tab w:val="left" w:pos="900"/>
        </w:tabs>
        <w:autoSpaceDE w:val="0"/>
        <w:autoSpaceDN w:val="0"/>
        <w:adjustRightInd w:val="0"/>
        <w:snapToGrid w:val="0"/>
        <w:spacing w:line="360" w:lineRule="auto"/>
        <w:ind w:left="425" w:leftChars="0" w:hanging="425" w:firstLineChars="0"/>
        <w:rPr>
          <w:rFonts w:hint="eastAsia" w:ascii="宋体" w:hAnsi="宋体" w:eastAsia="宋体" w:cs="宋体"/>
          <w:snapToGrid w:val="0"/>
          <w:color w:val="auto"/>
          <w:kern w:val="0"/>
          <w:sz w:val="21"/>
          <w:szCs w:val="21"/>
          <w:highlight w:val="none"/>
        </w:rPr>
      </w:pPr>
      <w:r>
        <w:rPr>
          <w:rFonts w:hint="eastAsia" w:ascii="宋体" w:hAnsi="宋体" w:cs="宋体"/>
          <w:snapToGrid w:val="0"/>
          <w:color w:val="auto"/>
          <w:kern w:val="0"/>
          <w:sz w:val="21"/>
          <w:szCs w:val="21"/>
          <w:highlight w:val="none"/>
          <w:lang w:eastAsia="zh-CN"/>
        </w:rPr>
        <w:t>乙方</w:t>
      </w:r>
      <w:r>
        <w:rPr>
          <w:rFonts w:hint="eastAsia" w:ascii="宋体" w:hAnsi="宋体" w:eastAsia="宋体" w:cs="宋体"/>
          <w:snapToGrid w:val="0"/>
          <w:color w:val="auto"/>
          <w:kern w:val="0"/>
          <w:sz w:val="21"/>
          <w:szCs w:val="21"/>
          <w:highlight w:val="none"/>
        </w:rPr>
        <w:t>须为安装调试提供必需的一切条件及相关费用。在货物到达</w:t>
      </w:r>
      <w:r>
        <w:rPr>
          <w:rFonts w:hint="eastAsia" w:ascii="宋体" w:hAnsi="宋体" w:cs="宋体"/>
          <w:snapToGrid w:val="0"/>
          <w:color w:val="auto"/>
          <w:kern w:val="0"/>
          <w:sz w:val="21"/>
          <w:szCs w:val="21"/>
          <w:highlight w:val="none"/>
          <w:lang w:eastAsia="zh-CN"/>
        </w:rPr>
        <w:t>甲方</w:t>
      </w:r>
      <w:r>
        <w:rPr>
          <w:rFonts w:hint="eastAsia" w:ascii="宋体" w:hAnsi="宋体" w:eastAsia="宋体" w:cs="宋体"/>
          <w:snapToGrid w:val="0"/>
          <w:color w:val="auto"/>
          <w:kern w:val="0"/>
          <w:sz w:val="21"/>
          <w:szCs w:val="21"/>
          <w:highlight w:val="none"/>
        </w:rPr>
        <w:t>（使用单位）指定地点后，</w:t>
      </w:r>
      <w:r>
        <w:rPr>
          <w:rFonts w:hint="eastAsia" w:ascii="宋体" w:hAnsi="宋体" w:cs="宋体"/>
          <w:snapToGrid w:val="0"/>
          <w:color w:val="auto"/>
          <w:kern w:val="0"/>
          <w:sz w:val="21"/>
          <w:szCs w:val="21"/>
          <w:highlight w:val="none"/>
          <w:lang w:eastAsia="zh-CN"/>
        </w:rPr>
        <w:t>乙方</w:t>
      </w:r>
      <w:r>
        <w:rPr>
          <w:rFonts w:hint="eastAsia" w:ascii="宋体" w:hAnsi="宋体" w:eastAsia="宋体" w:cs="宋体"/>
          <w:snapToGrid w:val="0"/>
          <w:color w:val="auto"/>
          <w:kern w:val="0"/>
          <w:sz w:val="21"/>
          <w:szCs w:val="21"/>
          <w:highlight w:val="none"/>
        </w:rPr>
        <w:t>应在1个工作日内派技术人员到达现场，在</w:t>
      </w:r>
      <w:r>
        <w:rPr>
          <w:rFonts w:hint="eastAsia" w:ascii="宋体" w:hAnsi="宋体" w:cs="宋体"/>
          <w:snapToGrid w:val="0"/>
          <w:color w:val="auto"/>
          <w:kern w:val="0"/>
          <w:sz w:val="21"/>
          <w:szCs w:val="21"/>
          <w:highlight w:val="none"/>
          <w:lang w:eastAsia="zh-CN"/>
        </w:rPr>
        <w:t>甲方</w:t>
      </w:r>
      <w:r>
        <w:rPr>
          <w:rFonts w:hint="eastAsia" w:ascii="宋体" w:hAnsi="宋体" w:eastAsia="宋体" w:cs="宋体"/>
          <w:snapToGrid w:val="0"/>
          <w:color w:val="auto"/>
          <w:kern w:val="0"/>
          <w:sz w:val="21"/>
          <w:szCs w:val="21"/>
          <w:highlight w:val="none"/>
        </w:rPr>
        <w:t>技术人员在场的情况下组织安装、调试。</w:t>
      </w:r>
    </w:p>
    <w:p>
      <w:pPr>
        <w:numPr>
          <w:ilvl w:val="0"/>
          <w:numId w:val="46"/>
        </w:numPr>
        <w:tabs>
          <w:tab w:val="left" w:pos="425"/>
          <w:tab w:val="left" w:pos="900"/>
        </w:tabs>
        <w:autoSpaceDE w:val="0"/>
        <w:autoSpaceDN w:val="0"/>
        <w:adjustRightInd w:val="0"/>
        <w:snapToGrid w:val="0"/>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snapToGrid w:val="0"/>
          <w:color w:val="auto"/>
          <w:kern w:val="0"/>
          <w:sz w:val="21"/>
          <w:szCs w:val="21"/>
          <w:highlight w:val="none"/>
        </w:rPr>
        <w:t>安装调试时，</w:t>
      </w:r>
      <w:r>
        <w:rPr>
          <w:rFonts w:hint="eastAsia" w:ascii="宋体" w:hAnsi="宋体" w:cs="宋体"/>
          <w:snapToGrid w:val="0"/>
          <w:color w:val="auto"/>
          <w:kern w:val="0"/>
          <w:sz w:val="21"/>
          <w:szCs w:val="21"/>
          <w:highlight w:val="none"/>
          <w:lang w:eastAsia="zh-CN"/>
        </w:rPr>
        <w:t>乙方</w:t>
      </w:r>
      <w:r>
        <w:rPr>
          <w:rFonts w:hint="eastAsia" w:ascii="宋体" w:hAnsi="宋体" w:eastAsia="宋体" w:cs="宋体"/>
          <w:snapToGrid w:val="0"/>
          <w:color w:val="auto"/>
          <w:kern w:val="0"/>
          <w:sz w:val="21"/>
          <w:szCs w:val="21"/>
          <w:highlight w:val="none"/>
        </w:rPr>
        <w:t>的人员应服从</w:t>
      </w:r>
      <w:r>
        <w:rPr>
          <w:rFonts w:hint="eastAsia" w:ascii="宋体" w:hAnsi="宋体" w:cs="宋体"/>
          <w:snapToGrid w:val="0"/>
          <w:color w:val="auto"/>
          <w:kern w:val="0"/>
          <w:sz w:val="21"/>
          <w:szCs w:val="21"/>
          <w:highlight w:val="none"/>
          <w:lang w:eastAsia="zh-CN"/>
        </w:rPr>
        <w:t>甲方</w:t>
      </w:r>
      <w:r>
        <w:rPr>
          <w:rFonts w:hint="eastAsia" w:ascii="宋体" w:hAnsi="宋体" w:eastAsia="宋体" w:cs="宋体"/>
          <w:snapToGrid w:val="0"/>
          <w:color w:val="auto"/>
          <w:kern w:val="0"/>
          <w:sz w:val="21"/>
          <w:szCs w:val="21"/>
          <w:highlight w:val="none"/>
        </w:rPr>
        <w:t>、使用单位或其他管理单位的管理，做好沟通协调工作，做好安全防护措施。</w:t>
      </w:r>
      <w:r>
        <w:rPr>
          <w:rFonts w:hint="eastAsia" w:ascii="宋体" w:hAnsi="宋体" w:cs="宋体"/>
          <w:snapToGrid w:val="0"/>
          <w:color w:val="auto"/>
          <w:kern w:val="0"/>
          <w:sz w:val="21"/>
          <w:szCs w:val="21"/>
          <w:highlight w:val="none"/>
          <w:lang w:eastAsia="zh-CN"/>
        </w:rPr>
        <w:t>乙方</w:t>
      </w:r>
      <w:r>
        <w:rPr>
          <w:rFonts w:hint="eastAsia" w:ascii="宋体" w:hAnsi="宋体" w:eastAsia="宋体" w:cs="宋体"/>
          <w:snapToGrid w:val="0"/>
          <w:color w:val="auto"/>
          <w:kern w:val="0"/>
          <w:sz w:val="21"/>
          <w:szCs w:val="21"/>
          <w:highlight w:val="none"/>
        </w:rPr>
        <w:t>的人员在安装调试过程中发生的安全事故由</w:t>
      </w:r>
      <w:r>
        <w:rPr>
          <w:rFonts w:hint="eastAsia" w:ascii="宋体" w:hAnsi="宋体" w:cs="宋体"/>
          <w:snapToGrid w:val="0"/>
          <w:color w:val="auto"/>
          <w:kern w:val="0"/>
          <w:sz w:val="21"/>
          <w:szCs w:val="21"/>
          <w:highlight w:val="none"/>
          <w:lang w:eastAsia="zh-CN"/>
        </w:rPr>
        <w:t>乙方</w:t>
      </w:r>
      <w:r>
        <w:rPr>
          <w:rFonts w:hint="eastAsia" w:ascii="宋体" w:hAnsi="宋体" w:eastAsia="宋体" w:cs="宋体"/>
          <w:snapToGrid w:val="0"/>
          <w:color w:val="auto"/>
          <w:kern w:val="0"/>
          <w:sz w:val="21"/>
          <w:szCs w:val="21"/>
          <w:highlight w:val="none"/>
        </w:rPr>
        <w:t>承担。</w:t>
      </w:r>
    </w:p>
    <w:p>
      <w:pPr>
        <w:numPr>
          <w:ilvl w:val="0"/>
          <w:numId w:val="46"/>
        </w:numPr>
        <w:tabs>
          <w:tab w:val="left" w:pos="425"/>
          <w:tab w:val="left" w:pos="900"/>
        </w:tabs>
        <w:autoSpaceDE w:val="0"/>
        <w:autoSpaceDN w:val="0"/>
        <w:adjustRightInd w:val="0"/>
        <w:snapToGrid w:val="0"/>
        <w:spacing w:line="360" w:lineRule="auto"/>
        <w:ind w:left="425" w:leftChars="0" w:hanging="425" w:firstLineChars="0"/>
        <w:rPr>
          <w:rFonts w:hint="eastAsia" w:ascii="宋体" w:hAnsi="宋体" w:eastAsia="宋体" w:cs="宋体"/>
          <w:snapToGrid w:val="0"/>
          <w:color w:val="auto"/>
          <w:kern w:val="0"/>
          <w:sz w:val="21"/>
          <w:szCs w:val="21"/>
          <w:highlight w:val="none"/>
          <w:lang w:val="en-US" w:eastAsia="zh-CN"/>
        </w:rPr>
      </w:pPr>
      <w:r>
        <w:rPr>
          <w:rFonts w:hint="eastAsia" w:ascii="宋体" w:hAnsi="宋体" w:cs="宋体"/>
          <w:snapToGrid w:val="0"/>
          <w:color w:val="auto"/>
          <w:kern w:val="0"/>
          <w:sz w:val="21"/>
          <w:szCs w:val="21"/>
          <w:highlight w:val="none"/>
          <w:lang w:val="en-US" w:eastAsia="zh-CN"/>
        </w:rPr>
        <w:t>甲方</w:t>
      </w:r>
      <w:r>
        <w:rPr>
          <w:rFonts w:hint="eastAsia" w:ascii="宋体" w:hAnsi="宋体" w:eastAsia="宋体" w:cs="宋体"/>
          <w:snapToGrid w:val="0"/>
          <w:color w:val="auto"/>
          <w:kern w:val="0"/>
          <w:sz w:val="21"/>
          <w:szCs w:val="21"/>
          <w:highlight w:val="none"/>
          <w:lang w:val="en-US" w:eastAsia="zh-CN"/>
        </w:rPr>
        <w:t>在整体验收后60天内如对货物的型号、规格、质量有异议时，应在妥善保管货物的同时，即向</w:t>
      </w:r>
      <w:r>
        <w:rPr>
          <w:rFonts w:hint="eastAsia" w:ascii="宋体" w:hAnsi="宋体" w:cs="宋体"/>
          <w:snapToGrid w:val="0"/>
          <w:color w:val="auto"/>
          <w:kern w:val="0"/>
          <w:sz w:val="21"/>
          <w:szCs w:val="21"/>
          <w:highlight w:val="none"/>
          <w:lang w:val="en-US" w:eastAsia="zh-CN"/>
        </w:rPr>
        <w:t>乙方</w:t>
      </w:r>
      <w:r>
        <w:rPr>
          <w:rFonts w:hint="eastAsia" w:ascii="宋体" w:hAnsi="宋体" w:eastAsia="宋体" w:cs="宋体"/>
          <w:snapToGrid w:val="0"/>
          <w:color w:val="auto"/>
          <w:kern w:val="0"/>
          <w:sz w:val="21"/>
          <w:szCs w:val="21"/>
          <w:highlight w:val="none"/>
          <w:lang w:val="en-US" w:eastAsia="zh-CN"/>
        </w:rPr>
        <w:t>提出书面异议。</w:t>
      </w:r>
    </w:p>
    <w:p>
      <w:pPr>
        <w:numPr>
          <w:ilvl w:val="0"/>
          <w:numId w:val="46"/>
        </w:numPr>
        <w:tabs>
          <w:tab w:val="left" w:pos="425"/>
          <w:tab w:val="left" w:pos="900"/>
        </w:tabs>
        <w:autoSpaceDE w:val="0"/>
        <w:autoSpaceDN w:val="0"/>
        <w:adjustRightInd w:val="0"/>
        <w:snapToGrid w:val="0"/>
        <w:spacing w:line="360" w:lineRule="auto"/>
        <w:ind w:left="425" w:leftChars="0" w:hanging="425" w:firstLineChars="0"/>
        <w:rPr>
          <w:rFonts w:hint="eastAsia" w:ascii="宋体" w:hAnsi="宋体" w:eastAsia="宋体" w:cs="宋体"/>
          <w:snapToGrid w:val="0"/>
          <w:color w:val="auto"/>
          <w:kern w:val="0"/>
          <w:sz w:val="21"/>
          <w:szCs w:val="21"/>
          <w:highlight w:val="none"/>
          <w:lang w:val="en-US" w:eastAsia="zh-CN"/>
        </w:rPr>
      </w:pPr>
      <w:r>
        <w:rPr>
          <w:rFonts w:hint="eastAsia" w:ascii="宋体" w:hAnsi="宋体" w:cs="宋体"/>
          <w:snapToGrid w:val="0"/>
          <w:color w:val="auto"/>
          <w:kern w:val="0"/>
          <w:sz w:val="21"/>
          <w:szCs w:val="21"/>
          <w:highlight w:val="none"/>
          <w:lang w:val="en-US" w:eastAsia="zh-CN"/>
        </w:rPr>
        <w:t>乙方</w:t>
      </w:r>
      <w:r>
        <w:rPr>
          <w:rFonts w:hint="eastAsia" w:ascii="宋体" w:hAnsi="宋体" w:eastAsia="宋体" w:cs="宋体"/>
          <w:snapToGrid w:val="0"/>
          <w:color w:val="auto"/>
          <w:kern w:val="0"/>
          <w:sz w:val="21"/>
          <w:szCs w:val="21"/>
          <w:highlight w:val="none"/>
          <w:lang w:val="en-US" w:eastAsia="zh-CN"/>
        </w:rPr>
        <w:t>在接到</w:t>
      </w:r>
      <w:r>
        <w:rPr>
          <w:rFonts w:hint="eastAsia" w:ascii="宋体" w:hAnsi="宋体" w:cs="宋体"/>
          <w:snapToGrid w:val="0"/>
          <w:color w:val="auto"/>
          <w:kern w:val="0"/>
          <w:sz w:val="21"/>
          <w:szCs w:val="21"/>
          <w:highlight w:val="none"/>
          <w:lang w:val="en-US" w:eastAsia="zh-CN"/>
        </w:rPr>
        <w:t>甲方</w:t>
      </w:r>
      <w:r>
        <w:rPr>
          <w:rFonts w:hint="eastAsia" w:ascii="宋体" w:hAnsi="宋体" w:eastAsia="宋体" w:cs="宋体"/>
          <w:snapToGrid w:val="0"/>
          <w:color w:val="auto"/>
          <w:kern w:val="0"/>
          <w:sz w:val="21"/>
          <w:szCs w:val="21"/>
          <w:highlight w:val="none"/>
          <w:lang w:val="en-US" w:eastAsia="zh-CN"/>
        </w:rPr>
        <w:t>书面异议后，应在2天内负责处理并函复</w:t>
      </w:r>
      <w:r>
        <w:rPr>
          <w:rFonts w:hint="eastAsia" w:ascii="宋体" w:hAnsi="宋体" w:cs="宋体"/>
          <w:snapToGrid w:val="0"/>
          <w:color w:val="auto"/>
          <w:kern w:val="0"/>
          <w:sz w:val="21"/>
          <w:szCs w:val="21"/>
          <w:highlight w:val="none"/>
          <w:lang w:val="en-US" w:eastAsia="zh-CN"/>
        </w:rPr>
        <w:t>甲方</w:t>
      </w:r>
      <w:r>
        <w:rPr>
          <w:rFonts w:hint="eastAsia" w:ascii="宋体" w:hAnsi="宋体" w:eastAsia="宋体" w:cs="宋体"/>
          <w:snapToGrid w:val="0"/>
          <w:color w:val="auto"/>
          <w:kern w:val="0"/>
          <w:sz w:val="21"/>
          <w:szCs w:val="21"/>
          <w:highlight w:val="none"/>
          <w:lang w:val="en-US" w:eastAsia="zh-CN"/>
        </w:rPr>
        <w:t>处理情况，否则，即视为默认</w:t>
      </w:r>
      <w:r>
        <w:rPr>
          <w:rFonts w:hint="eastAsia" w:ascii="宋体" w:hAnsi="宋体" w:cs="宋体"/>
          <w:snapToGrid w:val="0"/>
          <w:color w:val="auto"/>
          <w:kern w:val="0"/>
          <w:sz w:val="21"/>
          <w:szCs w:val="21"/>
          <w:highlight w:val="none"/>
          <w:lang w:val="en-US" w:eastAsia="zh-CN"/>
        </w:rPr>
        <w:t>甲方</w:t>
      </w:r>
      <w:r>
        <w:rPr>
          <w:rFonts w:hint="eastAsia" w:ascii="宋体" w:hAnsi="宋体" w:eastAsia="宋体" w:cs="宋体"/>
          <w:snapToGrid w:val="0"/>
          <w:color w:val="auto"/>
          <w:kern w:val="0"/>
          <w:sz w:val="21"/>
          <w:szCs w:val="21"/>
          <w:highlight w:val="none"/>
          <w:lang w:val="en-US" w:eastAsia="zh-CN"/>
        </w:rPr>
        <w:t>提出的异议和处理意见。</w:t>
      </w:r>
    </w:p>
    <w:p>
      <w:pPr>
        <w:numPr>
          <w:ilvl w:val="0"/>
          <w:numId w:val="46"/>
        </w:numPr>
        <w:tabs>
          <w:tab w:val="left" w:pos="425"/>
          <w:tab w:val="left" w:pos="900"/>
        </w:tabs>
        <w:autoSpaceDE w:val="0"/>
        <w:autoSpaceDN w:val="0"/>
        <w:adjustRightInd w:val="0"/>
        <w:snapToGrid w:val="0"/>
        <w:spacing w:line="360" w:lineRule="auto"/>
        <w:ind w:left="425" w:leftChars="0" w:hanging="425" w:firstLineChars="0"/>
        <w:rPr>
          <w:rFonts w:hint="eastAsia" w:ascii="宋体" w:hAnsi="宋体" w:eastAsia="宋体" w:cs="宋体"/>
          <w:b w:val="0"/>
          <w:bCs w:val="0"/>
          <w:color w:val="auto"/>
          <w:sz w:val="21"/>
          <w:szCs w:val="21"/>
          <w:highlight w:val="none"/>
        </w:rPr>
      </w:pPr>
      <w:r>
        <w:rPr>
          <w:rFonts w:hint="eastAsia" w:ascii="宋体" w:hAnsi="宋体" w:cs="宋体"/>
          <w:snapToGrid w:val="0"/>
          <w:color w:val="auto"/>
          <w:kern w:val="0"/>
          <w:sz w:val="21"/>
          <w:szCs w:val="21"/>
          <w:highlight w:val="none"/>
          <w:lang w:val="en-US" w:eastAsia="zh-CN"/>
        </w:rPr>
        <w:t>甲方</w:t>
      </w:r>
      <w:r>
        <w:rPr>
          <w:rFonts w:hint="eastAsia" w:ascii="宋体" w:hAnsi="宋体" w:eastAsia="宋体" w:cs="宋体"/>
          <w:snapToGrid w:val="0"/>
          <w:color w:val="auto"/>
          <w:kern w:val="0"/>
          <w:sz w:val="21"/>
          <w:szCs w:val="21"/>
          <w:highlight w:val="none"/>
          <w:lang w:val="en-US" w:eastAsia="zh-CN"/>
        </w:rPr>
        <w:t>因违章操作、保管、保养不善等人为造成货物损毁，所提出的异议</w:t>
      </w:r>
      <w:r>
        <w:rPr>
          <w:rFonts w:hint="eastAsia" w:ascii="宋体" w:hAnsi="宋体" w:cs="宋体"/>
          <w:snapToGrid w:val="0"/>
          <w:color w:val="auto"/>
          <w:kern w:val="0"/>
          <w:sz w:val="21"/>
          <w:szCs w:val="21"/>
          <w:highlight w:val="none"/>
          <w:lang w:val="en-US" w:eastAsia="zh-CN"/>
        </w:rPr>
        <w:t>乙方</w:t>
      </w:r>
      <w:r>
        <w:rPr>
          <w:rFonts w:hint="eastAsia" w:ascii="宋体" w:hAnsi="宋体" w:eastAsia="宋体" w:cs="宋体"/>
          <w:snapToGrid w:val="0"/>
          <w:color w:val="auto"/>
          <w:kern w:val="0"/>
          <w:sz w:val="21"/>
          <w:szCs w:val="21"/>
          <w:highlight w:val="none"/>
          <w:lang w:val="en-US" w:eastAsia="zh-CN"/>
        </w:rPr>
        <w:t>有权不予接受。</w:t>
      </w:r>
    </w:p>
    <w:p>
      <w:pPr>
        <w:numPr>
          <w:ilvl w:val="0"/>
          <w:numId w:val="46"/>
        </w:numPr>
        <w:tabs>
          <w:tab w:val="left" w:pos="425"/>
          <w:tab w:val="left" w:pos="900"/>
        </w:tabs>
        <w:autoSpaceDE w:val="0"/>
        <w:autoSpaceDN w:val="0"/>
        <w:adjustRightInd w:val="0"/>
        <w:snapToGrid w:val="0"/>
        <w:spacing w:line="360" w:lineRule="auto"/>
        <w:ind w:left="425" w:leftChars="0" w:hanging="425" w:firstLineChars="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rPr>
        <w:t>应将关键主机设备的用户手册、保修手册、有关单证资料及配备件、随机工具等交付给</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rPr>
        <w:t>，使用操作及安全须知等重要资料应附有中文说明。</w:t>
      </w:r>
    </w:p>
    <w:p>
      <w:pPr>
        <w:numPr>
          <w:ilvl w:val="0"/>
          <w:numId w:val="46"/>
        </w:numPr>
        <w:tabs>
          <w:tab w:val="left" w:pos="425"/>
          <w:tab w:val="left" w:pos="900"/>
        </w:tabs>
        <w:autoSpaceDE w:val="0"/>
        <w:autoSpaceDN w:val="0"/>
        <w:adjustRightInd w:val="0"/>
        <w:snapToGrid w:val="0"/>
        <w:spacing w:line="360" w:lineRule="auto"/>
        <w:ind w:left="425" w:leftChars="0" w:hanging="425" w:firstLineChars="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提供完整的维护手册、使用及维护光盘。提供维护软件及开放密码。提供完整的安装软件，以便日后系统重装。</w:t>
      </w:r>
    </w:p>
    <w:p>
      <w:pPr>
        <w:numPr>
          <w:ilvl w:val="0"/>
          <w:numId w:val="46"/>
        </w:numPr>
        <w:tabs>
          <w:tab w:val="left" w:pos="425"/>
          <w:tab w:val="left" w:pos="900"/>
        </w:tabs>
        <w:autoSpaceDE w:val="0"/>
        <w:autoSpaceDN w:val="0"/>
        <w:adjustRightInd w:val="0"/>
        <w:snapToGrid w:val="0"/>
        <w:spacing w:line="360" w:lineRule="auto"/>
        <w:ind w:left="425" w:leftChars="0" w:hanging="425" w:firstLineChars="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如有备件，</w:t>
      </w:r>
      <w:r>
        <w:rPr>
          <w:rFonts w:hint="eastAsia" w:ascii="宋体" w:hAnsi="宋体" w:cs="宋体"/>
          <w:snapToGrid w:val="0"/>
          <w:color w:val="auto"/>
          <w:kern w:val="0"/>
          <w:sz w:val="21"/>
          <w:szCs w:val="21"/>
          <w:highlight w:val="none"/>
          <w:lang w:eastAsia="zh-CN"/>
        </w:rPr>
        <w:t>乙方</w:t>
      </w:r>
      <w:r>
        <w:rPr>
          <w:rFonts w:hint="eastAsia" w:ascii="宋体" w:hAnsi="宋体" w:eastAsia="宋体" w:cs="宋体"/>
          <w:snapToGrid w:val="0"/>
          <w:color w:val="auto"/>
          <w:kern w:val="0"/>
          <w:sz w:val="21"/>
          <w:szCs w:val="21"/>
          <w:highlight w:val="none"/>
        </w:rPr>
        <w:t>应随机向</w:t>
      </w:r>
      <w:r>
        <w:rPr>
          <w:rFonts w:hint="eastAsia" w:ascii="宋体" w:hAnsi="宋体" w:cs="宋体"/>
          <w:snapToGrid w:val="0"/>
          <w:color w:val="auto"/>
          <w:kern w:val="0"/>
          <w:sz w:val="21"/>
          <w:szCs w:val="21"/>
          <w:highlight w:val="none"/>
          <w:lang w:eastAsia="zh-CN"/>
        </w:rPr>
        <w:t>甲方</w:t>
      </w:r>
      <w:r>
        <w:rPr>
          <w:rFonts w:hint="eastAsia" w:ascii="宋体" w:hAnsi="宋体" w:eastAsia="宋体" w:cs="宋体"/>
          <w:snapToGrid w:val="0"/>
          <w:color w:val="auto"/>
          <w:kern w:val="0"/>
          <w:sz w:val="21"/>
          <w:szCs w:val="21"/>
          <w:highlight w:val="none"/>
        </w:rPr>
        <w:t>提供一套标准备件包，并列出清单及单价。</w:t>
      </w:r>
    </w:p>
    <w:p>
      <w:pPr>
        <w:numPr>
          <w:ilvl w:val="0"/>
          <w:numId w:val="46"/>
        </w:numPr>
        <w:tabs>
          <w:tab w:val="left" w:pos="425"/>
          <w:tab w:val="left" w:pos="900"/>
        </w:tabs>
        <w:autoSpaceDE w:val="0"/>
        <w:autoSpaceDN w:val="0"/>
        <w:adjustRightInd w:val="0"/>
        <w:snapToGrid w:val="0"/>
        <w:spacing w:line="360" w:lineRule="auto"/>
        <w:ind w:left="425" w:leftChars="0" w:hanging="425" w:firstLineChars="0"/>
        <w:rPr>
          <w:rFonts w:hint="eastAsia" w:ascii="宋体" w:hAnsi="宋体" w:eastAsia="宋体" w:cs="宋体"/>
          <w:color w:val="auto"/>
          <w:highlight w:val="none"/>
        </w:rPr>
      </w:pPr>
      <w:r>
        <w:rPr>
          <w:rFonts w:hint="eastAsia" w:ascii="宋体" w:hAnsi="宋体" w:cs="宋体"/>
          <w:snapToGrid w:val="0"/>
          <w:color w:val="auto"/>
          <w:kern w:val="0"/>
          <w:sz w:val="21"/>
          <w:szCs w:val="21"/>
          <w:highlight w:val="none"/>
          <w:lang w:eastAsia="zh-CN"/>
        </w:rPr>
        <w:t>乙方</w:t>
      </w:r>
      <w:r>
        <w:rPr>
          <w:rFonts w:hint="eastAsia" w:ascii="宋体" w:hAnsi="宋体" w:eastAsia="宋体" w:cs="宋体"/>
          <w:snapToGrid w:val="0"/>
          <w:color w:val="auto"/>
          <w:kern w:val="0"/>
          <w:sz w:val="21"/>
          <w:szCs w:val="21"/>
          <w:highlight w:val="none"/>
        </w:rPr>
        <w:t>须向</w:t>
      </w:r>
      <w:r>
        <w:rPr>
          <w:rFonts w:hint="eastAsia" w:ascii="宋体" w:hAnsi="宋体" w:cs="宋体"/>
          <w:snapToGrid w:val="0"/>
          <w:color w:val="auto"/>
          <w:kern w:val="0"/>
          <w:sz w:val="21"/>
          <w:szCs w:val="21"/>
          <w:highlight w:val="none"/>
          <w:lang w:eastAsia="zh-CN"/>
        </w:rPr>
        <w:t>甲方</w:t>
      </w:r>
      <w:r>
        <w:rPr>
          <w:rFonts w:hint="eastAsia" w:ascii="宋体" w:hAnsi="宋体" w:eastAsia="宋体" w:cs="宋体"/>
          <w:snapToGrid w:val="0"/>
          <w:color w:val="auto"/>
          <w:kern w:val="0"/>
          <w:sz w:val="21"/>
          <w:szCs w:val="21"/>
          <w:highlight w:val="none"/>
        </w:rPr>
        <w:t>提供设备的运行、安装、使用环境要求。</w:t>
      </w:r>
    </w:p>
    <w:p>
      <w:pPr>
        <w:numPr>
          <w:ilvl w:val="0"/>
          <w:numId w:val="46"/>
        </w:numPr>
        <w:tabs>
          <w:tab w:val="left" w:pos="425"/>
          <w:tab w:val="left" w:pos="900"/>
        </w:tabs>
        <w:autoSpaceDE w:val="0"/>
        <w:autoSpaceDN w:val="0"/>
        <w:adjustRightInd w:val="0"/>
        <w:snapToGrid w:val="0"/>
        <w:spacing w:line="360" w:lineRule="auto"/>
        <w:ind w:left="425" w:leftChars="0" w:hanging="425" w:firstLineChars="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rPr>
        <w:t>组成验收小组按国家有关规定、规范进行验收，必要时邀请相关的专业人员或机构参与验收。因货物质量问题发生争议时，由本地质量技术监督部门鉴定。货物符合质量技术标准的，鉴定费由</w:t>
      </w:r>
      <w:r>
        <w:rPr>
          <w:rFonts w:hint="eastAsia" w:ascii="宋体" w:hAnsi="宋体" w:cs="宋体"/>
          <w:b w:val="0"/>
          <w:bCs w:val="0"/>
          <w:color w:val="auto"/>
          <w:sz w:val="21"/>
          <w:szCs w:val="21"/>
          <w:highlight w:val="none"/>
          <w:lang w:eastAsia="zh-CN"/>
        </w:rPr>
        <w:t>甲方</w:t>
      </w:r>
      <w:r>
        <w:rPr>
          <w:rFonts w:hint="eastAsia" w:ascii="宋体" w:hAnsi="宋体" w:eastAsia="宋体" w:cs="宋体"/>
          <w:b w:val="0"/>
          <w:bCs w:val="0"/>
          <w:color w:val="auto"/>
          <w:sz w:val="21"/>
          <w:szCs w:val="21"/>
          <w:highlight w:val="none"/>
        </w:rPr>
        <w:t>承担；否则鉴定费由</w:t>
      </w:r>
      <w:r>
        <w:rPr>
          <w:rFonts w:hint="eastAsia" w:ascii="宋体" w:hAnsi="宋体" w:cs="宋体"/>
          <w:b w:val="0"/>
          <w:bCs w:val="0"/>
          <w:color w:val="auto"/>
          <w:sz w:val="21"/>
          <w:szCs w:val="21"/>
          <w:highlight w:val="none"/>
          <w:lang w:eastAsia="zh-CN"/>
        </w:rPr>
        <w:t>乙方</w:t>
      </w:r>
      <w:r>
        <w:rPr>
          <w:rFonts w:hint="eastAsia" w:ascii="宋体" w:hAnsi="宋体" w:eastAsia="宋体" w:cs="宋体"/>
          <w:b w:val="0"/>
          <w:bCs w:val="0"/>
          <w:color w:val="auto"/>
          <w:sz w:val="21"/>
          <w:szCs w:val="21"/>
          <w:highlight w:val="none"/>
        </w:rPr>
        <w:t>承担。</w:t>
      </w:r>
    </w:p>
    <w:p>
      <w:pPr>
        <w:numPr>
          <w:ilvl w:val="0"/>
          <w:numId w:val="38"/>
        </w:numPr>
        <w:tabs>
          <w:tab w:val="left" w:pos="426"/>
          <w:tab w:val="clear" w:pos="420"/>
        </w:tabs>
        <w:autoSpaceDE w:val="0"/>
        <w:autoSpaceDN w:val="0"/>
        <w:adjustRightInd w:val="0"/>
        <w:spacing w:line="360" w:lineRule="auto"/>
        <w:jc w:val="left"/>
        <w:rPr>
          <w:rFonts w:hint="eastAsia" w:hAnsi="宋体"/>
          <w:b/>
          <w:bCs/>
          <w:color w:val="auto"/>
          <w:highlight w:val="none"/>
        </w:rPr>
      </w:pPr>
      <w:r>
        <w:rPr>
          <w:rFonts w:hint="eastAsia" w:hAnsi="宋体"/>
          <w:b/>
          <w:bCs/>
          <w:color w:val="auto"/>
          <w:highlight w:val="none"/>
          <w:lang w:eastAsia="zh-CN"/>
        </w:rPr>
        <w:t>结算方式</w:t>
      </w:r>
    </w:p>
    <w:p>
      <w:pPr>
        <w:numPr>
          <w:ilvl w:val="0"/>
          <w:numId w:val="47"/>
        </w:numPr>
        <w:tabs>
          <w:tab w:val="left" w:pos="0"/>
        </w:tabs>
        <w:spacing w:line="360" w:lineRule="auto"/>
        <w:ind w:left="425" w:leftChars="0" w:hanging="425" w:firstLineChars="0"/>
        <w:rPr>
          <w:rFonts w:hint="eastAsia" w:ascii="宋体" w:hAnsi="宋体" w:eastAsia="宋体" w:cs="宋体"/>
          <w:b w:val="0"/>
          <w:bCs w:val="0"/>
          <w:snapToGrid w:val="0"/>
          <w:color w:val="auto"/>
          <w:kern w:val="0"/>
          <w:sz w:val="21"/>
          <w:szCs w:val="21"/>
          <w:highlight w:val="none"/>
        </w:rPr>
      </w:pPr>
      <w:r>
        <w:rPr>
          <w:rFonts w:hint="eastAsia" w:ascii="宋体" w:hAnsi="宋体" w:eastAsia="宋体" w:cs="宋体"/>
          <w:b w:val="0"/>
          <w:bCs w:val="0"/>
          <w:snapToGrid w:val="0"/>
          <w:color w:val="auto"/>
          <w:kern w:val="0"/>
          <w:sz w:val="21"/>
          <w:szCs w:val="21"/>
          <w:highlight w:val="none"/>
          <w:lang w:val="en-US" w:eastAsia="zh-CN"/>
        </w:rPr>
        <w:t>系统和设备结算：</w:t>
      </w:r>
      <w:r>
        <w:rPr>
          <w:rFonts w:hint="eastAsia" w:ascii="宋体" w:hAnsi="宋体" w:eastAsia="宋体" w:cs="宋体"/>
          <w:b w:val="0"/>
          <w:bCs w:val="0"/>
          <w:snapToGrid w:val="0"/>
          <w:color w:val="auto"/>
          <w:kern w:val="0"/>
          <w:sz w:val="21"/>
          <w:szCs w:val="21"/>
          <w:highlight w:val="none"/>
        </w:rPr>
        <w:t>按</w:t>
      </w:r>
      <w:r>
        <w:rPr>
          <w:rFonts w:hint="eastAsia" w:ascii="宋体" w:hAnsi="宋体" w:eastAsia="宋体" w:cs="宋体"/>
          <w:b w:val="0"/>
          <w:bCs w:val="0"/>
          <w:snapToGrid w:val="0"/>
          <w:color w:val="auto"/>
          <w:kern w:val="0"/>
          <w:sz w:val="21"/>
          <w:szCs w:val="21"/>
          <w:highlight w:val="none"/>
          <w:lang w:eastAsia="zh-CN"/>
        </w:rPr>
        <w:t>系统和</w:t>
      </w:r>
      <w:r>
        <w:rPr>
          <w:rFonts w:hint="eastAsia" w:ascii="宋体" w:hAnsi="宋体" w:eastAsia="宋体" w:cs="宋体"/>
          <w:b w:val="0"/>
          <w:bCs w:val="0"/>
          <w:snapToGrid w:val="0"/>
          <w:color w:val="auto"/>
          <w:kern w:val="0"/>
          <w:sz w:val="21"/>
          <w:szCs w:val="21"/>
          <w:highlight w:val="none"/>
        </w:rPr>
        <w:t>设备</w:t>
      </w:r>
      <w:r>
        <w:rPr>
          <w:rFonts w:hint="eastAsia" w:ascii="宋体" w:hAnsi="宋体" w:eastAsia="宋体" w:cs="宋体"/>
          <w:b w:val="0"/>
          <w:bCs w:val="0"/>
          <w:snapToGrid w:val="0"/>
          <w:color w:val="auto"/>
          <w:kern w:val="0"/>
          <w:sz w:val="21"/>
          <w:szCs w:val="21"/>
          <w:highlight w:val="none"/>
          <w:lang w:eastAsia="zh-CN"/>
        </w:rPr>
        <w:t>投标</w:t>
      </w:r>
      <w:r>
        <w:rPr>
          <w:rFonts w:hint="eastAsia" w:ascii="宋体" w:hAnsi="宋体" w:eastAsia="宋体" w:cs="宋体"/>
          <w:b w:val="0"/>
          <w:bCs w:val="0"/>
          <w:snapToGrid w:val="0"/>
          <w:color w:val="auto"/>
          <w:kern w:val="0"/>
          <w:sz w:val="21"/>
          <w:szCs w:val="21"/>
          <w:highlight w:val="none"/>
        </w:rPr>
        <w:t>固定不变价及</w:t>
      </w:r>
      <w:r>
        <w:rPr>
          <w:rFonts w:hint="eastAsia" w:ascii="宋体" w:hAnsi="宋体" w:cs="宋体"/>
          <w:b w:val="0"/>
          <w:bCs w:val="0"/>
          <w:snapToGrid w:val="0"/>
          <w:color w:val="auto"/>
          <w:kern w:val="0"/>
          <w:sz w:val="21"/>
          <w:szCs w:val="21"/>
          <w:highlight w:val="none"/>
          <w:lang w:eastAsia="zh-CN"/>
        </w:rPr>
        <w:t>乙方</w:t>
      </w:r>
      <w:r>
        <w:rPr>
          <w:rFonts w:hint="eastAsia" w:ascii="宋体" w:hAnsi="宋体" w:eastAsia="宋体" w:cs="宋体"/>
          <w:b w:val="0"/>
          <w:bCs w:val="0"/>
          <w:snapToGrid w:val="0"/>
          <w:color w:val="auto"/>
          <w:kern w:val="0"/>
          <w:sz w:val="21"/>
          <w:szCs w:val="21"/>
          <w:highlight w:val="none"/>
        </w:rPr>
        <w:t>供货并经</w:t>
      </w:r>
      <w:r>
        <w:rPr>
          <w:rFonts w:hint="eastAsia" w:ascii="宋体" w:hAnsi="宋体" w:cs="宋体"/>
          <w:b w:val="0"/>
          <w:bCs w:val="0"/>
          <w:snapToGrid w:val="0"/>
          <w:color w:val="auto"/>
          <w:kern w:val="0"/>
          <w:sz w:val="21"/>
          <w:szCs w:val="21"/>
          <w:highlight w:val="none"/>
          <w:lang w:eastAsia="zh-CN"/>
        </w:rPr>
        <w:t>甲方</w:t>
      </w:r>
      <w:r>
        <w:rPr>
          <w:rFonts w:hint="eastAsia" w:ascii="宋体" w:hAnsi="宋体" w:eastAsia="宋体" w:cs="宋体"/>
          <w:b w:val="0"/>
          <w:bCs w:val="0"/>
          <w:snapToGrid w:val="0"/>
          <w:color w:val="auto"/>
          <w:kern w:val="0"/>
          <w:sz w:val="21"/>
          <w:szCs w:val="21"/>
          <w:highlight w:val="none"/>
        </w:rPr>
        <w:t>书面确认的设备数量进行结算。</w:t>
      </w:r>
    </w:p>
    <w:p>
      <w:pPr>
        <w:pStyle w:val="2"/>
        <w:numPr>
          <w:ilvl w:val="0"/>
          <w:numId w:val="47"/>
        </w:numPr>
        <w:spacing w:line="360" w:lineRule="auto"/>
        <w:ind w:left="425" w:leftChars="0" w:hanging="425" w:firstLineChars="0"/>
        <w:rPr>
          <w:rFonts w:hint="eastAsia" w:ascii="宋体" w:hAnsi="宋体"/>
          <w:color w:val="auto"/>
          <w:sz w:val="21"/>
          <w:szCs w:val="21"/>
          <w:highlight w:val="none"/>
        </w:rPr>
      </w:pPr>
      <w:r>
        <w:rPr>
          <w:rFonts w:hint="eastAsia" w:ascii="宋体" w:hAnsi="宋体" w:eastAsia="宋体" w:cs="宋体"/>
          <w:b w:val="0"/>
          <w:bCs w:val="0"/>
          <w:color w:val="auto"/>
          <w:sz w:val="21"/>
          <w:szCs w:val="21"/>
          <w:highlight w:val="none"/>
          <w:lang w:val="en-US" w:eastAsia="zh-CN"/>
        </w:rPr>
        <w:t>档案整理服务费用结算：按</w:t>
      </w:r>
      <w:r>
        <w:rPr>
          <w:rFonts w:hint="eastAsia" w:ascii="宋体" w:hAnsi="宋体" w:cs="宋体"/>
          <w:b w:val="0"/>
          <w:bCs w:val="0"/>
          <w:color w:val="auto"/>
          <w:sz w:val="21"/>
          <w:szCs w:val="21"/>
          <w:highlight w:val="none"/>
          <w:lang w:val="en-US" w:eastAsia="zh-CN"/>
        </w:rPr>
        <w:t>用户</w:t>
      </w:r>
      <w:r>
        <w:rPr>
          <w:rFonts w:hint="eastAsia" w:ascii="宋体" w:hAnsi="宋体" w:eastAsia="宋体" w:cs="宋体"/>
          <w:b w:val="0"/>
          <w:bCs w:val="0"/>
          <w:color w:val="auto"/>
          <w:sz w:val="21"/>
          <w:szCs w:val="21"/>
          <w:highlight w:val="none"/>
          <w:lang w:val="en-US" w:eastAsia="zh-CN"/>
        </w:rPr>
        <w:t>实际扫描数量统计，经</w:t>
      </w:r>
      <w:r>
        <w:rPr>
          <w:rFonts w:hint="eastAsia" w:ascii="宋体" w:hAnsi="宋体" w:cs="宋体"/>
          <w:b w:val="0"/>
          <w:bCs w:val="0"/>
          <w:color w:val="auto"/>
          <w:sz w:val="21"/>
          <w:szCs w:val="21"/>
          <w:highlight w:val="none"/>
          <w:lang w:val="en-US" w:eastAsia="zh-CN"/>
        </w:rPr>
        <w:t>用户及乙方</w:t>
      </w:r>
      <w:r>
        <w:rPr>
          <w:rFonts w:hint="eastAsia" w:ascii="宋体" w:hAnsi="宋体" w:eastAsia="宋体" w:cs="宋体"/>
          <w:b w:val="0"/>
          <w:bCs w:val="0"/>
          <w:color w:val="auto"/>
          <w:sz w:val="21"/>
          <w:szCs w:val="21"/>
          <w:highlight w:val="none"/>
          <w:lang w:val="en-US" w:eastAsia="zh-CN"/>
        </w:rPr>
        <w:t>双方签字确认数量，根据</w:t>
      </w:r>
      <w:r>
        <w:rPr>
          <w:rFonts w:hint="eastAsia" w:ascii="宋体" w:hAnsi="宋体" w:cs="宋体"/>
          <w:b w:val="0"/>
          <w:bCs w:val="0"/>
          <w:color w:val="auto"/>
          <w:sz w:val="21"/>
          <w:szCs w:val="21"/>
          <w:highlight w:val="none"/>
          <w:lang w:val="en-US" w:eastAsia="zh-CN"/>
        </w:rPr>
        <w:t>乙方</w:t>
      </w:r>
      <w:r>
        <w:rPr>
          <w:rFonts w:hint="eastAsia" w:ascii="宋体" w:hAnsi="宋体" w:eastAsia="宋体" w:cs="宋体"/>
          <w:b w:val="0"/>
          <w:bCs w:val="0"/>
          <w:color w:val="auto"/>
          <w:sz w:val="21"/>
          <w:szCs w:val="21"/>
          <w:highlight w:val="none"/>
          <w:lang w:val="en-US" w:eastAsia="zh-CN"/>
        </w:rPr>
        <w:t>投标时的单价结算，服务费用</w:t>
      </w:r>
      <w:r>
        <w:rPr>
          <w:rFonts w:hint="eastAsia" w:ascii="宋体" w:hAnsi="宋体" w:cs="宋体"/>
          <w:b w:val="0"/>
          <w:bCs w:val="0"/>
          <w:color w:val="auto"/>
          <w:sz w:val="21"/>
          <w:szCs w:val="21"/>
          <w:highlight w:val="none"/>
          <w:lang w:val="en-US" w:eastAsia="zh-CN"/>
        </w:rPr>
        <w:t>由各用户</w:t>
      </w:r>
      <w:r>
        <w:rPr>
          <w:rFonts w:hint="eastAsia" w:ascii="宋体" w:hAnsi="宋体" w:eastAsia="宋体" w:cs="宋体"/>
          <w:b w:val="0"/>
          <w:bCs w:val="0"/>
          <w:color w:val="auto"/>
          <w:sz w:val="21"/>
          <w:szCs w:val="21"/>
          <w:highlight w:val="none"/>
          <w:lang w:val="en-US" w:eastAsia="zh-CN"/>
        </w:rPr>
        <w:t>每月结算一次。</w:t>
      </w:r>
    </w:p>
    <w:p>
      <w:pPr>
        <w:numPr>
          <w:ilvl w:val="0"/>
          <w:numId w:val="38"/>
        </w:numPr>
        <w:tabs>
          <w:tab w:val="left" w:pos="426"/>
          <w:tab w:val="clear" w:pos="420"/>
        </w:tabs>
        <w:autoSpaceDE w:val="0"/>
        <w:autoSpaceDN w:val="0"/>
        <w:adjustRightInd w:val="0"/>
        <w:spacing w:line="360" w:lineRule="auto"/>
        <w:jc w:val="left"/>
        <w:rPr>
          <w:rFonts w:hint="eastAsia" w:ascii="宋体" w:hAnsi="宋体"/>
          <w:b/>
          <w:color w:val="auto"/>
          <w:szCs w:val="21"/>
          <w:highlight w:val="none"/>
        </w:rPr>
      </w:pPr>
      <w:r>
        <w:rPr>
          <w:rFonts w:hint="eastAsia" w:ascii="宋体" w:hAnsi="宋体"/>
          <w:b/>
          <w:color w:val="auto"/>
          <w:szCs w:val="21"/>
          <w:highlight w:val="none"/>
        </w:rPr>
        <w:t>服务期间（项目完成期限）</w:t>
      </w:r>
    </w:p>
    <w:p>
      <w:pPr>
        <w:spacing w:line="360" w:lineRule="auto"/>
        <w:ind w:firstLine="435"/>
        <w:rPr>
          <w:rFonts w:hint="eastAsia" w:ascii="宋体" w:hAnsi="宋体"/>
          <w:color w:val="auto"/>
          <w:szCs w:val="21"/>
          <w:highlight w:val="none"/>
        </w:rPr>
      </w:pPr>
      <w:r>
        <w:rPr>
          <w:rFonts w:hint="eastAsia" w:ascii="宋体" w:hAnsi="宋体"/>
          <w:color w:val="auto"/>
          <w:szCs w:val="21"/>
          <w:highlight w:val="none"/>
        </w:rPr>
        <w:t>委托服务期间自______年______月至______年______月止。</w:t>
      </w:r>
    </w:p>
    <w:p>
      <w:pPr>
        <w:numPr>
          <w:ilvl w:val="0"/>
          <w:numId w:val="38"/>
        </w:numPr>
        <w:tabs>
          <w:tab w:val="left" w:pos="426"/>
          <w:tab w:val="clear" w:pos="420"/>
        </w:tabs>
        <w:autoSpaceDE w:val="0"/>
        <w:autoSpaceDN w:val="0"/>
        <w:adjustRightInd w:val="0"/>
        <w:spacing w:line="360" w:lineRule="auto"/>
        <w:jc w:val="left"/>
        <w:rPr>
          <w:rFonts w:hint="eastAsia" w:ascii="宋体" w:hAnsi="宋体"/>
          <w:b/>
          <w:color w:val="auto"/>
          <w:szCs w:val="21"/>
          <w:highlight w:val="none"/>
        </w:rPr>
      </w:pPr>
      <w:r>
        <w:rPr>
          <w:rFonts w:hint="eastAsia" w:ascii="宋体" w:hAnsi="宋体"/>
          <w:b/>
          <w:color w:val="auto"/>
          <w:szCs w:val="21"/>
          <w:highlight w:val="none"/>
        </w:rPr>
        <w:t>付款方式（招标文件第二册用户需求书另有规定从其规定）</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由甲方按下列程序付款。</w:t>
      </w:r>
    </w:p>
    <w:p>
      <w:pPr>
        <w:pStyle w:val="8"/>
        <w:numPr>
          <w:ilvl w:val="0"/>
          <w:numId w:val="48"/>
        </w:numPr>
        <w:tabs>
          <w:tab w:val="left" w:pos="425"/>
          <w:tab w:val="left" w:pos="2340"/>
        </w:tabs>
        <w:adjustRightInd w:val="0"/>
        <w:snapToGrid w:val="0"/>
        <w:spacing w:line="360" w:lineRule="auto"/>
        <w:ind w:left="425" w:leftChars="0" w:hanging="425" w:firstLineChars="0"/>
        <w:rPr>
          <w:rFonts w:hint="eastAsia" w:hAnsi="宋体"/>
          <w:bCs/>
          <w:color w:val="auto"/>
          <w:highlight w:val="none"/>
        </w:rPr>
      </w:pPr>
      <w:r>
        <w:rPr>
          <w:rFonts w:hint="eastAsia" w:hAnsi="宋体"/>
          <w:bCs/>
          <w:color w:val="auto"/>
          <w:highlight w:val="none"/>
        </w:rPr>
        <w:t>签订合同后15个工作日内，</w:t>
      </w:r>
      <w:r>
        <w:rPr>
          <w:rFonts w:hint="eastAsia" w:hAnsi="宋体"/>
          <w:bCs/>
          <w:color w:val="auto"/>
          <w:highlight w:val="none"/>
          <w:lang w:eastAsia="zh-CN"/>
        </w:rPr>
        <w:t>乙方</w:t>
      </w:r>
      <w:r>
        <w:rPr>
          <w:rFonts w:hint="eastAsia" w:hAnsi="宋体"/>
          <w:bCs/>
          <w:color w:val="auto"/>
          <w:highlight w:val="none"/>
        </w:rPr>
        <w:t>向</w:t>
      </w:r>
      <w:r>
        <w:rPr>
          <w:rFonts w:hint="eastAsia" w:hAnsi="宋体"/>
          <w:bCs/>
          <w:color w:val="auto"/>
          <w:highlight w:val="none"/>
          <w:lang w:eastAsia="zh-CN"/>
        </w:rPr>
        <w:t>分别向用户</w:t>
      </w:r>
      <w:r>
        <w:rPr>
          <w:rFonts w:hint="eastAsia" w:hAnsi="宋体"/>
          <w:bCs/>
          <w:color w:val="auto"/>
          <w:highlight w:val="none"/>
        </w:rPr>
        <w:t>提出申请，</w:t>
      </w:r>
      <w:r>
        <w:rPr>
          <w:rFonts w:hint="eastAsia" w:hAnsi="宋体"/>
          <w:bCs/>
          <w:color w:val="auto"/>
          <w:highlight w:val="none"/>
          <w:lang w:eastAsia="zh-CN"/>
        </w:rPr>
        <w:t>用户</w:t>
      </w:r>
      <w:r>
        <w:rPr>
          <w:rFonts w:hint="eastAsia" w:hAnsi="宋体"/>
          <w:bCs/>
          <w:color w:val="auto"/>
          <w:highlight w:val="none"/>
        </w:rPr>
        <w:t>向</w:t>
      </w:r>
      <w:r>
        <w:rPr>
          <w:rFonts w:hint="eastAsia" w:hAnsi="宋体"/>
          <w:bCs/>
          <w:color w:val="auto"/>
          <w:highlight w:val="none"/>
          <w:lang w:eastAsia="zh-CN"/>
        </w:rPr>
        <w:t>中标人</w:t>
      </w:r>
      <w:r>
        <w:rPr>
          <w:rFonts w:hint="eastAsia" w:hAnsi="宋体"/>
          <w:bCs/>
          <w:color w:val="auto"/>
          <w:highlight w:val="none"/>
        </w:rPr>
        <w:t>支付合同总额的20%</w:t>
      </w:r>
      <w:r>
        <w:rPr>
          <w:rFonts w:hint="eastAsia" w:hAnsi="宋体"/>
          <w:bCs/>
          <w:color w:val="auto"/>
          <w:highlight w:val="none"/>
          <w:lang w:eastAsia="zh-CN"/>
        </w:rPr>
        <w:t>（即：</w:t>
      </w:r>
      <w:r>
        <w:rPr>
          <w:rFonts w:hint="eastAsia" w:ascii="Times New Roman" w:hAnsi="Times New Roman" w:eastAsia="宋体" w:cs="Times New Roman"/>
          <w:bCs w:val="0"/>
          <w:color w:val="auto"/>
          <w:spacing w:val="0"/>
          <w:kern w:val="2"/>
          <w:sz w:val="21"/>
          <w:szCs w:val="24"/>
          <w:highlight w:val="none"/>
          <w:lang w:val="en-US" w:eastAsia="zh-CN" w:bidi="ar-SA"/>
        </w:rPr>
        <w:t>铁投</w:t>
      </w:r>
      <w:r>
        <w:rPr>
          <w:rFonts w:hint="eastAsia" w:ascii="Times New Roman" w:hAnsi="Times New Roman" w:cs="Times New Roman"/>
          <w:bCs w:val="0"/>
          <w:color w:val="auto"/>
          <w:spacing w:val="0"/>
          <w:kern w:val="2"/>
          <w:sz w:val="21"/>
          <w:szCs w:val="24"/>
          <w:highlight w:val="none"/>
          <w:lang w:val="en-US" w:eastAsia="zh-CN" w:bidi="ar-SA"/>
        </w:rPr>
        <w:t xml:space="preserve">支付      </w:t>
      </w:r>
      <w:r>
        <w:rPr>
          <w:rFonts w:hint="eastAsia" w:ascii="Times New Roman" w:hAnsi="Times New Roman" w:eastAsia="宋体" w:cs="Times New Roman"/>
          <w:bCs w:val="0"/>
          <w:color w:val="auto"/>
          <w:spacing w:val="0"/>
          <w:kern w:val="2"/>
          <w:sz w:val="21"/>
          <w:szCs w:val="24"/>
          <w:highlight w:val="none"/>
          <w:lang w:val="en-US" w:eastAsia="zh-CN" w:bidi="ar-SA"/>
        </w:rPr>
        <w:t>，西投</w:t>
      </w:r>
      <w:r>
        <w:rPr>
          <w:rFonts w:hint="eastAsia" w:ascii="Times New Roman" w:hAnsi="Times New Roman" w:cs="Times New Roman"/>
          <w:bCs w:val="0"/>
          <w:color w:val="auto"/>
          <w:spacing w:val="0"/>
          <w:kern w:val="2"/>
          <w:sz w:val="21"/>
          <w:szCs w:val="24"/>
          <w:highlight w:val="none"/>
          <w:lang w:val="en-US" w:eastAsia="zh-CN" w:bidi="ar-SA"/>
        </w:rPr>
        <w:t xml:space="preserve">支付      </w:t>
      </w:r>
      <w:r>
        <w:rPr>
          <w:rFonts w:hint="eastAsia" w:ascii="Times New Roman" w:hAnsi="Times New Roman" w:eastAsia="宋体" w:cs="Times New Roman"/>
          <w:bCs w:val="0"/>
          <w:color w:val="auto"/>
          <w:spacing w:val="0"/>
          <w:kern w:val="2"/>
          <w:sz w:val="21"/>
          <w:szCs w:val="24"/>
          <w:highlight w:val="none"/>
          <w:lang w:val="en-US" w:eastAsia="zh-CN" w:bidi="ar-SA"/>
        </w:rPr>
        <w:t>，大业佳诚</w:t>
      </w:r>
      <w:r>
        <w:rPr>
          <w:rFonts w:hint="eastAsia" w:ascii="Times New Roman" w:hAnsi="Times New Roman" w:cs="Times New Roman"/>
          <w:bCs w:val="0"/>
          <w:color w:val="auto"/>
          <w:spacing w:val="0"/>
          <w:kern w:val="2"/>
          <w:sz w:val="21"/>
          <w:szCs w:val="24"/>
          <w:highlight w:val="none"/>
          <w:lang w:val="en-US" w:eastAsia="zh-CN" w:bidi="ar-SA"/>
        </w:rPr>
        <w:t xml:space="preserve">支付      </w:t>
      </w:r>
      <w:r>
        <w:rPr>
          <w:rFonts w:hint="eastAsia" w:hAnsi="宋体"/>
          <w:bCs/>
          <w:color w:val="auto"/>
          <w:highlight w:val="none"/>
          <w:lang w:eastAsia="zh-CN"/>
        </w:rPr>
        <w:t>）</w:t>
      </w:r>
      <w:r>
        <w:rPr>
          <w:rFonts w:hint="eastAsia" w:hAnsi="宋体"/>
          <w:bCs/>
          <w:color w:val="auto"/>
          <w:highlight w:val="none"/>
        </w:rPr>
        <w:t>。</w:t>
      </w:r>
    </w:p>
    <w:p>
      <w:pPr>
        <w:pStyle w:val="8"/>
        <w:numPr>
          <w:ilvl w:val="0"/>
          <w:numId w:val="48"/>
        </w:numPr>
        <w:tabs>
          <w:tab w:val="left" w:pos="425"/>
          <w:tab w:val="left" w:pos="2340"/>
        </w:tabs>
        <w:adjustRightInd w:val="0"/>
        <w:snapToGrid w:val="0"/>
        <w:spacing w:line="360" w:lineRule="auto"/>
        <w:ind w:left="425" w:leftChars="0" w:hanging="425" w:firstLineChars="0"/>
        <w:rPr>
          <w:rFonts w:hint="eastAsia" w:ascii="宋体" w:hAnsi="宋体" w:eastAsia="宋体" w:cs="宋体"/>
          <w:color w:val="auto"/>
          <w:sz w:val="21"/>
          <w:szCs w:val="21"/>
          <w:highlight w:val="none"/>
          <w:u w:val="none"/>
        </w:rPr>
      </w:pPr>
      <w:r>
        <w:rPr>
          <w:rFonts w:hint="eastAsia" w:ascii="宋体" w:hAnsi="宋体" w:eastAsia="宋体" w:cs="宋体"/>
          <w:snapToGrid w:val="0"/>
          <w:color w:val="auto"/>
          <w:kern w:val="0"/>
          <w:sz w:val="21"/>
          <w:szCs w:val="21"/>
          <w:highlight w:val="none"/>
        </w:rPr>
        <w:t>项目设备及软件进场并</w:t>
      </w:r>
      <w:r>
        <w:rPr>
          <w:rFonts w:hint="eastAsia" w:ascii="宋体" w:hAnsi="宋体" w:eastAsia="宋体" w:cs="宋体"/>
          <w:snapToGrid w:val="0"/>
          <w:color w:val="auto"/>
          <w:kern w:val="0"/>
          <w:sz w:val="21"/>
          <w:szCs w:val="21"/>
          <w:highlight w:val="none"/>
          <w:lang w:eastAsia="zh-CN"/>
        </w:rPr>
        <w:t>完成</w:t>
      </w:r>
      <w:r>
        <w:rPr>
          <w:rFonts w:hint="eastAsia" w:ascii="宋体" w:hAnsi="宋体" w:eastAsia="宋体" w:cs="宋体"/>
          <w:snapToGrid w:val="0"/>
          <w:color w:val="auto"/>
          <w:kern w:val="0"/>
          <w:sz w:val="21"/>
          <w:szCs w:val="21"/>
          <w:highlight w:val="none"/>
        </w:rPr>
        <w:t>系统建设后1</w:t>
      </w:r>
      <w:r>
        <w:rPr>
          <w:rFonts w:hint="eastAsia" w:ascii="宋体" w:hAnsi="宋体" w:eastAsia="宋体" w:cs="宋体"/>
          <w:snapToGrid w:val="0"/>
          <w:color w:val="auto"/>
          <w:kern w:val="0"/>
          <w:sz w:val="21"/>
          <w:szCs w:val="21"/>
          <w:highlight w:val="none"/>
          <w:lang w:val="en-US" w:eastAsia="zh-CN"/>
        </w:rPr>
        <w:t>5</w:t>
      </w:r>
      <w:r>
        <w:rPr>
          <w:rFonts w:hint="eastAsia" w:ascii="宋体" w:hAnsi="宋体" w:eastAsia="宋体" w:cs="宋体"/>
          <w:snapToGrid w:val="0"/>
          <w:color w:val="auto"/>
          <w:kern w:val="0"/>
          <w:sz w:val="21"/>
          <w:szCs w:val="21"/>
          <w:highlight w:val="none"/>
        </w:rPr>
        <w:t>个工作日内，</w:t>
      </w:r>
      <w:r>
        <w:rPr>
          <w:rFonts w:hint="eastAsia" w:hAnsi="宋体" w:cs="宋体"/>
          <w:snapToGrid w:val="0"/>
          <w:color w:val="auto"/>
          <w:kern w:val="0"/>
          <w:sz w:val="21"/>
          <w:szCs w:val="21"/>
          <w:highlight w:val="none"/>
          <w:lang w:eastAsia="zh-CN"/>
        </w:rPr>
        <w:t>用户</w:t>
      </w:r>
      <w:r>
        <w:rPr>
          <w:rFonts w:hint="eastAsia" w:ascii="宋体" w:hAnsi="宋体" w:eastAsia="宋体" w:cs="宋体"/>
          <w:snapToGrid w:val="0"/>
          <w:color w:val="auto"/>
          <w:kern w:val="0"/>
          <w:sz w:val="21"/>
          <w:szCs w:val="21"/>
          <w:highlight w:val="none"/>
        </w:rPr>
        <w:t>向</w:t>
      </w:r>
      <w:r>
        <w:rPr>
          <w:rFonts w:hint="eastAsia" w:hAnsi="宋体" w:cs="宋体"/>
          <w:snapToGrid w:val="0"/>
          <w:color w:val="auto"/>
          <w:kern w:val="0"/>
          <w:sz w:val="21"/>
          <w:szCs w:val="21"/>
          <w:highlight w:val="none"/>
          <w:lang w:eastAsia="zh-CN"/>
        </w:rPr>
        <w:t>乙方</w:t>
      </w:r>
      <w:r>
        <w:rPr>
          <w:rFonts w:hint="eastAsia" w:ascii="宋体" w:hAnsi="宋体" w:eastAsia="宋体" w:cs="宋体"/>
          <w:snapToGrid w:val="0"/>
          <w:color w:val="auto"/>
          <w:kern w:val="0"/>
          <w:sz w:val="21"/>
          <w:szCs w:val="21"/>
          <w:highlight w:val="none"/>
        </w:rPr>
        <w:t>支付至合同总额的</w:t>
      </w:r>
      <w:r>
        <w:rPr>
          <w:rFonts w:hint="eastAsia" w:ascii="宋体" w:hAnsi="宋体" w:eastAsia="宋体" w:cs="宋体"/>
          <w:snapToGrid w:val="0"/>
          <w:color w:val="auto"/>
          <w:kern w:val="0"/>
          <w:sz w:val="21"/>
          <w:szCs w:val="21"/>
          <w:highlight w:val="none"/>
          <w:lang w:val="en-US" w:eastAsia="zh-CN"/>
        </w:rPr>
        <w:t>5</w:t>
      </w:r>
      <w:r>
        <w:rPr>
          <w:rFonts w:hint="eastAsia" w:ascii="宋体" w:hAnsi="宋体" w:eastAsia="宋体" w:cs="宋体"/>
          <w:snapToGrid w:val="0"/>
          <w:color w:val="auto"/>
          <w:kern w:val="0"/>
          <w:sz w:val="21"/>
          <w:szCs w:val="21"/>
          <w:highlight w:val="none"/>
        </w:rPr>
        <w:t>0%</w:t>
      </w:r>
      <w:r>
        <w:rPr>
          <w:rFonts w:hint="eastAsia" w:hAnsi="宋体"/>
          <w:bCs/>
          <w:color w:val="auto"/>
          <w:highlight w:val="none"/>
          <w:lang w:eastAsia="zh-CN"/>
        </w:rPr>
        <w:t>（即：</w:t>
      </w:r>
      <w:r>
        <w:rPr>
          <w:rFonts w:hint="eastAsia" w:ascii="Times New Roman" w:hAnsi="Times New Roman" w:eastAsia="宋体" w:cs="Times New Roman"/>
          <w:bCs w:val="0"/>
          <w:color w:val="auto"/>
          <w:spacing w:val="0"/>
          <w:kern w:val="2"/>
          <w:sz w:val="21"/>
          <w:szCs w:val="24"/>
          <w:highlight w:val="none"/>
          <w:lang w:val="en-US" w:eastAsia="zh-CN" w:bidi="ar-SA"/>
        </w:rPr>
        <w:t>铁投</w:t>
      </w:r>
      <w:r>
        <w:rPr>
          <w:rFonts w:hint="eastAsia" w:ascii="Times New Roman" w:hAnsi="Times New Roman" w:cs="Times New Roman"/>
          <w:bCs w:val="0"/>
          <w:color w:val="auto"/>
          <w:spacing w:val="0"/>
          <w:kern w:val="2"/>
          <w:sz w:val="21"/>
          <w:szCs w:val="24"/>
          <w:highlight w:val="none"/>
          <w:lang w:val="en-US" w:eastAsia="zh-CN" w:bidi="ar-SA"/>
        </w:rPr>
        <w:t xml:space="preserve">支付      </w:t>
      </w:r>
      <w:r>
        <w:rPr>
          <w:rFonts w:hint="eastAsia" w:ascii="Times New Roman" w:hAnsi="Times New Roman" w:eastAsia="宋体" w:cs="Times New Roman"/>
          <w:bCs w:val="0"/>
          <w:color w:val="auto"/>
          <w:spacing w:val="0"/>
          <w:kern w:val="2"/>
          <w:sz w:val="21"/>
          <w:szCs w:val="24"/>
          <w:highlight w:val="none"/>
          <w:lang w:val="en-US" w:eastAsia="zh-CN" w:bidi="ar-SA"/>
        </w:rPr>
        <w:t>，西投</w:t>
      </w:r>
      <w:r>
        <w:rPr>
          <w:rFonts w:hint="eastAsia" w:ascii="Times New Roman" w:hAnsi="Times New Roman" w:cs="Times New Roman"/>
          <w:bCs w:val="0"/>
          <w:color w:val="auto"/>
          <w:spacing w:val="0"/>
          <w:kern w:val="2"/>
          <w:sz w:val="21"/>
          <w:szCs w:val="24"/>
          <w:highlight w:val="none"/>
          <w:lang w:val="en-US" w:eastAsia="zh-CN" w:bidi="ar-SA"/>
        </w:rPr>
        <w:t xml:space="preserve">支付      </w:t>
      </w:r>
      <w:r>
        <w:rPr>
          <w:rFonts w:hint="eastAsia" w:ascii="Times New Roman" w:hAnsi="Times New Roman" w:eastAsia="宋体" w:cs="Times New Roman"/>
          <w:bCs w:val="0"/>
          <w:color w:val="auto"/>
          <w:spacing w:val="0"/>
          <w:kern w:val="2"/>
          <w:sz w:val="21"/>
          <w:szCs w:val="24"/>
          <w:highlight w:val="none"/>
          <w:lang w:val="en-US" w:eastAsia="zh-CN" w:bidi="ar-SA"/>
        </w:rPr>
        <w:t>，大业佳诚</w:t>
      </w:r>
      <w:r>
        <w:rPr>
          <w:rFonts w:hint="eastAsia" w:ascii="Times New Roman" w:hAnsi="Times New Roman" w:cs="Times New Roman"/>
          <w:bCs w:val="0"/>
          <w:color w:val="auto"/>
          <w:spacing w:val="0"/>
          <w:kern w:val="2"/>
          <w:sz w:val="21"/>
          <w:szCs w:val="24"/>
          <w:highlight w:val="none"/>
          <w:lang w:val="en-US" w:eastAsia="zh-CN" w:bidi="ar-SA"/>
        </w:rPr>
        <w:t xml:space="preserve">支付      </w:t>
      </w:r>
      <w:r>
        <w:rPr>
          <w:rFonts w:hint="eastAsia" w:hAnsi="宋体"/>
          <w:bCs/>
          <w:color w:val="auto"/>
          <w:highlight w:val="none"/>
          <w:lang w:eastAsia="zh-CN"/>
        </w:rPr>
        <w:t>）</w:t>
      </w:r>
      <w:r>
        <w:rPr>
          <w:rFonts w:hint="eastAsia" w:ascii="宋体" w:hAnsi="宋体" w:eastAsia="宋体" w:cs="宋体"/>
          <w:snapToGrid w:val="0"/>
          <w:color w:val="auto"/>
          <w:kern w:val="0"/>
          <w:sz w:val="21"/>
          <w:szCs w:val="21"/>
          <w:highlight w:val="none"/>
        </w:rPr>
        <w:t>。</w:t>
      </w:r>
    </w:p>
    <w:p>
      <w:pPr>
        <w:pStyle w:val="8"/>
        <w:numPr>
          <w:ilvl w:val="0"/>
          <w:numId w:val="48"/>
        </w:numPr>
        <w:tabs>
          <w:tab w:val="left" w:pos="425"/>
          <w:tab w:val="left" w:pos="2340"/>
        </w:tabs>
        <w:adjustRightInd w:val="0"/>
        <w:snapToGrid w:val="0"/>
        <w:spacing w:line="360" w:lineRule="auto"/>
        <w:ind w:left="425" w:leftChars="0" w:hanging="425" w:firstLineChars="0"/>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项目完成</w:t>
      </w:r>
      <w:r>
        <w:rPr>
          <w:rFonts w:hint="eastAsia" w:hAnsi="宋体" w:cs="宋体"/>
          <w:snapToGrid w:val="0"/>
          <w:color w:val="auto"/>
          <w:kern w:val="0"/>
          <w:sz w:val="21"/>
          <w:szCs w:val="21"/>
          <w:highlight w:val="none"/>
          <w:lang w:val="en-US" w:eastAsia="zh-CN"/>
        </w:rPr>
        <w:t>项目整体</w:t>
      </w:r>
      <w:r>
        <w:rPr>
          <w:rFonts w:hint="eastAsia" w:ascii="宋体" w:hAnsi="宋体" w:eastAsia="宋体" w:cs="宋体"/>
          <w:snapToGrid w:val="0"/>
          <w:color w:val="auto"/>
          <w:kern w:val="0"/>
          <w:sz w:val="21"/>
          <w:szCs w:val="21"/>
          <w:highlight w:val="none"/>
          <w:lang w:val="en-US" w:eastAsia="zh-CN"/>
        </w:rPr>
        <w:t>验收后15个工作日内，</w:t>
      </w:r>
      <w:r>
        <w:rPr>
          <w:rFonts w:hint="eastAsia" w:hAnsi="宋体" w:cs="宋体"/>
          <w:snapToGrid w:val="0"/>
          <w:color w:val="auto"/>
          <w:kern w:val="0"/>
          <w:sz w:val="21"/>
          <w:szCs w:val="21"/>
          <w:highlight w:val="none"/>
          <w:lang w:val="en-US" w:eastAsia="zh-CN"/>
        </w:rPr>
        <w:t>用户</w:t>
      </w:r>
      <w:r>
        <w:rPr>
          <w:rFonts w:hint="eastAsia" w:ascii="宋体" w:hAnsi="宋体" w:eastAsia="宋体" w:cs="宋体"/>
          <w:snapToGrid w:val="0"/>
          <w:color w:val="auto"/>
          <w:kern w:val="0"/>
          <w:sz w:val="21"/>
          <w:szCs w:val="21"/>
          <w:highlight w:val="none"/>
          <w:lang w:val="en-US" w:eastAsia="zh-CN"/>
        </w:rPr>
        <w:t>向</w:t>
      </w:r>
      <w:r>
        <w:rPr>
          <w:rFonts w:hint="eastAsia" w:hAnsi="宋体" w:cs="宋体"/>
          <w:snapToGrid w:val="0"/>
          <w:color w:val="auto"/>
          <w:kern w:val="0"/>
          <w:sz w:val="21"/>
          <w:szCs w:val="21"/>
          <w:highlight w:val="none"/>
          <w:lang w:val="en-US" w:eastAsia="zh-CN"/>
        </w:rPr>
        <w:t>乙方</w:t>
      </w:r>
      <w:r>
        <w:rPr>
          <w:rFonts w:hint="eastAsia" w:ascii="宋体" w:hAnsi="宋体" w:eastAsia="宋体" w:cs="宋体"/>
          <w:snapToGrid w:val="0"/>
          <w:color w:val="auto"/>
          <w:kern w:val="0"/>
          <w:sz w:val="21"/>
          <w:szCs w:val="21"/>
          <w:highlight w:val="none"/>
          <w:lang w:val="en-US" w:eastAsia="zh-CN"/>
        </w:rPr>
        <w:t>支付至结算总价的95%</w:t>
      </w:r>
      <w:r>
        <w:rPr>
          <w:rFonts w:hint="eastAsia" w:hAnsi="宋体"/>
          <w:bCs/>
          <w:color w:val="auto"/>
          <w:highlight w:val="none"/>
          <w:lang w:eastAsia="zh-CN"/>
        </w:rPr>
        <w:t>（即：</w:t>
      </w:r>
      <w:r>
        <w:rPr>
          <w:rFonts w:hint="eastAsia" w:ascii="Times New Roman" w:hAnsi="Times New Roman" w:eastAsia="宋体" w:cs="Times New Roman"/>
          <w:bCs w:val="0"/>
          <w:color w:val="auto"/>
          <w:spacing w:val="0"/>
          <w:kern w:val="2"/>
          <w:sz w:val="21"/>
          <w:szCs w:val="24"/>
          <w:highlight w:val="none"/>
          <w:lang w:val="en-US" w:eastAsia="zh-CN" w:bidi="ar-SA"/>
        </w:rPr>
        <w:t>铁投</w:t>
      </w:r>
      <w:r>
        <w:rPr>
          <w:rFonts w:hint="eastAsia" w:ascii="Times New Roman" w:hAnsi="Times New Roman" w:cs="Times New Roman"/>
          <w:bCs w:val="0"/>
          <w:color w:val="auto"/>
          <w:spacing w:val="0"/>
          <w:kern w:val="2"/>
          <w:sz w:val="21"/>
          <w:szCs w:val="24"/>
          <w:highlight w:val="none"/>
          <w:lang w:val="en-US" w:eastAsia="zh-CN" w:bidi="ar-SA"/>
        </w:rPr>
        <w:t xml:space="preserve">支付      </w:t>
      </w:r>
      <w:r>
        <w:rPr>
          <w:rFonts w:hint="eastAsia" w:ascii="Times New Roman" w:hAnsi="Times New Roman" w:eastAsia="宋体" w:cs="Times New Roman"/>
          <w:bCs w:val="0"/>
          <w:color w:val="auto"/>
          <w:spacing w:val="0"/>
          <w:kern w:val="2"/>
          <w:sz w:val="21"/>
          <w:szCs w:val="24"/>
          <w:highlight w:val="none"/>
          <w:lang w:val="en-US" w:eastAsia="zh-CN" w:bidi="ar-SA"/>
        </w:rPr>
        <w:t>，西投</w:t>
      </w:r>
      <w:r>
        <w:rPr>
          <w:rFonts w:hint="eastAsia" w:ascii="Times New Roman" w:hAnsi="Times New Roman" w:cs="Times New Roman"/>
          <w:bCs w:val="0"/>
          <w:color w:val="auto"/>
          <w:spacing w:val="0"/>
          <w:kern w:val="2"/>
          <w:sz w:val="21"/>
          <w:szCs w:val="24"/>
          <w:highlight w:val="none"/>
          <w:lang w:val="en-US" w:eastAsia="zh-CN" w:bidi="ar-SA"/>
        </w:rPr>
        <w:t xml:space="preserve">支付      </w:t>
      </w:r>
      <w:r>
        <w:rPr>
          <w:rFonts w:hint="eastAsia" w:ascii="Times New Roman" w:hAnsi="Times New Roman" w:eastAsia="宋体" w:cs="Times New Roman"/>
          <w:bCs w:val="0"/>
          <w:color w:val="auto"/>
          <w:spacing w:val="0"/>
          <w:kern w:val="2"/>
          <w:sz w:val="21"/>
          <w:szCs w:val="24"/>
          <w:highlight w:val="none"/>
          <w:lang w:val="en-US" w:eastAsia="zh-CN" w:bidi="ar-SA"/>
        </w:rPr>
        <w:t>，大业佳诚</w:t>
      </w:r>
      <w:r>
        <w:rPr>
          <w:rFonts w:hint="eastAsia" w:ascii="Times New Roman" w:hAnsi="Times New Roman" w:cs="Times New Roman"/>
          <w:bCs w:val="0"/>
          <w:color w:val="auto"/>
          <w:spacing w:val="0"/>
          <w:kern w:val="2"/>
          <w:sz w:val="21"/>
          <w:szCs w:val="24"/>
          <w:highlight w:val="none"/>
          <w:lang w:val="en-US" w:eastAsia="zh-CN" w:bidi="ar-SA"/>
        </w:rPr>
        <w:t xml:space="preserve">支付      </w:t>
      </w:r>
      <w:r>
        <w:rPr>
          <w:rFonts w:hint="eastAsia" w:hAnsi="宋体"/>
          <w:bCs/>
          <w:color w:val="auto"/>
          <w:highlight w:val="none"/>
          <w:lang w:eastAsia="zh-CN"/>
        </w:rPr>
        <w:t>）</w:t>
      </w:r>
      <w:r>
        <w:rPr>
          <w:rFonts w:hint="eastAsia" w:ascii="宋体" w:hAnsi="宋体" w:eastAsia="宋体" w:cs="宋体"/>
          <w:snapToGrid w:val="0"/>
          <w:color w:val="auto"/>
          <w:kern w:val="0"/>
          <w:sz w:val="21"/>
          <w:szCs w:val="21"/>
          <w:highlight w:val="none"/>
          <w:lang w:val="en-US" w:eastAsia="zh-CN"/>
        </w:rPr>
        <w:t>。</w:t>
      </w:r>
    </w:p>
    <w:p>
      <w:pPr>
        <w:pStyle w:val="8"/>
        <w:numPr>
          <w:ilvl w:val="0"/>
          <w:numId w:val="48"/>
        </w:numPr>
        <w:tabs>
          <w:tab w:val="left" w:pos="425"/>
          <w:tab w:val="left" w:pos="2340"/>
        </w:tabs>
        <w:adjustRightInd w:val="0"/>
        <w:snapToGrid w:val="0"/>
        <w:spacing w:line="360" w:lineRule="auto"/>
        <w:ind w:left="425" w:leftChars="0" w:hanging="425" w:firstLineChars="0"/>
        <w:rPr>
          <w:rFonts w:hint="eastAsia" w:hAnsi="宋体"/>
          <w:bCs/>
          <w:color w:val="auto"/>
          <w:highlight w:val="none"/>
        </w:rPr>
      </w:pPr>
      <w:r>
        <w:rPr>
          <w:rFonts w:hint="eastAsia" w:ascii="宋体" w:hAnsi="宋体" w:eastAsia="宋体" w:cs="宋体"/>
          <w:snapToGrid w:val="0"/>
          <w:color w:val="auto"/>
          <w:kern w:val="0"/>
          <w:sz w:val="21"/>
          <w:szCs w:val="21"/>
          <w:highlight w:val="none"/>
          <w:lang w:val="en-US" w:eastAsia="zh-CN"/>
        </w:rPr>
        <w:t>项目</w:t>
      </w:r>
      <w:r>
        <w:rPr>
          <w:rFonts w:hint="eastAsia" w:hAnsi="宋体" w:cs="宋体"/>
          <w:snapToGrid w:val="0"/>
          <w:color w:val="auto"/>
          <w:kern w:val="0"/>
          <w:sz w:val="21"/>
          <w:szCs w:val="21"/>
          <w:highlight w:val="none"/>
          <w:lang w:val="en-US" w:eastAsia="zh-CN"/>
        </w:rPr>
        <w:t>质保期</w:t>
      </w:r>
      <w:r>
        <w:rPr>
          <w:rFonts w:hint="eastAsia" w:ascii="宋体" w:hAnsi="宋体" w:eastAsia="宋体" w:cs="宋体"/>
          <w:snapToGrid w:val="0"/>
          <w:color w:val="auto"/>
          <w:kern w:val="0"/>
          <w:sz w:val="21"/>
          <w:szCs w:val="21"/>
          <w:highlight w:val="none"/>
          <w:lang w:val="en-US" w:eastAsia="zh-CN"/>
        </w:rPr>
        <w:t>完成后15个工作日内，</w:t>
      </w:r>
      <w:r>
        <w:rPr>
          <w:rFonts w:hint="eastAsia" w:hAnsi="宋体" w:cs="宋体"/>
          <w:snapToGrid w:val="0"/>
          <w:color w:val="auto"/>
          <w:kern w:val="0"/>
          <w:sz w:val="21"/>
          <w:szCs w:val="21"/>
          <w:highlight w:val="none"/>
          <w:lang w:val="en-US" w:eastAsia="zh-CN"/>
        </w:rPr>
        <w:t>用户</w:t>
      </w:r>
      <w:r>
        <w:rPr>
          <w:rFonts w:hint="eastAsia" w:ascii="宋体" w:hAnsi="宋体" w:eastAsia="宋体" w:cs="宋体"/>
          <w:snapToGrid w:val="0"/>
          <w:color w:val="auto"/>
          <w:kern w:val="0"/>
          <w:sz w:val="21"/>
          <w:szCs w:val="21"/>
          <w:highlight w:val="none"/>
          <w:lang w:val="en-US" w:eastAsia="zh-CN"/>
        </w:rPr>
        <w:t>向</w:t>
      </w:r>
      <w:r>
        <w:rPr>
          <w:rFonts w:hint="eastAsia" w:hAnsi="宋体" w:cs="宋体"/>
          <w:snapToGrid w:val="0"/>
          <w:color w:val="auto"/>
          <w:kern w:val="0"/>
          <w:sz w:val="21"/>
          <w:szCs w:val="21"/>
          <w:highlight w:val="none"/>
          <w:lang w:val="en-US" w:eastAsia="zh-CN"/>
        </w:rPr>
        <w:t>乙方</w:t>
      </w:r>
      <w:r>
        <w:rPr>
          <w:rFonts w:hint="eastAsia" w:ascii="宋体" w:hAnsi="宋体" w:eastAsia="宋体" w:cs="宋体"/>
          <w:snapToGrid w:val="0"/>
          <w:color w:val="auto"/>
          <w:kern w:val="0"/>
          <w:sz w:val="21"/>
          <w:szCs w:val="21"/>
          <w:highlight w:val="none"/>
          <w:lang w:val="en-US" w:eastAsia="zh-CN"/>
        </w:rPr>
        <w:t>支付至结算总价的100%</w:t>
      </w:r>
      <w:r>
        <w:rPr>
          <w:rFonts w:hint="eastAsia" w:hAnsi="宋体"/>
          <w:bCs/>
          <w:color w:val="auto"/>
          <w:highlight w:val="none"/>
          <w:lang w:eastAsia="zh-CN"/>
        </w:rPr>
        <w:t>（即：</w:t>
      </w:r>
      <w:r>
        <w:rPr>
          <w:rFonts w:hint="eastAsia" w:ascii="Times New Roman" w:hAnsi="Times New Roman" w:eastAsia="宋体" w:cs="Times New Roman"/>
          <w:bCs w:val="0"/>
          <w:color w:val="auto"/>
          <w:spacing w:val="0"/>
          <w:kern w:val="2"/>
          <w:sz w:val="21"/>
          <w:szCs w:val="24"/>
          <w:highlight w:val="none"/>
          <w:lang w:val="en-US" w:eastAsia="zh-CN" w:bidi="ar-SA"/>
        </w:rPr>
        <w:t>铁投</w:t>
      </w:r>
      <w:r>
        <w:rPr>
          <w:rFonts w:hint="eastAsia" w:ascii="Times New Roman" w:hAnsi="Times New Roman" w:cs="Times New Roman"/>
          <w:bCs w:val="0"/>
          <w:color w:val="auto"/>
          <w:spacing w:val="0"/>
          <w:kern w:val="2"/>
          <w:sz w:val="21"/>
          <w:szCs w:val="24"/>
          <w:highlight w:val="none"/>
          <w:lang w:val="en-US" w:eastAsia="zh-CN" w:bidi="ar-SA"/>
        </w:rPr>
        <w:t xml:space="preserve">支付      </w:t>
      </w:r>
      <w:r>
        <w:rPr>
          <w:rFonts w:hint="eastAsia" w:ascii="Times New Roman" w:hAnsi="Times New Roman" w:eastAsia="宋体" w:cs="Times New Roman"/>
          <w:bCs w:val="0"/>
          <w:color w:val="auto"/>
          <w:spacing w:val="0"/>
          <w:kern w:val="2"/>
          <w:sz w:val="21"/>
          <w:szCs w:val="24"/>
          <w:highlight w:val="none"/>
          <w:lang w:val="en-US" w:eastAsia="zh-CN" w:bidi="ar-SA"/>
        </w:rPr>
        <w:t>，西投</w:t>
      </w:r>
      <w:r>
        <w:rPr>
          <w:rFonts w:hint="eastAsia" w:ascii="Times New Roman" w:hAnsi="Times New Roman" w:cs="Times New Roman"/>
          <w:bCs w:val="0"/>
          <w:color w:val="auto"/>
          <w:spacing w:val="0"/>
          <w:kern w:val="2"/>
          <w:sz w:val="21"/>
          <w:szCs w:val="24"/>
          <w:highlight w:val="none"/>
          <w:lang w:val="en-US" w:eastAsia="zh-CN" w:bidi="ar-SA"/>
        </w:rPr>
        <w:t xml:space="preserve">支付      </w:t>
      </w:r>
      <w:r>
        <w:rPr>
          <w:rFonts w:hint="eastAsia" w:ascii="Times New Roman" w:hAnsi="Times New Roman" w:eastAsia="宋体" w:cs="Times New Roman"/>
          <w:bCs w:val="0"/>
          <w:color w:val="auto"/>
          <w:spacing w:val="0"/>
          <w:kern w:val="2"/>
          <w:sz w:val="21"/>
          <w:szCs w:val="24"/>
          <w:highlight w:val="none"/>
          <w:lang w:val="en-US" w:eastAsia="zh-CN" w:bidi="ar-SA"/>
        </w:rPr>
        <w:t>，大业佳诚</w:t>
      </w:r>
      <w:r>
        <w:rPr>
          <w:rFonts w:hint="eastAsia" w:ascii="Times New Roman" w:hAnsi="Times New Roman" w:cs="Times New Roman"/>
          <w:bCs w:val="0"/>
          <w:color w:val="auto"/>
          <w:spacing w:val="0"/>
          <w:kern w:val="2"/>
          <w:sz w:val="21"/>
          <w:szCs w:val="24"/>
          <w:highlight w:val="none"/>
          <w:lang w:val="en-US" w:eastAsia="zh-CN" w:bidi="ar-SA"/>
        </w:rPr>
        <w:t xml:space="preserve">支付      </w:t>
      </w:r>
      <w:r>
        <w:rPr>
          <w:rFonts w:hint="eastAsia" w:hAnsi="宋体"/>
          <w:bCs/>
          <w:color w:val="auto"/>
          <w:highlight w:val="none"/>
          <w:lang w:eastAsia="zh-CN"/>
        </w:rPr>
        <w:t>）</w:t>
      </w:r>
      <w:r>
        <w:rPr>
          <w:rFonts w:hint="eastAsia" w:ascii="宋体" w:hAnsi="宋体" w:eastAsia="宋体" w:cs="宋体"/>
          <w:snapToGrid w:val="0"/>
          <w:color w:val="auto"/>
          <w:kern w:val="0"/>
          <w:sz w:val="21"/>
          <w:szCs w:val="21"/>
          <w:highlight w:val="none"/>
          <w:lang w:val="en-US" w:eastAsia="zh-CN"/>
        </w:rPr>
        <w:t>。</w:t>
      </w:r>
    </w:p>
    <w:p>
      <w:pPr>
        <w:numPr>
          <w:ilvl w:val="0"/>
          <w:numId w:val="38"/>
        </w:numPr>
        <w:tabs>
          <w:tab w:val="left" w:pos="426"/>
          <w:tab w:val="clear" w:pos="420"/>
        </w:tabs>
        <w:autoSpaceDE w:val="0"/>
        <w:autoSpaceDN w:val="0"/>
        <w:adjustRightInd w:val="0"/>
        <w:spacing w:line="360" w:lineRule="auto"/>
        <w:jc w:val="left"/>
        <w:rPr>
          <w:rFonts w:hint="eastAsia" w:ascii="宋体" w:hAnsi="宋体"/>
          <w:b/>
          <w:color w:val="auto"/>
          <w:szCs w:val="21"/>
          <w:highlight w:val="none"/>
        </w:rPr>
      </w:pPr>
      <w:r>
        <w:rPr>
          <w:rFonts w:hint="eastAsia" w:ascii="宋体" w:hAnsi="宋体"/>
          <w:b/>
          <w:color w:val="auto"/>
          <w:szCs w:val="21"/>
          <w:highlight w:val="none"/>
        </w:rPr>
        <w:t>知识产权产权归属</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pPr>
        <w:numPr>
          <w:ilvl w:val="0"/>
          <w:numId w:val="38"/>
        </w:numPr>
        <w:tabs>
          <w:tab w:val="left" w:pos="426"/>
          <w:tab w:val="clear" w:pos="420"/>
        </w:tabs>
        <w:autoSpaceDE w:val="0"/>
        <w:autoSpaceDN w:val="0"/>
        <w:adjustRightInd w:val="0"/>
        <w:spacing w:line="360" w:lineRule="auto"/>
        <w:jc w:val="left"/>
        <w:rPr>
          <w:rFonts w:hint="eastAsia" w:ascii="宋体" w:hAnsi="宋体"/>
          <w:b/>
          <w:color w:val="auto"/>
          <w:szCs w:val="21"/>
          <w:highlight w:val="none"/>
        </w:rPr>
      </w:pPr>
      <w:r>
        <w:rPr>
          <w:rFonts w:hint="eastAsia" w:ascii="宋体" w:hAnsi="宋体"/>
          <w:b/>
          <w:color w:val="auto"/>
          <w:szCs w:val="21"/>
          <w:highlight w:val="none"/>
        </w:rPr>
        <w:t>违约责任与赔偿损失</w:t>
      </w:r>
    </w:p>
    <w:p>
      <w:pPr>
        <w:numPr>
          <w:ilvl w:val="0"/>
          <w:numId w:val="49"/>
        </w:numPr>
        <w:tabs>
          <w:tab w:val="left" w:pos="420"/>
        </w:tabs>
        <w:spacing w:line="360" w:lineRule="auto"/>
        <w:ind w:left="425" w:hanging="425" w:firstLineChars="0"/>
        <w:rPr>
          <w:rFonts w:hint="eastAsia" w:ascii="宋体" w:hAnsi="宋体"/>
          <w:color w:val="auto"/>
          <w:szCs w:val="21"/>
          <w:highlight w:val="none"/>
        </w:rPr>
      </w:pPr>
      <w:r>
        <w:rPr>
          <w:rFonts w:hint="eastAsia" w:ascii="宋体" w:hAnsi="宋体"/>
          <w:color w:val="auto"/>
          <w:szCs w:val="21"/>
          <w:highlight w:val="none"/>
        </w:rPr>
        <w:t>乙方提供的服务不符合采购文件、投标文件或本合同规定的，甲方有权拒收，并且乙方须向甲方方支付本合同总价5%的违约金。</w:t>
      </w:r>
    </w:p>
    <w:p>
      <w:pPr>
        <w:numPr>
          <w:ilvl w:val="0"/>
          <w:numId w:val="49"/>
        </w:numPr>
        <w:tabs>
          <w:tab w:val="left" w:pos="420"/>
          <w:tab w:val="left" w:pos="720"/>
        </w:tabs>
        <w:spacing w:line="360" w:lineRule="auto"/>
        <w:ind w:left="425" w:right="51" w:hanging="425" w:firstLineChars="0"/>
        <w:rPr>
          <w:rFonts w:hint="eastAsia" w:ascii="宋体" w:hAnsi="宋体"/>
          <w:color w:val="auto"/>
          <w:szCs w:val="21"/>
          <w:highlight w:val="none"/>
        </w:rPr>
      </w:pPr>
      <w:r>
        <w:rPr>
          <w:rFonts w:hint="eastAsia" w:ascii="宋体" w:hAnsi="宋体"/>
          <w:color w:val="auto"/>
          <w:szCs w:val="21"/>
          <w:highlight w:val="none"/>
        </w:rPr>
        <w:t>乙方未能按本合同规定的交货时间提供服务，从逾期之日起每日按本合同总价3‰的数额向甲方支付违约金；逾期半个月以上的，甲方有权终止合同，由此造成的甲方经济损失由乙方承担。</w:t>
      </w:r>
    </w:p>
    <w:p>
      <w:pPr>
        <w:numPr>
          <w:ilvl w:val="0"/>
          <w:numId w:val="49"/>
        </w:numPr>
        <w:spacing w:line="360" w:lineRule="auto"/>
        <w:ind w:left="425" w:hanging="425" w:firstLineChars="0"/>
        <w:rPr>
          <w:rFonts w:hint="eastAsia" w:ascii="宋体" w:hAnsi="宋体"/>
          <w:color w:val="auto"/>
          <w:szCs w:val="21"/>
          <w:highlight w:val="none"/>
        </w:rPr>
      </w:pPr>
      <w:r>
        <w:rPr>
          <w:rFonts w:hint="eastAsia" w:ascii="宋体" w:hAnsi="宋体"/>
          <w:color w:val="auto"/>
          <w:szCs w:val="21"/>
          <w:highlight w:val="none"/>
        </w:rPr>
        <w:t>甲方无正当理由拒收接受服务，到期拒付服务款项的，甲方向乙方偿付本合同总的5%的违约金。甲方人逾期付款，则每日按本合同总价的3‰向乙方偿付违约金。</w:t>
      </w:r>
    </w:p>
    <w:p>
      <w:pPr>
        <w:numPr>
          <w:ilvl w:val="0"/>
          <w:numId w:val="49"/>
        </w:numPr>
        <w:spacing w:line="360" w:lineRule="auto"/>
        <w:ind w:left="425" w:hanging="425" w:firstLineChars="0"/>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质量监督</w:t>
      </w:r>
    </w:p>
    <w:p>
      <w:pPr>
        <w:keepNext w:val="0"/>
        <w:keepLines w:val="0"/>
        <w:pageBreakBefore w:val="0"/>
        <w:widowControl w:val="0"/>
        <w:numPr>
          <w:ilvl w:val="0"/>
          <w:numId w:val="50"/>
        </w:numPr>
        <w:kinsoku/>
        <w:wordWrap/>
        <w:overflowPunct/>
        <w:topLinePunct w:val="0"/>
        <w:autoSpaceDE/>
        <w:autoSpaceDN/>
        <w:bidi w:val="0"/>
        <w:adjustRightInd w:val="0"/>
        <w:snapToGrid w:val="0"/>
        <w:spacing w:line="360" w:lineRule="auto"/>
        <w:ind w:left="840" w:leftChars="200" w:right="0" w:rightChars="0" w:hanging="420" w:hangingChars="200"/>
        <w:jc w:val="both"/>
        <w:textAlignment w:val="auto"/>
        <w:outlineLvl w:val="9"/>
        <w:rPr>
          <w:rFonts w:hint="eastAsia" w:ascii="宋体" w:hAnsi="宋体" w:eastAsia="宋体" w:cs="Times New Roman"/>
          <w:bCs w:val="0"/>
          <w:color w:val="auto"/>
          <w:spacing w:val="0"/>
          <w:kern w:val="2"/>
          <w:sz w:val="21"/>
          <w:szCs w:val="21"/>
          <w:highlight w:val="none"/>
          <w:lang w:val="en-US" w:eastAsia="zh-CN" w:bidi="ar-SA"/>
        </w:rPr>
      </w:pPr>
      <w:r>
        <w:rPr>
          <w:rFonts w:hint="eastAsia" w:ascii="宋体" w:hAnsi="宋体" w:eastAsia="宋体" w:cs="Times New Roman"/>
          <w:bCs w:val="0"/>
          <w:color w:val="auto"/>
          <w:spacing w:val="0"/>
          <w:kern w:val="2"/>
          <w:sz w:val="21"/>
          <w:szCs w:val="21"/>
          <w:highlight w:val="none"/>
          <w:lang w:val="en-US" w:eastAsia="zh-CN" w:bidi="ar-SA"/>
        </w:rPr>
        <w:t>凡档案格式不符合甲方档案管理规定的，经甲方检查指出仍拒不改正的，按每起人民币1000元对乙方予以处罚；</w:t>
      </w:r>
    </w:p>
    <w:p>
      <w:pPr>
        <w:keepNext w:val="0"/>
        <w:keepLines w:val="0"/>
        <w:pageBreakBefore w:val="0"/>
        <w:widowControl w:val="0"/>
        <w:numPr>
          <w:ilvl w:val="0"/>
          <w:numId w:val="50"/>
        </w:numPr>
        <w:kinsoku/>
        <w:wordWrap/>
        <w:overflowPunct/>
        <w:topLinePunct w:val="0"/>
        <w:autoSpaceDE/>
        <w:autoSpaceDN/>
        <w:bidi w:val="0"/>
        <w:adjustRightInd w:val="0"/>
        <w:snapToGrid w:val="0"/>
        <w:spacing w:line="360" w:lineRule="auto"/>
        <w:ind w:left="840" w:leftChars="200" w:right="0" w:rightChars="0" w:hanging="420" w:hangingChars="200"/>
        <w:jc w:val="both"/>
        <w:textAlignment w:val="auto"/>
        <w:outlineLvl w:val="9"/>
        <w:rPr>
          <w:rFonts w:hint="eastAsia" w:ascii="宋体" w:hAnsi="宋体" w:eastAsia="宋体" w:cs="Times New Roman"/>
          <w:bCs w:val="0"/>
          <w:color w:val="auto"/>
          <w:spacing w:val="0"/>
          <w:kern w:val="2"/>
          <w:sz w:val="21"/>
          <w:szCs w:val="21"/>
          <w:highlight w:val="none"/>
          <w:lang w:val="en-US" w:eastAsia="zh-CN" w:bidi="ar-SA"/>
        </w:rPr>
      </w:pPr>
      <w:r>
        <w:rPr>
          <w:rFonts w:hint="eastAsia" w:ascii="宋体" w:hAnsi="宋体" w:eastAsia="宋体" w:cs="Times New Roman"/>
          <w:bCs w:val="0"/>
          <w:color w:val="auto"/>
          <w:spacing w:val="0"/>
          <w:kern w:val="2"/>
          <w:sz w:val="21"/>
          <w:szCs w:val="21"/>
          <w:highlight w:val="none"/>
          <w:lang w:val="en-US" w:eastAsia="zh-CN" w:bidi="ar-SA"/>
        </w:rPr>
        <w:t>如甲方发现电子文件与条目信息不一致，经甲方检查指出仍拒不改正的，按每起人民币1000元对乙方予以处罚；</w:t>
      </w:r>
    </w:p>
    <w:p>
      <w:pPr>
        <w:keepNext w:val="0"/>
        <w:keepLines w:val="0"/>
        <w:pageBreakBefore w:val="0"/>
        <w:widowControl w:val="0"/>
        <w:numPr>
          <w:ilvl w:val="0"/>
          <w:numId w:val="50"/>
        </w:numPr>
        <w:kinsoku/>
        <w:wordWrap/>
        <w:overflowPunct/>
        <w:topLinePunct w:val="0"/>
        <w:autoSpaceDE/>
        <w:autoSpaceDN/>
        <w:bidi w:val="0"/>
        <w:adjustRightInd w:val="0"/>
        <w:snapToGrid w:val="0"/>
        <w:spacing w:line="360" w:lineRule="auto"/>
        <w:ind w:left="840" w:leftChars="200" w:right="0" w:rightChars="0" w:hanging="420" w:hangingChars="200"/>
        <w:jc w:val="both"/>
        <w:textAlignment w:val="auto"/>
        <w:outlineLvl w:val="9"/>
        <w:rPr>
          <w:rFonts w:hint="eastAsia" w:ascii="宋体" w:hAnsi="宋体" w:eastAsia="宋体" w:cs="Times New Roman"/>
          <w:bCs w:val="0"/>
          <w:color w:val="auto"/>
          <w:spacing w:val="0"/>
          <w:kern w:val="2"/>
          <w:sz w:val="21"/>
          <w:szCs w:val="21"/>
          <w:highlight w:val="none"/>
          <w:lang w:val="en-US" w:eastAsia="zh-CN" w:bidi="ar-SA"/>
        </w:rPr>
      </w:pPr>
      <w:r>
        <w:rPr>
          <w:rFonts w:hint="eastAsia" w:ascii="宋体" w:hAnsi="宋体" w:eastAsia="宋体" w:cs="Times New Roman"/>
          <w:bCs w:val="0"/>
          <w:color w:val="auto"/>
          <w:spacing w:val="0"/>
          <w:kern w:val="2"/>
          <w:sz w:val="21"/>
          <w:szCs w:val="21"/>
          <w:highlight w:val="none"/>
          <w:lang w:val="en-US" w:eastAsia="zh-CN" w:bidi="ar-SA"/>
        </w:rPr>
        <w:t>在档案接收过程中，乙方如因档案不规范拒收移交人员档案的，须明确指出不符合规范理由，如招标人收到档案移交人员投诉乙方无理由拒收档案、或故意刁难档案移交人员、或对档案移交人员提出苛刻要求的，经调查核实后，第一起予以警告，第二起开始按每起人民币10000元对乙方予以处罚，如超过五起，甲方有权终止合同。</w:t>
      </w:r>
    </w:p>
    <w:p>
      <w:pPr>
        <w:numPr>
          <w:ilvl w:val="0"/>
          <w:numId w:val="49"/>
        </w:numPr>
        <w:spacing w:line="360" w:lineRule="auto"/>
        <w:ind w:left="425" w:hanging="425"/>
        <w:rPr>
          <w:rFonts w:hint="eastAsia" w:ascii="宋体" w:hAnsi="宋体"/>
          <w:bCs/>
          <w:color w:val="auto"/>
          <w:szCs w:val="21"/>
          <w:highlight w:val="none"/>
        </w:rPr>
      </w:pPr>
      <w:r>
        <w:rPr>
          <w:rFonts w:hint="eastAsia" w:ascii="宋体" w:hAnsi="宋体"/>
          <w:bCs/>
          <w:color w:val="auto"/>
          <w:szCs w:val="21"/>
          <w:highlight w:val="none"/>
        </w:rPr>
        <w:t>其它违约责任按《中华人民共和国合同法》处理。</w:t>
      </w:r>
    </w:p>
    <w:p>
      <w:pPr>
        <w:numPr>
          <w:ilvl w:val="0"/>
          <w:numId w:val="38"/>
        </w:numPr>
        <w:tabs>
          <w:tab w:val="left" w:pos="426"/>
          <w:tab w:val="clear" w:pos="420"/>
        </w:tabs>
        <w:autoSpaceDE w:val="0"/>
        <w:autoSpaceDN w:val="0"/>
        <w:adjustRightInd w:val="0"/>
        <w:spacing w:line="360" w:lineRule="auto"/>
        <w:jc w:val="left"/>
        <w:rPr>
          <w:rFonts w:hint="eastAsia" w:ascii="宋体" w:hAnsi="宋体"/>
          <w:b/>
          <w:color w:val="auto"/>
          <w:szCs w:val="21"/>
          <w:highlight w:val="none"/>
        </w:rPr>
      </w:pPr>
      <w:r>
        <w:rPr>
          <w:rFonts w:hint="eastAsia" w:ascii="宋体" w:hAnsi="宋体"/>
          <w:b/>
          <w:color w:val="auto"/>
          <w:szCs w:val="21"/>
          <w:highlight w:val="none"/>
        </w:rPr>
        <w:t>争端的解决</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合同执行过程中发生的任何争议，如双方不能通过友好协商解决，按相关法律法规处理。</w:t>
      </w:r>
    </w:p>
    <w:p>
      <w:pPr>
        <w:numPr>
          <w:ilvl w:val="0"/>
          <w:numId w:val="38"/>
        </w:numPr>
        <w:tabs>
          <w:tab w:val="left" w:pos="426"/>
          <w:tab w:val="clear" w:pos="420"/>
        </w:tabs>
        <w:autoSpaceDE w:val="0"/>
        <w:autoSpaceDN w:val="0"/>
        <w:adjustRightInd w:val="0"/>
        <w:spacing w:line="360" w:lineRule="auto"/>
        <w:jc w:val="left"/>
        <w:rPr>
          <w:rFonts w:hint="eastAsia" w:ascii="宋体" w:hAnsi="宋体"/>
          <w:b/>
          <w:color w:val="auto"/>
          <w:szCs w:val="21"/>
          <w:highlight w:val="none"/>
        </w:rPr>
      </w:pPr>
      <w:r>
        <w:rPr>
          <w:rFonts w:hint="eastAsia" w:ascii="宋体" w:hAnsi="宋体"/>
          <w:b/>
          <w:color w:val="auto"/>
          <w:szCs w:val="21"/>
          <w:highlight w:val="none"/>
        </w:rPr>
        <w:t>不可抗力</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38"/>
        </w:numPr>
        <w:tabs>
          <w:tab w:val="left" w:pos="426"/>
          <w:tab w:val="clear" w:pos="420"/>
        </w:tabs>
        <w:autoSpaceDE w:val="0"/>
        <w:autoSpaceDN w:val="0"/>
        <w:adjustRightInd w:val="0"/>
        <w:spacing w:line="360" w:lineRule="auto"/>
        <w:jc w:val="left"/>
        <w:rPr>
          <w:rFonts w:hint="eastAsia" w:ascii="宋体" w:hAnsi="宋体"/>
          <w:b/>
          <w:color w:val="auto"/>
          <w:szCs w:val="21"/>
          <w:highlight w:val="none"/>
        </w:rPr>
      </w:pPr>
      <w:r>
        <w:rPr>
          <w:rFonts w:hint="eastAsia" w:ascii="宋体" w:hAnsi="宋体"/>
          <w:b/>
          <w:color w:val="auto"/>
          <w:szCs w:val="21"/>
          <w:highlight w:val="none"/>
        </w:rPr>
        <w:t>税费</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在中国境内、外发生的与本合同执行有关的一切税费均由乙方负担。</w:t>
      </w:r>
    </w:p>
    <w:p>
      <w:pPr>
        <w:numPr>
          <w:ilvl w:val="0"/>
          <w:numId w:val="38"/>
        </w:numPr>
        <w:tabs>
          <w:tab w:val="left" w:pos="426"/>
          <w:tab w:val="clear" w:pos="420"/>
        </w:tabs>
        <w:autoSpaceDE w:val="0"/>
        <w:autoSpaceDN w:val="0"/>
        <w:adjustRightInd w:val="0"/>
        <w:spacing w:line="360" w:lineRule="auto"/>
        <w:jc w:val="left"/>
        <w:rPr>
          <w:rFonts w:hint="eastAsia" w:ascii="宋体" w:hAnsi="宋体"/>
          <w:b/>
          <w:color w:val="auto"/>
          <w:szCs w:val="21"/>
          <w:highlight w:val="none"/>
        </w:rPr>
      </w:pPr>
      <w:r>
        <w:rPr>
          <w:rFonts w:hint="eastAsia" w:ascii="宋体" w:hAnsi="宋体"/>
          <w:b/>
          <w:color w:val="auto"/>
          <w:szCs w:val="21"/>
          <w:highlight w:val="none"/>
        </w:rPr>
        <w:t>其它</w:t>
      </w:r>
    </w:p>
    <w:p>
      <w:pPr>
        <w:numPr>
          <w:ilvl w:val="0"/>
          <w:numId w:val="51"/>
        </w:numPr>
        <w:spacing w:line="360" w:lineRule="auto"/>
        <w:ind w:left="425" w:hanging="425" w:firstLineChars="0"/>
        <w:rPr>
          <w:rFonts w:hint="eastAsia" w:ascii="宋体" w:hAnsi="宋体"/>
          <w:b/>
          <w:color w:val="auto"/>
          <w:szCs w:val="21"/>
          <w:highlight w:val="none"/>
        </w:rPr>
      </w:pPr>
      <w:r>
        <w:rPr>
          <w:rFonts w:hint="eastAsia" w:ascii="宋体" w:hAnsi="宋体"/>
          <w:color w:val="auto"/>
          <w:szCs w:val="21"/>
          <w:highlight w:val="none"/>
        </w:rPr>
        <w:t>本合同所有附件、采购文件、投标文件、中标通知书均为合同的有效组成部分，与本合同具有同等法律效力。</w:t>
      </w:r>
    </w:p>
    <w:p>
      <w:pPr>
        <w:numPr>
          <w:ilvl w:val="0"/>
          <w:numId w:val="51"/>
        </w:numPr>
        <w:spacing w:line="360" w:lineRule="auto"/>
        <w:ind w:left="425" w:hanging="425" w:firstLineChars="0"/>
        <w:rPr>
          <w:rFonts w:hint="eastAsia" w:ascii="宋体" w:hAnsi="宋体"/>
          <w:color w:val="auto"/>
          <w:szCs w:val="21"/>
          <w:highlight w:val="none"/>
        </w:rPr>
      </w:pPr>
      <w:r>
        <w:rPr>
          <w:rFonts w:hint="eastAsia" w:ascii="宋体" w:hAnsi="宋体"/>
          <w:color w:val="auto"/>
          <w:szCs w:val="21"/>
          <w:highlight w:val="none"/>
        </w:rPr>
        <w:t>在执行本合同的过程中，所有经双方签署确认的文件（包括会议纪要、补充协议、往来信函）即成为本合同的有效组成部分。</w:t>
      </w:r>
    </w:p>
    <w:p>
      <w:pPr>
        <w:numPr>
          <w:ilvl w:val="0"/>
          <w:numId w:val="51"/>
        </w:numPr>
        <w:spacing w:line="360" w:lineRule="auto"/>
        <w:ind w:left="425" w:hanging="425"/>
        <w:rPr>
          <w:rFonts w:hint="eastAsia" w:ascii="宋体" w:hAnsi="宋体"/>
          <w:color w:val="auto"/>
          <w:szCs w:val="21"/>
          <w:highlight w:val="none"/>
        </w:rPr>
      </w:pPr>
      <w:r>
        <w:rPr>
          <w:rFonts w:hint="eastAsia" w:ascii="宋体" w:hAnsi="宋体"/>
          <w:color w:val="auto"/>
          <w:szCs w:val="21"/>
          <w:highlight w:val="none"/>
        </w:rPr>
        <w:t xml:space="preserve">如一方地址、电话、传真号码有变更，应在变更当日内书面通知对方，否则，应承担相应责任。 </w:t>
      </w:r>
    </w:p>
    <w:p>
      <w:pPr>
        <w:numPr>
          <w:ilvl w:val="0"/>
          <w:numId w:val="51"/>
        </w:numPr>
        <w:spacing w:line="360" w:lineRule="auto"/>
        <w:ind w:left="425" w:hanging="425"/>
        <w:rPr>
          <w:rFonts w:hint="eastAsia" w:ascii="宋体" w:hAnsi="宋体"/>
          <w:color w:val="auto"/>
          <w:szCs w:val="21"/>
          <w:highlight w:val="none"/>
        </w:rPr>
      </w:pPr>
      <w:r>
        <w:rPr>
          <w:rFonts w:hint="eastAsia" w:ascii="宋体" w:hAnsi="宋体"/>
          <w:color w:val="auto"/>
          <w:szCs w:val="21"/>
          <w:highlight w:val="none"/>
        </w:rPr>
        <w:t>除甲方事先书面同意外，乙方不得部分或全部转让其应履行的合同项下的义务。</w:t>
      </w:r>
    </w:p>
    <w:p>
      <w:pPr>
        <w:numPr>
          <w:ilvl w:val="0"/>
          <w:numId w:val="38"/>
        </w:numPr>
        <w:tabs>
          <w:tab w:val="left" w:pos="426"/>
          <w:tab w:val="clear" w:pos="420"/>
        </w:tabs>
        <w:autoSpaceDE w:val="0"/>
        <w:autoSpaceDN w:val="0"/>
        <w:adjustRightInd w:val="0"/>
        <w:spacing w:line="360" w:lineRule="auto"/>
        <w:jc w:val="left"/>
        <w:rPr>
          <w:rFonts w:hint="eastAsia" w:ascii="宋体" w:hAnsi="宋体"/>
          <w:b/>
          <w:color w:val="auto"/>
          <w:szCs w:val="21"/>
          <w:highlight w:val="none"/>
        </w:rPr>
      </w:pPr>
      <w:r>
        <w:rPr>
          <w:rFonts w:hint="eastAsia" w:ascii="宋体" w:hAnsi="宋体"/>
          <w:b/>
          <w:color w:val="auto"/>
          <w:szCs w:val="21"/>
          <w:highlight w:val="none"/>
        </w:rPr>
        <w:t>合同生效：</w:t>
      </w:r>
    </w:p>
    <w:p>
      <w:pPr>
        <w:numPr>
          <w:ilvl w:val="0"/>
          <w:numId w:val="52"/>
        </w:numPr>
        <w:spacing w:line="360" w:lineRule="auto"/>
        <w:ind w:left="425" w:hanging="425"/>
        <w:rPr>
          <w:rFonts w:hint="eastAsia" w:ascii="宋体" w:hAnsi="宋体"/>
          <w:color w:val="auto"/>
          <w:szCs w:val="21"/>
          <w:highlight w:val="none"/>
        </w:rPr>
      </w:pPr>
      <w:r>
        <w:rPr>
          <w:rFonts w:hint="eastAsia" w:ascii="宋体" w:hAnsi="宋体"/>
          <w:color w:val="auto"/>
          <w:szCs w:val="21"/>
          <w:highlight w:val="none"/>
        </w:rPr>
        <w:t>本合同在甲乙双方法人代表或其授权代表签字盖章后生效。</w:t>
      </w:r>
    </w:p>
    <w:p>
      <w:pPr>
        <w:numPr>
          <w:ilvl w:val="0"/>
          <w:numId w:val="52"/>
        </w:numPr>
        <w:spacing w:line="360" w:lineRule="auto"/>
        <w:ind w:left="425" w:hanging="425"/>
        <w:rPr>
          <w:rFonts w:hint="eastAsia" w:ascii="宋体" w:hAnsi="宋体"/>
          <w:color w:val="auto"/>
          <w:szCs w:val="21"/>
          <w:highlight w:val="none"/>
        </w:rPr>
      </w:pPr>
      <w:r>
        <w:rPr>
          <w:rFonts w:hint="eastAsia" w:ascii="宋体" w:hAnsi="宋体" w:cs="宋体"/>
          <w:color w:val="auto"/>
          <w:szCs w:val="21"/>
          <w:highlight w:val="none"/>
        </w:rPr>
        <w:t>合同壹式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份，其中甲乙双方各执</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份，招标代理机构执壹份。</w:t>
      </w:r>
    </w:p>
    <w:p>
      <w:pPr>
        <w:numPr>
          <w:ilvl w:val="0"/>
          <w:numId w:val="38"/>
        </w:numPr>
        <w:tabs>
          <w:tab w:val="left" w:pos="426"/>
          <w:tab w:val="clear" w:pos="420"/>
        </w:tabs>
        <w:autoSpaceDE w:val="0"/>
        <w:autoSpaceDN w:val="0"/>
        <w:adjustRightInd w:val="0"/>
        <w:spacing w:line="360" w:lineRule="auto"/>
        <w:jc w:val="left"/>
        <w:rPr>
          <w:rFonts w:hint="eastAsia" w:ascii="宋体" w:hAnsi="宋体" w:cs="Times New Roman"/>
          <w:b/>
          <w:color w:val="auto"/>
          <w:szCs w:val="21"/>
          <w:highlight w:val="none"/>
        </w:rPr>
      </w:pPr>
      <w:r>
        <w:rPr>
          <w:rFonts w:hint="eastAsia" w:ascii="宋体" w:hAnsi="宋体" w:cs="Times New Roman"/>
          <w:b/>
          <w:color w:val="auto"/>
          <w:szCs w:val="21"/>
          <w:highlight w:val="none"/>
          <w:lang w:eastAsia="zh-CN"/>
        </w:rPr>
        <w:t>附件：</w:t>
      </w:r>
    </w:p>
    <w:p>
      <w:pPr>
        <w:numPr>
          <w:ilvl w:val="0"/>
          <w:numId w:val="53"/>
        </w:numPr>
        <w:spacing w:line="360" w:lineRule="auto"/>
        <w:ind w:left="425" w:hanging="425"/>
        <w:rPr>
          <w:rFonts w:hint="eastAsia" w:ascii="宋体" w:hAnsi="宋体" w:cs="Times New Roman"/>
          <w:color w:val="auto"/>
          <w:szCs w:val="21"/>
          <w:highlight w:val="none"/>
        </w:rPr>
      </w:pPr>
      <w:r>
        <w:rPr>
          <w:rFonts w:hint="eastAsia" w:ascii="宋体" w:hAnsi="宋体" w:cs="Times New Roman"/>
          <w:color w:val="auto"/>
          <w:szCs w:val="21"/>
          <w:highlight w:val="none"/>
        </w:rPr>
        <w:t>投标文件递交的技术文件资料</w:t>
      </w:r>
      <w:r>
        <w:rPr>
          <w:rFonts w:hint="eastAsia" w:ascii="宋体" w:hAnsi="宋体" w:cs="Times New Roman"/>
          <w:color w:val="auto"/>
          <w:szCs w:val="21"/>
          <w:highlight w:val="none"/>
          <w:lang w:eastAsia="zh-CN"/>
        </w:rPr>
        <w:t>；</w:t>
      </w:r>
    </w:p>
    <w:p>
      <w:pPr>
        <w:numPr>
          <w:ilvl w:val="0"/>
          <w:numId w:val="53"/>
        </w:numPr>
        <w:spacing w:line="360" w:lineRule="auto"/>
        <w:ind w:left="425" w:hanging="425"/>
        <w:rPr>
          <w:rFonts w:hint="eastAsia" w:ascii="宋体" w:hAnsi="宋体" w:cs="Times New Roman"/>
          <w:color w:val="auto"/>
          <w:szCs w:val="21"/>
          <w:highlight w:val="none"/>
        </w:rPr>
      </w:pPr>
      <w:r>
        <w:rPr>
          <w:rFonts w:hint="eastAsia" w:ascii="宋体" w:hAnsi="宋体" w:cs="Times New Roman"/>
          <w:color w:val="auto"/>
          <w:szCs w:val="21"/>
          <w:highlight w:val="none"/>
          <w:lang w:eastAsia="zh-CN"/>
        </w:rPr>
        <w:t>廉洁合同；</w:t>
      </w:r>
    </w:p>
    <w:p>
      <w:pPr>
        <w:numPr>
          <w:ilvl w:val="0"/>
          <w:numId w:val="53"/>
        </w:numPr>
        <w:spacing w:line="360" w:lineRule="auto"/>
        <w:ind w:left="425" w:hanging="425"/>
        <w:rPr>
          <w:rFonts w:hint="eastAsia" w:ascii="宋体" w:hAnsi="宋体" w:cs="Times New Roman"/>
          <w:color w:val="auto"/>
          <w:szCs w:val="21"/>
          <w:highlight w:val="none"/>
          <w:lang w:eastAsia="zh-CN"/>
        </w:rPr>
      </w:pPr>
      <w:r>
        <w:rPr>
          <w:rFonts w:hint="eastAsia" w:ascii="宋体" w:hAnsi="宋体" w:cs="Times New Roman"/>
          <w:color w:val="auto"/>
          <w:szCs w:val="21"/>
          <w:highlight w:val="none"/>
          <w:lang w:eastAsia="zh-CN"/>
        </w:rPr>
        <w:t>质保合同。</w:t>
      </w:r>
    </w:p>
    <w:p>
      <w:pPr>
        <w:pStyle w:val="2"/>
        <w:rPr>
          <w:rFonts w:hint="eastAsia" w:ascii="宋体" w:hAnsi="宋体" w:cs="Times New Roman"/>
          <w:color w:val="auto"/>
          <w:szCs w:val="21"/>
          <w:highlight w:val="none"/>
          <w:lang w:eastAsia="zh-CN"/>
        </w:rPr>
      </w:pPr>
    </w:p>
    <w:p>
      <w:pPr>
        <w:pStyle w:val="2"/>
        <w:rPr>
          <w:rFonts w:hint="eastAsia" w:ascii="宋体" w:hAnsi="宋体" w:cs="Times New Roman"/>
          <w:color w:val="auto"/>
          <w:szCs w:val="21"/>
          <w:highlight w:val="none"/>
          <w:lang w:eastAsia="zh-CN"/>
        </w:rPr>
      </w:pPr>
    </w:p>
    <w:p>
      <w:pPr>
        <w:spacing w:line="360" w:lineRule="auto"/>
        <w:rPr>
          <w:rFonts w:hint="eastAsia" w:ascii="宋体" w:hAnsi="宋体"/>
          <w:b/>
          <w:color w:val="auto"/>
          <w:szCs w:val="21"/>
          <w:highlight w:val="none"/>
        </w:rPr>
      </w:pPr>
      <w:r>
        <w:rPr>
          <w:rFonts w:hint="eastAsia" w:ascii="宋体" w:hAnsi="宋体"/>
          <w:b/>
          <w:color w:val="auto"/>
          <w:szCs w:val="21"/>
          <w:highlight w:val="none"/>
        </w:rPr>
        <w:t>甲方（盖章）：                                乙方（盖章）：</w:t>
      </w:r>
    </w:p>
    <w:p>
      <w:pPr>
        <w:spacing w:line="360" w:lineRule="auto"/>
        <w:rPr>
          <w:rFonts w:hint="eastAsia" w:ascii="宋体" w:hAnsi="宋体"/>
          <w:b/>
          <w:color w:val="auto"/>
          <w:szCs w:val="21"/>
          <w:highlight w:val="none"/>
        </w:rPr>
      </w:pPr>
      <w:r>
        <w:rPr>
          <w:rFonts w:hint="eastAsia" w:ascii="宋体" w:hAnsi="宋体"/>
          <w:b/>
          <w:color w:val="auto"/>
          <w:szCs w:val="21"/>
          <w:highlight w:val="none"/>
          <w:lang w:eastAsia="zh-CN"/>
        </w:rPr>
        <w:t>法人</w:t>
      </w:r>
      <w:r>
        <w:rPr>
          <w:rFonts w:hint="eastAsia" w:ascii="宋体" w:hAnsi="宋体"/>
          <w:b/>
          <w:color w:val="auto"/>
          <w:szCs w:val="21"/>
          <w:highlight w:val="none"/>
        </w:rPr>
        <w:t xml:space="preserve">代表：                                    </w:t>
      </w:r>
      <w:r>
        <w:rPr>
          <w:rFonts w:hint="eastAsia" w:ascii="宋体" w:hAnsi="宋体"/>
          <w:b/>
          <w:color w:val="auto"/>
          <w:szCs w:val="21"/>
          <w:highlight w:val="none"/>
          <w:lang w:eastAsia="zh-CN"/>
        </w:rPr>
        <w:t>法人</w:t>
      </w:r>
      <w:r>
        <w:rPr>
          <w:rFonts w:hint="eastAsia" w:ascii="宋体" w:hAnsi="宋体"/>
          <w:b/>
          <w:color w:val="auto"/>
          <w:szCs w:val="21"/>
          <w:highlight w:val="none"/>
        </w:rPr>
        <w:t xml:space="preserve">代表： </w:t>
      </w:r>
    </w:p>
    <w:p>
      <w:pPr>
        <w:spacing w:line="360" w:lineRule="auto"/>
        <w:rPr>
          <w:rFonts w:hint="eastAsia" w:ascii="宋体" w:hAnsi="宋体" w:cs="Times New Roman"/>
          <w:b/>
          <w:color w:val="auto"/>
          <w:szCs w:val="21"/>
          <w:highlight w:val="none"/>
          <w:lang w:val="en-US" w:eastAsia="zh-CN"/>
        </w:rPr>
      </w:pPr>
      <w:r>
        <w:rPr>
          <w:rFonts w:hint="eastAsia" w:ascii="宋体" w:hAnsi="宋体" w:cs="Times New Roman"/>
          <w:b/>
          <w:color w:val="auto"/>
          <w:szCs w:val="21"/>
          <w:highlight w:val="none"/>
          <w:lang w:eastAsia="zh-CN"/>
        </w:rPr>
        <w:t>经办人：</w:t>
      </w:r>
      <w:r>
        <w:rPr>
          <w:rFonts w:hint="eastAsia" w:ascii="宋体" w:hAnsi="宋体" w:cs="Times New Roman"/>
          <w:b/>
          <w:color w:val="auto"/>
          <w:szCs w:val="21"/>
          <w:highlight w:val="none"/>
          <w:lang w:val="en-US" w:eastAsia="zh-CN"/>
        </w:rPr>
        <w:t xml:space="preserve">                                      </w:t>
      </w:r>
      <w:r>
        <w:rPr>
          <w:rFonts w:hint="eastAsia" w:ascii="宋体" w:hAnsi="宋体" w:cs="Times New Roman"/>
          <w:b/>
          <w:color w:val="auto"/>
          <w:szCs w:val="21"/>
          <w:highlight w:val="none"/>
          <w:lang w:eastAsia="zh-CN"/>
        </w:rPr>
        <w:t>经办人：</w:t>
      </w:r>
    </w:p>
    <w:p>
      <w:pPr>
        <w:spacing w:line="360" w:lineRule="auto"/>
        <w:rPr>
          <w:rFonts w:hint="eastAsia" w:ascii="宋体" w:hAnsi="宋体"/>
          <w:color w:val="auto"/>
          <w:szCs w:val="21"/>
          <w:highlight w:val="none"/>
        </w:rPr>
      </w:pPr>
      <w:r>
        <w:rPr>
          <w:rFonts w:hint="eastAsia" w:ascii="宋体" w:hAnsi="宋体"/>
          <w:color w:val="auto"/>
          <w:szCs w:val="21"/>
          <w:highlight w:val="none"/>
        </w:rPr>
        <w:t>签定地点：</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签定日期：        年     月    日             签定日期：        年     月     日    </w:t>
      </w:r>
    </w:p>
    <w:p>
      <w:pPr>
        <w:spacing w:line="360" w:lineRule="auto"/>
        <w:ind w:firstLine="4830"/>
        <w:rPr>
          <w:rFonts w:hint="eastAsia" w:ascii="宋体" w:hAnsi="宋体"/>
          <w:color w:val="auto"/>
          <w:szCs w:val="21"/>
          <w:highlight w:val="none"/>
        </w:rPr>
      </w:pPr>
      <w:r>
        <w:rPr>
          <w:rFonts w:hint="eastAsia" w:ascii="宋体" w:hAnsi="宋体"/>
          <w:color w:val="auto"/>
          <w:szCs w:val="21"/>
          <w:highlight w:val="none"/>
        </w:rPr>
        <w:t>开户名称：</w:t>
      </w:r>
    </w:p>
    <w:p>
      <w:pPr>
        <w:spacing w:line="360" w:lineRule="auto"/>
        <w:ind w:firstLine="4830"/>
        <w:rPr>
          <w:rFonts w:hint="eastAsia" w:ascii="宋体" w:hAnsi="宋体"/>
          <w:color w:val="auto"/>
          <w:szCs w:val="21"/>
          <w:highlight w:val="none"/>
        </w:rPr>
      </w:pPr>
      <w:r>
        <w:rPr>
          <w:rFonts w:hint="eastAsia" w:ascii="宋体" w:hAnsi="宋体"/>
          <w:color w:val="auto"/>
          <w:szCs w:val="21"/>
          <w:highlight w:val="none"/>
        </w:rPr>
        <w:t>银行账号：</w:t>
      </w:r>
    </w:p>
    <w:p>
      <w:pPr>
        <w:spacing w:line="360" w:lineRule="auto"/>
        <w:ind w:firstLine="4830"/>
        <w:rPr>
          <w:rFonts w:hint="eastAsia" w:ascii="宋体" w:hAnsi="宋体"/>
          <w:color w:val="auto"/>
          <w:szCs w:val="21"/>
          <w:highlight w:val="none"/>
        </w:rPr>
      </w:pPr>
      <w:r>
        <w:rPr>
          <w:rFonts w:hint="eastAsia" w:ascii="宋体" w:hAnsi="宋体"/>
          <w:color w:val="auto"/>
          <w:szCs w:val="21"/>
          <w:highlight w:val="none"/>
        </w:rPr>
        <w:t>开 户 行：</w:t>
      </w:r>
    </w:p>
    <w:p>
      <w:pPr>
        <w:tabs>
          <w:tab w:val="left" w:pos="720"/>
        </w:tabs>
        <w:spacing w:line="360" w:lineRule="auto"/>
        <w:rPr>
          <w:rFonts w:hint="eastAsia" w:ascii="宋体" w:hAnsi="宋体"/>
          <w:color w:val="auto"/>
          <w:szCs w:val="21"/>
          <w:highlight w:val="none"/>
        </w:rPr>
      </w:pPr>
      <w:r>
        <w:rPr>
          <w:rFonts w:hint="eastAsia" w:ascii="宋体" w:hAnsi="宋体"/>
          <w:color w:val="auto"/>
          <w:szCs w:val="21"/>
          <w:highlight w:val="none"/>
        </w:rPr>
        <w:t xml:space="preserve"> </w:t>
      </w:r>
    </w:p>
    <w:p>
      <w:pPr>
        <w:adjustRightInd w:val="0"/>
        <w:snapToGrid w:val="0"/>
        <w:spacing w:before="156" w:beforeLines="50" w:after="156" w:afterLines="50" w:line="360" w:lineRule="auto"/>
        <w:jc w:val="center"/>
        <w:outlineLvl w:val="0"/>
        <w:rPr>
          <w:rFonts w:hint="eastAsia"/>
          <w:b/>
          <w:bCs/>
          <w:color w:val="auto"/>
          <w:sz w:val="28"/>
          <w:szCs w:val="28"/>
          <w:highlight w:val="none"/>
        </w:rPr>
      </w:pPr>
      <w:r>
        <w:rPr>
          <w:b/>
          <w:bCs/>
          <w:color w:val="auto"/>
          <w:sz w:val="28"/>
          <w:szCs w:val="28"/>
          <w:highlight w:val="none"/>
        </w:rPr>
        <w:br w:type="page"/>
      </w:r>
      <w:bookmarkStart w:id="93" w:name="_Toc30222"/>
      <w:r>
        <w:rPr>
          <w:rFonts w:hint="eastAsia"/>
          <w:b/>
          <w:bCs/>
          <w:color w:val="auto"/>
          <w:sz w:val="28"/>
          <w:szCs w:val="28"/>
          <w:highlight w:val="none"/>
        </w:rPr>
        <w:t>第七章  投标文件格式</w:t>
      </w:r>
      <w:bookmarkEnd w:id="93"/>
    </w:p>
    <w:p>
      <w:pPr>
        <w:autoSpaceDE w:val="0"/>
        <w:autoSpaceDN w:val="0"/>
        <w:adjustRightInd w:val="0"/>
        <w:snapToGrid w:val="0"/>
        <w:spacing w:before="312" w:beforeLines="100" w:after="312" w:afterLines="100" w:line="360" w:lineRule="auto"/>
        <w:ind w:left="720"/>
        <w:jc w:val="center"/>
        <w:outlineLvl w:val="0"/>
        <w:rPr>
          <w:rFonts w:hint="eastAsia" w:ascii="宋体" w:hAnsi="宋体"/>
          <w:b/>
          <w:color w:val="auto"/>
          <w:sz w:val="28"/>
          <w:szCs w:val="28"/>
          <w:highlight w:val="none"/>
          <w:lang w:eastAsia="zh-TW"/>
        </w:rPr>
      </w:pPr>
      <w:bookmarkStart w:id="94" w:name="_Toc6793"/>
      <w:r>
        <w:rPr>
          <w:rFonts w:hint="eastAsia" w:ascii="宋体" w:hAnsi="宋体"/>
          <w:b/>
          <w:color w:val="auto"/>
          <w:sz w:val="28"/>
          <w:szCs w:val="28"/>
          <w:highlight w:val="none"/>
          <w:lang w:eastAsia="zh-TW"/>
        </w:rPr>
        <w:t>投标文件包装封面参考</w:t>
      </w:r>
      <w:bookmarkEnd w:id="94"/>
    </w:p>
    <w:tbl>
      <w:tblPr>
        <w:tblStyle w:val="17"/>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7" w:hRule="atLeast"/>
        </w:trPr>
        <w:tc>
          <w:tcPr>
            <w:tcW w:w="9657" w:type="dxa"/>
            <w:vAlign w:val="top"/>
          </w:tcPr>
          <w:p>
            <w:pPr>
              <w:pStyle w:val="6"/>
              <w:spacing w:line="360" w:lineRule="auto"/>
              <w:ind w:firstLine="482" w:firstLineChars="150"/>
              <w:rPr>
                <w:rFonts w:hint="eastAsia" w:ascii="仿宋_GB2312" w:eastAsia="仿宋_GB2312"/>
                <w:b/>
                <w:color w:val="auto"/>
                <w:sz w:val="32"/>
                <w:highlight w:val="none"/>
              </w:rPr>
            </w:pPr>
          </w:p>
          <w:p>
            <w:pPr>
              <w:pStyle w:val="6"/>
              <w:spacing w:line="360" w:lineRule="auto"/>
              <w:ind w:firstLine="482" w:firstLineChars="150"/>
              <w:rPr>
                <w:rFonts w:hint="eastAsia" w:ascii="仿宋_GB2312" w:eastAsia="仿宋_GB2312"/>
                <w:b/>
                <w:color w:val="auto"/>
                <w:sz w:val="32"/>
                <w:highlight w:val="none"/>
              </w:rPr>
            </w:pPr>
          </w:p>
          <w:p>
            <w:pPr>
              <w:pStyle w:val="6"/>
              <w:spacing w:line="360" w:lineRule="auto"/>
              <w:ind w:firstLine="482" w:firstLineChars="150"/>
              <w:rPr>
                <w:rFonts w:hint="eastAsia" w:ascii="仿宋_GB2312" w:eastAsia="仿宋_GB2312"/>
                <w:b/>
                <w:color w:val="auto"/>
                <w:sz w:val="32"/>
                <w:highlight w:val="none"/>
              </w:rPr>
            </w:pPr>
          </w:p>
          <w:p>
            <w:pPr>
              <w:pStyle w:val="6"/>
              <w:spacing w:line="360" w:lineRule="auto"/>
              <w:jc w:val="center"/>
              <w:rPr>
                <w:rFonts w:hint="eastAsia" w:ascii="黑体" w:eastAsia="黑体"/>
                <w:b/>
                <w:color w:val="auto"/>
                <w:sz w:val="72"/>
                <w:szCs w:val="72"/>
                <w:highlight w:val="none"/>
              </w:rPr>
            </w:pPr>
            <w:r>
              <w:rPr>
                <w:rFonts w:hint="eastAsia" w:ascii="黑体" w:eastAsia="黑体"/>
                <w:b/>
                <w:color w:val="auto"/>
                <w:sz w:val="72"/>
                <w:szCs w:val="72"/>
                <w:highlight w:val="none"/>
              </w:rPr>
              <w:t>投 标 文 件</w:t>
            </w:r>
          </w:p>
          <w:p>
            <w:pPr>
              <w:pStyle w:val="6"/>
              <w:spacing w:line="360" w:lineRule="auto"/>
              <w:jc w:val="center"/>
              <w:rPr>
                <w:rFonts w:hint="eastAsia" w:ascii="黑体" w:eastAsia="黑体"/>
                <w:b/>
                <w:color w:val="auto"/>
                <w:sz w:val="32"/>
                <w:highlight w:val="none"/>
              </w:rPr>
            </w:pPr>
            <w:r>
              <w:rPr>
                <w:rFonts w:hint="eastAsia" w:ascii="黑体" w:eastAsia="黑体"/>
                <w:b/>
                <w:color w:val="auto"/>
                <w:sz w:val="52"/>
                <w:szCs w:val="52"/>
                <w:highlight w:val="none"/>
              </w:rPr>
              <w:t xml:space="preserve">口 </w:t>
            </w:r>
            <w:r>
              <w:rPr>
                <w:rFonts w:hint="eastAsia" w:ascii="黑体" w:eastAsia="黑体"/>
                <w:b/>
                <w:color w:val="auto"/>
                <w:sz w:val="32"/>
                <w:highlight w:val="none"/>
              </w:rPr>
              <w:t>开标信封</w:t>
            </w:r>
          </w:p>
          <w:p>
            <w:pPr>
              <w:pStyle w:val="6"/>
              <w:spacing w:line="360" w:lineRule="auto"/>
              <w:ind w:firstLine="3654" w:firstLineChars="700"/>
              <w:rPr>
                <w:rFonts w:hint="eastAsia" w:ascii="黑体" w:eastAsia="黑体"/>
                <w:b/>
                <w:color w:val="auto"/>
                <w:sz w:val="32"/>
                <w:highlight w:val="none"/>
              </w:rPr>
            </w:pPr>
            <w:r>
              <w:rPr>
                <w:rFonts w:hint="eastAsia" w:ascii="黑体" w:eastAsia="黑体"/>
                <w:b/>
                <w:color w:val="auto"/>
                <w:sz w:val="52"/>
                <w:szCs w:val="52"/>
                <w:highlight w:val="none"/>
              </w:rPr>
              <w:t xml:space="preserve">口 </w:t>
            </w:r>
            <w:r>
              <w:rPr>
                <w:rFonts w:hint="eastAsia" w:ascii="黑体" w:eastAsia="黑体"/>
                <w:b/>
                <w:color w:val="auto"/>
                <w:sz w:val="32"/>
                <w:highlight w:val="none"/>
              </w:rPr>
              <w:t>正本</w:t>
            </w:r>
          </w:p>
          <w:p>
            <w:pPr>
              <w:pStyle w:val="6"/>
              <w:spacing w:line="360" w:lineRule="auto"/>
              <w:ind w:firstLine="3654" w:firstLineChars="700"/>
              <w:rPr>
                <w:rFonts w:hint="eastAsia" w:ascii="黑体" w:eastAsia="黑体"/>
                <w:b/>
                <w:color w:val="auto"/>
                <w:sz w:val="32"/>
                <w:highlight w:val="none"/>
              </w:rPr>
            </w:pPr>
            <w:r>
              <w:rPr>
                <w:rFonts w:hint="eastAsia" w:ascii="黑体" w:eastAsia="黑体"/>
                <w:b/>
                <w:color w:val="auto"/>
                <w:sz w:val="52"/>
                <w:szCs w:val="52"/>
                <w:highlight w:val="none"/>
              </w:rPr>
              <w:t xml:space="preserve">口 </w:t>
            </w:r>
            <w:r>
              <w:rPr>
                <w:rFonts w:hint="eastAsia" w:ascii="黑体" w:eastAsia="黑体"/>
                <w:b/>
                <w:color w:val="auto"/>
                <w:sz w:val="32"/>
                <w:highlight w:val="none"/>
              </w:rPr>
              <w:t>副本</w:t>
            </w:r>
          </w:p>
          <w:p>
            <w:pPr>
              <w:pStyle w:val="6"/>
              <w:spacing w:line="360" w:lineRule="auto"/>
              <w:rPr>
                <w:rFonts w:hint="eastAsia" w:ascii="仿宋_GB2312" w:eastAsia="仿宋_GB2312"/>
                <w:b/>
                <w:color w:val="auto"/>
                <w:sz w:val="32"/>
                <w:highlight w:val="none"/>
              </w:rPr>
            </w:pPr>
          </w:p>
          <w:p>
            <w:pPr>
              <w:pStyle w:val="6"/>
              <w:spacing w:line="360" w:lineRule="auto"/>
              <w:rPr>
                <w:rFonts w:hint="eastAsia" w:ascii="仿宋_GB2312" w:eastAsia="仿宋_GB2312"/>
                <w:b/>
                <w:color w:val="auto"/>
                <w:sz w:val="32"/>
                <w:highlight w:val="none"/>
              </w:rPr>
            </w:pPr>
          </w:p>
          <w:p>
            <w:pPr>
              <w:pStyle w:val="6"/>
              <w:spacing w:line="360" w:lineRule="auto"/>
              <w:rPr>
                <w:rFonts w:hint="eastAsia" w:ascii="仿宋_GB2312" w:eastAsia="仿宋_GB2312"/>
                <w:b/>
                <w:color w:val="auto"/>
                <w:sz w:val="32"/>
                <w:highlight w:val="none"/>
              </w:rPr>
            </w:pPr>
          </w:p>
          <w:p>
            <w:pPr>
              <w:pStyle w:val="6"/>
              <w:spacing w:line="400" w:lineRule="exact"/>
              <w:ind w:firstLine="900" w:firstLineChars="32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t>项目编号：</w:t>
            </w:r>
            <w:r>
              <w:rPr>
                <w:rFonts w:hint="eastAsia" w:ascii="仿宋_GB2312" w:eastAsia="仿宋_GB2312"/>
                <w:b/>
                <w:color w:val="auto"/>
                <w:sz w:val="28"/>
                <w:szCs w:val="28"/>
                <w:highlight w:val="none"/>
                <w:lang w:eastAsia="zh-CN"/>
              </w:rPr>
              <w:t>GDZC-18GZ057</w:t>
            </w:r>
          </w:p>
          <w:p>
            <w:pPr>
              <w:pStyle w:val="6"/>
              <w:spacing w:line="400" w:lineRule="exact"/>
              <w:ind w:left="2343" w:leftChars="426" w:hanging="1448" w:hangingChars="515"/>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t>项目名称：</w:t>
            </w:r>
            <w:r>
              <w:rPr>
                <w:rFonts w:hint="eastAsia" w:ascii="仿宋_GB2312" w:eastAsia="仿宋_GB2312"/>
                <w:b/>
                <w:color w:val="auto"/>
                <w:sz w:val="28"/>
                <w:szCs w:val="28"/>
                <w:highlight w:val="none"/>
                <w:lang w:eastAsia="zh-CN"/>
              </w:rPr>
              <w:t>档案综合整理服务</w:t>
            </w:r>
          </w:p>
          <w:p>
            <w:pPr>
              <w:pStyle w:val="6"/>
              <w:spacing w:line="400" w:lineRule="exact"/>
              <w:ind w:firstLine="900" w:firstLineChars="32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t>投标人名称：</w:t>
            </w:r>
          </w:p>
          <w:p>
            <w:pPr>
              <w:pStyle w:val="6"/>
              <w:spacing w:line="400" w:lineRule="exact"/>
              <w:ind w:firstLine="900" w:firstLineChars="32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t xml:space="preserve">投标人地址：            </w:t>
            </w:r>
          </w:p>
          <w:p>
            <w:pPr>
              <w:tabs>
                <w:tab w:val="left" w:pos="851"/>
              </w:tabs>
              <w:autoSpaceDE w:val="0"/>
              <w:autoSpaceDN w:val="0"/>
              <w:adjustRightInd w:val="0"/>
              <w:snapToGrid w:val="0"/>
              <w:spacing w:line="420" w:lineRule="auto"/>
              <w:rPr>
                <w:rFonts w:hint="eastAsia" w:ascii="仿宋_GB2312" w:eastAsia="仿宋_GB2312"/>
                <w:b/>
                <w:color w:val="auto"/>
                <w:sz w:val="32"/>
                <w:highlight w:val="none"/>
              </w:rPr>
            </w:pPr>
            <w:r>
              <w:rPr>
                <w:rFonts w:ascii="仿宋_GB2312" w:eastAsia="仿宋_GB2312"/>
                <w:b/>
                <w:color w:val="auto"/>
                <w:sz w:val="28"/>
                <w:szCs w:val="28"/>
                <w:highlight w:val="none"/>
              </w:rPr>
              <w:t xml:space="preserve"> </w:t>
            </w:r>
            <w:r>
              <w:rPr>
                <w:rFonts w:hint="eastAsia" w:ascii="仿宋_GB2312" w:eastAsia="仿宋_GB2312"/>
                <w:b/>
                <w:color w:val="auto"/>
                <w:sz w:val="28"/>
                <w:szCs w:val="28"/>
                <w:highlight w:val="none"/>
              </w:rPr>
              <w:t xml:space="preserve">     </w:t>
            </w:r>
            <w:r>
              <w:rPr>
                <w:rFonts w:ascii="仿宋_GB2312" w:eastAsia="仿宋_GB2312"/>
                <w:b/>
                <w:color w:val="auto"/>
                <w:sz w:val="28"/>
                <w:szCs w:val="28"/>
                <w:highlight w:val="none"/>
              </w:rPr>
              <w:t>(</w:t>
            </w:r>
            <w:r>
              <w:rPr>
                <w:rFonts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年</w:t>
            </w:r>
            <w:r>
              <w:rPr>
                <w:rFonts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月</w:t>
            </w:r>
            <w:r>
              <w:rPr>
                <w:rFonts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日</w:t>
            </w:r>
            <w:r>
              <w:rPr>
                <w:rFonts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时</w:t>
            </w:r>
            <w:r>
              <w:rPr>
                <w:rFonts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分</w:t>
            </w:r>
            <w:r>
              <w:rPr>
                <w:rFonts w:ascii="仿宋_GB2312" w:eastAsia="仿宋_GB2312"/>
                <w:b/>
                <w:color w:val="auto"/>
                <w:sz w:val="28"/>
                <w:szCs w:val="28"/>
                <w:highlight w:val="none"/>
              </w:rPr>
              <w:t>)</w:t>
            </w:r>
            <w:r>
              <w:rPr>
                <w:rFonts w:hint="eastAsia" w:ascii="仿宋_GB2312" w:eastAsia="仿宋_GB2312"/>
                <w:b/>
                <w:color w:val="auto"/>
                <w:sz w:val="28"/>
                <w:szCs w:val="28"/>
                <w:highlight w:val="none"/>
              </w:rPr>
              <w:t>之前不得启封</w:t>
            </w:r>
          </w:p>
        </w:tc>
      </w:tr>
    </w:tbl>
    <w:p>
      <w:pPr>
        <w:autoSpaceDE w:val="0"/>
        <w:autoSpaceDN w:val="0"/>
        <w:adjustRightInd w:val="0"/>
        <w:snapToGrid w:val="0"/>
        <w:spacing w:before="312" w:beforeLines="100" w:after="312" w:afterLines="100" w:line="360" w:lineRule="auto"/>
        <w:ind w:left="720"/>
        <w:jc w:val="center"/>
        <w:outlineLvl w:val="0"/>
        <w:rPr>
          <w:rFonts w:hint="eastAsia" w:ascii="宋体" w:hAnsi="宋体"/>
          <w:b/>
          <w:color w:val="auto"/>
          <w:sz w:val="28"/>
          <w:szCs w:val="28"/>
          <w:highlight w:val="none"/>
          <w:lang w:eastAsia="zh-TW"/>
        </w:rPr>
      </w:pPr>
      <w:bookmarkStart w:id="95" w:name="_Toc275865604"/>
      <w:bookmarkStart w:id="96" w:name="_Toc21813"/>
      <w:r>
        <w:rPr>
          <w:rFonts w:hint="eastAsia" w:ascii="宋体" w:hAnsi="宋体"/>
          <w:b/>
          <w:color w:val="auto"/>
          <w:sz w:val="28"/>
          <w:szCs w:val="28"/>
          <w:highlight w:val="none"/>
          <w:lang w:eastAsia="zh-TW"/>
        </w:rPr>
        <w:t>投标文件目录表</w:t>
      </w:r>
      <w:bookmarkEnd w:id="95"/>
      <w:bookmarkEnd w:id="96"/>
    </w:p>
    <w:p>
      <w:pPr>
        <w:rPr>
          <w:rFonts w:hint="eastAsia" w:ascii="宋体" w:hAnsi="宋体"/>
          <w:color w:val="auto"/>
          <w:highlight w:val="none"/>
        </w:rPr>
      </w:pPr>
      <w:r>
        <w:rPr>
          <w:rFonts w:hint="eastAsia" w:ascii="宋体" w:hAnsi="宋体"/>
          <w:color w:val="auto"/>
          <w:highlight w:val="none"/>
        </w:rPr>
        <w:t>项目名称：</w:t>
      </w:r>
      <w:r>
        <w:rPr>
          <w:rFonts w:hint="eastAsia" w:ascii="宋体" w:hAnsi="宋体"/>
          <w:color w:val="auto"/>
          <w:highlight w:val="none"/>
          <w:lang w:eastAsia="zh-CN"/>
        </w:rPr>
        <w:t>档案综合整理服务</w:t>
      </w:r>
    </w:p>
    <w:p>
      <w:pPr>
        <w:rPr>
          <w:rFonts w:ascii="宋体" w:hAnsi="宋体"/>
          <w:color w:val="auto"/>
          <w:highlight w:val="none"/>
        </w:rPr>
      </w:pPr>
      <w:r>
        <w:rPr>
          <w:rFonts w:hint="eastAsia" w:ascii="宋体" w:hAnsi="宋体"/>
          <w:color w:val="auto"/>
          <w:highlight w:val="none"/>
        </w:rPr>
        <w:t>项目编号：</w:t>
      </w:r>
      <w:r>
        <w:rPr>
          <w:rFonts w:hint="eastAsia" w:ascii="宋体" w:hAnsi="宋体"/>
          <w:color w:val="auto"/>
          <w:highlight w:val="none"/>
          <w:lang w:eastAsia="zh-CN"/>
        </w:rPr>
        <w:t>GDZC-18GZ057</w:t>
      </w:r>
    </w:p>
    <w:tbl>
      <w:tblPr>
        <w:tblStyle w:val="17"/>
        <w:tblW w:w="970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12"/>
        <w:gridCol w:w="547"/>
        <w:gridCol w:w="5168"/>
        <w:gridCol w:w="536"/>
        <w:gridCol w:w="487"/>
        <w:gridCol w:w="725"/>
        <w:gridCol w:w="7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96" w:hRule="atLeast"/>
          <w:jc w:val="center"/>
        </w:trPr>
        <w:tc>
          <w:tcPr>
            <w:tcW w:w="1512" w:type="dxa"/>
            <w:vMerge w:val="restart"/>
            <w:shd w:val="clear" w:color="auto" w:fill="EEECE1"/>
            <w:vAlign w:val="center"/>
          </w:tcPr>
          <w:p>
            <w:pPr>
              <w:jc w:val="center"/>
              <w:rPr>
                <w:rFonts w:hint="eastAsia" w:ascii="宋体" w:hAnsi="宋体"/>
                <w:b/>
                <w:color w:val="auto"/>
                <w:szCs w:val="21"/>
                <w:highlight w:val="none"/>
              </w:rPr>
            </w:pPr>
            <w:r>
              <w:rPr>
                <w:rFonts w:hint="eastAsia" w:ascii="宋体" w:hAnsi="宋体"/>
                <w:b/>
                <w:color w:val="auto"/>
                <w:szCs w:val="21"/>
                <w:highlight w:val="none"/>
              </w:rPr>
              <w:t>文件类型</w:t>
            </w:r>
          </w:p>
        </w:tc>
        <w:tc>
          <w:tcPr>
            <w:tcW w:w="547" w:type="dxa"/>
            <w:vMerge w:val="restart"/>
            <w:shd w:val="clear" w:color="auto" w:fill="EEECE1"/>
            <w:vAlign w:val="center"/>
          </w:tcPr>
          <w:p>
            <w:pPr>
              <w:ind w:left="-101" w:leftChars="-48" w:right="-99" w:rightChars="-47"/>
              <w:jc w:val="center"/>
              <w:rPr>
                <w:rFonts w:hint="eastAsia" w:ascii="宋体" w:hAnsi="宋体"/>
                <w:b/>
                <w:color w:val="auto"/>
                <w:szCs w:val="21"/>
                <w:highlight w:val="none"/>
              </w:rPr>
            </w:pPr>
            <w:r>
              <w:rPr>
                <w:rFonts w:hint="eastAsia" w:ascii="宋体" w:hAnsi="宋体"/>
                <w:b/>
                <w:color w:val="auto"/>
                <w:szCs w:val="21"/>
                <w:highlight w:val="none"/>
              </w:rPr>
              <w:t>序号</w:t>
            </w:r>
          </w:p>
        </w:tc>
        <w:tc>
          <w:tcPr>
            <w:tcW w:w="5168" w:type="dxa"/>
            <w:vMerge w:val="restart"/>
            <w:shd w:val="clear" w:color="auto" w:fill="EEECE1"/>
            <w:vAlign w:val="center"/>
          </w:tcPr>
          <w:p>
            <w:pPr>
              <w:jc w:val="center"/>
              <w:rPr>
                <w:rFonts w:hint="eastAsia" w:ascii="宋体" w:hAnsi="宋体"/>
                <w:b/>
                <w:color w:val="auto"/>
                <w:szCs w:val="21"/>
                <w:highlight w:val="none"/>
              </w:rPr>
            </w:pPr>
            <w:r>
              <w:rPr>
                <w:rFonts w:hint="eastAsia" w:ascii="宋体" w:hAnsi="宋体"/>
                <w:b/>
                <w:color w:val="auto"/>
                <w:szCs w:val="21"/>
                <w:highlight w:val="none"/>
              </w:rPr>
              <w:t>文    件    名    称</w:t>
            </w:r>
          </w:p>
        </w:tc>
        <w:tc>
          <w:tcPr>
            <w:tcW w:w="1023" w:type="dxa"/>
            <w:gridSpan w:val="2"/>
            <w:shd w:val="clear" w:color="auto" w:fill="EEECE1"/>
            <w:vAlign w:val="center"/>
          </w:tcPr>
          <w:p>
            <w:pPr>
              <w:ind w:left="-118" w:leftChars="-56" w:right="-94" w:rightChars="-45"/>
              <w:jc w:val="center"/>
              <w:rPr>
                <w:rFonts w:hint="eastAsia" w:ascii="宋体" w:hAnsi="宋体"/>
                <w:b/>
                <w:color w:val="auto"/>
                <w:szCs w:val="21"/>
                <w:highlight w:val="none"/>
              </w:rPr>
            </w:pPr>
            <w:r>
              <w:rPr>
                <w:rFonts w:hint="eastAsia" w:ascii="宋体" w:hAnsi="宋体"/>
                <w:b/>
                <w:color w:val="auto"/>
                <w:szCs w:val="21"/>
                <w:highlight w:val="none"/>
              </w:rPr>
              <w:t>提交情况</w:t>
            </w:r>
          </w:p>
        </w:tc>
        <w:tc>
          <w:tcPr>
            <w:tcW w:w="725" w:type="dxa"/>
            <w:vMerge w:val="restart"/>
            <w:shd w:val="clear" w:color="auto" w:fill="EEECE1"/>
            <w:vAlign w:val="center"/>
          </w:tcPr>
          <w:p>
            <w:pPr>
              <w:jc w:val="center"/>
              <w:rPr>
                <w:rFonts w:hint="eastAsia" w:ascii="宋体" w:hAnsi="宋体"/>
                <w:b/>
                <w:color w:val="auto"/>
                <w:szCs w:val="21"/>
                <w:highlight w:val="none"/>
              </w:rPr>
            </w:pPr>
            <w:r>
              <w:rPr>
                <w:rFonts w:hint="eastAsia" w:ascii="宋体" w:hAnsi="宋体"/>
                <w:b/>
                <w:color w:val="auto"/>
                <w:szCs w:val="21"/>
                <w:highlight w:val="none"/>
              </w:rPr>
              <w:t>页码范围</w:t>
            </w:r>
          </w:p>
        </w:tc>
        <w:tc>
          <w:tcPr>
            <w:tcW w:w="726" w:type="dxa"/>
            <w:vMerge w:val="restart"/>
            <w:shd w:val="clear" w:color="auto" w:fill="EEECE1"/>
            <w:vAlign w:val="center"/>
          </w:tcPr>
          <w:p>
            <w:pPr>
              <w:jc w:val="center"/>
              <w:rPr>
                <w:rFonts w:hint="eastAsia" w:ascii="宋体" w:hAnsi="宋体"/>
                <w:b/>
                <w:color w:val="auto"/>
                <w:szCs w:val="21"/>
                <w:highlight w:val="none"/>
              </w:rPr>
            </w:pPr>
            <w:r>
              <w:rPr>
                <w:rFonts w:hint="eastAsia" w:ascii="宋体" w:hAnsi="宋体"/>
                <w:b/>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8" w:hRule="atLeast"/>
          <w:jc w:val="center"/>
        </w:trPr>
        <w:tc>
          <w:tcPr>
            <w:tcW w:w="1512" w:type="dxa"/>
            <w:vMerge w:val="continue"/>
            <w:shd w:val="clear" w:color="auto" w:fill="EEECE1"/>
            <w:vAlign w:val="center"/>
          </w:tcPr>
          <w:p>
            <w:pPr>
              <w:jc w:val="center"/>
              <w:rPr>
                <w:rFonts w:hint="eastAsia" w:ascii="宋体" w:hAnsi="宋体"/>
                <w:color w:val="auto"/>
                <w:szCs w:val="21"/>
                <w:highlight w:val="none"/>
              </w:rPr>
            </w:pPr>
          </w:p>
        </w:tc>
        <w:tc>
          <w:tcPr>
            <w:tcW w:w="547" w:type="dxa"/>
            <w:vMerge w:val="continue"/>
            <w:shd w:val="clear" w:color="auto" w:fill="EEECE1"/>
            <w:vAlign w:val="center"/>
          </w:tcPr>
          <w:p>
            <w:pPr>
              <w:rPr>
                <w:rFonts w:hint="eastAsia" w:ascii="宋体" w:hAnsi="宋体"/>
                <w:color w:val="auto"/>
                <w:szCs w:val="21"/>
                <w:highlight w:val="none"/>
              </w:rPr>
            </w:pPr>
          </w:p>
        </w:tc>
        <w:tc>
          <w:tcPr>
            <w:tcW w:w="5168" w:type="dxa"/>
            <w:vMerge w:val="continue"/>
            <w:shd w:val="clear" w:color="auto" w:fill="EEECE1"/>
            <w:vAlign w:val="center"/>
          </w:tcPr>
          <w:p>
            <w:pPr>
              <w:rPr>
                <w:rFonts w:hint="eastAsia" w:ascii="宋体" w:hAnsi="宋体"/>
                <w:color w:val="auto"/>
                <w:szCs w:val="21"/>
                <w:highlight w:val="none"/>
              </w:rPr>
            </w:pPr>
          </w:p>
        </w:tc>
        <w:tc>
          <w:tcPr>
            <w:tcW w:w="536" w:type="dxa"/>
            <w:shd w:val="clear" w:color="auto" w:fill="EEECE1"/>
            <w:vAlign w:val="center"/>
          </w:tcPr>
          <w:p>
            <w:pPr>
              <w:jc w:val="center"/>
              <w:rPr>
                <w:rFonts w:hint="eastAsia" w:ascii="宋体" w:hAnsi="宋体"/>
                <w:b/>
                <w:color w:val="auto"/>
                <w:szCs w:val="21"/>
                <w:highlight w:val="none"/>
              </w:rPr>
            </w:pPr>
            <w:r>
              <w:rPr>
                <w:rFonts w:hint="eastAsia" w:ascii="宋体" w:hAnsi="宋体"/>
                <w:b/>
                <w:color w:val="auto"/>
                <w:szCs w:val="21"/>
                <w:highlight w:val="none"/>
              </w:rPr>
              <w:t>有</w:t>
            </w:r>
          </w:p>
        </w:tc>
        <w:tc>
          <w:tcPr>
            <w:tcW w:w="487" w:type="dxa"/>
            <w:shd w:val="clear" w:color="auto" w:fill="EEECE1"/>
            <w:vAlign w:val="center"/>
          </w:tcPr>
          <w:p>
            <w:pPr>
              <w:jc w:val="center"/>
              <w:rPr>
                <w:rFonts w:hint="eastAsia" w:ascii="宋体" w:hAnsi="宋体"/>
                <w:b/>
                <w:color w:val="auto"/>
                <w:szCs w:val="21"/>
                <w:highlight w:val="none"/>
              </w:rPr>
            </w:pPr>
            <w:r>
              <w:rPr>
                <w:rFonts w:hint="eastAsia" w:ascii="宋体" w:hAnsi="宋体"/>
                <w:b/>
                <w:color w:val="auto"/>
                <w:szCs w:val="21"/>
                <w:highlight w:val="none"/>
              </w:rPr>
              <w:t>无</w:t>
            </w:r>
          </w:p>
        </w:tc>
        <w:tc>
          <w:tcPr>
            <w:tcW w:w="725" w:type="dxa"/>
            <w:vMerge w:val="continue"/>
            <w:shd w:val="clear" w:color="auto" w:fill="EEECE1"/>
            <w:vAlign w:val="center"/>
          </w:tcPr>
          <w:p>
            <w:pPr>
              <w:jc w:val="center"/>
              <w:rPr>
                <w:rFonts w:hint="eastAsia" w:ascii="宋体" w:hAnsi="宋体"/>
                <w:color w:val="auto"/>
                <w:szCs w:val="21"/>
                <w:highlight w:val="none"/>
              </w:rPr>
            </w:pPr>
          </w:p>
        </w:tc>
        <w:tc>
          <w:tcPr>
            <w:tcW w:w="726" w:type="dxa"/>
            <w:vMerge w:val="continue"/>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12" w:type="dxa"/>
            <w:vMerge w:val="restart"/>
            <w:shd w:val="clear" w:color="auto" w:fill="auto"/>
            <w:vAlign w:val="center"/>
          </w:tcPr>
          <w:p>
            <w:pPr>
              <w:jc w:val="center"/>
              <w:rPr>
                <w:rFonts w:hint="eastAsia" w:ascii="宋体" w:hAnsi="宋体"/>
                <w:color w:val="auto"/>
                <w:szCs w:val="21"/>
                <w:highlight w:val="none"/>
              </w:rPr>
            </w:pPr>
            <w:r>
              <w:rPr>
                <w:rFonts w:hint="eastAsia" w:ascii="宋体" w:hAnsi="宋体"/>
                <w:b/>
                <w:color w:val="auto"/>
                <w:szCs w:val="21"/>
                <w:highlight w:val="none"/>
              </w:rPr>
              <w:t>初审文件（加盖投标人公章）</w:t>
            </w:r>
          </w:p>
        </w:tc>
        <w:tc>
          <w:tcPr>
            <w:tcW w:w="547" w:type="dxa"/>
            <w:shd w:val="clear" w:color="auto" w:fill="auto"/>
            <w:vAlign w:val="center"/>
          </w:tcPr>
          <w:p>
            <w:pPr>
              <w:numPr>
                <w:ilvl w:val="0"/>
                <w:numId w:val="54"/>
              </w:numPr>
              <w:jc w:val="center"/>
              <w:rPr>
                <w:rFonts w:hint="eastAsia" w:ascii="宋体" w:hAnsi="宋体"/>
                <w:color w:val="auto"/>
                <w:szCs w:val="21"/>
                <w:highlight w:val="none"/>
              </w:rPr>
            </w:pPr>
          </w:p>
        </w:tc>
        <w:tc>
          <w:tcPr>
            <w:tcW w:w="5168" w:type="dxa"/>
            <w:shd w:val="clear" w:color="auto" w:fill="auto"/>
            <w:vAlign w:val="center"/>
          </w:tcPr>
          <w:p>
            <w:pPr>
              <w:pStyle w:val="8"/>
              <w:rPr>
                <w:rFonts w:hint="eastAsia" w:hAnsi="宋体"/>
                <w:color w:val="auto"/>
                <w:highlight w:val="none"/>
              </w:rPr>
            </w:pPr>
            <w:r>
              <w:rPr>
                <w:rFonts w:hint="eastAsia" w:hAnsi="宋体"/>
                <w:color w:val="auto"/>
                <w:kern w:val="0"/>
                <w:highlight w:val="none"/>
              </w:rPr>
              <w:t>投标函</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12" w:type="dxa"/>
            <w:vMerge w:val="continue"/>
            <w:shd w:val="clear" w:color="auto" w:fill="auto"/>
            <w:vAlign w:val="center"/>
          </w:tcPr>
          <w:p>
            <w:pPr>
              <w:ind w:left="113" w:right="113"/>
              <w:jc w:val="center"/>
              <w:rPr>
                <w:rFonts w:hint="eastAsia" w:ascii="宋体" w:hAnsi="宋体"/>
                <w:color w:val="auto"/>
                <w:szCs w:val="21"/>
                <w:highlight w:val="none"/>
              </w:rPr>
            </w:pPr>
          </w:p>
        </w:tc>
        <w:tc>
          <w:tcPr>
            <w:tcW w:w="547" w:type="dxa"/>
            <w:shd w:val="clear" w:color="auto" w:fill="auto"/>
            <w:vAlign w:val="center"/>
          </w:tcPr>
          <w:p>
            <w:pPr>
              <w:numPr>
                <w:ilvl w:val="0"/>
                <w:numId w:val="54"/>
              </w:numPr>
              <w:jc w:val="center"/>
              <w:rPr>
                <w:rFonts w:hint="eastAsia" w:ascii="宋体" w:hAnsi="宋体"/>
                <w:color w:val="auto"/>
                <w:szCs w:val="21"/>
                <w:highlight w:val="none"/>
              </w:rPr>
            </w:pPr>
          </w:p>
        </w:tc>
        <w:tc>
          <w:tcPr>
            <w:tcW w:w="5168" w:type="dxa"/>
            <w:shd w:val="clear" w:color="auto" w:fill="auto"/>
            <w:vAlign w:val="center"/>
          </w:tcPr>
          <w:p>
            <w:pPr>
              <w:pStyle w:val="8"/>
              <w:rPr>
                <w:rFonts w:hint="eastAsia" w:hAnsi="宋体"/>
                <w:color w:val="auto"/>
                <w:highlight w:val="none"/>
              </w:rPr>
            </w:pPr>
            <w:r>
              <w:rPr>
                <w:rFonts w:hint="eastAsia" w:hAnsi="宋体"/>
                <w:color w:val="auto"/>
                <w:kern w:val="0"/>
                <w:highlight w:val="none"/>
              </w:rPr>
              <w:t>投标人资格声明函</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12" w:type="dxa"/>
            <w:vMerge w:val="continue"/>
            <w:shd w:val="clear" w:color="auto" w:fill="auto"/>
            <w:vAlign w:val="center"/>
          </w:tcPr>
          <w:p>
            <w:pPr>
              <w:ind w:left="113" w:right="113"/>
              <w:jc w:val="center"/>
              <w:rPr>
                <w:rFonts w:hint="eastAsia" w:ascii="宋体" w:hAnsi="宋体"/>
                <w:color w:val="auto"/>
                <w:szCs w:val="21"/>
                <w:highlight w:val="none"/>
              </w:rPr>
            </w:pPr>
          </w:p>
        </w:tc>
        <w:tc>
          <w:tcPr>
            <w:tcW w:w="547" w:type="dxa"/>
            <w:shd w:val="clear" w:color="auto" w:fill="auto"/>
            <w:vAlign w:val="center"/>
          </w:tcPr>
          <w:p>
            <w:pPr>
              <w:numPr>
                <w:ilvl w:val="0"/>
                <w:numId w:val="54"/>
              </w:numPr>
              <w:jc w:val="center"/>
              <w:rPr>
                <w:rFonts w:hint="eastAsia" w:ascii="宋体" w:hAnsi="宋体"/>
                <w:color w:val="auto"/>
                <w:szCs w:val="21"/>
                <w:highlight w:val="none"/>
              </w:rPr>
            </w:pPr>
          </w:p>
        </w:tc>
        <w:tc>
          <w:tcPr>
            <w:tcW w:w="5168" w:type="dxa"/>
            <w:shd w:val="clear" w:color="auto" w:fill="auto"/>
            <w:vAlign w:val="center"/>
          </w:tcPr>
          <w:p>
            <w:pPr>
              <w:pStyle w:val="8"/>
              <w:rPr>
                <w:rFonts w:hint="eastAsia" w:hAnsi="宋体"/>
                <w:color w:val="auto"/>
                <w:highlight w:val="none"/>
              </w:rPr>
            </w:pPr>
            <w:r>
              <w:rPr>
                <w:rFonts w:hint="eastAsia" w:hAnsi="宋体"/>
                <w:color w:val="auto"/>
                <w:kern w:val="0"/>
                <w:highlight w:val="none"/>
              </w:rPr>
              <w:t>法人或者其他组织的营业执照</w:t>
            </w:r>
            <w:r>
              <w:rPr>
                <w:rFonts w:hint="eastAsia"/>
                <w:bCs/>
                <w:color w:val="auto"/>
                <w:highlight w:val="none"/>
              </w:rPr>
              <w:t>等证明</w:t>
            </w:r>
            <w:r>
              <w:rPr>
                <w:bCs/>
                <w:color w:val="auto"/>
                <w:highlight w:val="none"/>
              </w:rPr>
              <w:t>文件</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12" w:type="dxa"/>
            <w:vMerge w:val="continue"/>
            <w:shd w:val="clear" w:color="auto" w:fill="auto"/>
            <w:vAlign w:val="center"/>
          </w:tcPr>
          <w:p>
            <w:pPr>
              <w:ind w:left="113" w:right="113"/>
              <w:jc w:val="center"/>
              <w:rPr>
                <w:rFonts w:hint="eastAsia" w:ascii="宋体" w:hAnsi="宋体"/>
                <w:color w:val="auto"/>
                <w:szCs w:val="21"/>
                <w:highlight w:val="none"/>
              </w:rPr>
            </w:pPr>
          </w:p>
        </w:tc>
        <w:tc>
          <w:tcPr>
            <w:tcW w:w="547" w:type="dxa"/>
            <w:shd w:val="clear" w:color="auto" w:fill="auto"/>
            <w:vAlign w:val="center"/>
          </w:tcPr>
          <w:p>
            <w:pPr>
              <w:numPr>
                <w:ilvl w:val="0"/>
                <w:numId w:val="54"/>
              </w:numPr>
              <w:jc w:val="center"/>
              <w:rPr>
                <w:rFonts w:hint="eastAsia" w:ascii="宋体" w:hAnsi="宋体"/>
                <w:color w:val="auto"/>
                <w:szCs w:val="21"/>
                <w:highlight w:val="none"/>
              </w:rPr>
            </w:pPr>
          </w:p>
        </w:tc>
        <w:tc>
          <w:tcPr>
            <w:tcW w:w="5168" w:type="dxa"/>
            <w:shd w:val="clear" w:color="auto" w:fill="auto"/>
            <w:vAlign w:val="center"/>
          </w:tcPr>
          <w:p>
            <w:pPr>
              <w:pStyle w:val="8"/>
              <w:rPr>
                <w:rFonts w:hint="eastAsia" w:hAnsi="宋体"/>
                <w:color w:val="auto"/>
                <w:kern w:val="0"/>
                <w:highlight w:val="none"/>
              </w:rPr>
            </w:pPr>
            <w:r>
              <w:rPr>
                <w:rFonts w:hint="eastAsia" w:hAnsi="宋体"/>
                <w:color w:val="auto"/>
                <w:highlight w:val="none"/>
              </w:rPr>
              <w:t>法定代表人授权委托书</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12" w:type="dxa"/>
            <w:vMerge w:val="continue"/>
            <w:shd w:val="clear" w:color="auto" w:fill="auto"/>
            <w:vAlign w:val="center"/>
          </w:tcPr>
          <w:p>
            <w:pPr>
              <w:ind w:left="113" w:right="113"/>
              <w:jc w:val="center"/>
              <w:rPr>
                <w:rFonts w:hint="eastAsia" w:ascii="宋体" w:hAnsi="宋体"/>
                <w:color w:val="auto"/>
                <w:szCs w:val="21"/>
                <w:highlight w:val="none"/>
              </w:rPr>
            </w:pPr>
          </w:p>
        </w:tc>
        <w:tc>
          <w:tcPr>
            <w:tcW w:w="547" w:type="dxa"/>
            <w:shd w:val="clear" w:color="auto" w:fill="auto"/>
            <w:vAlign w:val="center"/>
          </w:tcPr>
          <w:p>
            <w:pPr>
              <w:numPr>
                <w:ilvl w:val="0"/>
                <w:numId w:val="54"/>
              </w:numPr>
              <w:jc w:val="center"/>
              <w:rPr>
                <w:rFonts w:hint="eastAsia" w:ascii="宋体" w:hAnsi="宋体"/>
                <w:color w:val="auto"/>
                <w:szCs w:val="21"/>
                <w:highlight w:val="none"/>
              </w:rPr>
            </w:pPr>
          </w:p>
        </w:tc>
        <w:tc>
          <w:tcPr>
            <w:tcW w:w="5168" w:type="dxa"/>
            <w:shd w:val="clear" w:color="auto" w:fill="auto"/>
            <w:vAlign w:val="center"/>
          </w:tcPr>
          <w:p>
            <w:pPr>
              <w:pStyle w:val="8"/>
              <w:rPr>
                <w:rFonts w:hint="eastAsia" w:hAnsi="宋体"/>
                <w:color w:val="auto"/>
                <w:highlight w:val="none"/>
              </w:rPr>
            </w:pPr>
            <w:r>
              <w:rPr>
                <w:rFonts w:hint="eastAsia" w:hAnsi="宋体"/>
                <w:color w:val="auto"/>
                <w:highlight w:val="none"/>
              </w:rPr>
              <w:t>法定代表人证明书</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12" w:type="dxa"/>
            <w:vMerge w:val="restart"/>
            <w:shd w:val="clear" w:color="auto" w:fill="auto"/>
            <w:vAlign w:val="center"/>
          </w:tcPr>
          <w:p>
            <w:pPr>
              <w:ind w:left="113" w:right="113"/>
              <w:jc w:val="center"/>
              <w:rPr>
                <w:rFonts w:hint="eastAsia" w:ascii="宋体" w:hAnsi="宋体"/>
                <w:color w:val="auto"/>
                <w:szCs w:val="21"/>
                <w:highlight w:val="none"/>
              </w:rPr>
            </w:pPr>
            <w:r>
              <w:rPr>
                <w:rFonts w:hint="eastAsia" w:ascii="宋体" w:hAnsi="宋体"/>
                <w:b/>
                <w:color w:val="auto"/>
                <w:szCs w:val="21"/>
                <w:highlight w:val="none"/>
              </w:rPr>
              <w:t>投标人应提交的技术文件（</w:t>
            </w:r>
            <w:r>
              <w:rPr>
                <w:rFonts w:hint="eastAsia" w:ascii="宋体" w:hAnsi="宋体"/>
                <w:b/>
                <w:bCs/>
                <w:color w:val="auto"/>
                <w:szCs w:val="21"/>
                <w:highlight w:val="none"/>
              </w:rPr>
              <w:t>加盖投标人公章</w:t>
            </w:r>
            <w:r>
              <w:rPr>
                <w:rFonts w:hint="eastAsia" w:ascii="宋体" w:hAnsi="宋体"/>
                <w:b/>
                <w:color w:val="auto"/>
                <w:szCs w:val="21"/>
                <w:highlight w:val="none"/>
              </w:rPr>
              <w:t>）</w:t>
            </w:r>
          </w:p>
        </w:tc>
        <w:tc>
          <w:tcPr>
            <w:tcW w:w="547" w:type="dxa"/>
            <w:shd w:val="clear" w:color="auto" w:fill="auto"/>
            <w:vAlign w:val="center"/>
          </w:tcPr>
          <w:p>
            <w:pPr>
              <w:numPr>
                <w:ilvl w:val="0"/>
                <w:numId w:val="55"/>
              </w:numPr>
              <w:jc w:val="center"/>
              <w:rPr>
                <w:rFonts w:hint="eastAsia" w:ascii="宋体" w:hAnsi="宋体"/>
                <w:color w:val="auto"/>
                <w:szCs w:val="21"/>
                <w:highlight w:val="none"/>
              </w:rPr>
            </w:pPr>
          </w:p>
        </w:tc>
        <w:tc>
          <w:tcPr>
            <w:tcW w:w="5168" w:type="dxa"/>
            <w:shd w:val="clear" w:color="auto" w:fill="auto"/>
            <w:vAlign w:val="center"/>
          </w:tcPr>
          <w:p>
            <w:pPr>
              <w:pStyle w:val="8"/>
              <w:rPr>
                <w:rFonts w:hint="eastAsia" w:hAnsi="宋体"/>
                <w:color w:val="auto"/>
                <w:highlight w:val="none"/>
              </w:rPr>
            </w:pPr>
            <w:r>
              <w:rPr>
                <w:rFonts w:hint="eastAsia" w:hAnsi="宋体"/>
                <w:color w:val="auto"/>
                <w:highlight w:val="none"/>
              </w:rPr>
              <w:t>开标一览表(报价表)</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12" w:type="dxa"/>
            <w:vMerge w:val="continue"/>
            <w:shd w:val="clear" w:color="auto" w:fill="auto"/>
            <w:vAlign w:val="center"/>
          </w:tcPr>
          <w:p>
            <w:pPr>
              <w:ind w:left="113" w:right="113"/>
              <w:jc w:val="center"/>
              <w:rPr>
                <w:rFonts w:hint="eastAsia" w:ascii="宋体" w:hAnsi="宋体"/>
                <w:b/>
                <w:color w:val="auto"/>
                <w:szCs w:val="21"/>
                <w:highlight w:val="none"/>
              </w:rPr>
            </w:pPr>
          </w:p>
        </w:tc>
        <w:tc>
          <w:tcPr>
            <w:tcW w:w="547" w:type="dxa"/>
            <w:shd w:val="clear" w:color="auto" w:fill="auto"/>
            <w:vAlign w:val="center"/>
          </w:tcPr>
          <w:p>
            <w:pPr>
              <w:numPr>
                <w:ilvl w:val="0"/>
                <w:numId w:val="55"/>
              </w:numPr>
              <w:jc w:val="center"/>
              <w:rPr>
                <w:rFonts w:hint="eastAsia" w:ascii="宋体" w:hAnsi="宋体"/>
                <w:color w:val="auto"/>
                <w:szCs w:val="21"/>
                <w:highlight w:val="none"/>
              </w:rPr>
            </w:pPr>
          </w:p>
        </w:tc>
        <w:tc>
          <w:tcPr>
            <w:tcW w:w="5168" w:type="dxa"/>
            <w:shd w:val="clear" w:color="auto" w:fill="auto"/>
            <w:vAlign w:val="center"/>
          </w:tcPr>
          <w:p>
            <w:pPr>
              <w:rPr>
                <w:rFonts w:hint="eastAsia" w:ascii="宋体" w:hAnsi="宋体"/>
                <w:color w:val="auto"/>
                <w:szCs w:val="21"/>
                <w:highlight w:val="none"/>
              </w:rPr>
            </w:pPr>
            <w:r>
              <w:rPr>
                <w:rFonts w:hint="eastAsia" w:ascii="宋体" w:hAnsi="宋体"/>
                <w:color w:val="auto"/>
                <w:szCs w:val="21"/>
                <w:highlight w:val="none"/>
              </w:rPr>
              <w:t>投标分项报价表</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12" w:type="dxa"/>
            <w:vMerge w:val="continue"/>
            <w:shd w:val="clear" w:color="auto" w:fill="auto"/>
            <w:vAlign w:val="center"/>
          </w:tcPr>
          <w:p>
            <w:pPr>
              <w:ind w:left="113" w:right="113"/>
              <w:jc w:val="center"/>
              <w:rPr>
                <w:rFonts w:hint="eastAsia" w:ascii="宋体" w:hAnsi="宋体"/>
                <w:b/>
                <w:color w:val="auto"/>
                <w:szCs w:val="21"/>
                <w:highlight w:val="none"/>
              </w:rPr>
            </w:pPr>
          </w:p>
        </w:tc>
        <w:tc>
          <w:tcPr>
            <w:tcW w:w="547" w:type="dxa"/>
            <w:shd w:val="clear" w:color="auto" w:fill="auto"/>
            <w:vAlign w:val="center"/>
          </w:tcPr>
          <w:p>
            <w:pPr>
              <w:numPr>
                <w:ilvl w:val="0"/>
                <w:numId w:val="55"/>
              </w:numPr>
              <w:jc w:val="center"/>
              <w:rPr>
                <w:rFonts w:hint="eastAsia" w:ascii="宋体" w:hAnsi="宋体"/>
                <w:color w:val="auto"/>
                <w:szCs w:val="21"/>
                <w:highlight w:val="none"/>
              </w:rPr>
            </w:pPr>
          </w:p>
        </w:tc>
        <w:tc>
          <w:tcPr>
            <w:tcW w:w="5168" w:type="dxa"/>
            <w:shd w:val="clear" w:color="auto" w:fill="auto"/>
            <w:vAlign w:val="center"/>
          </w:tcPr>
          <w:p>
            <w:pPr>
              <w:rPr>
                <w:rFonts w:hint="eastAsia" w:ascii="宋体" w:hAnsi="宋体"/>
                <w:color w:val="auto"/>
                <w:szCs w:val="21"/>
                <w:highlight w:val="none"/>
              </w:rPr>
            </w:pPr>
            <w:r>
              <w:rPr>
                <w:rFonts w:hint="eastAsia" w:ascii="宋体" w:hAnsi="宋体"/>
                <w:color w:val="auto"/>
                <w:szCs w:val="21"/>
                <w:highlight w:val="none"/>
              </w:rPr>
              <w:t>重要条款响应一览表</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12" w:type="dxa"/>
            <w:vMerge w:val="continue"/>
            <w:shd w:val="clear" w:color="auto" w:fill="auto"/>
            <w:vAlign w:val="center"/>
          </w:tcPr>
          <w:p>
            <w:pPr>
              <w:ind w:left="113" w:right="113"/>
              <w:jc w:val="center"/>
              <w:rPr>
                <w:rFonts w:hint="eastAsia" w:ascii="宋体" w:hAnsi="宋体"/>
                <w:b/>
                <w:color w:val="auto"/>
                <w:szCs w:val="21"/>
                <w:highlight w:val="none"/>
              </w:rPr>
            </w:pPr>
          </w:p>
        </w:tc>
        <w:tc>
          <w:tcPr>
            <w:tcW w:w="547" w:type="dxa"/>
            <w:shd w:val="clear" w:color="auto" w:fill="auto"/>
            <w:vAlign w:val="center"/>
          </w:tcPr>
          <w:p>
            <w:pPr>
              <w:numPr>
                <w:ilvl w:val="0"/>
                <w:numId w:val="55"/>
              </w:numPr>
              <w:jc w:val="center"/>
              <w:rPr>
                <w:rFonts w:hint="eastAsia" w:ascii="宋体" w:hAnsi="宋体"/>
                <w:color w:val="auto"/>
                <w:szCs w:val="21"/>
                <w:highlight w:val="none"/>
              </w:rPr>
            </w:pPr>
          </w:p>
        </w:tc>
        <w:tc>
          <w:tcPr>
            <w:tcW w:w="5168" w:type="dxa"/>
            <w:shd w:val="clear" w:color="auto" w:fill="auto"/>
            <w:vAlign w:val="center"/>
          </w:tcPr>
          <w:p>
            <w:pPr>
              <w:rPr>
                <w:rFonts w:hint="eastAsia" w:ascii="宋体" w:hAnsi="宋体"/>
                <w:color w:val="auto"/>
                <w:szCs w:val="21"/>
                <w:highlight w:val="none"/>
              </w:rPr>
            </w:pPr>
            <w:r>
              <w:rPr>
                <w:rFonts w:hint="eastAsia" w:ascii="宋体" w:hAnsi="宋体"/>
                <w:color w:val="auto"/>
                <w:szCs w:val="21"/>
                <w:highlight w:val="none"/>
              </w:rPr>
              <w:t>服务方案</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12" w:type="dxa"/>
            <w:vMerge w:val="continue"/>
            <w:shd w:val="clear" w:color="auto" w:fill="auto"/>
            <w:vAlign w:val="center"/>
          </w:tcPr>
          <w:p>
            <w:pPr>
              <w:ind w:left="113" w:right="113"/>
              <w:jc w:val="center"/>
              <w:rPr>
                <w:rFonts w:hint="eastAsia" w:ascii="宋体" w:hAnsi="宋体"/>
                <w:color w:val="auto"/>
                <w:szCs w:val="21"/>
                <w:highlight w:val="none"/>
              </w:rPr>
            </w:pPr>
          </w:p>
        </w:tc>
        <w:tc>
          <w:tcPr>
            <w:tcW w:w="547" w:type="dxa"/>
            <w:shd w:val="clear" w:color="auto" w:fill="auto"/>
            <w:vAlign w:val="center"/>
          </w:tcPr>
          <w:p>
            <w:pPr>
              <w:numPr>
                <w:ilvl w:val="0"/>
                <w:numId w:val="55"/>
              </w:numPr>
              <w:jc w:val="center"/>
              <w:rPr>
                <w:rFonts w:hint="eastAsia" w:ascii="宋体" w:hAnsi="宋体"/>
                <w:color w:val="auto"/>
                <w:szCs w:val="21"/>
                <w:highlight w:val="none"/>
              </w:rPr>
            </w:pPr>
          </w:p>
        </w:tc>
        <w:tc>
          <w:tcPr>
            <w:tcW w:w="5168" w:type="dxa"/>
            <w:shd w:val="clear" w:color="auto" w:fill="auto"/>
            <w:vAlign w:val="center"/>
          </w:tcPr>
          <w:p>
            <w:pPr>
              <w:jc w:val="left"/>
              <w:textAlignment w:val="baseline"/>
              <w:rPr>
                <w:rFonts w:hint="eastAsia" w:ascii="宋体" w:hAnsi="宋体"/>
                <w:color w:val="auto"/>
                <w:szCs w:val="21"/>
                <w:highlight w:val="none"/>
              </w:rPr>
            </w:pPr>
            <w:r>
              <w:rPr>
                <w:rFonts w:hint="eastAsia" w:ascii="宋体" w:hAnsi="宋体"/>
                <w:color w:val="auto"/>
                <w:szCs w:val="21"/>
                <w:highlight w:val="none"/>
              </w:rPr>
              <w:t>投标人认为需要提供的其它说明和资料</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3" w:hRule="atLeast"/>
          <w:jc w:val="center"/>
        </w:trPr>
        <w:tc>
          <w:tcPr>
            <w:tcW w:w="1512" w:type="dxa"/>
            <w:vMerge w:val="restart"/>
            <w:shd w:val="clear" w:color="auto" w:fill="auto"/>
            <w:vAlign w:val="center"/>
          </w:tcPr>
          <w:p>
            <w:pPr>
              <w:jc w:val="center"/>
              <w:rPr>
                <w:rFonts w:hint="eastAsia" w:ascii="宋体" w:hAnsi="宋体"/>
                <w:color w:val="auto"/>
                <w:szCs w:val="21"/>
                <w:highlight w:val="none"/>
              </w:rPr>
            </w:pPr>
            <w:r>
              <w:rPr>
                <w:rFonts w:hint="eastAsia" w:ascii="宋体" w:hAnsi="宋体"/>
                <w:b/>
                <w:color w:val="auto"/>
                <w:szCs w:val="21"/>
                <w:highlight w:val="none"/>
              </w:rPr>
              <w:t>投标人应提交的商务文件（</w:t>
            </w:r>
            <w:r>
              <w:rPr>
                <w:rFonts w:hint="eastAsia" w:ascii="宋体" w:hAnsi="宋体"/>
                <w:b/>
                <w:bCs/>
                <w:color w:val="auto"/>
                <w:szCs w:val="21"/>
                <w:highlight w:val="none"/>
              </w:rPr>
              <w:t>加盖投标人公章</w:t>
            </w:r>
            <w:r>
              <w:rPr>
                <w:rFonts w:hint="eastAsia" w:ascii="宋体" w:hAnsi="宋体"/>
                <w:b/>
                <w:color w:val="auto"/>
                <w:szCs w:val="21"/>
                <w:highlight w:val="none"/>
              </w:rPr>
              <w:t>）</w:t>
            </w:r>
          </w:p>
        </w:tc>
        <w:tc>
          <w:tcPr>
            <w:tcW w:w="547" w:type="dxa"/>
            <w:shd w:val="clear" w:color="auto" w:fill="auto"/>
            <w:vAlign w:val="center"/>
          </w:tcPr>
          <w:p>
            <w:pPr>
              <w:numPr>
                <w:ilvl w:val="0"/>
                <w:numId w:val="56"/>
              </w:numPr>
              <w:jc w:val="center"/>
              <w:rPr>
                <w:rFonts w:hint="eastAsia" w:ascii="宋体" w:hAnsi="宋体"/>
                <w:color w:val="auto"/>
                <w:szCs w:val="21"/>
                <w:highlight w:val="none"/>
              </w:rPr>
            </w:pPr>
          </w:p>
        </w:tc>
        <w:tc>
          <w:tcPr>
            <w:tcW w:w="5168" w:type="dxa"/>
            <w:shd w:val="clear" w:color="auto" w:fill="auto"/>
            <w:vAlign w:val="center"/>
          </w:tcPr>
          <w:p>
            <w:pPr>
              <w:jc w:val="left"/>
              <w:textAlignment w:val="baseline"/>
              <w:rPr>
                <w:rFonts w:hint="eastAsia" w:ascii="宋体" w:hAnsi="宋体"/>
                <w:color w:val="auto"/>
                <w:szCs w:val="21"/>
                <w:highlight w:val="none"/>
              </w:rPr>
            </w:pPr>
            <w:r>
              <w:rPr>
                <w:rFonts w:hint="eastAsia" w:ascii="宋体" w:hAnsi="宋体"/>
                <w:color w:val="auto"/>
                <w:szCs w:val="21"/>
                <w:highlight w:val="none"/>
              </w:rPr>
              <w:t>投标人基本情况表</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3" w:hRule="atLeast"/>
          <w:jc w:val="center"/>
        </w:trPr>
        <w:tc>
          <w:tcPr>
            <w:tcW w:w="1512"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56"/>
              </w:numPr>
              <w:jc w:val="center"/>
              <w:rPr>
                <w:rFonts w:hint="eastAsia" w:ascii="宋体" w:hAnsi="宋体"/>
                <w:color w:val="auto"/>
                <w:szCs w:val="21"/>
                <w:highlight w:val="none"/>
              </w:rPr>
            </w:pPr>
          </w:p>
        </w:tc>
        <w:tc>
          <w:tcPr>
            <w:tcW w:w="5168" w:type="dxa"/>
            <w:shd w:val="clear" w:color="auto" w:fill="auto"/>
            <w:vAlign w:val="center"/>
          </w:tcPr>
          <w:p>
            <w:pPr>
              <w:pStyle w:val="8"/>
              <w:rPr>
                <w:rFonts w:hint="eastAsia" w:hAnsi="宋体"/>
                <w:color w:val="auto"/>
                <w:kern w:val="0"/>
                <w:highlight w:val="none"/>
              </w:rPr>
            </w:pPr>
            <w:r>
              <w:rPr>
                <w:rFonts w:hint="eastAsia"/>
                <w:color w:val="auto"/>
                <w:szCs w:val="21"/>
                <w:highlight w:val="none"/>
                <w:lang w:eastAsia="zh-CN"/>
              </w:rPr>
              <w:t>同类项目业绩</w:t>
            </w:r>
            <w:r>
              <w:rPr>
                <w:rFonts w:hint="eastAsia" w:hAnsi="宋体"/>
                <w:color w:val="auto"/>
                <w:kern w:val="0"/>
                <w:highlight w:val="none"/>
              </w:rPr>
              <w:t>一览表</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3" w:hRule="atLeast"/>
          <w:jc w:val="center"/>
        </w:trPr>
        <w:tc>
          <w:tcPr>
            <w:tcW w:w="1512"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56"/>
              </w:numPr>
              <w:jc w:val="center"/>
              <w:rPr>
                <w:rFonts w:hint="eastAsia" w:ascii="宋体" w:hAnsi="宋体"/>
                <w:color w:val="auto"/>
                <w:szCs w:val="21"/>
                <w:highlight w:val="none"/>
              </w:rPr>
            </w:pPr>
          </w:p>
        </w:tc>
        <w:tc>
          <w:tcPr>
            <w:tcW w:w="5168" w:type="dxa"/>
            <w:shd w:val="clear" w:color="auto" w:fill="auto"/>
            <w:vAlign w:val="center"/>
          </w:tcPr>
          <w:p>
            <w:pPr>
              <w:pStyle w:val="8"/>
              <w:rPr>
                <w:rFonts w:hint="eastAsia" w:eastAsia="宋体"/>
                <w:color w:val="auto"/>
                <w:szCs w:val="21"/>
                <w:highlight w:val="none"/>
                <w:lang w:eastAsia="zh-CN"/>
              </w:rPr>
            </w:pPr>
            <w:r>
              <w:rPr>
                <w:rFonts w:hint="eastAsia" w:ascii="宋体" w:hAnsi="宋体" w:eastAsia="宋体" w:cs="宋体"/>
                <w:color w:val="auto"/>
                <w:kern w:val="0"/>
                <w:highlight w:val="none"/>
              </w:rPr>
              <w:t>软件产品质量检测检验中心</w:t>
            </w:r>
            <w:r>
              <w:rPr>
                <w:rFonts w:hint="eastAsia" w:ascii="宋体" w:hAnsi="宋体" w:eastAsia="宋体" w:cs="宋体"/>
                <w:color w:val="auto"/>
                <w:kern w:val="0"/>
                <w:highlight w:val="none"/>
                <w:lang w:eastAsia="zh-CN"/>
              </w:rPr>
              <w:t>出具</w:t>
            </w:r>
            <w:r>
              <w:rPr>
                <w:rFonts w:hint="eastAsia" w:ascii="宋体" w:hAnsi="宋体" w:eastAsia="宋体" w:cs="宋体"/>
                <w:color w:val="auto"/>
                <w:kern w:val="0"/>
                <w:highlight w:val="none"/>
              </w:rPr>
              <w:t>的测试报告</w:t>
            </w:r>
            <w:r>
              <w:rPr>
                <w:rFonts w:hint="eastAsia" w:hAnsi="宋体" w:cs="宋体"/>
                <w:color w:val="auto"/>
                <w:kern w:val="0"/>
                <w:highlight w:val="none"/>
                <w:lang w:eastAsia="zh-CN"/>
              </w:rPr>
              <w:t>复印件</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3" w:hRule="atLeast"/>
          <w:jc w:val="center"/>
        </w:trPr>
        <w:tc>
          <w:tcPr>
            <w:tcW w:w="1512"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56"/>
              </w:numPr>
              <w:jc w:val="center"/>
              <w:rPr>
                <w:rFonts w:hint="eastAsia" w:ascii="宋体" w:hAnsi="宋体"/>
                <w:color w:val="auto"/>
                <w:szCs w:val="21"/>
                <w:highlight w:val="none"/>
              </w:rPr>
            </w:pPr>
          </w:p>
        </w:tc>
        <w:tc>
          <w:tcPr>
            <w:tcW w:w="5168" w:type="dxa"/>
            <w:shd w:val="clear" w:color="auto" w:fill="auto"/>
            <w:vAlign w:val="center"/>
          </w:tcPr>
          <w:p>
            <w:pPr>
              <w:pStyle w:val="8"/>
              <w:rPr>
                <w:rFonts w:hint="eastAsia" w:eastAsia="宋体"/>
                <w:color w:val="auto"/>
                <w:szCs w:val="21"/>
                <w:highlight w:val="none"/>
                <w:lang w:eastAsia="zh-CN"/>
              </w:rPr>
            </w:pPr>
            <w:r>
              <w:rPr>
                <w:rFonts w:hint="eastAsia"/>
                <w:color w:val="auto"/>
                <w:highlight w:val="none"/>
              </w:rPr>
              <w:t>涉密信息系统集成资质甲级证书</w:t>
            </w:r>
            <w:r>
              <w:rPr>
                <w:rFonts w:hint="eastAsia"/>
                <w:color w:val="auto"/>
                <w:highlight w:val="none"/>
                <w:lang w:eastAsia="zh-CN"/>
              </w:rPr>
              <w:t>复印件</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3" w:hRule="atLeast"/>
          <w:jc w:val="center"/>
        </w:trPr>
        <w:tc>
          <w:tcPr>
            <w:tcW w:w="1512"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56"/>
              </w:numPr>
              <w:jc w:val="center"/>
              <w:rPr>
                <w:rFonts w:hint="eastAsia" w:ascii="宋体" w:hAnsi="宋体"/>
                <w:color w:val="auto"/>
                <w:szCs w:val="21"/>
                <w:highlight w:val="none"/>
              </w:rPr>
            </w:pPr>
          </w:p>
        </w:tc>
        <w:tc>
          <w:tcPr>
            <w:tcW w:w="5168" w:type="dxa"/>
            <w:shd w:val="clear" w:color="auto" w:fill="auto"/>
            <w:vAlign w:val="center"/>
          </w:tcPr>
          <w:p>
            <w:pPr>
              <w:pStyle w:val="8"/>
              <w:rPr>
                <w:rFonts w:hint="eastAsia" w:eastAsia="宋体"/>
                <w:color w:val="auto"/>
                <w:highlight w:val="none"/>
                <w:lang w:eastAsia="zh-CN"/>
              </w:rPr>
            </w:pPr>
            <w:r>
              <w:rPr>
                <w:rFonts w:hint="eastAsia" w:ascii="宋体" w:hAnsi="宋体"/>
                <w:color w:val="auto"/>
                <w:kern w:val="0"/>
                <w:highlight w:val="none"/>
              </w:rPr>
              <w:t>档案软件</w:t>
            </w:r>
            <w:r>
              <w:rPr>
                <w:rFonts w:hint="eastAsia"/>
                <w:color w:val="auto"/>
                <w:szCs w:val="21"/>
                <w:highlight w:val="none"/>
              </w:rPr>
              <w:t>产品获得</w:t>
            </w:r>
            <w:r>
              <w:rPr>
                <w:rFonts w:hint="eastAsia"/>
                <w:color w:val="auto"/>
                <w:highlight w:val="none"/>
              </w:rPr>
              <w:t>自主创新产品证书</w:t>
            </w:r>
            <w:r>
              <w:rPr>
                <w:rFonts w:hint="eastAsia"/>
                <w:color w:val="auto"/>
                <w:highlight w:val="none"/>
                <w:lang w:eastAsia="zh-CN"/>
              </w:rPr>
              <w:t>复印件</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3" w:hRule="atLeast"/>
          <w:jc w:val="center"/>
        </w:trPr>
        <w:tc>
          <w:tcPr>
            <w:tcW w:w="1512"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56"/>
              </w:numPr>
              <w:jc w:val="center"/>
              <w:rPr>
                <w:rFonts w:hint="eastAsia" w:ascii="宋体" w:hAnsi="宋体"/>
                <w:color w:val="auto"/>
                <w:szCs w:val="21"/>
                <w:highlight w:val="none"/>
              </w:rPr>
            </w:pPr>
          </w:p>
        </w:tc>
        <w:tc>
          <w:tcPr>
            <w:tcW w:w="5168" w:type="dxa"/>
            <w:shd w:val="clear" w:color="auto" w:fill="auto"/>
            <w:vAlign w:val="center"/>
          </w:tcPr>
          <w:p>
            <w:pPr>
              <w:pStyle w:val="8"/>
              <w:rPr>
                <w:rFonts w:hint="eastAsia" w:eastAsia="宋体"/>
                <w:color w:val="auto"/>
                <w:highlight w:val="none"/>
                <w:lang w:eastAsia="zh-CN"/>
              </w:rPr>
            </w:pPr>
            <w:r>
              <w:rPr>
                <w:rFonts w:hint="eastAsia" w:ascii="宋体" w:hAnsi="宋体" w:cs="宋体"/>
                <w:color w:val="auto"/>
                <w:highlight w:val="none"/>
                <w:lang w:eastAsia="zh-CN"/>
              </w:rPr>
              <w:t>设备或软件</w:t>
            </w:r>
            <w:r>
              <w:rPr>
                <w:rFonts w:hint="eastAsia" w:ascii="宋体" w:hAnsi="宋体" w:eastAsia="宋体" w:cs="宋体"/>
                <w:color w:val="auto"/>
                <w:highlight w:val="none"/>
              </w:rPr>
              <w:t>具有计算机软件著作权证书</w:t>
            </w:r>
            <w:r>
              <w:rPr>
                <w:rFonts w:hint="eastAsia" w:hAnsi="宋体" w:cs="宋体"/>
                <w:color w:val="auto"/>
                <w:highlight w:val="none"/>
                <w:lang w:eastAsia="zh-CN"/>
              </w:rPr>
              <w:t>复印件</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3" w:hRule="atLeast"/>
          <w:jc w:val="center"/>
        </w:trPr>
        <w:tc>
          <w:tcPr>
            <w:tcW w:w="1512"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56"/>
              </w:numPr>
              <w:jc w:val="center"/>
              <w:rPr>
                <w:rFonts w:hint="eastAsia" w:ascii="宋体" w:hAnsi="宋体"/>
                <w:color w:val="auto"/>
                <w:szCs w:val="21"/>
                <w:highlight w:val="none"/>
              </w:rPr>
            </w:pPr>
          </w:p>
        </w:tc>
        <w:tc>
          <w:tcPr>
            <w:tcW w:w="5168" w:type="dxa"/>
            <w:shd w:val="clear" w:color="auto" w:fill="auto"/>
            <w:vAlign w:val="center"/>
          </w:tcPr>
          <w:p>
            <w:pPr>
              <w:pStyle w:val="8"/>
              <w:rPr>
                <w:rFonts w:hint="eastAsia" w:ascii="宋体" w:hAnsi="宋体" w:cs="宋体"/>
                <w:color w:val="auto"/>
                <w:highlight w:val="none"/>
                <w:lang w:eastAsia="zh-CN"/>
              </w:rPr>
            </w:pPr>
            <w:r>
              <w:rPr>
                <w:rFonts w:hint="eastAsia" w:cs="Times New Roman"/>
                <w:bCs w:val="0"/>
                <w:color w:val="auto"/>
                <w:spacing w:val="0"/>
                <w:kern w:val="2"/>
                <w:sz w:val="21"/>
                <w:szCs w:val="24"/>
                <w:highlight w:val="none"/>
                <w:lang w:eastAsia="zh-CN"/>
              </w:rPr>
              <w:t>国家信息中心信息安全研究与服务中心免费提供档案系统服务器授权书及售后服务承诺函复印件</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3" w:hRule="atLeast"/>
          <w:jc w:val="center"/>
        </w:trPr>
        <w:tc>
          <w:tcPr>
            <w:tcW w:w="1512"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56"/>
              </w:numPr>
              <w:jc w:val="center"/>
              <w:rPr>
                <w:rFonts w:hint="eastAsia" w:ascii="宋体" w:hAnsi="宋体"/>
                <w:color w:val="auto"/>
                <w:szCs w:val="21"/>
                <w:highlight w:val="none"/>
              </w:rPr>
            </w:pPr>
          </w:p>
        </w:tc>
        <w:tc>
          <w:tcPr>
            <w:tcW w:w="5168" w:type="dxa"/>
            <w:shd w:val="clear" w:color="auto" w:fill="auto"/>
            <w:vAlign w:val="center"/>
          </w:tcPr>
          <w:p>
            <w:pPr>
              <w:pStyle w:val="8"/>
              <w:rPr>
                <w:rFonts w:hint="eastAsia" w:eastAsia="宋体" w:cs="Times New Roman"/>
                <w:bCs w:val="0"/>
                <w:color w:val="auto"/>
                <w:spacing w:val="0"/>
                <w:kern w:val="2"/>
                <w:sz w:val="21"/>
                <w:szCs w:val="24"/>
                <w:highlight w:val="none"/>
                <w:lang w:eastAsia="zh-CN"/>
              </w:rPr>
            </w:pPr>
            <w:r>
              <w:rPr>
                <w:rFonts w:hint="eastAsia" w:ascii="宋体" w:hAnsi="宋体"/>
                <w:color w:val="auto"/>
                <w:kern w:val="0"/>
                <w:highlight w:val="none"/>
              </w:rPr>
              <w:t>ISO9001: 2015质量管理体系认证证书</w:t>
            </w:r>
            <w:r>
              <w:rPr>
                <w:rFonts w:hint="eastAsia" w:hAnsi="宋体"/>
                <w:color w:val="auto"/>
                <w:kern w:val="0"/>
                <w:highlight w:val="none"/>
                <w:lang w:eastAsia="zh-CN"/>
              </w:rPr>
              <w:t>复印件</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3" w:hRule="atLeast"/>
          <w:jc w:val="center"/>
        </w:trPr>
        <w:tc>
          <w:tcPr>
            <w:tcW w:w="1512"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56"/>
              </w:numPr>
              <w:jc w:val="center"/>
              <w:rPr>
                <w:rFonts w:hint="eastAsia" w:ascii="宋体" w:hAnsi="宋体"/>
                <w:color w:val="auto"/>
                <w:szCs w:val="21"/>
                <w:highlight w:val="none"/>
              </w:rPr>
            </w:pPr>
          </w:p>
        </w:tc>
        <w:tc>
          <w:tcPr>
            <w:tcW w:w="5168" w:type="dxa"/>
            <w:shd w:val="clear" w:color="auto" w:fill="auto"/>
            <w:vAlign w:val="center"/>
          </w:tcPr>
          <w:p>
            <w:pPr>
              <w:pStyle w:val="8"/>
              <w:rPr>
                <w:rFonts w:hint="eastAsia" w:eastAsia="宋体"/>
                <w:color w:val="auto"/>
                <w:szCs w:val="21"/>
                <w:highlight w:val="none"/>
                <w:lang w:eastAsia="zh-CN"/>
              </w:rPr>
            </w:pPr>
            <w:r>
              <w:rPr>
                <w:rFonts w:hint="eastAsia"/>
                <w:b w:val="0"/>
                <w:color w:val="auto"/>
                <w:highlight w:val="none"/>
              </w:rPr>
              <w:t>中小企业声明函</w:t>
            </w:r>
            <w:r>
              <w:rPr>
                <w:rFonts w:hint="eastAsia"/>
                <w:b w:val="0"/>
                <w:color w:val="auto"/>
                <w:highlight w:val="none"/>
                <w:lang w:eastAsia="zh-CN"/>
              </w:rPr>
              <w:t>（如有）</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3" w:hRule="atLeast"/>
          <w:jc w:val="center"/>
        </w:trPr>
        <w:tc>
          <w:tcPr>
            <w:tcW w:w="1512"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56"/>
              </w:numPr>
              <w:jc w:val="center"/>
              <w:rPr>
                <w:rFonts w:hint="eastAsia" w:ascii="宋体" w:hAnsi="宋体"/>
                <w:color w:val="auto"/>
                <w:szCs w:val="21"/>
                <w:highlight w:val="none"/>
              </w:rPr>
            </w:pPr>
          </w:p>
        </w:tc>
        <w:tc>
          <w:tcPr>
            <w:tcW w:w="5168" w:type="dxa"/>
            <w:shd w:val="clear" w:color="auto" w:fill="auto"/>
            <w:vAlign w:val="center"/>
          </w:tcPr>
          <w:p>
            <w:pPr>
              <w:pStyle w:val="8"/>
              <w:rPr>
                <w:rFonts w:hint="eastAsia" w:hAnsi="宋体"/>
                <w:color w:val="auto"/>
                <w:highlight w:val="none"/>
              </w:rPr>
            </w:pPr>
            <w:r>
              <w:rPr>
                <w:rFonts w:hint="eastAsia" w:hAnsi="宋体"/>
                <w:color w:val="auto"/>
                <w:highlight w:val="none"/>
              </w:rPr>
              <w:t>用户需求响应一览表</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3" w:hRule="atLeast"/>
          <w:jc w:val="center"/>
        </w:trPr>
        <w:tc>
          <w:tcPr>
            <w:tcW w:w="1512"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56"/>
              </w:numPr>
              <w:jc w:val="center"/>
              <w:rPr>
                <w:rFonts w:hint="eastAsia" w:ascii="宋体" w:hAnsi="宋体"/>
                <w:color w:val="auto"/>
                <w:szCs w:val="21"/>
                <w:highlight w:val="none"/>
              </w:rPr>
            </w:pPr>
          </w:p>
        </w:tc>
        <w:tc>
          <w:tcPr>
            <w:tcW w:w="5168" w:type="dxa"/>
            <w:shd w:val="clear" w:color="auto" w:fill="auto"/>
            <w:vAlign w:val="center"/>
          </w:tcPr>
          <w:p>
            <w:pPr>
              <w:pStyle w:val="8"/>
              <w:rPr>
                <w:rFonts w:hint="eastAsia" w:hAnsi="宋体"/>
                <w:color w:val="auto"/>
                <w:kern w:val="0"/>
                <w:highlight w:val="none"/>
              </w:rPr>
            </w:pPr>
            <w:r>
              <w:rPr>
                <w:rFonts w:hint="eastAsia" w:hAnsi="宋体"/>
                <w:color w:val="auto"/>
                <w:kern w:val="0"/>
                <w:highlight w:val="none"/>
              </w:rPr>
              <w:t>资料原件提交清单</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3" w:hRule="atLeast"/>
          <w:jc w:val="center"/>
        </w:trPr>
        <w:tc>
          <w:tcPr>
            <w:tcW w:w="1512"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56"/>
              </w:numPr>
              <w:jc w:val="center"/>
              <w:rPr>
                <w:rFonts w:hint="eastAsia" w:ascii="宋体" w:hAnsi="宋体"/>
                <w:color w:val="auto"/>
                <w:szCs w:val="21"/>
                <w:highlight w:val="none"/>
              </w:rPr>
            </w:pPr>
          </w:p>
        </w:tc>
        <w:tc>
          <w:tcPr>
            <w:tcW w:w="5168" w:type="dxa"/>
            <w:shd w:val="clear" w:color="auto" w:fill="auto"/>
            <w:vAlign w:val="center"/>
          </w:tcPr>
          <w:p>
            <w:pPr>
              <w:pStyle w:val="8"/>
              <w:rPr>
                <w:rFonts w:hint="eastAsia" w:hAnsi="宋体"/>
                <w:color w:val="auto"/>
                <w:kern w:val="0"/>
                <w:highlight w:val="none"/>
              </w:rPr>
            </w:pPr>
            <w:r>
              <w:rPr>
                <w:rFonts w:hint="eastAsia" w:hAnsi="宋体"/>
                <w:color w:val="auto"/>
                <w:kern w:val="0"/>
                <w:highlight w:val="none"/>
              </w:rPr>
              <w:t>招标代理服务费承诺书</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3" w:hRule="atLeast"/>
          <w:jc w:val="center"/>
        </w:trPr>
        <w:tc>
          <w:tcPr>
            <w:tcW w:w="1512"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56"/>
              </w:numPr>
              <w:jc w:val="center"/>
              <w:rPr>
                <w:rFonts w:hint="eastAsia" w:ascii="宋体" w:hAnsi="宋体"/>
                <w:color w:val="auto"/>
                <w:szCs w:val="21"/>
                <w:highlight w:val="none"/>
              </w:rPr>
            </w:pPr>
          </w:p>
        </w:tc>
        <w:tc>
          <w:tcPr>
            <w:tcW w:w="5168" w:type="dxa"/>
            <w:shd w:val="clear" w:color="auto" w:fill="auto"/>
            <w:vAlign w:val="center"/>
          </w:tcPr>
          <w:p>
            <w:pPr>
              <w:jc w:val="left"/>
              <w:textAlignment w:val="baseline"/>
              <w:rPr>
                <w:rFonts w:hint="eastAsia" w:ascii="宋体" w:hAnsi="宋体" w:eastAsia="宋体"/>
                <w:color w:val="auto"/>
                <w:kern w:val="0"/>
                <w:szCs w:val="21"/>
                <w:highlight w:val="none"/>
                <w:lang w:eastAsia="zh-CN"/>
              </w:rPr>
            </w:pPr>
            <w:r>
              <w:rPr>
                <w:rFonts w:hint="eastAsia" w:ascii="宋体" w:hAnsi="宋体"/>
                <w:bCs/>
                <w:color w:val="auto"/>
                <w:szCs w:val="21"/>
                <w:highlight w:val="none"/>
                <w:lang w:eastAsia="zh-CN"/>
              </w:rPr>
              <w:t>企业采购保证金退付委托书</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3" w:hRule="atLeast"/>
          <w:jc w:val="center"/>
        </w:trPr>
        <w:tc>
          <w:tcPr>
            <w:tcW w:w="1512"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56"/>
              </w:numPr>
              <w:jc w:val="center"/>
              <w:rPr>
                <w:rFonts w:hint="eastAsia" w:ascii="宋体" w:hAnsi="宋体"/>
                <w:color w:val="auto"/>
                <w:szCs w:val="21"/>
                <w:highlight w:val="none"/>
              </w:rPr>
            </w:pPr>
          </w:p>
        </w:tc>
        <w:tc>
          <w:tcPr>
            <w:tcW w:w="5168" w:type="dxa"/>
            <w:shd w:val="clear" w:color="auto" w:fill="auto"/>
            <w:vAlign w:val="center"/>
          </w:tcPr>
          <w:p>
            <w:pPr>
              <w:jc w:val="left"/>
              <w:textAlignment w:val="baseline"/>
              <w:rPr>
                <w:rFonts w:hint="eastAsia" w:ascii="宋体" w:hAnsi="宋体"/>
                <w:bCs/>
                <w:color w:val="auto"/>
                <w:szCs w:val="21"/>
                <w:highlight w:val="none"/>
              </w:rPr>
            </w:pPr>
            <w:r>
              <w:rPr>
                <w:rFonts w:hint="eastAsia" w:ascii="宋体" w:hAnsi="宋体"/>
                <w:color w:val="auto"/>
                <w:szCs w:val="21"/>
                <w:highlight w:val="none"/>
              </w:rPr>
              <w:t>投标保证金递交证明文件</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3" w:hRule="atLeast"/>
          <w:jc w:val="center"/>
        </w:trPr>
        <w:tc>
          <w:tcPr>
            <w:tcW w:w="1512" w:type="dxa"/>
            <w:vMerge w:val="continue"/>
            <w:shd w:val="clear" w:color="auto" w:fill="auto"/>
            <w:vAlign w:val="center"/>
          </w:tcPr>
          <w:p>
            <w:pPr>
              <w:jc w:val="center"/>
              <w:rPr>
                <w:rFonts w:hint="eastAsia" w:ascii="宋体" w:hAnsi="宋体"/>
                <w:color w:val="auto"/>
                <w:szCs w:val="21"/>
                <w:highlight w:val="none"/>
              </w:rPr>
            </w:pPr>
          </w:p>
        </w:tc>
        <w:tc>
          <w:tcPr>
            <w:tcW w:w="547" w:type="dxa"/>
            <w:shd w:val="clear" w:color="auto" w:fill="auto"/>
            <w:vAlign w:val="center"/>
          </w:tcPr>
          <w:p>
            <w:pPr>
              <w:numPr>
                <w:ilvl w:val="0"/>
                <w:numId w:val="56"/>
              </w:numPr>
              <w:jc w:val="center"/>
              <w:rPr>
                <w:rFonts w:hint="eastAsia" w:ascii="宋体" w:hAnsi="宋体"/>
                <w:color w:val="auto"/>
                <w:szCs w:val="21"/>
                <w:highlight w:val="none"/>
              </w:rPr>
            </w:pPr>
          </w:p>
        </w:tc>
        <w:tc>
          <w:tcPr>
            <w:tcW w:w="5168" w:type="dxa"/>
            <w:shd w:val="clear" w:color="auto" w:fill="auto"/>
            <w:vAlign w:val="center"/>
          </w:tcPr>
          <w:p>
            <w:pPr>
              <w:jc w:val="left"/>
              <w:textAlignment w:val="baseline"/>
              <w:rPr>
                <w:rFonts w:hint="eastAsia" w:ascii="宋体" w:hAnsi="宋体"/>
                <w:color w:val="auto"/>
                <w:kern w:val="0"/>
                <w:szCs w:val="21"/>
                <w:highlight w:val="none"/>
              </w:rPr>
            </w:pPr>
            <w:r>
              <w:rPr>
                <w:rFonts w:hint="eastAsia" w:ascii="宋体" w:hAnsi="宋体"/>
                <w:color w:val="auto"/>
                <w:kern w:val="0"/>
                <w:szCs w:val="21"/>
                <w:highlight w:val="none"/>
              </w:rPr>
              <w:t>投标人认为需要提供的其他商务资料</w:t>
            </w:r>
          </w:p>
        </w:tc>
        <w:tc>
          <w:tcPr>
            <w:tcW w:w="536" w:type="dxa"/>
            <w:shd w:val="clear" w:color="auto" w:fill="auto"/>
            <w:vAlign w:val="center"/>
          </w:tcPr>
          <w:p>
            <w:pPr>
              <w:jc w:val="center"/>
              <w:rPr>
                <w:rFonts w:hint="eastAsia" w:ascii="宋体" w:hAnsi="宋体"/>
                <w:color w:val="auto"/>
                <w:szCs w:val="21"/>
                <w:highlight w:val="none"/>
              </w:rPr>
            </w:pPr>
          </w:p>
        </w:tc>
        <w:tc>
          <w:tcPr>
            <w:tcW w:w="487" w:type="dxa"/>
            <w:shd w:val="clear" w:color="auto" w:fill="auto"/>
            <w:vAlign w:val="center"/>
          </w:tcPr>
          <w:p>
            <w:pPr>
              <w:jc w:val="center"/>
              <w:rPr>
                <w:rFonts w:hint="eastAsia" w:ascii="宋体" w:hAnsi="宋体"/>
                <w:color w:val="auto"/>
                <w:szCs w:val="21"/>
                <w:highlight w:val="none"/>
              </w:rPr>
            </w:pPr>
          </w:p>
        </w:tc>
        <w:tc>
          <w:tcPr>
            <w:tcW w:w="725" w:type="dxa"/>
            <w:shd w:val="clear" w:color="auto" w:fill="EEECE1"/>
            <w:vAlign w:val="center"/>
          </w:tcPr>
          <w:p>
            <w:pPr>
              <w:jc w:val="center"/>
              <w:rPr>
                <w:rFonts w:hint="eastAsia" w:ascii="宋体" w:hAnsi="宋体"/>
                <w:color w:val="auto"/>
                <w:szCs w:val="21"/>
                <w:highlight w:val="none"/>
              </w:rPr>
            </w:pPr>
          </w:p>
        </w:tc>
        <w:tc>
          <w:tcPr>
            <w:tcW w:w="726" w:type="dxa"/>
            <w:shd w:val="clear" w:color="auto" w:fill="EEECE1"/>
            <w:vAlign w:val="center"/>
          </w:tcPr>
          <w:p>
            <w:pPr>
              <w:jc w:val="center"/>
              <w:rPr>
                <w:rFonts w:hint="eastAsia" w:ascii="宋体" w:hAnsi="宋体"/>
                <w:color w:val="auto"/>
                <w:szCs w:val="21"/>
                <w:highlight w:val="none"/>
              </w:rPr>
            </w:pPr>
          </w:p>
        </w:tc>
      </w:tr>
    </w:tbl>
    <w:p>
      <w:pPr>
        <w:rPr>
          <w:rFonts w:hint="eastAsia" w:ascii="宋体" w:hAnsi="宋体"/>
          <w:b/>
          <w:bCs/>
          <w:color w:val="auto"/>
          <w:highlight w:val="none"/>
        </w:rPr>
      </w:pPr>
    </w:p>
    <w:p>
      <w:pPr>
        <w:spacing w:line="440" w:lineRule="exact"/>
        <w:rPr>
          <w:rFonts w:ascii="黑体" w:eastAsia="黑体"/>
          <w:bCs/>
          <w:color w:val="auto"/>
          <w:sz w:val="28"/>
          <w:highlight w:val="none"/>
        </w:rPr>
        <w:sectPr>
          <w:pgSz w:w="11906" w:h="16838"/>
          <w:pgMar w:top="1440" w:right="1106" w:bottom="1440" w:left="1440" w:header="851" w:footer="992" w:gutter="0"/>
          <w:cols w:space="720" w:num="1"/>
          <w:docGrid w:type="lines" w:linePitch="312" w:charSpace="0"/>
        </w:sectPr>
      </w:pPr>
    </w:p>
    <w:p>
      <w:pPr>
        <w:numPr>
          <w:ilvl w:val="0"/>
          <w:numId w:val="57"/>
        </w:numPr>
        <w:spacing w:line="440" w:lineRule="exact"/>
        <w:rPr>
          <w:rFonts w:hint="eastAsia" w:ascii="黑体" w:eastAsia="黑体"/>
          <w:bCs/>
          <w:color w:val="auto"/>
          <w:sz w:val="28"/>
          <w:highlight w:val="none"/>
        </w:rPr>
      </w:pPr>
    </w:p>
    <w:p>
      <w:pPr>
        <w:pStyle w:val="3"/>
        <w:adjustRightInd w:val="0"/>
        <w:snapToGrid w:val="0"/>
        <w:spacing w:before="120" w:beforeLines="50" w:after="120" w:afterLines="50" w:line="360" w:lineRule="auto"/>
        <w:jc w:val="center"/>
        <w:rPr>
          <w:rFonts w:hint="eastAsia"/>
          <w:b w:val="0"/>
          <w:color w:val="auto"/>
          <w:highlight w:val="none"/>
        </w:rPr>
      </w:pPr>
      <w:bookmarkStart w:id="97" w:name="_Toc275865605"/>
      <w:r>
        <w:rPr>
          <w:rFonts w:hint="eastAsia"/>
          <w:b w:val="0"/>
          <w:color w:val="auto"/>
          <w:highlight w:val="none"/>
        </w:rPr>
        <w:t>投  标  函</w:t>
      </w:r>
      <w:bookmarkEnd w:id="97"/>
    </w:p>
    <w:p>
      <w:pPr>
        <w:spacing w:line="360" w:lineRule="auto"/>
        <w:ind w:left="105" w:leftChars="50" w:firstLine="2"/>
        <w:rPr>
          <w:rFonts w:hint="eastAsia" w:ascii="宋体" w:hAnsi="宋体"/>
          <w:b/>
          <w:color w:val="auto"/>
          <w:highlight w:val="none"/>
        </w:rPr>
      </w:pPr>
      <w:r>
        <w:rPr>
          <w:rFonts w:hint="eastAsia" w:ascii="宋体" w:hAnsi="宋体"/>
          <w:b/>
          <w:color w:val="auto"/>
          <w:highlight w:val="none"/>
        </w:rPr>
        <w:t>致：广东中采招标有限公司</w:t>
      </w:r>
    </w:p>
    <w:p>
      <w:pPr>
        <w:spacing w:line="360" w:lineRule="auto"/>
        <w:ind w:left="105" w:leftChars="50" w:firstLine="420" w:firstLineChars="200"/>
        <w:rPr>
          <w:rFonts w:hint="eastAsia" w:ascii="宋体" w:hAnsi="宋体"/>
          <w:color w:val="auto"/>
          <w:highlight w:val="none"/>
        </w:rPr>
      </w:pPr>
      <w:r>
        <w:rPr>
          <w:rFonts w:hint="eastAsia" w:ascii="宋体" w:hAnsi="宋体"/>
          <w:color w:val="auto"/>
          <w:highlight w:val="none"/>
        </w:rPr>
        <w:t>我方确认收到贵方</w:t>
      </w:r>
      <w:r>
        <w:rPr>
          <w:rFonts w:hint="eastAsia" w:ascii="宋体" w:hAnsi="宋体"/>
          <w:color w:val="auto"/>
          <w:highlight w:val="none"/>
          <w:lang w:eastAsia="zh-CN"/>
        </w:rPr>
        <w:t>档案综合整理服务</w:t>
      </w:r>
      <w:r>
        <w:rPr>
          <w:rFonts w:hint="eastAsia" w:ascii="宋体" w:hAnsi="宋体"/>
          <w:color w:val="auto"/>
          <w:kern w:val="28"/>
          <w:highlight w:val="none"/>
        </w:rPr>
        <w:t>项目服务内容</w:t>
      </w:r>
      <w:r>
        <w:rPr>
          <w:rFonts w:hint="eastAsia" w:ascii="宋体" w:hAnsi="宋体"/>
          <w:color w:val="auto"/>
          <w:highlight w:val="none"/>
        </w:rPr>
        <w:t>及相关服务的招标文件（项目编号：</w:t>
      </w:r>
      <w:r>
        <w:rPr>
          <w:rFonts w:hint="eastAsia" w:ascii="宋体" w:hAnsi="宋体"/>
          <w:color w:val="auto"/>
          <w:highlight w:val="none"/>
          <w:lang w:eastAsia="zh-CN"/>
        </w:rPr>
        <w:t>GDZC-18GZ057</w:t>
      </w:r>
      <w:r>
        <w:rPr>
          <w:rFonts w:hint="eastAsia" w:ascii="宋体" w:hAnsi="宋体"/>
          <w:color w:val="auto"/>
          <w:highlight w:val="none"/>
        </w:rPr>
        <w:t>），</w:t>
      </w:r>
      <w:r>
        <w:rPr>
          <w:rFonts w:hint="eastAsia" w:ascii="宋体" w:hAnsi="宋体"/>
          <w:color w:val="auto"/>
          <w:kern w:val="28"/>
          <w:highlight w:val="none"/>
          <w:u w:val="single"/>
        </w:rPr>
        <w:t xml:space="preserve">   </w:t>
      </w:r>
      <w:r>
        <w:rPr>
          <w:rFonts w:hint="eastAsia" w:ascii="宋体" w:hAnsi="宋体"/>
          <w:color w:val="auto"/>
          <w:highlight w:val="none"/>
          <w:u w:val="single"/>
        </w:rPr>
        <w:t xml:space="preserve"> (投标人名称、地址)</w:t>
      </w:r>
      <w:r>
        <w:rPr>
          <w:rFonts w:hint="eastAsia" w:ascii="宋体" w:hAnsi="宋体"/>
          <w:color w:val="auto"/>
          <w:kern w:val="28"/>
          <w:highlight w:val="none"/>
          <w:u w:val="single"/>
        </w:rPr>
        <w:t xml:space="preserve">   </w:t>
      </w:r>
      <w:r>
        <w:rPr>
          <w:rFonts w:hint="eastAsia" w:ascii="宋体" w:hAnsi="宋体"/>
          <w:color w:val="auto"/>
          <w:highlight w:val="none"/>
        </w:rPr>
        <w:t>作为投标人已正式授权</w:t>
      </w:r>
      <w:r>
        <w:rPr>
          <w:rFonts w:hint="eastAsia" w:ascii="宋体" w:hAnsi="宋体"/>
          <w:color w:val="auto"/>
          <w:kern w:val="28"/>
          <w:highlight w:val="none"/>
          <w:u w:val="single"/>
        </w:rPr>
        <w:t xml:space="preserve">   </w:t>
      </w:r>
      <w:r>
        <w:rPr>
          <w:rFonts w:hint="eastAsia" w:ascii="宋体" w:hAnsi="宋体"/>
          <w:color w:val="auto"/>
          <w:highlight w:val="none"/>
          <w:u w:val="single"/>
        </w:rPr>
        <w:t xml:space="preserve"> (被投标人授权代表全名、职务)</w:t>
      </w:r>
      <w:r>
        <w:rPr>
          <w:rFonts w:hint="eastAsia" w:ascii="宋体" w:hAnsi="宋体"/>
          <w:color w:val="auto"/>
          <w:kern w:val="28"/>
          <w:highlight w:val="none"/>
          <w:u w:val="single"/>
        </w:rPr>
        <w:t xml:space="preserve">   </w:t>
      </w:r>
      <w:r>
        <w:rPr>
          <w:rFonts w:hint="eastAsia" w:ascii="宋体" w:hAnsi="宋体"/>
          <w:color w:val="auto"/>
          <w:highlight w:val="none"/>
        </w:rPr>
        <w:t>为我方签名代表，签名代表在此声明并同意：</w:t>
      </w:r>
    </w:p>
    <w:p>
      <w:pPr>
        <w:numPr>
          <w:ilvl w:val="0"/>
          <w:numId w:val="58"/>
        </w:numPr>
        <w:snapToGrid w:val="0"/>
        <w:spacing w:line="360" w:lineRule="auto"/>
        <w:rPr>
          <w:rFonts w:hint="eastAsia" w:ascii="宋体" w:hAnsi="宋体"/>
          <w:b/>
          <w:color w:val="auto"/>
          <w:highlight w:val="none"/>
        </w:rPr>
      </w:pPr>
      <w:r>
        <w:rPr>
          <w:rFonts w:hint="eastAsia" w:ascii="宋体" w:hAnsi="宋体"/>
          <w:b/>
          <w:color w:val="auto"/>
          <w:highlight w:val="none"/>
        </w:rPr>
        <w:t>我们愿意遵守招标代理机构招标文件的各项规定，自愿参加投标</w:t>
      </w:r>
      <w:r>
        <w:rPr>
          <w:rFonts w:ascii="宋体" w:hAnsi="宋体"/>
          <w:b/>
          <w:color w:val="auto"/>
          <w:highlight w:val="none"/>
        </w:rPr>
        <w:t>,</w:t>
      </w:r>
      <w:r>
        <w:rPr>
          <w:rFonts w:hint="eastAsia" w:ascii="宋体" w:hAnsi="宋体"/>
          <w:b/>
          <w:color w:val="auto"/>
          <w:highlight w:val="none"/>
        </w:rPr>
        <w:t xml:space="preserve"> 并已清楚招标文件的要求及有关文件规定，并严格按照招标文件的规定履行全部责任和义务。</w:t>
      </w:r>
    </w:p>
    <w:p>
      <w:pPr>
        <w:numPr>
          <w:ilvl w:val="0"/>
          <w:numId w:val="58"/>
        </w:numPr>
        <w:snapToGrid w:val="0"/>
        <w:spacing w:line="360" w:lineRule="auto"/>
        <w:rPr>
          <w:rFonts w:hint="eastAsia" w:ascii="宋体" w:hAnsi="宋体"/>
          <w:b/>
          <w:color w:val="auto"/>
          <w:highlight w:val="none"/>
        </w:rPr>
      </w:pPr>
      <w:r>
        <w:rPr>
          <w:rFonts w:hint="eastAsia" w:ascii="宋体" w:hAnsi="宋体"/>
          <w:b/>
          <w:color w:val="auto"/>
          <w:highlight w:val="none"/>
        </w:rPr>
        <w:t>我们同意本投标自投标截止之日起</w:t>
      </w:r>
      <w:r>
        <w:rPr>
          <w:rFonts w:hint="eastAsia" w:ascii="宋体" w:hAnsi="宋体"/>
          <w:b/>
          <w:color w:val="auto"/>
          <w:highlight w:val="none"/>
          <w:u w:val="single"/>
        </w:rPr>
        <w:t>90</w:t>
      </w:r>
      <w:r>
        <w:rPr>
          <w:rFonts w:hint="eastAsia" w:ascii="宋体" w:hAnsi="宋体"/>
          <w:b/>
          <w:color w:val="auto"/>
          <w:highlight w:val="none"/>
        </w:rPr>
        <w:t>天内有效。如果我们的投标被接受，则直至合同生效时止，本投标始终有效并不撤回已递交的投标文件。</w:t>
      </w:r>
    </w:p>
    <w:p>
      <w:pPr>
        <w:numPr>
          <w:ilvl w:val="0"/>
          <w:numId w:val="58"/>
        </w:numPr>
        <w:snapToGrid w:val="0"/>
        <w:spacing w:line="360" w:lineRule="auto"/>
        <w:rPr>
          <w:rFonts w:hint="eastAsia" w:ascii="宋体" w:hAnsi="宋体"/>
          <w:b/>
          <w:color w:val="auto"/>
          <w:highlight w:val="none"/>
        </w:rPr>
      </w:pPr>
      <w:r>
        <w:rPr>
          <w:rFonts w:hint="eastAsia" w:ascii="宋体" w:hAnsi="宋体"/>
          <w:b/>
          <w:color w:val="auto"/>
          <w:highlight w:val="none"/>
        </w:rPr>
        <w:t>我们已经详细地阅读并完全明白了全部招标文件及附件，包括澄清（如有）及参考文件，我们完全理解本招标文件的要求，</w:t>
      </w:r>
      <w:r>
        <w:rPr>
          <w:rFonts w:hint="eastAsia" w:ascii="宋体"/>
          <w:b/>
          <w:color w:val="auto"/>
          <w:highlight w:val="none"/>
        </w:rPr>
        <w:t>我们同意放弃对招标文件提出不明或误解的一切权力</w:t>
      </w:r>
      <w:r>
        <w:rPr>
          <w:rFonts w:hint="eastAsia" w:ascii="宋体" w:hAnsi="宋体"/>
          <w:b/>
          <w:color w:val="auto"/>
          <w:highlight w:val="none"/>
        </w:rPr>
        <w:t>。</w:t>
      </w:r>
    </w:p>
    <w:p>
      <w:pPr>
        <w:numPr>
          <w:ilvl w:val="0"/>
          <w:numId w:val="58"/>
        </w:numPr>
        <w:snapToGrid w:val="0"/>
        <w:spacing w:line="360" w:lineRule="auto"/>
        <w:rPr>
          <w:rFonts w:hint="eastAsia" w:ascii="宋体" w:hAnsi="宋体"/>
          <w:b/>
          <w:color w:val="auto"/>
          <w:highlight w:val="none"/>
        </w:rPr>
      </w:pPr>
      <w:r>
        <w:rPr>
          <w:rFonts w:hint="eastAsia" w:ascii="宋体" w:hAnsi="宋体"/>
          <w:b/>
          <w:color w:val="auto"/>
          <w:highlight w:val="none"/>
        </w:rPr>
        <w:t>我们同意提供招标采购单位与评标委员会要求的有关投标的一切数据或资料。</w:t>
      </w:r>
    </w:p>
    <w:p>
      <w:pPr>
        <w:numPr>
          <w:ilvl w:val="0"/>
          <w:numId w:val="58"/>
        </w:numPr>
        <w:snapToGrid w:val="0"/>
        <w:spacing w:line="360" w:lineRule="auto"/>
        <w:rPr>
          <w:rFonts w:hint="eastAsia" w:ascii="宋体" w:hAnsi="宋体"/>
          <w:b/>
          <w:color w:val="auto"/>
          <w:highlight w:val="none"/>
        </w:rPr>
      </w:pPr>
      <w:r>
        <w:rPr>
          <w:rFonts w:hint="eastAsia" w:ascii="宋体" w:hAnsi="宋体"/>
          <w:b/>
          <w:color w:val="auto"/>
          <w:highlight w:val="none"/>
        </w:rPr>
        <w:t>我们理解招标采购单位与评标委员会并无义务必须接受最低报价的投标或其它任何投标，完全理解招标代理机构拒绝迟到的任何投标和最低投标报价不是被授予中标的唯一条件。</w:t>
      </w:r>
    </w:p>
    <w:p>
      <w:pPr>
        <w:numPr>
          <w:ilvl w:val="0"/>
          <w:numId w:val="58"/>
        </w:numPr>
        <w:snapToGrid w:val="0"/>
        <w:spacing w:line="360" w:lineRule="auto"/>
        <w:rPr>
          <w:rFonts w:hint="eastAsia" w:ascii="宋体" w:hAnsi="宋体"/>
          <w:b/>
          <w:color w:val="auto"/>
          <w:highlight w:val="none"/>
        </w:rPr>
      </w:pPr>
      <w:r>
        <w:rPr>
          <w:rFonts w:hint="eastAsia" w:ascii="宋体" w:hAnsi="宋体"/>
          <w:b/>
          <w:color w:val="auto"/>
          <w:highlight w:val="none"/>
        </w:rPr>
        <w:t xml:space="preserve">如果我们未对招标文件全部要求作出实质性响应，则完全同意并接受按无效投标处理。 </w:t>
      </w:r>
    </w:p>
    <w:p>
      <w:pPr>
        <w:numPr>
          <w:ilvl w:val="0"/>
          <w:numId w:val="58"/>
        </w:numPr>
        <w:snapToGrid w:val="0"/>
        <w:spacing w:line="360" w:lineRule="auto"/>
        <w:rPr>
          <w:rFonts w:hint="eastAsia" w:ascii="宋体" w:hAnsi="宋体"/>
          <w:b/>
          <w:color w:val="auto"/>
          <w:highlight w:val="none"/>
        </w:rPr>
      </w:pPr>
      <w:r>
        <w:rPr>
          <w:rFonts w:hint="eastAsia" w:ascii="宋体" w:hAnsi="宋体"/>
          <w:b/>
          <w:color w:val="auto"/>
          <w:highlight w:val="none"/>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58"/>
        </w:numPr>
        <w:snapToGrid w:val="0"/>
        <w:spacing w:line="360" w:lineRule="auto"/>
        <w:rPr>
          <w:rFonts w:hint="eastAsia" w:ascii="宋体" w:hAnsi="宋体"/>
          <w:b/>
          <w:color w:val="auto"/>
          <w:highlight w:val="none"/>
        </w:rPr>
      </w:pPr>
      <w:r>
        <w:rPr>
          <w:rFonts w:hint="eastAsia" w:ascii="宋体" w:hAnsi="宋体"/>
          <w:b/>
          <w:color w:val="auto"/>
          <w:highlight w:val="none"/>
        </w:rPr>
        <w:t>我们是依法注册的法人，在法律、财务及运作上完全独立于</w:t>
      </w:r>
      <w:r>
        <w:rPr>
          <w:rFonts w:hint="eastAsia" w:ascii="宋体" w:hAnsi="宋体"/>
          <w:b/>
          <w:color w:val="auto"/>
          <w:highlight w:val="none"/>
          <w:lang w:eastAsia="zh-CN"/>
        </w:rPr>
        <w:t>佛山市南海区铁路投资有限公司</w:t>
      </w:r>
      <w:r>
        <w:rPr>
          <w:rFonts w:hint="eastAsia" w:ascii="宋体" w:hAnsi="宋体"/>
          <w:b/>
          <w:color w:val="auto"/>
          <w:highlight w:val="none"/>
        </w:rPr>
        <w:t>（招标人）和广东中采招标有限公司（招标代理机构）。</w:t>
      </w:r>
    </w:p>
    <w:p>
      <w:pPr>
        <w:numPr>
          <w:ilvl w:val="0"/>
          <w:numId w:val="58"/>
        </w:numPr>
        <w:snapToGrid w:val="0"/>
        <w:spacing w:line="360" w:lineRule="auto"/>
        <w:rPr>
          <w:rFonts w:hint="eastAsia" w:ascii="宋体" w:hAnsi="宋体"/>
          <w:b/>
          <w:color w:val="auto"/>
          <w:highlight w:val="none"/>
        </w:rPr>
      </w:pPr>
      <w:r>
        <w:rPr>
          <w:rFonts w:hint="eastAsia" w:ascii="宋体" w:hAnsi="宋体"/>
          <w:b/>
          <w:color w:val="auto"/>
          <w:highlight w:val="none"/>
        </w:rPr>
        <w:t xml:space="preserve">所有有关本次投标的函电请寄：  （投标人地址）     </w:t>
      </w:r>
    </w:p>
    <w:p>
      <w:pPr>
        <w:autoSpaceDE w:val="0"/>
        <w:autoSpaceDN w:val="0"/>
        <w:adjustRightInd w:val="0"/>
        <w:spacing w:line="360" w:lineRule="auto"/>
        <w:ind w:left="420" w:firstLine="310"/>
        <w:rPr>
          <w:rFonts w:hint="eastAsia" w:ascii="宋体" w:hAnsi="宋体"/>
          <w:b/>
          <w:color w:val="auto"/>
          <w:highlight w:val="none"/>
        </w:rPr>
      </w:pPr>
      <w:r>
        <w:rPr>
          <w:rFonts w:hint="eastAsia" w:ascii="宋体" w:hAnsi="宋体"/>
          <w:b/>
          <w:color w:val="auto"/>
          <w:highlight w:val="none"/>
        </w:rPr>
        <w:t xml:space="preserve">备注：本投标函内容不得擅自删改，否则视为无效投标。 </w:t>
      </w:r>
    </w:p>
    <w:p>
      <w:pPr>
        <w:autoSpaceDE w:val="0"/>
        <w:autoSpaceDN w:val="0"/>
        <w:adjustRightInd w:val="0"/>
        <w:spacing w:line="360" w:lineRule="auto"/>
        <w:rPr>
          <w:rFonts w:hint="eastAsia" w:ascii="宋体" w:hAnsi="宋体"/>
          <w:b/>
          <w:color w:val="auto"/>
          <w:highlight w:val="none"/>
        </w:rPr>
      </w:pPr>
    </w:p>
    <w:p>
      <w:pPr>
        <w:spacing w:line="360" w:lineRule="auto"/>
        <w:ind w:left="481" w:leftChars="229" w:firstLine="210" w:firstLineChars="100"/>
        <w:rPr>
          <w:rFonts w:hint="eastAsia" w:ascii="宋体" w:hAnsi="宋体"/>
          <w:color w:val="auto"/>
          <w:highlight w:val="none"/>
        </w:rPr>
      </w:pPr>
      <w:r>
        <w:rPr>
          <w:rFonts w:hint="eastAsia" w:ascii="宋体"/>
          <w:color w:val="auto"/>
          <w:highlight w:val="none"/>
        </w:rPr>
        <w:t>法定代表人或</w:t>
      </w:r>
      <w:r>
        <w:rPr>
          <w:rFonts w:hint="eastAsia" w:ascii="宋体" w:hAnsi="宋体"/>
          <w:color w:val="auto"/>
          <w:highlight w:val="none"/>
        </w:rPr>
        <w:t>投标人授权代表（签名或盖章）：</w:t>
      </w:r>
    </w:p>
    <w:p>
      <w:pPr>
        <w:spacing w:line="360" w:lineRule="auto"/>
        <w:ind w:left="481" w:leftChars="229" w:firstLine="210" w:firstLineChars="100"/>
        <w:rPr>
          <w:rFonts w:hint="eastAsia" w:ascii="宋体"/>
          <w:color w:val="auto"/>
          <w:highlight w:val="none"/>
        </w:rPr>
      </w:pPr>
      <w:r>
        <w:rPr>
          <w:rFonts w:hint="eastAsia" w:ascii="宋体"/>
          <w:color w:val="auto"/>
          <w:highlight w:val="none"/>
        </w:rPr>
        <w:t xml:space="preserve">职务：                    </w:t>
      </w:r>
    </w:p>
    <w:p>
      <w:pPr>
        <w:spacing w:line="360" w:lineRule="auto"/>
        <w:ind w:left="481" w:leftChars="229" w:firstLine="210" w:firstLineChars="100"/>
        <w:rPr>
          <w:rFonts w:hint="eastAsia" w:ascii="宋体"/>
          <w:color w:val="auto"/>
          <w:highlight w:val="none"/>
        </w:rPr>
      </w:pPr>
      <w:r>
        <w:rPr>
          <w:rFonts w:hint="eastAsia" w:ascii="宋体"/>
          <w:color w:val="auto"/>
          <w:highlight w:val="none"/>
        </w:rPr>
        <w:t>投标人名称</w:t>
      </w:r>
      <w:r>
        <w:rPr>
          <w:rFonts w:ascii="宋体"/>
          <w:color w:val="auto"/>
          <w:highlight w:val="none"/>
        </w:rPr>
        <w:t>:</w:t>
      </w:r>
      <w:r>
        <w:rPr>
          <w:rFonts w:hint="eastAsia" w:ascii="宋体"/>
          <w:color w:val="auto"/>
          <w:highlight w:val="none"/>
        </w:rPr>
        <w:t xml:space="preserve">                         </w:t>
      </w:r>
    </w:p>
    <w:p>
      <w:pPr>
        <w:spacing w:line="360" w:lineRule="auto"/>
        <w:ind w:left="481" w:leftChars="229" w:firstLine="210" w:firstLineChars="100"/>
        <w:rPr>
          <w:rFonts w:hint="eastAsia" w:ascii="宋体"/>
          <w:color w:val="auto"/>
          <w:highlight w:val="none"/>
        </w:rPr>
      </w:pPr>
      <w:r>
        <w:rPr>
          <w:rFonts w:hint="eastAsia" w:ascii="宋体"/>
          <w:color w:val="auto"/>
          <w:highlight w:val="none"/>
        </w:rPr>
        <w:t xml:space="preserve">投标人公章：           </w:t>
      </w:r>
    </w:p>
    <w:p>
      <w:pPr>
        <w:spacing w:line="360" w:lineRule="auto"/>
        <w:ind w:left="481" w:leftChars="229" w:firstLine="210" w:firstLineChars="100"/>
        <w:rPr>
          <w:rFonts w:hint="eastAsia" w:ascii="宋体"/>
          <w:color w:val="auto"/>
          <w:highlight w:val="none"/>
        </w:rPr>
      </w:pPr>
      <w:r>
        <w:rPr>
          <w:rFonts w:hint="eastAsia" w:ascii="宋体"/>
          <w:color w:val="auto"/>
          <w:highlight w:val="none"/>
        </w:rPr>
        <w:t>电话：</w:t>
      </w:r>
      <w:r>
        <w:rPr>
          <w:rFonts w:ascii="宋体"/>
          <w:color w:val="auto"/>
          <w:highlight w:val="none"/>
        </w:rPr>
        <w:t xml:space="preserve">              </w:t>
      </w:r>
      <w:r>
        <w:rPr>
          <w:rFonts w:hint="eastAsia" w:ascii="宋体"/>
          <w:color w:val="auto"/>
          <w:highlight w:val="none"/>
        </w:rPr>
        <w:t xml:space="preserve">  传真：</w:t>
      </w:r>
      <w:r>
        <w:rPr>
          <w:rFonts w:ascii="宋体"/>
          <w:color w:val="auto"/>
          <w:highlight w:val="none"/>
        </w:rPr>
        <w:t xml:space="preserve">              </w:t>
      </w:r>
      <w:r>
        <w:rPr>
          <w:rFonts w:hint="eastAsia" w:ascii="宋体"/>
          <w:color w:val="auto"/>
          <w:highlight w:val="none"/>
        </w:rPr>
        <w:t xml:space="preserve">邮编：   </w:t>
      </w:r>
    </w:p>
    <w:p>
      <w:pPr>
        <w:spacing w:line="440" w:lineRule="exact"/>
        <w:rPr>
          <w:rFonts w:hint="eastAsia" w:ascii="黑体" w:eastAsia="黑体"/>
          <w:bCs/>
          <w:color w:val="auto"/>
          <w:sz w:val="28"/>
          <w:highlight w:val="none"/>
        </w:rPr>
      </w:pPr>
    </w:p>
    <w:p>
      <w:pPr>
        <w:numPr>
          <w:ilvl w:val="0"/>
          <w:numId w:val="57"/>
        </w:numPr>
        <w:spacing w:line="440" w:lineRule="exact"/>
        <w:rPr>
          <w:rFonts w:hint="eastAsia" w:ascii="黑体" w:eastAsia="黑体"/>
          <w:bCs/>
          <w:color w:val="auto"/>
          <w:sz w:val="28"/>
          <w:highlight w:val="none"/>
        </w:rPr>
      </w:pPr>
      <w:r>
        <w:rPr>
          <w:rFonts w:ascii="黑体" w:eastAsia="黑体"/>
          <w:bCs/>
          <w:color w:val="auto"/>
          <w:sz w:val="28"/>
          <w:highlight w:val="none"/>
        </w:rPr>
        <w:br w:type="page"/>
      </w:r>
      <w:r>
        <w:rPr>
          <w:rFonts w:hint="eastAsia" w:ascii="黑体" w:eastAsia="黑体"/>
          <w:bCs/>
          <w:color w:val="auto"/>
          <w:sz w:val="28"/>
          <w:highlight w:val="none"/>
        </w:rPr>
        <w:t xml:space="preserve"> </w:t>
      </w:r>
      <w:r>
        <w:rPr>
          <w:rFonts w:ascii="黑体" w:eastAsia="黑体"/>
          <w:bCs/>
          <w:color w:val="auto"/>
          <w:sz w:val="28"/>
          <w:highlight w:val="none"/>
        </w:rPr>
        <w:t xml:space="preserve"> </w:t>
      </w:r>
    </w:p>
    <w:p>
      <w:pPr>
        <w:pStyle w:val="3"/>
        <w:adjustRightInd w:val="0"/>
        <w:snapToGrid w:val="0"/>
        <w:spacing w:before="120" w:beforeLines="50" w:after="120" w:afterLines="50" w:line="360" w:lineRule="auto"/>
        <w:jc w:val="center"/>
        <w:rPr>
          <w:rFonts w:hint="eastAsia"/>
          <w:b w:val="0"/>
          <w:color w:val="auto"/>
          <w:highlight w:val="none"/>
        </w:rPr>
      </w:pPr>
      <w:bookmarkStart w:id="98" w:name="_Toc275865606"/>
      <w:r>
        <w:rPr>
          <w:rFonts w:hint="eastAsia"/>
          <w:b w:val="0"/>
          <w:color w:val="auto"/>
          <w:highlight w:val="none"/>
        </w:rPr>
        <w:t>投标人资格声明函</w:t>
      </w:r>
      <w:bookmarkEnd w:id="98"/>
    </w:p>
    <w:p>
      <w:pPr>
        <w:spacing w:line="360" w:lineRule="auto"/>
        <w:rPr>
          <w:rFonts w:hint="eastAsia"/>
          <w:b/>
          <w:color w:val="auto"/>
          <w:highlight w:val="none"/>
        </w:rPr>
      </w:pPr>
      <w:r>
        <w:rPr>
          <w:rFonts w:hint="eastAsia"/>
          <w:b/>
          <w:color w:val="auto"/>
          <w:highlight w:val="none"/>
        </w:rPr>
        <w:t>广东中采招标有限公司：</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关于贵公司</w:t>
      </w:r>
      <w:r>
        <w:rPr>
          <w:rFonts w:hint="eastAsia" w:ascii="宋体" w:hAnsi="宋体"/>
          <w:color w:val="auto"/>
          <w:highlight w:val="none"/>
          <w:u w:val="single"/>
        </w:rPr>
        <w:t>　　　</w:t>
      </w:r>
      <w:r>
        <w:rPr>
          <w:rFonts w:hint="eastAsia" w:ascii="宋体" w:hAnsi="宋体"/>
          <w:color w:val="auto"/>
          <w:highlight w:val="none"/>
        </w:rPr>
        <w:t>年</w:t>
      </w:r>
      <w:r>
        <w:rPr>
          <w:rFonts w:hint="eastAsia" w:ascii="宋体" w:hAnsi="宋体"/>
          <w:color w:val="auto"/>
          <w:highlight w:val="none"/>
          <w:u w:val="single"/>
        </w:rPr>
        <w:t>　　</w:t>
      </w:r>
      <w:r>
        <w:rPr>
          <w:rFonts w:hint="eastAsia" w:ascii="宋体" w:hAnsi="宋体"/>
          <w:color w:val="auto"/>
          <w:highlight w:val="none"/>
        </w:rPr>
        <w:t>月</w:t>
      </w:r>
      <w:r>
        <w:rPr>
          <w:rFonts w:hint="eastAsia" w:ascii="宋体" w:hAnsi="宋体"/>
          <w:color w:val="auto"/>
          <w:highlight w:val="none"/>
          <w:u w:val="single"/>
        </w:rPr>
        <w:t>　　</w:t>
      </w:r>
      <w:r>
        <w:rPr>
          <w:rFonts w:hint="eastAsia" w:ascii="宋体" w:hAnsi="宋体"/>
          <w:color w:val="auto"/>
          <w:highlight w:val="none"/>
        </w:rPr>
        <w:t>日发布</w:t>
      </w:r>
      <w:r>
        <w:rPr>
          <w:rFonts w:hint="eastAsia" w:ascii="宋体" w:hAnsi="宋体"/>
          <w:color w:val="auto"/>
          <w:highlight w:val="none"/>
          <w:lang w:eastAsia="zh-CN"/>
        </w:rPr>
        <w:t>档案综合整理服务</w:t>
      </w:r>
      <w:r>
        <w:rPr>
          <w:rFonts w:hint="eastAsia" w:ascii="宋体" w:hAnsi="宋体"/>
          <w:color w:val="auto"/>
          <w:highlight w:val="none"/>
        </w:rPr>
        <w:t>项目（项目编号：</w:t>
      </w:r>
      <w:r>
        <w:rPr>
          <w:rFonts w:hint="eastAsia" w:ascii="宋体" w:hAnsi="宋体"/>
          <w:color w:val="auto"/>
          <w:highlight w:val="none"/>
          <w:lang w:eastAsia="zh-CN"/>
        </w:rPr>
        <w:t>GDZC-18GZ057</w:t>
      </w:r>
      <w:r>
        <w:rPr>
          <w:rFonts w:hint="eastAsia" w:ascii="宋体" w:hAnsi="宋体"/>
          <w:color w:val="auto"/>
          <w:highlight w:val="none"/>
        </w:rPr>
        <w:t>）的采购公告，本公司（企业）愿意参加投标，并声明：</w:t>
      </w:r>
    </w:p>
    <w:p>
      <w:pPr>
        <w:adjustRightInd w:val="0"/>
        <w:snapToGrid w:val="0"/>
        <w:spacing w:line="360" w:lineRule="auto"/>
        <w:ind w:firstLine="424" w:firstLineChars="202"/>
        <w:rPr>
          <w:rFonts w:ascii="宋体" w:hAnsi="宋体"/>
          <w:color w:val="auto"/>
          <w:highlight w:val="none"/>
        </w:rPr>
      </w:pPr>
      <w:bookmarkStart w:id="99" w:name="_Toc50737297"/>
      <w:bookmarkStart w:id="100" w:name="_Toc275865607"/>
      <w:bookmarkStart w:id="101" w:name="_Toc50736477"/>
      <w:bookmarkStart w:id="102" w:name="_Toc52165081"/>
      <w:bookmarkStart w:id="103" w:name="_Toc50737329"/>
      <w:bookmarkStart w:id="104" w:name="_Toc50737328"/>
      <w:bookmarkStart w:id="105" w:name="_Toc52165080"/>
      <w:bookmarkStart w:id="106" w:name="_Toc50691034"/>
      <w:bookmarkStart w:id="107" w:name="_Toc50737296"/>
      <w:bookmarkStart w:id="108" w:name="_Toc50736476"/>
      <w:r>
        <w:rPr>
          <w:rFonts w:hint="eastAsia" w:ascii="宋体" w:hAnsi="宋体"/>
          <w:color w:val="auto"/>
          <w:highlight w:val="none"/>
        </w:rPr>
        <w:t>本公司（企业）的法定代表人或单位负责人与所参投的本采购项目包组的其他投标人的法定代表人或单位负责人不为同一人且与其他投标人之间不存在直接控股、管理关系。</w:t>
      </w:r>
    </w:p>
    <w:p>
      <w:pPr>
        <w:numPr>
          <w:ilvl w:val="0"/>
          <w:numId w:val="59"/>
        </w:numPr>
        <w:adjustRightInd w:val="0"/>
        <w:snapToGrid w:val="0"/>
        <w:spacing w:line="360" w:lineRule="auto"/>
        <w:ind w:left="567" w:hanging="567"/>
        <w:rPr>
          <w:rFonts w:hint="eastAsia" w:ascii="宋体" w:hAnsi="宋体" w:cs="Arial"/>
          <w:color w:val="auto"/>
          <w:szCs w:val="21"/>
          <w:highlight w:val="none"/>
        </w:rPr>
      </w:pPr>
      <w:r>
        <w:rPr>
          <w:rFonts w:hint="eastAsia" w:ascii="宋体" w:hAnsi="宋体"/>
          <w:color w:val="auto"/>
          <w:highlight w:val="none"/>
        </w:rPr>
        <w:t>本公司（企业）</w:t>
      </w:r>
      <w:r>
        <w:rPr>
          <w:rFonts w:hint="eastAsia" w:ascii="宋体" w:hAnsi="宋体" w:cs="Arial"/>
          <w:color w:val="auto"/>
          <w:szCs w:val="21"/>
          <w:highlight w:val="none"/>
        </w:rPr>
        <w:t>具备《政府采购法》第二十二条规定的条件：</w:t>
      </w:r>
    </w:p>
    <w:p>
      <w:pPr>
        <w:adjustRightInd w:val="0"/>
        <w:snapToGrid w:val="0"/>
        <w:spacing w:line="360" w:lineRule="auto"/>
        <w:ind w:firstLine="424" w:firstLineChars="202"/>
        <w:rPr>
          <w:rFonts w:ascii="宋体" w:hAnsi="宋体" w:cs="Arial"/>
          <w:color w:val="auto"/>
          <w:szCs w:val="21"/>
          <w:highlight w:val="none"/>
        </w:rPr>
      </w:pPr>
      <w:r>
        <w:rPr>
          <w:rFonts w:hint="eastAsia" w:ascii="宋体" w:hAnsi="宋体" w:cs="Arial"/>
          <w:color w:val="auto"/>
          <w:szCs w:val="21"/>
          <w:highlight w:val="none"/>
        </w:rPr>
        <w:t>（1）具有独立承担民事责任的能力；</w:t>
      </w:r>
    </w:p>
    <w:p>
      <w:pPr>
        <w:adjustRightInd w:val="0"/>
        <w:snapToGrid w:val="0"/>
        <w:spacing w:line="360" w:lineRule="auto"/>
        <w:ind w:firstLine="424" w:firstLineChars="202"/>
        <w:rPr>
          <w:rFonts w:ascii="宋体" w:hAnsi="宋体" w:cs="Arial"/>
          <w:color w:val="auto"/>
          <w:szCs w:val="21"/>
          <w:highlight w:val="none"/>
        </w:rPr>
      </w:pPr>
      <w:r>
        <w:rPr>
          <w:rFonts w:hint="eastAsia" w:ascii="宋体" w:hAnsi="宋体" w:cs="Arial"/>
          <w:color w:val="auto"/>
          <w:szCs w:val="21"/>
          <w:highlight w:val="none"/>
        </w:rPr>
        <w:t>（2）具有良好的商业信誉和健全的财务会计制度；</w:t>
      </w:r>
    </w:p>
    <w:p>
      <w:pPr>
        <w:adjustRightInd w:val="0"/>
        <w:snapToGrid w:val="0"/>
        <w:spacing w:line="360" w:lineRule="auto"/>
        <w:ind w:firstLine="424" w:firstLineChars="202"/>
        <w:rPr>
          <w:rFonts w:ascii="宋体" w:hAnsi="宋体" w:cs="Arial"/>
          <w:color w:val="auto"/>
          <w:szCs w:val="21"/>
          <w:highlight w:val="none"/>
        </w:rPr>
      </w:pPr>
      <w:r>
        <w:rPr>
          <w:rFonts w:hint="eastAsia" w:ascii="宋体" w:hAnsi="宋体" w:cs="Arial"/>
          <w:color w:val="auto"/>
          <w:szCs w:val="21"/>
          <w:highlight w:val="none"/>
        </w:rPr>
        <w:t>（3）具有履行合同所必需的设备和专业技术能力；</w:t>
      </w:r>
    </w:p>
    <w:p>
      <w:pPr>
        <w:adjustRightInd w:val="0"/>
        <w:snapToGrid w:val="0"/>
        <w:spacing w:line="360" w:lineRule="auto"/>
        <w:ind w:firstLine="424" w:firstLineChars="202"/>
        <w:rPr>
          <w:rFonts w:ascii="宋体" w:hAnsi="宋体" w:cs="Arial"/>
          <w:color w:val="auto"/>
          <w:szCs w:val="21"/>
          <w:highlight w:val="none"/>
        </w:rPr>
      </w:pPr>
      <w:r>
        <w:rPr>
          <w:rFonts w:hint="eastAsia" w:ascii="宋体" w:hAnsi="宋体" w:cs="Arial"/>
          <w:color w:val="auto"/>
          <w:szCs w:val="21"/>
          <w:highlight w:val="none"/>
        </w:rPr>
        <w:t>（4）有依法缴纳税收和社会保障资金的良好记录；</w:t>
      </w:r>
    </w:p>
    <w:p>
      <w:pPr>
        <w:adjustRightInd w:val="0"/>
        <w:snapToGrid w:val="0"/>
        <w:spacing w:line="360" w:lineRule="auto"/>
        <w:ind w:firstLine="424" w:firstLineChars="202"/>
        <w:rPr>
          <w:rFonts w:ascii="宋体" w:hAnsi="宋体" w:cs="Arial"/>
          <w:color w:val="auto"/>
          <w:szCs w:val="21"/>
          <w:highlight w:val="none"/>
        </w:rPr>
      </w:pPr>
      <w:r>
        <w:rPr>
          <w:rFonts w:hint="eastAsia" w:ascii="宋体" w:hAnsi="宋体" w:cs="Arial"/>
          <w:color w:val="auto"/>
          <w:szCs w:val="21"/>
          <w:highlight w:val="none"/>
        </w:rPr>
        <w:t>（5）参加政府采购活动前三年内，在经营活动中没有重大违法记录；</w:t>
      </w:r>
    </w:p>
    <w:p>
      <w:pPr>
        <w:adjustRightInd w:val="0"/>
        <w:snapToGrid w:val="0"/>
        <w:spacing w:line="360" w:lineRule="auto"/>
        <w:ind w:firstLine="424" w:firstLineChars="202"/>
        <w:rPr>
          <w:rFonts w:ascii="宋体" w:hAnsi="宋体" w:cs="Arial"/>
          <w:color w:val="auto"/>
          <w:szCs w:val="21"/>
          <w:highlight w:val="none"/>
        </w:rPr>
      </w:pPr>
      <w:r>
        <w:rPr>
          <w:rFonts w:hint="eastAsia" w:ascii="宋体" w:hAnsi="宋体" w:cs="Arial"/>
          <w:color w:val="auto"/>
          <w:szCs w:val="21"/>
          <w:highlight w:val="none"/>
        </w:rPr>
        <w:t>（6）法律、行政法规规定的其他条件。</w:t>
      </w:r>
    </w:p>
    <w:p>
      <w:pPr>
        <w:numPr>
          <w:ilvl w:val="0"/>
          <w:numId w:val="59"/>
        </w:numPr>
        <w:adjustRightInd w:val="0"/>
        <w:snapToGrid w:val="0"/>
        <w:spacing w:line="360" w:lineRule="auto"/>
        <w:ind w:left="567" w:hanging="567"/>
        <w:rPr>
          <w:rFonts w:hint="eastAsia" w:ascii="宋体" w:hAnsi="宋体" w:cs="Arial"/>
          <w:color w:val="auto"/>
          <w:szCs w:val="21"/>
          <w:highlight w:val="none"/>
        </w:rPr>
      </w:pPr>
      <w:r>
        <w:rPr>
          <w:rFonts w:hint="eastAsia" w:ascii="宋体" w:hAnsi="宋体"/>
          <w:color w:val="auto"/>
          <w:highlight w:val="none"/>
        </w:rPr>
        <w:t>本公司（企业）的法定代表人或单位负责人与所参投的本采购项目其他投标人的法定代表人或单位负责人不为同一人且与其他投标人之间不存在直接控股、管理关系。</w:t>
      </w:r>
    </w:p>
    <w:p>
      <w:pPr>
        <w:numPr>
          <w:ilvl w:val="0"/>
          <w:numId w:val="59"/>
        </w:numPr>
        <w:adjustRightInd w:val="0"/>
        <w:snapToGrid w:val="0"/>
        <w:spacing w:line="360" w:lineRule="auto"/>
        <w:ind w:left="567" w:hanging="567"/>
        <w:rPr>
          <w:rFonts w:ascii="宋体" w:hAnsi="宋体"/>
          <w:color w:val="auto"/>
          <w:highlight w:val="none"/>
        </w:rPr>
      </w:pPr>
      <w:r>
        <w:rPr>
          <w:rFonts w:hint="eastAsia" w:ascii="宋体" w:hAnsi="宋体" w:cs="Arial"/>
          <w:color w:val="auto"/>
          <w:szCs w:val="21"/>
          <w:highlight w:val="none"/>
        </w:rPr>
        <w:t>根据</w:t>
      </w:r>
      <w:r>
        <w:rPr>
          <w:rFonts w:hint="eastAsia" w:ascii="宋体" w:hAnsi="宋体"/>
          <w:color w:val="auto"/>
          <w:highlight w:val="none"/>
        </w:rPr>
        <w:t>《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numPr>
          <w:ilvl w:val="0"/>
          <w:numId w:val="59"/>
        </w:numPr>
        <w:adjustRightInd w:val="0"/>
        <w:snapToGrid w:val="0"/>
        <w:spacing w:line="360" w:lineRule="auto"/>
        <w:ind w:left="567" w:hanging="567"/>
        <w:rPr>
          <w:rFonts w:ascii="宋体" w:hAnsi="宋体"/>
          <w:color w:val="auto"/>
          <w:highlight w:val="none"/>
        </w:rPr>
      </w:pPr>
      <w:r>
        <w:rPr>
          <w:rFonts w:hint="eastAsia" w:ascii="宋体" w:hAnsi="宋体"/>
          <w:color w:val="auto"/>
          <w:highlight w:val="none"/>
        </w:rPr>
        <w:t>本公司（企业）</w:t>
      </w:r>
      <w:r>
        <w:rPr>
          <w:rFonts w:ascii="宋体" w:hAnsi="宋体"/>
          <w:color w:val="auto"/>
          <w:highlight w:val="none"/>
        </w:rPr>
        <w:t>具有履行合同所必需的设备和专业技术能力</w:t>
      </w:r>
      <w:r>
        <w:rPr>
          <w:rFonts w:hint="eastAsia" w:ascii="宋体" w:hAnsi="宋体"/>
          <w:color w:val="auto"/>
          <w:highlight w:val="none"/>
        </w:rPr>
        <w:t>，且本公司（企业）参加政府采购活动前</w:t>
      </w:r>
      <w:r>
        <w:rPr>
          <w:rFonts w:ascii="宋体" w:hAnsi="宋体"/>
          <w:color w:val="auto"/>
          <w:highlight w:val="none"/>
        </w:rPr>
        <w:t>3</w:t>
      </w:r>
      <w:r>
        <w:rPr>
          <w:rFonts w:hint="eastAsia" w:ascii="宋体" w:hAnsi="宋体"/>
          <w:color w:val="auto"/>
          <w:highlight w:val="none"/>
        </w:rPr>
        <w:t>年内在经营活动中没有重大违法记录。否则，由此所造成的损失、不良后果及法律责任，一律由我公司（企业）承担。</w:t>
      </w:r>
    </w:p>
    <w:p>
      <w:pPr>
        <w:adjustRightInd w:val="0"/>
        <w:snapToGrid w:val="0"/>
        <w:spacing w:line="360" w:lineRule="auto"/>
        <w:ind w:firstLine="424" w:firstLineChars="202"/>
        <w:rPr>
          <w:rFonts w:ascii="宋体" w:hAnsi="宋体"/>
          <w:color w:val="auto"/>
          <w:highlight w:val="none"/>
        </w:rPr>
      </w:pPr>
      <w:r>
        <w:rPr>
          <w:rFonts w:hint="eastAsia" w:ascii="宋体" w:hAnsi="宋体"/>
          <w:color w:val="auto"/>
          <w:highlight w:val="none"/>
        </w:rPr>
        <w:t>本次招标采购活动中，如有违法、违规、弄虚作假行为，所造成的损失、不良后果及法律责任，一律由我公司（企业）承担。</w:t>
      </w:r>
    </w:p>
    <w:p>
      <w:pPr>
        <w:spacing w:line="360" w:lineRule="auto"/>
        <w:ind w:firstLine="420"/>
        <w:rPr>
          <w:rFonts w:hint="eastAsia"/>
          <w:color w:val="auto"/>
          <w:highlight w:val="none"/>
        </w:rPr>
      </w:pPr>
      <w:r>
        <w:rPr>
          <w:rFonts w:hint="eastAsia"/>
          <w:color w:val="auto"/>
          <w:highlight w:val="none"/>
        </w:rPr>
        <w:t>特此声明！</w:t>
      </w:r>
    </w:p>
    <w:p>
      <w:pPr>
        <w:autoSpaceDE w:val="0"/>
        <w:autoSpaceDN w:val="0"/>
        <w:adjustRightInd w:val="0"/>
        <w:spacing w:line="360" w:lineRule="auto"/>
        <w:ind w:left="420" w:firstLine="310"/>
        <w:rPr>
          <w:rFonts w:hint="eastAsia" w:ascii="宋体" w:hAnsi="宋体"/>
          <w:b/>
          <w:color w:val="auto"/>
          <w:highlight w:val="none"/>
        </w:rPr>
      </w:pPr>
      <w:r>
        <w:rPr>
          <w:rFonts w:hint="eastAsia" w:ascii="宋体" w:hAnsi="宋体"/>
          <w:b/>
          <w:color w:val="auto"/>
          <w:highlight w:val="none"/>
        </w:rPr>
        <w:t xml:space="preserve">备注：本投标人资格声明函内容不得擅自删改，否则视为无效投标。 </w:t>
      </w:r>
    </w:p>
    <w:p>
      <w:pPr>
        <w:spacing w:line="360" w:lineRule="auto"/>
        <w:ind w:firstLine="420"/>
        <w:rPr>
          <w:rFonts w:hint="eastAsia"/>
          <w:color w:val="auto"/>
          <w:highlight w:val="none"/>
        </w:rPr>
      </w:pPr>
      <w:r>
        <w:rPr>
          <w:rFonts w:hint="eastAsia"/>
          <w:color w:val="auto"/>
          <w:highlight w:val="none"/>
        </w:rPr>
        <w:t>单位名称（加盖公章）：　　　　　　　　　　　　　　　　</w:t>
      </w:r>
    </w:p>
    <w:p>
      <w:pPr>
        <w:spacing w:line="360" w:lineRule="auto"/>
        <w:ind w:firstLine="420"/>
        <w:rPr>
          <w:rFonts w:hint="eastAsia"/>
          <w:color w:val="auto"/>
          <w:highlight w:val="none"/>
        </w:rPr>
      </w:pPr>
      <w:r>
        <w:rPr>
          <w:rFonts w:hint="eastAsia" w:ascii="宋体"/>
          <w:color w:val="auto"/>
          <w:highlight w:val="none"/>
        </w:rPr>
        <w:t>法定代表人或</w:t>
      </w:r>
      <w:r>
        <w:rPr>
          <w:rFonts w:hint="eastAsia" w:ascii="宋体" w:hAnsi="宋体"/>
          <w:color w:val="auto"/>
          <w:highlight w:val="none"/>
        </w:rPr>
        <w:t>投标人授权代表（签名或盖章）</w:t>
      </w:r>
      <w:r>
        <w:rPr>
          <w:rFonts w:hint="eastAsia"/>
          <w:color w:val="auto"/>
          <w:highlight w:val="none"/>
        </w:rPr>
        <w:t>：</w:t>
      </w:r>
    </w:p>
    <w:p>
      <w:pPr>
        <w:spacing w:line="360" w:lineRule="auto"/>
        <w:ind w:firstLine="420"/>
        <w:rPr>
          <w:rFonts w:hint="eastAsia"/>
          <w:color w:val="auto"/>
          <w:highlight w:val="none"/>
        </w:rPr>
      </w:pPr>
      <w:r>
        <w:rPr>
          <w:rFonts w:hint="eastAsia"/>
          <w:color w:val="auto"/>
          <w:highlight w:val="none"/>
        </w:rPr>
        <w:t>单位地址：　　　　　　　　　　　　　　　　</w:t>
      </w:r>
    </w:p>
    <w:p>
      <w:pPr>
        <w:spacing w:line="360" w:lineRule="auto"/>
        <w:ind w:firstLine="420"/>
        <w:rPr>
          <w:rFonts w:hint="eastAsia"/>
          <w:color w:val="auto"/>
          <w:highlight w:val="none"/>
        </w:rPr>
      </w:pPr>
      <w:r>
        <w:rPr>
          <w:rFonts w:hint="eastAsia"/>
          <w:color w:val="auto"/>
          <w:highlight w:val="none"/>
        </w:rPr>
        <w:t>邮政编码：　　　　　　　　　　　　　　　　日期：</w:t>
      </w:r>
    </w:p>
    <w:p>
      <w:pPr>
        <w:spacing w:line="360" w:lineRule="auto"/>
        <w:ind w:firstLine="420" w:firstLineChars="200"/>
        <w:rPr>
          <w:rFonts w:hint="eastAsia"/>
          <w:color w:val="auto"/>
          <w:highlight w:val="none"/>
        </w:rPr>
      </w:pPr>
      <w:r>
        <w:rPr>
          <w:rFonts w:hint="eastAsia"/>
          <w:color w:val="auto"/>
          <w:highlight w:val="none"/>
        </w:rPr>
        <w:t>联系电话：</w:t>
      </w:r>
    </w:p>
    <w:p>
      <w:pPr>
        <w:spacing w:line="360" w:lineRule="auto"/>
        <w:ind w:firstLine="420" w:firstLineChars="200"/>
        <w:rPr>
          <w:rFonts w:hint="eastAsia"/>
          <w:color w:val="auto"/>
          <w:highlight w:val="none"/>
        </w:rPr>
      </w:pPr>
      <w:r>
        <w:rPr>
          <w:rFonts w:hint="eastAsia"/>
          <w:color w:val="auto"/>
          <w:highlight w:val="none"/>
        </w:rPr>
        <w:br w:type="page"/>
      </w:r>
    </w:p>
    <w:p>
      <w:pPr>
        <w:numPr>
          <w:ilvl w:val="0"/>
          <w:numId w:val="57"/>
        </w:numPr>
        <w:spacing w:line="440" w:lineRule="exact"/>
        <w:rPr>
          <w:rFonts w:hint="eastAsia"/>
          <w:b/>
          <w:color w:val="auto"/>
          <w:highlight w:val="none"/>
        </w:rPr>
      </w:pPr>
    </w:p>
    <w:p>
      <w:pPr>
        <w:pStyle w:val="3"/>
        <w:adjustRightInd w:val="0"/>
        <w:snapToGrid w:val="0"/>
        <w:spacing w:before="120" w:beforeLines="50" w:after="120" w:afterLines="50" w:line="360" w:lineRule="auto"/>
        <w:jc w:val="center"/>
        <w:rPr>
          <w:rFonts w:hint="eastAsia"/>
          <w:b w:val="0"/>
          <w:color w:val="auto"/>
          <w:highlight w:val="none"/>
        </w:rPr>
      </w:pPr>
      <w:r>
        <w:rPr>
          <w:rFonts w:hint="eastAsia"/>
          <w:b w:val="0"/>
          <w:color w:val="auto"/>
          <w:highlight w:val="none"/>
        </w:rPr>
        <w:t>法定代表人授权委托书</w:t>
      </w:r>
      <w:bookmarkEnd w:id="99"/>
      <w:bookmarkEnd w:id="100"/>
      <w:bookmarkEnd w:id="101"/>
      <w:bookmarkEnd w:id="102"/>
      <w:bookmarkEnd w:id="103"/>
    </w:p>
    <w:p>
      <w:pPr>
        <w:pStyle w:val="8"/>
        <w:spacing w:line="360" w:lineRule="auto"/>
        <w:ind w:firstLine="420" w:firstLineChars="200"/>
        <w:rPr>
          <w:rFonts w:hint="eastAsia"/>
          <w:color w:val="auto"/>
          <w:highlight w:val="none"/>
        </w:rPr>
      </w:pPr>
      <w:r>
        <w:rPr>
          <w:rFonts w:hint="eastAsia"/>
          <w:color w:val="auto"/>
          <w:highlight w:val="none"/>
        </w:rPr>
        <w:t>本授权委托书声明：注册于</w:t>
      </w:r>
      <w:r>
        <w:rPr>
          <w:rFonts w:hint="eastAsia"/>
          <w:color w:val="auto"/>
          <w:highlight w:val="none"/>
          <w:u w:val="single"/>
        </w:rPr>
        <w:t xml:space="preserve">    （投标人地址）  </w:t>
      </w:r>
      <w:r>
        <w:rPr>
          <w:rFonts w:hint="eastAsia"/>
          <w:color w:val="auto"/>
          <w:highlight w:val="none"/>
        </w:rPr>
        <w:t>的</w:t>
      </w:r>
      <w:r>
        <w:rPr>
          <w:rFonts w:hint="eastAsia"/>
          <w:color w:val="auto"/>
          <w:highlight w:val="none"/>
          <w:u w:val="single"/>
        </w:rPr>
        <w:t xml:space="preserve">  （投标人名称）    </w:t>
      </w:r>
      <w:r>
        <w:rPr>
          <w:rFonts w:hint="eastAsia"/>
          <w:color w:val="auto"/>
          <w:highlight w:val="none"/>
        </w:rPr>
        <w:t>在下面签名的</w:t>
      </w:r>
      <w:r>
        <w:rPr>
          <w:rFonts w:hint="eastAsia"/>
          <w:color w:val="auto"/>
          <w:highlight w:val="none"/>
          <w:u w:val="single"/>
        </w:rPr>
        <w:t>（法定代表人姓名、职务）</w:t>
      </w:r>
      <w:r>
        <w:rPr>
          <w:rFonts w:hint="eastAsia"/>
          <w:color w:val="auto"/>
          <w:highlight w:val="none"/>
        </w:rPr>
        <w:t>在此授权</w:t>
      </w:r>
      <w:r>
        <w:rPr>
          <w:rFonts w:hint="eastAsia"/>
          <w:color w:val="auto"/>
          <w:highlight w:val="none"/>
          <w:u w:val="single"/>
        </w:rPr>
        <w:t>（被授权人姓名、职务）</w:t>
      </w:r>
      <w:r>
        <w:rPr>
          <w:rFonts w:hint="eastAsia"/>
          <w:color w:val="auto"/>
          <w:highlight w:val="none"/>
        </w:rPr>
        <w:t>作为我公司的合法代理人，就</w:t>
      </w:r>
      <w:r>
        <w:rPr>
          <w:rFonts w:hint="eastAsia"/>
          <w:color w:val="auto"/>
          <w:highlight w:val="none"/>
          <w:u w:val="single"/>
        </w:rPr>
        <w:t xml:space="preserve">   （项目名称、项目编号）   </w:t>
      </w:r>
      <w:r>
        <w:rPr>
          <w:rFonts w:hint="eastAsia"/>
          <w:color w:val="auto"/>
          <w:highlight w:val="none"/>
        </w:rPr>
        <w:t>的招投标活动，提交投标文件及采购合同的签订、执行、完成和售后服务，作为投标人代表以我方的名义处理一切与之有关的事务。</w:t>
      </w:r>
    </w:p>
    <w:p>
      <w:pPr>
        <w:pStyle w:val="8"/>
        <w:spacing w:line="360" w:lineRule="auto"/>
        <w:ind w:firstLine="420" w:firstLineChars="200"/>
        <w:rPr>
          <w:rFonts w:hint="eastAsia"/>
          <w:color w:val="auto"/>
          <w:highlight w:val="none"/>
        </w:rPr>
      </w:pPr>
      <w:r>
        <w:rPr>
          <w:rFonts w:hint="eastAsia"/>
          <w:color w:val="auto"/>
          <w:highlight w:val="none"/>
        </w:rPr>
        <w:t>被授权人（投标人授权代表）无转委托权限。</w:t>
      </w:r>
    </w:p>
    <w:p>
      <w:pPr>
        <w:spacing w:line="360" w:lineRule="auto"/>
        <w:ind w:firstLine="420" w:firstLineChars="200"/>
        <w:rPr>
          <w:rFonts w:hint="eastAsia" w:ascii="宋体"/>
          <w:color w:val="auto"/>
          <w:highlight w:val="none"/>
        </w:rPr>
      </w:pPr>
      <w:r>
        <w:rPr>
          <w:rFonts w:hint="eastAsia" w:ascii="宋体"/>
          <w:color w:val="auto"/>
          <w:highlight w:val="none"/>
        </w:rPr>
        <w:t>本授权书自法定代表人签字之日起生效，特此声明。</w:t>
      </w:r>
    </w:p>
    <w:p>
      <w:pPr>
        <w:spacing w:line="480" w:lineRule="auto"/>
        <w:ind w:left="2" w:leftChars="1" w:firstLine="1365" w:firstLineChars="650"/>
        <w:rPr>
          <w:rFonts w:hint="eastAsia" w:ascii="宋体" w:hAnsi="宋体"/>
          <w:color w:val="auto"/>
          <w:highlight w:val="none"/>
        </w:rPr>
      </w:pPr>
    </w:p>
    <w:p>
      <w:pPr>
        <w:spacing w:line="360" w:lineRule="auto"/>
        <w:rPr>
          <w:rFonts w:hint="eastAsia" w:ascii="宋体"/>
          <w:b/>
          <w:color w:val="auto"/>
          <w:highlight w:val="none"/>
        </w:rPr>
      </w:pPr>
      <w:r>
        <w:rPr>
          <w:rFonts w:hint="eastAsia" w:ascii="宋体"/>
          <w:b/>
          <w:color w:val="auto"/>
          <w:highlight w:val="none"/>
        </w:rPr>
        <w:t>随附《法定代表人证明》</w:t>
      </w:r>
    </w:p>
    <w:p>
      <w:pPr>
        <w:spacing w:line="360" w:lineRule="auto"/>
        <w:rPr>
          <w:rFonts w:hint="eastAsia" w:ascii="宋体"/>
          <w:color w:val="auto"/>
          <w:highlight w:val="none"/>
        </w:rPr>
      </w:pPr>
    </w:p>
    <w:p>
      <w:pPr>
        <w:spacing w:line="360" w:lineRule="auto"/>
        <w:rPr>
          <w:rFonts w:hint="eastAsia" w:ascii="宋体"/>
          <w:color w:val="auto"/>
          <w:highlight w:val="none"/>
        </w:rPr>
      </w:pPr>
      <w:r>
        <w:rPr>
          <w:rFonts w:hint="eastAsia" w:ascii="宋体"/>
          <w:color w:val="auto"/>
          <w:highlight w:val="none"/>
        </w:rPr>
        <w:t>投标人名称（</w:t>
      </w:r>
      <w:r>
        <w:rPr>
          <w:rFonts w:hint="eastAsia" w:ascii="宋体" w:hAnsi="宋体"/>
          <w:color w:val="auto"/>
          <w:highlight w:val="none"/>
        </w:rPr>
        <w:t>盖</w:t>
      </w:r>
      <w:r>
        <w:rPr>
          <w:rFonts w:hint="eastAsia" w:ascii="宋体"/>
          <w:color w:val="auto"/>
          <w:highlight w:val="none"/>
        </w:rPr>
        <w:t>公章）：</w:t>
      </w:r>
    </w:p>
    <w:p>
      <w:pPr>
        <w:spacing w:line="360" w:lineRule="auto"/>
        <w:rPr>
          <w:rFonts w:ascii="宋体"/>
          <w:color w:val="auto"/>
          <w:highlight w:val="none"/>
        </w:rPr>
      </w:pPr>
      <w:r>
        <w:rPr>
          <w:rFonts w:hint="eastAsia" w:ascii="宋体"/>
          <w:color w:val="auto"/>
          <w:highlight w:val="none"/>
        </w:rPr>
        <w:t>地      址：</w:t>
      </w:r>
    </w:p>
    <w:p>
      <w:pPr>
        <w:tabs>
          <w:tab w:val="left" w:pos="3780"/>
        </w:tabs>
        <w:spacing w:line="360" w:lineRule="auto"/>
        <w:rPr>
          <w:rFonts w:hint="eastAsia" w:ascii="宋体"/>
          <w:color w:val="auto"/>
          <w:highlight w:val="none"/>
        </w:rPr>
      </w:pPr>
      <w:r>
        <w:rPr>
          <w:rFonts w:hint="eastAsia" w:ascii="宋体"/>
          <w:color w:val="auto"/>
          <w:highlight w:val="none"/>
        </w:rPr>
        <w:t>法定代表人（签字或盖章）：                         签字日期：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left="1159" w:leftChars="552" w:firstLine="2261"/>
        <w:rPr>
          <w:rFonts w:hint="eastAsia" w:ascii="宋体"/>
          <w:color w:val="auto"/>
          <w:highlight w:val="none"/>
        </w:rPr>
      </w:pPr>
    </w:p>
    <w:p>
      <w:pPr>
        <w:spacing w:line="360" w:lineRule="auto"/>
        <w:rPr>
          <w:rFonts w:hint="eastAsia" w:ascii="宋体"/>
          <w:color w:val="auto"/>
          <w:highlight w:val="none"/>
        </w:rPr>
      </w:pPr>
      <w:r>
        <w:rPr>
          <w:rFonts w:hint="eastAsia"/>
          <w:color w:val="auto"/>
          <w:highlight w:val="none"/>
        </w:rPr>
        <w:t>被授权人（投标人授权代表）</w:t>
      </w:r>
      <w:r>
        <w:rPr>
          <w:rFonts w:hint="eastAsia" w:ascii="宋体"/>
          <w:color w:val="auto"/>
          <w:highlight w:val="none"/>
        </w:rPr>
        <w:t xml:space="preserve">（签字或盖章）： </w:t>
      </w:r>
    </w:p>
    <w:p>
      <w:pPr>
        <w:spacing w:line="360" w:lineRule="auto"/>
        <w:rPr>
          <w:rFonts w:hint="eastAsia" w:ascii="宋体"/>
          <w:color w:val="auto"/>
          <w:highlight w:val="none"/>
        </w:rPr>
      </w:pPr>
      <w:r>
        <w:rPr>
          <w:rFonts w:ascii="宋体"/>
          <w:color w:val="auto"/>
          <w:sz w:val="20"/>
          <w:highlight w:val="none"/>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217170</wp:posOffset>
                </wp:positionV>
                <wp:extent cx="2918460" cy="1692275"/>
                <wp:effectExtent l="4445" t="4445" r="10795" b="17780"/>
                <wp:wrapNone/>
                <wp:docPr id="2" name="矩形 4"/>
                <wp:cNvGraphicFramePr/>
                <a:graphic xmlns:a="http://schemas.openxmlformats.org/drawingml/2006/main">
                  <a:graphicData uri="http://schemas.microsoft.com/office/word/2010/wordprocessingShape">
                    <wps:wsp>
                      <wps:cNvSpPr/>
                      <wps:spPr>
                        <a:xfrm>
                          <a:off x="0" y="0"/>
                          <a:ext cx="2918460" cy="1692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rPr>
                                <w:rFonts w:hint="eastAsia"/>
                              </w:rPr>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050" w:firstLineChars="500"/>
                              <w:rPr>
                                <w:rFonts w:hint="eastAsia"/>
                              </w:rPr>
                            </w:pPr>
                            <w:r>
                              <w:rPr>
                                <w:rFonts w:hint="eastAsia"/>
                              </w:rPr>
                              <w:t xml:space="preserve">       （正面</w:t>
                            </w:r>
                            <w:r>
                              <w:t>）</w:t>
                            </w:r>
                          </w:p>
                          <w:p/>
                        </w:txbxContent>
                      </wps:txbx>
                      <wps:bodyPr upright="1"/>
                    </wps:wsp>
                  </a:graphicData>
                </a:graphic>
              </wp:anchor>
            </w:drawing>
          </mc:Choice>
          <mc:Fallback>
            <w:pict>
              <v:rect id="矩形 4" o:spid="_x0000_s1026" o:spt="1" style="position:absolute;left:0pt;margin-left:12pt;margin-top:17.1pt;height:133.25pt;width:229.8pt;z-index:251660288;mso-width-relative:page;mso-height-relative:page;" fillcolor="#FFFFFF" filled="t" stroked="t" coordsize="21600,21600" o:gfxdata="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bB519cA&#10;AAAJAQAADwAAAAAAAAABACAAAAAiAAAAZHJzL2Rvd25yZXYueG1sUEsBAhQAFAAAAAgAh07iQO8q&#10;xnznAQAA3AMAAA4AAAAAAAAAAQAgAAAAJgEAAGRycy9lMm9Eb2MueG1sUEsFBgAAAAAGAAYAWQEA&#10;AH8FAAAAAA==&#10;">
                <v:fill on="t" focussize="0,0"/>
                <v:stroke color="#000000" joinstyle="miter"/>
                <v:imagedata o:title=""/>
                <o:lock v:ext="edit" aspectratio="f"/>
                <v:textbox>
                  <w:txbxContent>
                    <w:p>
                      <w:pPr>
                        <w:ind w:firstLine="1260" w:firstLineChars="600"/>
                        <w:rPr>
                          <w:rFonts w:hint="eastAsia"/>
                        </w:rPr>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050" w:firstLineChars="500"/>
                        <w:rPr>
                          <w:rFonts w:hint="eastAsia"/>
                        </w:rPr>
                      </w:pPr>
                      <w:r>
                        <w:rPr>
                          <w:rFonts w:hint="eastAsia"/>
                        </w:rPr>
                        <w:t xml:space="preserve">       （正面</w:t>
                      </w:r>
                      <w:r>
                        <w:t>）</w:t>
                      </w:r>
                    </w:p>
                    <w:p/>
                  </w:txbxContent>
                </v:textbox>
              </v:rect>
            </w:pict>
          </mc:Fallback>
        </mc:AlternateContent>
      </w:r>
    </w:p>
    <w:p>
      <w:pPr>
        <w:spacing w:line="440" w:lineRule="exact"/>
        <w:rPr>
          <w:rFonts w:hint="eastAsia" w:ascii="黑体" w:eastAsia="黑体"/>
          <w:color w:val="auto"/>
          <w:highlight w:val="none"/>
        </w:rPr>
      </w:pPr>
      <w:bookmarkStart w:id="109" w:name="_Toc226217114"/>
    </w:p>
    <w:p>
      <w:pPr>
        <w:spacing w:line="440" w:lineRule="exact"/>
        <w:rPr>
          <w:rFonts w:hint="eastAsia" w:ascii="黑体" w:eastAsia="黑体"/>
          <w:color w:val="auto"/>
          <w:highlight w:val="none"/>
        </w:rPr>
      </w:pPr>
      <w:r>
        <w:rPr>
          <w:rFonts w:hint="eastAsia" w:ascii="黑体" w:eastAsia="黑体"/>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3152775</wp:posOffset>
                </wp:positionH>
                <wp:positionV relativeFrom="paragraph">
                  <wp:posOffset>-321945</wp:posOffset>
                </wp:positionV>
                <wp:extent cx="2918460" cy="1692275"/>
                <wp:effectExtent l="4445" t="4445" r="10795" b="17780"/>
                <wp:wrapNone/>
                <wp:docPr id="5" name="矩形 3"/>
                <wp:cNvGraphicFramePr/>
                <a:graphic xmlns:a="http://schemas.openxmlformats.org/drawingml/2006/main">
                  <a:graphicData uri="http://schemas.microsoft.com/office/word/2010/wordprocessingShape">
                    <wps:wsp>
                      <wps:cNvSpPr/>
                      <wps:spPr>
                        <a:xfrm>
                          <a:off x="0" y="0"/>
                          <a:ext cx="2918460" cy="1692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rPr>
                                <w:rFonts w:hint="eastAsia"/>
                              </w:rPr>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050" w:firstLineChars="500"/>
                              <w:rPr>
                                <w:rFonts w:hint="eastAsia"/>
                              </w:rPr>
                            </w:pPr>
                            <w:r>
                              <w:rPr>
                                <w:rFonts w:hint="eastAsia"/>
                              </w:rPr>
                              <w:t xml:space="preserve">       （反面</w:t>
                            </w:r>
                            <w:r>
                              <w:t>）</w:t>
                            </w:r>
                          </w:p>
                          <w:p/>
                        </w:txbxContent>
                      </wps:txbx>
                      <wps:bodyPr upright="1"/>
                    </wps:wsp>
                  </a:graphicData>
                </a:graphic>
              </wp:anchor>
            </w:drawing>
          </mc:Choice>
          <mc:Fallback>
            <w:pict>
              <v:rect id="矩形 3" o:spid="_x0000_s1026" o:spt="1" style="position:absolute;left:0pt;margin-left:248.25pt;margin-top:-25.35pt;height:133.25pt;width:229.8pt;z-index:251663360;mso-width-relative:page;mso-height-relative:page;" fillcolor="#FFFFFF" filled="t" stroked="t" coordsize="21600,21600" o:gfxdata="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Xzd&#10;xNoAAAALAQAADwAAAAAAAAABACAAAAAiAAAAZHJzL2Rvd25yZXYueG1sUEsBAhQAFAAAAAgAh07i&#10;QIPaUPDnAQAA3AMAAA4AAAAAAAAAAQAgAAAAKQEAAGRycy9lMm9Eb2MueG1sUEsFBgAAAAAGAAYA&#10;WQEAAIIFAAAAAA==&#10;">
                <v:fill on="t" focussize="0,0"/>
                <v:stroke color="#000000" joinstyle="miter"/>
                <v:imagedata o:title=""/>
                <o:lock v:ext="edit" aspectratio="f"/>
                <v:textbox>
                  <w:txbxContent>
                    <w:p>
                      <w:pPr>
                        <w:ind w:firstLine="1260" w:firstLineChars="600"/>
                        <w:rPr>
                          <w:rFonts w:hint="eastAsia"/>
                        </w:rPr>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050" w:firstLineChars="500"/>
                        <w:rPr>
                          <w:rFonts w:hint="eastAsia"/>
                        </w:rPr>
                      </w:pPr>
                      <w:r>
                        <w:rPr>
                          <w:rFonts w:hint="eastAsia"/>
                        </w:rPr>
                        <w:t xml:space="preserve">       （反面</w:t>
                      </w:r>
                      <w:r>
                        <w:t>）</w:t>
                      </w:r>
                    </w:p>
                    <w:p/>
                  </w:txbxContent>
                </v:textbox>
              </v:rect>
            </w:pict>
          </mc:Fallback>
        </mc:AlternateContent>
      </w:r>
    </w:p>
    <w:p>
      <w:pPr>
        <w:spacing w:line="440" w:lineRule="exact"/>
        <w:rPr>
          <w:rFonts w:hint="eastAsia" w:ascii="黑体" w:eastAsia="黑体"/>
          <w:color w:val="auto"/>
          <w:highlight w:val="none"/>
        </w:rPr>
      </w:pPr>
    </w:p>
    <w:p>
      <w:pPr>
        <w:spacing w:line="440" w:lineRule="exact"/>
        <w:rPr>
          <w:rFonts w:hint="eastAsia" w:ascii="黑体" w:eastAsia="黑体"/>
          <w:color w:val="auto"/>
          <w:highlight w:val="none"/>
        </w:rPr>
      </w:pPr>
    </w:p>
    <w:p>
      <w:pPr>
        <w:spacing w:line="440" w:lineRule="exact"/>
        <w:rPr>
          <w:rFonts w:hint="eastAsia" w:ascii="黑体" w:eastAsia="黑体"/>
          <w:color w:val="auto"/>
          <w:highlight w:val="none"/>
        </w:rPr>
      </w:pPr>
    </w:p>
    <w:p>
      <w:pPr>
        <w:spacing w:line="440" w:lineRule="exact"/>
        <w:rPr>
          <w:rFonts w:hint="eastAsia" w:ascii="黑体" w:eastAsia="黑体"/>
          <w:color w:val="auto"/>
          <w:highlight w:val="none"/>
        </w:rPr>
      </w:pPr>
    </w:p>
    <w:p>
      <w:pPr>
        <w:spacing w:line="440" w:lineRule="exact"/>
        <w:rPr>
          <w:rFonts w:hint="eastAsia" w:ascii="黑体" w:eastAsia="黑体"/>
          <w:color w:val="auto"/>
          <w:highlight w:val="none"/>
        </w:rPr>
      </w:pPr>
    </w:p>
    <w:p>
      <w:pPr>
        <w:spacing w:line="440" w:lineRule="exact"/>
        <w:rPr>
          <w:rFonts w:ascii="黑体" w:eastAsia="黑体"/>
          <w:color w:val="auto"/>
          <w:highlight w:val="none"/>
        </w:rPr>
        <w:sectPr>
          <w:pgSz w:w="11906" w:h="16838"/>
          <w:pgMar w:top="1134" w:right="1134" w:bottom="1134" w:left="1134" w:header="657" w:footer="481" w:gutter="0"/>
          <w:cols w:space="720" w:num="1"/>
          <w:docGrid w:linePitch="312" w:charSpace="0"/>
        </w:sectPr>
      </w:pPr>
    </w:p>
    <w:bookmarkEnd w:id="109"/>
    <w:p>
      <w:pPr>
        <w:numPr>
          <w:ilvl w:val="0"/>
          <w:numId w:val="57"/>
        </w:numPr>
        <w:spacing w:line="440" w:lineRule="exact"/>
        <w:rPr>
          <w:rFonts w:hint="eastAsia" w:ascii="黑体" w:eastAsia="黑体"/>
          <w:color w:val="auto"/>
          <w:highlight w:val="none"/>
        </w:rPr>
      </w:pPr>
    </w:p>
    <w:p>
      <w:pPr>
        <w:pStyle w:val="3"/>
        <w:adjustRightInd w:val="0"/>
        <w:snapToGrid w:val="0"/>
        <w:spacing w:before="120" w:beforeLines="50" w:after="120" w:afterLines="50" w:line="360" w:lineRule="auto"/>
        <w:jc w:val="center"/>
        <w:rPr>
          <w:rFonts w:hint="eastAsia"/>
          <w:b w:val="0"/>
          <w:color w:val="auto"/>
          <w:highlight w:val="none"/>
        </w:rPr>
      </w:pPr>
      <w:bookmarkStart w:id="110" w:name="_Toc275865608"/>
      <w:r>
        <w:rPr>
          <w:rFonts w:hint="eastAsia"/>
          <w:b w:val="0"/>
          <w:color w:val="auto"/>
          <w:highlight w:val="none"/>
        </w:rPr>
        <w:t>法定代表人证明书</w:t>
      </w:r>
      <w:bookmarkEnd w:id="104"/>
      <w:bookmarkEnd w:id="105"/>
      <w:bookmarkEnd w:id="106"/>
      <w:bookmarkEnd w:id="107"/>
      <w:bookmarkEnd w:id="108"/>
      <w:bookmarkEnd w:id="110"/>
    </w:p>
    <w:p>
      <w:pPr>
        <w:tabs>
          <w:tab w:val="left" w:pos="900"/>
        </w:tabs>
        <w:spacing w:line="480" w:lineRule="auto"/>
        <w:ind w:firstLine="945" w:firstLineChars="450"/>
        <w:rPr>
          <w:rFonts w:hint="eastAsia" w:ascii="宋体" w:hAnsi="宋体"/>
          <w:color w:val="auto"/>
          <w:highlight w:val="none"/>
        </w:rPr>
      </w:pPr>
      <w:r>
        <w:rPr>
          <w:rFonts w:hint="eastAsia" w:ascii="宋体" w:hAnsi="宋体"/>
          <w:color w:val="auto"/>
          <w:highlight w:val="none"/>
        </w:rPr>
        <w:t>______________同志，现任我单位</w:t>
      </w:r>
      <w:r>
        <w:rPr>
          <w:rFonts w:ascii="宋体" w:hAnsi="宋体"/>
          <w:color w:val="auto"/>
          <w:highlight w:val="none"/>
          <w:u w:val="single"/>
        </w:rPr>
        <w:t xml:space="preserve">         </w:t>
      </w:r>
      <w:r>
        <w:rPr>
          <w:rFonts w:hint="eastAsia" w:ascii="宋体" w:hAnsi="宋体"/>
          <w:color w:val="auto"/>
          <w:highlight w:val="none"/>
        </w:rPr>
        <w:t>职务，为法定代表人，特此证明。</w:t>
      </w:r>
    </w:p>
    <w:p>
      <w:pPr>
        <w:spacing w:line="480" w:lineRule="auto"/>
        <w:ind w:firstLine="420" w:firstLineChars="200"/>
        <w:rPr>
          <w:rFonts w:hint="eastAsia" w:ascii="宋体" w:hAnsi="宋体"/>
          <w:color w:val="auto"/>
          <w:highlight w:val="none"/>
        </w:rPr>
      </w:pPr>
      <w:r>
        <w:rPr>
          <w:rFonts w:hint="eastAsia" w:ascii="宋体" w:hAnsi="宋体"/>
          <w:color w:val="auto"/>
          <w:highlight w:val="none"/>
        </w:rPr>
        <w:t>有效日期与本公司投标文件中标注的投标有效期相同。签发日期：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480" w:lineRule="auto"/>
        <w:ind w:firstLine="420" w:firstLineChars="200"/>
        <w:rPr>
          <w:rFonts w:hint="eastAsia" w:ascii="宋体" w:hAnsi="宋体"/>
          <w:color w:val="auto"/>
          <w:highlight w:val="none"/>
        </w:rPr>
      </w:pPr>
      <w:r>
        <w:rPr>
          <w:rFonts w:hint="eastAsia" w:ascii="宋体" w:hAnsi="宋体"/>
          <w:color w:val="auto"/>
          <w:highlight w:val="none"/>
        </w:rPr>
        <w:t>附：</w:t>
      </w:r>
    </w:p>
    <w:p>
      <w:pPr>
        <w:spacing w:line="480" w:lineRule="auto"/>
        <w:ind w:firstLine="840" w:firstLineChars="400"/>
        <w:rPr>
          <w:rFonts w:hint="eastAsia" w:ascii="宋体" w:hAnsi="宋体"/>
          <w:color w:val="auto"/>
          <w:highlight w:val="none"/>
        </w:rPr>
      </w:pPr>
      <w:r>
        <w:rPr>
          <w:rFonts w:hint="eastAsia" w:ascii="宋体" w:hAnsi="宋体"/>
          <w:color w:val="auto"/>
          <w:highlight w:val="none"/>
        </w:rPr>
        <w:t xml:space="preserve">营业执照（注册号）：                       </w:t>
      </w:r>
    </w:p>
    <w:p>
      <w:pPr>
        <w:spacing w:line="480" w:lineRule="auto"/>
        <w:ind w:firstLine="840" w:firstLineChars="400"/>
        <w:rPr>
          <w:rFonts w:hint="eastAsia" w:ascii="宋体" w:hAnsi="宋体"/>
          <w:color w:val="auto"/>
          <w:highlight w:val="none"/>
        </w:rPr>
      </w:pPr>
      <w:r>
        <w:rPr>
          <w:rFonts w:hint="eastAsia" w:ascii="宋体" w:hAnsi="宋体"/>
          <w:color w:val="auto"/>
          <w:highlight w:val="none"/>
        </w:rPr>
        <w:t>经济性质：</w:t>
      </w:r>
    </w:p>
    <w:p>
      <w:pPr>
        <w:spacing w:line="480" w:lineRule="auto"/>
        <w:ind w:firstLine="840" w:firstLineChars="400"/>
        <w:rPr>
          <w:rFonts w:hint="eastAsia" w:ascii="宋体" w:hAnsi="宋体"/>
          <w:color w:val="auto"/>
          <w:highlight w:val="none"/>
        </w:rPr>
      </w:pPr>
      <w:r>
        <w:rPr>
          <w:rFonts w:hint="eastAsia" w:ascii="宋体" w:hAnsi="宋体"/>
          <w:color w:val="auto"/>
          <w:highlight w:val="none"/>
        </w:rPr>
        <w:t>主营（产）：</w:t>
      </w:r>
    </w:p>
    <w:p>
      <w:pPr>
        <w:spacing w:line="480" w:lineRule="auto"/>
        <w:ind w:firstLine="840" w:firstLineChars="400"/>
        <w:rPr>
          <w:rFonts w:hint="eastAsia" w:ascii="宋体" w:hAnsi="宋体"/>
          <w:color w:val="auto"/>
          <w:highlight w:val="none"/>
        </w:rPr>
      </w:pPr>
      <w:r>
        <w:rPr>
          <w:rFonts w:hint="eastAsia" w:ascii="宋体" w:hAnsi="宋体"/>
          <w:color w:val="auto"/>
          <w:highlight w:val="none"/>
        </w:rPr>
        <w:t>兼营（产）：</w:t>
      </w:r>
    </w:p>
    <w:p>
      <w:pPr>
        <w:spacing w:line="480" w:lineRule="auto"/>
        <w:ind w:firstLine="843" w:firstLineChars="400"/>
        <w:rPr>
          <w:rFonts w:hint="eastAsia" w:ascii="宋体" w:hAnsi="宋体"/>
          <w:color w:val="auto"/>
          <w:sz w:val="24"/>
          <w:highlight w:val="none"/>
        </w:rPr>
      </w:pPr>
      <w:r>
        <w:rPr>
          <w:rFonts w:hint="eastAsia" w:ascii="宋体"/>
          <w:b/>
          <w:bCs/>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3404870</wp:posOffset>
                </wp:positionH>
                <wp:positionV relativeFrom="paragraph">
                  <wp:posOffset>-102235</wp:posOffset>
                </wp:positionV>
                <wp:extent cx="2828290" cy="1686560"/>
                <wp:effectExtent l="4445" t="4445" r="5715" b="23495"/>
                <wp:wrapNone/>
                <wp:docPr id="7" name="矩形 5"/>
                <wp:cNvGraphicFramePr/>
                <a:graphic xmlns:a="http://schemas.openxmlformats.org/drawingml/2006/main">
                  <a:graphicData uri="http://schemas.microsoft.com/office/word/2010/wordprocessingShape">
                    <wps:wsp>
                      <wps:cNvSpPr/>
                      <wps:spPr>
                        <a:xfrm>
                          <a:off x="0" y="0"/>
                          <a:ext cx="2828290" cy="1686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rPr>
                                <w:rFonts w:hint="eastAsia"/>
                              </w:rPr>
                            </w:pPr>
                          </w:p>
                          <w:p>
                            <w:pPr>
                              <w:ind w:firstLine="1680" w:firstLineChars="800"/>
                              <w:rPr>
                                <w:rFonts w:hint="eastAsia"/>
                              </w:rPr>
                            </w:pPr>
                            <w:r>
                              <w:rPr>
                                <w:rFonts w:hint="eastAsia"/>
                              </w:rPr>
                              <w:t>法定代表人</w:t>
                            </w:r>
                          </w:p>
                          <w:p>
                            <w:pPr>
                              <w:ind w:firstLine="1050" w:firstLineChars="500"/>
                            </w:pPr>
                            <w:r>
                              <w:rPr>
                                <w:rFonts w:hint="eastAsia"/>
                              </w:rPr>
                              <w:t>居民身份证复印件粘贴处</w:t>
                            </w:r>
                          </w:p>
                          <w:p>
                            <w:pPr>
                              <w:ind w:firstLine="1050" w:firstLineChars="500"/>
                            </w:pPr>
                          </w:p>
                          <w:p>
                            <w:pPr>
                              <w:ind w:firstLine="1050" w:firstLineChars="500"/>
                              <w:rPr>
                                <w:rFonts w:hint="eastAsia"/>
                              </w:rPr>
                            </w:pPr>
                            <w:r>
                              <w:rPr>
                                <w:rFonts w:hint="eastAsia"/>
                              </w:rPr>
                              <w:t xml:space="preserve">       （反面</w:t>
                            </w:r>
                            <w:r>
                              <w:t>）</w:t>
                            </w:r>
                          </w:p>
                        </w:txbxContent>
                      </wps:txbx>
                      <wps:bodyPr upright="1"/>
                    </wps:wsp>
                  </a:graphicData>
                </a:graphic>
              </wp:anchor>
            </w:drawing>
          </mc:Choice>
          <mc:Fallback>
            <w:pict>
              <v:rect id="矩形 5" o:spid="_x0000_s1026" o:spt="1" style="position:absolute;left:0pt;margin-left:268.1pt;margin-top:-8.05pt;height:132.8pt;width:222.7pt;z-index:251668480;mso-width-relative:page;mso-height-relative:page;" fillcolor="#FFFFFF" filled="t" stroked="t" coordsize="21600,21600" o:gfxdata="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tmWBtoAAAALAQAADwAAAAAAAAABACAAAAAiAAAAZHJzL2Rvd25yZXYueG1sUEsBAhQAFAAAAAgA&#10;h07iQMZzLZHqAQAA3AMAAA4AAAAAAAAAAQAgAAAAKQEAAGRycy9lMm9Eb2MueG1sUEsFBgAAAAAG&#10;AAYAWQEAAIUFAAAAAA==&#10;">
                <v:fill on="t" focussize="0,0"/>
                <v:stroke color="#000000" joinstyle="miter"/>
                <v:imagedata o:title=""/>
                <o:lock v:ext="edit" aspectratio="f"/>
                <v:textbox>
                  <w:txbxContent>
                    <w:p>
                      <w:pPr>
                        <w:ind w:firstLine="840" w:firstLineChars="400"/>
                        <w:rPr>
                          <w:rFonts w:hint="eastAsia"/>
                        </w:rPr>
                      </w:pPr>
                    </w:p>
                    <w:p>
                      <w:pPr>
                        <w:ind w:firstLine="1680" w:firstLineChars="800"/>
                        <w:rPr>
                          <w:rFonts w:hint="eastAsia"/>
                        </w:rPr>
                      </w:pPr>
                      <w:r>
                        <w:rPr>
                          <w:rFonts w:hint="eastAsia"/>
                        </w:rPr>
                        <w:t>法定代表人</w:t>
                      </w:r>
                    </w:p>
                    <w:p>
                      <w:pPr>
                        <w:ind w:firstLine="1050" w:firstLineChars="500"/>
                      </w:pPr>
                      <w:r>
                        <w:rPr>
                          <w:rFonts w:hint="eastAsia"/>
                        </w:rPr>
                        <w:t>居民身份证复印件粘贴处</w:t>
                      </w:r>
                    </w:p>
                    <w:p>
                      <w:pPr>
                        <w:ind w:firstLine="1050" w:firstLineChars="500"/>
                      </w:pPr>
                    </w:p>
                    <w:p>
                      <w:pPr>
                        <w:ind w:firstLine="1050" w:firstLineChars="500"/>
                        <w:rPr>
                          <w:rFonts w:hint="eastAsia"/>
                        </w:rPr>
                      </w:pPr>
                      <w:r>
                        <w:rPr>
                          <w:rFonts w:hint="eastAsia"/>
                        </w:rPr>
                        <w:t xml:space="preserve">       （反面</w:t>
                      </w:r>
                      <w:r>
                        <w:t>）</w:t>
                      </w:r>
                    </w:p>
                  </w:txbxContent>
                </v:textbox>
              </v:rect>
            </w:pict>
          </mc:Fallback>
        </mc:AlternateContent>
      </w:r>
      <w:r>
        <w:rPr>
          <w:rFonts w:ascii="宋体" w:hAnsi="宋体"/>
          <w:color w:val="auto"/>
          <w:sz w:val="20"/>
          <w:highlight w:val="none"/>
        </w:rPr>
        <mc:AlternateContent>
          <mc:Choice Requires="wps">
            <w:drawing>
              <wp:anchor distT="0" distB="0" distL="114300" distR="114300" simplePos="0" relativeHeight="251664384" behindDoc="0" locked="0" layoutInCell="1" allowOverlap="1">
                <wp:simplePos x="0" y="0"/>
                <wp:positionH relativeFrom="column">
                  <wp:posOffset>499745</wp:posOffset>
                </wp:positionH>
                <wp:positionV relativeFrom="paragraph">
                  <wp:posOffset>-102235</wp:posOffset>
                </wp:positionV>
                <wp:extent cx="2828290" cy="1686560"/>
                <wp:effectExtent l="4445" t="4445" r="5715" b="23495"/>
                <wp:wrapNone/>
                <wp:docPr id="6" name="矩形 6"/>
                <wp:cNvGraphicFramePr/>
                <a:graphic xmlns:a="http://schemas.openxmlformats.org/drawingml/2006/main">
                  <a:graphicData uri="http://schemas.microsoft.com/office/word/2010/wordprocessingShape">
                    <wps:wsp>
                      <wps:cNvSpPr/>
                      <wps:spPr>
                        <a:xfrm>
                          <a:off x="0" y="0"/>
                          <a:ext cx="2828290" cy="1686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rPr>
                                <w:rFonts w:hint="eastAsia"/>
                              </w:rPr>
                            </w:pPr>
                          </w:p>
                          <w:p>
                            <w:pPr>
                              <w:ind w:firstLine="1680" w:firstLineChars="800"/>
                              <w:rPr>
                                <w:rFonts w:hint="eastAsia"/>
                              </w:rPr>
                            </w:pPr>
                            <w:r>
                              <w:rPr>
                                <w:rFonts w:hint="eastAsia"/>
                              </w:rPr>
                              <w:t>法定代表人</w:t>
                            </w:r>
                          </w:p>
                          <w:p>
                            <w:pPr>
                              <w:ind w:firstLine="1050" w:firstLineChars="500"/>
                            </w:pPr>
                            <w:r>
                              <w:rPr>
                                <w:rFonts w:hint="eastAsia"/>
                              </w:rPr>
                              <w:t>居民身份证复印件粘贴处</w:t>
                            </w:r>
                          </w:p>
                          <w:p>
                            <w:pPr>
                              <w:ind w:firstLine="1050" w:firstLineChars="500"/>
                            </w:pPr>
                          </w:p>
                          <w:p>
                            <w:pPr>
                              <w:rPr>
                                <w:rFonts w:hint="eastAsia"/>
                              </w:rPr>
                            </w:pPr>
                            <w:r>
                              <w:rPr>
                                <w:rFonts w:hint="eastAsia"/>
                              </w:rPr>
                              <w:t xml:space="preserve">                 （正面</w:t>
                            </w:r>
                            <w:r>
                              <w:t>）</w:t>
                            </w:r>
                          </w:p>
                        </w:txbxContent>
                      </wps:txbx>
                      <wps:bodyPr upright="1"/>
                    </wps:wsp>
                  </a:graphicData>
                </a:graphic>
              </wp:anchor>
            </w:drawing>
          </mc:Choice>
          <mc:Fallback>
            <w:pict>
              <v:rect id="_x0000_s1026" o:spid="_x0000_s1026" o:spt="1" style="position:absolute;left:0pt;margin-left:39.35pt;margin-top:-8.05pt;height:132.8pt;width:222.7pt;z-index:251664384;mso-width-relative:page;mso-height-relative:page;" fillcolor="#FFFFFF" filled="t" stroked="t" coordsize="21600,21600" o:gfxdata="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6&#10;zGLZAAAACgEAAA8AAAAAAAAAAQAgAAAAIgAAAGRycy9kb3ducmV2LnhtbFBLAQIUABQAAAAIAIdO&#10;4kC9OWcB6QEAANwDAAAOAAAAAAAAAAEAIAAAACgBAABkcnMvZTJvRG9jLnhtbFBLBQYAAAAABgAG&#10;AFkBAACDBQAAAAA=&#10;">
                <v:fill on="t" focussize="0,0"/>
                <v:stroke color="#000000" joinstyle="miter"/>
                <v:imagedata o:title=""/>
                <o:lock v:ext="edit" aspectratio="f"/>
                <v:textbox>
                  <w:txbxContent>
                    <w:p>
                      <w:pPr>
                        <w:ind w:firstLine="840" w:firstLineChars="400"/>
                        <w:rPr>
                          <w:rFonts w:hint="eastAsia"/>
                        </w:rPr>
                      </w:pPr>
                    </w:p>
                    <w:p>
                      <w:pPr>
                        <w:ind w:firstLine="1680" w:firstLineChars="800"/>
                        <w:rPr>
                          <w:rFonts w:hint="eastAsia"/>
                        </w:rPr>
                      </w:pPr>
                      <w:r>
                        <w:rPr>
                          <w:rFonts w:hint="eastAsia"/>
                        </w:rPr>
                        <w:t>法定代表人</w:t>
                      </w:r>
                    </w:p>
                    <w:p>
                      <w:pPr>
                        <w:ind w:firstLine="1050" w:firstLineChars="500"/>
                      </w:pPr>
                      <w:r>
                        <w:rPr>
                          <w:rFonts w:hint="eastAsia"/>
                        </w:rPr>
                        <w:t>居民身份证复印件粘贴处</w:t>
                      </w:r>
                    </w:p>
                    <w:p>
                      <w:pPr>
                        <w:ind w:firstLine="1050" w:firstLineChars="500"/>
                      </w:pPr>
                    </w:p>
                    <w:p>
                      <w:pPr>
                        <w:rPr>
                          <w:rFonts w:hint="eastAsia"/>
                        </w:rPr>
                      </w:pPr>
                      <w:r>
                        <w:rPr>
                          <w:rFonts w:hint="eastAsia"/>
                        </w:rPr>
                        <w:t xml:space="preserve">                 （正面</w:t>
                      </w:r>
                      <w:r>
                        <w:t>）</w:t>
                      </w:r>
                    </w:p>
                  </w:txbxContent>
                </v:textbox>
              </v:rect>
            </w:pict>
          </mc:Fallback>
        </mc:AlternateContent>
      </w:r>
    </w:p>
    <w:p>
      <w:pPr>
        <w:spacing w:line="500" w:lineRule="exact"/>
        <w:rPr>
          <w:rFonts w:hint="eastAsia" w:ascii="宋体"/>
          <w:b/>
          <w:bCs/>
          <w:color w:val="auto"/>
          <w:highlight w:val="none"/>
        </w:rPr>
      </w:pPr>
    </w:p>
    <w:p>
      <w:pPr>
        <w:spacing w:line="500" w:lineRule="exact"/>
        <w:rPr>
          <w:rFonts w:hint="eastAsia" w:ascii="宋体"/>
          <w:b/>
          <w:bCs/>
          <w:color w:val="auto"/>
          <w:highlight w:val="none"/>
        </w:rPr>
      </w:pPr>
    </w:p>
    <w:p>
      <w:pPr>
        <w:spacing w:line="500" w:lineRule="exact"/>
        <w:rPr>
          <w:rFonts w:hint="eastAsia" w:ascii="宋体"/>
          <w:b/>
          <w:bCs/>
          <w:color w:val="auto"/>
          <w:highlight w:val="none"/>
        </w:rPr>
      </w:pPr>
    </w:p>
    <w:p>
      <w:pPr>
        <w:spacing w:line="500" w:lineRule="exact"/>
        <w:rPr>
          <w:rFonts w:hint="eastAsia" w:ascii="宋体"/>
          <w:b/>
          <w:bCs/>
          <w:color w:val="auto"/>
          <w:highlight w:val="none"/>
        </w:rPr>
      </w:pPr>
    </w:p>
    <w:p>
      <w:pPr>
        <w:spacing w:line="500" w:lineRule="exact"/>
        <w:rPr>
          <w:rFonts w:hint="eastAsia" w:ascii="宋体"/>
          <w:b/>
          <w:bCs/>
          <w:color w:val="auto"/>
          <w:highlight w:val="none"/>
        </w:rPr>
      </w:pPr>
    </w:p>
    <w:p>
      <w:pPr>
        <w:spacing w:line="500" w:lineRule="exact"/>
        <w:rPr>
          <w:rFonts w:hint="eastAsia" w:ascii="宋体"/>
          <w:b/>
          <w:bCs/>
          <w:color w:val="auto"/>
          <w:highlight w:val="none"/>
        </w:rPr>
      </w:pPr>
    </w:p>
    <w:p>
      <w:pPr>
        <w:spacing w:line="500" w:lineRule="exact"/>
        <w:rPr>
          <w:rFonts w:hint="eastAsia" w:ascii="宋体"/>
          <w:b/>
          <w:bCs/>
          <w:color w:val="auto"/>
          <w:highlight w:val="none"/>
        </w:rPr>
      </w:pPr>
      <w:r>
        <w:rPr>
          <w:rFonts w:hint="eastAsia" w:ascii="宋体"/>
          <w:b/>
          <w:bCs/>
          <w:color w:val="auto"/>
          <w:highlight w:val="none"/>
        </w:rPr>
        <w:t xml:space="preserve">                         </w:t>
      </w:r>
    </w:p>
    <w:p>
      <w:pPr>
        <w:spacing w:line="500" w:lineRule="exact"/>
        <w:rPr>
          <w:rFonts w:hint="eastAsia" w:ascii="宋体" w:hAnsi="宋体"/>
          <w:color w:val="auto"/>
          <w:highlight w:val="none"/>
        </w:rPr>
      </w:pPr>
      <w:r>
        <w:rPr>
          <w:rFonts w:hint="eastAsia" w:ascii="宋体"/>
          <w:b/>
          <w:bCs/>
          <w:color w:val="auto"/>
          <w:highlight w:val="none"/>
        </w:rPr>
        <w:t xml:space="preserve">                                           </w:t>
      </w:r>
      <w:r>
        <w:rPr>
          <w:rFonts w:hint="eastAsia" w:ascii="宋体" w:hAnsi="宋体"/>
          <w:color w:val="auto"/>
          <w:highlight w:val="none"/>
        </w:rPr>
        <w:t>投标人名称：（盖公章）：</w:t>
      </w:r>
    </w:p>
    <w:p>
      <w:pPr>
        <w:spacing w:line="500" w:lineRule="exact"/>
        <w:rPr>
          <w:rFonts w:hint="eastAsia" w:ascii="宋体" w:hAnsi="宋体"/>
          <w:color w:val="auto"/>
          <w:highlight w:val="none"/>
        </w:rPr>
      </w:pPr>
      <w:r>
        <w:rPr>
          <w:rFonts w:hint="eastAsia" w:ascii="宋体" w:hAnsi="宋体"/>
          <w:color w:val="auto"/>
          <w:highlight w:val="none"/>
        </w:rPr>
        <w:t xml:space="preserve">                                           地址：</w:t>
      </w:r>
    </w:p>
    <w:p>
      <w:pPr>
        <w:spacing w:line="500" w:lineRule="exact"/>
        <w:rPr>
          <w:rFonts w:hint="eastAsia" w:ascii="宋体"/>
          <w:b/>
          <w:bCs/>
          <w:color w:val="auto"/>
          <w:highlight w:val="none"/>
        </w:rPr>
      </w:pPr>
      <w:r>
        <w:rPr>
          <w:rFonts w:hint="eastAsia" w:ascii="宋体" w:hAnsi="宋体"/>
          <w:color w:val="auto"/>
          <w:highlight w:val="none"/>
        </w:rPr>
        <w:t xml:space="preserve">                                           日期：</w:t>
      </w:r>
    </w:p>
    <w:p>
      <w:pPr>
        <w:spacing w:line="500" w:lineRule="exact"/>
        <w:rPr>
          <w:rFonts w:ascii="宋体"/>
          <w:b/>
          <w:bCs/>
          <w:color w:val="auto"/>
          <w:highlight w:val="none"/>
        </w:rPr>
        <w:sectPr>
          <w:pgSz w:w="11906" w:h="16838"/>
          <w:pgMar w:top="1134" w:right="1134" w:bottom="1134" w:left="1134" w:header="657" w:footer="481" w:gutter="0"/>
          <w:cols w:space="720" w:num="1"/>
          <w:docGrid w:linePitch="312" w:charSpace="0"/>
        </w:sectPr>
      </w:pPr>
    </w:p>
    <w:p>
      <w:pPr>
        <w:numPr>
          <w:ilvl w:val="0"/>
          <w:numId w:val="57"/>
        </w:numPr>
        <w:spacing w:line="440" w:lineRule="exact"/>
        <w:rPr>
          <w:rFonts w:hint="eastAsia" w:ascii="黑体" w:eastAsia="黑体"/>
          <w:bCs/>
          <w:color w:val="auto"/>
          <w:sz w:val="28"/>
          <w:highlight w:val="none"/>
        </w:rPr>
      </w:pPr>
    </w:p>
    <w:p>
      <w:pPr>
        <w:pStyle w:val="3"/>
        <w:adjustRightInd w:val="0"/>
        <w:snapToGrid w:val="0"/>
        <w:spacing w:before="120" w:beforeLines="50" w:after="120" w:afterLines="50" w:line="360" w:lineRule="auto"/>
        <w:jc w:val="center"/>
        <w:rPr>
          <w:rFonts w:hint="eastAsia"/>
          <w:b w:val="0"/>
          <w:color w:val="auto"/>
          <w:highlight w:val="none"/>
        </w:rPr>
      </w:pPr>
      <w:r>
        <w:rPr>
          <w:rFonts w:hint="eastAsia"/>
          <w:b w:val="0"/>
          <w:color w:val="auto"/>
          <w:highlight w:val="none"/>
        </w:rPr>
        <w:t>开标一览表(报价表)</w:t>
      </w:r>
    </w:p>
    <w:p>
      <w:pPr>
        <w:tabs>
          <w:tab w:val="left" w:pos="7740"/>
        </w:tabs>
        <w:adjustRightInd w:val="0"/>
        <w:snapToGrid w:val="0"/>
        <w:rPr>
          <w:rFonts w:ascii="宋体" w:hAnsi="宋体"/>
          <w:color w:val="auto"/>
          <w:sz w:val="24"/>
          <w:highlight w:val="none"/>
        </w:rPr>
      </w:pPr>
      <w:r>
        <w:rPr>
          <w:rFonts w:hint="eastAsia" w:ascii="宋体" w:hAnsi="宋体"/>
          <w:color w:val="auto"/>
          <w:highlight w:val="none"/>
        </w:rPr>
        <w:t>投标人名称：                                               项目编号：</w:t>
      </w:r>
      <w:r>
        <w:rPr>
          <w:rFonts w:hint="eastAsia" w:ascii="宋体" w:hAnsi="宋体"/>
          <w:color w:val="auto"/>
          <w:highlight w:val="none"/>
          <w:lang w:eastAsia="zh-CN"/>
        </w:rPr>
        <w:t>GDZC-18GZ057</w:t>
      </w:r>
    </w:p>
    <w:tbl>
      <w:tblPr>
        <w:tblStyle w:val="17"/>
        <w:tblW w:w="969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3018"/>
        <w:gridCol w:w="2992"/>
        <w:gridCol w:w="22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452" w:type="dxa"/>
            <w:tcBorders>
              <w:top w:val="single" w:color="auto" w:sz="12" w:space="0"/>
              <w:bottom w:val="double" w:color="auto" w:sz="4" w:space="0"/>
            </w:tcBorders>
            <w:shd w:val="clear" w:color="auto" w:fill="EEECE1"/>
            <w:vAlign w:val="center"/>
          </w:tcPr>
          <w:p>
            <w:pPr>
              <w:spacing w:line="360" w:lineRule="auto"/>
              <w:jc w:val="center"/>
              <w:rPr>
                <w:rFonts w:hint="eastAsia" w:ascii="宋体"/>
                <w:b/>
                <w:color w:val="auto"/>
                <w:szCs w:val="21"/>
                <w:highlight w:val="none"/>
              </w:rPr>
            </w:pPr>
            <w:r>
              <w:rPr>
                <w:rFonts w:hint="eastAsia" w:ascii="宋体"/>
                <w:b/>
                <w:color w:val="auto"/>
                <w:szCs w:val="21"/>
                <w:highlight w:val="none"/>
              </w:rPr>
              <w:t>采购内容</w:t>
            </w:r>
          </w:p>
        </w:tc>
        <w:tc>
          <w:tcPr>
            <w:tcW w:w="3018" w:type="dxa"/>
            <w:tcBorders>
              <w:top w:val="single" w:color="auto" w:sz="12" w:space="0"/>
              <w:bottom w:val="double" w:color="auto" w:sz="4" w:space="0"/>
            </w:tcBorders>
            <w:shd w:val="clear" w:color="auto" w:fill="EEECE1"/>
            <w:vAlign w:val="center"/>
          </w:tcPr>
          <w:p>
            <w:pPr>
              <w:spacing w:line="360" w:lineRule="auto"/>
              <w:jc w:val="center"/>
              <w:rPr>
                <w:rFonts w:hint="eastAsia" w:ascii="宋体" w:eastAsia="宋体"/>
                <w:b/>
                <w:color w:val="auto"/>
                <w:szCs w:val="21"/>
                <w:highlight w:val="none"/>
                <w:lang w:eastAsia="zh-CN"/>
              </w:rPr>
            </w:pPr>
            <w:r>
              <w:rPr>
                <w:rFonts w:hint="eastAsia" w:ascii="宋体"/>
                <w:b/>
                <w:color w:val="auto"/>
                <w:szCs w:val="21"/>
                <w:highlight w:val="none"/>
                <w:lang w:eastAsia="zh-CN"/>
              </w:rPr>
              <w:t>用户单位</w:t>
            </w:r>
          </w:p>
        </w:tc>
        <w:tc>
          <w:tcPr>
            <w:tcW w:w="2992" w:type="dxa"/>
            <w:tcBorders>
              <w:top w:val="single" w:color="auto" w:sz="12" w:space="0"/>
              <w:bottom w:val="double" w:color="auto" w:sz="4" w:space="0"/>
            </w:tcBorders>
            <w:shd w:val="clear" w:color="auto" w:fill="EEECE1"/>
            <w:vAlign w:val="center"/>
          </w:tcPr>
          <w:p>
            <w:pPr>
              <w:spacing w:line="360" w:lineRule="auto"/>
              <w:jc w:val="center"/>
              <w:rPr>
                <w:rFonts w:hint="eastAsia" w:ascii="宋体"/>
                <w:b/>
                <w:color w:val="auto"/>
                <w:szCs w:val="21"/>
                <w:highlight w:val="none"/>
              </w:rPr>
            </w:pPr>
            <w:r>
              <w:rPr>
                <w:rFonts w:hint="eastAsia" w:ascii="宋体"/>
                <w:b/>
                <w:color w:val="auto"/>
                <w:szCs w:val="21"/>
                <w:highlight w:val="none"/>
              </w:rPr>
              <w:t>投标报价</w:t>
            </w:r>
          </w:p>
          <w:p>
            <w:pPr>
              <w:spacing w:line="360" w:lineRule="auto"/>
              <w:jc w:val="center"/>
              <w:rPr>
                <w:rFonts w:hint="eastAsia" w:ascii="宋体"/>
                <w:b/>
                <w:color w:val="auto"/>
                <w:szCs w:val="21"/>
                <w:highlight w:val="none"/>
              </w:rPr>
            </w:pPr>
            <w:r>
              <w:rPr>
                <w:rFonts w:hint="eastAsia" w:ascii="宋体"/>
                <w:b/>
                <w:color w:val="auto"/>
                <w:szCs w:val="21"/>
                <w:highlight w:val="none"/>
              </w:rPr>
              <w:t>（人民币 元）</w:t>
            </w:r>
          </w:p>
        </w:tc>
        <w:tc>
          <w:tcPr>
            <w:tcW w:w="2228" w:type="dxa"/>
            <w:tcBorders>
              <w:top w:val="single" w:color="auto" w:sz="12" w:space="0"/>
              <w:bottom w:val="double" w:color="auto" w:sz="4" w:space="0"/>
            </w:tcBorders>
            <w:shd w:val="clear" w:color="auto" w:fill="EEECE1"/>
            <w:vAlign w:val="center"/>
          </w:tcPr>
          <w:p>
            <w:pPr>
              <w:spacing w:line="360" w:lineRule="auto"/>
              <w:jc w:val="center"/>
              <w:rPr>
                <w:rFonts w:hint="eastAsia" w:ascii="宋体"/>
                <w:b/>
                <w:color w:val="auto"/>
                <w:szCs w:val="21"/>
                <w:highlight w:val="none"/>
              </w:rPr>
            </w:pPr>
            <w:r>
              <w:rPr>
                <w:rFonts w:hint="eastAsia" w:ascii="宋体"/>
                <w:b/>
                <w:color w:val="auto"/>
                <w:szCs w:val="21"/>
                <w:highlight w:val="none"/>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1452" w:type="dxa"/>
            <w:vMerge w:val="restart"/>
            <w:tcBorders>
              <w:top w:val="double" w:color="auto" w:sz="4" w:space="0"/>
            </w:tcBorders>
            <w:vAlign w:val="center"/>
          </w:tcPr>
          <w:p>
            <w:pPr>
              <w:spacing w:line="360" w:lineRule="auto"/>
              <w:jc w:val="center"/>
              <w:rPr>
                <w:rFonts w:hint="eastAsia" w:ascii="宋体"/>
                <w:bCs/>
                <w:color w:val="auto"/>
                <w:szCs w:val="21"/>
                <w:highlight w:val="none"/>
              </w:rPr>
            </w:pPr>
            <w:r>
              <w:rPr>
                <w:rFonts w:hint="eastAsia" w:ascii="宋体" w:hAnsi="等线" w:cs="宋体"/>
                <w:color w:val="auto"/>
                <w:kern w:val="0"/>
                <w:szCs w:val="21"/>
                <w:highlight w:val="none"/>
              </w:rPr>
              <w:t>数字档案管理系统及配套服务、设备采购</w:t>
            </w:r>
          </w:p>
        </w:tc>
        <w:tc>
          <w:tcPr>
            <w:tcW w:w="3018" w:type="dxa"/>
            <w:tcBorders>
              <w:top w:val="double" w:color="auto" w:sz="4" w:space="0"/>
              <w:bottom w:val="single" w:color="auto" w:sz="4" w:space="0"/>
            </w:tcBorders>
            <w:vAlign w:val="center"/>
          </w:tcPr>
          <w:p>
            <w:pPr>
              <w:spacing w:line="240" w:lineRule="auto"/>
              <w:jc w:val="center"/>
              <w:rPr>
                <w:rFonts w:hint="eastAsia" w:ascii="宋体"/>
                <w:bCs/>
                <w:color w:val="auto"/>
                <w:szCs w:val="21"/>
                <w:highlight w:val="none"/>
              </w:rPr>
            </w:pPr>
            <w:r>
              <w:rPr>
                <w:rFonts w:hint="eastAsia" w:ascii="宋体" w:hAnsi="宋体"/>
                <w:color w:val="auto"/>
                <w:highlight w:val="none"/>
                <w:lang w:eastAsia="zh-CN"/>
              </w:rPr>
              <w:t>佛山市南海区铁路投资有限公司</w:t>
            </w:r>
          </w:p>
        </w:tc>
        <w:tc>
          <w:tcPr>
            <w:tcW w:w="2992" w:type="dxa"/>
            <w:tcBorders>
              <w:top w:val="double" w:color="auto" w:sz="4" w:space="0"/>
              <w:bottom w:val="single" w:color="auto" w:sz="4" w:space="0"/>
            </w:tcBorders>
            <w:vAlign w:val="center"/>
          </w:tcPr>
          <w:p>
            <w:pPr>
              <w:spacing w:line="360" w:lineRule="auto"/>
              <w:rPr>
                <w:rFonts w:ascii="宋体"/>
                <w:bCs/>
                <w:color w:val="auto"/>
                <w:szCs w:val="21"/>
                <w:highlight w:val="none"/>
                <w:u w:val="single"/>
              </w:rPr>
            </w:pPr>
            <w:r>
              <w:rPr>
                <w:rFonts w:hint="eastAsia" w:ascii="宋体"/>
                <w:bCs/>
                <w:color w:val="auto"/>
                <w:szCs w:val="21"/>
                <w:highlight w:val="none"/>
              </w:rPr>
              <w:t>小写：RMB</w:t>
            </w:r>
            <w:r>
              <w:rPr>
                <w:rFonts w:hint="eastAsia" w:ascii="宋体"/>
                <w:bCs/>
                <w:color w:val="auto"/>
                <w:szCs w:val="21"/>
                <w:highlight w:val="none"/>
                <w:u w:val="single"/>
              </w:rPr>
              <w:t xml:space="preserve">                                 </w:t>
            </w:r>
          </w:p>
          <w:p>
            <w:pPr>
              <w:spacing w:line="360" w:lineRule="auto"/>
              <w:rPr>
                <w:rFonts w:hint="eastAsia" w:ascii="宋体"/>
                <w:bCs/>
                <w:color w:val="auto"/>
                <w:szCs w:val="21"/>
                <w:highlight w:val="none"/>
                <w:u w:val="single"/>
              </w:rPr>
            </w:pPr>
            <w:r>
              <w:rPr>
                <w:rFonts w:hint="eastAsia" w:ascii="宋体"/>
                <w:bCs/>
                <w:color w:val="auto"/>
                <w:szCs w:val="21"/>
                <w:highlight w:val="none"/>
              </w:rPr>
              <w:t>大写：</w:t>
            </w:r>
            <w:r>
              <w:rPr>
                <w:rFonts w:hint="eastAsia" w:ascii="宋体"/>
                <w:bCs/>
                <w:color w:val="auto"/>
                <w:szCs w:val="21"/>
                <w:highlight w:val="none"/>
                <w:u w:val="single"/>
              </w:rPr>
              <w:t xml:space="preserve">                                    </w:t>
            </w:r>
          </w:p>
        </w:tc>
        <w:tc>
          <w:tcPr>
            <w:tcW w:w="2228" w:type="dxa"/>
            <w:tcBorders>
              <w:top w:val="double" w:color="auto" w:sz="4" w:space="0"/>
              <w:bottom w:val="single" w:color="auto" w:sz="4" w:space="0"/>
            </w:tcBorders>
            <w:vAlign w:val="center"/>
          </w:tcPr>
          <w:p>
            <w:pPr>
              <w:spacing w:line="240" w:lineRule="auto"/>
              <w:jc w:val="center"/>
              <w:rPr>
                <w:rFonts w:hint="eastAsia" w:ascii="宋体"/>
                <w:bCs/>
                <w:color w:val="auto"/>
                <w:szCs w:val="21"/>
                <w:highlight w:val="none"/>
              </w:rPr>
            </w:pPr>
            <w:r>
              <w:rPr>
                <w:rFonts w:hint="eastAsia" w:ascii="宋体" w:hAnsi="宋体" w:eastAsia="宋体" w:cs="宋体"/>
                <w:snapToGrid/>
                <w:color w:val="auto"/>
                <w:spacing w:val="0"/>
                <w:kern w:val="2"/>
                <w:sz w:val="21"/>
                <w:szCs w:val="24"/>
                <w:highlight w:val="none"/>
                <w:lang w:val="en-US" w:eastAsia="zh-CN"/>
              </w:rPr>
              <w:t>自合同签订之日起2年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92" w:hRule="atLeast"/>
        </w:trPr>
        <w:tc>
          <w:tcPr>
            <w:tcW w:w="1452" w:type="dxa"/>
            <w:vMerge w:val="continue"/>
            <w:vAlign w:val="center"/>
          </w:tcPr>
          <w:p>
            <w:pPr>
              <w:spacing w:line="360" w:lineRule="auto"/>
              <w:jc w:val="center"/>
              <w:rPr>
                <w:rFonts w:hint="eastAsia" w:ascii="宋体"/>
                <w:bCs/>
                <w:color w:val="auto"/>
                <w:szCs w:val="21"/>
                <w:highlight w:val="none"/>
              </w:rPr>
            </w:pPr>
          </w:p>
        </w:tc>
        <w:tc>
          <w:tcPr>
            <w:tcW w:w="3018" w:type="dxa"/>
            <w:tcBorders>
              <w:top w:val="single" w:color="auto" w:sz="4" w:space="0"/>
              <w:bottom w:val="single" w:color="auto" w:sz="4" w:space="0"/>
            </w:tcBorders>
            <w:vAlign w:val="center"/>
          </w:tcPr>
          <w:p>
            <w:pPr>
              <w:spacing w:line="240" w:lineRule="auto"/>
              <w:jc w:val="center"/>
              <w:rPr>
                <w:rFonts w:hint="eastAsia" w:ascii="宋体"/>
                <w:bCs/>
                <w:color w:val="auto"/>
                <w:szCs w:val="21"/>
                <w:highlight w:val="none"/>
              </w:rPr>
            </w:pPr>
            <w:r>
              <w:rPr>
                <w:rFonts w:hint="eastAsia" w:ascii="宋体" w:hAnsi="宋体" w:eastAsia="宋体" w:cs="宋体"/>
                <w:color w:val="auto"/>
                <w:sz w:val="21"/>
                <w:szCs w:val="21"/>
                <w:highlight w:val="none"/>
                <w:lang w:val="en-US" w:eastAsia="zh-CN"/>
              </w:rPr>
              <w:t>佛山市南海区佛山西站投资建设有限公司</w:t>
            </w:r>
          </w:p>
        </w:tc>
        <w:tc>
          <w:tcPr>
            <w:tcW w:w="2992" w:type="dxa"/>
            <w:tcBorders>
              <w:top w:val="single" w:color="auto" w:sz="4" w:space="0"/>
              <w:bottom w:val="single" w:color="auto" w:sz="4" w:space="0"/>
            </w:tcBorders>
            <w:vAlign w:val="center"/>
          </w:tcPr>
          <w:p>
            <w:pPr>
              <w:spacing w:line="360" w:lineRule="auto"/>
              <w:rPr>
                <w:rFonts w:ascii="宋体"/>
                <w:bCs/>
                <w:color w:val="auto"/>
                <w:szCs w:val="21"/>
                <w:highlight w:val="none"/>
                <w:u w:val="single"/>
              </w:rPr>
            </w:pPr>
            <w:r>
              <w:rPr>
                <w:rFonts w:hint="eastAsia" w:ascii="宋体"/>
                <w:bCs/>
                <w:color w:val="auto"/>
                <w:szCs w:val="21"/>
                <w:highlight w:val="none"/>
              </w:rPr>
              <w:t>小写：RMB</w:t>
            </w:r>
            <w:r>
              <w:rPr>
                <w:rFonts w:hint="eastAsia" w:ascii="宋体"/>
                <w:bCs/>
                <w:color w:val="auto"/>
                <w:szCs w:val="21"/>
                <w:highlight w:val="none"/>
                <w:u w:val="single"/>
              </w:rPr>
              <w:t xml:space="preserve">                                 </w:t>
            </w:r>
          </w:p>
          <w:p>
            <w:pPr>
              <w:spacing w:line="360" w:lineRule="auto"/>
              <w:rPr>
                <w:rFonts w:hint="eastAsia" w:ascii="宋体"/>
                <w:bCs/>
                <w:color w:val="auto"/>
                <w:szCs w:val="21"/>
                <w:highlight w:val="none"/>
                <w:u w:val="single"/>
              </w:rPr>
            </w:pPr>
            <w:r>
              <w:rPr>
                <w:rFonts w:hint="eastAsia" w:ascii="宋体"/>
                <w:bCs/>
                <w:color w:val="auto"/>
                <w:szCs w:val="21"/>
                <w:highlight w:val="none"/>
              </w:rPr>
              <w:t>大写：</w:t>
            </w:r>
            <w:r>
              <w:rPr>
                <w:rFonts w:hint="eastAsia" w:ascii="宋体"/>
                <w:bCs/>
                <w:color w:val="auto"/>
                <w:szCs w:val="21"/>
                <w:highlight w:val="none"/>
                <w:u w:val="single"/>
              </w:rPr>
              <w:t xml:space="preserve">                                    </w:t>
            </w:r>
          </w:p>
        </w:tc>
        <w:tc>
          <w:tcPr>
            <w:tcW w:w="2228" w:type="dxa"/>
            <w:tcBorders>
              <w:top w:val="single" w:color="auto" w:sz="4" w:space="0"/>
              <w:bottom w:val="single" w:color="auto" w:sz="4" w:space="0"/>
            </w:tcBorders>
            <w:vAlign w:val="center"/>
          </w:tcPr>
          <w:p>
            <w:pPr>
              <w:spacing w:line="240" w:lineRule="auto"/>
              <w:jc w:val="center"/>
              <w:rPr>
                <w:rFonts w:hint="eastAsia" w:ascii="宋体"/>
                <w:bCs/>
                <w:color w:val="auto"/>
                <w:szCs w:val="21"/>
                <w:highlight w:val="none"/>
              </w:rPr>
            </w:pPr>
            <w:r>
              <w:rPr>
                <w:rFonts w:hint="eastAsia" w:ascii="宋体" w:hAnsi="宋体" w:eastAsia="宋体" w:cs="宋体"/>
                <w:snapToGrid/>
                <w:color w:val="auto"/>
                <w:spacing w:val="0"/>
                <w:kern w:val="2"/>
                <w:sz w:val="21"/>
                <w:szCs w:val="24"/>
                <w:highlight w:val="none"/>
                <w:lang w:val="en-US" w:eastAsia="zh-CN"/>
              </w:rPr>
              <w:t>自合同签订之日起2年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92" w:hRule="atLeast"/>
        </w:trPr>
        <w:tc>
          <w:tcPr>
            <w:tcW w:w="1452" w:type="dxa"/>
            <w:vMerge w:val="continue"/>
            <w:vAlign w:val="center"/>
          </w:tcPr>
          <w:p>
            <w:pPr>
              <w:spacing w:line="360" w:lineRule="auto"/>
              <w:jc w:val="center"/>
              <w:rPr>
                <w:rFonts w:hint="eastAsia" w:ascii="宋体"/>
                <w:bCs/>
                <w:color w:val="auto"/>
                <w:szCs w:val="21"/>
                <w:highlight w:val="none"/>
              </w:rPr>
            </w:pPr>
          </w:p>
        </w:tc>
        <w:tc>
          <w:tcPr>
            <w:tcW w:w="3018" w:type="dxa"/>
            <w:tcBorders>
              <w:top w:val="single" w:color="auto" w:sz="4" w:space="0"/>
              <w:bottom w:val="single" w:color="auto" w:sz="4" w:space="0"/>
            </w:tcBorders>
            <w:vAlign w:val="center"/>
          </w:tcPr>
          <w:p>
            <w:pPr>
              <w:spacing w:line="240" w:lineRule="auto"/>
              <w:jc w:val="center"/>
              <w:rPr>
                <w:rFonts w:hint="eastAsia" w:ascii="宋体"/>
                <w:bCs/>
                <w:color w:val="auto"/>
                <w:szCs w:val="21"/>
                <w:highlight w:val="none"/>
              </w:rPr>
            </w:pPr>
            <w:r>
              <w:rPr>
                <w:rFonts w:hint="eastAsia" w:ascii="宋体" w:hAnsi="宋体" w:eastAsia="宋体" w:cs="宋体"/>
                <w:color w:val="auto"/>
                <w:sz w:val="21"/>
                <w:szCs w:val="21"/>
                <w:highlight w:val="none"/>
                <w:lang w:val="en-US" w:eastAsia="zh-CN"/>
              </w:rPr>
              <w:t>佛山市南海大业佳诚投资有限公司</w:t>
            </w:r>
          </w:p>
        </w:tc>
        <w:tc>
          <w:tcPr>
            <w:tcW w:w="2992" w:type="dxa"/>
            <w:tcBorders>
              <w:top w:val="single" w:color="auto" w:sz="4" w:space="0"/>
              <w:bottom w:val="single" w:color="auto" w:sz="4" w:space="0"/>
            </w:tcBorders>
            <w:vAlign w:val="center"/>
          </w:tcPr>
          <w:p>
            <w:pPr>
              <w:spacing w:line="360" w:lineRule="auto"/>
              <w:rPr>
                <w:rFonts w:ascii="宋体"/>
                <w:bCs/>
                <w:color w:val="auto"/>
                <w:szCs w:val="21"/>
                <w:highlight w:val="none"/>
                <w:u w:val="single"/>
              </w:rPr>
            </w:pPr>
            <w:r>
              <w:rPr>
                <w:rFonts w:hint="eastAsia" w:ascii="宋体"/>
                <w:bCs/>
                <w:color w:val="auto"/>
                <w:szCs w:val="21"/>
                <w:highlight w:val="none"/>
              </w:rPr>
              <w:t>小写：RMB</w:t>
            </w:r>
            <w:r>
              <w:rPr>
                <w:rFonts w:hint="eastAsia" w:ascii="宋体"/>
                <w:bCs/>
                <w:color w:val="auto"/>
                <w:szCs w:val="21"/>
                <w:highlight w:val="none"/>
                <w:u w:val="single"/>
              </w:rPr>
              <w:t xml:space="preserve">                                 </w:t>
            </w:r>
          </w:p>
          <w:p>
            <w:pPr>
              <w:spacing w:line="360" w:lineRule="auto"/>
              <w:rPr>
                <w:rFonts w:hint="eastAsia" w:ascii="宋体"/>
                <w:bCs/>
                <w:color w:val="auto"/>
                <w:szCs w:val="21"/>
                <w:highlight w:val="none"/>
              </w:rPr>
            </w:pPr>
            <w:r>
              <w:rPr>
                <w:rFonts w:hint="eastAsia" w:ascii="宋体"/>
                <w:bCs/>
                <w:color w:val="auto"/>
                <w:szCs w:val="21"/>
                <w:highlight w:val="none"/>
              </w:rPr>
              <w:t>大写：</w:t>
            </w:r>
            <w:r>
              <w:rPr>
                <w:rFonts w:hint="eastAsia" w:ascii="宋体"/>
                <w:bCs/>
                <w:color w:val="auto"/>
                <w:szCs w:val="21"/>
                <w:highlight w:val="none"/>
                <w:u w:val="single"/>
              </w:rPr>
              <w:t xml:space="preserve">                     </w:t>
            </w:r>
          </w:p>
        </w:tc>
        <w:tc>
          <w:tcPr>
            <w:tcW w:w="2228" w:type="dxa"/>
            <w:tcBorders>
              <w:top w:val="single" w:color="auto" w:sz="4" w:space="0"/>
              <w:bottom w:val="single" w:color="auto" w:sz="4" w:space="0"/>
            </w:tcBorders>
            <w:vAlign w:val="center"/>
          </w:tcPr>
          <w:p>
            <w:pPr>
              <w:spacing w:line="240" w:lineRule="auto"/>
              <w:jc w:val="center"/>
              <w:rPr>
                <w:rFonts w:hint="eastAsia" w:ascii="宋体" w:hAnsi="宋体"/>
                <w:color w:val="auto"/>
                <w:szCs w:val="21"/>
                <w:highlight w:val="none"/>
              </w:rPr>
            </w:pPr>
            <w:r>
              <w:rPr>
                <w:rFonts w:hint="eastAsia" w:ascii="宋体" w:hAnsi="宋体" w:eastAsia="宋体" w:cs="宋体"/>
                <w:snapToGrid/>
                <w:color w:val="auto"/>
                <w:spacing w:val="0"/>
                <w:kern w:val="2"/>
                <w:sz w:val="21"/>
                <w:szCs w:val="24"/>
                <w:highlight w:val="none"/>
                <w:lang w:val="en-US" w:eastAsia="zh-CN"/>
              </w:rPr>
              <w:t>自合同签订之日起2年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92" w:hRule="atLeast"/>
        </w:trPr>
        <w:tc>
          <w:tcPr>
            <w:tcW w:w="4470" w:type="dxa"/>
            <w:gridSpan w:val="2"/>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合计：</w:t>
            </w:r>
          </w:p>
        </w:tc>
        <w:tc>
          <w:tcPr>
            <w:tcW w:w="5220" w:type="dxa"/>
            <w:gridSpan w:val="2"/>
            <w:tcBorders>
              <w:top w:val="single" w:color="auto" w:sz="4" w:space="0"/>
            </w:tcBorders>
            <w:vAlign w:val="center"/>
          </w:tcPr>
          <w:p>
            <w:pPr>
              <w:spacing w:line="360" w:lineRule="auto"/>
              <w:rPr>
                <w:rFonts w:ascii="宋体"/>
                <w:bCs/>
                <w:color w:val="auto"/>
                <w:szCs w:val="21"/>
                <w:highlight w:val="none"/>
                <w:u w:val="single"/>
              </w:rPr>
            </w:pPr>
            <w:r>
              <w:rPr>
                <w:rFonts w:hint="eastAsia" w:ascii="宋体"/>
                <w:bCs/>
                <w:color w:val="auto"/>
                <w:szCs w:val="21"/>
                <w:highlight w:val="none"/>
              </w:rPr>
              <w:t>小写：RMB</w:t>
            </w:r>
            <w:r>
              <w:rPr>
                <w:rFonts w:hint="eastAsia" w:ascii="宋体"/>
                <w:bCs/>
                <w:color w:val="auto"/>
                <w:szCs w:val="21"/>
                <w:highlight w:val="none"/>
                <w:u w:val="single"/>
              </w:rPr>
              <w:t xml:space="preserve">                                 </w:t>
            </w:r>
          </w:p>
          <w:p>
            <w:pPr>
              <w:spacing w:line="240" w:lineRule="auto"/>
              <w:jc w:val="left"/>
              <w:rPr>
                <w:rFonts w:hint="eastAsia" w:ascii="宋体" w:hAnsi="宋体" w:eastAsia="宋体" w:cs="宋体"/>
                <w:snapToGrid/>
                <w:color w:val="auto"/>
                <w:spacing w:val="0"/>
                <w:kern w:val="2"/>
                <w:sz w:val="21"/>
                <w:szCs w:val="24"/>
                <w:highlight w:val="none"/>
                <w:lang w:val="en-US" w:eastAsia="zh-CN"/>
              </w:rPr>
            </w:pPr>
            <w:r>
              <w:rPr>
                <w:rFonts w:hint="eastAsia" w:ascii="宋体"/>
                <w:bCs/>
                <w:color w:val="auto"/>
                <w:szCs w:val="21"/>
                <w:highlight w:val="none"/>
              </w:rPr>
              <w:t>大写：</w:t>
            </w:r>
            <w:r>
              <w:rPr>
                <w:rFonts w:hint="eastAsia" w:ascii="宋体"/>
                <w:bCs/>
                <w:color w:val="auto"/>
                <w:szCs w:val="21"/>
                <w:highlight w:val="none"/>
                <w:u w:val="single"/>
              </w:rPr>
              <w:t xml:space="preserve">                     </w:t>
            </w:r>
          </w:p>
        </w:tc>
      </w:tr>
    </w:tbl>
    <w:p>
      <w:pPr>
        <w:spacing w:line="500" w:lineRule="exact"/>
        <w:ind w:firstLine="436" w:firstLineChars="200"/>
        <w:rPr>
          <w:rFonts w:hint="eastAsia"/>
          <w:color w:val="auto"/>
          <w:spacing w:val="4"/>
          <w:highlight w:val="none"/>
        </w:rPr>
      </w:pPr>
    </w:p>
    <w:p>
      <w:pPr>
        <w:spacing w:line="500" w:lineRule="exact"/>
        <w:rPr>
          <w:rFonts w:hint="eastAsia" w:ascii="宋体" w:hAnsi="宋体"/>
          <w:color w:val="auto"/>
          <w:highlight w:val="none"/>
          <w:u w:val="single"/>
        </w:rPr>
      </w:pPr>
      <w:r>
        <w:rPr>
          <w:rFonts w:hint="eastAsia"/>
          <w:color w:val="auto"/>
          <w:spacing w:val="4"/>
          <w:highlight w:val="none"/>
        </w:rPr>
        <w:t>投标人名称（盖公章）：</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rFonts w:hint="eastAsia"/>
          <w:color w:val="auto"/>
          <w:spacing w:val="4"/>
          <w:highlight w:val="non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spacing w:line="400" w:lineRule="exact"/>
        <w:rPr>
          <w:rFonts w:hint="eastAsia" w:ascii="宋体" w:hAnsi="宋体"/>
          <w:b/>
          <w:bCs/>
          <w:color w:val="auto"/>
          <w:sz w:val="28"/>
          <w:highlight w:val="none"/>
        </w:rPr>
      </w:pPr>
    </w:p>
    <w:p>
      <w:pPr>
        <w:spacing w:line="400" w:lineRule="exact"/>
        <w:rPr>
          <w:rFonts w:hint="eastAsia" w:ascii="宋体" w:hAnsi="宋体"/>
          <w:b/>
          <w:bCs/>
          <w:color w:val="auto"/>
          <w:szCs w:val="21"/>
          <w:highlight w:val="none"/>
        </w:rPr>
      </w:pPr>
      <w:r>
        <w:rPr>
          <w:rFonts w:hint="eastAsia" w:ascii="宋体" w:hAnsi="宋体"/>
          <w:b/>
          <w:bCs/>
          <w:color w:val="auto"/>
          <w:szCs w:val="21"/>
          <w:highlight w:val="none"/>
        </w:rPr>
        <w:t>备注：</w:t>
      </w:r>
    </w:p>
    <w:p>
      <w:pPr>
        <w:numPr>
          <w:ilvl w:val="1"/>
          <w:numId w:val="60"/>
        </w:numPr>
        <w:tabs>
          <w:tab w:val="left" w:pos="360"/>
          <w:tab w:val="clear" w:pos="1620"/>
        </w:tabs>
        <w:snapToGrid w:val="0"/>
        <w:spacing w:line="360" w:lineRule="auto"/>
        <w:ind w:left="360"/>
        <w:rPr>
          <w:rFonts w:hint="eastAsia" w:ascii="宋体" w:hAnsi="宋体"/>
          <w:b/>
          <w:bCs/>
          <w:color w:val="auto"/>
          <w:szCs w:val="21"/>
          <w:highlight w:val="none"/>
        </w:rPr>
      </w:pPr>
      <w:r>
        <w:rPr>
          <w:b/>
          <w:color w:val="auto"/>
          <w:highlight w:val="none"/>
        </w:rPr>
        <w:t>此表须附在正、副本的投标文件中，并另封装一份于开标小信封中</w:t>
      </w:r>
      <w:r>
        <w:rPr>
          <w:rFonts w:hint="eastAsia"/>
          <w:b/>
          <w:color w:val="auto"/>
          <w:highlight w:val="none"/>
        </w:rPr>
        <w:t>。</w:t>
      </w:r>
    </w:p>
    <w:p>
      <w:pPr>
        <w:numPr>
          <w:ilvl w:val="1"/>
          <w:numId w:val="60"/>
        </w:numPr>
        <w:tabs>
          <w:tab w:val="left" w:pos="360"/>
          <w:tab w:val="clear" w:pos="1620"/>
        </w:tabs>
        <w:snapToGrid w:val="0"/>
        <w:spacing w:line="360" w:lineRule="auto"/>
        <w:ind w:left="360"/>
        <w:rPr>
          <w:rFonts w:hint="eastAsia" w:ascii="宋体" w:hAnsi="宋体"/>
          <w:b/>
          <w:bCs/>
          <w:color w:val="auto"/>
          <w:szCs w:val="21"/>
          <w:highlight w:val="none"/>
        </w:rPr>
      </w:pPr>
      <w:r>
        <w:rPr>
          <w:rFonts w:hint="eastAsia"/>
          <w:b/>
          <w:color w:val="auto"/>
          <w:highlight w:val="none"/>
        </w:rPr>
        <w:t>此表内投标报价为最终价，投标文件内不得含有任何对本报价进行修改的其他说明或资料，否则为无效投标</w:t>
      </w:r>
      <w:r>
        <w:rPr>
          <w:rFonts w:hint="eastAsia" w:ascii="宋体" w:hAnsi="宋体"/>
          <w:b/>
          <w:bCs/>
          <w:color w:val="auto"/>
          <w:szCs w:val="21"/>
          <w:highlight w:val="none"/>
        </w:rPr>
        <w:t>。</w:t>
      </w:r>
    </w:p>
    <w:p>
      <w:pPr>
        <w:numPr>
          <w:ilvl w:val="1"/>
          <w:numId w:val="60"/>
        </w:numPr>
        <w:tabs>
          <w:tab w:val="left" w:pos="360"/>
          <w:tab w:val="left" w:pos="840"/>
          <w:tab w:val="clear" w:pos="1620"/>
        </w:tabs>
        <w:snapToGrid w:val="0"/>
        <w:spacing w:line="360" w:lineRule="auto"/>
        <w:ind w:left="360"/>
        <w:rPr>
          <w:rFonts w:hint="eastAsia"/>
          <w:b/>
          <w:color w:val="auto"/>
          <w:highlight w:val="none"/>
        </w:rPr>
      </w:pPr>
      <w:r>
        <w:rPr>
          <w:rFonts w:hint="eastAsia"/>
          <w:b/>
          <w:color w:val="auto"/>
          <w:highlight w:val="none"/>
        </w:rPr>
        <w:t>投标报价要求具体见第</w:t>
      </w:r>
      <w:r>
        <w:rPr>
          <w:rFonts w:hint="eastAsia"/>
          <w:b/>
          <w:color w:val="auto"/>
          <w:highlight w:val="none"/>
          <w:lang w:eastAsia="zh-CN"/>
        </w:rPr>
        <w:t>五</w:t>
      </w:r>
      <w:r>
        <w:rPr>
          <w:rFonts w:hint="eastAsia"/>
          <w:b/>
          <w:color w:val="auto"/>
          <w:highlight w:val="none"/>
        </w:rPr>
        <w:t>章“投标报价”要求。</w:t>
      </w:r>
    </w:p>
    <w:p>
      <w:pPr>
        <w:spacing w:line="440" w:lineRule="exact"/>
        <w:rPr>
          <w:rFonts w:ascii="黑体" w:eastAsia="黑体"/>
          <w:b/>
          <w:bCs/>
          <w:color w:val="auto"/>
          <w:sz w:val="28"/>
          <w:highlight w:val="none"/>
        </w:rPr>
        <w:sectPr>
          <w:pgSz w:w="11906" w:h="16838"/>
          <w:pgMar w:top="1134" w:right="1134" w:bottom="1134" w:left="1134" w:header="657" w:footer="481" w:gutter="0"/>
          <w:cols w:space="720" w:num="1"/>
          <w:docGrid w:linePitch="312" w:charSpace="0"/>
        </w:sectPr>
      </w:pPr>
    </w:p>
    <w:p>
      <w:pPr>
        <w:numPr>
          <w:ilvl w:val="0"/>
          <w:numId w:val="57"/>
        </w:numPr>
        <w:spacing w:line="440" w:lineRule="exact"/>
        <w:rPr>
          <w:rFonts w:hint="eastAsia" w:ascii="黑体" w:eastAsia="黑体"/>
          <w:b/>
          <w:bCs/>
          <w:color w:val="auto"/>
          <w:sz w:val="28"/>
          <w:highlight w:val="none"/>
        </w:rPr>
      </w:pPr>
      <w:r>
        <w:rPr>
          <w:rFonts w:ascii="黑体" w:eastAsia="黑体"/>
          <w:b/>
          <w:bCs/>
          <w:color w:val="auto"/>
          <w:sz w:val="28"/>
          <w:highlight w:val="none"/>
        </w:rPr>
        <w:t xml:space="preserve"> </w:t>
      </w:r>
    </w:p>
    <w:p>
      <w:pPr>
        <w:pStyle w:val="3"/>
        <w:adjustRightInd w:val="0"/>
        <w:snapToGrid w:val="0"/>
        <w:spacing w:before="120" w:beforeLines="50" w:after="120" w:afterLines="50" w:line="360" w:lineRule="auto"/>
        <w:jc w:val="center"/>
        <w:rPr>
          <w:rFonts w:hint="eastAsia"/>
          <w:b w:val="0"/>
          <w:color w:val="auto"/>
          <w:highlight w:val="none"/>
        </w:rPr>
      </w:pPr>
      <w:bookmarkStart w:id="111" w:name="_Toc275865611"/>
      <w:bookmarkStart w:id="112" w:name="_Toc192662843"/>
      <w:r>
        <w:rPr>
          <w:rFonts w:hint="eastAsia"/>
          <w:b w:val="0"/>
          <w:color w:val="auto"/>
          <w:highlight w:val="none"/>
        </w:rPr>
        <w:t>投标分项报价表</w:t>
      </w:r>
      <w:bookmarkEnd w:id="111"/>
      <w:bookmarkEnd w:id="112"/>
    </w:p>
    <w:p>
      <w:pPr>
        <w:spacing w:line="360" w:lineRule="auto"/>
        <w:jc w:val="center"/>
        <w:rPr>
          <w:rFonts w:hint="eastAsia"/>
          <w:b/>
          <w:color w:val="auto"/>
          <w:spacing w:val="4"/>
          <w:sz w:val="24"/>
          <w:highlight w:val="none"/>
        </w:rPr>
      </w:pPr>
      <w:r>
        <w:rPr>
          <w:rFonts w:hint="eastAsia"/>
          <w:b/>
          <w:color w:val="auto"/>
          <w:spacing w:val="4"/>
          <w:sz w:val="24"/>
          <w:highlight w:val="none"/>
        </w:rPr>
        <w:t>（格式自定）</w:t>
      </w:r>
    </w:p>
    <w:p>
      <w:pPr>
        <w:widowControl/>
        <w:wordWrap w:val="0"/>
        <w:spacing w:line="360" w:lineRule="auto"/>
        <w:jc w:val="left"/>
        <w:rPr>
          <w:rFonts w:ascii="宋体" w:hAnsi="宋体"/>
          <w:color w:val="auto"/>
          <w:highlight w:val="none"/>
        </w:rPr>
      </w:pPr>
      <w:r>
        <w:rPr>
          <w:rFonts w:hint="eastAsia" w:ascii="宋体" w:hAnsi="宋体"/>
          <w:color w:val="auto"/>
          <w:highlight w:val="none"/>
        </w:rPr>
        <w:t>投标人名称：                                       项目编号：</w:t>
      </w:r>
      <w:r>
        <w:rPr>
          <w:rFonts w:hint="eastAsia" w:ascii="宋体" w:hAnsi="宋体"/>
          <w:color w:val="auto"/>
          <w:highlight w:val="none"/>
          <w:lang w:eastAsia="zh-CN"/>
        </w:rPr>
        <w:t>GDZC-18GZ057</w:t>
      </w:r>
      <w:r>
        <w:rPr>
          <w:rFonts w:ascii="ˎ̥" w:hAnsi="ˎ̥" w:cs="宋体"/>
          <w:color w:val="auto"/>
          <w:kern w:val="0"/>
          <w:sz w:val="18"/>
          <w:szCs w:val="18"/>
          <w:highlight w:val="none"/>
        </w:rPr>
        <w:t> </w:t>
      </w:r>
    </w:p>
    <w:tbl>
      <w:tblPr>
        <w:tblStyle w:val="1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26"/>
        <w:gridCol w:w="1560"/>
        <w:gridCol w:w="155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4" w:type="dxa"/>
            <w:gridSpan w:val="6"/>
            <w:vAlign w:val="top"/>
          </w:tcPr>
          <w:p>
            <w:pPr>
              <w:pStyle w:val="2"/>
              <w:rPr>
                <w:rFonts w:ascii="宋体" w:hAnsi="宋体"/>
                <w:color w:val="auto"/>
                <w:sz w:val="21"/>
                <w:szCs w:val="21"/>
                <w:highlight w:val="none"/>
              </w:rPr>
            </w:pPr>
            <w:r>
              <w:rPr>
                <w:rFonts w:hint="eastAsia" w:ascii="宋体" w:hAnsi="宋体"/>
                <w:color w:val="auto"/>
                <w:sz w:val="21"/>
                <w:szCs w:val="21"/>
                <w:highlight w:val="none"/>
              </w:rPr>
              <w:t>一</w:t>
            </w:r>
            <w:r>
              <w:rPr>
                <w:rFonts w:ascii="宋体" w:hAnsi="宋体"/>
                <w:color w:val="auto"/>
                <w:sz w:val="21"/>
                <w:szCs w:val="21"/>
                <w:highlight w:val="none"/>
              </w:rPr>
              <w:t>、产品</w:t>
            </w:r>
            <w:r>
              <w:rPr>
                <w:rFonts w:hint="eastAsia" w:ascii="宋体" w:hAnsi="宋体"/>
                <w:color w:val="auto"/>
                <w:sz w:val="21"/>
                <w:szCs w:val="21"/>
                <w:highlight w:val="none"/>
              </w:rPr>
              <w:t>、</w:t>
            </w:r>
            <w:r>
              <w:rPr>
                <w:rFonts w:ascii="宋体" w:hAnsi="宋体"/>
                <w:color w:val="auto"/>
                <w:sz w:val="21"/>
                <w:szCs w:val="21"/>
                <w:highlight w:val="none"/>
              </w:rPr>
              <w:t>配置</w:t>
            </w:r>
            <w:r>
              <w:rPr>
                <w:rFonts w:hint="eastAsia" w:ascii="宋体" w:hAnsi="宋体"/>
                <w:color w:val="auto"/>
                <w:sz w:val="21"/>
                <w:szCs w:val="21"/>
                <w:highlight w:val="none"/>
              </w:rPr>
              <w:t>和</w:t>
            </w:r>
            <w:r>
              <w:rPr>
                <w:rFonts w:ascii="宋体" w:hAnsi="宋体"/>
                <w:color w:val="auto"/>
                <w:sz w:val="21"/>
                <w:szCs w:val="21"/>
                <w:highlight w:val="none"/>
              </w:rPr>
              <w:t>材料类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序号</w:t>
            </w:r>
          </w:p>
        </w:tc>
        <w:tc>
          <w:tcPr>
            <w:tcW w:w="2126"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分</w:t>
            </w:r>
            <w:r>
              <w:rPr>
                <w:rFonts w:ascii="宋体" w:hAnsi="宋体"/>
                <w:color w:val="auto"/>
                <w:sz w:val="21"/>
                <w:szCs w:val="21"/>
                <w:highlight w:val="none"/>
              </w:rPr>
              <w:t>项名称</w:t>
            </w:r>
          </w:p>
        </w:tc>
        <w:tc>
          <w:tcPr>
            <w:tcW w:w="1560"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数</w:t>
            </w:r>
            <w:r>
              <w:rPr>
                <w:rFonts w:ascii="宋体" w:hAnsi="宋体"/>
                <w:color w:val="auto"/>
                <w:sz w:val="21"/>
                <w:szCs w:val="21"/>
                <w:highlight w:val="none"/>
              </w:rPr>
              <w:t>量</w:t>
            </w:r>
          </w:p>
        </w:tc>
        <w:tc>
          <w:tcPr>
            <w:tcW w:w="1559"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单价</w:t>
            </w:r>
          </w:p>
        </w:tc>
        <w:tc>
          <w:tcPr>
            <w:tcW w:w="1701"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小</w:t>
            </w:r>
            <w:r>
              <w:rPr>
                <w:rFonts w:ascii="宋体" w:hAnsi="宋体"/>
                <w:color w:val="auto"/>
                <w:sz w:val="21"/>
                <w:szCs w:val="21"/>
                <w:highlight w:val="none"/>
              </w:rPr>
              <w:t>计</w:t>
            </w:r>
          </w:p>
        </w:tc>
        <w:tc>
          <w:tcPr>
            <w:tcW w:w="1701"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是否小型、微型企业产品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1</w:t>
            </w:r>
          </w:p>
        </w:tc>
        <w:tc>
          <w:tcPr>
            <w:tcW w:w="2126" w:type="dxa"/>
            <w:vAlign w:val="top"/>
          </w:tcPr>
          <w:p>
            <w:pPr>
              <w:pStyle w:val="2"/>
              <w:rPr>
                <w:rFonts w:ascii="宋体" w:hAnsi="宋体"/>
                <w:color w:val="auto"/>
                <w:sz w:val="21"/>
                <w:szCs w:val="21"/>
                <w:highlight w:val="none"/>
              </w:rPr>
            </w:pPr>
          </w:p>
        </w:tc>
        <w:tc>
          <w:tcPr>
            <w:tcW w:w="1560" w:type="dxa"/>
            <w:vAlign w:val="top"/>
          </w:tcPr>
          <w:p>
            <w:pPr>
              <w:pStyle w:val="2"/>
              <w:rPr>
                <w:rFonts w:ascii="宋体" w:hAnsi="宋体"/>
                <w:color w:val="auto"/>
                <w:sz w:val="21"/>
                <w:szCs w:val="21"/>
                <w:highlight w:val="none"/>
              </w:rPr>
            </w:pPr>
          </w:p>
        </w:tc>
        <w:tc>
          <w:tcPr>
            <w:tcW w:w="1559"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2</w:t>
            </w:r>
          </w:p>
        </w:tc>
        <w:tc>
          <w:tcPr>
            <w:tcW w:w="2126" w:type="dxa"/>
            <w:vAlign w:val="top"/>
          </w:tcPr>
          <w:p>
            <w:pPr>
              <w:pStyle w:val="2"/>
              <w:rPr>
                <w:rFonts w:ascii="宋体" w:hAnsi="宋体"/>
                <w:color w:val="auto"/>
                <w:sz w:val="21"/>
                <w:szCs w:val="21"/>
                <w:highlight w:val="none"/>
              </w:rPr>
            </w:pPr>
          </w:p>
        </w:tc>
        <w:tc>
          <w:tcPr>
            <w:tcW w:w="1560" w:type="dxa"/>
            <w:vAlign w:val="top"/>
          </w:tcPr>
          <w:p>
            <w:pPr>
              <w:pStyle w:val="2"/>
              <w:rPr>
                <w:rFonts w:ascii="宋体" w:hAnsi="宋体"/>
                <w:color w:val="auto"/>
                <w:sz w:val="21"/>
                <w:szCs w:val="21"/>
                <w:highlight w:val="none"/>
              </w:rPr>
            </w:pPr>
          </w:p>
        </w:tc>
        <w:tc>
          <w:tcPr>
            <w:tcW w:w="1559"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3</w:t>
            </w:r>
          </w:p>
        </w:tc>
        <w:tc>
          <w:tcPr>
            <w:tcW w:w="2126" w:type="dxa"/>
            <w:vAlign w:val="top"/>
          </w:tcPr>
          <w:p>
            <w:pPr>
              <w:pStyle w:val="2"/>
              <w:rPr>
                <w:rFonts w:ascii="宋体" w:hAnsi="宋体"/>
                <w:color w:val="auto"/>
                <w:sz w:val="21"/>
                <w:szCs w:val="21"/>
                <w:highlight w:val="none"/>
              </w:rPr>
            </w:pPr>
          </w:p>
        </w:tc>
        <w:tc>
          <w:tcPr>
            <w:tcW w:w="1560" w:type="dxa"/>
            <w:vAlign w:val="top"/>
          </w:tcPr>
          <w:p>
            <w:pPr>
              <w:pStyle w:val="2"/>
              <w:rPr>
                <w:rFonts w:ascii="宋体" w:hAnsi="宋体"/>
                <w:color w:val="auto"/>
                <w:sz w:val="21"/>
                <w:szCs w:val="21"/>
                <w:highlight w:val="none"/>
              </w:rPr>
            </w:pPr>
          </w:p>
        </w:tc>
        <w:tc>
          <w:tcPr>
            <w:tcW w:w="1559"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4</w:t>
            </w:r>
          </w:p>
        </w:tc>
        <w:tc>
          <w:tcPr>
            <w:tcW w:w="2126" w:type="dxa"/>
            <w:vAlign w:val="top"/>
          </w:tcPr>
          <w:p>
            <w:pPr>
              <w:pStyle w:val="2"/>
              <w:rPr>
                <w:rFonts w:ascii="宋体" w:hAnsi="宋体"/>
                <w:color w:val="auto"/>
                <w:sz w:val="21"/>
                <w:szCs w:val="21"/>
                <w:highlight w:val="none"/>
              </w:rPr>
            </w:pPr>
          </w:p>
        </w:tc>
        <w:tc>
          <w:tcPr>
            <w:tcW w:w="1560" w:type="dxa"/>
            <w:vAlign w:val="top"/>
          </w:tcPr>
          <w:p>
            <w:pPr>
              <w:pStyle w:val="2"/>
              <w:rPr>
                <w:rFonts w:ascii="宋体" w:hAnsi="宋体"/>
                <w:color w:val="auto"/>
                <w:sz w:val="21"/>
                <w:szCs w:val="21"/>
                <w:highlight w:val="none"/>
              </w:rPr>
            </w:pPr>
          </w:p>
        </w:tc>
        <w:tc>
          <w:tcPr>
            <w:tcW w:w="1559"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5</w:t>
            </w:r>
          </w:p>
        </w:tc>
        <w:tc>
          <w:tcPr>
            <w:tcW w:w="2126" w:type="dxa"/>
            <w:vAlign w:val="top"/>
          </w:tcPr>
          <w:p>
            <w:pPr>
              <w:pStyle w:val="2"/>
              <w:rPr>
                <w:rFonts w:ascii="宋体" w:hAnsi="宋体"/>
                <w:color w:val="auto"/>
                <w:sz w:val="21"/>
                <w:szCs w:val="21"/>
                <w:highlight w:val="none"/>
              </w:rPr>
            </w:pPr>
          </w:p>
        </w:tc>
        <w:tc>
          <w:tcPr>
            <w:tcW w:w="1560" w:type="dxa"/>
            <w:vAlign w:val="top"/>
          </w:tcPr>
          <w:p>
            <w:pPr>
              <w:pStyle w:val="2"/>
              <w:rPr>
                <w:rFonts w:ascii="宋体" w:hAnsi="宋体"/>
                <w:color w:val="auto"/>
                <w:sz w:val="21"/>
                <w:szCs w:val="21"/>
                <w:highlight w:val="none"/>
              </w:rPr>
            </w:pPr>
          </w:p>
        </w:tc>
        <w:tc>
          <w:tcPr>
            <w:tcW w:w="1559"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pStyle w:val="2"/>
              <w:rPr>
                <w:rFonts w:ascii="宋体" w:hAnsi="宋体"/>
                <w:color w:val="auto"/>
                <w:sz w:val="21"/>
                <w:szCs w:val="21"/>
                <w:highlight w:val="none"/>
              </w:rPr>
            </w:pPr>
            <w:r>
              <w:rPr>
                <w:rFonts w:ascii="宋体" w:hAnsi="宋体"/>
                <w:color w:val="auto"/>
                <w:sz w:val="21"/>
                <w:szCs w:val="21"/>
                <w:highlight w:val="none"/>
              </w:rPr>
              <w:t>……</w:t>
            </w:r>
          </w:p>
        </w:tc>
        <w:tc>
          <w:tcPr>
            <w:tcW w:w="2126" w:type="dxa"/>
            <w:vAlign w:val="top"/>
          </w:tcPr>
          <w:p>
            <w:pPr>
              <w:pStyle w:val="2"/>
              <w:rPr>
                <w:rFonts w:ascii="宋体" w:hAnsi="宋体"/>
                <w:color w:val="auto"/>
                <w:sz w:val="21"/>
                <w:szCs w:val="21"/>
                <w:highlight w:val="none"/>
              </w:rPr>
            </w:pPr>
          </w:p>
        </w:tc>
        <w:tc>
          <w:tcPr>
            <w:tcW w:w="1560" w:type="dxa"/>
            <w:vAlign w:val="top"/>
          </w:tcPr>
          <w:p>
            <w:pPr>
              <w:pStyle w:val="2"/>
              <w:rPr>
                <w:rFonts w:ascii="宋体" w:hAnsi="宋体"/>
                <w:color w:val="auto"/>
                <w:sz w:val="21"/>
                <w:szCs w:val="21"/>
                <w:highlight w:val="none"/>
              </w:rPr>
            </w:pPr>
          </w:p>
        </w:tc>
        <w:tc>
          <w:tcPr>
            <w:tcW w:w="1559"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4" w:type="dxa"/>
            <w:gridSpan w:val="6"/>
            <w:vAlign w:val="top"/>
          </w:tcPr>
          <w:p>
            <w:pPr>
              <w:pStyle w:val="2"/>
              <w:rPr>
                <w:rFonts w:ascii="宋体" w:hAnsi="宋体"/>
                <w:color w:val="auto"/>
                <w:sz w:val="21"/>
                <w:szCs w:val="21"/>
                <w:highlight w:val="none"/>
              </w:rPr>
            </w:pPr>
            <w:r>
              <w:rPr>
                <w:rFonts w:hint="eastAsia" w:ascii="宋体" w:hAnsi="宋体"/>
                <w:color w:val="auto"/>
                <w:sz w:val="21"/>
                <w:szCs w:val="21"/>
                <w:highlight w:val="none"/>
              </w:rPr>
              <w:t>合计</w:t>
            </w:r>
            <w:r>
              <w:rPr>
                <w:rFonts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4" w:type="dxa"/>
            <w:gridSpan w:val="6"/>
            <w:vAlign w:val="top"/>
          </w:tcPr>
          <w:tbl>
            <w:tblPr>
              <w:tblStyle w:val="17"/>
              <w:tblW w:w="12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 w:hRule="atLeast"/>
              </w:trPr>
              <w:tc>
                <w:tcPr>
                  <w:tcW w:w="1266" w:type="dxa"/>
                  <w:vAlign w:val="top"/>
                </w:tcPr>
                <w:p>
                  <w:pPr>
                    <w:autoSpaceDE w:val="0"/>
                    <w:autoSpaceDN w:val="0"/>
                    <w:adjustRightInd w:val="0"/>
                    <w:jc w:val="left"/>
                    <w:rPr>
                      <w:rFonts w:ascii="宋体" w:hAnsi="宋体" w:cs="黑体"/>
                      <w:color w:val="auto"/>
                      <w:kern w:val="0"/>
                      <w:szCs w:val="21"/>
                      <w:highlight w:val="none"/>
                    </w:rPr>
                  </w:pPr>
                  <w:r>
                    <w:rPr>
                      <w:rFonts w:hint="eastAsia" w:ascii="宋体" w:hAnsi="宋体" w:cs="黑体"/>
                      <w:color w:val="auto"/>
                      <w:kern w:val="0"/>
                      <w:szCs w:val="21"/>
                      <w:highlight w:val="none"/>
                    </w:rPr>
                    <w:t>二、服务类</w:t>
                  </w:r>
                </w:p>
              </w:tc>
            </w:tr>
          </w:tbl>
          <w:p>
            <w:pPr>
              <w:autoSpaceDE w:val="0"/>
              <w:autoSpaceDN w:val="0"/>
              <w:adjustRightInd w:val="0"/>
              <w:jc w:val="left"/>
              <w:rPr>
                <w:rFonts w:ascii="宋体" w:hAnsi="宋体" w:cs="黑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序号</w:t>
            </w:r>
          </w:p>
        </w:tc>
        <w:tc>
          <w:tcPr>
            <w:tcW w:w="2126"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分</w:t>
            </w:r>
            <w:r>
              <w:rPr>
                <w:rFonts w:ascii="宋体" w:hAnsi="宋体"/>
                <w:color w:val="auto"/>
                <w:sz w:val="21"/>
                <w:szCs w:val="21"/>
                <w:highlight w:val="none"/>
              </w:rPr>
              <w:t>项名称</w:t>
            </w:r>
          </w:p>
        </w:tc>
        <w:tc>
          <w:tcPr>
            <w:tcW w:w="1560"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数</w:t>
            </w:r>
            <w:r>
              <w:rPr>
                <w:rFonts w:ascii="宋体" w:hAnsi="宋体"/>
                <w:color w:val="auto"/>
                <w:sz w:val="21"/>
                <w:szCs w:val="21"/>
                <w:highlight w:val="none"/>
              </w:rPr>
              <w:t>量</w:t>
            </w:r>
          </w:p>
        </w:tc>
        <w:tc>
          <w:tcPr>
            <w:tcW w:w="1559"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单价</w:t>
            </w:r>
          </w:p>
        </w:tc>
        <w:tc>
          <w:tcPr>
            <w:tcW w:w="1701"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小</w:t>
            </w:r>
            <w:r>
              <w:rPr>
                <w:rFonts w:ascii="宋体" w:hAnsi="宋体"/>
                <w:color w:val="auto"/>
                <w:sz w:val="21"/>
                <w:szCs w:val="21"/>
                <w:highlight w:val="none"/>
              </w:rPr>
              <w:t>计</w:t>
            </w:r>
          </w:p>
        </w:tc>
        <w:tc>
          <w:tcPr>
            <w:tcW w:w="1701"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是否小型、微型企业产品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1</w:t>
            </w:r>
          </w:p>
        </w:tc>
        <w:tc>
          <w:tcPr>
            <w:tcW w:w="2126" w:type="dxa"/>
            <w:vAlign w:val="top"/>
          </w:tcPr>
          <w:p>
            <w:pPr>
              <w:pStyle w:val="2"/>
              <w:rPr>
                <w:rFonts w:ascii="宋体" w:hAnsi="宋体"/>
                <w:color w:val="auto"/>
                <w:sz w:val="21"/>
                <w:szCs w:val="21"/>
                <w:highlight w:val="none"/>
              </w:rPr>
            </w:pPr>
          </w:p>
        </w:tc>
        <w:tc>
          <w:tcPr>
            <w:tcW w:w="1560" w:type="dxa"/>
            <w:vAlign w:val="top"/>
          </w:tcPr>
          <w:p>
            <w:pPr>
              <w:pStyle w:val="2"/>
              <w:rPr>
                <w:rFonts w:ascii="宋体" w:hAnsi="宋体"/>
                <w:color w:val="auto"/>
                <w:sz w:val="21"/>
                <w:szCs w:val="21"/>
                <w:highlight w:val="none"/>
              </w:rPr>
            </w:pPr>
          </w:p>
        </w:tc>
        <w:tc>
          <w:tcPr>
            <w:tcW w:w="1559"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2</w:t>
            </w:r>
          </w:p>
        </w:tc>
        <w:tc>
          <w:tcPr>
            <w:tcW w:w="2126" w:type="dxa"/>
            <w:vAlign w:val="top"/>
          </w:tcPr>
          <w:p>
            <w:pPr>
              <w:pStyle w:val="2"/>
              <w:rPr>
                <w:rFonts w:ascii="宋体" w:hAnsi="宋体"/>
                <w:color w:val="auto"/>
                <w:sz w:val="21"/>
                <w:szCs w:val="21"/>
                <w:highlight w:val="none"/>
              </w:rPr>
            </w:pPr>
          </w:p>
        </w:tc>
        <w:tc>
          <w:tcPr>
            <w:tcW w:w="1560" w:type="dxa"/>
            <w:vAlign w:val="top"/>
          </w:tcPr>
          <w:p>
            <w:pPr>
              <w:pStyle w:val="2"/>
              <w:rPr>
                <w:rFonts w:ascii="宋体" w:hAnsi="宋体"/>
                <w:color w:val="auto"/>
                <w:sz w:val="21"/>
                <w:szCs w:val="21"/>
                <w:highlight w:val="none"/>
              </w:rPr>
            </w:pPr>
          </w:p>
        </w:tc>
        <w:tc>
          <w:tcPr>
            <w:tcW w:w="1559"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3</w:t>
            </w:r>
          </w:p>
        </w:tc>
        <w:tc>
          <w:tcPr>
            <w:tcW w:w="2126" w:type="dxa"/>
            <w:vAlign w:val="top"/>
          </w:tcPr>
          <w:p>
            <w:pPr>
              <w:pStyle w:val="2"/>
              <w:rPr>
                <w:rFonts w:ascii="宋体" w:hAnsi="宋体"/>
                <w:color w:val="auto"/>
                <w:sz w:val="21"/>
                <w:szCs w:val="21"/>
                <w:highlight w:val="none"/>
              </w:rPr>
            </w:pPr>
          </w:p>
        </w:tc>
        <w:tc>
          <w:tcPr>
            <w:tcW w:w="1560" w:type="dxa"/>
            <w:vAlign w:val="top"/>
          </w:tcPr>
          <w:p>
            <w:pPr>
              <w:pStyle w:val="2"/>
              <w:rPr>
                <w:rFonts w:ascii="宋体" w:hAnsi="宋体"/>
                <w:color w:val="auto"/>
                <w:sz w:val="21"/>
                <w:szCs w:val="21"/>
                <w:highlight w:val="none"/>
              </w:rPr>
            </w:pPr>
          </w:p>
        </w:tc>
        <w:tc>
          <w:tcPr>
            <w:tcW w:w="1559"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pStyle w:val="2"/>
              <w:rPr>
                <w:rFonts w:ascii="宋体" w:hAnsi="宋体"/>
                <w:color w:val="auto"/>
                <w:sz w:val="21"/>
                <w:szCs w:val="21"/>
                <w:highlight w:val="none"/>
              </w:rPr>
            </w:pPr>
            <w:r>
              <w:rPr>
                <w:rFonts w:ascii="宋体" w:hAnsi="宋体"/>
                <w:color w:val="auto"/>
                <w:sz w:val="21"/>
                <w:szCs w:val="21"/>
                <w:highlight w:val="none"/>
              </w:rPr>
              <w:t>……</w:t>
            </w:r>
          </w:p>
        </w:tc>
        <w:tc>
          <w:tcPr>
            <w:tcW w:w="2126" w:type="dxa"/>
            <w:vAlign w:val="top"/>
          </w:tcPr>
          <w:p>
            <w:pPr>
              <w:pStyle w:val="2"/>
              <w:rPr>
                <w:rFonts w:ascii="宋体" w:hAnsi="宋体"/>
                <w:color w:val="auto"/>
                <w:sz w:val="21"/>
                <w:szCs w:val="21"/>
                <w:highlight w:val="none"/>
              </w:rPr>
            </w:pPr>
          </w:p>
        </w:tc>
        <w:tc>
          <w:tcPr>
            <w:tcW w:w="1560" w:type="dxa"/>
            <w:vAlign w:val="top"/>
          </w:tcPr>
          <w:p>
            <w:pPr>
              <w:pStyle w:val="2"/>
              <w:rPr>
                <w:rFonts w:ascii="宋体" w:hAnsi="宋体"/>
                <w:color w:val="auto"/>
                <w:sz w:val="21"/>
                <w:szCs w:val="21"/>
                <w:highlight w:val="none"/>
              </w:rPr>
            </w:pPr>
          </w:p>
        </w:tc>
        <w:tc>
          <w:tcPr>
            <w:tcW w:w="1559"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4" w:type="dxa"/>
            <w:gridSpan w:val="6"/>
            <w:vAlign w:val="top"/>
          </w:tcPr>
          <w:p>
            <w:pPr>
              <w:pStyle w:val="2"/>
              <w:rPr>
                <w:rFonts w:ascii="宋体" w:hAnsi="宋体"/>
                <w:color w:val="auto"/>
                <w:sz w:val="21"/>
                <w:szCs w:val="21"/>
                <w:highlight w:val="none"/>
              </w:rPr>
            </w:pPr>
            <w:r>
              <w:rPr>
                <w:rFonts w:hint="eastAsia" w:ascii="宋体" w:hAnsi="宋体"/>
                <w:color w:val="auto"/>
                <w:sz w:val="21"/>
                <w:szCs w:val="21"/>
                <w:highlight w:val="none"/>
              </w:rPr>
              <w:t>合计</w:t>
            </w:r>
            <w:r>
              <w:rPr>
                <w:rFonts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4" w:type="dxa"/>
            <w:gridSpan w:val="6"/>
            <w:vAlign w:val="top"/>
          </w:tcPr>
          <w:p>
            <w:pPr>
              <w:pStyle w:val="2"/>
              <w:rPr>
                <w:rFonts w:ascii="宋体" w:hAnsi="宋体"/>
                <w:color w:val="auto"/>
                <w:sz w:val="21"/>
                <w:szCs w:val="21"/>
                <w:highlight w:val="none"/>
              </w:rPr>
            </w:pPr>
            <w:r>
              <w:rPr>
                <w:rFonts w:hint="eastAsia" w:ascii="宋体" w:hAnsi="宋体"/>
                <w:color w:val="auto"/>
                <w:sz w:val="21"/>
                <w:szCs w:val="21"/>
                <w:highlight w:val="none"/>
              </w:rPr>
              <w:t>三、报</w:t>
            </w:r>
            <w:r>
              <w:rPr>
                <w:rFonts w:ascii="宋体" w:hAnsi="宋体"/>
                <w:color w:val="auto"/>
                <w:sz w:val="21"/>
                <w:szCs w:val="21"/>
                <w:highlight w:val="none"/>
              </w:rPr>
              <w:t>价汇总：人民币</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元。</w:t>
            </w:r>
            <w:r>
              <w:rPr>
                <w:rFonts w:ascii="宋体" w:hAnsi="宋体"/>
                <w:color w:val="auto"/>
                <w:sz w:val="21"/>
                <w:szCs w:val="21"/>
                <w:highlight w:val="none"/>
              </w:rPr>
              <w:t>（</w:t>
            </w:r>
            <w:r>
              <w:rPr>
                <w:rFonts w:hint="eastAsia" w:ascii="宋体" w:hAnsi="宋体"/>
                <w:color w:val="auto"/>
                <w:sz w:val="21"/>
                <w:szCs w:val="21"/>
                <w:highlight w:val="none"/>
              </w:rPr>
              <w:t xml:space="preserve">以上各合计项与开标一览表中的对应均一致相符） </w:t>
            </w:r>
          </w:p>
          <w:p>
            <w:pPr>
              <w:pStyle w:val="2"/>
              <w:rPr>
                <w:rFonts w:ascii="宋体" w:hAnsi="宋体"/>
                <w:color w:val="auto"/>
                <w:sz w:val="21"/>
                <w:szCs w:val="21"/>
                <w:highlight w:val="none"/>
              </w:rPr>
            </w:pPr>
            <w:r>
              <w:rPr>
                <w:rFonts w:hint="eastAsia" w:ascii="宋体" w:hAnsi="宋体"/>
                <w:color w:val="auto"/>
                <w:sz w:val="21"/>
                <w:szCs w:val="21"/>
                <w:highlight w:val="none"/>
              </w:rPr>
              <w:t>以上报价合计中，小型与微产品的总金额为：</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元。（小型与微企业产品包括货物、 服务、</w:t>
            </w:r>
            <w:r>
              <w:rPr>
                <w:rFonts w:ascii="宋体" w:hAnsi="宋体"/>
                <w:color w:val="auto"/>
                <w:sz w:val="21"/>
                <w:szCs w:val="21"/>
                <w:highlight w:val="none"/>
              </w:rPr>
              <w:t>工程</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4" w:type="dxa"/>
            <w:gridSpan w:val="6"/>
            <w:vAlign w:val="top"/>
          </w:tcPr>
          <w:p>
            <w:pPr>
              <w:pStyle w:val="2"/>
              <w:rPr>
                <w:rFonts w:ascii="宋体" w:hAnsi="宋体"/>
                <w:color w:val="auto"/>
                <w:sz w:val="21"/>
                <w:szCs w:val="21"/>
                <w:highlight w:val="none"/>
              </w:rPr>
            </w:pPr>
            <w:r>
              <w:rPr>
                <w:rFonts w:hint="eastAsia" w:ascii="宋体" w:hAnsi="宋体"/>
                <w:color w:val="auto"/>
                <w:sz w:val="21"/>
                <w:szCs w:val="21"/>
                <w:highlight w:val="none"/>
              </w:rPr>
              <w:t>四</w:t>
            </w:r>
            <w:r>
              <w:rPr>
                <w:rFonts w:ascii="宋体" w:hAnsi="宋体"/>
                <w:color w:val="auto"/>
                <w:sz w:val="21"/>
                <w:szCs w:val="21"/>
                <w:highlight w:val="none"/>
              </w:rPr>
              <w:t>、质保期</w:t>
            </w:r>
            <w:r>
              <w:rPr>
                <w:rFonts w:hint="eastAsia" w:ascii="宋体" w:hAnsi="宋体"/>
                <w:color w:val="auto"/>
                <w:sz w:val="21"/>
                <w:szCs w:val="21"/>
                <w:highlight w:val="none"/>
              </w:rPr>
              <w:t>满</w:t>
            </w:r>
            <w:r>
              <w:rPr>
                <w:rFonts w:ascii="宋体" w:hAnsi="宋体"/>
                <w:color w:val="auto"/>
                <w:sz w:val="21"/>
                <w:szCs w:val="21"/>
                <w:highlight w:val="none"/>
              </w:rPr>
              <w:t>后将会发</w:t>
            </w:r>
            <w:r>
              <w:rPr>
                <w:rFonts w:hint="eastAsia" w:ascii="宋体" w:hAnsi="宋体"/>
                <w:color w:val="auto"/>
                <w:sz w:val="21"/>
                <w:szCs w:val="21"/>
                <w:highlight w:val="none"/>
              </w:rPr>
              <w:t>生</w:t>
            </w:r>
            <w:r>
              <w:rPr>
                <w:rFonts w:ascii="宋体" w:hAnsi="宋体"/>
                <w:color w:val="auto"/>
                <w:sz w:val="21"/>
                <w:szCs w:val="21"/>
                <w:highlight w:val="none"/>
              </w:rPr>
              <w:t>的</w:t>
            </w:r>
            <w:r>
              <w:rPr>
                <w:rFonts w:hint="eastAsia" w:ascii="宋体" w:hAnsi="宋体"/>
                <w:color w:val="auto"/>
                <w:sz w:val="21"/>
                <w:szCs w:val="21"/>
                <w:highlight w:val="none"/>
              </w:rPr>
              <w:t>有</w:t>
            </w:r>
            <w:r>
              <w:rPr>
                <w:rFonts w:ascii="宋体" w:hAnsi="宋体"/>
                <w:color w:val="auto"/>
                <w:sz w:val="21"/>
                <w:szCs w:val="21"/>
                <w:highlight w:val="none"/>
              </w:rPr>
              <w:t>偿服务收费标准</w:t>
            </w:r>
            <w:r>
              <w:rPr>
                <w:rFonts w:hint="eastAsia" w:ascii="宋体" w:hAnsi="宋体"/>
                <w:color w:val="auto"/>
                <w:sz w:val="21"/>
                <w:szCs w:val="21"/>
                <w:highlight w:val="none"/>
              </w:rPr>
              <w:t>（下列</w:t>
            </w:r>
            <w:r>
              <w:rPr>
                <w:rFonts w:ascii="宋体" w:hAnsi="宋体"/>
                <w:color w:val="auto"/>
                <w:sz w:val="21"/>
                <w:szCs w:val="21"/>
                <w:highlight w:val="none"/>
              </w:rPr>
              <w:t>报价</w:t>
            </w:r>
            <w:r>
              <w:rPr>
                <w:rFonts w:hint="eastAsia" w:ascii="宋体" w:hAnsi="宋体"/>
                <w:color w:val="auto"/>
                <w:sz w:val="21"/>
                <w:szCs w:val="21"/>
                <w:highlight w:val="none"/>
              </w:rPr>
              <w:t>不</w:t>
            </w:r>
            <w:r>
              <w:rPr>
                <w:rFonts w:ascii="宋体" w:hAnsi="宋体"/>
                <w:color w:val="auto"/>
                <w:sz w:val="21"/>
                <w:szCs w:val="21"/>
                <w:highlight w:val="none"/>
              </w:rPr>
              <w:t>列入投标总价内</w:t>
            </w:r>
            <w:r>
              <w:rPr>
                <w:rFonts w:hint="eastAsia" w:ascii="宋体" w:hAnsi="宋体"/>
                <w:color w:val="auto"/>
                <w:sz w:val="21"/>
                <w:szCs w:val="21"/>
                <w:highlight w:val="none"/>
              </w:rPr>
              <w:t>，</w:t>
            </w:r>
            <w:r>
              <w:rPr>
                <w:rFonts w:ascii="宋体" w:hAnsi="宋体"/>
                <w:color w:val="auto"/>
                <w:sz w:val="21"/>
                <w:szCs w:val="21"/>
                <w:highlight w:val="none"/>
              </w:rPr>
              <w:t>仅供参考）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序号</w:t>
            </w:r>
          </w:p>
        </w:tc>
        <w:tc>
          <w:tcPr>
            <w:tcW w:w="2126"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分</w:t>
            </w:r>
            <w:r>
              <w:rPr>
                <w:rFonts w:ascii="宋体" w:hAnsi="宋体"/>
                <w:color w:val="auto"/>
                <w:sz w:val="21"/>
                <w:szCs w:val="21"/>
                <w:highlight w:val="none"/>
              </w:rPr>
              <w:t>项名称</w:t>
            </w:r>
          </w:p>
        </w:tc>
        <w:tc>
          <w:tcPr>
            <w:tcW w:w="3119" w:type="dxa"/>
            <w:gridSpan w:val="2"/>
            <w:vAlign w:val="top"/>
          </w:tcPr>
          <w:p>
            <w:pPr>
              <w:pStyle w:val="2"/>
              <w:rPr>
                <w:rFonts w:ascii="宋体" w:hAnsi="宋体"/>
                <w:color w:val="auto"/>
                <w:sz w:val="21"/>
                <w:szCs w:val="21"/>
                <w:highlight w:val="none"/>
              </w:rPr>
            </w:pPr>
            <w:r>
              <w:rPr>
                <w:rFonts w:hint="eastAsia" w:ascii="宋体" w:hAnsi="宋体"/>
                <w:color w:val="auto"/>
                <w:sz w:val="21"/>
                <w:szCs w:val="21"/>
                <w:highlight w:val="none"/>
              </w:rPr>
              <w:t>有</w:t>
            </w:r>
            <w:r>
              <w:rPr>
                <w:rFonts w:ascii="宋体" w:hAnsi="宋体"/>
                <w:color w:val="auto"/>
                <w:sz w:val="21"/>
                <w:szCs w:val="21"/>
                <w:highlight w:val="none"/>
              </w:rPr>
              <w:t>偿服务内容</w:t>
            </w:r>
          </w:p>
        </w:tc>
        <w:tc>
          <w:tcPr>
            <w:tcW w:w="1701"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单价/费</w:t>
            </w:r>
            <w:r>
              <w:rPr>
                <w:rFonts w:ascii="宋体" w:hAnsi="宋体"/>
                <w:color w:val="auto"/>
                <w:sz w:val="21"/>
                <w:szCs w:val="21"/>
                <w:highlight w:val="none"/>
              </w:rPr>
              <w:t>用</w:t>
            </w:r>
          </w:p>
        </w:tc>
        <w:tc>
          <w:tcPr>
            <w:tcW w:w="1701"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1</w:t>
            </w:r>
          </w:p>
        </w:tc>
        <w:tc>
          <w:tcPr>
            <w:tcW w:w="2126" w:type="dxa"/>
            <w:vAlign w:val="top"/>
          </w:tcPr>
          <w:p>
            <w:pPr>
              <w:pStyle w:val="2"/>
              <w:rPr>
                <w:rFonts w:ascii="宋体" w:hAnsi="宋体"/>
                <w:color w:val="auto"/>
                <w:sz w:val="21"/>
                <w:szCs w:val="21"/>
                <w:highlight w:val="none"/>
              </w:rPr>
            </w:pPr>
          </w:p>
        </w:tc>
        <w:tc>
          <w:tcPr>
            <w:tcW w:w="3119" w:type="dxa"/>
            <w:gridSpan w:val="2"/>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pStyle w:val="2"/>
              <w:rPr>
                <w:rFonts w:ascii="宋体" w:hAnsi="宋体"/>
                <w:color w:val="auto"/>
                <w:sz w:val="21"/>
                <w:szCs w:val="21"/>
                <w:highlight w:val="none"/>
              </w:rPr>
            </w:pPr>
            <w:r>
              <w:rPr>
                <w:rFonts w:hint="eastAsia" w:ascii="宋体" w:hAnsi="宋体"/>
                <w:color w:val="auto"/>
                <w:sz w:val="21"/>
                <w:szCs w:val="21"/>
                <w:highlight w:val="none"/>
              </w:rPr>
              <w:t>2</w:t>
            </w:r>
          </w:p>
        </w:tc>
        <w:tc>
          <w:tcPr>
            <w:tcW w:w="2126" w:type="dxa"/>
            <w:vAlign w:val="top"/>
          </w:tcPr>
          <w:p>
            <w:pPr>
              <w:pStyle w:val="2"/>
              <w:rPr>
                <w:rFonts w:ascii="宋体" w:hAnsi="宋体"/>
                <w:color w:val="auto"/>
                <w:sz w:val="21"/>
                <w:szCs w:val="21"/>
                <w:highlight w:val="none"/>
              </w:rPr>
            </w:pPr>
          </w:p>
        </w:tc>
        <w:tc>
          <w:tcPr>
            <w:tcW w:w="3119" w:type="dxa"/>
            <w:gridSpan w:val="2"/>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pStyle w:val="2"/>
              <w:rPr>
                <w:rFonts w:ascii="宋体" w:hAnsi="宋体"/>
                <w:color w:val="auto"/>
                <w:sz w:val="21"/>
                <w:szCs w:val="21"/>
                <w:highlight w:val="none"/>
              </w:rPr>
            </w:pPr>
            <w:r>
              <w:rPr>
                <w:rFonts w:ascii="宋体" w:hAnsi="宋体"/>
                <w:color w:val="auto"/>
                <w:sz w:val="21"/>
                <w:szCs w:val="21"/>
                <w:highlight w:val="none"/>
              </w:rPr>
              <w:t>……</w:t>
            </w:r>
          </w:p>
        </w:tc>
        <w:tc>
          <w:tcPr>
            <w:tcW w:w="2126" w:type="dxa"/>
            <w:vAlign w:val="top"/>
          </w:tcPr>
          <w:p>
            <w:pPr>
              <w:pStyle w:val="2"/>
              <w:rPr>
                <w:rFonts w:ascii="宋体" w:hAnsi="宋体"/>
                <w:color w:val="auto"/>
                <w:sz w:val="21"/>
                <w:szCs w:val="21"/>
                <w:highlight w:val="none"/>
              </w:rPr>
            </w:pPr>
          </w:p>
        </w:tc>
        <w:tc>
          <w:tcPr>
            <w:tcW w:w="3119" w:type="dxa"/>
            <w:gridSpan w:val="2"/>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c>
          <w:tcPr>
            <w:tcW w:w="1701" w:type="dxa"/>
            <w:vAlign w:val="top"/>
          </w:tcPr>
          <w:p>
            <w:pPr>
              <w:pStyle w:val="2"/>
              <w:rPr>
                <w:rFonts w:ascii="宋体" w:hAnsi="宋体"/>
                <w:color w:val="auto"/>
                <w:sz w:val="21"/>
                <w:szCs w:val="21"/>
                <w:highlight w:val="none"/>
              </w:rPr>
            </w:pPr>
          </w:p>
        </w:tc>
      </w:tr>
    </w:tbl>
    <w:p>
      <w:pPr>
        <w:spacing w:line="500" w:lineRule="exact"/>
        <w:rPr>
          <w:rFonts w:hint="eastAsia" w:ascii="宋体" w:hAnsi="宋体"/>
          <w:color w:val="auto"/>
          <w:highlight w:val="none"/>
          <w:u w:val="single"/>
        </w:rPr>
      </w:pPr>
      <w:r>
        <w:rPr>
          <w:rFonts w:hint="eastAsia"/>
          <w:color w:val="auto"/>
          <w:spacing w:val="4"/>
          <w:highlight w:val="none"/>
        </w:rPr>
        <w:t>投标人名称（盖公章）：</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rFonts w:hint="eastAsia"/>
          <w:color w:val="auto"/>
          <w:spacing w:val="4"/>
          <w:highlight w:val="non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spacing w:line="400" w:lineRule="exact"/>
        <w:ind w:left="750" w:hanging="749" w:hangingChars="357"/>
        <w:rPr>
          <w:rFonts w:hint="eastAsia" w:ascii="宋体" w:hAnsi="宋体"/>
          <w:color w:val="auto"/>
          <w:highlight w:val="none"/>
        </w:rPr>
      </w:pPr>
      <w:r>
        <w:rPr>
          <w:rFonts w:hint="eastAsia" w:ascii="宋体" w:hAnsi="宋体"/>
          <w:color w:val="auto"/>
          <w:highlight w:val="none"/>
        </w:rPr>
        <w:t>注：</w:t>
      </w:r>
    </w:p>
    <w:p>
      <w:pPr>
        <w:numPr>
          <w:ilvl w:val="0"/>
          <w:numId w:val="61"/>
        </w:numPr>
        <w:snapToGrid w:val="0"/>
        <w:spacing w:line="360" w:lineRule="auto"/>
        <w:rPr>
          <w:rFonts w:hint="eastAsia" w:ascii="宋体" w:hAnsi="宋体"/>
          <w:color w:val="auto"/>
          <w:highlight w:val="none"/>
        </w:rPr>
      </w:pPr>
      <w:r>
        <w:rPr>
          <w:rFonts w:hint="eastAsia" w:ascii="宋体" w:hAnsi="宋体"/>
          <w:color w:val="auto"/>
          <w:highlight w:val="none"/>
        </w:rPr>
        <w:t>此表为《开标一览表(报价表)》的报价明细表。</w:t>
      </w:r>
    </w:p>
    <w:p>
      <w:pPr>
        <w:numPr>
          <w:ilvl w:val="0"/>
          <w:numId w:val="61"/>
        </w:numPr>
        <w:snapToGrid w:val="0"/>
        <w:spacing w:line="360" w:lineRule="auto"/>
        <w:rPr>
          <w:rFonts w:hint="eastAsia" w:ascii="宋体" w:hAnsi="宋体"/>
          <w:color w:val="auto"/>
          <w:highlight w:val="none"/>
        </w:rPr>
      </w:pPr>
      <w:r>
        <w:rPr>
          <w:rFonts w:hint="eastAsia" w:ascii="宋体" w:hAnsi="宋体"/>
          <w:color w:val="auto"/>
          <w:highlight w:val="none"/>
        </w:rPr>
        <w:t>投标人的详细报价表格式可自定。</w:t>
      </w:r>
    </w:p>
    <w:p>
      <w:pPr>
        <w:numPr>
          <w:ilvl w:val="0"/>
          <w:numId w:val="61"/>
        </w:numPr>
        <w:snapToGrid w:val="0"/>
        <w:spacing w:line="360" w:lineRule="auto"/>
        <w:rPr>
          <w:rFonts w:hint="eastAsia" w:ascii="宋体" w:hAnsi="宋体"/>
          <w:color w:val="auto"/>
          <w:highlight w:val="none"/>
        </w:rPr>
      </w:pPr>
      <w:r>
        <w:rPr>
          <w:rFonts w:hint="eastAsia" w:ascii="宋体" w:hAnsi="宋体"/>
          <w:color w:val="auto"/>
          <w:highlight w:val="none"/>
        </w:rPr>
        <w:t>属于《政府采购促进中小企业发展暂行办法》（财库[2011]181号）中规定的中小企业产品的，需在本表中详细列明。</w:t>
      </w:r>
    </w:p>
    <w:p>
      <w:pPr>
        <w:numPr>
          <w:ilvl w:val="0"/>
          <w:numId w:val="57"/>
        </w:numPr>
        <w:spacing w:line="440" w:lineRule="exact"/>
        <w:rPr>
          <w:rFonts w:hint="eastAsia" w:ascii="黑体" w:eastAsia="黑体"/>
          <w:bCs/>
          <w:color w:val="auto"/>
          <w:sz w:val="28"/>
          <w:highlight w:val="none"/>
        </w:rPr>
      </w:pPr>
      <w:r>
        <w:rPr>
          <w:b/>
          <w:bCs/>
          <w:color w:val="auto"/>
          <w:sz w:val="28"/>
          <w:highlight w:val="none"/>
        </w:rPr>
        <w:br w:type="page"/>
      </w:r>
    </w:p>
    <w:p>
      <w:pPr>
        <w:pStyle w:val="3"/>
        <w:adjustRightInd w:val="0"/>
        <w:snapToGrid w:val="0"/>
        <w:spacing w:before="120" w:beforeLines="50" w:after="120" w:afterLines="50" w:line="360" w:lineRule="auto"/>
        <w:jc w:val="center"/>
        <w:rPr>
          <w:b w:val="0"/>
          <w:color w:val="auto"/>
          <w:highlight w:val="none"/>
        </w:rPr>
      </w:pPr>
      <w:r>
        <w:rPr>
          <w:rFonts w:hint="eastAsia"/>
          <w:b w:val="0"/>
          <w:color w:val="auto"/>
          <w:highlight w:val="none"/>
        </w:rPr>
        <w:t>重要条款响应一览表</w:t>
      </w:r>
    </w:p>
    <w:p>
      <w:pPr>
        <w:spacing w:line="400" w:lineRule="exact"/>
        <w:ind w:left="945" w:leftChars="100" w:hanging="735" w:hangingChars="350"/>
        <w:rPr>
          <w:rFonts w:hint="eastAsia" w:ascii="宋体" w:hAnsi="宋体"/>
          <w:color w:val="auto"/>
          <w:highlight w:val="none"/>
        </w:rPr>
      </w:pPr>
      <w:r>
        <w:rPr>
          <w:rFonts w:hint="eastAsia" w:ascii="宋体" w:hAnsi="宋体"/>
          <w:color w:val="auto"/>
          <w:highlight w:val="none"/>
        </w:rPr>
        <w:t>说明：投标人必须对应招标文件</w:t>
      </w:r>
      <w:r>
        <w:rPr>
          <w:rFonts w:hint="eastAsia"/>
          <w:color w:val="auto"/>
          <w:highlight w:val="none"/>
        </w:rPr>
        <w:t>带“▲”的重要</w:t>
      </w:r>
      <w:r>
        <w:rPr>
          <w:rFonts w:hint="eastAsia" w:ascii="宋体" w:hAnsi="宋体"/>
          <w:color w:val="auto"/>
          <w:highlight w:val="none"/>
        </w:rPr>
        <w:t>条款逐条应答并按要求填写下表。</w:t>
      </w:r>
    </w:p>
    <w:p>
      <w:pPr>
        <w:widowControl/>
        <w:wordWrap w:val="0"/>
        <w:spacing w:line="360" w:lineRule="auto"/>
        <w:ind w:firstLine="210" w:firstLineChars="100"/>
        <w:jc w:val="left"/>
        <w:rPr>
          <w:rFonts w:ascii="宋体" w:hAnsi="宋体"/>
          <w:color w:val="auto"/>
          <w:highlight w:val="none"/>
        </w:rPr>
      </w:pPr>
      <w:r>
        <w:rPr>
          <w:rFonts w:hint="eastAsia" w:ascii="宋体" w:hAnsi="宋体"/>
          <w:color w:val="auto"/>
          <w:highlight w:val="none"/>
        </w:rPr>
        <w:t xml:space="preserve">投标人名称：                           </w:t>
      </w:r>
      <w:r>
        <w:rPr>
          <w:rFonts w:hint="eastAsia" w:ascii="宋体" w:hAnsi="宋体"/>
          <w:color w:val="auto"/>
          <w:highlight w:val="none"/>
          <w:lang w:val="en-US" w:eastAsia="zh-CN"/>
        </w:rPr>
        <w:t xml:space="preserve">  </w:t>
      </w:r>
      <w:r>
        <w:rPr>
          <w:rFonts w:hint="eastAsia" w:ascii="宋体" w:hAnsi="宋体"/>
          <w:color w:val="auto"/>
          <w:highlight w:val="none"/>
        </w:rPr>
        <w:t xml:space="preserve">     项目编号：</w:t>
      </w:r>
      <w:r>
        <w:rPr>
          <w:rFonts w:hint="eastAsia" w:ascii="宋体" w:hAnsi="宋体"/>
          <w:color w:val="auto"/>
          <w:highlight w:val="none"/>
          <w:lang w:eastAsia="zh-CN"/>
        </w:rPr>
        <w:t>GDZC-18GZ057</w:t>
      </w:r>
      <w:r>
        <w:rPr>
          <w:rFonts w:ascii="ˎ̥" w:hAnsi="ˎ̥" w:cs="宋体"/>
          <w:color w:val="auto"/>
          <w:kern w:val="0"/>
          <w:sz w:val="18"/>
          <w:szCs w:val="18"/>
          <w:highlight w:val="none"/>
        </w:rPr>
        <w:t> </w:t>
      </w:r>
    </w:p>
    <w:tbl>
      <w:tblPr>
        <w:tblStyle w:val="17"/>
        <w:tblW w:w="9000" w:type="dxa"/>
        <w:tblInd w:w="28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6"/>
        <w:gridCol w:w="2530"/>
        <w:gridCol w:w="2531"/>
        <w:gridCol w:w="2003"/>
        <w:gridCol w:w="1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496" w:type="dxa"/>
            <w:tcBorders>
              <w:top w:val="single" w:color="auto" w:sz="12" w:space="0"/>
              <w:bottom w:val="double" w:color="auto" w:sz="4" w:space="0"/>
            </w:tcBorders>
            <w:shd w:val="clear" w:color="auto" w:fill="EEECE1"/>
            <w:vAlign w:val="center"/>
          </w:tcPr>
          <w:p>
            <w:pPr>
              <w:spacing w:line="240" w:lineRule="auto"/>
              <w:jc w:val="center"/>
              <w:rPr>
                <w:rFonts w:hint="eastAsia" w:ascii="宋体" w:hAnsi="宋体"/>
                <w:color w:val="auto"/>
                <w:szCs w:val="21"/>
                <w:highlight w:val="none"/>
              </w:rPr>
            </w:pPr>
            <w:r>
              <w:rPr>
                <w:rFonts w:hint="eastAsia" w:ascii="宋体" w:hAnsi="宋体"/>
                <w:color w:val="auto"/>
                <w:szCs w:val="21"/>
                <w:highlight w:val="none"/>
              </w:rPr>
              <w:t>序号</w:t>
            </w:r>
          </w:p>
        </w:tc>
        <w:tc>
          <w:tcPr>
            <w:tcW w:w="2530" w:type="dxa"/>
            <w:tcBorders>
              <w:top w:val="single" w:color="auto" w:sz="12" w:space="0"/>
              <w:bottom w:val="double" w:color="auto" w:sz="4" w:space="0"/>
            </w:tcBorders>
            <w:shd w:val="clear" w:color="auto" w:fill="EEECE1"/>
            <w:vAlign w:val="center"/>
          </w:tcPr>
          <w:p>
            <w:pPr>
              <w:spacing w:line="240" w:lineRule="auto"/>
              <w:jc w:val="center"/>
              <w:rPr>
                <w:rFonts w:hint="eastAsia" w:ascii="宋体" w:hAnsi="宋体"/>
                <w:color w:val="auto"/>
                <w:highlight w:val="none"/>
              </w:rPr>
            </w:pPr>
            <w:r>
              <w:rPr>
                <w:rFonts w:hint="eastAsia" w:ascii="宋体" w:hAnsi="宋体"/>
                <w:color w:val="auto"/>
                <w:highlight w:val="none"/>
              </w:rPr>
              <w:t>原条款描述</w:t>
            </w:r>
          </w:p>
        </w:tc>
        <w:tc>
          <w:tcPr>
            <w:tcW w:w="2531" w:type="dxa"/>
            <w:tcBorders>
              <w:top w:val="single" w:color="auto" w:sz="12" w:space="0"/>
              <w:bottom w:val="double" w:color="auto" w:sz="4" w:space="0"/>
            </w:tcBorders>
            <w:shd w:val="clear" w:color="auto" w:fill="EEECE1"/>
            <w:vAlign w:val="center"/>
          </w:tcPr>
          <w:p>
            <w:pPr>
              <w:spacing w:line="240" w:lineRule="auto"/>
              <w:jc w:val="center"/>
              <w:rPr>
                <w:rFonts w:hint="eastAsia" w:ascii="宋体" w:hAnsi="宋体"/>
                <w:color w:val="auto"/>
                <w:highlight w:val="none"/>
              </w:rPr>
            </w:pPr>
            <w:r>
              <w:rPr>
                <w:rFonts w:hint="eastAsia" w:ascii="宋体" w:hAnsi="宋体"/>
                <w:color w:val="auto"/>
                <w:highlight w:val="none"/>
              </w:rPr>
              <w:t>投标人响应描述</w:t>
            </w:r>
          </w:p>
        </w:tc>
        <w:tc>
          <w:tcPr>
            <w:tcW w:w="2003" w:type="dxa"/>
            <w:tcBorders>
              <w:top w:val="single" w:color="auto" w:sz="12" w:space="0"/>
              <w:bottom w:val="double" w:color="auto" w:sz="4" w:space="0"/>
              <w:right w:val="single" w:color="auto" w:sz="2" w:space="0"/>
            </w:tcBorders>
            <w:shd w:val="clear" w:color="auto" w:fill="EEECE1"/>
            <w:vAlign w:val="center"/>
          </w:tcPr>
          <w:p>
            <w:pPr>
              <w:spacing w:line="240" w:lineRule="auto"/>
              <w:jc w:val="center"/>
              <w:rPr>
                <w:rFonts w:hint="eastAsia" w:ascii="宋体" w:hAnsi="宋体"/>
                <w:color w:val="auto"/>
                <w:highlight w:val="none"/>
              </w:rPr>
            </w:pPr>
            <w:r>
              <w:rPr>
                <w:rFonts w:hint="eastAsia" w:ascii="宋体" w:hAnsi="宋体"/>
                <w:color w:val="auto"/>
                <w:highlight w:val="none"/>
              </w:rPr>
              <w:t>偏离情况说明</w:t>
            </w:r>
          </w:p>
          <w:p>
            <w:pPr>
              <w:spacing w:line="240" w:lineRule="auto"/>
              <w:jc w:val="center"/>
              <w:rPr>
                <w:rFonts w:hint="eastAsia" w:ascii="宋体" w:hAnsi="宋体"/>
                <w:color w:val="auto"/>
                <w:highlight w:val="none"/>
              </w:rPr>
            </w:pPr>
            <w:r>
              <w:rPr>
                <w:rFonts w:hint="eastAsia" w:ascii="宋体" w:hAnsi="宋体"/>
                <w:color w:val="auto"/>
                <w:highlight w:val="none"/>
              </w:rPr>
              <w:t>（</w:t>
            </w:r>
            <w:r>
              <w:rPr>
                <w:rFonts w:hint="eastAsia"/>
                <w:color w:val="auto"/>
                <w:highlight w:val="none"/>
              </w:rPr>
              <w:t>正偏离/完全响应/负偏离</w:t>
            </w:r>
            <w:r>
              <w:rPr>
                <w:rFonts w:hint="eastAsia" w:ascii="宋体" w:hAnsi="宋体"/>
                <w:color w:val="auto"/>
                <w:highlight w:val="none"/>
              </w:rPr>
              <w:t>）</w:t>
            </w:r>
          </w:p>
        </w:tc>
        <w:tc>
          <w:tcPr>
            <w:tcW w:w="1440" w:type="dxa"/>
            <w:tcBorders>
              <w:top w:val="single" w:color="auto" w:sz="12" w:space="0"/>
              <w:left w:val="single" w:color="auto" w:sz="2" w:space="0"/>
              <w:bottom w:val="double" w:color="auto" w:sz="4" w:space="0"/>
            </w:tcBorders>
            <w:shd w:val="clear" w:color="auto" w:fill="EEECE1"/>
            <w:vAlign w:val="center"/>
          </w:tcPr>
          <w:p>
            <w:pPr>
              <w:spacing w:line="240" w:lineRule="auto"/>
              <w:jc w:val="center"/>
              <w:rPr>
                <w:rFonts w:hint="eastAsia" w:ascii="宋体" w:hAnsi="宋体"/>
                <w:color w:val="auto"/>
                <w:highlight w:val="none"/>
              </w:rPr>
            </w:pPr>
            <w:r>
              <w:rPr>
                <w:rFonts w:hint="eastAsia" w:ascii="宋体" w:hAnsi="宋体"/>
                <w:color w:val="auto"/>
                <w:highlight w:val="none"/>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tcBorders>
              <w:top w:val="double" w:color="auto" w:sz="4"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530" w:type="dxa"/>
            <w:tcBorders>
              <w:top w:val="double" w:color="auto" w:sz="4" w:space="0"/>
            </w:tcBorders>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b/>
                <w:bCs/>
                <w:color w:val="auto"/>
                <w:szCs w:val="20"/>
                <w:highlight w:val="none"/>
                <w:u w:val="none"/>
              </w:rPr>
              <w:t>▲</w:t>
            </w:r>
            <w:r>
              <w:rPr>
                <w:rFonts w:hint="eastAsia" w:ascii="宋体" w:hAnsi="宋体" w:eastAsia="宋体" w:cs="宋体"/>
                <w:color w:val="auto"/>
                <w:sz w:val="21"/>
                <w:szCs w:val="21"/>
                <w:highlight w:val="none"/>
              </w:rPr>
              <w:t>开发技术</w:t>
            </w:r>
          </w:p>
          <w:p>
            <w:pPr>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参考OAIS模型建立基于J2EE平台纯B/S架构，支持Oracle、SQL Server等数据库的标准化、可扩展、多馆协同的数据集中或分布式数字档案馆系统。</w:t>
            </w:r>
          </w:p>
        </w:tc>
        <w:tc>
          <w:tcPr>
            <w:tcW w:w="2531" w:type="dxa"/>
            <w:tcBorders>
              <w:top w:val="double" w:color="auto" w:sz="4" w:space="0"/>
            </w:tcBorders>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top w:val="double" w:color="auto" w:sz="4" w:space="0"/>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top w:val="double" w:color="auto" w:sz="4" w:space="0"/>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2530" w:type="dxa"/>
            <w:vAlign w:val="center"/>
          </w:tcPr>
          <w:p>
            <w:pPr>
              <w:pStyle w:val="2"/>
              <w:spacing w:before="0" w:after="0" w:line="240" w:lineRule="auto"/>
              <w:rPr>
                <w:rFonts w:hint="eastAsia" w:ascii="宋体" w:hAnsi="宋体" w:eastAsia="宋体" w:cs="宋体"/>
                <w:color w:val="auto"/>
                <w:sz w:val="21"/>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2</w:t>
            </w:r>
            <w:r>
              <w:rPr>
                <w:rFonts w:hint="eastAsia" w:ascii="宋体" w:hAnsi="宋体" w:cs="宋体"/>
                <w:color w:val="auto"/>
                <w:szCs w:val="21"/>
                <w:highlight w:val="none"/>
              </w:rPr>
              <w:t>、投标人须出具原厂商的产品授权代理书或针对本次项目的投标授权书</w:t>
            </w:r>
            <w:r>
              <w:rPr>
                <w:rFonts w:hint="eastAsia" w:ascii="宋体" w:hAnsi="宋体" w:cs="宋体"/>
                <w:color w:val="auto"/>
                <w:szCs w:val="21"/>
                <w:highlight w:val="none"/>
                <w:lang w:eastAsia="zh-CN"/>
              </w:rPr>
              <w:t>复印件（原件核查）</w:t>
            </w:r>
            <w:r>
              <w:rPr>
                <w:rFonts w:hint="eastAsia" w:ascii="宋体" w:hAnsi="宋体" w:cs="宋体"/>
                <w:color w:val="auto"/>
                <w:szCs w:val="21"/>
                <w:highlight w:val="none"/>
              </w:rPr>
              <w:t>。</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2530" w:type="dxa"/>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b/>
                <w:bCs/>
                <w:color w:val="auto"/>
                <w:szCs w:val="20"/>
                <w:highlight w:val="none"/>
              </w:rPr>
              <w:t>▲</w:t>
            </w:r>
            <w:r>
              <w:rPr>
                <w:rFonts w:hint="eastAsia" w:ascii="宋体" w:hAnsi="宋体" w:eastAsia="宋体" w:cs="宋体"/>
                <w:color w:val="auto"/>
                <w:sz w:val="21"/>
                <w:szCs w:val="21"/>
                <w:highlight w:val="none"/>
              </w:rPr>
              <w:t>在数据著录功能中，提供快速著录的相关功能，允许在进行新数据著录的同时，可以将从指定的条目信息中携带下来指定的著录项内容，以减少著录工作的工作量。</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2530" w:type="dxa"/>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b/>
                <w:bCs/>
                <w:color w:val="auto"/>
                <w:szCs w:val="20"/>
                <w:highlight w:val="none"/>
              </w:rPr>
              <w:t>▲</w:t>
            </w:r>
            <w:r>
              <w:rPr>
                <w:rFonts w:hint="eastAsia" w:ascii="宋体" w:hAnsi="宋体" w:eastAsia="宋体" w:cs="宋体"/>
                <w:color w:val="auto"/>
                <w:sz w:val="21"/>
                <w:szCs w:val="21"/>
                <w:highlight w:val="none"/>
              </w:rPr>
              <w:t>提供深度多次检索功能，能针对查询结果再次进行查询</w:t>
            </w:r>
            <w:r>
              <w:rPr>
                <w:rFonts w:hint="eastAsia" w:ascii="宋体" w:hAnsi="宋体" w:cs="宋体"/>
                <w:color w:val="auto"/>
                <w:sz w:val="21"/>
                <w:szCs w:val="21"/>
                <w:highlight w:val="none"/>
                <w:lang w:eastAsia="zh-CN"/>
              </w:rPr>
              <w:t>。</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2530" w:type="dxa"/>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b/>
                <w:bCs/>
                <w:color w:val="auto"/>
                <w:szCs w:val="20"/>
                <w:highlight w:val="none"/>
              </w:rPr>
              <w:t>▲</w:t>
            </w:r>
            <w:r>
              <w:rPr>
                <w:rFonts w:hint="eastAsia" w:ascii="宋体" w:hAnsi="宋体" w:eastAsia="宋体" w:cs="宋体"/>
                <w:color w:val="auto"/>
                <w:sz w:val="21"/>
                <w:szCs w:val="21"/>
                <w:highlight w:val="none"/>
              </w:rPr>
              <w:t>借阅管理功能应包括对利用者以及利用的目的、时间、内容、效果等信息的记录、分析、统计以及档案催退、续借退还等功能。</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2530" w:type="dxa"/>
            <w:vAlign w:val="center"/>
          </w:tcPr>
          <w:p>
            <w:pPr>
              <w:pStyle w:val="2"/>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7、</w:t>
            </w:r>
            <w:r>
              <w:rPr>
                <w:rFonts w:hint="eastAsia" w:ascii="宋体"/>
                <w:b/>
                <w:bCs/>
                <w:color w:val="auto"/>
                <w:szCs w:val="20"/>
                <w:highlight w:val="none"/>
              </w:rPr>
              <w:t>▲</w:t>
            </w:r>
            <w:r>
              <w:rPr>
                <w:rFonts w:hint="eastAsia" w:ascii="宋体" w:hAnsi="宋体" w:eastAsia="宋体" w:cs="宋体"/>
                <w:color w:val="auto"/>
                <w:sz w:val="21"/>
                <w:szCs w:val="21"/>
                <w:highlight w:val="none"/>
              </w:rPr>
              <w:t>提供综合业务查询功能，完成对档案信息的跨库、跨类、跨全宗的数据检索，并且针对于照片档案，系统需要提供缩略图的显示功能，以便于利用人员快速定位到所需要的照片档案。</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2530" w:type="dxa"/>
            <w:vAlign w:val="center"/>
          </w:tcPr>
          <w:p>
            <w:pPr>
              <w:widowControl/>
              <w:numPr>
                <w:ilvl w:val="0"/>
                <w:numId w:val="0"/>
              </w:numPr>
              <w:spacing w:line="240" w:lineRule="auto"/>
              <w:ind w:left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b/>
                <w:bCs/>
                <w:color w:val="auto"/>
                <w:szCs w:val="20"/>
                <w:highlight w:val="none"/>
              </w:rPr>
              <w:t>▲</w:t>
            </w:r>
            <w:r>
              <w:rPr>
                <w:rFonts w:hint="eastAsia" w:ascii="宋体" w:hAnsi="宋体" w:eastAsia="宋体" w:cs="宋体"/>
                <w:color w:val="auto"/>
                <w:sz w:val="21"/>
                <w:szCs w:val="21"/>
                <w:highlight w:val="none"/>
              </w:rPr>
              <w:t>系统访问控制，必须能实现严格的三员管理权限控制，并具有防止越权操作的技术措施。</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2530" w:type="dxa"/>
            <w:vAlign w:val="center"/>
          </w:tcPr>
          <w:p>
            <w:pPr>
              <w:pStyle w:val="2"/>
              <w:spacing w:line="240" w:lineRule="auto"/>
              <w:rPr>
                <w:rFonts w:hint="eastAsia" w:ascii="宋体" w:hAnsi="宋体" w:eastAsia="宋体" w:cs="宋体"/>
                <w:color w:val="auto"/>
                <w:sz w:val="21"/>
                <w:szCs w:val="21"/>
                <w:highlight w:val="none"/>
              </w:rPr>
            </w:pPr>
            <w:r>
              <w:rPr>
                <w:rFonts w:hint="eastAsia" w:ascii="宋体" w:hAnsi="宋体" w:cs="宋体"/>
                <w:color w:val="auto"/>
                <w:szCs w:val="21"/>
                <w:highlight w:val="none"/>
              </w:rPr>
              <w:t>5、▲支持电子文件防扩散等安全机制，实现离线文件的防扩散控制，控制文件的阅读次数、打印次数和阅读期限，并且系统对文件进行了数字签名，用于确认文件的来源和文件的完整性，防止被人进行伪造。</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2530" w:type="dxa"/>
            <w:vAlign w:val="center"/>
          </w:tcPr>
          <w:p>
            <w:pPr>
              <w:widowControl/>
              <w:numPr>
                <w:ilvl w:val="0"/>
                <w:numId w:val="0"/>
              </w:numPr>
              <w:spacing w:line="240" w:lineRule="auto"/>
              <w:ind w:left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b/>
                <w:bCs/>
                <w:color w:val="auto"/>
                <w:szCs w:val="20"/>
                <w:highlight w:val="none"/>
              </w:rPr>
              <w:t>▲</w:t>
            </w:r>
            <w:r>
              <w:rPr>
                <w:rFonts w:hint="eastAsia" w:ascii="宋体" w:hAnsi="宋体" w:eastAsia="宋体" w:cs="宋体"/>
                <w:color w:val="auto"/>
                <w:sz w:val="21"/>
                <w:szCs w:val="21"/>
                <w:highlight w:val="none"/>
              </w:rPr>
              <w:t>系统日志管理应提供独立于操作系统的电子文件、档案查询日志记录功能，包括上机人姓名、访问时间(年月日时分)、所用微机编号、查询内容、利用方式(阅读、修改、拷贝、打印)，并提供详情查询功能。日志文件保存时间应不少于两个月，需长期保存的日志文件可自动转存备份。</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2530" w:type="dxa"/>
            <w:vAlign w:val="center"/>
          </w:tcPr>
          <w:p>
            <w:pPr>
              <w:widowControl/>
              <w:numPr>
                <w:ilvl w:val="0"/>
                <w:numId w:val="0"/>
              </w:numPr>
              <w:spacing w:line="240" w:lineRule="auto"/>
              <w:ind w:leftChars="0"/>
              <w:jc w:val="left"/>
              <w:rPr>
                <w:rFonts w:hint="eastAsia" w:ascii="宋体" w:hAnsi="宋体" w:eastAsia="宋体" w:cs="宋体"/>
                <w:color w:val="auto"/>
                <w:sz w:val="21"/>
                <w:szCs w:val="21"/>
                <w:highlight w:val="none"/>
                <w:lang w:eastAsia="zh-CN"/>
              </w:rPr>
            </w:pPr>
            <w:r>
              <w:rPr>
                <w:rFonts w:hint="eastAsia" w:ascii="宋体"/>
                <w:b/>
                <w:bCs/>
                <w:color w:val="auto"/>
                <w:szCs w:val="20"/>
                <w:highlight w:val="none"/>
                <w:u w:val="none"/>
              </w:rPr>
              <w:t>▲</w:t>
            </w:r>
            <w:r>
              <w:rPr>
                <w:rFonts w:hint="eastAsia" w:ascii="宋体" w:hAnsi="宋体" w:eastAsia="宋体" w:cs="宋体"/>
                <w:color w:val="auto"/>
                <w:kern w:val="0"/>
                <w:sz w:val="21"/>
                <w:szCs w:val="21"/>
                <w:highlight w:val="none"/>
              </w:rPr>
              <w:t>服务</w:t>
            </w:r>
            <w:r>
              <w:rPr>
                <w:rFonts w:hint="eastAsia" w:ascii="宋体" w:hAnsi="宋体" w:cs="宋体"/>
                <w:color w:val="auto"/>
                <w:kern w:val="0"/>
                <w:sz w:val="21"/>
                <w:szCs w:val="21"/>
                <w:highlight w:val="none"/>
                <w:lang w:eastAsia="zh-CN"/>
              </w:rPr>
              <w:t>：2年7×24小时电话支持</w:t>
            </w:r>
            <w:r>
              <w:rPr>
                <w:rFonts w:hint="eastAsia" w:ascii="宋体" w:hAnsi="宋体" w:eastAsia="宋体" w:cs="宋体"/>
                <w:color w:val="auto"/>
                <w:kern w:val="0"/>
                <w:sz w:val="21"/>
                <w:szCs w:val="21"/>
                <w:highlight w:val="none"/>
              </w:rPr>
              <w:t>，全国部分城市宕机4小时上门服务，可</w:t>
            </w:r>
            <w:r>
              <w:rPr>
                <w:rFonts w:hint="eastAsia" w:ascii="宋体" w:hAnsi="宋体" w:cs="宋体"/>
                <w:color w:val="auto"/>
                <w:kern w:val="0"/>
                <w:sz w:val="21"/>
                <w:szCs w:val="21"/>
                <w:highlight w:val="none"/>
                <w:lang w:eastAsia="zh-CN"/>
              </w:rPr>
              <w:t>上门</w:t>
            </w:r>
            <w:r>
              <w:rPr>
                <w:rFonts w:hint="eastAsia" w:ascii="宋体" w:hAnsi="宋体" w:eastAsia="宋体" w:cs="宋体"/>
                <w:color w:val="auto"/>
                <w:kern w:val="0"/>
                <w:sz w:val="21"/>
                <w:szCs w:val="21"/>
                <w:highlight w:val="none"/>
              </w:rPr>
              <w:t>服务包括:原厂上架安装或系统安装服务，原厂3年故障硬盘免回收服务，原厂硬盘数据丢失拯救服务；为保证设备的可靠性服务，要求提供原厂针对本项目的授权</w:t>
            </w:r>
            <w:r>
              <w:rPr>
                <w:rFonts w:hint="eastAsia" w:ascii="宋体" w:hAnsi="宋体" w:cs="宋体"/>
                <w:color w:val="auto"/>
                <w:kern w:val="0"/>
                <w:sz w:val="21"/>
                <w:szCs w:val="21"/>
                <w:highlight w:val="none"/>
                <w:lang w:eastAsia="zh-CN"/>
              </w:rPr>
              <w:t>复印件</w:t>
            </w:r>
            <w:r>
              <w:rPr>
                <w:rFonts w:hint="eastAsia" w:ascii="宋体" w:hAnsi="宋体" w:eastAsia="宋体" w:cs="宋体"/>
                <w:color w:val="auto"/>
                <w:kern w:val="0"/>
                <w:sz w:val="21"/>
                <w:szCs w:val="21"/>
                <w:highlight w:val="none"/>
              </w:rPr>
              <w:t>和售后服务承诺函</w:t>
            </w:r>
            <w:r>
              <w:rPr>
                <w:rFonts w:hint="eastAsia" w:ascii="宋体" w:hAnsi="宋体" w:cs="宋体"/>
                <w:color w:val="auto"/>
                <w:kern w:val="0"/>
                <w:sz w:val="21"/>
                <w:szCs w:val="21"/>
                <w:highlight w:val="none"/>
                <w:lang w:eastAsia="zh-CN"/>
              </w:rPr>
              <w:t>复印件（原件核查）</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2530" w:type="dxa"/>
            <w:vAlign w:val="center"/>
          </w:tcPr>
          <w:p>
            <w:pPr>
              <w:widowControl/>
              <w:numPr>
                <w:ilvl w:val="0"/>
                <w:numId w:val="0"/>
              </w:numPr>
              <w:spacing w:line="240" w:lineRule="auto"/>
              <w:ind w:leftChars="0"/>
              <w:jc w:val="left"/>
              <w:rPr>
                <w:rFonts w:hint="eastAsia" w:ascii="宋体" w:hAnsi="宋体" w:eastAsia="宋体" w:cs="宋体"/>
                <w:color w:val="auto"/>
                <w:kern w:val="0"/>
                <w:sz w:val="21"/>
                <w:szCs w:val="21"/>
                <w:highlight w:val="none"/>
                <w:lang w:eastAsia="zh-CN"/>
              </w:rPr>
            </w:pPr>
            <w:r>
              <w:rPr>
                <w:rFonts w:hint="eastAsia" w:ascii="宋体"/>
                <w:b/>
                <w:bCs/>
                <w:color w:val="auto"/>
                <w:szCs w:val="20"/>
                <w:highlight w:val="none"/>
                <w:u w:val="none"/>
              </w:rPr>
              <w:t>▲</w:t>
            </w:r>
            <w:r>
              <w:rPr>
                <w:rFonts w:hint="eastAsia" w:ascii="宋体" w:hAnsi="宋体" w:eastAsia="宋体" w:cs="宋体"/>
                <w:color w:val="auto"/>
                <w:kern w:val="0"/>
                <w:sz w:val="21"/>
                <w:szCs w:val="21"/>
                <w:highlight w:val="none"/>
              </w:rPr>
              <w:t>售后服务</w:t>
            </w:r>
            <w:r>
              <w:rPr>
                <w:rFonts w:hint="eastAsia" w:ascii="宋体" w:hAnsi="宋体" w:cs="宋体"/>
                <w:color w:val="auto"/>
                <w:kern w:val="0"/>
                <w:sz w:val="21"/>
                <w:szCs w:val="21"/>
                <w:highlight w:val="none"/>
                <w:lang w:eastAsia="zh-CN"/>
              </w:rPr>
              <w:t>：提供2年原厂当地现场售后服务【</w:t>
            </w:r>
            <w:r>
              <w:rPr>
                <w:rFonts w:hint="eastAsia" w:ascii="宋体" w:hAnsi="宋体" w:eastAsia="宋体" w:cs="宋体"/>
                <w:color w:val="auto"/>
                <w:kern w:val="0"/>
                <w:sz w:val="21"/>
                <w:szCs w:val="21"/>
                <w:highlight w:val="none"/>
              </w:rPr>
              <w:t>提供授权函</w:t>
            </w:r>
            <w:r>
              <w:rPr>
                <w:rFonts w:hint="eastAsia" w:ascii="宋体" w:hAnsi="宋体" w:cs="宋体"/>
                <w:color w:val="auto"/>
                <w:kern w:val="0"/>
                <w:sz w:val="21"/>
                <w:szCs w:val="21"/>
                <w:highlight w:val="none"/>
                <w:lang w:eastAsia="zh-CN"/>
              </w:rPr>
              <w:t>复印件及</w:t>
            </w:r>
            <w:r>
              <w:rPr>
                <w:rFonts w:hint="eastAsia" w:ascii="宋体" w:hAnsi="宋体" w:eastAsia="宋体" w:cs="宋体"/>
                <w:color w:val="auto"/>
                <w:kern w:val="0"/>
                <w:sz w:val="21"/>
                <w:szCs w:val="21"/>
                <w:highlight w:val="none"/>
              </w:rPr>
              <w:t>售后服务承诺函</w:t>
            </w:r>
            <w:r>
              <w:rPr>
                <w:rFonts w:hint="eastAsia" w:ascii="宋体" w:hAnsi="宋体" w:cs="宋体"/>
                <w:color w:val="auto"/>
                <w:kern w:val="0"/>
                <w:sz w:val="21"/>
                <w:szCs w:val="21"/>
                <w:highlight w:val="none"/>
                <w:lang w:eastAsia="zh-CN"/>
              </w:rPr>
              <w:t>复印件（原件核查）】</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2530" w:type="dxa"/>
            <w:vAlign w:val="center"/>
          </w:tcPr>
          <w:p>
            <w:pPr>
              <w:widowControl/>
              <w:numPr>
                <w:ilvl w:val="0"/>
                <w:numId w:val="0"/>
              </w:numPr>
              <w:spacing w:line="240" w:lineRule="auto"/>
              <w:ind w:left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4.▲支持终端使用包括IE6、7、8、10、11或其他IE内核的浏览器，以及最新版本的非IE内核浏览器，如Windows EDGE，Google Chrome，Firefox，Safari，Opera最新版登录SSLVPN系统，登录后可完整支持各种IP层以上的B/S和C/S应用；</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p>
        </w:tc>
        <w:tc>
          <w:tcPr>
            <w:tcW w:w="2530" w:type="dxa"/>
            <w:vAlign w:val="center"/>
          </w:tcPr>
          <w:p>
            <w:pPr>
              <w:widowControl/>
              <w:numPr>
                <w:ilvl w:val="0"/>
                <w:numId w:val="0"/>
              </w:numPr>
              <w:spacing w:line="240" w:lineRule="auto"/>
              <w:ind w:left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1.▲可支持虚拟门户功能，在一台设备上配置不同的访问域名、IP地址，以及不同的使用界面，实现一台设备为多个不同用户群体服务的的使用效果； </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w:t>
            </w:r>
          </w:p>
        </w:tc>
        <w:tc>
          <w:tcPr>
            <w:tcW w:w="2530" w:type="dxa"/>
            <w:vAlign w:val="center"/>
          </w:tcPr>
          <w:p>
            <w:pPr>
              <w:widowControl/>
              <w:numPr>
                <w:ilvl w:val="0"/>
                <w:numId w:val="0"/>
              </w:numPr>
              <w:spacing w:line="240" w:lineRule="auto"/>
              <w:ind w:left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1.▲产品必须支持防中间人攻击，并可在用户登录SSLVPN时智能判断存在中间人攻击行为，断开被攻击的连接，并可提示异常现象。（提供合法知识产权证明）；</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w:t>
            </w:r>
          </w:p>
        </w:tc>
        <w:tc>
          <w:tcPr>
            <w:tcW w:w="2530" w:type="dxa"/>
            <w:vAlign w:val="center"/>
          </w:tcPr>
          <w:p>
            <w:pPr>
              <w:widowControl/>
              <w:numPr>
                <w:ilvl w:val="0"/>
                <w:numId w:val="0"/>
              </w:numPr>
              <w:spacing w:line="240" w:lineRule="auto"/>
              <w:ind w:left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3.▲支持主从认证账号绑定，必须实现SSL VPN账号与应用系统账号的唯一绑定，VPN资源中的系统只能以指定账号登陆，加强身份认证，防止登录SSL VPN后冒名登录应用系统；</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w:t>
            </w:r>
          </w:p>
        </w:tc>
        <w:tc>
          <w:tcPr>
            <w:tcW w:w="2530" w:type="dxa"/>
            <w:vAlign w:val="center"/>
          </w:tcPr>
          <w:p>
            <w:pPr>
              <w:spacing w:line="24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▲必须支持至少4条以上的外网多线路配置；并在设备单臂部署模式下，多线路接入前置网关，仅依靠SSLVPN设备同样可实现SSLVPN接入用户的多线路自动优选功能（提供合法知识产权证明）；</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w:t>
            </w:r>
          </w:p>
        </w:tc>
        <w:tc>
          <w:tcPr>
            <w:tcW w:w="2530" w:type="dxa"/>
            <w:vAlign w:val="center"/>
          </w:tcPr>
          <w:p>
            <w:pPr>
              <w:numPr>
                <w:ilvl w:val="0"/>
                <w:numId w:val="0"/>
              </w:numPr>
              <w:spacing w:line="240" w:lineRule="auto"/>
              <w:ind w:leftChars="0"/>
              <w:rPr>
                <w:rStyle w:val="19"/>
                <w:rFonts w:hint="eastAsia" w:ascii="宋体" w:hAnsi="宋体" w:eastAsia="宋体" w:cs="宋体"/>
                <w:color w:val="auto"/>
                <w:sz w:val="21"/>
                <w:szCs w:val="21"/>
                <w:highlight w:val="none"/>
              </w:rPr>
            </w:pPr>
            <w:r>
              <w:rPr>
                <w:rStyle w:val="19"/>
                <w:rFonts w:hint="eastAsia" w:ascii="宋体" w:hAnsi="宋体" w:cs="宋体"/>
                <w:color w:val="auto"/>
                <w:sz w:val="21"/>
                <w:szCs w:val="21"/>
                <w:highlight w:val="none"/>
                <w:lang w:val="en-US" w:eastAsia="zh-CN"/>
              </w:rPr>
              <w:t>2、</w:t>
            </w:r>
            <w:r>
              <w:rPr>
                <w:rStyle w:val="19"/>
                <w:rFonts w:hint="eastAsia" w:ascii="宋体" w:hAnsi="宋体" w:eastAsia="宋体" w:cs="宋体"/>
                <w:color w:val="auto"/>
                <w:sz w:val="21"/>
                <w:szCs w:val="21"/>
                <w:highlight w:val="none"/>
              </w:rPr>
              <w:t>▲支持启用多线路时，自动检测故障线路，并自动踢出故障线路；一旦线路恢复，可在一定时间内自动恢复。支持启用多线路时，自定义用户访问选路策略，包括按上/下行带宽，轮询，按优先级等方式。（提供合法知识产权证明）；</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w:t>
            </w:r>
          </w:p>
        </w:tc>
        <w:tc>
          <w:tcPr>
            <w:tcW w:w="2530" w:type="dxa"/>
            <w:vAlign w:val="center"/>
          </w:tcPr>
          <w:p>
            <w:pPr>
              <w:numPr>
                <w:ilvl w:val="0"/>
                <w:numId w:val="0"/>
              </w:numPr>
              <w:spacing w:line="240" w:lineRule="auto"/>
              <w:ind w:leftChars="0"/>
              <w:rPr>
                <w:rStyle w:val="19"/>
                <w:rFonts w:hint="eastAsia" w:ascii="宋体" w:hAnsi="宋体" w:eastAsia="宋体" w:cs="宋体"/>
                <w:color w:val="auto"/>
                <w:sz w:val="21"/>
                <w:szCs w:val="21"/>
                <w:highlight w:val="none"/>
              </w:rPr>
            </w:pPr>
            <w:r>
              <w:rPr>
                <w:rFonts w:hint="eastAsia" w:ascii="宋体"/>
                <w:b/>
                <w:bCs/>
                <w:color w:val="auto"/>
                <w:szCs w:val="20"/>
                <w:highlight w:val="none"/>
                <w:u w:val="none"/>
                <w:lang w:val="en-US" w:eastAsia="zh-CN"/>
              </w:rPr>
              <w:t>3、</w:t>
            </w:r>
            <w:r>
              <w:rPr>
                <w:rFonts w:hint="eastAsia" w:ascii="宋体"/>
                <w:b/>
                <w:bCs/>
                <w:color w:val="auto"/>
                <w:szCs w:val="20"/>
                <w:highlight w:val="none"/>
                <w:u w:val="none"/>
              </w:rPr>
              <w:t>▲</w:t>
            </w:r>
            <w:r>
              <w:rPr>
                <w:rFonts w:hint="eastAsia" w:ascii="宋体" w:hAnsi="宋体" w:eastAsia="宋体" w:cs="宋体"/>
                <w:color w:val="auto"/>
                <w:kern w:val="0"/>
                <w:sz w:val="21"/>
                <w:szCs w:val="21"/>
                <w:highlight w:val="none"/>
              </w:rPr>
              <w:t>支持利用网页进行动态寻址的方法，客户端无需安装插件、不依靠IP地址库、不依赖于第三方动态IP寻址、直接根据速度探测实现用户端接入线路的自动优选,用户通过访问寻址代理页面（简称Webagent页面），通过Webagent页面自动寻找VPN设备IP(非DDNS）。（提供合法知识产权证明）；</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19</w:t>
            </w:r>
          </w:p>
        </w:tc>
        <w:tc>
          <w:tcPr>
            <w:tcW w:w="2530" w:type="dxa"/>
            <w:vAlign w:val="center"/>
          </w:tcPr>
          <w:p>
            <w:pPr>
              <w:numPr>
                <w:ilvl w:val="0"/>
                <w:numId w:val="0"/>
              </w:numPr>
              <w:spacing w:line="240" w:lineRule="auto"/>
              <w:ind w:leftChars="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5.▲支持非对称式部署的传输协议优化技术（单边加速），不用在用户终端上安装任何插件和软件，即可提升用户访问应用服务的速度。(提供配置界面截图及第三方评测报告复印件作为证明文件) ；</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20</w:t>
            </w:r>
          </w:p>
        </w:tc>
        <w:tc>
          <w:tcPr>
            <w:tcW w:w="2530" w:type="dxa"/>
            <w:vAlign w:val="center"/>
          </w:tcPr>
          <w:p>
            <w:pPr>
              <w:numPr>
                <w:ilvl w:val="0"/>
                <w:numId w:val="0"/>
              </w:numPr>
              <w:spacing w:line="240" w:lineRule="auto"/>
              <w:ind w:leftChars="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6、▲支持HTP快速传输协议，大幅优化无线环境（CDMA、GPRS、WIFI、3G）、高丢包、高延等恶劣网络环境下传输速度及效率；支持根据网络境自动选择并切换至最优的传输协议（提供配置界面截图为证明文件）；</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21</w:t>
            </w:r>
          </w:p>
        </w:tc>
        <w:tc>
          <w:tcPr>
            <w:tcW w:w="2530" w:type="dxa"/>
            <w:vAlign w:val="center"/>
          </w:tcPr>
          <w:p>
            <w:pPr>
              <w:numPr>
                <w:ilvl w:val="0"/>
                <w:numId w:val="0"/>
              </w:numPr>
              <w:spacing w:line="240" w:lineRule="auto"/>
              <w:ind w:leftChars="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7.▲支持针对不同的web页面进行数据优化，支持动态压缩技术，基于数据流进行压缩，减少不必要的数据传输。（提供界面配置截图，并提供合法知识产权证明）；</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22</w:t>
            </w:r>
          </w:p>
        </w:tc>
        <w:tc>
          <w:tcPr>
            <w:tcW w:w="2530" w:type="dxa"/>
            <w:vAlign w:val="center"/>
          </w:tcPr>
          <w:p>
            <w:pPr>
              <w:numPr>
                <w:ilvl w:val="0"/>
                <w:numId w:val="0"/>
              </w:numPr>
              <w:spacing w:line="240" w:lineRule="auto"/>
              <w:ind w:leftChars="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8、▲针对B/S资源支持WebCache技术，动态缓存页面元素，提高Web页面响应速度。支持流缓存技术，实现网关与网关、网关与移动客户端之间进行多磁盘、双向、基于分片数据包的字节流缓存加速，削减冗余数据，降低带宽压力的同时提高访问速度；支持共享流缓存功能，实现多分支网关在总部共享流缓存数据，提高流缓存效果（提供界面配置截图，并提供合法知识产权证明）；</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23</w:t>
            </w:r>
          </w:p>
        </w:tc>
        <w:tc>
          <w:tcPr>
            <w:tcW w:w="2530" w:type="dxa"/>
            <w:vAlign w:val="center"/>
          </w:tcPr>
          <w:p>
            <w:pPr>
              <w:numPr>
                <w:ilvl w:val="0"/>
                <w:numId w:val="0"/>
              </w:numPr>
              <w:spacing w:line="240" w:lineRule="auto"/>
              <w:ind w:leftChars="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3、▲支持15级以上用户组树形结构分级管理，下级组可继承上级组的角色，资源及认证方式等属性；</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24</w:t>
            </w:r>
          </w:p>
        </w:tc>
        <w:tc>
          <w:tcPr>
            <w:tcW w:w="2530" w:type="dxa"/>
            <w:vAlign w:val="center"/>
          </w:tcPr>
          <w:p>
            <w:pPr>
              <w:numPr>
                <w:ilvl w:val="0"/>
                <w:numId w:val="0"/>
              </w:numPr>
              <w:spacing w:line="240" w:lineRule="auto"/>
              <w:ind w:leftChars="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1.▲支持基于自组域简化部署VPN网络的方法，即当有多台设备处于VPN网络中时，通过连接任意节点的VPN设备，即相当于连入整个VPN网络；（提供合法知识产权证明）</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25</w:t>
            </w:r>
          </w:p>
        </w:tc>
        <w:tc>
          <w:tcPr>
            <w:tcW w:w="2530" w:type="dxa"/>
            <w:vAlign w:val="center"/>
          </w:tcPr>
          <w:p>
            <w:pPr>
              <w:numPr>
                <w:ilvl w:val="0"/>
                <w:numId w:val="0"/>
              </w:numPr>
              <w:spacing w:line="240" w:lineRule="auto"/>
              <w:ind w:leftChars="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3.▲在负载均衡集群部署模式下，支持授权漂移，即当集群中一台设备宕机，该宕机设备中的并发授权自动迁移到其他正常的设备中，而无需额外购买授权；</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26</w:t>
            </w:r>
          </w:p>
        </w:tc>
        <w:tc>
          <w:tcPr>
            <w:tcW w:w="2530" w:type="dxa"/>
            <w:vAlign w:val="center"/>
          </w:tcPr>
          <w:p>
            <w:pPr>
              <w:numPr>
                <w:ilvl w:val="0"/>
                <w:numId w:val="0"/>
              </w:numPr>
              <w:spacing w:line="240" w:lineRule="auto"/>
              <w:ind w:leftChars="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4、▲产品必须支持经过集成的，基于Android IOS平台的第三方软件开发包（SDK），并实现基于Android IOS平台第三方应用软件（APP）代码量不超过20行。支持针对移动APP的VPN安全代码的自动封装，实现App应用的安全加固（提供界面截图作为证明文件）。</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27</w:t>
            </w:r>
          </w:p>
        </w:tc>
        <w:tc>
          <w:tcPr>
            <w:tcW w:w="2530" w:type="dxa"/>
            <w:vAlign w:val="center"/>
          </w:tcPr>
          <w:p>
            <w:pPr>
              <w:numPr>
                <w:ilvl w:val="0"/>
                <w:numId w:val="0"/>
              </w:numPr>
              <w:spacing w:line="240" w:lineRule="auto"/>
              <w:ind w:leftChars="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17.▲产品应该支持企业级“云盘”（又名“网盘”、“文件共享”）功能，即可以通过手机、PC、IPAD的客户端，将数据、文件同步到云端或和分享到终端；也能够能够支持分享给他人；</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28</w:t>
            </w:r>
          </w:p>
        </w:tc>
        <w:tc>
          <w:tcPr>
            <w:tcW w:w="2530" w:type="dxa"/>
            <w:vAlign w:val="center"/>
          </w:tcPr>
          <w:p>
            <w:pPr>
              <w:numPr>
                <w:ilvl w:val="0"/>
                <w:numId w:val="0"/>
              </w:numPr>
              <w:spacing w:line="240" w:lineRule="auto"/>
              <w:ind w:leftChars="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19.▲远程应用发布数据传输过程中使用SSLVPN协议加密，保证了数据传输的合法性和安全性；</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29</w:t>
            </w:r>
          </w:p>
        </w:tc>
        <w:tc>
          <w:tcPr>
            <w:tcW w:w="2530" w:type="dxa"/>
            <w:vAlign w:val="center"/>
          </w:tcPr>
          <w:p>
            <w:pPr>
              <w:numPr>
                <w:ilvl w:val="0"/>
                <w:numId w:val="0"/>
              </w:numPr>
              <w:spacing w:line="240" w:lineRule="auto"/>
              <w:ind w:leftChars="0"/>
              <w:rPr>
                <w:rFonts w:hint="eastAsia" w:ascii="宋体" w:hAnsi="宋体" w:cs="宋体"/>
                <w:color w:val="auto"/>
                <w:sz w:val="21"/>
                <w:szCs w:val="21"/>
                <w:highlight w:val="none"/>
                <w:lang w:val="en-US" w:eastAsia="zh-CN"/>
              </w:rPr>
            </w:pPr>
            <w:r>
              <w:rPr>
                <w:rFonts w:hint="eastAsia" w:ascii="宋体" w:hAnsi="宋体" w:cs="宋体"/>
                <w:color w:val="auto"/>
                <w:kern w:val="0"/>
                <w:szCs w:val="21"/>
                <w:highlight w:val="none"/>
                <w:lang w:val="en-US" w:eastAsia="zh-CN"/>
              </w:rPr>
              <w:t>20.</w:t>
            </w:r>
            <w:r>
              <w:rPr>
                <w:rFonts w:hint="eastAsia" w:ascii="宋体" w:hAnsi="宋体" w:cs="宋体"/>
                <w:color w:val="auto"/>
                <w:kern w:val="0"/>
                <w:szCs w:val="21"/>
                <w:highlight w:val="none"/>
              </w:rPr>
              <w:t>▲</w:t>
            </w:r>
            <w:r>
              <w:rPr>
                <w:rFonts w:hint="eastAsia" w:ascii="宋体" w:hAnsi="宋体" w:eastAsia="宋体" w:cs="宋体"/>
                <w:color w:val="auto"/>
                <w:kern w:val="0"/>
                <w:sz w:val="21"/>
                <w:szCs w:val="21"/>
                <w:highlight w:val="none"/>
              </w:rPr>
              <w:t>支持改写WindowsRDP协议，经改写的协议必须独立于OS运行环境，避免跨平台兼容性，针对图像数据，服务端必须支持有损压缩算法；服务端必须能够支持过滤动态内容（gif/flash/video）以减少传输流量，且根据客户需要配置。（必须提供配置界面截图</w:t>
            </w:r>
            <w:r>
              <w:rPr>
                <w:rFonts w:hint="eastAsia" w:ascii="宋体" w:hAnsi="宋体" w:eastAsia="宋体" w:cs="宋体"/>
                <w:color w:val="auto"/>
                <w:kern w:val="0"/>
                <w:sz w:val="21"/>
                <w:szCs w:val="21"/>
                <w:highlight w:val="none"/>
                <w:lang w:eastAsia="zh-CN"/>
              </w:rPr>
              <w:t>作为证明文件</w:t>
            </w:r>
            <w:r>
              <w:rPr>
                <w:rFonts w:hint="eastAsia" w:ascii="宋体" w:hAnsi="宋体" w:eastAsia="宋体" w:cs="宋体"/>
                <w:color w:val="auto"/>
                <w:kern w:val="0"/>
                <w:sz w:val="21"/>
                <w:szCs w:val="21"/>
                <w:highlight w:val="none"/>
              </w:rPr>
              <w:t>）</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30</w:t>
            </w:r>
          </w:p>
        </w:tc>
        <w:tc>
          <w:tcPr>
            <w:tcW w:w="2530" w:type="dxa"/>
            <w:vAlign w:val="center"/>
          </w:tcPr>
          <w:p>
            <w:pPr>
              <w:numPr>
                <w:ilvl w:val="0"/>
                <w:numId w:val="0"/>
              </w:numPr>
              <w:spacing w:line="240" w:lineRule="auto"/>
              <w:ind w:leftChars="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6.▲扫描速度:</w:t>
            </w:r>
          </w:p>
          <w:p>
            <w:pPr>
              <w:numPr>
                <w:ilvl w:val="0"/>
                <w:numId w:val="0"/>
              </w:numPr>
              <w:spacing w:line="240" w:lineRule="auto"/>
              <w:ind w:leftChars="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8位灰度&amp; mono @200dpi/秒</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36.67厘米/秒 =10.7米/分钟</w:t>
            </w:r>
          </w:p>
          <w:p>
            <w:pPr>
              <w:numPr>
                <w:ilvl w:val="0"/>
                <w:numId w:val="0"/>
              </w:numPr>
              <w:spacing w:line="240" w:lineRule="auto"/>
              <w:ind w:leftChars="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24位彩色 @200dpi/秒</w:t>
            </w:r>
            <w:r>
              <w:rPr>
                <w:rFonts w:hint="eastAsia" w:ascii="宋体" w:hAnsi="宋体" w:cs="宋体"/>
                <w:color w:val="auto"/>
                <w:sz w:val="21"/>
                <w:szCs w:val="21"/>
                <w:highlight w:val="none"/>
                <w:lang w:val="en-US" w:eastAsia="zh-CN"/>
              </w:rPr>
              <w:tab/>
            </w:r>
            <w:r>
              <w:rPr>
                <w:rFonts w:hint="eastAsia" w:ascii="宋体" w:hAnsi="宋体" w:cs="宋体"/>
                <w:color w:val="auto"/>
                <w:sz w:val="21"/>
                <w:szCs w:val="21"/>
                <w:highlight w:val="none"/>
                <w:lang w:val="en-US" w:eastAsia="zh-CN"/>
              </w:rPr>
              <w:t xml:space="preserve"> 17.78厘米/秒 =22米/分钟</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31</w:t>
            </w:r>
          </w:p>
        </w:tc>
        <w:tc>
          <w:tcPr>
            <w:tcW w:w="2530" w:type="dxa"/>
            <w:vAlign w:val="center"/>
          </w:tcPr>
          <w:p>
            <w:pPr>
              <w:numPr>
                <w:ilvl w:val="0"/>
                <w:numId w:val="0"/>
              </w:numPr>
              <w:spacing w:line="240" w:lineRule="auto"/>
              <w:ind w:leftChars="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8.▲成像技术：单一扫描头数字成像技术（CIS），单一是整体连接的图像传感器</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32</w:t>
            </w:r>
          </w:p>
        </w:tc>
        <w:tc>
          <w:tcPr>
            <w:tcW w:w="2530" w:type="dxa"/>
            <w:vAlign w:val="center"/>
          </w:tcPr>
          <w:p>
            <w:pPr>
              <w:numPr>
                <w:ilvl w:val="0"/>
                <w:numId w:val="0"/>
              </w:numPr>
              <w:spacing w:line="240" w:lineRule="auto"/>
              <w:ind w:leftChars="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9.▲光源系统：双向长寿命LED照明灯照明系统最有效优化并支持瞬动扫描功能</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33</w:t>
            </w:r>
          </w:p>
        </w:tc>
        <w:tc>
          <w:tcPr>
            <w:tcW w:w="2530" w:type="dxa"/>
            <w:vAlign w:val="center"/>
          </w:tcPr>
          <w:p>
            <w:pPr>
              <w:numPr>
                <w:ilvl w:val="0"/>
                <w:numId w:val="0"/>
              </w:numPr>
              <w:spacing w:line="240" w:lineRule="auto"/>
              <w:ind w:leftChars="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13.▲介质传送系统：SureDrive:单一向上施压主动驱动式压纸滚筒系统；图像朝上平放、前进后出或前进扫描后返回（扫描后返回可选择且可安装回纸挡板）</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34</w:t>
            </w:r>
          </w:p>
        </w:tc>
        <w:tc>
          <w:tcPr>
            <w:tcW w:w="2530" w:type="dxa"/>
            <w:vAlign w:val="center"/>
          </w:tcPr>
          <w:p>
            <w:pPr>
              <w:numPr>
                <w:ilvl w:val="0"/>
                <w:numId w:val="0"/>
              </w:numPr>
              <w:spacing w:line="240" w:lineRule="auto"/>
              <w:ind w:leftChars="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19.▲标配软件：SmartWorks_EZ Touch及Smss v1.0档案系统，简单，直观的用户界面为触摸屏操作设计。功能：扫描到文件/复制/电子邮件/打印/USB/存储设备可实时调节图像亮度、调整预设和选择预定义的文档。可扫描TIFF，JPG，PDF，PNG等文件类型。专业扫描软件。最好的图像存档解决方案,扫描更效率。“一次扫描，任意调整”功能。</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35</w:t>
            </w:r>
          </w:p>
        </w:tc>
        <w:tc>
          <w:tcPr>
            <w:tcW w:w="2530" w:type="dxa"/>
            <w:vAlign w:val="center"/>
          </w:tcPr>
          <w:p>
            <w:pPr>
              <w:numPr>
                <w:ilvl w:val="0"/>
                <w:numId w:val="0"/>
              </w:numPr>
              <w:spacing w:line="240" w:lineRule="auto"/>
              <w:ind w:leftChars="0"/>
              <w:rPr>
                <w:rFonts w:hint="eastAsia" w:ascii="宋体" w:hAnsi="宋体" w:cs="宋体"/>
                <w:color w:val="auto"/>
                <w:sz w:val="21"/>
                <w:szCs w:val="21"/>
                <w:highlight w:val="none"/>
                <w:lang w:val="en-US" w:eastAsia="zh-CN"/>
              </w:rPr>
            </w:pPr>
            <w:r>
              <w:rPr>
                <w:rFonts w:hint="eastAsia" w:ascii="宋体"/>
                <w:b/>
                <w:bCs/>
                <w:color w:val="auto"/>
                <w:szCs w:val="20"/>
                <w:highlight w:val="none"/>
                <w:u w:val="none"/>
                <w:lang w:val="en-US" w:eastAsia="zh-CN"/>
              </w:rPr>
              <w:t>21.</w:t>
            </w:r>
            <w:r>
              <w:rPr>
                <w:rFonts w:hint="eastAsia" w:ascii="宋体"/>
                <w:b/>
                <w:bCs/>
                <w:color w:val="auto"/>
                <w:szCs w:val="20"/>
                <w:highlight w:val="none"/>
                <w:u w:val="none"/>
              </w:rPr>
              <w:t>▲</w:t>
            </w:r>
            <w:r>
              <w:rPr>
                <w:rFonts w:hint="eastAsia" w:ascii="宋体" w:hAnsi="宋体" w:eastAsia="宋体" w:cs="宋体"/>
                <w:color w:val="auto"/>
                <w:sz w:val="21"/>
                <w:szCs w:val="21"/>
                <w:highlight w:val="none"/>
              </w:rPr>
              <w:t>相关证明：为保证供货渠道的合法性，投标人必须提供硬件设备生产厂商出具的针对本项目的授权书和售后服务承诺书</w:t>
            </w:r>
            <w:r>
              <w:rPr>
                <w:rFonts w:hint="eastAsia" w:ascii="宋体" w:hAnsi="宋体" w:cs="宋体"/>
                <w:color w:val="auto"/>
                <w:sz w:val="21"/>
                <w:szCs w:val="21"/>
                <w:highlight w:val="none"/>
                <w:lang w:eastAsia="zh-CN"/>
              </w:rPr>
              <w:t>复印件（原件核查）</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36</w:t>
            </w:r>
          </w:p>
        </w:tc>
        <w:tc>
          <w:tcPr>
            <w:tcW w:w="2530" w:type="dxa"/>
            <w:vAlign w:val="center"/>
          </w:tcPr>
          <w:p>
            <w:pPr>
              <w:pStyle w:val="9"/>
              <w:spacing w:line="240" w:lineRule="auto"/>
              <w:rPr>
                <w:rFonts w:hint="eastAsia" w:ascii="宋体" w:hAnsi="宋体" w:eastAsia="宋体" w:cs="宋体"/>
                <w:color w:val="auto"/>
                <w:sz w:val="21"/>
                <w:szCs w:val="21"/>
                <w:highlight w:val="none"/>
                <w:lang w:eastAsia="zh-CN"/>
              </w:rPr>
            </w:pPr>
            <w:r>
              <w:rPr>
                <w:rFonts w:hint="eastAsia" w:ascii="宋体"/>
                <w:b/>
                <w:bCs/>
                <w:color w:val="auto"/>
                <w:szCs w:val="20"/>
                <w:highlight w:val="none"/>
                <w:u w:val="none"/>
              </w:rPr>
              <w:t>▲</w:t>
            </w:r>
            <w:r>
              <w:rPr>
                <w:rFonts w:hint="eastAsia" w:ascii="宋体" w:hAnsi="宋体" w:eastAsia="宋体" w:cs="宋体"/>
                <w:color w:val="auto"/>
                <w:sz w:val="21"/>
                <w:szCs w:val="21"/>
                <w:highlight w:val="none"/>
              </w:rPr>
              <w:t xml:space="preserve">货物验收及培训： </w:t>
            </w:r>
            <w:r>
              <w:rPr>
                <w:rFonts w:hint="eastAsia" w:ascii="宋体" w:hAnsi="宋体" w:cs="宋体"/>
                <w:color w:val="auto"/>
                <w:sz w:val="21"/>
                <w:szCs w:val="21"/>
                <w:highlight w:val="none"/>
                <w:lang w:eastAsia="zh-CN"/>
              </w:rPr>
              <w:t>（投标时提供相关承诺函作为证明材料）</w:t>
            </w:r>
          </w:p>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（1）中标人必须在供货时，提供大幅面扫描仪原厂供货证明（原件）作为验收依据。</w:t>
            </w:r>
          </w:p>
          <w:p>
            <w:pPr>
              <w:spacing w:line="240" w:lineRule="auto"/>
              <w:ind w:left="0" w:leftChars="0" w:hanging="5"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（2）中标人必须在供货时，提供大幅面扫描仪原厂质保与服务承诺函（原件），确保得到原厂服务，作为验收依据。</w:t>
            </w:r>
          </w:p>
          <w:p>
            <w:pPr>
              <w:numPr>
                <w:ilvl w:val="0"/>
                <w:numId w:val="0"/>
              </w:numPr>
              <w:spacing w:line="240" w:lineRule="auto"/>
              <w:ind w:leftChars="0"/>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招标人</w:t>
            </w:r>
            <w:r>
              <w:rPr>
                <w:rFonts w:hint="eastAsia" w:ascii="宋体" w:hAnsi="宋体" w:eastAsia="宋体" w:cs="宋体"/>
                <w:color w:val="auto"/>
                <w:sz w:val="21"/>
                <w:szCs w:val="21"/>
                <w:highlight w:val="none"/>
              </w:rPr>
              <w:t>对货物的数量和质量进行初步验收后，对不符合要求的货物可立即要求退换；在</w:t>
            </w:r>
            <w:r>
              <w:rPr>
                <w:rFonts w:hint="eastAsia" w:ascii="宋体" w:hAnsi="宋体" w:eastAsia="宋体" w:cs="宋体"/>
                <w:color w:val="auto"/>
                <w:sz w:val="21"/>
                <w:szCs w:val="21"/>
                <w:highlight w:val="none"/>
                <w:lang w:eastAsia="zh-CN"/>
              </w:rPr>
              <w:t>招标人</w:t>
            </w:r>
            <w:r>
              <w:rPr>
                <w:rFonts w:hint="eastAsia" w:ascii="宋体" w:hAnsi="宋体" w:eastAsia="宋体" w:cs="宋体"/>
                <w:color w:val="auto"/>
                <w:sz w:val="21"/>
                <w:szCs w:val="21"/>
                <w:highlight w:val="none"/>
              </w:rPr>
              <w:t>将所有的货物按采购文件要求和国家标准或行业标准进行检测验收后，由厂家专业人员培训以及厂家专业服务。</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37</w:t>
            </w:r>
          </w:p>
        </w:tc>
        <w:tc>
          <w:tcPr>
            <w:tcW w:w="2530" w:type="dxa"/>
            <w:vAlign w:val="center"/>
          </w:tcPr>
          <w:p>
            <w:pPr>
              <w:numPr>
                <w:ilvl w:val="0"/>
                <w:numId w:val="0"/>
              </w:numPr>
              <w:spacing w:line="240" w:lineRule="auto"/>
              <w:ind w:leftChars="0"/>
              <w:rPr>
                <w:rFonts w:hint="eastAsia" w:ascii="宋体" w:hAnsi="宋体" w:eastAsia="宋体" w:cs="宋体"/>
                <w:color w:val="auto"/>
                <w:sz w:val="21"/>
                <w:szCs w:val="21"/>
                <w:highlight w:val="none"/>
                <w:lang w:val="en-US" w:eastAsia="zh-CN"/>
              </w:rPr>
            </w:pPr>
            <w:r>
              <w:rPr>
                <w:rFonts w:hint="eastAsia" w:ascii="宋体"/>
                <w:b/>
                <w:bCs/>
                <w:color w:val="auto"/>
                <w:szCs w:val="20"/>
                <w:highlight w:val="none"/>
                <w:u w:val="none"/>
              </w:rPr>
              <w:t>▲</w:t>
            </w:r>
            <w:r>
              <w:rPr>
                <w:rFonts w:hint="eastAsia" w:ascii="宋体" w:hAnsi="宋体" w:eastAsia="宋体" w:cs="宋体"/>
                <w:color w:val="auto"/>
                <w:sz w:val="21"/>
                <w:szCs w:val="21"/>
                <w:highlight w:val="none"/>
              </w:rPr>
              <w:t>进纸器/升降台</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自动250张升降台设计，每批放纸最大250张/80g</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38</w:t>
            </w:r>
          </w:p>
        </w:tc>
        <w:tc>
          <w:tcPr>
            <w:tcW w:w="2530" w:type="dxa"/>
            <w:vAlign w:val="center"/>
          </w:tcPr>
          <w:p>
            <w:pPr>
              <w:numPr>
                <w:ilvl w:val="0"/>
                <w:numId w:val="0"/>
              </w:numPr>
              <w:spacing w:line="240" w:lineRule="auto"/>
              <w:ind w:leftChars="0"/>
              <w:rPr>
                <w:rFonts w:hint="eastAsia" w:ascii="宋体" w:hAnsi="宋体" w:eastAsia="宋体" w:cs="宋体"/>
                <w:color w:val="auto"/>
                <w:sz w:val="21"/>
                <w:szCs w:val="21"/>
                <w:highlight w:val="none"/>
                <w:lang w:val="en-US" w:eastAsia="zh-CN"/>
              </w:rPr>
            </w:pPr>
            <w:r>
              <w:rPr>
                <w:rFonts w:hint="eastAsia" w:ascii="宋体"/>
                <w:b/>
                <w:bCs/>
                <w:color w:val="auto"/>
                <w:szCs w:val="20"/>
                <w:highlight w:val="none"/>
                <w:u w:val="none"/>
              </w:rPr>
              <w:t>▲</w:t>
            </w:r>
            <w:r>
              <w:rPr>
                <w:rFonts w:hint="eastAsia" w:ascii="宋体" w:hAnsi="宋体" w:eastAsia="宋体" w:cs="宋体"/>
                <w:color w:val="auto"/>
                <w:sz w:val="21"/>
                <w:szCs w:val="21"/>
                <w:highlight w:val="none"/>
              </w:rPr>
              <w:t>纸张通道选项</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直通道和U型通道两种方式并有手动档位设置控件</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39</w:t>
            </w:r>
          </w:p>
        </w:tc>
        <w:tc>
          <w:tcPr>
            <w:tcW w:w="2530" w:type="dxa"/>
            <w:vAlign w:val="center"/>
          </w:tcPr>
          <w:p>
            <w:pPr>
              <w:numPr>
                <w:ilvl w:val="0"/>
                <w:numId w:val="0"/>
              </w:numPr>
              <w:spacing w:line="240" w:lineRule="auto"/>
              <w:ind w:leftChars="0"/>
              <w:rPr>
                <w:rFonts w:hint="eastAsia" w:ascii="宋体" w:hAnsi="宋体" w:eastAsia="宋体" w:cs="宋体"/>
                <w:color w:val="auto"/>
                <w:sz w:val="21"/>
                <w:szCs w:val="21"/>
                <w:highlight w:val="none"/>
                <w:lang w:val="en-US" w:eastAsia="zh-CN"/>
              </w:rPr>
            </w:pPr>
            <w:r>
              <w:rPr>
                <w:rFonts w:hint="eastAsia" w:ascii="宋体"/>
                <w:b/>
                <w:bCs/>
                <w:color w:val="auto"/>
                <w:szCs w:val="20"/>
                <w:highlight w:val="none"/>
                <w:u w:val="none"/>
              </w:rPr>
              <w:t>▲</w:t>
            </w:r>
            <w:r>
              <w:rPr>
                <w:rFonts w:hint="eastAsia" w:ascii="宋体" w:hAnsi="宋体" w:eastAsia="宋体" w:cs="宋体"/>
                <w:color w:val="auto"/>
                <w:sz w:val="21"/>
                <w:szCs w:val="21"/>
                <w:highlight w:val="none"/>
              </w:rPr>
              <w:t>标配软件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 xml:space="preserve">标配 TWAIN、ISIS 和 WIA 驱动程序； Capture Desktop Software；Paperport v11.2、 Smart Touch、Smss 档案管理软件 </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40</w:t>
            </w:r>
          </w:p>
        </w:tc>
        <w:tc>
          <w:tcPr>
            <w:tcW w:w="2530" w:type="dxa"/>
            <w:vAlign w:val="center"/>
          </w:tcPr>
          <w:p>
            <w:pPr>
              <w:numPr>
                <w:ilvl w:val="0"/>
                <w:numId w:val="0"/>
              </w:numPr>
              <w:spacing w:line="240" w:lineRule="auto"/>
              <w:ind w:leftChars="0"/>
              <w:rPr>
                <w:rFonts w:hint="eastAsia" w:ascii="宋体" w:hAnsi="宋体" w:eastAsia="宋体" w:cs="宋体"/>
                <w:color w:val="auto"/>
                <w:sz w:val="21"/>
                <w:szCs w:val="21"/>
                <w:highlight w:val="none"/>
                <w:lang w:val="en-US" w:eastAsia="zh-CN"/>
              </w:rPr>
            </w:pPr>
            <w:r>
              <w:rPr>
                <w:rFonts w:hint="eastAsia" w:ascii="宋体"/>
                <w:b/>
                <w:bCs/>
                <w:color w:val="auto"/>
                <w:szCs w:val="20"/>
                <w:highlight w:val="none"/>
                <w:u w:val="none"/>
              </w:rPr>
              <w:t>▲</w:t>
            </w:r>
            <w:r>
              <w:rPr>
                <w:rFonts w:hint="eastAsia" w:ascii="宋体" w:hAnsi="宋体" w:eastAsia="宋体" w:cs="宋体"/>
                <w:color w:val="auto"/>
                <w:sz w:val="21"/>
                <w:szCs w:val="21"/>
                <w:highlight w:val="none"/>
              </w:rPr>
              <w:t>服务</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一年原厂上门服务售后服务保障</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提供</w:t>
            </w:r>
            <w:r>
              <w:rPr>
                <w:rFonts w:hint="eastAsia" w:ascii="宋体" w:hAnsi="宋体" w:cs="宋体"/>
                <w:color w:val="auto"/>
                <w:kern w:val="0"/>
                <w:sz w:val="21"/>
                <w:szCs w:val="21"/>
                <w:highlight w:val="none"/>
                <w:lang w:eastAsia="zh-CN"/>
              </w:rPr>
              <w:t>原厂</w:t>
            </w:r>
            <w:r>
              <w:rPr>
                <w:rFonts w:hint="eastAsia" w:ascii="宋体" w:hAnsi="宋体" w:eastAsia="宋体" w:cs="宋体"/>
                <w:color w:val="auto"/>
                <w:kern w:val="0"/>
                <w:sz w:val="21"/>
                <w:szCs w:val="21"/>
                <w:highlight w:val="none"/>
              </w:rPr>
              <w:t>授权函</w:t>
            </w:r>
            <w:r>
              <w:rPr>
                <w:rFonts w:hint="eastAsia" w:ascii="宋体" w:hAnsi="宋体" w:cs="宋体"/>
                <w:color w:val="auto"/>
                <w:kern w:val="0"/>
                <w:sz w:val="21"/>
                <w:szCs w:val="21"/>
                <w:highlight w:val="none"/>
                <w:lang w:eastAsia="zh-CN"/>
              </w:rPr>
              <w:t>复印件及</w:t>
            </w:r>
            <w:r>
              <w:rPr>
                <w:rFonts w:hint="eastAsia" w:ascii="宋体" w:hAnsi="宋体" w:eastAsia="宋体" w:cs="宋体"/>
                <w:color w:val="auto"/>
                <w:kern w:val="0"/>
                <w:sz w:val="21"/>
                <w:szCs w:val="21"/>
                <w:highlight w:val="none"/>
              </w:rPr>
              <w:t>售后服务承诺函</w:t>
            </w:r>
            <w:r>
              <w:rPr>
                <w:rFonts w:hint="eastAsia" w:ascii="宋体" w:hAnsi="宋体" w:cs="宋体"/>
                <w:color w:val="auto"/>
                <w:kern w:val="0"/>
                <w:sz w:val="21"/>
                <w:szCs w:val="21"/>
                <w:highlight w:val="none"/>
                <w:lang w:eastAsia="zh-CN"/>
              </w:rPr>
              <w:t>复印件（原件核查）】</w:t>
            </w:r>
          </w:p>
        </w:tc>
        <w:tc>
          <w:tcPr>
            <w:tcW w:w="2531" w:type="dxa"/>
            <w:vAlign w:val="center"/>
          </w:tcPr>
          <w:p>
            <w:pPr>
              <w:spacing w:line="240" w:lineRule="auto"/>
              <w:jc w:val="center"/>
              <w:rPr>
                <w:rFonts w:hint="eastAsia" w:ascii="宋体" w:hAnsi="宋体" w:eastAsia="宋体" w:cs="宋体"/>
                <w:color w:val="auto"/>
                <w:sz w:val="21"/>
                <w:szCs w:val="21"/>
                <w:highlight w:val="none"/>
              </w:rPr>
            </w:pPr>
          </w:p>
        </w:tc>
        <w:tc>
          <w:tcPr>
            <w:tcW w:w="2003" w:type="dxa"/>
            <w:tcBorders>
              <w:right w:val="single" w:color="auto" w:sz="2" w:space="0"/>
            </w:tcBorders>
            <w:vAlign w:val="center"/>
          </w:tcPr>
          <w:p>
            <w:pPr>
              <w:spacing w:line="240" w:lineRule="auto"/>
              <w:jc w:val="center"/>
              <w:rPr>
                <w:rFonts w:hint="eastAsia" w:ascii="宋体" w:hAnsi="宋体" w:eastAsia="宋体" w:cs="宋体"/>
                <w:color w:val="auto"/>
                <w:sz w:val="21"/>
                <w:szCs w:val="21"/>
                <w:highlight w:val="none"/>
              </w:rPr>
            </w:pPr>
          </w:p>
        </w:tc>
        <w:tc>
          <w:tcPr>
            <w:tcW w:w="1440" w:type="dxa"/>
            <w:tcBorders>
              <w:left w:val="single" w:color="auto" w:sz="2" w:space="0"/>
            </w:tcBorders>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bl>
    <w:p>
      <w:pPr>
        <w:spacing w:line="500" w:lineRule="exact"/>
        <w:ind w:firstLine="436" w:firstLineChars="200"/>
        <w:rPr>
          <w:rFonts w:hint="eastAsia"/>
          <w:color w:val="auto"/>
          <w:spacing w:val="4"/>
          <w:highlight w:val="none"/>
        </w:rPr>
      </w:pPr>
    </w:p>
    <w:p>
      <w:pPr>
        <w:spacing w:line="500" w:lineRule="exact"/>
        <w:rPr>
          <w:rFonts w:hint="eastAsia" w:ascii="宋体" w:hAnsi="宋体"/>
          <w:color w:val="auto"/>
          <w:highlight w:val="none"/>
          <w:u w:val="single"/>
        </w:rPr>
      </w:pPr>
      <w:r>
        <w:rPr>
          <w:rFonts w:hint="eastAsia"/>
          <w:color w:val="auto"/>
          <w:spacing w:val="4"/>
          <w:highlight w:val="none"/>
        </w:rPr>
        <w:t>投标人名称（盖公章）：</w:t>
      </w:r>
      <w:r>
        <w:rPr>
          <w:rFonts w:hint="eastAsia"/>
          <w:color w:val="auto"/>
          <w:spacing w:val="4"/>
          <w:highlight w:val="none"/>
          <w:u w:val="single"/>
        </w:rPr>
        <w:t xml:space="preserve">                             </w:t>
      </w:r>
    </w:p>
    <w:p>
      <w:pPr>
        <w:rPr>
          <w:rFonts w:hint="eastAsia"/>
          <w:color w:val="auto"/>
          <w:spacing w:val="4"/>
          <w:highlight w:val="none"/>
        </w:rPr>
      </w:pPr>
    </w:p>
    <w:p>
      <w:pPr>
        <w:spacing w:line="440" w:lineRule="exact"/>
        <w:rPr>
          <w:rFonts w:hint="eastAsia"/>
          <w:color w:val="auto"/>
          <w:spacing w:val="4"/>
          <w:highlight w:val="none"/>
          <w:u w:val="singl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spacing w:line="440" w:lineRule="exact"/>
        <w:rPr>
          <w:color w:val="auto"/>
          <w:spacing w:val="4"/>
          <w:highlight w:val="none"/>
          <w:u w:val="single"/>
        </w:rPr>
        <w:sectPr>
          <w:pgSz w:w="11906" w:h="16838"/>
          <w:pgMar w:top="1134" w:right="1134" w:bottom="1134" w:left="1134" w:header="657" w:footer="481" w:gutter="0"/>
          <w:cols w:space="720" w:num="1"/>
          <w:docGrid w:linePitch="312" w:charSpace="0"/>
        </w:sectPr>
      </w:pPr>
    </w:p>
    <w:p>
      <w:pPr>
        <w:numPr>
          <w:ilvl w:val="0"/>
          <w:numId w:val="57"/>
        </w:numPr>
        <w:spacing w:line="440" w:lineRule="exact"/>
        <w:rPr>
          <w:rFonts w:hint="eastAsia" w:ascii="黑体" w:eastAsia="黑体"/>
          <w:bCs/>
          <w:color w:val="auto"/>
          <w:sz w:val="28"/>
          <w:highlight w:val="none"/>
        </w:rPr>
      </w:pPr>
    </w:p>
    <w:p>
      <w:pPr>
        <w:pStyle w:val="3"/>
        <w:adjustRightInd w:val="0"/>
        <w:snapToGrid w:val="0"/>
        <w:spacing w:before="120" w:beforeLines="50" w:after="120" w:afterLines="50" w:line="360" w:lineRule="auto"/>
        <w:jc w:val="center"/>
        <w:rPr>
          <w:rFonts w:hint="eastAsia"/>
          <w:b w:val="0"/>
          <w:color w:val="auto"/>
          <w:highlight w:val="none"/>
        </w:rPr>
      </w:pPr>
      <w:bookmarkStart w:id="113" w:name="_Toc275865614"/>
      <w:r>
        <w:rPr>
          <w:rFonts w:hint="eastAsia"/>
          <w:b w:val="0"/>
          <w:color w:val="auto"/>
          <w:highlight w:val="none"/>
        </w:rPr>
        <w:t>投标服务方案</w:t>
      </w:r>
      <w:bookmarkEnd w:id="113"/>
    </w:p>
    <w:p>
      <w:pPr>
        <w:adjustRightInd w:val="0"/>
        <w:snapToGrid w:val="0"/>
        <w:spacing w:before="120" w:beforeLines="50" w:after="120" w:afterLines="50" w:line="360" w:lineRule="auto"/>
        <w:rPr>
          <w:rFonts w:hint="eastAsia" w:ascii="宋体" w:hAnsi="宋体"/>
          <w:b/>
          <w:color w:val="auto"/>
          <w:highlight w:val="none"/>
        </w:rPr>
      </w:pPr>
      <w:r>
        <w:rPr>
          <w:rFonts w:hint="eastAsia" w:ascii="宋体" w:hAnsi="宋体"/>
          <w:b/>
          <w:color w:val="auto"/>
          <w:highlight w:val="none"/>
        </w:rPr>
        <w:t>主要内容应包括但不限于以下内容（格式自定）：</w:t>
      </w:r>
    </w:p>
    <w:p>
      <w:pPr>
        <w:numPr>
          <w:ilvl w:val="3"/>
          <w:numId w:val="62"/>
        </w:numPr>
        <w:tabs>
          <w:tab w:val="left" w:pos="630"/>
          <w:tab w:val="clear" w:pos="1680"/>
        </w:tabs>
        <w:spacing w:line="520" w:lineRule="exact"/>
        <w:ind w:left="210" w:leftChars="100"/>
        <w:rPr>
          <w:rFonts w:hint="eastAsia" w:ascii="宋体" w:hAnsi="宋体" w:cs="宋体"/>
          <w:color w:val="auto"/>
          <w:highlight w:val="none"/>
          <w:lang w:eastAsia="zh-CN"/>
        </w:rPr>
      </w:pPr>
      <w:r>
        <w:rPr>
          <w:rFonts w:hint="eastAsia" w:ascii="宋体" w:hAnsi="宋体" w:cs="宋体"/>
          <w:color w:val="auto"/>
          <w:kern w:val="0"/>
          <w:szCs w:val="21"/>
          <w:highlight w:val="none"/>
        </w:rPr>
        <w:t>项目实施</w:t>
      </w:r>
      <w:r>
        <w:rPr>
          <w:rFonts w:hint="eastAsia" w:ascii="宋体" w:hAnsi="宋体" w:cs="宋体"/>
          <w:color w:val="auto"/>
          <w:kern w:val="0"/>
          <w:szCs w:val="21"/>
          <w:highlight w:val="none"/>
          <w:lang w:eastAsia="zh-CN"/>
        </w:rPr>
        <w:t>；</w:t>
      </w:r>
    </w:p>
    <w:p>
      <w:pPr>
        <w:numPr>
          <w:ilvl w:val="3"/>
          <w:numId w:val="62"/>
        </w:numPr>
        <w:tabs>
          <w:tab w:val="left" w:pos="630"/>
          <w:tab w:val="clear" w:pos="1680"/>
        </w:tabs>
        <w:spacing w:line="520" w:lineRule="exact"/>
        <w:ind w:left="210" w:leftChars="100"/>
        <w:rPr>
          <w:rFonts w:hint="eastAsia" w:ascii="宋体" w:hAnsi="宋体"/>
          <w:color w:val="auto"/>
          <w:highlight w:val="none"/>
        </w:rPr>
      </w:pPr>
      <w:r>
        <w:rPr>
          <w:rFonts w:hint="eastAsia" w:ascii="宋体" w:hAnsi="宋体" w:cs="宋体"/>
          <w:color w:val="auto"/>
          <w:kern w:val="0"/>
          <w:szCs w:val="21"/>
          <w:highlight w:val="none"/>
        </w:rPr>
        <w:t>档案数字化及整理服务方案</w:t>
      </w:r>
      <w:r>
        <w:rPr>
          <w:rFonts w:hint="eastAsia" w:ascii="宋体" w:hAnsi="宋体" w:cs="宋体"/>
          <w:color w:val="auto"/>
          <w:kern w:val="0"/>
          <w:szCs w:val="21"/>
          <w:highlight w:val="none"/>
          <w:lang w:eastAsia="zh-CN"/>
        </w:rPr>
        <w:t>；</w:t>
      </w:r>
    </w:p>
    <w:p>
      <w:pPr>
        <w:numPr>
          <w:ilvl w:val="3"/>
          <w:numId w:val="62"/>
        </w:numPr>
        <w:tabs>
          <w:tab w:val="left" w:pos="630"/>
          <w:tab w:val="clear" w:pos="1680"/>
        </w:tabs>
        <w:spacing w:line="520" w:lineRule="exact"/>
        <w:ind w:left="210" w:leftChars="100"/>
        <w:rPr>
          <w:rFonts w:hint="eastAsia" w:ascii="宋体" w:hAnsi="宋体" w:cs="宋体"/>
          <w:color w:val="auto"/>
          <w:highlight w:val="none"/>
        </w:rPr>
      </w:pPr>
      <w:r>
        <w:rPr>
          <w:rFonts w:hint="eastAsia" w:ascii="宋体" w:hAnsi="宋体" w:cs="宋体"/>
          <w:color w:val="auto"/>
          <w:kern w:val="0"/>
          <w:szCs w:val="21"/>
          <w:highlight w:val="none"/>
        </w:rPr>
        <w:t>档案管理系统功能及技术要求</w:t>
      </w:r>
      <w:r>
        <w:rPr>
          <w:rFonts w:hint="eastAsia" w:ascii="宋体" w:hAnsi="宋体"/>
          <w:color w:val="auto"/>
          <w:highlight w:val="none"/>
          <w:lang w:eastAsia="zh-CN"/>
        </w:rPr>
        <w:t>；</w:t>
      </w:r>
    </w:p>
    <w:p>
      <w:pPr>
        <w:numPr>
          <w:ilvl w:val="3"/>
          <w:numId w:val="62"/>
        </w:numPr>
        <w:tabs>
          <w:tab w:val="left" w:pos="630"/>
          <w:tab w:val="clear" w:pos="1680"/>
        </w:tabs>
        <w:spacing w:line="520" w:lineRule="exact"/>
        <w:ind w:left="210" w:leftChars="100"/>
        <w:rPr>
          <w:rFonts w:hint="eastAsia"/>
          <w:color w:val="auto"/>
          <w:highlight w:val="none"/>
        </w:rPr>
      </w:pPr>
      <w:r>
        <w:rPr>
          <w:rFonts w:hint="eastAsia" w:ascii="宋体" w:hAnsi="宋体" w:cs="宋体"/>
          <w:color w:val="auto"/>
          <w:kern w:val="0"/>
          <w:szCs w:val="21"/>
          <w:highlight w:val="none"/>
        </w:rPr>
        <w:t>数字化加工软件功能及技术要求</w:t>
      </w:r>
      <w:r>
        <w:rPr>
          <w:rFonts w:hint="eastAsia" w:ascii="宋体" w:hAnsi="宋体" w:cs="宋体"/>
          <w:color w:val="auto"/>
          <w:kern w:val="0"/>
          <w:szCs w:val="21"/>
          <w:highlight w:val="none"/>
          <w:lang w:eastAsia="zh-CN"/>
        </w:rPr>
        <w:t>；</w:t>
      </w:r>
    </w:p>
    <w:p>
      <w:pPr>
        <w:numPr>
          <w:ilvl w:val="3"/>
          <w:numId w:val="62"/>
        </w:numPr>
        <w:tabs>
          <w:tab w:val="left" w:pos="630"/>
          <w:tab w:val="clear" w:pos="1680"/>
        </w:tabs>
        <w:spacing w:line="520" w:lineRule="exact"/>
        <w:ind w:left="210" w:leftChars="100"/>
        <w:rPr>
          <w:rFonts w:hint="eastAsia"/>
          <w:color w:val="auto"/>
          <w:highlight w:val="none"/>
        </w:rPr>
      </w:pPr>
      <w:r>
        <w:rPr>
          <w:rFonts w:hint="eastAsia" w:ascii="宋体" w:hAnsi="宋体" w:cs="宋体"/>
          <w:color w:val="auto"/>
          <w:kern w:val="0"/>
          <w:szCs w:val="21"/>
          <w:highlight w:val="none"/>
        </w:rPr>
        <w:t>售后服务</w:t>
      </w:r>
      <w:r>
        <w:rPr>
          <w:rFonts w:hint="eastAsia" w:ascii="宋体" w:hAnsi="宋体" w:cs="宋体"/>
          <w:color w:val="auto"/>
          <w:kern w:val="0"/>
          <w:szCs w:val="21"/>
          <w:highlight w:val="none"/>
          <w:lang w:eastAsia="zh-CN"/>
        </w:rPr>
        <w:t>；</w:t>
      </w:r>
    </w:p>
    <w:p>
      <w:pPr>
        <w:numPr>
          <w:ilvl w:val="3"/>
          <w:numId w:val="62"/>
        </w:numPr>
        <w:tabs>
          <w:tab w:val="left" w:pos="630"/>
          <w:tab w:val="clear" w:pos="1680"/>
        </w:tabs>
        <w:spacing w:line="520" w:lineRule="exact"/>
        <w:ind w:left="210" w:leftChars="100"/>
        <w:rPr>
          <w:rFonts w:hint="eastAsia" w:ascii="宋体" w:hAnsi="宋体"/>
          <w:color w:val="auto"/>
          <w:highlight w:val="none"/>
        </w:rPr>
      </w:pPr>
      <w:r>
        <w:rPr>
          <w:rFonts w:ascii="宋体" w:hAnsi="宋体"/>
          <w:color w:val="auto"/>
          <w:highlight w:val="none"/>
        </w:rPr>
        <w:t>详细的合同项下提供服务的执行时间表及其实施措施，明确标注出影响合同执行的关键时间及因素；</w:t>
      </w:r>
    </w:p>
    <w:p>
      <w:pPr>
        <w:numPr>
          <w:ilvl w:val="3"/>
          <w:numId w:val="62"/>
        </w:numPr>
        <w:tabs>
          <w:tab w:val="left" w:pos="630"/>
          <w:tab w:val="clear" w:pos="1680"/>
        </w:tabs>
        <w:spacing w:line="520" w:lineRule="exact"/>
        <w:ind w:left="210" w:leftChars="100"/>
        <w:rPr>
          <w:rFonts w:ascii="宋体" w:hAnsi="宋体"/>
          <w:color w:val="auto"/>
          <w:highlight w:val="none"/>
        </w:rPr>
      </w:pPr>
      <w:r>
        <w:rPr>
          <w:rFonts w:hint="eastAsia" w:ascii="宋体" w:hAnsi="宋体"/>
          <w:color w:val="auto"/>
          <w:highlight w:val="none"/>
        </w:rPr>
        <w:t>须招标人配合事项；</w:t>
      </w:r>
    </w:p>
    <w:p>
      <w:pPr>
        <w:numPr>
          <w:ilvl w:val="3"/>
          <w:numId w:val="62"/>
        </w:numPr>
        <w:tabs>
          <w:tab w:val="left" w:pos="630"/>
          <w:tab w:val="clear" w:pos="1680"/>
        </w:tabs>
        <w:spacing w:line="520" w:lineRule="exact"/>
        <w:ind w:left="210" w:leftChars="100"/>
        <w:rPr>
          <w:rFonts w:hint="eastAsia" w:ascii="宋体" w:hAnsi="宋体"/>
          <w:color w:val="auto"/>
          <w:sz w:val="24"/>
          <w:highlight w:val="none"/>
        </w:rPr>
      </w:pPr>
      <w:r>
        <w:rPr>
          <w:rFonts w:hint="eastAsia" w:ascii="宋体" w:hAnsi="宋体"/>
          <w:color w:val="auto"/>
          <w:highlight w:val="none"/>
        </w:rPr>
        <w:t>投标人认为对投标有利的其他资料。</w:t>
      </w:r>
    </w:p>
    <w:p>
      <w:pPr>
        <w:spacing w:line="400" w:lineRule="exact"/>
        <w:rPr>
          <w:rFonts w:hint="eastAsia" w:ascii="宋体" w:hAnsi="宋体"/>
          <w:color w:val="auto"/>
          <w:highlight w:val="none"/>
        </w:rPr>
      </w:pPr>
    </w:p>
    <w:p>
      <w:pPr>
        <w:spacing w:line="500" w:lineRule="exact"/>
        <w:rPr>
          <w:rFonts w:hint="eastAsia" w:ascii="宋体" w:hAnsi="宋体"/>
          <w:color w:val="auto"/>
          <w:highlight w:val="none"/>
          <w:u w:val="single"/>
        </w:rPr>
      </w:pPr>
      <w:r>
        <w:rPr>
          <w:rFonts w:hint="eastAsia"/>
          <w:color w:val="auto"/>
          <w:spacing w:val="4"/>
          <w:highlight w:val="none"/>
        </w:rPr>
        <w:t>投标人名称（盖公章）：</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rFonts w:hint="eastAsia"/>
          <w:color w:val="auto"/>
          <w:spacing w:val="4"/>
          <w:highlight w:val="non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spacing w:line="400" w:lineRule="exact"/>
        <w:rPr>
          <w:rFonts w:hint="eastAsia" w:ascii="宋体" w:hAnsi="宋体"/>
          <w:color w:val="auto"/>
          <w:highlight w:val="none"/>
        </w:rPr>
      </w:pPr>
    </w:p>
    <w:p>
      <w:pPr>
        <w:numPr>
          <w:ilvl w:val="0"/>
          <w:numId w:val="57"/>
        </w:numPr>
        <w:spacing w:line="440" w:lineRule="exact"/>
        <w:rPr>
          <w:rFonts w:hint="eastAsia" w:ascii="黑体" w:eastAsia="黑体"/>
          <w:bCs/>
          <w:color w:val="auto"/>
          <w:highlight w:val="none"/>
        </w:rPr>
      </w:pPr>
      <w:bookmarkStart w:id="114" w:name="_Toc50691037"/>
      <w:bookmarkStart w:id="115" w:name="_Toc50703730"/>
      <w:bookmarkStart w:id="116" w:name="_Toc43264518"/>
      <w:r>
        <w:rPr>
          <w:rFonts w:ascii="黑体" w:eastAsia="黑体"/>
          <w:bCs/>
          <w:color w:val="auto"/>
          <w:sz w:val="28"/>
          <w:highlight w:val="none"/>
        </w:rPr>
        <w:br w:type="page"/>
      </w:r>
    </w:p>
    <w:p>
      <w:pPr>
        <w:numPr>
          <w:ilvl w:val="0"/>
          <w:numId w:val="57"/>
        </w:numPr>
        <w:adjustRightInd w:val="0"/>
        <w:snapToGrid w:val="0"/>
        <w:spacing w:before="120" w:beforeLines="50" w:after="120" w:afterLines="50" w:line="440" w:lineRule="exact"/>
        <w:jc w:val="left"/>
        <w:rPr>
          <w:rFonts w:hint="eastAsia" w:ascii="黑体" w:eastAsia="黑体"/>
          <w:b w:val="0"/>
          <w:bCs/>
          <w:color w:val="auto"/>
          <w:sz w:val="28"/>
          <w:highlight w:val="none"/>
        </w:rPr>
      </w:pPr>
      <w:bookmarkStart w:id="117" w:name="_Toc173553182"/>
      <w:bookmarkStart w:id="118" w:name="_Toc275865616"/>
    </w:p>
    <w:p>
      <w:pPr>
        <w:pStyle w:val="3"/>
        <w:adjustRightInd w:val="0"/>
        <w:snapToGrid w:val="0"/>
        <w:spacing w:before="120" w:beforeLines="50" w:after="120" w:afterLines="50" w:line="360" w:lineRule="auto"/>
        <w:jc w:val="center"/>
        <w:rPr>
          <w:rFonts w:hint="eastAsia"/>
          <w:b w:val="0"/>
          <w:color w:val="auto"/>
          <w:highlight w:val="none"/>
        </w:rPr>
      </w:pPr>
      <w:r>
        <w:rPr>
          <w:rFonts w:hint="eastAsia"/>
          <w:b w:val="0"/>
          <w:color w:val="auto"/>
          <w:highlight w:val="none"/>
        </w:rPr>
        <w:t>投标人基本情况表</w:t>
      </w:r>
      <w:bookmarkEnd w:id="117"/>
      <w:bookmarkEnd w:id="118"/>
    </w:p>
    <w:p>
      <w:pPr>
        <w:numPr>
          <w:ilvl w:val="0"/>
          <w:numId w:val="63"/>
        </w:numPr>
        <w:spacing w:line="360" w:lineRule="auto"/>
        <w:rPr>
          <w:rFonts w:ascii="宋体" w:hAnsi="宋体" w:cs="Arial"/>
          <w:color w:val="auto"/>
          <w:szCs w:val="21"/>
          <w:highlight w:val="none"/>
        </w:rPr>
      </w:pPr>
      <w:r>
        <w:rPr>
          <w:rFonts w:ascii="宋体" w:hAnsi="宋体" w:cs="Arial"/>
          <w:color w:val="auto"/>
          <w:szCs w:val="21"/>
          <w:highlight w:val="none"/>
        </w:rPr>
        <w:t>公司基本情况</w:t>
      </w:r>
    </w:p>
    <w:p>
      <w:pPr>
        <w:numPr>
          <w:ilvl w:val="1"/>
          <w:numId w:val="63"/>
        </w:numPr>
        <w:tabs>
          <w:tab w:val="left" w:pos="420"/>
          <w:tab w:val="clear" w:pos="840"/>
        </w:tabs>
        <w:spacing w:line="360" w:lineRule="auto"/>
        <w:ind w:left="420"/>
        <w:rPr>
          <w:rFonts w:ascii="宋体" w:hAnsi="宋体" w:cs="Arial"/>
          <w:color w:val="auto"/>
          <w:szCs w:val="21"/>
          <w:highlight w:val="none"/>
        </w:rPr>
      </w:pPr>
      <w:r>
        <w:rPr>
          <w:rFonts w:ascii="宋体" w:hAnsi="宋体" w:cs="Arial"/>
          <w:color w:val="auto"/>
          <w:szCs w:val="21"/>
          <w:highlight w:val="none"/>
        </w:rPr>
        <w:t>公司名称：</w:t>
      </w:r>
      <w:r>
        <w:rPr>
          <w:rFonts w:ascii="宋体" w:hAnsi="宋体" w:cs="Arial"/>
          <w:color w:val="auto"/>
          <w:szCs w:val="21"/>
          <w:highlight w:val="none"/>
          <w:u w:val="single"/>
        </w:rPr>
        <w:t xml:space="preserve">                              </w:t>
      </w:r>
      <w:r>
        <w:rPr>
          <w:rFonts w:ascii="宋体" w:hAnsi="宋体" w:cs="Arial"/>
          <w:color w:val="auto"/>
          <w:szCs w:val="21"/>
          <w:highlight w:val="none"/>
        </w:rPr>
        <w:t xml:space="preserve">  电话号码：</w:t>
      </w:r>
      <w:r>
        <w:rPr>
          <w:rFonts w:ascii="宋体" w:hAnsi="宋体" w:cs="Arial"/>
          <w:color w:val="auto"/>
          <w:szCs w:val="21"/>
          <w:highlight w:val="none"/>
          <w:u w:val="single"/>
        </w:rPr>
        <w:t xml:space="preserve">          </w:t>
      </w:r>
      <w:r>
        <w:rPr>
          <w:rFonts w:ascii="宋体" w:hAnsi="宋体" w:cs="Arial"/>
          <w:color w:val="auto"/>
          <w:szCs w:val="21"/>
          <w:highlight w:val="none"/>
        </w:rPr>
        <w:t xml:space="preserve">                  </w:t>
      </w:r>
    </w:p>
    <w:p>
      <w:pPr>
        <w:numPr>
          <w:ilvl w:val="1"/>
          <w:numId w:val="63"/>
        </w:numPr>
        <w:tabs>
          <w:tab w:val="left" w:pos="420"/>
          <w:tab w:val="clear" w:pos="840"/>
        </w:tabs>
        <w:spacing w:line="360" w:lineRule="auto"/>
        <w:ind w:left="420"/>
        <w:rPr>
          <w:rFonts w:ascii="宋体" w:hAnsi="宋体" w:cs="Arial"/>
          <w:color w:val="auto"/>
          <w:szCs w:val="21"/>
          <w:highlight w:val="none"/>
        </w:rPr>
      </w:pPr>
      <w:r>
        <w:rPr>
          <w:rFonts w:ascii="宋体" w:hAnsi="宋体" w:cs="Arial"/>
          <w:color w:val="auto"/>
          <w:szCs w:val="21"/>
          <w:highlight w:val="none"/>
        </w:rPr>
        <w:t>地    址：</w:t>
      </w:r>
      <w:r>
        <w:rPr>
          <w:rFonts w:ascii="宋体" w:hAnsi="宋体" w:cs="Arial"/>
          <w:color w:val="auto"/>
          <w:szCs w:val="21"/>
          <w:highlight w:val="none"/>
          <w:u w:val="single"/>
        </w:rPr>
        <w:t xml:space="preserve">                              </w:t>
      </w:r>
      <w:r>
        <w:rPr>
          <w:rFonts w:ascii="宋体" w:hAnsi="宋体" w:cs="Arial"/>
          <w:color w:val="auto"/>
          <w:szCs w:val="21"/>
          <w:highlight w:val="none"/>
        </w:rPr>
        <w:t xml:space="preserve">  传    真：</w:t>
      </w:r>
      <w:r>
        <w:rPr>
          <w:rFonts w:ascii="宋体" w:hAnsi="宋体" w:cs="Arial"/>
          <w:color w:val="auto"/>
          <w:szCs w:val="21"/>
          <w:highlight w:val="none"/>
          <w:u w:val="single"/>
        </w:rPr>
        <w:t xml:space="preserve">           </w:t>
      </w:r>
      <w:r>
        <w:rPr>
          <w:rFonts w:ascii="宋体" w:hAnsi="宋体" w:cs="Arial"/>
          <w:color w:val="auto"/>
          <w:szCs w:val="21"/>
          <w:highlight w:val="none"/>
        </w:rPr>
        <w:t xml:space="preserve">                  </w:t>
      </w:r>
    </w:p>
    <w:p>
      <w:pPr>
        <w:numPr>
          <w:ilvl w:val="1"/>
          <w:numId w:val="63"/>
        </w:numPr>
        <w:tabs>
          <w:tab w:val="left" w:pos="420"/>
          <w:tab w:val="clear" w:pos="840"/>
        </w:tabs>
        <w:spacing w:line="360" w:lineRule="auto"/>
        <w:ind w:left="420"/>
        <w:rPr>
          <w:rFonts w:ascii="宋体" w:hAnsi="宋体" w:cs="Arial"/>
          <w:color w:val="auto"/>
          <w:szCs w:val="21"/>
          <w:highlight w:val="none"/>
          <w:u w:val="single"/>
        </w:rPr>
      </w:pPr>
      <w:r>
        <w:rPr>
          <w:rFonts w:ascii="宋体" w:hAnsi="宋体" w:cs="Arial"/>
          <w:color w:val="auto"/>
          <w:szCs w:val="21"/>
          <w:highlight w:val="none"/>
        </w:rPr>
        <w:t>注册资金：</w:t>
      </w:r>
      <w:r>
        <w:rPr>
          <w:rFonts w:ascii="宋体" w:hAnsi="宋体" w:cs="Arial"/>
          <w:color w:val="auto"/>
          <w:szCs w:val="21"/>
          <w:highlight w:val="none"/>
          <w:u w:val="single"/>
        </w:rPr>
        <w:t xml:space="preserve">                              </w:t>
      </w:r>
      <w:r>
        <w:rPr>
          <w:rFonts w:ascii="宋体" w:hAnsi="宋体" w:cs="Arial"/>
          <w:color w:val="auto"/>
          <w:szCs w:val="21"/>
          <w:highlight w:val="none"/>
        </w:rPr>
        <w:t xml:space="preserve">  经济性质：</w:t>
      </w:r>
      <w:r>
        <w:rPr>
          <w:rFonts w:ascii="宋体" w:hAnsi="宋体" w:cs="Arial"/>
          <w:color w:val="auto"/>
          <w:szCs w:val="21"/>
          <w:highlight w:val="none"/>
          <w:u w:val="single"/>
        </w:rPr>
        <w:t xml:space="preserve">          </w:t>
      </w:r>
    </w:p>
    <w:p>
      <w:pPr>
        <w:numPr>
          <w:ilvl w:val="1"/>
          <w:numId w:val="63"/>
        </w:numPr>
        <w:tabs>
          <w:tab w:val="left" w:pos="420"/>
          <w:tab w:val="clear" w:pos="840"/>
        </w:tabs>
        <w:spacing w:line="360" w:lineRule="auto"/>
        <w:ind w:left="420"/>
        <w:rPr>
          <w:rFonts w:hint="eastAsia" w:ascii="宋体" w:hAnsi="宋体" w:cs="Arial"/>
          <w:color w:val="auto"/>
          <w:szCs w:val="21"/>
          <w:highlight w:val="none"/>
        </w:rPr>
      </w:pPr>
      <w:r>
        <w:rPr>
          <w:rFonts w:ascii="宋体" w:hAnsi="宋体" w:cs="Arial"/>
          <w:color w:val="auto"/>
          <w:szCs w:val="21"/>
          <w:highlight w:val="none"/>
        </w:rPr>
        <w:t xml:space="preserve">公司开户银行名称及账号：     </w:t>
      </w:r>
    </w:p>
    <w:p>
      <w:pPr>
        <w:numPr>
          <w:ilvl w:val="1"/>
          <w:numId w:val="63"/>
        </w:numPr>
        <w:tabs>
          <w:tab w:val="left" w:pos="420"/>
          <w:tab w:val="clear" w:pos="840"/>
        </w:tabs>
        <w:spacing w:line="360" w:lineRule="auto"/>
        <w:ind w:left="420"/>
        <w:rPr>
          <w:rFonts w:ascii="宋体" w:hAnsi="宋体" w:cs="Arial"/>
          <w:color w:val="auto"/>
          <w:szCs w:val="21"/>
          <w:highlight w:val="none"/>
        </w:rPr>
      </w:pPr>
      <w:r>
        <w:rPr>
          <w:rFonts w:ascii="宋体" w:hAnsi="宋体" w:cs="Arial"/>
          <w:color w:val="auto"/>
          <w:szCs w:val="21"/>
          <w:highlight w:val="none"/>
        </w:rPr>
        <w:t xml:space="preserve">营业注册执照号：   </w:t>
      </w:r>
    </w:p>
    <w:p>
      <w:pPr>
        <w:numPr>
          <w:ilvl w:val="1"/>
          <w:numId w:val="63"/>
        </w:numPr>
        <w:tabs>
          <w:tab w:val="left" w:pos="420"/>
          <w:tab w:val="clear" w:pos="840"/>
        </w:tabs>
        <w:spacing w:line="360" w:lineRule="auto"/>
        <w:ind w:left="420"/>
        <w:rPr>
          <w:rFonts w:ascii="宋体" w:hAnsi="宋体" w:cs="Arial"/>
          <w:color w:val="auto"/>
          <w:szCs w:val="21"/>
          <w:highlight w:val="none"/>
        </w:rPr>
      </w:pPr>
      <w:r>
        <w:rPr>
          <w:rFonts w:ascii="宋体" w:hAnsi="宋体" w:cs="Arial"/>
          <w:color w:val="auto"/>
          <w:szCs w:val="21"/>
          <w:highlight w:val="none"/>
        </w:rPr>
        <w:t>公司简介</w:t>
      </w:r>
    </w:p>
    <w:p>
      <w:pPr>
        <w:spacing w:line="360" w:lineRule="auto"/>
        <w:ind w:left="360"/>
        <w:rPr>
          <w:rFonts w:hint="eastAsia" w:ascii="宋体" w:hAnsi="宋体"/>
          <w:color w:val="auto"/>
          <w:highlight w:val="none"/>
        </w:rPr>
      </w:pPr>
      <w:r>
        <w:rPr>
          <w:rFonts w:hint="eastAsia" w:ascii="宋体" w:hAnsi="宋体"/>
          <w:color w:val="auto"/>
          <w:highlight w:val="none"/>
        </w:rPr>
        <w:t>文字描述：</w:t>
      </w:r>
      <w:r>
        <w:rPr>
          <w:rFonts w:hint="eastAsia" w:ascii="宋体" w:hAnsi="宋体"/>
          <w:bCs/>
          <w:color w:val="auto"/>
          <w:szCs w:val="21"/>
          <w:highlight w:val="none"/>
          <w:lang w:val="en-GB"/>
        </w:rPr>
        <w:t>发展历程、经营规模及服务理念</w:t>
      </w:r>
      <w:r>
        <w:rPr>
          <w:rFonts w:hint="eastAsia" w:ascii="宋体" w:hAnsi="宋体"/>
          <w:color w:val="auto"/>
          <w:highlight w:val="none"/>
        </w:rPr>
        <w:t>、技术力量、财务状况、</w:t>
      </w:r>
      <w:r>
        <w:rPr>
          <w:rFonts w:ascii="宋体" w:hAnsi="宋体"/>
          <w:color w:val="auto"/>
          <w:highlight w:val="none"/>
        </w:rPr>
        <w:t>管理水平</w:t>
      </w:r>
      <w:r>
        <w:rPr>
          <w:rFonts w:hint="eastAsia" w:ascii="宋体" w:hAnsi="宋体"/>
          <w:color w:val="auto"/>
          <w:highlight w:val="none"/>
        </w:rPr>
        <w:t>等方面进行阐述。</w:t>
      </w:r>
    </w:p>
    <w:p>
      <w:pPr>
        <w:numPr>
          <w:ilvl w:val="0"/>
          <w:numId w:val="63"/>
        </w:numPr>
        <w:spacing w:line="360" w:lineRule="auto"/>
        <w:rPr>
          <w:rFonts w:ascii="宋体" w:hAnsi="宋体" w:cs="Arial"/>
          <w:color w:val="auto"/>
          <w:szCs w:val="21"/>
          <w:highlight w:val="none"/>
        </w:rPr>
      </w:pPr>
      <w:r>
        <w:rPr>
          <w:rFonts w:ascii="宋体" w:hAnsi="宋体" w:cs="Arial"/>
          <w:color w:val="auto"/>
          <w:szCs w:val="21"/>
          <w:highlight w:val="none"/>
        </w:rPr>
        <w:t>投标人获得国家有关部门颁发的资质：</w:t>
      </w:r>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2463" w:type="dxa"/>
            <w:tcBorders>
              <w:top w:val="single" w:color="auto" w:sz="12" w:space="0"/>
              <w:left w:val="single" w:color="auto" w:sz="12" w:space="0"/>
            </w:tcBorders>
            <w:vAlign w:val="top"/>
          </w:tcPr>
          <w:p>
            <w:pPr>
              <w:spacing w:line="360" w:lineRule="auto"/>
              <w:jc w:val="center"/>
              <w:rPr>
                <w:rFonts w:ascii="宋体" w:hAnsi="宋体" w:cs="Arial"/>
                <w:color w:val="auto"/>
                <w:szCs w:val="21"/>
                <w:highlight w:val="none"/>
              </w:rPr>
            </w:pPr>
            <w:r>
              <w:rPr>
                <w:rFonts w:ascii="宋体" w:hAnsi="宋体" w:cs="Arial"/>
                <w:color w:val="auto"/>
                <w:szCs w:val="21"/>
                <w:highlight w:val="none"/>
              </w:rPr>
              <w:t xml:space="preserve">  证书名称</w:t>
            </w:r>
          </w:p>
        </w:tc>
        <w:tc>
          <w:tcPr>
            <w:tcW w:w="2463" w:type="dxa"/>
            <w:tcBorders>
              <w:top w:val="single" w:color="auto" w:sz="12" w:space="0"/>
            </w:tcBorders>
            <w:vAlign w:val="top"/>
          </w:tcPr>
          <w:p>
            <w:pPr>
              <w:spacing w:line="360" w:lineRule="auto"/>
              <w:jc w:val="center"/>
              <w:rPr>
                <w:rFonts w:ascii="宋体" w:hAnsi="宋体" w:cs="Arial"/>
                <w:color w:val="auto"/>
                <w:szCs w:val="21"/>
                <w:highlight w:val="none"/>
              </w:rPr>
            </w:pPr>
            <w:r>
              <w:rPr>
                <w:rFonts w:ascii="宋体" w:hAnsi="宋体" w:cs="Arial"/>
                <w:color w:val="auto"/>
                <w:szCs w:val="21"/>
                <w:highlight w:val="none"/>
              </w:rPr>
              <w:t>发证单位</w:t>
            </w:r>
          </w:p>
        </w:tc>
        <w:tc>
          <w:tcPr>
            <w:tcW w:w="2464" w:type="dxa"/>
            <w:tcBorders>
              <w:top w:val="single" w:color="auto" w:sz="12" w:space="0"/>
            </w:tcBorders>
            <w:vAlign w:val="top"/>
          </w:tcPr>
          <w:p>
            <w:pPr>
              <w:spacing w:line="360" w:lineRule="auto"/>
              <w:jc w:val="center"/>
              <w:rPr>
                <w:rFonts w:ascii="宋体" w:hAnsi="宋体" w:cs="Arial"/>
                <w:color w:val="auto"/>
                <w:szCs w:val="21"/>
                <w:highlight w:val="none"/>
              </w:rPr>
            </w:pPr>
            <w:r>
              <w:rPr>
                <w:rFonts w:ascii="宋体" w:hAnsi="宋体" w:cs="Arial"/>
                <w:color w:val="auto"/>
                <w:szCs w:val="21"/>
                <w:highlight w:val="none"/>
              </w:rPr>
              <w:t>证书等级</w:t>
            </w:r>
          </w:p>
        </w:tc>
        <w:tc>
          <w:tcPr>
            <w:tcW w:w="2464" w:type="dxa"/>
            <w:tcBorders>
              <w:top w:val="single" w:color="auto" w:sz="12" w:space="0"/>
              <w:right w:val="single" w:color="auto" w:sz="12" w:space="0"/>
            </w:tcBorders>
            <w:vAlign w:val="top"/>
          </w:tcPr>
          <w:p>
            <w:pPr>
              <w:spacing w:line="360" w:lineRule="auto"/>
              <w:jc w:val="center"/>
              <w:rPr>
                <w:rFonts w:ascii="宋体" w:hAnsi="宋体" w:cs="Arial"/>
                <w:color w:val="auto"/>
                <w:szCs w:val="21"/>
                <w:highlight w:val="none"/>
              </w:rPr>
            </w:pPr>
            <w:r>
              <w:rPr>
                <w:rFonts w:ascii="宋体" w:hAnsi="宋体" w:cs="Arial"/>
                <w:color w:val="auto"/>
                <w:szCs w:val="21"/>
                <w:highlight w:val="none"/>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3" w:type="dxa"/>
            <w:tcBorders>
              <w:left w:val="single" w:color="auto" w:sz="12" w:space="0"/>
            </w:tcBorders>
            <w:vAlign w:val="top"/>
          </w:tcPr>
          <w:p>
            <w:pPr>
              <w:spacing w:line="360" w:lineRule="auto"/>
              <w:jc w:val="center"/>
              <w:rPr>
                <w:rFonts w:ascii="宋体" w:hAnsi="宋体" w:cs="Arial"/>
                <w:color w:val="auto"/>
                <w:szCs w:val="21"/>
                <w:highlight w:val="none"/>
              </w:rPr>
            </w:pPr>
          </w:p>
        </w:tc>
        <w:tc>
          <w:tcPr>
            <w:tcW w:w="2463" w:type="dxa"/>
            <w:vAlign w:val="top"/>
          </w:tcPr>
          <w:p>
            <w:pPr>
              <w:spacing w:line="360" w:lineRule="auto"/>
              <w:jc w:val="center"/>
              <w:rPr>
                <w:rFonts w:ascii="宋体" w:hAnsi="宋体" w:cs="Arial"/>
                <w:color w:val="auto"/>
                <w:szCs w:val="21"/>
                <w:highlight w:val="none"/>
              </w:rPr>
            </w:pPr>
          </w:p>
        </w:tc>
        <w:tc>
          <w:tcPr>
            <w:tcW w:w="2464" w:type="dxa"/>
            <w:vAlign w:val="top"/>
          </w:tcPr>
          <w:p>
            <w:pPr>
              <w:spacing w:line="360" w:lineRule="auto"/>
              <w:jc w:val="center"/>
              <w:rPr>
                <w:rFonts w:ascii="宋体" w:hAnsi="宋体" w:cs="Arial"/>
                <w:color w:val="auto"/>
                <w:szCs w:val="21"/>
                <w:highlight w:val="none"/>
              </w:rPr>
            </w:pPr>
          </w:p>
        </w:tc>
        <w:tc>
          <w:tcPr>
            <w:tcW w:w="2464" w:type="dxa"/>
            <w:tcBorders>
              <w:right w:val="single" w:color="auto" w:sz="12" w:space="0"/>
            </w:tcBorders>
            <w:vAlign w:val="top"/>
          </w:tcPr>
          <w:p>
            <w:pPr>
              <w:spacing w:line="360" w:lineRule="auto"/>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3" w:type="dxa"/>
            <w:tcBorders>
              <w:left w:val="single" w:color="auto" w:sz="12" w:space="0"/>
              <w:bottom w:val="single" w:color="auto" w:sz="12" w:space="0"/>
            </w:tcBorders>
            <w:vAlign w:val="top"/>
          </w:tcPr>
          <w:p>
            <w:pPr>
              <w:spacing w:line="360" w:lineRule="auto"/>
              <w:jc w:val="center"/>
              <w:rPr>
                <w:rFonts w:ascii="宋体" w:hAnsi="宋体" w:cs="Arial"/>
                <w:color w:val="auto"/>
                <w:szCs w:val="21"/>
                <w:highlight w:val="none"/>
              </w:rPr>
            </w:pPr>
          </w:p>
        </w:tc>
        <w:tc>
          <w:tcPr>
            <w:tcW w:w="2463" w:type="dxa"/>
            <w:tcBorders>
              <w:bottom w:val="single" w:color="auto" w:sz="12" w:space="0"/>
            </w:tcBorders>
            <w:vAlign w:val="top"/>
          </w:tcPr>
          <w:p>
            <w:pPr>
              <w:spacing w:line="360" w:lineRule="auto"/>
              <w:jc w:val="center"/>
              <w:rPr>
                <w:rFonts w:ascii="宋体" w:hAnsi="宋体" w:cs="Arial"/>
                <w:color w:val="auto"/>
                <w:szCs w:val="21"/>
                <w:highlight w:val="none"/>
              </w:rPr>
            </w:pPr>
          </w:p>
        </w:tc>
        <w:tc>
          <w:tcPr>
            <w:tcW w:w="2464" w:type="dxa"/>
            <w:tcBorders>
              <w:bottom w:val="single" w:color="auto" w:sz="12" w:space="0"/>
            </w:tcBorders>
            <w:vAlign w:val="top"/>
          </w:tcPr>
          <w:p>
            <w:pPr>
              <w:spacing w:line="360" w:lineRule="auto"/>
              <w:jc w:val="center"/>
              <w:rPr>
                <w:rFonts w:ascii="宋体" w:hAnsi="宋体" w:cs="Arial"/>
                <w:color w:val="auto"/>
                <w:szCs w:val="21"/>
                <w:highlight w:val="none"/>
              </w:rPr>
            </w:pPr>
          </w:p>
        </w:tc>
        <w:tc>
          <w:tcPr>
            <w:tcW w:w="2464" w:type="dxa"/>
            <w:tcBorders>
              <w:bottom w:val="single" w:color="auto" w:sz="12" w:space="0"/>
              <w:right w:val="single" w:color="auto" w:sz="12" w:space="0"/>
            </w:tcBorders>
            <w:vAlign w:val="top"/>
          </w:tcPr>
          <w:p>
            <w:pPr>
              <w:spacing w:line="360" w:lineRule="auto"/>
              <w:jc w:val="center"/>
              <w:rPr>
                <w:rFonts w:ascii="宋体" w:hAnsi="宋体" w:cs="Arial"/>
                <w:color w:val="auto"/>
                <w:szCs w:val="21"/>
                <w:highlight w:val="none"/>
              </w:rPr>
            </w:pPr>
          </w:p>
        </w:tc>
      </w:tr>
    </w:tbl>
    <w:p>
      <w:pPr>
        <w:spacing w:line="360" w:lineRule="auto"/>
        <w:rPr>
          <w:rFonts w:ascii="宋体" w:hAnsi="宋体" w:cs="Arial"/>
          <w:color w:val="auto"/>
          <w:szCs w:val="21"/>
          <w:highlight w:val="none"/>
        </w:rPr>
      </w:pPr>
      <w:r>
        <w:rPr>
          <w:rFonts w:ascii="宋体" w:hAnsi="宋体" w:cs="Arial"/>
          <w:color w:val="auto"/>
          <w:szCs w:val="21"/>
          <w:highlight w:val="none"/>
        </w:rPr>
        <w:t xml:space="preserve">                                                                                                </w:t>
      </w:r>
    </w:p>
    <w:p>
      <w:pPr>
        <w:spacing w:line="360" w:lineRule="auto"/>
        <w:rPr>
          <w:rFonts w:hint="eastAsia" w:ascii="宋体" w:hAnsi="宋体" w:cs="Arial"/>
          <w:color w:val="auto"/>
          <w:szCs w:val="21"/>
          <w:highlight w:val="none"/>
        </w:rPr>
      </w:pPr>
      <w:r>
        <w:rPr>
          <w:rFonts w:ascii="宋体" w:hAnsi="宋体" w:cs="Arial"/>
          <w:color w:val="auto"/>
          <w:szCs w:val="21"/>
          <w:highlight w:val="none"/>
        </w:rPr>
        <w:t xml:space="preserve">   我/我们声明以上所述是正确无误的，您有权进行您认为必要的所有调查。</w:t>
      </w:r>
    </w:p>
    <w:p>
      <w:pPr>
        <w:spacing w:line="500" w:lineRule="exact"/>
        <w:ind w:firstLine="420" w:firstLineChars="200"/>
        <w:rPr>
          <w:rFonts w:hint="eastAsia" w:ascii="宋体" w:hAnsi="宋体" w:cs="Arial"/>
          <w:color w:val="auto"/>
          <w:szCs w:val="21"/>
          <w:highlight w:val="none"/>
        </w:rPr>
      </w:pPr>
      <w:bookmarkStart w:id="119" w:name="_Toc43264525"/>
    </w:p>
    <w:p>
      <w:pPr>
        <w:spacing w:line="500" w:lineRule="exact"/>
        <w:rPr>
          <w:rFonts w:hint="eastAsia" w:ascii="宋体" w:hAnsi="宋体"/>
          <w:color w:val="auto"/>
          <w:highlight w:val="none"/>
          <w:u w:val="single"/>
        </w:rPr>
      </w:pPr>
      <w:r>
        <w:rPr>
          <w:rFonts w:hint="eastAsia"/>
          <w:color w:val="auto"/>
          <w:spacing w:val="4"/>
          <w:highlight w:val="none"/>
        </w:rPr>
        <w:t>投标人名称（盖公章）：</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rFonts w:hint="eastAsia"/>
          <w:color w:val="auto"/>
          <w:spacing w:val="4"/>
          <w:highlight w:val="non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spacing w:line="360" w:lineRule="auto"/>
        <w:rPr>
          <w:rFonts w:ascii="黑体" w:eastAsia="黑体"/>
          <w:b/>
          <w:bCs/>
          <w:color w:val="auto"/>
          <w:sz w:val="28"/>
          <w:highlight w:val="none"/>
        </w:rPr>
        <w:sectPr>
          <w:pgSz w:w="11906" w:h="16838"/>
          <w:pgMar w:top="1134" w:right="1134" w:bottom="1134" w:left="1134" w:header="657" w:footer="481" w:gutter="0"/>
          <w:cols w:space="720" w:num="1"/>
          <w:docGrid w:linePitch="312" w:charSpace="0"/>
        </w:sectPr>
      </w:pPr>
    </w:p>
    <w:p>
      <w:pPr>
        <w:numPr>
          <w:ilvl w:val="0"/>
          <w:numId w:val="57"/>
        </w:numPr>
        <w:spacing w:line="440" w:lineRule="exact"/>
        <w:rPr>
          <w:rFonts w:hint="eastAsia" w:ascii="黑体" w:eastAsia="黑体"/>
          <w:bCs/>
          <w:color w:val="auto"/>
          <w:highlight w:val="none"/>
        </w:rPr>
      </w:pPr>
    </w:p>
    <w:p>
      <w:pPr>
        <w:pStyle w:val="3"/>
        <w:adjustRightInd w:val="0"/>
        <w:snapToGrid w:val="0"/>
        <w:spacing w:before="120" w:beforeLines="50" w:after="120" w:afterLines="50" w:line="360" w:lineRule="auto"/>
        <w:jc w:val="center"/>
        <w:rPr>
          <w:rFonts w:hint="eastAsia"/>
          <w:b w:val="0"/>
          <w:color w:val="auto"/>
          <w:highlight w:val="none"/>
        </w:rPr>
      </w:pPr>
      <w:bookmarkStart w:id="120" w:name="_Toc50737301"/>
      <w:bookmarkStart w:id="121" w:name="_Toc275865617"/>
      <w:bookmarkStart w:id="122" w:name="_Toc50736481"/>
      <w:bookmarkStart w:id="123" w:name="_Toc50737333"/>
      <w:bookmarkStart w:id="124" w:name="_Toc50691044"/>
      <w:bookmarkStart w:id="125" w:name="_Toc52165085"/>
      <w:r>
        <w:rPr>
          <w:rFonts w:hint="eastAsia"/>
          <w:b w:val="0"/>
          <w:color w:val="auto"/>
          <w:highlight w:val="none"/>
        </w:rPr>
        <w:t>同类项目业绩一览表</w:t>
      </w:r>
      <w:bookmarkEnd w:id="119"/>
      <w:bookmarkEnd w:id="120"/>
      <w:bookmarkEnd w:id="121"/>
      <w:bookmarkEnd w:id="122"/>
      <w:bookmarkEnd w:id="123"/>
      <w:bookmarkEnd w:id="124"/>
      <w:bookmarkEnd w:id="125"/>
    </w:p>
    <w:p>
      <w:pPr>
        <w:widowControl/>
        <w:wordWrap w:val="0"/>
        <w:spacing w:line="360" w:lineRule="auto"/>
        <w:jc w:val="left"/>
        <w:rPr>
          <w:rFonts w:ascii="宋体" w:hAnsi="宋体"/>
          <w:color w:val="auto"/>
          <w:highlight w:val="none"/>
        </w:rPr>
      </w:pPr>
      <w:r>
        <w:rPr>
          <w:rFonts w:hint="eastAsia" w:ascii="宋体" w:hAnsi="宋体"/>
          <w:color w:val="auto"/>
          <w:highlight w:val="none"/>
        </w:rPr>
        <w:t xml:space="preserve">投标人名称：                               </w:t>
      </w:r>
      <w:r>
        <w:rPr>
          <w:rFonts w:hint="eastAsia" w:ascii="宋体" w:hAnsi="宋体"/>
          <w:color w:val="auto"/>
          <w:highlight w:val="none"/>
          <w:lang w:val="en-US" w:eastAsia="zh-CN"/>
        </w:rPr>
        <w:t xml:space="preserve">    </w:t>
      </w:r>
      <w:r>
        <w:rPr>
          <w:rFonts w:hint="eastAsia" w:ascii="宋体" w:hAnsi="宋体"/>
          <w:color w:val="auto"/>
          <w:highlight w:val="none"/>
        </w:rPr>
        <w:t xml:space="preserve">       项目编号：</w:t>
      </w:r>
      <w:r>
        <w:rPr>
          <w:rFonts w:hint="eastAsia" w:ascii="宋体" w:hAnsi="宋体"/>
          <w:color w:val="auto"/>
          <w:highlight w:val="none"/>
          <w:lang w:eastAsia="zh-CN"/>
        </w:rPr>
        <w:t>GDZC-18GZ057</w:t>
      </w:r>
      <w:r>
        <w:rPr>
          <w:rFonts w:ascii="ˎ̥" w:hAnsi="ˎ̥" w:cs="宋体"/>
          <w:color w:val="auto"/>
          <w:kern w:val="0"/>
          <w:sz w:val="18"/>
          <w:szCs w:val="18"/>
          <w:highlight w:val="none"/>
        </w:rPr>
        <w:t> </w:t>
      </w:r>
    </w:p>
    <w:tbl>
      <w:tblPr>
        <w:tblStyle w:val="17"/>
        <w:tblW w:w="970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260"/>
        <w:gridCol w:w="1330"/>
        <w:gridCol w:w="1690"/>
        <w:gridCol w:w="1260"/>
        <w:gridCol w:w="1690"/>
        <w:gridCol w:w="19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70" w:type="dxa"/>
            <w:tcBorders>
              <w:top w:val="single" w:color="auto" w:sz="12" w:space="0"/>
              <w:bottom w:val="double" w:color="auto" w:sz="4" w:space="0"/>
            </w:tcBorders>
            <w:shd w:val="clear" w:color="auto" w:fill="EEECE1"/>
            <w:vAlign w:val="center"/>
          </w:tcPr>
          <w:p>
            <w:pPr>
              <w:adjustRightInd w:val="0"/>
              <w:snapToGrid w:val="0"/>
              <w:ind w:left="-69" w:leftChars="-33" w:right="-97" w:rightChars="-46"/>
              <w:jc w:val="center"/>
              <w:rPr>
                <w:rFonts w:hint="eastAsia"/>
                <w:color w:val="auto"/>
                <w:highlight w:val="none"/>
              </w:rPr>
            </w:pPr>
            <w:r>
              <w:rPr>
                <w:rFonts w:hint="eastAsia"/>
                <w:color w:val="auto"/>
                <w:highlight w:val="none"/>
              </w:rPr>
              <w:t>序号</w:t>
            </w:r>
          </w:p>
        </w:tc>
        <w:tc>
          <w:tcPr>
            <w:tcW w:w="1260" w:type="dxa"/>
            <w:tcBorders>
              <w:top w:val="single" w:color="auto" w:sz="12" w:space="0"/>
              <w:bottom w:val="double" w:color="auto" w:sz="4" w:space="0"/>
            </w:tcBorders>
            <w:shd w:val="clear" w:color="auto" w:fill="EEECE1"/>
            <w:vAlign w:val="center"/>
          </w:tcPr>
          <w:p>
            <w:pPr>
              <w:adjustRightInd w:val="0"/>
              <w:snapToGrid w:val="0"/>
              <w:jc w:val="center"/>
              <w:rPr>
                <w:rFonts w:hint="eastAsia"/>
                <w:color w:val="auto"/>
                <w:highlight w:val="none"/>
              </w:rPr>
            </w:pPr>
            <w:r>
              <w:rPr>
                <w:rFonts w:hint="eastAsia"/>
                <w:color w:val="auto"/>
                <w:highlight w:val="none"/>
              </w:rPr>
              <w:t>业主名称</w:t>
            </w:r>
          </w:p>
        </w:tc>
        <w:tc>
          <w:tcPr>
            <w:tcW w:w="1330" w:type="dxa"/>
            <w:tcBorders>
              <w:top w:val="single" w:color="auto" w:sz="12" w:space="0"/>
              <w:bottom w:val="double" w:color="auto" w:sz="4" w:space="0"/>
            </w:tcBorders>
            <w:shd w:val="clear" w:color="auto" w:fill="EEECE1"/>
            <w:vAlign w:val="center"/>
          </w:tcPr>
          <w:p>
            <w:pPr>
              <w:adjustRightInd w:val="0"/>
              <w:snapToGrid w:val="0"/>
              <w:jc w:val="center"/>
              <w:rPr>
                <w:rFonts w:hint="eastAsia"/>
                <w:color w:val="auto"/>
                <w:highlight w:val="none"/>
              </w:rPr>
            </w:pPr>
            <w:r>
              <w:rPr>
                <w:rFonts w:hint="eastAsia"/>
                <w:color w:val="auto"/>
                <w:highlight w:val="none"/>
              </w:rPr>
              <w:t>项目名称</w:t>
            </w:r>
          </w:p>
        </w:tc>
        <w:tc>
          <w:tcPr>
            <w:tcW w:w="1690" w:type="dxa"/>
            <w:tcBorders>
              <w:top w:val="single" w:color="auto" w:sz="12" w:space="0"/>
              <w:bottom w:val="double" w:color="auto" w:sz="4" w:space="0"/>
            </w:tcBorders>
            <w:shd w:val="clear" w:color="auto" w:fill="EEECE1"/>
            <w:vAlign w:val="center"/>
          </w:tcPr>
          <w:p>
            <w:pPr>
              <w:adjustRightInd w:val="0"/>
              <w:snapToGrid w:val="0"/>
              <w:jc w:val="center"/>
              <w:rPr>
                <w:rFonts w:hint="eastAsia"/>
                <w:color w:val="auto"/>
                <w:highlight w:val="none"/>
              </w:rPr>
            </w:pPr>
            <w:r>
              <w:rPr>
                <w:rFonts w:hint="eastAsia"/>
                <w:color w:val="auto"/>
                <w:highlight w:val="none"/>
              </w:rPr>
              <w:t>服务内容</w:t>
            </w:r>
          </w:p>
        </w:tc>
        <w:tc>
          <w:tcPr>
            <w:tcW w:w="1260" w:type="dxa"/>
            <w:tcBorders>
              <w:top w:val="single" w:color="auto" w:sz="12" w:space="0"/>
              <w:bottom w:val="double" w:color="auto" w:sz="4" w:space="0"/>
            </w:tcBorders>
            <w:shd w:val="clear" w:color="auto" w:fill="EEECE1"/>
            <w:vAlign w:val="center"/>
          </w:tcPr>
          <w:p>
            <w:pPr>
              <w:adjustRightInd w:val="0"/>
              <w:snapToGrid w:val="0"/>
              <w:jc w:val="center"/>
              <w:rPr>
                <w:rFonts w:hint="eastAsia"/>
                <w:color w:val="auto"/>
                <w:highlight w:val="none"/>
              </w:rPr>
            </w:pPr>
            <w:r>
              <w:rPr>
                <w:rFonts w:hint="eastAsia"/>
                <w:color w:val="auto"/>
                <w:highlight w:val="none"/>
              </w:rPr>
              <w:t>合同总价</w:t>
            </w:r>
          </w:p>
        </w:tc>
        <w:tc>
          <w:tcPr>
            <w:tcW w:w="1690" w:type="dxa"/>
            <w:tcBorders>
              <w:top w:val="single" w:color="auto" w:sz="12" w:space="0"/>
              <w:bottom w:val="double" w:color="auto" w:sz="4" w:space="0"/>
            </w:tcBorders>
            <w:shd w:val="clear" w:color="auto" w:fill="EEECE1"/>
            <w:vAlign w:val="center"/>
          </w:tcPr>
          <w:p>
            <w:pPr>
              <w:adjustRightInd w:val="0"/>
              <w:snapToGrid w:val="0"/>
              <w:jc w:val="center"/>
              <w:rPr>
                <w:rFonts w:hint="eastAsia"/>
                <w:color w:val="auto"/>
                <w:highlight w:val="none"/>
              </w:rPr>
            </w:pPr>
            <w:r>
              <w:rPr>
                <w:rFonts w:hint="eastAsia"/>
                <w:color w:val="auto"/>
                <w:highlight w:val="none"/>
              </w:rPr>
              <w:t>签约及完成时间</w:t>
            </w:r>
          </w:p>
        </w:tc>
        <w:tc>
          <w:tcPr>
            <w:tcW w:w="1908" w:type="dxa"/>
            <w:tcBorders>
              <w:top w:val="single" w:color="auto" w:sz="12" w:space="0"/>
              <w:bottom w:val="double" w:color="auto" w:sz="4" w:space="0"/>
            </w:tcBorders>
            <w:shd w:val="clear" w:color="auto" w:fill="EEECE1"/>
            <w:vAlign w:val="center"/>
          </w:tcPr>
          <w:p>
            <w:pPr>
              <w:adjustRightInd w:val="0"/>
              <w:snapToGrid w:val="0"/>
              <w:jc w:val="center"/>
              <w:rPr>
                <w:rFonts w:hint="eastAsia"/>
                <w:color w:val="auto"/>
                <w:highlight w:val="none"/>
              </w:rPr>
            </w:pPr>
            <w:r>
              <w:rPr>
                <w:rFonts w:hint="eastAsia"/>
                <w:color w:val="auto"/>
                <w:highlight w:val="none"/>
              </w:rPr>
              <w:t>单位联系人及电话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70" w:type="dxa"/>
            <w:tcBorders>
              <w:top w:val="double" w:color="auto" w:sz="4" w:space="0"/>
            </w:tcBorders>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1</w:t>
            </w:r>
          </w:p>
        </w:tc>
        <w:tc>
          <w:tcPr>
            <w:tcW w:w="1260" w:type="dxa"/>
            <w:tcBorders>
              <w:top w:val="double" w:color="auto" w:sz="4" w:space="0"/>
            </w:tcBorders>
            <w:vAlign w:val="center"/>
          </w:tcPr>
          <w:p>
            <w:pPr>
              <w:spacing w:line="400" w:lineRule="exact"/>
              <w:jc w:val="center"/>
              <w:rPr>
                <w:rFonts w:hint="eastAsia"/>
                <w:color w:val="auto"/>
                <w:highlight w:val="none"/>
              </w:rPr>
            </w:pPr>
          </w:p>
        </w:tc>
        <w:tc>
          <w:tcPr>
            <w:tcW w:w="1330" w:type="dxa"/>
            <w:tcBorders>
              <w:top w:val="double" w:color="auto" w:sz="4" w:space="0"/>
            </w:tcBorders>
            <w:vAlign w:val="center"/>
          </w:tcPr>
          <w:p>
            <w:pPr>
              <w:spacing w:line="400" w:lineRule="exact"/>
              <w:jc w:val="center"/>
              <w:rPr>
                <w:rFonts w:hint="eastAsia"/>
                <w:color w:val="auto"/>
                <w:highlight w:val="none"/>
              </w:rPr>
            </w:pPr>
          </w:p>
        </w:tc>
        <w:tc>
          <w:tcPr>
            <w:tcW w:w="1690" w:type="dxa"/>
            <w:tcBorders>
              <w:top w:val="double" w:color="auto" w:sz="4" w:space="0"/>
            </w:tcBorders>
            <w:vAlign w:val="center"/>
          </w:tcPr>
          <w:p>
            <w:pPr>
              <w:spacing w:line="400" w:lineRule="exact"/>
              <w:jc w:val="center"/>
              <w:rPr>
                <w:rFonts w:hint="eastAsia"/>
                <w:color w:val="auto"/>
                <w:highlight w:val="none"/>
              </w:rPr>
            </w:pPr>
          </w:p>
        </w:tc>
        <w:tc>
          <w:tcPr>
            <w:tcW w:w="1260" w:type="dxa"/>
            <w:tcBorders>
              <w:top w:val="double" w:color="auto" w:sz="4" w:space="0"/>
            </w:tcBorders>
            <w:vAlign w:val="center"/>
          </w:tcPr>
          <w:p>
            <w:pPr>
              <w:spacing w:line="400" w:lineRule="exact"/>
              <w:jc w:val="center"/>
              <w:rPr>
                <w:rFonts w:hint="eastAsia"/>
                <w:color w:val="auto"/>
                <w:highlight w:val="none"/>
              </w:rPr>
            </w:pPr>
          </w:p>
        </w:tc>
        <w:tc>
          <w:tcPr>
            <w:tcW w:w="1690" w:type="dxa"/>
            <w:tcBorders>
              <w:top w:val="double" w:color="auto" w:sz="4" w:space="0"/>
            </w:tcBorders>
            <w:vAlign w:val="center"/>
          </w:tcPr>
          <w:p>
            <w:pPr>
              <w:spacing w:line="400" w:lineRule="exact"/>
              <w:jc w:val="center"/>
              <w:rPr>
                <w:rFonts w:hint="eastAsia"/>
                <w:color w:val="auto"/>
                <w:highlight w:val="none"/>
              </w:rPr>
            </w:pPr>
          </w:p>
        </w:tc>
        <w:tc>
          <w:tcPr>
            <w:tcW w:w="1908" w:type="dxa"/>
            <w:tcBorders>
              <w:top w:val="double" w:color="auto" w:sz="4" w:space="0"/>
            </w:tcBorders>
            <w:vAlign w:val="center"/>
          </w:tcPr>
          <w:p>
            <w:pPr>
              <w:spacing w:line="400" w:lineRule="exact"/>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2</w:t>
            </w:r>
          </w:p>
        </w:tc>
        <w:tc>
          <w:tcPr>
            <w:tcW w:w="1260" w:type="dxa"/>
            <w:vAlign w:val="center"/>
          </w:tcPr>
          <w:p>
            <w:pPr>
              <w:spacing w:line="400" w:lineRule="exact"/>
              <w:jc w:val="center"/>
              <w:rPr>
                <w:rFonts w:hint="eastAsia"/>
                <w:color w:val="auto"/>
                <w:highlight w:val="none"/>
              </w:rPr>
            </w:pPr>
          </w:p>
        </w:tc>
        <w:tc>
          <w:tcPr>
            <w:tcW w:w="1330" w:type="dxa"/>
            <w:vAlign w:val="center"/>
          </w:tcPr>
          <w:p>
            <w:pPr>
              <w:spacing w:line="400" w:lineRule="exact"/>
              <w:jc w:val="center"/>
              <w:rPr>
                <w:rFonts w:hint="eastAsia"/>
                <w:color w:val="auto"/>
                <w:highlight w:val="none"/>
              </w:rPr>
            </w:pPr>
          </w:p>
        </w:tc>
        <w:tc>
          <w:tcPr>
            <w:tcW w:w="1690" w:type="dxa"/>
            <w:vAlign w:val="center"/>
          </w:tcPr>
          <w:p>
            <w:pPr>
              <w:spacing w:line="400" w:lineRule="exact"/>
              <w:jc w:val="center"/>
              <w:rPr>
                <w:rFonts w:hint="eastAsia"/>
                <w:color w:val="auto"/>
                <w:highlight w:val="none"/>
              </w:rPr>
            </w:pPr>
          </w:p>
        </w:tc>
        <w:tc>
          <w:tcPr>
            <w:tcW w:w="1260" w:type="dxa"/>
            <w:vAlign w:val="center"/>
          </w:tcPr>
          <w:p>
            <w:pPr>
              <w:spacing w:line="400" w:lineRule="exact"/>
              <w:jc w:val="center"/>
              <w:rPr>
                <w:rFonts w:hint="eastAsia"/>
                <w:color w:val="auto"/>
                <w:highlight w:val="none"/>
              </w:rPr>
            </w:pPr>
          </w:p>
        </w:tc>
        <w:tc>
          <w:tcPr>
            <w:tcW w:w="1690" w:type="dxa"/>
            <w:vAlign w:val="center"/>
          </w:tcPr>
          <w:p>
            <w:pPr>
              <w:spacing w:line="400" w:lineRule="exact"/>
              <w:jc w:val="center"/>
              <w:rPr>
                <w:rFonts w:hint="eastAsia"/>
                <w:color w:val="auto"/>
                <w:highlight w:val="none"/>
              </w:rPr>
            </w:pPr>
          </w:p>
        </w:tc>
        <w:tc>
          <w:tcPr>
            <w:tcW w:w="1908" w:type="dxa"/>
            <w:vAlign w:val="center"/>
          </w:tcPr>
          <w:p>
            <w:pPr>
              <w:spacing w:line="400" w:lineRule="exact"/>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3</w:t>
            </w:r>
          </w:p>
        </w:tc>
        <w:tc>
          <w:tcPr>
            <w:tcW w:w="1260" w:type="dxa"/>
            <w:vAlign w:val="center"/>
          </w:tcPr>
          <w:p>
            <w:pPr>
              <w:spacing w:line="400" w:lineRule="exact"/>
              <w:jc w:val="center"/>
              <w:rPr>
                <w:rFonts w:hint="eastAsia"/>
                <w:color w:val="auto"/>
                <w:highlight w:val="none"/>
              </w:rPr>
            </w:pPr>
          </w:p>
        </w:tc>
        <w:tc>
          <w:tcPr>
            <w:tcW w:w="1330" w:type="dxa"/>
            <w:vAlign w:val="center"/>
          </w:tcPr>
          <w:p>
            <w:pPr>
              <w:spacing w:line="400" w:lineRule="exact"/>
              <w:jc w:val="center"/>
              <w:rPr>
                <w:rFonts w:hint="eastAsia"/>
                <w:color w:val="auto"/>
                <w:highlight w:val="none"/>
              </w:rPr>
            </w:pPr>
          </w:p>
        </w:tc>
        <w:tc>
          <w:tcPr>
            <w:tcW w:w="1690" w:type="dxa"/>
            <w:vAlign w:val="center"/>
          </w:tcPr>
          <w:p>
            <w:pPr>
              <w:spacing w:line="400" w:lineRule="exact"/>
              <w:jc w:val="center"/>
              <w:rPr>
                <w:rFonts w:hint="eastAsia"/>
                <w:color w:val="auto"/>
                <w:highlight w:val="none"/>
              </w:rPr>
            </w:pPr>
          </w:p>
        </w:tc>
        <w:tc>
          <w:tcPr>
            <w:tcW w:w="1260" w:type="dxa"/>
            <w:vAlign w:val="center"/>
          </w:tcPr>
          <w:p>
            <w:pPr>
              <w:spacing w:line="400" w:lineRule="exact"/>
              <w:jc w:val="center"/>
              <w:rPr>
                <w:rFonts w:hint="eastAsia"/>
                <w:color w:val="auto"/>
                <w:highlight w:val="none"/>
              </w:rPr>
            </w:pPr>
          </w:p>
        </w:tc>
        <w:tc>
          <w:tcPr>
            <w:tcW w:w="1690" w:type="dxa"/>
            <w:vAlign w:val="center"/>
          </w:tcPr>
          <w:p>
            <w:pPr>
              <w:spacing w:line="400" w:lineRule="exact"/>
              <w:jc w:val="center"/>
              <w:rPr>
                <w:rFonts w:hint="eastAsia"/>
                <w:color w:val="auto"/>
                <w:highlight w:val="none"/>
              </w:rPr>
            </w:pPr>
          </w:p>
        </w:tc>
        <w:tc>
          <w:tcPr>
            <w:tcW w:w="1908" w:type="dxa"/>
            <w:vAlign w:val="center"/>
          </w:tcPr>
          <w:p>
            <w:pPr>
              <w:spacing w:line="400" w:lineRule="exact"/>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4</w:t>
            </w:r>
          </w:p>
        </w:tc>
        <w:tc>
          <w:tcPr>
            <w:tcW w:w="1260" w:type="dxa"/>
            <w:vAlign w:val="center"/>
          </w:tcPr>
          <w:p>
            <w:pPr>
              <w:spacing w:line="400" w:lineRule="exact"/>
              <w:jc w:val="center"/>
              <w:rPr>
                <w:rFonts w:hint="eastAsia"/>
                <w:color w:val="auto"/>
                <w:highlight w:val="none"/>
              </w:rPr>
            </w:pPr>
          </w:p>
        </w:tc>
        <w:tc>
          <w:tcPr>
            <w:tcW w:w="1330" w:type="dxa"/>
            <w:vAlign w:val="center"/>
          </w:tcPr>
          <w:p>
            <w:pPr>
              <w:spacing w:line="400" w:lineRule="exact"/>
              <w:jc w:val="center"/>
              <w:rPr>
                <w:rFonts w:hint="eastAsia"/>
                <w:color w:val="auto"/>
                <w:highlight w:val="none"/>
              </w:rPr>
            </w:pPr>
          </w:p>
        </w:tc>
        <w:tc>
          <w:tcPr>
            <w:tcW w:w="1690" w:type="dxa"/>
            <w:vAlign w:val="center"/>
          </w:tcPr>
          <w:p>
            <w:pPr>
              <w:spacing w:line="400" w:lineRule="exact"/>
              <w:jc w:val="center"/>
              <w:rPr>
                <w:rFonts w:hint="eastAsia"/>
                <w:color w:val="auto"/>
                <w:highlight w:val="none"/>
              </w:rPr>
            </w:pPr>
          </w:p>
        </w:tc>
        <w:tc>
          <w:tcPr>
            <w:tcW w:w="1260" w:type="dxa"/>
            <w:vAlign w:val="center"/>
          </w:tcPr>
          <w:p>
            <w:pPr>
              <w:spacing w:line="400" w:lineRule="exact"/>
              <w:jc w:val="center"/>
              <w:rPr>
                <w:rFonts w:hint="eastAsia"/>
                <w:color w:val="auto"/>
                <w:highlight w:val="none"/>
              </w:rPr>
            </w:pPr>
          </w:p>
        </w:tc>
        <w:tc>
          <w:tcPr>
            <w:tcW w:w="1690" w:type="dxa"/>
            <w:vAlign w:val="center"/>
          </w:tcPr>
          <w:p>
            <w:pPr>
              <w:spacing w:line="400" w:lineRule="exact"/>
              <w:jc w:val="center"/>
              <w:rPr>
                <w:rFonts w:hint="eastAsia"/>
                <w:color w:val="auto"/>
                <w:highlight w:val="none"/>
              </w:rPr>
            </w:pPr>
          </w:p>
        </w:tc>
        <w:tc>
          <w:tcPr>
            <w:tcW w:w="1908" w:type="dxa"/>
            <w:vAlign w:val="center"/>
          </w:tcPr>
          <w:p>
            <w:pPr>
              <w:spacing w:line="400" w:lineRule="exact"/>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5</w:t>
            </w:r>
          </w:p>
        </w:tc>
        <w:tc>
          <w:tcPr>
            <w:tcW w:w="1260" w:type="dxa"/>
            <w:vAlign w:val="center"/>
          </w:tcPr>
          <w:p>
            <w:pPr>
              <w:spacing w:line="400" w:lineRule="exact"/>
              <w:jc w:val="center"/>
              <w:rPr>
                <w:rFonts w:hint="eastAsia"/>
                <w:color w:val="auto"/>
                <w:highlight w:val="none"/>
              </w:rPr>
            </w:pPr>
          </w:p>
        </w:tc>
        <w:tc>
          <w:tcPr>
            <w:tcW w:w="1330" w:type="dxa"/>
            <w:vAlign w:val="center"/>
          </w:tcPr>
          <w:p>
            <w:pPr>
              <w:spacing w:line="400" w:lineRule="exact"/>
              <w:jc w:val="center"/>
              <w:rPr>
                <w:rFonts w:hint="eastAsia"/>
                <w:color w:val="auto"/>
                <w:highlight w:val="none"/>
              </w:rPr>
            </w:pPr>
          </w:p>
        </w:tc>
        <w:tc>
          <w:tcPr>
            <w:tcW w:w="1690" w:type="dxa"/>
            <w:vAlign w:val="center"/>
          </w:tcPr>
          <w:p>
            <w:pPr>
              <w:spacing w:line="400" w:lineRule="exact"/>
              <w:jc w:val="center"/>
              <w:rPr>
                <w:rFonts w:hint="eastAsia"/>
                <w:color w:val="auto"/>
                <w:highlight w:val="none"/>
              </w:rPr>
            </w:pPr>
          </w:p>
        </w:tc>
        <w:tc>
          <w:tcPr>
            <w:tcW w:w="1260" w:type="dxa"/>
            <w:vAlign w:val="center"/>
          </w:tcPr>
          <w:p>
            <w:pPr>
              <w:spacing w:line="400" w:lineRule="exact"/>
              <w:jc w:val="center"/>
              <w:rPr>
                <w:rFonts w:hint="eastAsia"/>
                <w:color w:val="auto"/>
                <w:highlight w:val="none"/>
              </w:rPr>
            </w:pPr>
          </w:p>
        </w:tc>
        <w:tc>
          <w:tcPr>
            <w:tcW w:w="1690" w:type="dxa"/>
            <w:vAlign w:val="center"/>
          </w:tcPr>
          <w:p>
            <w:pPr>
              <w:spacing w:line="400" w:lineRule="exact"/>
              <w:jc w:val="center"/>
              <w:rPr>
                <w:rFonts w:hint="eastAsia"/>
                <w:color w:val="auto"/>
                <w:highlight w:val="none"/>
              </w:rPr>
            </w:pPr>
          </w:p>
        </w:tc>
        <w:tc>
          <w:tcPr>
            <w:tcW w:w="1908" w:type="dxa"/>
            <w:vAlign w:val="center"/>
          </w:tcPr>
          <w:p>
            <w:pPr>
              <w:spacing w:line="400" w:lineRule="exact"/>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6</w:t>
            </w:r>
          </w:p>
        </w:tc>
        <w:tc>
          <w:tcPr>
            <w:tcW w:w="1260" w:type="dxa"/>
            <w:vAlign w:val="center"/>
          </w:tcPr>
          <w:p>
            <w:pPr>
              <w:spacing w:line="400" w:lineRule="exact"/>
              <w:jc w:val="center"/>
              <w:rPr>
                <w:rFonts w:hint="eastAsia"/>
                <w:color w:val="auto"/>
                <w:highlight w:val="none"/>
              </w:rPr>
            </w:pPr>
          </w:p>
        </w:tc>
        <w:tc>
          <w:tcPr>
            <w:tcW w:w="1330" w:type="dxa"/>
            <w:vAlign w:val="center"/>
          </w:tcPr>
          <w:p>
            <w:pPr>
              <w:spacing w:line="400" w:lineRule="exact"/>
              <w:jc w:val="center"/>
              <w:rPr>
                <w:rFonts w:hint="eastAsia"/>
                <w:color w:val="auto"/>
                <w:highlight w:val="none"/>
              </w:rPr>
            </w:pPr>
          </w:p>
        </w:tc>
        <w:tc>
          <w:tcPr>
            <w:tcW w:w="1690" w:type="dxa"/>
            <w:vAlign w:val="center"/>
          </w:tcPr>
          <w:p>
            <w:pPr>
              <w:spacing w:line="400" w:lineRule="exact"/>
              <w:jc w:val="center"/>
              <w:rPr>
                <w:rFonts w:hint="eastAsia"/>
                <w:color w:val="auto"/>
                <w:highlight w:val="none"/>
              </w:rPr>
            </w:pPr>
          </w:p>
        </w:tc>
        <w:tc>
          <w:tcPr>
            <w:tcW w:w="1260" w:type="dxa"/>
            <w:vAlign w:val="center"/>
          </w:tcPr>
          <w:p>
            <w:pPr>
              <w:spacing w:line="400" w:lineRule="exact"/>
              <w:jc w:val="center"/>
              <w:rPr>
                <w:rFonts w:hint="eastAsia"/>
                <w:color w:val="auto"/>
                <w:highlight w:val="none"/>
              </w:rPr>
            </w:pPr>
          </w:p>
        </w:tc>
        <w:tc>
          <w:tcPr>
            <w:tcW w:w="1690" w:type="dxa"/>
            <w:vAlign w:val="center"/>
          </w:tcPr>
          <w:p>
            <w:pPr>
              <w:spacing w:line="400" w:lineRule="exact"/>
              <w:jc w:val="center"/>
              <w:rPr>
                <w:rFonts w:hint="eastAsia"/>
                <w:color w:val="auto"/>
                <w:highlight w:val="none"/>
              </w:rPr>
            </w:pPr>
          </w:p>
        </w:tc>
        <w:tc>
          <w:tcPr>
            <w:tcW w:w="1908" w:type="dxa"/>
            <w:vAlign w:val="center"/>
          </w:tcPr>
          <w:p>
            <w:pPr>
              <w:spacing w:line="400" w:lineRule="exact"/>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7</w:t>
            </w:r>
          </w:p>
        </w:tc>
        <w:tc>
          <w:tcPr>
            <w:tcW w:w="1260" w:type="dxa"/>
            <w:vAlign w:val="center"/>
          </w:tcPr>
          <w:p>
            <w:pPr>
              <w:spacing w:line="400" w:lineRule="exact"/>
              <w:jc w:val="center"/>
              <w:rPr>
                <w:rFonts w:hint="eastAsia"/>
                <w:color w:val="auto"/>
                <w:highlight w:val="none"/>
              </w:rPr>
            </w:pPr>
          </w:p>
        </w:tc>
        <w:tc>
          <w:tcPr>
            <w:tcW w:w="1330" w:type="dxa"/>
            <w:vAlign w:val="center"/>
          </w:tcPr>
          <w:p>
            <w:pPr>
              <w:spacing w:line="400" w:lineRule="exact"/>
              <w:jc w:val="center"/>
              <w:rPr>
                <w:rFonts w:hint="eastAsia"/>
                <w:color w:val="auto"/>
                <w:highlight w:val="none"/>
              </w:rPr>
            </w:pPr>
          </w:p>
        </w:tc>
        <w:tc>
          <w:tcPr>
            <w:tcW w:w="1690" w:type="dxa"/>
            <w:vAlign w:val="center"/>
          </w:tcPr>
          <w:p>
            <w:pPr>
              <w:spacing w:line="400" w:lineRule="exact"/>
              <w:jc w:val="center"/>
              <w:rPr>
                <w:rFonts w:hint="eastAsia"/>
                <w:color w:val="auto"/>
                <w:highlight w:val="none"/>
              </w:rPr>
            </w:pPr>
          </w:p>
        </w:tc>
        <w:tc>
          <w:tcPr>
            <w:tcW w:w="1260" w:type="dxa"/>
            <w:vAlign w:val="center"/>
          </w:tcPr>
          <w:p>
            <w:pPr>
              <w:spacing w:line="400" w:lineRule="exact"/>
              <w:jc w:val="center"/>
              <w:rPr>
                <w:rFonts w:hint="eastAsia"/>
                <w:color w:val="auto"/>
                <w:highlight w:val="none"/>
              </w:rPr>
            </w:pPr>
          </w:p>
        </w:tc>
        <w:tc>
          <w:tcPr>
            <w:tcW w:w="1690" w:type="dxa"/>
            <w:vAlign w:val="center"/>
          </w:tcPr>
          <w:p>
            <w:pPr>
              <w:spacing w:line="400" w:lineRule="exact"/>
              <w:jc w:val="center"/>
              <w:rPr>
                <w:rFonts w:hint="eastAsia"/>
                <w:color w:val="auto"/>
                <w:highlight w:val="none"/>
              </w:rPr>
            </w:pPr>
          </w:p>
        </w:tc>
        <w:tc>
          <w:tcPr>
            <w:tcW w:w="1908" w:type="dxa"/>
            <w:vAlign w:val="center"/>
          </w:tcPr>
          <w:p>
            <w:pPr>
              <w:spacing w:line="400" w:lineRule="exact"/>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spacing w:line="400" w:lineRule="exact"/>
              <w:jc w:val="center"/>
              <w:rPr>
                <w:rFonts w:hint="eastAsia"/>
                <w:color w:val="auto"/>
                <w:highlight w:val="none"/>
              </w:rPr>
            </w:pPr>
            <w:r>
              <w:rPr>
                <w:rFonts w:hint="eastAsia"/>
                <w:color w:val="auto"/>
                <w:highlight w:val="none"/>
              </w:rPr>
              <w:t>8</w:t>
            </w:r>
          </w:p>
        </w:tc>
        <w:tc>
          <w:tcPr>
            <w:tcW w:w="1260" w:type="dxa"/>
            <w:vAlign w:val="center"/>
          </w:tcPr>
          <w:p>
            <w:pPr>
              <w:spacing w:line="400" w:lineRule="exact"/>
              <w:jc w:val="center"/>
              <w:rPr>
                <w:rFonts w:hint="eastAsia"/>
                <w:color w:val="auto"/>
                <w:highlight w:val="none"/>
              </w:rPr>
            </w:pPr>
          </w:p>
        </w:tc>
        <w:tc>
          <w:tcPr>
            <w:tcW w:w="1330" w:type="dxa"/>
            <w:vAlign w:val="center"/>
          </w:tcPr>
          <w:p>
            <w:pPr>
              <w:spacing w:line="400" w:lineRule="exact"/>
              <w:jc w:val="center"/>
              <w:rPr>
                <w:rFonts w:hint="eastAsia"/>
                <w:color w:val="auto"/>
                <w:highlight w:val="none"/>
              </w:rPr>
            </w:pPr>
          </w:p>
        </w:tc>
        <w:tc>
          <w:tcPr>
            <w:tcW w:w="1690" w:type="dxa"/>
            <w:vAlign w:val="center"/>
          </w:tcPr>
          <w:p>
            <w:pPr>
              <w:spacing w:line="400" w:lineRule="exact"/>
              <w:jc w:val="center"/>
              <w:rPr>
                <w:rFonts w:hint="eastAsia"/>
                <w:color w:val="auto"/>
                <w:highlight w:val="none"/>
              </w:rPr>
            </w:pPr>
          </w:p>
        </w:tc>
        <w:tc>
          <w:tcPr>
            <w:tcW w:w="1260" w:type="dxa"/>
            <w:vAlign w:val="center"/>
          </w:tcPr>
          <w:p>
            <w:pPr>
              <w:spacing w:line="400" w:lineRule="exact"/>
              <w:jc w:val="center"/>
              <w:rPr>
                <w:rFonts w:hint="eastAsia"/>
                <w:color w:val="auto"/>
                <w:highlight w:val="none"/>
              </w:rPr>
            </w:pPr>
          </w:p>
        </w:tc>
        <w:tc>
          <w:tcPr>
            <w:tcW w:w="1690" w:type="dxa"/>
            <w:vAlign w:val="center"/>
          </w:tcPr>
          <w:p>
            <w:pPr>
              <w:spacing w:line="400" w:lineRule="exact"/>
              <w:jc w:val="center"/>
              <w:rPr>
                <w:rFonts w:hint="eastAsia"/>
                <w:color w:val="auto"/>
                <w:highlight w:val="none"/>
              </w:rPr>
            </w:pPr>
          </w:p>
        </w:tc>
        <w:tc>
          <w:tcPr>
            <w:tcW w:w="1908" w:type="dxa"/>
            <w:vAlign w:val="center"/>
          </w:tcPr>
          <w:p>
            <w:pPr>
              <w:spacing w:line="400" w:lineRule="exact"/>
              <w:jc w:val="center"/>
              <w:rPr>
                <w:rFonts w:hint="eastAsia"/>
                <w:color w:val="auto"/>
                <w:highlight w:val="none"/>
              </w:rPr>
            </w:pPr>
          </w:p>
        </w:tc>
      </w:tr>
    </w:tbl>
    <w:p>
      <w:pPr>
        <w:adjustRightInd w:val="0"/>
        <w:snapToGrid w:val="0"/>
        <w:spacing w:line="360" w:lineRule="auto"/>
        <w:rPr>
          <w:rFonts w:hint="eastAsia"/>
          <w:bCs/>
          <w:color w:val="auto"/>
          <w:highlight w:val="none"/>
        </w:rPr>
      </w:pPr>
      <w:r>
        <w:rPr>
          <w:rFonts w:hint="eastAsia"/>
          <w:bCs/>
          <w:color w:val="auto"/>
          <w:highlight w:val="none"/>
        </w:rPr>
        <w:t>备注：</w:t>
      </w:r>
      <w:r>
        <w:rPr>
          <w:rFonts w:hint="eastAsia" w:ascii="宋体" w:hAnsi="宋体"/>
          <w:color w:val="auto"/>
          <w:kern w:val="0"/>
          <w:sz w:val="21"/>
          <w:szCs w:val="21"/>
          <w:highlight w:val="none"/>
          <w:lang w:val="en-US" w:eastAsia="zh-CN"/>
        </w:rPr>
        <w:t>同时</w:t>
      </w:r>
      <w:r>
        <w:rPr>
          <w:rFonts w:hint="eastAsia" w:ascii="宋体" w:hAnsi="宋体"/>
          <w:color w:val="auto"/>
          <w:kern w:val="0"/>
          <w:sz w:val="21"/>
          <w:szCs w:val="21"/>
          <w:highlight w:val="none"/>
        </w:rPr>
        <w:t>提供</w:t>
      </w:r>
      <w:r>
        <w:rPr>
          <w:rFonts w:hint="eastAsia" w:ascii="宋体" w:hAnsi="宋体"/>
          <w:color w:val="auto"/>
          <w:kern w:val="0"/>
          <w:sz w:val="21"/>
          <w:szCs w:val="21"/>
          <w:highlight w:val="none"/>
          <w:lang w:eastAsia="zh-CN"/>
        </w:rPr>
        <w:t>合同关键页</w:t>
      </w:r>
      <w:r>
        <w:rPr>
          <w:rFonts w:hint="eastAsia" w:ascii="宋体" w:hAnsi="宋体"/>
          <w:color w:val="auto"/>
          <w:kern w:val="0"/>
          <w:sz w:val="21"/>
          <w:szCs w:val="21"/>
          <w:highlight w:val="none"/>
        </w:rPr>
        <w:t>复印件并盖原厂家公章</w:t>
      </w:r>
      <w:r>
        <w:rPr>
          <w:rFonts w:hint="eastAsia" w:ascii="宋体" w:hAnsi="宋体"/>
          <w:color w:val="auto"/>
          <w:kern w:val="0"/>
          <w:sz w:val="21"/>
          <w:szCs w:val="21"/>
          <w:highlight w:val="none"/>
          <w:lang w:eastAsia="zh-CN"/>
        </w:rPr>
        <w:t>，否则不得分</w:t>
      </w:r>
      <w:r>
        <w:rPr>
          <w:rFonts w:hint="eastAsia"/>
          <w:bCs/>
          <w:color w:val="auto"/>
          <w:highlight w:val="none"/>
        </w:rPr>
        <w:t>。</w:t>
      </w:r>
    </w:p>
    <w:p>
      <w:pPr>
        <w:spacing w:line="500" w:lineRule="exact"/>
        <w:rPr>
          <w:rFonts w:hint="eastAsia" w:ascii="宋体" w:hAnsi="宋体"/>
          <w:color w:val="auto"/>
          <w:sz w:val="24"/>
          <w:highlight w:val="none"/>
        </w:rPr>
      </w:pPr>
    </w:p>
    <w:p>
      <w:pPr>
        <w:spacing w:line="500" w:lineRule="exact"/>
        <w:rPr>
          <w:rFonts w:hint="eastAsia" w:ascii="宋体" w:hAnsi="宋体"/>
          <w:color w:val="auto"/>
          <w:sz w:val="24"/>
          <w:highlight w:val="none"/>
        </w:rPr>
      </w:pPr>
    </w:p>
    <w:p>
      <w:pPr>
        <w:spacing w:line="500" w:lineRule="exact"/>
        <w:rPr>
          <w:rFonts w:hint="eastAsia" w:ascii="宋体" w:hAnsi="宋体"/>
          <w:color w:val="auto"/>
          <w:sz w:val="24"/>
          <w:highlight w:val="none"/>
        </w:rPr>
      </w:pPr>
    </w:p>
    <w:p>
      <w:pPr>
        <w:spacing w:line="500" w:lineRule="exact"/>
        <w:rPr>
          <w:rFonts w:hint="eastAsia" w:ascii="宋体" w:hAnsi="宋体"/>
          <w:color w:val="auto"/>
          <w:highlight w:val="none"/>
          <w:u w:val="single"/>
        </w:rPr>
      </w:pPr>
      <w:r>
        <w:rPr>
          <w:rFonts w:hint="eastAsia"/>
          <w:color w:val="auto"/>
          <w:spacing w:val="4"/>
          <w:highlight w:val="none"/>
        </w:rPr>
        <w:t>投标人名称（盖公章）：</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rFonts w:hint="eastAsia"/>
          <w:color w:val="auto"/>
          <w:spacing w:val="4"/>
          <w:highlight w:val="non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spacing w:line="500" w:lineRule="exact"/>
        <w:rPr>
          <w:rFonts w:hint="eastAsia" w:ascii="宋体" w:hAnsi="宋体"/>
          <w:color w:val="auto"/>
          <w:sz w:val="24"/>
          <w:highlight w:val="none"/>
        </w:rPr>
      </w:pPr>
    </w:p>
    <w:p>
      <w:pPr>
        <w:numPr>
          <w:ilvl w:val="0"/>
          <w:numId w:val="57"/>
        </w:numPr>
        <w:spacing w:line="440" w:lineRule="exact"/>
        <w:rPr>
          <w:rFonts w:hint="eastAsia" w:hAnsi="宋体"/>
          <w:bCs/>
          <w:color w:val="auto"/>
          <w:highlight w:val="none"/>
        </w:rPr>
      </w:pPr>
      <w:r>
        <w:rPr>
          <w:color w:val="auto"/>
          <w:highlight w:val="none"/>
        </w:rPr>
        <w:br w:type="page"/>
      </w:r>
      <w:bookmarkEnd w:id="114"/>
      <w:bookmarkEnd w:id="115"/>
      <w:r>
        <w:rPr>
          <w:rFonts w:hint="eastAsia" w:ascii="黑体" w:eastAsia="黑体"/>
          <w:bCs/>
          <w:color w:val="auto"/>
          <w:highlight w:val="none"/>
        </w:rPr>
        <w:t xml:space="preserve"> </w:t>
      </w:r>
    </w:p>
    <w:p>
      <w:pPr>
        <w:pStyle w:val="3"/>
        <w:adjustRightInd w:val="0"/>
        <w:snapToGrid w:val="0"/>
        <w:spacing w:before="120" w:beforeLines="50" w:after="120" w:afterLines="50" w:line="360" w:lineRule="auto"/>
        <w:jc w:val="center"/>
        <w:rPr>
          <w:b w:val="0"/>
          <w:color w:val="auto"/>
          <w:highlight w:val="none"/>
        </w:rPr>
      </w:pPr>
      <w:bookmarkStart w:id="126" w:name="_Toc275865621"/>
      <w:bookmarkStart w:id="127" w:name="_Toc259022219"/>
      <w:r>
        <w:rPr>
          <w:rFonts w:hint="eastAsia"/>
          <w:b w:val="0"/>
          <w:color w:val="auto"/>
          <w:highlight w:val="none"/>
        </w:rPr>
        <w:t>中小企业声明函</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本公司郑重声明，根据《政府采购促进中小企业发展暂行办法》（财库[2011]181号）的规定，本公司为</w:t>
      </w:r>
      <w:r>
        <w:rPr>
          <w:rFonts w:hint="eastAsia" w:ascii="宋体" w:hAnsi="宋体"/>
          <w:color w:val="auto"/>
          <w:highlight w:val="none"/>
          <w:u w:val="single"/>
        </w:rPr>
        <w:t xml:space="preserve">         </w:t>
      </w:r>
      <w:r>
        <w:rPr>
          <w:rFonts w:hint="eastAsia" w:ascii="宋体" w:hAnsi="宋体"/>
          <w:color w:val="auto"/>
          <w:highlight w:val="none"/>
        </w:rPr>
        <w:t>（请填写：中型、小型、微型）企业。即，本公司同时满足以下条件：</w:t>
      </w:r>
    </w:p>
    <w:p>
      <w:pPr>
        <w:spacing w:line="360" w:lineRule="auto"/>
        <w:ind w:left="315" w:hanging="315" w:hangingChars="150"/>
        <w:rPr>
          <w:rFonts w:hint="eastAsia" w:ascii="宋体" w:hAnsi="宋体"/>
          <w:color w:val="auto"/>
          <w:highlight w:val="none"/>
        </w:rPr>
      </w:pPr>
      <w:r>
        <w:rPr>
          <w:rFonts w:hint="eastAsia" w:ascii="宋体" w:hAnsi="宋体"/>
          <w:color w:val="auto"/>
          <w:highlight w:val="none"/>
        </w:rPr>
        <w:t>1、根据《工业和信息化部、国家统计局、国家发展和改革委员会、财政部关于印发中小企业划型标准规定的通知》（工信部联企业[2011]300号）规定的划分标准，本公司为</w:t>
      </w:r>
      <w:r>
        <w:rPr>
          <w:rFonts w:hint="eastAsia" w:ascii="宋体" w:hAnsi="宋体"/>
          <w:color w:val="auto"/>
          <w:highlight w:val="none"/>
          <w:u w:val="single"/>
        </w:rPr>
        <w:t xml:space="preserve">             </w:t>
      </w:r>
      <w:r>
        <w:rPr>
          <w:rFonts w:hint="eastAsia" w:ascii="宋体" w:hAnsi="宋体"/>
          <w:color w:val="auto"/>
          <w:highlight w:val="none"/>
        </w:rPr>
        <w:t>（请填写：中型、小型、微型）企业。</w:t>
      </w:r>
    </w:p>
    <w:p>
      <w:pPr>
        <w:spacing w:line="360" w:lineRule="auto"/>
        <w:ind w:left="315" w:hanging="315" w:hangingChars="150"/>
        <w:rPr>
          <w:rFonts w:ascii="宋体" w:hAnsi="宋体"/>
          <w:color w:val="auto"/>
          <w:spacing w:val="6"/>
          <w:highlight w:val="none"/>
        </w:rPr>
      </w:pPr>
      <w:r>
        <w:rPr>
          <w:rFonts w:hint="eastAsia" w:ascii="宋体" w:hAnsi="宋体"/>
          <w:color w:val="auto"/>
          <w:highlight w:val="none"/>
        </w:rPr>
        <w:t>2、本公司参加</w:t>
      </w:r>
      <w:r>
        <w:rPr>
          <w:rFonts w:hint="eastAsia" w:ascii="宋体" w:hAnsi="宋体"/>
          <w:color w:val="auto"/>
          <w:highlight w:val="none"/>
          <w:u w:val="single"/>
        </w:rPr>
        <w:t xml:space="preserve">     (</w:t>
      </w:r>
      <w:r>
        <w:rPr>
          <w:rFonts w:hint="eastAsia" w:ascii="宋体" w:hAnsi="宋体"/>
          <w:color w:val="auto"/>
          <w:highlight w:val="none"/>
          <w:u w:val="single"/>
          <w:lang w:eastAsia="zh-CN"/>
        </w:rPr>
        <w:t>招标人</w:t>
      </w:r>
      <w:r>
        <w:rPr>
          <w:rFonts w:hint="eastAsia" w:ascii="宋体" w:hAnsi="宋体"/>
          <w:color w:val="auto"/>
          <w:highlight w:val="none"/>
          <w:u w:val="single"/>
        </w:rPr>
        <w:t xml:space="preserve">单位名称)    </w:t>
      </w:r>
      <w:r>
        <w:rPr>
          <w:rFonts w:hint="eastAsia" w:ascii="宋体" w:hAnsi="宋体"/>
          <w:color w:val="auto"/>
          <w:highlight w:val="none"/>
        </w:rPr>
        <w:t>的</w:t>
      </w:r>
      <w:r>
        <w:rPr>
          <w:rFonts w:hint="eastAsia" w:ascii="宋体" w:hAnsi="宋体"/>
          <w:color w:val="auto"/>
          <w:highlight w:val="none"/>
          <w:u w:val="single"/>
        </w:rPr>
        <w:t xml:space="preserve">   (项目名称)      </w:t>
      </w:r>
      <w:r>
        <w:rPr>
          <w:rFonts w:hint="eastAsia" w:ascii="宋体" w:hAnsi="宋体"/>
          <w:color w:val="auto"/>
          <w:highlight w:val="none"/>
        </w:rPr>
        <w:t xml:space="preserve"> 采购活动提供本企业制造的货物，由本企业承担工程、提供服务，或者提供其他</w:t>
      </w:r>
      <w:r>
        <w:rPr>
          <w:rFonts w:hint="eastAsia" w:ascii="宋体" w:hAnsi="宋体"/>
          <w:color w:val="auto"/>
          <w:highlight w:val="none"/>
          <w:u w:val="single"/>
        </w:rPr>
        <w:t xml:space="preserve">         </w:t>
      </w:r>
      <w:r>
        <w:rPr>
          <w:rFonts w:hint="eastAsia" w:ascii="宋体" w:hAnsi="宋体"/>
          <w:color w:val="auto"/>
          <w:highlight w:val="none"/>
        </w:rPr>
        <w:t>（请填写：中型、小型、微型）企业制造的货物。本条所称货物不包括使用大型企业注册商标的货物。</w:t>
      </w:r>
      <w:r>
        <w:rPr>
          <w:rFonts w:hint="eastAsia" w:ascii="宋体" w:hAnsi="宋体"/>
          <w:color w:val="auto"/>
          <w:highlight w:val="none"/>
        </w:rPr>
        <w:br w:type="textWrapping"/>
      </w:r>
      <w:r>
        <w:rPr>
          <w:rFonts w:hint="eastAsia" w:ascii="宋体" w:hAnsi="宋体"/>
          <w:color w:val="auto"/>
          <w:highlight w:val="none"/>
        </w:rPr>
        <w:t>本公司对上述声明的真实性负责。如有虚假，将依法承担相应责任。</w:t>
      </w:r>
    </w:p>
    <w:p>
      <w:pPr>
        <w:spacing w:line="360" w:lineRule="auto"/>
        <w:ind w:left="315" w:hanging="315" w:hangingChars="150"/>
        <w:rPr>
          <w:rFonts w:hint="eastAsia" w:ascii="宋体" w:hAnsi="宋体"/>
          <w:color w:val="auto"/>
          <w:highlight w:val="none"/>
        </w:rPr>
      </w:pPr>
    </w:p>
    <w:p>
      <w:pPr>
        <w:spacing w:line="360" w:lineRule="auto"/>
        <w:ind w:firstLine="420" w:firstLineChars="200"/>
        <w:jc w:val="center"/>
        <w:rPr>
          <w:rFonts w:hint="eastAsia" w:ascii="宋体" w:hAnsi="宋体"/>
          <w:color w:val="auto"/>
          <w:highlight w:val="none"/>
        </w:rPr>
      </w:pPr>
    </w:p>
    <w:p>
      <w:pPr>
        <w:spacing w:line="360" w:lineRule="auto"/>
        <w:ind w:firstLine="420" w:firstLineChars="200"/>
        <w:jc w:val="center"/>
        <w:rPr>
          <w:rFonts w:hint="eastAsia" w:ascii="宋体" w:hAnsi="宋体"/>
          <w:color w:val="auto"/>
          <w:highlight w:val="none"/>
        </w:rPr>
      </w:pPr>
    </w:p>
    <w:p>
      <w:pPr>
        <w:spacing w:line="360" w:lineRule="auto"/>
        <w:ind w:firstLine="420" w:firstLineChars="200"/>
        <w:jc w:val="center"/>
        <w:rPr>
          <w:rFonts w:hint="eastAsia" w:ascii="宋体" w:hAnsi="宋体"/>
          <w:color w:val="auto"/>
          <w:highlight w:val="none"/>
        </w:rPr>
      </w:pPr>
      <w:r>
        <w:rPr>
          <w:rFonts w:hint="eastAsia" w:ascii="宋体" w:hAnsi="宋体"/>
          <w:color w:val="auto"/>
          <w:highlight w:val="none"/>
        </w:rPr>
        <w:t xml:space="preserve">                              投标人名称（盖章）：</w:t>
      </w:r>
    </w:p>
    <w:p>
      <w:pPr>
        <w:spacing w:line="360" w:lineRule="auto"/>
        <w:ind w:firstLine="420" w:firstLineChars="200"/>
        <w:jc w:val="center"/>
        <w:rPr>
          <w:rFonts w:hint="eastAsia" w:ascii="宋体" w:hAnsi="宋体"/>
          <w:color w:val="auto"/>
          <w:highlight w:val="none"/>
        </w:rPr>
      </w:pPr>
      <w:r>
        <w:rPr>
          <w:rFonts w:hint="eastAsia" w:ascii="宋体" w:hAnsi="宋体"/>
          <w:color w:val="auto"/>
          <w:highlight w:val="none"/>
        </w:rPr>
        <w:t xml:space="preserve">                           日　　　　　期：</w:t>
      </w:r>
    </w:p>
    <w:p>
      <w:pPr>
        <w:pStyle w:val="3"/>
        <w:adjustRightInd w:val="0"/>
        <w:snapToGrid w:val="0"/>
        <w:spacing w:before="120" w:beforeLines="50" w:after="120" w:afterLines="50" w:line="360" w:lineRule="auto"/>
        <w:jc w:val="center"/>
        <w:rPr>
          <w:rFonts w:hint="eastAsia"/>
          <w:b w:val="0"/>
          <w:color w:val="auto"/>
          <w:highlight w:val="none"/>
        </w:rPr>
      </w:pPr>
      <w:r>
        <w:rPr>
          <w:rFonts w:hint="eastAsia"/>
          <w:b w:val="0"/>
          <w:color w:val="auto"/>
          <w:highlight w:val="none"/>
        </w:rPr>
        <w:br w:type="page"/>
      </w:r>
    </w:p>
    <w:p>
      <w:pPr>
        <w:numPr>
          <w:ilvl w:val="0"/>
          <w:numId w:val="57"/>
        </w:numPr>
        <w:spacing w:line="440" w:lineRule="exact"/>
        <w:ind w:left="-2" w:leftChars="-1" w:firstLine="0"/>
        <w:rPr>
          <w:rFonts w:hint="eastAsia" w:ascii="黑体" w:hAnsi="Times New Roman" w:eastAsia="黑体" w:cs="Times New Roman"/>
          <w:b w:val="0"/>
          <w:bCs/>
          <w:color w:val="auto"/>
          <w:kern w:val="2"/>
          <w:sz w:val="21"/>
          <w:szCs w:val="24"/>
          <w:highlight w:val="none"/>
          <w:lang w:val="en-US" w:eastAsia="zh-CN" w:bidi="ar-SA"/>
        </w:rPr>
      </w:pPr>
    </w:p>
    <w:p>
      <w:pPr>
        <w:pStyle w:val="3"/>
        <w:adjustRightInd w:val="0"/>
        <w:snapToGrid w:val="0"/>
        <w:spacing w:before="120" w:beforeLines="50" w:after="120" w:afterLines="50" w:line="360" w:lineRule="auto"/>
        <w:jc w:val="center"/>
        <w:rPr>
          <w:rFonts w:hint="eastAsia"/>
          <w:b w:val="0"/>
          <w:color w:val="auto"/>
          <w:highlight w:val="none"/>
        </w:rPr>
      </w:pPr>
      <w:r>
        <w:rPr>
          <w:rFonts w:hint="eastAsia"/>
          <w:b w:val="0"/>
          <w:color w:val="auto"/>
          <w:highlight w:val="none"/>
        </w:rPr>
        <w:t>用户需求响应一览表</w:t>
      </w:r>
      <w:bookmarkEnd w:id="126"/>
      <w:bookmarkEnd w:id="127"/>
    </w:p>
    <w:p>
      <w:pPr>
        <w:spacing w:line="360" w:lineRule="auto"/>
        <w:ind w:left="945" w:hanging="945" w:hangingChars="450"/>
        <w:rPr>
          <w:rFonts w:hint="eastAsia" w:ascii="宋体" w:hAnsi="宋体"/>
          <w:color w:val="auto"/>
          <w:highlight w:val="none"/>
        </w:rPr>
      </w:pPr>
      <w:r>
        <w:rPr>
          <w:rFonts w:hint="eastAsia" w:ascii="宋体" w:hAnsi="宋体"/>
          <w:color w:val="auto"/>
          <w:highlight w:val="none"/>
        </w:rPr>
        <w:t>说明：投标人必须对应招标文件的</w:t>
      </w:r>
      <w:r>
        <w:rPr>
          <w:rFonts w:hint="eastAsia"/>
          <w:color w:val="auto"/>
          <w:highlight w:val="none"/>
        </w:rPr>
        <w:t>用户需求书</w:t>
      </w:r>
      <w:r>
        <w:rPr>
          <w:rFonts w:hint="eastAsia" w:ascii="宋体" w:hAnsi="宋体"/>
          <w:color w:val="auto"/>
          <w:highlight w:val="none"/>
        </w:rPr>
        <w:t>条款逐条应答并按要求填写下表。</w:t>
      </w:r>
    </w:p>
    <w:p>
      <w:pPr>
        <w:widowControl/>
        <w:wordWrap w:val="0"/>
        <w:spacing w:line="360" w:lineRule="auto"/>
        <w:jc w:val="left"/>
        <w:rPr>
          <w:rFonts w:ascii="宋体" w:hAnsi="宋体"/>
          <w:color w:val="auto"/>
          <w:highlight w:val="none"/>
        </w:rPr>
      </w:pPr>
      <w:r>
        <w:rPr>
          <w:rFonts w:hint="eastAsia" w:ascii="宋体" w:hAnsi="宋体"/>
          <w:color w:val="auto"/>
          <w:highlight w:val="none"/>
        </w:rPr>
        <w:t>投标人名称：                                       项目编号：</w:t>
      </w:r>
      <w:r>
        <w:rPr>
          <w:rFonts w:hint="eastAsia" w:ascii="宋体" w:hAnsi="宋体"/>
          <w:color w:val="auto"/>
          <w:highlight w:val="none"/>
          <w:lang w:eastAsia="zh-CN"/>
        </w:rPr>
        <w:t>GDZC-18GZ057</w:t>
      </w:r>
      <w:r>
        <w:rPr>
          <w:rFonts w:ascii="ˎ̥" w:hAnsi="ˎ̥" w:cs="宋体"/>
          <w:color w:val="auto"/>
          <w:kern w:val="0"/>
          <w:sz w:val="18"/>
          <w:szCs w:val="18"/>
          <w:highlight w:val="none"/>
        </w:rPr>
        <w:t> </w:t>
      </w:r>
    </w:p>
    <w:tbl>
      <w:tblPr>
        <w:tblStyle w:val="17"/>
        <w:tblW w:w="9480" w:type="dxa"/>
        <w:jc w:val="center"/>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6"/>
        <w:gridCol w:w="3511"/>
        <w:gridCol w:w="3512"/>
        <w:gridCol w:w="17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29" w:hRule="atLeast"/>
          <w:jc w:val="center"/>
        </w:trPr>
        <w:tc>
          <w:tcPr>
            <w:tcW w:w="706" w:type="dxa"/>
            <w:shd w:val="clear" w:color="auto" w:fill="EEECE1"/>
            <w:vAlign w:val="center"/>
          </w:tcPr>
          <w:p>
            <w:pPr>
              <w:spacing w:line="400" w:lineRule="exact"/>
              <w:jc w:val="center"/>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序号</w:t>
            </w:r>
          </w:p>
        </w:tc>
        <w:tc>
          <w:tcPr>
            <w:tcW w:w="3511" w:type="dxa"/>
            <w:shd w:val="clear" w:color="auto" w:fill="EEECE1"/>
            <w:vAlign w:val="center"/>
          </w:tcPr>
          <w:p>
            <w:pPr>
              <w:jc w:val="center"/>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原条款描述</w:t>
            </w:r>
          </w:p>
        </w:tc>
        <w:tc>
          <w:tcPr>
            <w:tcW w:w="3512" w:type="dxa"/>
            <w:shd w:val="clear" w:color="auto" w:fill="EEECE1"/>
            <w:vAlign w:val="center"/>
          </w:tcPr>
          <w:p>
            <w:pPr>
              <w:jc w:val="center"/>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投标人响应描述</w:t>
            </w:r>
          </w:p>
        </w:tc>
        <w:tc>
          <w:tcPr>
            <w:tcW w:w="1751" w:type="dxa"/>
            <w:shd w:val="clear" w:color="auto" w:fill="EEECE1"/>
            <w:vAlign w:val="center"/>
          </w:tcPr>
          <w:p>
            <w:pPr>
              <w:jc w:val="center"/>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偏离情况说明</w:t>
            </w:r>
          </w:p>
          <w:p>
            <w:pPr>
              <w:jc w:val="center"/>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706" w:type="dxa"/>
            <w:vAlign w:val="center"/>
          </w:tcPr>
          <w:p>
            <w:pPr>
              <w:numPr>
                <w:ilvl w:val="0"/>
                <w:numId w:val="64"/>
              </w:numPr>
              <w:spacing w:line="400" w:lineRule="exact"/>
              <w:jc w:val="center"/>
              <w:rPr>
                <w:rFonts w:hint="eastAsia" w:ascii="宋体" w:hAnsi="宋体"/>
                <w:b w:val="0"/>
                <w:bCs w:val="0"/>
                <w:color w:val="auto"/>
                <w:sz w:val="21"/>
                <w:szCs w:val="21"/>
                <w:highlight w:val="none"/>
              </w:rPr>
            </w:pPr>
          </w:p>
        </w:tc>
        <w:tc>
          <w:tcPr>
            <w:tcW w:w="3511" w:type="dxa"/>
            <w:vAlign w:val="center"/>
          </w:tcPr>
          <w:p>
            <w:pPr>
              <w:pStyle w:val="8"/>
              <w:tabs>
                <w:tab w:val="left" w:pos="2340"/>
              </w:tabs>
              <w:rPr>
                <w:rFonts w:hint="eastAsia" w:hAnsi="宋体"/>
                <w:b w:val="0"/>
                <w:bCs w:val="0"/>
                <w:color w:val="auto"/>
                <w:sz w:val="21"/>
                <w:szCs w:val="21"/>
                <w:highlight w:val="none"/>
              </w:rPr>
            </w:pPr>
            <w:r>
              <w:rPr>
                <w:rFonts w:hint="eastAsia" w:hAnsi="宋体"/>
                <w:b w:val="0"/>
                <w:bCs w:val="0"/>
                <w:color w:val="auto"/>
                <w:sz w:val="21"/>
                <w:szCs w:val="21"/>
                <w:highlight w:val="none"/>
              </w:rPr>
              <w:t>项目概况</w:t>
            </w:r>
          </w:p>
        </w:tc>
        <w:tc>
          <w:tcPr>
            <w:tcW w:w="3512" w:type="dxa"/>
            <w:vAlign w:val="center"/>
          </w:tcPr>
          <w:p>
            <w:pPr>
              <w:spacing w:line="400" w:lineRule="exact"/>
              <w:jc w:val="center"/>
              <w:rPr>
                <w:rFonts w:hint="eastAsia" w:ascii="宋体" w:hAnsi="宋体"/>
                <w:b w:val="0"/>
                <w:bCs w:val="0"/>
                <w:color w:val="auto"/>
                <w:sz w:val="21"/>
                <w:szCs w:val="21"/>
                <w:highlight w:val="none"/>
              </w:rPr>
            </w:pPr>
          </w:p>
        </w:tc>
        <w:tc>
          <w:tcPr>
            <w:tcW w:w="1751" w:type="dxa"/>
            <w:vAlign w:val="center"/>
          </w:tcPr>
          <w:p>
            <w:pPr>
              <w:spacing w:line="400" w:lineRule="exact"/>
              <w:jc w:val="center"/>
              <w:rPr>
                <w:rFonts w:hint="eastAsia" w:ascii="宋体" w:hAnsi="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706" w:type="dxa"/>
            <w:vAlign w:val="center"/>
          </w:tcPr>
          <w:p>
            <w:pPr>
              <w:numPr>
                <w:ilvl w:val="0"/>
                <w:numId w:val="64"/>
              </w:numPr>
              <w:spacing w:line="400" w:lineRule="exact"/>
              <w:jc w:val="center"/>
              <w:rPr>
                <w:rFonts w:hint="eastAsia" w:ascii="宋体" w:hAnsi="宋体"/>
                <w:b w:val="0"/>
                <w:bCs w:val="0"/>
                <w:color w:val="auto"/>
                <w:sz w:val="21"/>
                <w:szCs w:val="21"/>
                <w:highlight w:val="none"/>
              </w:rPr>
            </w:pPr>
          </w:p>
        </w:tc>
        <w:tc>
          <w:tcPr>
            <w:tcW w:w="3511" w:type="dxa"/>
            <w:vAlign w:val="center"/>
          </w:tcPr>
          <w:p>
            <w:pPr>
              <w:rPr>
                <w:rFonts w:hint="eastAsia" w:ascii="宋体" w:hAnsi="宋体"/>
                <w:b w:val="0"/>
                <w:bCs w:val="0"/>
                <w:snapToGrid w:val="0"/>
                <w:color w:val="auto"/>
                <w:kern w:val="0"/>
                <w:sz w:val="21"/>
                <w:szCs w:val="21"/>
                <w:highlight w:val="none"/>
              </w:rPr>
            </w:pPr>
            <w:r>
              <w:rPr>
                <w:rFonts w:hint="eastAsia" w:hAnsi="宋体"/>
                <w:b w:val="0"/>
                <w:bCs w:val="0"/>
                <w:color w:val="auto"/>
                <w:sz w:val="21"/>
                <w:szCs w:val="21"/>
                <w:highlight w:val="none"/>
              </w:rPr>
              <w:t>采购清单一览表</w:t>
            </w:r>
          </w:p>
        </w:tc>
        <w:tc>
          <w:tcPr>
            <w:tcW w:w="3512" w:type="dxa"/>
            <w:vAlign w:val="center"/>
          </w:tcPr>
          <w:p>
            <w:pPr>
              <w:spacing w:line="400" w:lineRule="exact"/>
              <w:jc w:val="center"/>
              <w:rPr>
                <w:rFonts w:hint="eastAsia" w:ascii="宋体" w:hAnsi="宋体"/>
                <w:b w:val="0"/>
                <w:bCs w:val="0"/>
                <w:color w:val="auto"/>
                <w:sz w:val="21"/>
                <w:szCs w:val="21"/>
                <w:highlight w:val="none"/>
              </w:rPr>
            </w:pPr>
          </w:p>
        </w:tc>
        <w:tc>
          <w:tcPr>
            <w:tcW w:w="1751" w:type="dxa"/>
            <w:vAlign w:val="center"/>
          </w:tcPr>
          <w:p>
            <w:pPr>
              <w:spacing w:line="400" w:lineRule="exact"/>
              <w:jc w:val="center"/>
              <w:rPr>
                <w:rFonts w:hint="eastAsia" w:ascii="宋体" w:hAnsi="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4" w:hRule="atLeast"/>
          <w:jc w:val="center"/>
        </w:trPr>
        <w:tc>
          <w:tcPr>
            <w:tcW w:w="706" w:type="dxa"/>
            <w:vAlign w:val="center"/>
          </w:tcPr>
          <w:p>
            <w:pPr>
              <w:numPr>
                <w:ilvl w:val="0"/>
                <w:numId w:val="64"/>
              </w:numPr>
              <w:spacing w:line="400" w:lineRule="exact"/>
              <w:jc w:val="center"/>
              <w:rPr>
                <w:rFonts w:hint="eastAsia" w:ascii="宋体" w:hAnsi="宋体"/>
                <w:b w:val="0"/>
                <w:bCs w:val="0"/>
                <w:color w:val="auto"/>
                <w:sz w:val="21"/>
                <w:szCs w:val="21"/>
                <w:highlight w:val="none"/>
              </w:rPr>
            </w:pPr>
          </w:p>
        </w:tc>
        <w:tc>
          <w:tcPr>
            <w:tcW w:w="3511" w:type="dxa"/>
            <w:vAlign w:val="center"/>
          </w:tcPr>
          <w:p>
            <w:pPr>
              <w:rPr>
                <w:rFonts w:hint="eastAsia" w:ascii="宋体" w:hAnsi="宋体"/>
                <w:b w:val="0"/>
                <w:bCs w:val="0"/>
                <w:snapToGrid w:val="0"/>
                <w:color w:val="auto"/>
                <w:kern w:val="0"/>
                <w:sz w:val="21"/>
                <w:szCs w:val="21"/>
                <w:highlight w:val="none"/>
              </w:rPr>
            </w:pPr>
            <w:r>
              <w:rPr>
                <w:rFonts w:hint="eastAsia" w:hAnsi="宋体"/>
                <w:b w:val="0"/>
                <w:bCs w:val="0"/>
                <w:color w:val="auto"/>
                <w:sz w:val="21"/>
                <w:szCs w:val="21"/>
                <w:highlight w:val="none"/>
              </w:rPr>
              <w:t>技术指标要求</w:t>
            </w:r>
          </w:p>
        </w:tc>
        <w:tc>
          <w:tcPr>
            <w:tcW w:w="3512" w:type="dxa"/>
            <w:vAlign w:val="center"/>
          </w:tcPr>
          <w:p>
            <w:pPr>
              <w:spacing w:line="400" w:lineRule="exact"/>
              <w:jc w:val="center"/>
              <w:rPr>
                <w:rFonts w:hint="eastAsia" w:ascii="宋体" w:hAnsi="宋体"/>
                <w:b w:val="0"/>
                <w:bCs w:val="0"/>
                <w:color w:val="auto"/>
                <w:sz w:val="21"/>
                <w:szCs w:val="21"/>
                <w:highlight w:val="none"/>
              </w:rPr>
            </w:pPr>
          </w:p>
        </w:tc>
        <w:tc>
          <w:tcPr>
            <w:tcW w:w="1751" w:type="dxa"/>
            <w:vAlign w:val="center"/>
          </w:tcPr>
          <w:p>
            <w:pPr>
              <w:spacing w:line="400" w:lineRule="exact"/>
              <w:jc w:val="center"/>
              <w:rPr>
                <w:rFonts w:hint="eastAsia" w:ascii="宋体" w:hAnsi="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706" w:type="dxa"/>
            <w:vAlign w:val="center"/>
          </w:tcPr>
          <w:p>
            <w:pPr>
              <w:numPr>
                <w:ilvl w:val="0"/>
                <w:numId w:val="64"/>
              </w:numPr>
              <w:spacing w:line="400" w:lineRule="exact"/>
              <w:jc w:val="center"/>
              <w:rPr>
                <w:rFonts w:hint="eastAsia" w:ascii="宋体" w:hAnsi="宋体"/>
                <w:b w:val="0"/>
                <w:bCs w:val="0"/>
                <w:color w:val="auto"/>
                <w:sz w:val="21"/>
                <w:szCs w:val="21"/>
                <w:highlight w:val="none"/>
              </w:rPr>
            </w:pPr>
          </w:p>
        </w:tc>
        <w:tc>
          <w:tcPr>
            <w:tcW w:w="3511" w:type="dxa"/>
            <w:vAlign w:val="center"/>
          </w:tcPr>
          <w:p>
            <w:pPr>
              <w:rPr>
                <w:rFonts w:hint="eastAsia" w:ascii="宋体" w:hAnsi="宋体"/>
                <w:b w:val="0"/>
                <w:bCs w:val="0"/>
                <w:snapToGrid w:val="0"/>
                <w:color w:val="auto"/>
                <w:kern w:val="0"/>
                <w:sz w:val="21"/>
                <w:szCs w:val="21"/>
                <w:highlight w:val="none"/>
              </w:rPr>
            </w:pPr>
            <w:r>
              <w:rPr>
                <w:rFonts w:hint="eastAsia" w:ascii="宋体" w:hAnsi="宋体" w:eastAsia="宋体"/>
                <w:b w:val="0"/>
                <w:bCs w:val="0"/>
                <w:color w:val="auto"/>
                <w:sz w:val="21"/>
                <w:szCs w:val="21"/>
                <w:highlight w:val="none"/>
              </w:rPr>
              <w:t>项目服务要求</w:t>
            </w:r>
          </w:p>
        </w:tc>
        <w:tc>
          <w:tcPr>
            <w:tcW w:w="3512" w:type="dxa"/>
            <w:vAlign w:val="center"/>
          </w:tcPr>
          <w:p>
            <w:pPr>
              <w:spacing w:line="400" w:lineRule="exact"/>
              <w:jc w:val="center"/>
              <w:rPr>
                <w:rFonts w:hint="eastAsia" w:ascii="宋体" w:hAnsi="宋体"/>
                <w:b w:val="0"/>
                <w:bCs w:val="0"/>
                <w:color w:val="auto"/>
                <w:sz w:val="21"/>
                <w:szCs w:val="21"/>
                <w:highlight w:val="none"/>
              </w:rPr>
            </w:pPr>
          </w:p>
        </w:tc>
        <w:tc>
          <w:tcPr>
            <w:tcW w:w="1751" w:type="dxa"/>
            <w:vAlign w:val="center"/>
          </w:tcPr>
          <w:p>
            <w:pPr>
              <w:spacing w:line="400" w:lineRule="exact"/>
              <w:jc w:val="center"/>
              <w:rPr>
                <w:rFonts w:hint="eastAsia" w:ascii="宋体" w:hAnsi="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706" w:type="dxa"/>
            <w:vAlign w:val="center"/>
          </w:tcPr>
          <w:p>
            <w:pPr>
              <w:numPr>
                <w:ilvl w:val="0"/>
                <w:numId w:val="64"/>
              </w:numPr>
              <w:spacing w:line="400" w:lineRule="exact"/>
              <w:jc w:val="center"/>
              <w:rPr>
                <w:rFonts w:hint="eastAsia" w:ascii="宋体" w:hAnsi="宋体"/>
                <w:b w:val="0"/>
                <w:bCs w:val="0"/>
                <w:color w:val="auto"/>
                <w:sz w:val="21"/>
                <w:szCs w:val="21"/>
                <w:highlight w:val="none"/>
              </w:rPr>
            </w:pPr>
          </w:p>
        </w:tc>
        <w:tc>
          <w:tcPr>
            <w:tcW w:w="3511" w:type="dxa"/>
            <w:vAlign w:val="center"/>
          </w:tcPr>
          <w:p>
            <w:pPr>
              <w:rPr>
                <w:rFonts w:hint="eastAsia" w:ascii="宋体" w:hAnsi="宋体"/>
                <w:b w:val="0"/>
                <w:bCs w:val="0"/>
                <w:snapToGrid w:val="0"/>
                <w:color w:val="auto"/>
                <w:kern w:val="0"/>
                <w:sz w:val="21"/>
                <w:szCs w:val="21"/>
                <w:highlight w:val="none"/>
              </w:rPr>
            </w:pPr>
            <w:r>
              <w:rPr>
                <w:rFonts w:hint="eastAsia" w:ascii="宋体" w:hAnsi="宋体" w:eastAsia="宋体"/>
                <w:b w:val="0"/>
                <w:bCs w:val="0"/>
                <w:color w:val="auto"/>
                <w:sz w:val="21"/>
                <w:szCs w:val="21"/>
                <w:highlight w:val="none"/>
              </w:rPr>
              <w:t>项目其他要求</w:t>
            </w:r>
          </w:p>
        </w:tc>
        <w:tc>
          <w:tcPr>
            <w:tcW w:w="3512" w:type="dxa"/>
            <w:vAlign w:val="center"/>
          </w:tcPr>
          <w:p>
            <w:pPr>
              <w:spacing w:line="400" w:lineRule="exact"/>
              <w:jc w:val="center"/>
              <w:rPr>
                <w:rFonts w:hint="eastAsia" w:ascii="宋体" w:hAnsi="宋体"/>
                <w:b w:val="0"/>
                <w:bCs w:val="0"/>
                <w:color w:val="auto"/>
                <w:sz w:val="21"/>
                <w:szCs w:val="21"/>
                <w:highlight w:val="none"/>
              </w:rPr>
            </w:pPr>
          </w:p>
        </w:tc>
        <w:tc>
          <w:tcPr>
            <w:tcW w:w="1751" w:type="dxa"/>
            <w:vAlign w:val="center"/>
          </w:tcPr>
          <w:p>
            <w:pPr>
              <w:spacing w:line="400" w:lineRule="exact"/>
              <w:jc w:val="center"/>
              <w:rPr>
                <w:rFonts w:hint="eastAsia" w:ascii="宋体" w:hAnsi="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706" w:type="dxa"/>
            <w:vAlign w:val="center"/>
          </w:tcPr>
          <w:p>
            <w:pPr>
              <w:numPr>
                <w:ilvl w:val="0"/>
                <w:numId w:val="64"/>
              </w:numPr>
              <w:spacing w:line="400" w:lineRule="exact"/>
              <w:jc w:val="center"/>
              <w:rPr>
                <w:rFonts w:hint="eastAsia" w:ascii="宋体" w:hAnsi="宋体"/>
                <w:b w:val="0"/>
                <w:bCs w:val="0"/>
                <w:color w:val="auto"/>
                <w:sz w:val="21"/>
                <w:szCs w:val="21"/>
                <w:highlight w:val="none"/>
              </w:rPr>
            </w:pPr>
          </w:p>
        </w:tc>
        <w:tc>
          <w:tcPr>
            <w:tcW w:w="3511" w:type="dxa"/>
            <w:vAlign w:val="center"/>
          </w:tcPr>
          <w:p>
            <w:pPr>
              <w:rPr>
                <w:rFonts w:hint="eastAsia" w:ascii="宋体" w:hAnsi="宋体"/>
                <w:b w:val="0"/>
                <w:bCs w:val="0"/>
                <w:snapToGrid w:val="0"/>
                <w:color w:val="auto"/>
                <w:kern w:val="0"/>
                <w:sz w:val="21"/>
                <w:szCs w:val="21"/>
                <w:highlight w:val="none"/>
              </w:rPr>
            </w:pPr>
            <w:r>
              <w:rPr>
                <w:rFonts w:hint="eastAsia" w:ascii="宋体" w:hAnsi="宋体" w:eastAsia="宋体"/>
                <w:b w:val="0"/>
                <w:bCs w:val="0"/>
                <w:color w:val="auto"/>
                <w:sz w:val="21"/>
                <w:szCs w:val="21"/>
                <w:highlight w:val="none"/>
              </w:rPr>
              <w:t>项目实施时间及地点说明</w:t>
            </w:r>
          </w:p>
        </w:tc>
        <w:tc>
          <w:tcPr>
            <w:tcW w:w="3512" w:type="dxa"/>
            <w:vAlign w:val="center"/>
          </w:tcPr>
          <w:p>
            <w:pPr>
              <w:spacing w:line="400" w:lineRule="exact"/>
              <w:jc w:val="center"/>
              <w:rPr>
                <w:rFonts w:hint="eastAsia" w:ascii="宋体" w:hAnsi="宋体"/>
                <w:b w:val="0"/>
                <w:bCs w:val="0"/>
                <w:color w:val="auto"/>
                <w:sz w:val="21"/>
                <w:szCs w:val="21"/>
                <w:highlight w:val="none"/>
              </w:rPr>
            </w:pPr>
          </w:p>
        </w:tc>
        <w:tc>
          <w:tcPr>
            <w:tcW w:w="1751" w:type="dxa"/>
            <w:vAlign w:val="center"/>
          </w:tcPr>
          <w:p>
            <w:pPr>
              <w:spacing w:line="400" w:lineRule="exact"/>
              <w:jc w:val="center"/>
              <w:rPr>
                <w:rFonts w:hint="eastAsia" w:ascii="宋体" w:hAnsi="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706" w:type="dxa"/>
            <w:vAlign w:val="center"/>
          </w:tcPr>
          <w:p>
            <w:pPr>
              <w:numPr>
                <w:ilvl w:val="0"/>
                <w:numId w:val="64"/>
              </w:numPr>
              <w:spacing w:line="400" w:lineRule="exact"/>
              <w:jc w:val="center"/>
              <w:rPr>
                <w:rFonts w:hint="eastAsia" w:ascii="宋体" w:hAnsi="宋体"/>
                <w:b w:val="0"/>
                <w:bCs w:val="0"/>
                <w:color w:val="auto"/>
                <w:sz w:val="21"/>
                <w:szCs w:val="21"/>
                <w:highlight w:val="none"/>
              </w:rPr>
            </w:pPr>
          </w:p>
        </w:tc>
        <w:tc>
          <w:tcPr>
            <w:tcW w:w="3511" w:type="dxa"/>
            <w:vAlign w:val="center"/>
          </w:tcPr>
          <w:p>
            <w:pPr>
              <w:rPr>
                <w:rFonts w:hint="eastAsia" w:ascii="宋体" w:hAnsi="宋体"/>
                <w:b w:val="0"/>
                <w:bCs w:val="0"/>
                <w:snapToGrid w:val="0"/>
                <w:color w:val="auto"/>
                <w:kern w:val="0"/>
                <w:sz w:val="21"/>
                <w:szCs w:val="21"/>
                <w:highlight w:val="none"/>
              </w:rPr>
            </w:pPr>
            <w:r>
              <w:rPr>
                <w:rFonts w:hint="eastAsia" w:hAnsi="宋体"/>
                <w:b w:val="0"/>
                <w:bCs w:val="0"/>
                <w:color w:val="auto"/>
                <w:sz w:val="21"/>
                <w:szCs w:val="21"/>
                <w:highlight w:val="none"/>
                <w:lang w:eastAsia="zh-CN"/>
              </w:rPr>
              <w:t>报价</w:t>
            </w:r>
            <w:r>
              <w:rPr>
                <w:rFonts w:hint="eastAsia" w:hAnsi="宋体"/>
                <w:b w:val="0"/>
                <w:bCs w:val="0"/>
                <w:color w:val="auto"/>
                <w:sz w:val="21"/>
                <w:szCs w:val="21"/>
                <w:highlight w:val="none"/>
                <w:lang w:val="en-US" w:eastAsia="zh-CN"/>
              </w:rPr>
              <w:t>要求</w:t>
            </w:r>
          </w:p>
        </w:tc>
        <w:tc>
          <w:tcPr>
            <w:tcW w:w="3512" w:type="dxa"/>
            <w:vAlign w:val="center"/>
          </w:tcPr>
          <w:p>
            <w:pPr>
              <w:spacing w:line="400" w:lineRule="exact"/>
              <w:jc w:val="center"/>
              <w:rPr>
                <w:rFonts w:hint="eastAsia" w:ascii="宋体" w:hAnsi="宋体"/>
                <w:b w:val="0"/>
                <w:bCs w:val="0"/>
                <w:color w:val="auto"/>
                <w:sz w:val="21"/>
                <w:szCs w:val="21"/>
                <w:highlight w:val="none"/>
              </w:rPr>
            </w:pPr>
          </w:p>
        </w:tc>
        <w:tc>
          <w:tcPr>
            <w:tcW w:w="1751" w:type="dxa"/>
            <w:vAlign w:val="center"/>
          </w:tcPr>
          <w:p>
            <w:pPr>
              <w:spacing w:line="400" w:lineRule="exact"/>
              <w:jc w:val="center"/>
              <w:rPr>
                <w:rFonts w:hint="eastAsia" w:ascii="宋体" w:hAnsi="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4" w:hRule="atLeast"/>
          <w:jc w:val="center"/>
        </w:trPr>
        <w:tc>
          <w:tcPr>
            <w:tcW w:w="706" w:type="dxa"/>
            <w:vAlign w:val="center"/>
          </w:tcPr>
          <w:p>
            <w:pPr>
              <w:numPr>
                <w:ilvl w:val="0"/>
                <w:numId w:val="64"/>
              </w:numPr>
              <w:spacing w:line="400" w:lineRule="exact"/>
              <w:jc w:val="center"/>
              <w:rPr>
                <w:rFonts w:hint="eastAsia" w:ascii="宋体" w:hAnsi="宋体"/>
                <w:b w:val="0"/>
                <w:bCs w:val="0"/>
                <w:color w:val="auto"/>
                <w:sz w:val="21"/>
                <w:szCs w:val="21"/>
                <w:highlight w:val="none"/>
              </w:rPr>
            </w:pPr>
          </w:p>
        </w:tc>
        <w:tc>
          <w:tcPr>
            <w:tcW w:w="3511" w:type="dxa"/>
            <w:vAlign w:val="center"/>
          </w:tcPr>
          <w:p>
            <w:pPr>
              <w:pStyle w:val="8"/>
              <w:numPr>
                <w:ilvl w:val="0"/>
                <w:numId w:val="0"/>
              </w:numPr>
              <w:tabs>
                <w:tab w:val="left" w:pos="540"/>
              </w:tabs>
              <w:adjustRightInd w:val="0"/>
              <w:snapToGrid w:val="0"/>
              <w:spacing w:line="360" w:lineRule="auto"/>
              <w:ind w:leftChars="0"/>
              <w:rPr>
                <w:rFonts w:hint="eastAsia" w:ascii="宋体" w:hAnsi="宋体"/>
                <w:b w:val="0"/>
                <w:bCs w:val="0"/>
                <w:snapToGrid w:val="0"/>
                <w:color w:val="auto"/>
                <w:kern w:val="0"/>
                <w:sz w:val="21"/>
                <w:szCs w:val="21"/>
                <w:highlight w:val="none"/>
              </w:rPr>
            </w:pPr>
            <w:r>
              <w:rPr>
                <w:rFonts w:hint="eastAsia"/>
                <w:b w:val="0"/>
                <w:bCs w:val="0"/>
                <w:color w:val="auto"/>
                <w:sz w:val="21"/>
                <w:szCs w:val="21"/>
                <w:highlight w:val="none"/>
              </w:rPr>
              <w:t>安装、调试与验收</w:t>
            </w:r>
          </w:p>
        </w:tc>
        <w:tc>
          <w:tcPr>
            <w:tcW w:w="3512" w:type="dxa"/>
            <w:vAlign w:val="center"/>
          </w:tcPr>
          <w:p>
            <w:pPr>
              <w:spacing w:line="400" w:lineRule="exact"/>
              <w:jc w:val="center"/>
              <w:rPr>
                <w:rFonts w:hint="eastAsia" w:ascii="宋体" w:hAnsi="宋体"/>
                <w:b w:val="0"/>
                <w:bCs w:val="0"/>
                <w:color w:val="auto"/>
                <w:sz w:val="21"/>
                <w:szCs w:val="21"/>
                <w:highlight w:val="none"/>
              </w:rPr>
            </w:pPr>
          </w:p>
        </w:tc>
        <w:tc>
          <w:tcPr>
            <w:tcW w:w="1751" w:type="dxa"/>
            <w:vAlign w:val="center"/>
          </w:tcPr>
          <w:p>
            <w:pPr>
              <w:spacing w:line="400" w:lineRule="exact"/>
              <w:jc w:val="center"/>
              <w:rPr>
                <w:rFonts w:hint="eastAsia" w:ascii="宋体" w:hAnsi="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706" w:type="dxa"/>
            <w:vAlign w:val="center"/>
          </w:tcPr>
          <w:p>
            <w:pPr>
              <w:numPr>
                <w:ilvl w:val="0"/>
                <w:numId w:val="64"/>
              </w:numPr>
              <w:spacing w:line="400" w:lineRule="exact"/>
              <w:jc w:val="center"/>
              <w:rPr>
                <w:rFonts w:hint="eastAsia" w:ascii="宋体" w:hAnsi="宋体"/>
                <w:b w:val="0"/>
                <w:bCs w:val="0"/>
                <w:color w:val="auto"/>
                <w:sz w:val="21"/>
                <w:szCs w:val="21"/>
                <w:highlight w:val="none"/>
              </w:rPr>
            </w:pPr>
          </w:p>
        </w:tc>
        <w:tc>
          <w:tcPr>
            <w:tcW w:w="3511" w:type="dxa"/>
            <w:vAlign w:val="center"/>
          </w:tcPr>
          <w:p>
            <w:pPr>
              <w:rPr>
                <w:rFonts w:hint="eastAsia" w:ascii="宋体" w:hAnsi="宋体"/>
                <w:b w:val="0"/>
                <w:bCs w:val="0"/>
                <w:snapToGrid w:val="0"/>
                <w:color w:val="auto"/>
                <w:kern w:val="0"/>
                <w:sz w:val="21"/>
                <w:szCs w:val="21"/>
                <w:highlight w:val="none"/>
              </w:rPr>
            </w:pPr>
            <w:r>
              <w:rPr>
                <w:rFonts w:hint="eastAsia" w:hAnsi="宋体"/>
                <w:b w:val="0"/>
                <w:bCs w:val="0"/>
                <w:color w:val="auto"/>
                <w:sz w:val="21"/>
                <w:szCs w:val="21"/>
                <w:highlight w:val="none"/>
                <w:lang w:eastAsia="zh-CN"/>
              </w:rPr>
              <w:t>结算方式</w:t>
            </w:r>
          </w:p>
        </w:tc>
        <w:tc>
          <w:tcPr>
            <w:tcW w:w="3512" w:type="dxa"/>
            <w:vAlign w:val="center"/>
          </w:tcPr>
          <w:p>
            <w:pPr>
              <w:spacing w:line="400" w:lineRule="exact"/>
              <w:jc w:val="center"/>
              <w:rPr>
                <w:rFonts w:hint="eastAsia" w:ascii="宋体" w:hAnsi="宋体"/>
                <w:b w:val="0"/>
                <w:bCs w:val="0"/>
                <w:color w:val="auto"/>
                <w:sz w:val="21"/>
                <w:szCs w:val="21"/>
                <w:highlight w:val="none"/>
              </w:rPr>
            </w:pPr>
          </w:p>
        </w:tc>
        <w:tc>
          <w:tcPr>
            <w:tcW w:w="1751" w:type="dxa"/>
            <w:vAlign w:val="center"/>
          </w:tcPr>
          <w:p>
            <w:pPr>
              <w:spacing w:line="400" w:lineRule="exact"/>
              <w:jc w:val="center"/>
              <w:rPr>
                <w:rFonts w:hint="eastAsia" w:ascii="宋体" w:hAnsi="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706" w:type="dxa"/>
            <w:vAlign w:val="center"/>
          </w:tcPr>
          <w:p>
            <w:pPr>
              <w:numPr>
                <w:ilvl w:val="0"/>
                <w:numId w:val="64"/>
              </w:numPr>
              <w:spacing w:line="400" w:lineRule="exact"/>
              <w:jc w:val="center"/>
              <w:rPr>
                <w:rFonts w:hint="eastAsia" w:ascii="宋体" w:hAnsi="宋体"/>
                <w:b w:val="0"/>
                <w:bCs w:val="0"/>
                <w:color w:val="auto"/>
                <w:sz w:val="21"/>
                <w:szCs w:val="21"/>
                <w:highlight w:val="none"/>
              </w:rPr>
            </w:pPr>
          </w:p>
        </w:tc>
        <w:tc>
          <w:tcPr>
            <w:tcW w:w="3511" w:type="dxa"/>
            <w:vAlign w:val="center"/>
          </w:tcPr>
          <w:p>
            <w:pPr>
              <w:rPr>
                <w:rFonts w:hint="eastAsia" w:ascii="宋体" w:hAnsi="宋体"/>
                <w:b w:val="0"/>
                <w:bCs w:val="0"/>
                <w:snapToGrid w:val="0"/>
                <w:color w:val="auto"/>
                <w:kern w:val="0"/>
                <w:sz w:val="21"/>
                <w:szCs w:val="21"/>
                <w:highlight w:val="none"/>
              </w:rPr>
            </w:pPr>
            <w:r>
              <w:rPr>
                <w:rFonts w:hint="eastAsia" w:hAnsi="宋体"/>
                <w:b w:val="0"/>
                <w:bCs w:val="0"/>
                <w:color w:val="auto"/>
                <w:sz w:val="21"/>
                <w:szCs w:val="21"/>
                <w:highlight w:val="none"/>
              </w:rPr>
              <w:t>付款方式</w:t>
            </w:r>
          </w:p>
        </w:tc>
        <w:tc>
          <w:tcPr>
            <w:tcW w:w="3512" w:type="dxa"/>
            <w:vAlign w:val="center"/>
          </w:tcPr>
          <w:p>
            <w:pPr>
              <w:spacing w:line="400" w:lineRule="exact"/>
              <w:jc w:val="center"/>
              <w:rPr>
                <w:rFonts w:hint="eastAsia" w:ascii="宋体" w:hAnsi="宋体"/>
                <w:b w:val="0"/>
                <w:bCs w:val="0"/>
                <w:color w:val="auto"/>
                <w:sz w:val="21"/>
                <w:szCs w:val="21"/>
                <w:highlight w:val="none"/>
              </w:rPr>
            </w:pPr>
          </w:p>
        </w:tc>
        <w:tc>
          <w:tcPr>
            <w:tcW w:w="1751" w:type="dxa"/>
            <w:vAlign w:val="center"/>
          </w:tcPr>
          <w:p>
            <w:pPr>
              <w:spacing w:line="400" w:lineRule="exact"/>
              <w:jc w:val="center"/>
              <w:rPr>
                <w:rFonts w:hint="eastAsia" w:ascii="宋体" w:hAnsi="宋体"/>
                <w:b w:val="0"/>
                <w:bCs w:val="0"/>
                <w:color w:val="auto"/>
                <w:sz w:val="21"/>
                <w:szCs w:val="21"/>
                <w:highlight w:val="none"/>
              </w:rPr>
            </w:pPr>
          </w:p>
        </w:tc>
      </w:tr>
    </w:tbl>
    <w:p>
      <w:pPr>
        <w:rPr>
          <w:rFonts w:hint="eastAsia"/>
          <w:color w:val="auto"/>
          <w:highlight w:val="none"/>
        </w:rPr>
      </w:pPr>
    </w:p>
    <w:p>
      <w:pPr>
        <w:rPr>
          <w:rFonts w:hint="eastAsia"/>
          <w:color w:val="auto"/>
          <w:highlight w:val="none"/>
        </w:rPr>
      </w:pPr>
    </w:p>
    <w:p>
      <w:pPr>
        <w:spacing w:line="500" w:lineRule="exact"/>
        <w:rPr>
          <w:rFonts w:hint="eastAsia" w:ascii="宋体" w:hAnsi="宋体"/>
          <w:color w:val="auto"/>
          <w:highlight w:val="none"/>
          <w:u w:val="single"/>
        </w:rPr>
      </w:pPr>
      <w:r>
        <w:rPr>
          <w:rFonts w:hint="eastAsia"/>
          <w:color w:val="auto"/>
          <w:spacing w:val="4"/>
          <w:highlight w:val="none"/>
        </w:rPr>
        <w:t>投标人名称（盖公章）：</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rFonts w:hint="eastAsia"/>
          <w:color w:val="auto"/>
          <w:spacing w:val="4"/>
          <w:highlight w:val="none"/>
          <w:u w:val="singl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spacing w:line="520" w:lineRule="exact"/>
        <w:rPr>
          <w:color w:val="auto"/>
          <w:spacing w:val="4"/>
          <w:highlight w:val="none"/>
        </w:rPr>
        <w:sectPr>
          <w:pgSz w:w="11906" w:h="16838"/>
          <w:pgMar w:top="1134" w:right="1134" w:bottom="1134" w:left="1134" w:header="657" w:footer="481" w:gutter="0"/>
          <w:cols w:space="720" w:num="1"/>
          <w:docGrid w:linePitch="312" w:charSpace="0"/>
        </w:sectPr>
      </w:pPr>
    </w:p>
    <w:p>
      <w:pPr>
        <w:numPr>
          <w:ilvl w:val="0"/>
          <w:numId w:val="57"/>
        </w:numPr>
        <w:spacing w:line="440" w:lineRule="exact"/>
        <w:ind w:left="-2" w:leftChars="-1" w:firstLine="0"/>
        <w:rPr>
          <w:rFonts w:hint="eastAsia"/>
          <w:color w:val="auto"/>
          <w:spacing w:val="4"/>
          <w:highlight w:val="none"/>
        </w:rPr>
      </w:pPr>
    </w:p>
    <w:p>
      <w:pPr>
        <w:pStyle w:val="3"/>
        <w:adjustRightInd w:val="0"/>
        <w:snapToGrid w:val="0"/>
        <w:spacing w:before="20" w:after="20" w:line="415" w:lineRule="auto"/>
        <w:jc w:val="center"/>
        <w:rPr>
          <w:rFonts w:hint="eastAsia" w:ascii="宋体" w:hAnsi="宋体"/>
          <w:b w:val="0"/>
          <w:color w:val="auto"/>
          <w:sz w:val="36"/>
          <w:szCs w:val="36"/>
          <w:highlight w:val="none"/>
        </w:rPr>
      </w:pPr>
      <w:r>
        <w:rPr>
          <w:rFonts w:hint="eastAsia" w:ascii="宋体" w:hAnsi="宋体"/>
          <w:b w:val="0"/>
          <w:color w:val="auto"/>
          <w:sz w:val="36"/>
          <w:szCs w:val="36"/>
          <w:highlight w:val="none"/>
        </w:rPr>
        <w:t>资料原件提交清单</w:t>
      </w:r>
    </w:p>
    <w:p>
      <w:pPr>
        <w:spacing w:line="400" w:lineRule="exact"/>
        <w:ind w:firstLine="210" w:firstLineChars="100"/>
        <w:rPr>
          <w:rFonts w:hint="eastAsia" w:ascii="宋体" w:hAnsi="宋体"/>
          <w:color w:val="auto"/>
          <w:highlight w:val="none"/>
        </w:rPr>
      </w:pPr>
      <w:r>
        <w:rPr>
          <w:rFonts w:hint="eastAsia" w:ascii="宋体" w:hAnsi="宋体"/>
          <w:color w:val="auto"/>
          <w:highlight w:val="none"/>
        </w:rPr>
        <w:t xml:space="preserve">投标人名称：                     </w:t>
      </w:r>
      <w:r>
        <w:rPr>
          <w:rFonts w:hint="eastAsia" w:ascii="宋体" w:hAnsi="宋体"/>
          <w:color w:val="auto"/>
          <w:highlight w:val="none"/>
          <w:lang w:val="en-US" w:eastAsia="zh-CN"/>
        </w:rPr>
        <w:t xml:space="preserve">          </w:t>
      </w:r>
      <w:r>
        <w:rPr>
          <w:rFonts w:hint="eastAsia" w:ascii="宋体" w:hAnsi="宋体"/>
          <w:color w:val="auto"/>
          <w:highlight w:val="none"/>
        </w:rPr>
        <w:t xml:space="preserve">    </w:t>
      </w:r>
      <w:r>
        <w:rPr>
          <w:rFonts w:ascii="宋体" w:hAnsi="宋体"/>
          <w:color w:val="auto"/>
          <w:highlight w:val="none"/>
        </w:rPr>
        <w:t xml:space="preserve">       </w:t>
      </w:r>
      <w:r>
        <w:rPr>
          <w:rFonts w:hint="eastAsia" w:ascii="宋体" w:hAnsi="宋体"/>
          <w:color w:val="auto"/>
          <w:highlight w:val="none"/>
        </w:rPr>
        <w:t>项目编号：</w:t>
      </w:r>
      <w:r>
        <w:rPr>
          <w:rFonts w:hint="eastAsia" w:ascii="宋体" w:hAnsi="宋体"/>
          <w:color w:val="auto"/>
          <w:highlight w:val="none"/>
          <w:lang w:eastAsia="zh-CN"/>
        </w:rPr>
        <w:t>GDZC-18GZ057</w:t>
      </w:r>
      <w:r>
        <w:rPr>
          <w:rFonts w:hint="eastAsia" w:ascii="宋体" w:hAnsi="宋体"/>
          <w:color w:val="auto"/>
          <w:highlight w:val="none"/>
        </w:rPr>
        <w:t xml:space="preserve">                  </w:t>
      </w:r>
    </w:p>
    <w:tbl>
      <w:tblPr>
        <w:tblStyle w:val="17"/>
        <w:tblW w:w="966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296"/>
        <w:gridCol w:w="1200"/>
        <w:gridCol w:w="2294"/>
        <w:gridCol w:w="701"/>
        <w:gridCol w:w="70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690" w:type="dxa"/>
            <w:vMerge w:val="restart"/>
            <w:tcBorders>
              <w:top w:val="single" w:color="auto" w:sz="12" w:space="0"/>
              <w:left w:val="single" w:color="auto" w:sz="12" w:space="0"/>
            </w:tcBorders>
            <w:vAlign w:val="center"/>
          </w:tcPr>
          <w:p>
            <w:pPr>
              <w:spacing w:line="360" w:lineRule="auto"/>
              <w:jc w:val="center"/>
              <w:rPr>
                <w:rFonts w:hint="eastAsia" w:ascii="宋体" w:hAnsi="宋体"/>
                <w:b/>
                <w:color w:val="auto"/>
                <w:highlight w:val="none"/>
              </w:rPr>
            </w:pPr>
            <w:r>
              <w:rPr>
                <w:rFonts w:hint="eastAsia" w:ascii="宋体" w:hAnsi="宋体"/>
                <w:b/>
                <w:color w:val="auto"/>
                <w:highlight w:val="none"/>
              </w:rPr>
              <w:t>序号</w:t>
            </w:r>
          </w:p>
        </w:tc>
        <w:tc>
          <w:tcPr>
            <w:tcW w:w="2296" w:type="dxa"/>
            <w:vMerge w:val="restart"/>
            <w:tcBorders>
              <w:top w:val="single" w:color="auto" w:sz="12" w:space="0"/>
            </w:tcBorders>
            <w:vAlign w:val="center"/>
          </w:tcPr>
          <w:p>
            <w:pPr>
              <w:spacing w:line="360" w:lineRule="auto"/>
              <w:jc w:val="center"/>
              <w:rPr>
                <w:rFonts w:hint="eastAsia"/>
                <w:b/>
                <w:color w:val="auto"/>
                <w:highlight w:val="none"/>
              </w:rPr>
            </w:pPr>
            <w:r>
              <w:rPr>
                <w:rFonts w:hint="eastAsia"/>
                <w:b/>
                <w:color w:val="auto"/>
                <w:highlight w:val="none"/>
              </w:rPr>
              <w:t>资料名称</w:t>
            </w:r>
          </w:p>
        </w:tc>
        <w:tc>
          <w:tcPr>
            <w:tcW w:w="1200" w:type="dxa"/>
            <w:vMerge w:val="restart"/>
            <w:tcBorders>
              <w:top w:val="single" w:color="auto" w:sz="12" w:space="0"/>
            </w:tcBorders>
            <w:vAlign w:val="center"/>
          </w:tcPr>
          <w:p>
            <w:pPr>
              <w:spacing w:line="360" w:lineRule="auto"/>
              <w:jc w:val="center"/>
              <w:rPr>
                <w:rFonts w:hint="eastAsia"/>
                <w:b/>
                <w:color w:val="auto"/>
                <w:highlight w:val="none"/>
              </w:rPr>
            </w:pPr>
            <w:r>
              <w:rPr>
                <w:rFonts w:hint="eastAsia"/>
                <w:b/>
                <w:color w:val="auto"/>
                <w:highlight w:val="none"/>
              </w:rPr>
              <w:t>页数</w:t>
            </w:r>
          </w:p>
        </w:tc>
        <w:tc>
          <w:tcPr>
            <w:tcW w:w="2294" w:type="dxa"/>
            <w:vMerge w:val="restart"/>
            <w:tcBorders>
              <w:top w:val="single" w:color="auto" w:sz="12" w:space="0"/>
            </w:tcBorders>
            <w:vAlign w:val="center"/>
          </w:tcPr>
          <w:p>
            <w:pPr>
              <w:spacing w:line="360" w:lineRule="auto"/>
              <w:jc w:val="center"/>
              <w:rPr>
                <w:rFonts w:hint="eastAsia"/>
                <w:b/>
                <w:color w:val="auto"/>
                <w:highlight w:val="none"/>
              </w:rPr>
            </w:pPr>
            <w:r>
              <w:rPr>
                <w:rFonts w:hint="eastAsia"/>
                <w:b/>
                <w:color w:val="auto"/>
                <w:highlight w:val="none"/>
              </w:rPr>
              <w:t>对应投标文件页码</w:t>
            </w:r>
          </w:p>
        </w:tc>
        <w:tc>
          <w:tcPr>
            <w:tcW w:w="1402" w:type="dxa"/>
            <w:gridSpan w:val="2"/>
            <w:tcBorders>
              <w:top w:val="single" w:color="auto" w:sz="12" w:space="0"/>
            </w:tcBorders>
            <w:vAlign w:val="top"/>
          </w:tcPr>
          <w:p>
            <w:pPr>
              <w:spacing w:line="360" w:lineRule="auto"/>
              <w:jc w:val="center"/>
              <w:rPr>
                <w:rFonts w:hint="eastAsia"/>
                <w:b/>
                <w:color w:val="auto"/>
                <w:highlight w:val="none"/>
              </w:rPr>
            </w:pPr>
            <w:r>
              <w:rPr>
                <w:rFonts w:hint="eastAsia" w:ascii="宋体" w:hAnsi="宋体"/>
                <w:b/>
                <w:color w:val="auto"/>
                <w:highlight w:val="none"/>
              </w:rPr>
              <w:t>提交情况</w:t>
            </w:r>
          </w:p>
        </w:tc>
        <w:tc>
          <w:tcPr>
            <w:tcW w:w="1786" w:type="dxa"/>
            <w:vMerge w:val="restart"/>
            <w:tcBorders>
              <w:top w:val="single" w:color="auto" w:sz="12" w:space="0"/>
              <w:right w:val="single" w:color="auto" w:sz="12" w:space="0"/>
            </w:tcBorders>
            <w:vAlign w:val="center"/>
          </w:tcPr>
          <w:p>
            <w:pPr>
              <w:spacing w:line="360" w:lineRule="auto"/>
              <w:jc w:val="center"/>
              <w:rPr>
                <w:rFonts w:hint="eastAsia"/>
                <w:b/>
                <w:color w:val="auto"/>
                <w:highlight w:val="none"/>
              </w:rPr>
            </w:pPr>
            <w:r>
              <w:rPr>
                <w:rFonts w:hint="eastAsia"/>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90" w:type="dxa"/>
            <w:vMerge w:val="continue"/>
            <w:tcBorders>
              <w:left w:val="single" w:color="auto" w:sz="12" w:space="0"/>
            </w:tcBorders>
            <w:vAlign w:val="center"/>
          </w:tcPr>
          <w:p>
            <w:pPr>
              <w:spacing w:line="360" w:lineRule="auto"/>
              <w:jc w:val="center"/>
              <w:rPr>
                <w:rFonts w:hint="eastAsia" w:ascii="宋体" w:hAnsi="宋体"/>
                <w:b/>
                <w:color w:val="auto"/>
                <w:highlight w:val="none"/>
              </w:rPr>
            </w:pPr>
          </w:p>
        </w:tc>
        <w:tc>
          <w:tcPr>
            <w:tcW w:w="2296" w:type="dxa"/>
            <w:vMerge w:val="continue"/>
            <w:vAlign w:val="center"/>
          </w:tcPr>
          <w:p>
            <w:pPr>
              <w:spacing w:line="360" w:lineRule="auto"/>
              <w:jc w:val="center"/>
              <w:rPr>
                <w:rFonts w:hint="eastAsia"/>
                <w:b/>
                <w:color w:val="auto"/>
                <w:highlight w:val="none"/>
              </w:rPr>
            </w:pPr>
          </w:p>
        </w:tc>
        <w:tc>
          <w:tcPr>
            <w:tcW w:w="1200" w:type="dxa"/>
            <w:vMerge w:val="continue"/>
            <w:vAlign w:val="center"/>
          </w:tcPr>
          <w:p>
            <w:pPr>
              <w:spacing w:line="360" w:lineRule="auto"/>
              <w:jc w:val="center"/>
              <w:rPr>
                <w:rFonts w:hint="eastAsia"/>
                <w:b/>
                <w:color w:val="auto"/>
                <w:highlight w:val="none"/>
              </w:rPr>
            </w:pPr>
          </w:p>
        </w:tc>
        <w:tc>
          <w:tcPr>
            <w:tcW w:w="2294" w:type="dxa"/>
            <w:vMerge w:val="continue"/>
            <w:vAlign w:val="center"/>
          </w:tcPr>
          <w:p>
            <w:pPr>
              <w:spacing w:line="360" w:lineRule="auto"/>
              <w:jc w:val="center"/>
              <w:rPr>
                <w:rFonts w:hint="eastAsia"/>
                <w:b/>
                <w:color w:val="auto"/>
                <w:highlight w:val="none"/>
              </w:rPr>
            </w:pPr>
          </w:p>
        </w:tc>
        <w:tc>
          <w:tcPr>
            <w:tcW w:w="701" w:type="dxa"/>
            <w:tcBorders>
              <w:top w:val="single" w:color="auto" w:sz="4" w:space="0"/>
            </w:tcBorders>
            <w:vAlign w:val="center"/>
          </w:tcPr>
          <w:p>
            <w:pPr>
              <w:jc w:val="center"/>
              <w:rPr>
                <w:rFonts w:hint="eastAsia" w:ascii="宋体" w:hAnsi="宋体"/>
                <w:b/>
                <w:color w:val="auto"/>
                <w:highlight w:val="none"/>
              </w:rPr>
            </w:pPr>
            <w:r>
              <w:rPr>
                <w:rFonts w:hint="eastAsia" w:ascii="宋体" w:hAnsi="宋体"/>
                <w:b/>
                <w:color w:val="auto"/>
                <w:highlight w:val="none"/>
              </w:rPr>
              <w:t>有</w:t>
            </w:r>
          </w:p>
        </w:tc>
        <w:tc>
          <w:tcPr>
            <w:tcW w:w="701" w:type="dxa"/>
            <w:tcBorders>
              <w:top w:val="single" w:color="auto" w:sz="4" w:space="0"/>
            </w:tcBorders>
            <w:vAlign w:val="center"/>
          </w:tcPr>
          <w:p>
            <w:pPr>
              <w:jc w:val="center"/>
              <w:rPr>
                <w:rFonts w:hint="eastAsia" w:ascii="宋体" w:hAnsi="宋体"/>
                <w:b/>
                <w:color w:val="auto"/>
                <w:highlight w:val="none"/>
              </w:rPr>
            </w:pPr>
            <w:r>
              <w:rPr>
                <w:rFonts w:hint="eastAsia" w:ascii="宋体" w:hAnsi="宋体"/>
                <w:b/>
                <w:color w:val="auto"/>
                <w:highlight w:val="none"/>
              </w:rPr>
              <w:t>无</w:t>
            </w:r>
          </w:p>
        </w:tc>
        <w:tc>
          <w:tcPr>
            <w:tcW w:w="1786" w:type="dxa"/>
            <w:vMerge w:val="continue"/>
            <w:tcBorders>
              <w:right w:val="single" w:color="auto" w:sz="12" w:space="0"/>
            </w:tcBorders>
            <w:vAlign w:val="center"/>
          </w:tcPr>
          <w:p>
            <w:pPr>
              <w:spacing w:line="360" w:lineRule="auto"/>
              <w:jc w:val="center"/>
              <w:rPr>
                <w:rFonts w:hint="eastAsia"/>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0" w:type="dxa"/>
            <w:tcBorders>
              <w:left w:val="single" w:color="auto" w:sz="12" w:space="0"/>
            </w:tcBorders>
            <w:vAlign w:val="center"/>
          </w:tcPr>
          <w:p>
            <w:pPr>
              <w:numPr>
                <w:ilvl w:val="0"/>
                <w:numId w:val="65"/>
              </w:numPr>
              <w:spacing w:line="360" w:lineRule="auto"/>
              <w:jc w:val="center"/>
              <w:rPr>
                <w:rFonts w:hint="eastAsia" w:ascii="宋体" w:hAnsi="宋体"/>
                <w:color w:val="auto"/>
                <w:highlight w:val="none"/>
              </w:rPr>
            </w:pPr>
          </w:p>
        </w:tc>
        <w:tc>
          <w:tcPr>
            <w:tcW w:w="2296" w:type="dxa"/>
            <w:vAlign w:val="center"/>
          </w:tcPr>
          <w:p>
            <w:pPr>
              <w:spacing w:line="360" w:lineRule="auto"/>
              <w:jc w:val="center"/>
              <w:rPr>
                <w:rFonts w:hint="eastAsia"/>
                <w:color w:val="auto"/>
                <w:highlight w:val="none"/>
              </w:rPr>
            </w:pPr>
          </w:p>
        </w:tc>
        <w:tc>
          <w:tcPr>
            <w:tcW w:w="1200" w:type="dxa"/>
            <w:vAlign w:val="center"/>
          </w:tcPr>
          <w:p>
            <w:pPr>
              <w:spacing w:line="360" w:lineRule="auto"/>
              <w:jc w:val="center"/>
              <w:rPr>
                <w:rFonts w:hint="eastAsia"/>
                <w:color w:val="auto"/>
                <w:highlight w:val="none"/>
              </w:rPr>
            </w:pPr>
          </w:p>
        </w:tc>
        <w:tc>
          <w:tcPr>
            <w:tcW w:w="2294" w:type="dxa"/>
            <w:vAlign w:val="center"/>
          </w:tcPr>
          <w:p>
            <w:pPr>
              <w:adjustRightInd w:val="0"/>
              <w:snapToGrid w:val="0"/>
              <w:jc w:val="center"/>
              <w:rPr>
                <w:color w:val="auto"/>
                <w:highlight w:val="none"/>
              </w:rPr>
            </w:pPr>
            <w:r>
              <w:rPr>
                <w:rFonts w:hint="eastAsia" w:ascii="宋体" w:hAnsi="宋体" w:cs="宋体"/>
                <w:color w:val="auto"/>
                <w:szCs w:val="21"/>
                <w:highlight w:val="none"/>
              </w:rPr>
              <w:t>见《投标文件》第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c>
          <w:tcPr>
            <w:tcW w:w="701" w:type="dxa"/>
            <w:vAlign w:val="top"/>
          </w:tcPr>
          <w:p>
            <w:pPr>
              <w:spacing w:line="360" w:lineRule="auto"/>
              <w:jc w:val="center"/>
              <w:rPr>
                <w:rFonts w:hint="eastAsia"/>
                <w:color w:val="auto"/>
                <w:highlight w:val="none"/>
              </w:rPr>
            </w:pPr>
          </w:p>
        </w:tc>
        <w:tc>
          <w:tcPr>
            <w:tcW w:w="701" w:type="dxa"/>
            <w:vAlign w:val="top"/>
          </w:tcPr>
          <w:p>
            <w:pPr>
              <w:spacing w:line="360" w:lineRule="auto"/>
              <w:jc w:val="center"/>
              <w:rPr>
                <w:rFonts w:hint="eastAsia"/>
                <w:color w:val="auto"/>
                <w:highlight w:val="none"/>
              </w:rPr>
            </w:pPr>
          </w:p>
        </w:tc>
        <w:tc>
          <w:tcPr>
            <w:tcW w:w="1786" w:type="dxa"/>
            <w:tcBorders>
              <w:right w:val="single" w:color="auto" w:sz="12" w:space="0"/>
            </w:tcBorders>
            <w:vAlign w:val="center"/>
          </w:tcPr>
          <w:p>
            <w:pPr>
              <w:spacing w:line="360" w:lineRule="auto"/>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0" w:type="dxa"/>
            <w:tcBorders>
              <w:left w:val="single" w:color="auto" w:sz="12" w:space="0"/>
            </w:tcBorders>
            <w:vAlign w:val="center"/>
          </w:tcPr>
          <w:p>
            <w:pPr>
              <w:numPr>
                <w:ilvl w:val="0"/>
                <w:numId w:val="65"/>
              </w:numPr>
              <w:spacing w:line="360" w:lineRule="auto"/>
              <w:jc w:val="center"/>
              <w:rPr>
                <w:rFonts w:hint="eastAsia" w:ascii="宋体" w:hAnsi="宋体"/>
                <w:color w:val="auto"/>
                <w:highlight w:val="none"/>
              </w:rPr>
            </w:pPr>
          </w:p>
        </w:tc>
        <w:tc>
          <w:tcPr>
            <w:tcW w:w="2296" w:type="dxa"/>
            <w:vAlign w:val="center"/>
          </w:tcPr>
          <w:p>
            <w:pPr>
              <w:spacing w:line="360" w:lineRule="auto"/>
              <w:jc w:val="center"/>
              <w:rPr>
                <w:rFonts w:hint="eastAsia"/>
                <w:color w:val="auto"/>
                <w:highlight w:val="none"/>
              </w:rPr>
            </w:pPr>
          </w:p>
        </w:tc>
        <w:tc>
          <w:tcPr>
            <w:tcW w:w="1200" w:type="dxa"/>
            <w:vAlign w:val="center"/>
          </w:tcPr>
          <w:p>
            <w:pPr>
              <w:spacing w:line="360" w:lineRule="auto"/>
              <w:jc w:val="center"/>
              <w:rPr>
                <w:rFonts w:hint="eastAsia"/>
                <w:color w:val="auto"/>
                <w:highlight w:val="none"/>
              </w:rPr>
            </w:pPr>
          </w:p>
        </w:tc>
        <w:tc>
          <w:tcPr>
            <w:tcW w:w="2294" w:type="dxa"/>
            <w:vAlign w:val="center"/>
          </w:tcPr>
          <w:p>
            <w:pPr>
              <w:adjustRightInd w:val="0"/>
              <w:snapToGrid w:val="0"/>
              <w:jc w:val="center"/>
              <w:rPr>
                <w:rFonts w:hint="eastAsia"/>
                <w:color w:val="auto"/>
                <w:highlight w:val="none"/>
              </w:rPr>
            </w:pPr>
            <w:r>
              <w:rPr>
                <w:rFonts w:hint="eastAsia" w:ascii="宋体" w:hAnsi="宋体" w:cs="宋体"/>
                <w:color w:val="auto"/>
                <w:szCs w:val="21"/>
                <w:highlight w:val="none"/>
              </w:rPr>
              <w:t>见《投标文件》第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c>
          <w:tcPr>
            <w:tcW w:w="701" w:type="dxa"/>
            <w:vAlign w:val="top"/>
          </w:tcPr>
          <w:p>
            <w:pPr>
              <w:spacing w:line="360" w:lineRule="auto"/>
              <w:jc w:val="center"/>
              <w:rPr>
                <w:rFonts w:hint="eastAsia"/>
                <w:color w:val="auto"/>
                <w:highlight w:val="none"/>
              </w:rPr>
            </w:pPr>
          </w:p>
        </w:tc>
        <w:tc>
          <w:tcPr>
            <w:tcW w:w="701" w:type="dxa"/>
            <w:vAlign w:val="top"/>
          </w:tcPr>
          <w:p>
            <w:pPr>
              <w:spacing w:line="360" w:lineRule="auto"/>
              <w:jc w:val="center"/>
              <w:rPr>
                <w:rFonts w:hint="eastAsia"/>
                <w:color w:val="auto"/>
                <w:highlight w:val="none"/>
              </w:rPr>
            </w:pPr>
          </w:p>
        </w:tc>
        <w:tc>
          <w:tcPr>
            <w:tcW w:w="1786" w:type="dxa"/>
            <w:tcBorders>
              <w:right w:val="single" w:color="auto" w:sz="12" w:space="0"/>
            </w:tcBorders>
            <w:vAlign w:val="center"/>
          </w:tcPr>
          <w:p>
            <w:pPr>
              <w:spacing w:line="360" w:lineRule="auto"/>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0" w:type="dxa"/>
            <w:tcBorders>
              <w:left w:val="single" w:color="auto" w:sz="12" w:space="0"/>
            </w:tcBorders>
            <w:vAlign w:val="center"/>
          </w:tcPr>
          <w:p>
            <w:pPr>
              <w:numPr>
                <w:ilvl w:val="0"/>
                <w:numId w:val="65"/>
              </w:numPr>
              <w:spacing w:line="360" w:lineRule="auto"/>
              <w:jc w:val="center"/>
              <w:rPr>
                <w:rFonts w:hint="eastAsia" w:ascii="宋体" w:hAnsi="宋体"/>
                <w:color w:val="auto"/>
                <w:highlight w:val="none"/>
              </w:rPr>
            </w:pPr>
          </w:p>
        </w:tc>
        <w:tc>
          <w:tcPr>
            <w:tcW w:w="2296" w:type="dxa"/>
            <w:vAlign w:val="center"/>
          </w:tcPr>
          <w:p>
            <w:pPr>
              <w:spacing w:line="360" w:lineRule="auto"/>
              <w:jc w:val="center"/>
              <w:rPr>
                <w:rFonts w:hint="eastAsia"/>
                <w:color w:val="auto"/>
                <w:highlight w:val="none"/>
              </w:rPr>
            </w:pPr>
          </w:p>
        </w:tc>
        <w:tc>
          <w:tcPr>
            <w:tcW w:w="1200" w:type="dxa"/>
            <w:vAlign w:val="center"/>
          </w:tcPr>
          <w:p>
            <w:pPr>
              <w:spacing w:line="360" w:lineRule="auto"/>
              <w:jc w:val="center"/>
              <w:rPr>
                <w:rFonts w:hint="eastAsia"/>
                <w:color w:val="auto"/>
                <w:highlight w:val="none"/>
              </w:rPr>
            </w:pPr>
          </w:p>
        </w:tc>
        <w:tc>
          <w:tcPr>
            <w:tcW w:w="2294" w:type="dxa"/>
            <w:vAlign w:val="center"/>
          </w:tcPr>
          <w:p>
            <w:pPr>
              <w:adjustRightInd w:val="0"/>
              <w:snapToGrid w:val="0"/>
              <w:jc w:val="center"/>
              <w:rPr>
                <w:rFonts w:hint="eastAsia"/>
                <w:color w:val="auto"/>
                <w:highlight w:val="none"/>
              </w:rPr>
            </w:pPr>
            <w:r>
              <w:rPr>
                <w:rFonts w:hint="eastAsia" w:ascii="宋体" w:hAnsi="宋体" w:cs="宋体"/>
                <w:color w:val="auto"/>
                <w:szCs w:val="21"/>
                <w:highlight w:val="none"/>
              </w:rPr>
              <w:t>见《投标文件》第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c>
          <w:tcPr>
            <w:tcW w:w="701" w:type="dxa"/>
            <w:vAlign w:val="top"/>
          </w:tcPr>
          <w:p>
            <w:pPr>
              <w:spacing w:line="360" w:lineRule="auto"/>
              <w:jc w:val="center"/>
              <w:rPr>
                <w:rFonts w:hint="eastAsia"/>
                <w:color w:val="auto"/>
                <w:highlight w:val="none"/>
              </w:rPr>
            </w:pPr>
          </w:p>
        </w:tc>
        <w:tc>
          <w:tcPr>
            <w:tcW w:w="701" w:type="dxa"/>
            <w:vAlign w:val="top"/>
          </w:tcPr>
          <w:p>
            <w:pPr>
              <w:spacing w:line="360" w:lineRule="auto"/>
              <w:jc w:val="center"/>
              <w:rPr>
                <w:rFonts w:hint="eastAsia"/>
                <w:color w:val="auto"/>
                <w:highlight w:val="none"/>
              </w:rPr>
            </w:pPr>
          </w:p>
        </w:tc>
        <w:tc>
          <w:tcPr>
            <w:tcW w:w="1786" w:type="dxa"/>
            <w:tcBorders>
              <w:right w:val="single" w:color="auto" w:sz="12" w:space="0"/>
            </w:tcBorders>
            <w:vAlign w:val="center"/>
          </w:tcPr>
          <w:p>
            <w:pPr>
              <w:spacing w:line="360" w:lineRule="auto"/>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0" w:type="dxa"/>
            <w:tcBorders>
              <w:left w:val="single" w:color="auto" w:sz="12" w:space="0"/>
            </w:tcBorders>
            <w:vAlign w:val="center"/>
          </w:tcPr>
          <w:p>
            <w:pPr>
              <w:numPr>
                <w:ilvl w:val="0"/>
                <w:numId w:val="65"/>
              </w:numPr>
              <w:spacing w:line="360" w:lineRule="auto"/>
              <w:jc w:val="center"/>
              <w:rPr>
                <w:rFonts w:hint="eastAsia" w:ascii="宋体" w:hAnsi="宋体"/>
                <w:color w:val="auto"/>
                <w:highlight w:val="none"/>
              </w:rPr>
            </w:pPr>
          </w:p>
        </w:tc>
        <w:tc>
          <w:tcPr>
            <w:tcW w:w="2296" w:type="dxa"/>
            <w:vAlign w:val="center"/>
          </w:tcPr>
          <w:p>
            <w:pPr>
              <w:spacing w:line="360" w:lineRule="auto"/>
              <w:jc w:val="center"/>
              <w:rPr>
                <w:rFonts w:hint="eastAsia"/>
                <w:color w:val="auto"/>
                <w:highlight w:val="none"/>
              </w:rPr>
            </w:pPr>
          </w:p>
        </w:tc>
        <w:tc>
          <w:tcPr>
            <w:tcW w:w="1200" w:type="dxa"/>
            <w:vAlign w:val="center"/>
          </w:tcPr>
          <w:p>
            <w:pPr>
              <w:spacing w:line="360" w:lineRule="auto"/>
              <w:jc w:val="center"/>
              <w:rPr>
                <w:rFonts w:hint="eastAsia"/>
                <w:color w:val="auto"/>
                <w:highlight w:val="none"/>
              </w:rPr>
            </w:pPr>
          </w:p>
        </w:tc>
        <w:tc>
          <w:tcPr>
            <w:tcW w:w="2294" w:type="dxa"/>
            <w:vAlign w:val="center"/>
          </w:tcPr>
          <w:p>
            <w:pPr>
              <w:adjustRightInd w:val="0"/>
              <w:snapToGrid w:val="0"/>
              <w:jc w:val="center"/>
              <w:rPr>
                <w:rFonts w:hint="eastAsia"/>
                <w:color w:val="auto"/>
                <w:highlight w:val="none"/>
              </w:rPr>
            </w:pPr>
            <w:r>
              <w:rPr>
                <w:rFonts w:hint="eastAsia" w:ascii="宋体" w:hAnsi="宋体" w:cs="宋体"/>
                <w:color w:val="auto"/>
                <w:szCs w:val="21"/>
                <w:highlight w:val="none"/>
              </w:rPr>
              <w:t>见《投标文件》第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c>
          <w:tcPr>
            <w:tcW w:w="701" w:type="dxa"/>
            <w:vAlign w:val="top"/>
          </w:tcPr>
          <w:p>
            <w:pPr>
              <w:spacing w:line="360" w:lineRule="auto"/>
              <w:jc w:val="center"/>
              <w:rPr>
                <w:rFonts w:hint="eastAsia"/>
                <w:color w:val="auto"/>
                <w:highlight w:val="none"/>
              </w:rPr>
            </w:pPr>
          </w:p>
        </w:tc>
        <w:tc>
          <w:tcPr>
            <w:tcW w:w="701" w:type="dxa"/>
            <w:vAlign w:val="top"/>
          </w:tcPr>
          <w:p>
            <w:pPr>
              <w:spacing w:line="360" w:lineRule="auto"/>
              <w:jc w:val="center"/>
              <w:rPr>
                <w:rFonts w:hint="eastAsia"/>
                <w:color w:val="auto"/>
                <w:highlight w:val="none"/>
              </w:rPr>
            </w:pPr>
          </w:p>
        </w:tc>
        <w:tc>
          <w:tcPr>
            <w:tcW w:w="1786" w:type="dxa"/>
            <w:tcBorders>
              <w:right w:val="single" w:color="auto" w:sz="12" w:space="0"/>
            </w:tcBorders>
            <w:vAlign w:val="center"/>
          </w:tcPr>
          <w:p>
            <w:pPr>
              <w:spacing w:line="360" w:lineRule="auto"/>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0" w:type="dxa"/>
            <w:tcBorders>
              <w:left w:val="single" w:color="auto" w:sz="12" w:space="0"/>
            </w:tcBorders>
            <w:vAlign w:val="center"/>
          </w:tcPr>
          <w:p>
            <w:pPr>
              <w:numPr>
                <w:ilvl w:val="0"/>
                <w:numId w:val="65"/>
              </w:numPr>
              <w:spacing w:line="360" w:lineRule="auto"/>
              <w:jc w:val="center"/>
              <w:rPr>
                <w:rFonts w:hint="eastAsia" w:ascii="宋体" w:hAnsi="宋体"/>
                <w:color w:val="auto"/>
                <w:highlight w:val="none"/>
              </w:rPr>
            </w:pPr>
          </w:p>
        </w:tc>
        <w:tc>
          <w:tcPr>
            <w:tcW w:w="2296" w:type="dxa"/>
            <w:vAlign w:val="center"/>
          </w:tcPr>
          <w:p>
            <w:pPr>
              <w:spacing w:line="360" w:lineRule="auto"/>
              <w:jc w:val="center"/>
              <w:rPr>
                <w:rFonts w:hint="eastAsia"/>
                <w:color w:val="auto"/>
                <w:highlight w:val="none"/>
              </w:rPr>
            </w:pPr>
          </w:p>
        </w:tc>
        <w:tc>
          <w:tcPr>
            <w:tcW w:w="1200" w:type="dxa"/>
            <w:vAlign w:val="center"/>
          </w:tcPr>
          <w:p>
            <w:pPr>
              <w:spacing w:line="360" w:lineRule="auto"/>
              <w:jc w:val="center"/>
              <w:rPr>
                <w:rFonts w:hint="eastAsia"/>
                <w:color w:val="auto"/>
                <w:highlight w:val="none"/>
              </w:rPr>
            </w:pPr>
          </w:p>
        </w:tc>
        <w:tc>
          <w:tcPr>
            <w:tcW w:w="2294" w:type="dxa"/>
            <w:vAlign w:val="center"/>
          </w:tcPr>
          <w:p>
            <w:pPr>
              <w:adjustRightInd w:val="0"/>
              <w:snapToGrid w:val="0"/>
              <w:jc w:val="center"/>
              <w:rPr>
                <w:rFonts w:hint="eastAsia"/>
                <w:color w:val="auto"/>
                <w:highlight w:val="none"/>
              </w:rPr>
            </w:pPr>
            <w:r>
              <w:rPr>
                <w:rFonts w:hint="eastAsia" w:ascii="宋体" w:hAnsi="宋体" w:cs="宋体"/>
                <w:color w:val="auto"/>
                <w:szCs w:val="21"/>
                <w:highlight w:val="none"/>
              </w:rPr>
              <w:t>见《投标文件》第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c>
          <w:tcPr>
            <w:tcW w:w="701" w:type="dxa"/>
            <w:vAlign w:val="top"/>
          </w:tcPr>
          <w:p>
            <w:pPr>
              <w:spacing w:line="360" w:lineRule="auto"/>
              <w:jc w:val="center"/>
              <w:rPr>
                <w:rFonts w:hint="eastAsia"/>
                <w:color w:val="auto"/>
                <w:highlight w:val="none"/>
              </w:rPr>
            </w:pPr>
          </w:p>
        </w:tc>
        <w:tc>
          <w:tcPr>
            <w:tcW w:w="701" w:type="dxa"/>
            <w:vAlign w:val="top"/>
          </w:tcPr>
          <w:p>
            <w:pPr>
              <w:spacing w:line="360" w:lineRule="auto"/>
              <w:jc w:val="center"/>
              <w:rPr>
                <w:rFonts w:hint="eastAsia"/>
                <w:color w:val="auto"/>
                <w:highlight w:val="none"/>
              </w:rPr>
            </w:pPr>
          </w:p>
        </w:tc>
        <w:tc>
          <w:tcPr>
            <w:tcW w:w="1786" w:type="dxa"/>
            <w:tcBorders>
              <w:right w:val="single" w:color="auto" w:sz="12" w:space="0"/>
            </w:tcBorders>
            <w:vAlign w:val="center"/>
          </w:tcPr>
          <w:p>
            <w:pPr>
              <w:spacing w:line="360" w:lineRule="auto"/>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0" w:type="dxa"/>
            <w:tcBorders>
              <w:left w:val="single" w:color="auto" w:sz="12" w:space="0"/>
            </w:tcBorders>
            <w:vAlign w:val="center"/>
          </w:tcPr>
          <w:p>
            <w:pPr>
              <w:numPr>
                <w:ilvl w:val="0"/>
                <w:numId w:val="65"/>
              </w:numPr>
              <w:spacing w:line="360" w:lineRule="auto"/>
              <w:jc w:val="center"/>
              <w:rPr>
                <w:rFonts w:hint="eastAsia" w:ascii="宋体" w:hAnsi="宋体"/>
                <w:color w:val="auto"/>
                <w:highlight w:val="none"/>
              </w:rPr>
            </w:pPr>
          </w:p>
        </w:tc>
        <w:tc>
          <w:tcPr>
            <w:tcW w:w="2296" w:type="dxa"/>
            <w:vAlign w:val="center"/>
          </w:tcPr>
          <w:p>
            <w:pPr>
              <w:spacing w:line="360" w:lineRule="auto"/>
              <w:jc w:val="center"/>
              <w:rPr>
                <w:rFonts w:hint="eastAsia"/>
                <w:color w:val="auto"/>
                <w:highlight w:val="none"/>
              </w:rPr>
            </w:pPr>
          </w:p>
        </w:tc>
        <w:tc>
          <w:tcPr>
            <w:tcW w:w="1200" w:type="dxa"/>
            <w:vAlign w:val="center"/>
          </w:tcPr>
          <w:p>
            <w:pPr>
              <w:spacing w:line="360" w:lineRule="auto"/>
              <w:jc w:val="center"/>
              <w:rPr>
                <w:rFonts w:hint="eastAsia"/>
                <w:color w:val="auto"/>
                <w:highlight w:val="none"/>
              </w:rPr>
            </w:pPr>
          </w:p>
        </w:tc>
        <w:tc>
          <w:tcPr>
            <w:tcW w:w="2294" w:type="dxa"/>
            <w:vAlign w:val="center"/>
          </w:tcPr>
          <w:p>
            <w:pPr>
              <w:adjustRightInd w:val="0"/>
              <w:snapToGrid w:val="0"/>
              <w:jc w:val="center"/>
              <w:rPr>
                <w:rFonts w:hint="eastAsia"/>
                <w:color w:val="auto"/>
                <w:highlight w:val="none"/>
              </w:rPr>
            </w:pPr>
            <w:r>
              <w:rPr>
                <w:rFonts w:hint="eastAsia" w:ascii="宋体" w:hAnsi="宋体" w:cs="宋体"/>
                <w:color w:val="auto"/>
                <w:szCs w:val="21"/>
                <w:highlight w:val="none"/>
              </w:rPr>
              <w:t>见《投标文件》第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c>
          <w:tcPr>
            <w:tcW w:w="701" w:type="dxa"/>
            <w:vAlign w:val="top"/>
          </w:tcPr>
          <w:p>
            <w:pPr>
              <w:spacing w:line="360" w:lineRule="auto"/>
              <w:jc w:val="center"/>
              <w:rPr>
                <w:rFonts w:hint="eastAsia"/>
                <w:color w:val="auto"/>
                <w:highlight w:val="none"/>
              </w:rPr>
            </w:pPr>
          </w:p>
        </w:tc>
        <w:tc>
          <w:tcPr>
            <w:tcW w:w="701" w:type="dxa"/>
            <w:vAlign w:val="top"/>
          </w:tcPr>
          <w:p>
            <w:pPr>
              <w:spacing w:line="360" w:lineRule="auto"/>
              <w:jc w:val="center"/>
              <w:rPr>
                <w:rFonts w:hint="eastAsia"/>
                <w:color w:val="auto"/>
                <w:highlight w:val="none"/>
              </w:rPr>
            </w:pPr>
          </w:p>
        </w:tc>
        <w:tc>
          <w:tcPr>
            <w:tcW w:w="1786" w:type="dxa"/>
            <w:tcBorders>
              <w:right w:val="single" w:color="auto" w:sz="12" w:space="0"/>
            </w:tcBorders>
            <w:vAlign w:val="center"/>
          </w:tcPr>
          <w:p>
            <w:pPr>
              <w:spacing w:line="360" w:lineRule="auto"/>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0" w:type="dxa"/>
            <w:tcBorders>
              <w:left w:val="single" w:color="auto" w:sz="12" w:space="0"/>
            </w:tcBorders>
            <w:vAlign w:val="center"/>
          </w:tcPr>
          <w:p>
            <w:pPr>
              <w:numPr>
                <w:ilvl w:val="0"/>
                <w:numId w:val="65"/>
              </w:numPr>
              <w:spacing w:line="360" w:lineRule="auto"/>
              <w:jc w:val="center"/>
              <w:rPr>
                <w:rFonts w:hint="eastAsia" w:ascii="宋体" w:hAnsi="宋体"/>
                <w:color w:val="auto"/>
                <w:highlight w:val="none"/>
              </w:rPr>
            </w:pPr>
          </w:p>
        </w:tc>
        <w:tc>
          <w:tcPr>
            <w:tcW w:w="2296" w:type="dxa"/>
            <w:vAlign w:val="center"/>
          </w:tcPr>
          <w:p>
            <w:pPr>
              <w:spacing w:line="360" w:lineRule="auto"/>
              <w:jc w:val="center"/>
              <w:rPr>
                <w:rFonts w:hint="eastAsia"/>
                <w:color w:val="auto"/>
                <w:highlight w:val="none"/>
              </w:rPr>
            </w:pPr>
          </w:p>
        </w:tc>
        <w:tc>
          <w:tcPr>
            <w:tcW w:w="1200" w:type="dxa"/>
            <w:vAlign w:val="center"/>
          </w:tcPr>
          <w:p>
            <w:pPr>
              <w:spacing w:line="360" w:lineRule="auto"/>
              <w:jc w:val="center"/>
              <w:rPr>
                <w:rFonts w:hint="eastAsia"/>
                <w:color w:val="auto"/>
                <w:highlight w:val="none"/>
              </w:rPr>
            </w:pPr>
          </w:p>
        </w:tc>
        <w:tc>
          <w:tcPr>
            <w:tcW w:w="2294" w:type="dxa"/>
            <w:vAlign w:val="center"/>
          </w:tcPr>
          <w:p>
            <w:pPr>
              <w:adjustRightInd w:val="0"/>
              <w:snapToGrid w:val="0"/>
              <w:jc w:val="center"/>
              <w:rPr>
                <w:rFonts w:hint="eastAsia"/>
                <w:color w:val="auto"/>
                <w:highlight w:val="none"/>
              </w:rPr>
            </w:pPr>
            <w:r>
              <w:rPr>
                <w:rFonts w:hint="eastAsia" w:ascii="宋体" w:hAnsi="宋体" w:cs="宋体"/>
                <w:color w:val="auto"/>
                <w:szCs w:val="21"/>
                <w:highlight w:val="none"/>
              </w:rPr>
              <w:t>见《投标文件》第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c>
          <w:tcPr>
            <w:tcW w:w="701" w:type="dxa"/>
            <w:vAlign w:val="top"/>
          </w:tcPr>
          <w:p>
            <w:pPr>
              <w:spacing w:line="360" w:lineRule="auto"/>
              <w:jc w:val="center"/>
              <w:rPr>
                <w:rFonts w:hint="eastAsia"/>
                <w:color w:val="auto"/>
                <w:highlight w:val="none"/>
              </w:rPr>
            </w:pPr>
          </w:p>
        </w:tc>
        <w:tc>
          <w:tcPr>
            <w:tcW w:w="701" w:type="dxa"/>
            <w:vAlign w:val="top"/>
          </w:tcPr>
          <w:p>
            <w:pPr>
              <w:spacing w:line="360" w:lineRule="auto"/>
              <w:jc w:val="center"/>
              <w:rPr>
                <w:rFonts w:hint="eastAsia"/>
                <w:color w:val="auto"/>
                <w:highlight w:val="none"/>
              </w:rPr>
            </w:pPr>
          </w:p>
        </w:tc>
        <w:tc>
          <w:tcPr>
            <w:tcW w:w="1786" w:type="dxa"/>
            <w:tcBorders>
              <w:right w:val="single" w:color="auto" w:sz="12" w:space="0"/>
            </w:tcBorders>
            <w:vAlign w:val="center"/>
          </w:tcPr>
          <w:p>
            <w:pPr>
              <w:spacing w:line="360" w:lineRule="auto"/>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0" w:type="dxa"/>
            <w:tcBorders>
              <w:left w:val="single" w:color="auto" w:sz="12" w:space="0"/>
            </w:tcBorders>
            <w:vAlign w:val="center"/>
          </w:tcPr>
          <w:p>
            <w:pPr>
              <w:numPr>
                <w:ilvl w:val="0"/>
                <w:numId w:val="65"/>
              </w:numPr>
              <w:spacing w:line="360" w:lineRule="auto"/>
              <w:jc w:val="center"/>
              <w:rPr>
                <w:rFonts w:hint="eastAsia" w:ascii="宋体" w:hAnsi="宋体"/>
                <w:color w:val="auto"/>
                <w:highlight w:val="none"/>
              </w:rPr>
            </w:pPr>
          </w:p>
        </w:tc>
        <w:tc>
          <w:tcPr>
            <w:tcW w:w="2296" w:type="dxa"/>
            <w:vAlign w:val="center"/>
          </w:tcPr>
          <w:p>
            <w:pPr>
              <w:spacing w:line="360" w:lineRule="auto"/>
              <w:jc w:val="center"/>
              <w:rPr>
                <w:rFonts w:hint="eastAsia"/>
                <w:color w:val="auto"/>
                <w:highlight w:val="none"/>
              </w:rPr>
            </w:pPr>
          </w:p>
        </w:tc>
        <w:tc>
          <w:tcPr>
            <w:tcW w:w="1200" w:type="dxa"/>
            <w:vAlign w:val="center"/>
          </w:tcPr>
          <w:p>
            <w:pPr>
              <w:spacing w:line="360" w:lineRule="auto"/>
              <w:jc w:val="center"/>
              <w:rPr>
                <w:rFonts w:hint="eastAsia"/>
                <w:color w:val="auto"/>
                <w:highlight w:val="none"/>
              </w:rPr>
            </w:pPr>
          </w:p>
        </w:tc>
        <w:tc>
          <w:tcPr>
            <w:tcW w:w="2294" w:type="dxa"/>
            <w:vAlign w:val="center"/>
          </w:tcPr>
          <w:p>
            <w:pPr>
              <w:adjustRightInd w:val="0"/>
              <w:snapToGrid w:val="0"/>
              <w:jc w:val="center"/>
              <w:rPr>
                <w:rFonts w:hint="eastAsia"/>
                <w:color w:val="auto"/>
                <w:highlight w:val="none"/>
              </w:rPr>
            </w:pPr>
            <w:r>
              <w:rPr>
                <w:rFonts w:hint="eastAsia" w:ascii="宋体" w:hAnsi="宋体" w:cs="宋体"/>
                <w:color w:val="auto"/>
                <w:szCs w:val="21"/>
                <w:highlight w:val="none"/>
              </w:rPr>
              <w:t>见《投标文件》第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c>
          <w:tcPr>
            <w:tcW w:w="701" w:type="dxa"/>
            <w:vAlign w:val="top"/>
          </w:tcPr>
          <w:p>
            <w:pPr>
              <w:spacing w:line="360" w:lineRule="auto"/>
              <w:jc w:val="center"/>
              <w:rPr>
                <w:rFonts w:hint="eastAsia"/>
                <w:color w:val="auto"/>
                <w:highlight w:val="none"/>
              </w:rPr>
            </w:pPr>
          </w:p>
        </w:tc>
        <w:tc>
          <w:tcPr>
            <w:tcW w:w="701" w:type="dxa"/>
            <w:vAlign w:val="top"/>
          </w:tcPr>
          <w:p>
            <w:pPr>
              <w:spacing w:line="360" w:lineRule="auto"/>
              <w:jc w:val="center"/>
              <w:rPr>
                <w:rFonts w:hint="eastAsia"/>
                <w:color w:val="auto"/>
                <w:highlight w:val="none"/>
              </w:rPr>
            </w:pPr>
          </w:p>
        </w:tc>
        <w:tc>
          <w:tcPr>
            <w:tcW w:w="1786" w:type="dxa"/>
            <w:tcBorders>
              <w:right w:val="single" w:color="auto" w:sz="12" w:space="0"/>
            </w:tcBorders>
            <w:vAlign w:val="center"/>
          </w:tcPr>
          <w:p>
            <w:pPr>
              <w:spacing w:line="360" w:lineRule="auto"/>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0" w:type="dxa"/>
            <w:tcBorders>
              <w:left w:val="single" w:color="auto" w:sz="12" w:space="0"/>
            </w:tcBorders>
            <w:vAlign w:val="center"/>
          </w:tcPr>
          <w:p>
            <w:pPr>
              <w:numPr>
                <w:ilvl w:val="0"/>
                <w:numId w:val="65"/>
              </w:numPr>
              <w:spacing w:line="360" w:lineRule="auto"/>
              <w:jc w:val="center"/>
              <w:rPr>
                <w:rFonts w:hint="eastAsia" w:ascii="宋体" w:hAnsi="宋体"/>
                <w:color w:val="auto"/>
                <w:highlight w:val="none"/>
              </w:rPr>
            </w:pPr>
          </w:p>
        </w:tc>
        <w:tc>
          <w:tcPr>
            <w:tcW w:w="2296" w:type="dxa"/>
            <w:vAlign w:val="center"/>
          </w:tcPr>
          <w:p>
            <w:pPr>
              <w:spacing w:line="360" w:lineRule="auto"/>
              <w:jc w:val="center"/>
              <w:rPr>
                <w:rFonts w:hint="eastAsia"/>
                <w:color w:val="auto"/>
                <w:highlight w:val="none"/>
              </w:rPr>
            </w:pPr>
          </w:p>
        </w:tc>
        <w:tc>
          <w:tcPr>
            <w:tcW w:w="1200" w:type="dxa"/>
            <w:vAlign w:val="center"/>
          </w:tcPr>
          <w:p>
            <w:pPr>
              <w:spacing w:line="360" w:lineRule="auto"/>
              <w:jc w:val="center"/>
              <w:rPr>
                <w:rFonts w:hint="eastAsia"/>
                <w:color w:val="auto"/>
                <w:highlight w:val="none"/>
              </w:rPr>
            </w:pPr>
          </w:p>
        </w:tc>
        <w:tc>
          <w:tcPr>
            <w:tcW w:w="2294" w:type="dxa"/>
            <w:vAlign w:val="center"/>
          </w:tcPr>
          <w:p>
            <w:pPr>
              <w:adjustRightInd w:val="0"/>
              <w:snapToGrid w:val="0"/>
              <w:jc w:val="center"/>
              <w:rPr>
                <w:rFonts w:hint="eastAsia"/>
                <w:color w:val="auto"/>
                <w:highlight w:val="none"/>
              </w:rPr>
            </w:pPr>
            <w:r>
              <w:rPr>
                <w:rFonts w:hint="eastAsia" w:ascii="宋体" w:hAnsi="宋体" w:cs="宋体"/>
                <w:color w:val="auto"/>
                <w:szCs w:val="21"/>
                <w:highlight w:val="none"/>
              </w:rPr>
              <w:t>见《投标文件》第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c>
          <w:tcPr>
            <w:tcW w:w="701" w:type="dxa"/>
            <w:vAlign w:val="top"/>
          </w:tcPr>
          <w:p>
            <w:pPr>
              <w:spacing w:line="360" w:lineRule="auto"/>
              <w:jc w:val="center"/>
              <w:rPr>
                <w:rFonts w:hint="eastAsia"/>
                <w:color w:val="auto"/>
                <w:highlight w:val="none"/>
              </w:rPr>
            </w:pPr>
          </w:p>
        </w:tc>
        <w:tc>
          <w:tcPr>
            <w:tcW w:w="701" w:type="dxa"/>
            <w:vAlign w:val="top"/>
          </w:tcPr>
          <w:p>
            <w:pPr>
              <w:spacing w:line="360" w:lineRule="auto"/>
              <w:jc w:val="center"/>
              <w:rPr>
                <w:rFonts w:hint="eastAsia"/>
                <w:color w:val="auto"/>
                <w:highlight w:val="none"/>
              </w:rPr>
            </w:pPr>
          </w:p>
        </w:tc>
        <w:tc>
          <w:tcPr>
            <w:tcW w:w="1786" w:type="dxa"/>
            <w:tcBorders>
              <w:right w:val="single" w:color="auto" w:sz="12" w:space="0"/>
            </w:tcBorders>
            <w:vAlign w:val="center"/>
          </w:tcPr>
          <w:p>
            <w:pPr>
              <w:spacing w:line="360" w:lineRule="auto"/>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0" w:type="dxa"/>
            <w:tcBorders>
              <w:left w:val="single" w:color="auto" w:sz="12" w:space="0"/>
              <w:bottom w:val="single" w:color="auto" w:sz="12" w:space="0"/>
            </w:tcBorders>
            <w:vAlign w:val="center"/>
          </w:tcPr>
          <w:p>
            <w:pPr>
              <w:numPr>
                <w:ilvl w:val="0"/>
                <w:numId w:val="65"/>
              </w:numPr>
              <w:spacing w:line="360" w:lineRule="auto"/>
              <w:jc w:val="center"/>
              <w:rPr>
                <w:rFonts w:hint="eastAsia" w:ascii="宋体" w:hAnsi="宋体"/>
                <w:color w:val="auto"/>
                <w:highlight w:val="none"/>
              </w:rPr>
            </w:pPr>
          </w:p>
        </w:tc>
        <w:tc>
          <w:tcPr>
            <w:tcW w:w="2296" w:type="dxa"/>
            <w:tcBorders>
              <w:bottom w:val="single" w:color="auto" w:sz="12" w:space="0"/>
            </w:tcBorders>
            <w:vAlign w:val="center"/>
          </w:tcPr>
          <w:p>
            <w:pPr>
              <w:spacing w:line="360" w:lineRule="auto"/>
              <w:jc w:val="center"/>
              <w:rPr>
                <w:rFonts w:hint="eastAsia"/>
                <w:color w:val="auto"/>
                <w:highlight w:val="none"/>
              </w:rPr>
            </w:pPr>
          </w:p>
        </w:tc>
        <w:tc>
          <w:tcPr>
            <w:tcW w:w="1200" w:type="dxa"/>
            <w:tcBorders>
              <w:bottom w:val="single" w:color="auto" w:sz="12" w:space="0"/>
            </w:tcBorders>
            <w:vAlign w:val="center"/>
          </w:tcPr>
          <w:p>
            <w:pPr>
              <w:spacing w:line="360" w:lineRule="auto"/>
              <w:jc w:val="center"/>
              <w:rPr>
                <w:rFonts w:hint="eastAsia"/>
                <w:color w:val="auto"/>
                <w:highlight w:val="none"/>
              </w:rPr>
            </w:pPr>
          </w:p>
        </w:tc>
        <w:tc>
          <w:tcPr>
            <w:tcW w:w="2294" w:type="dxa"/>
            <w:tcBorders>
              <w:bottom w:val="single" w:color="auto" w:sz="12" w:space="0"/>
            </w:tcBorders>
            <w:vAlign w:val="center"/>
          </w:tcPr>
          <w:p>
            <w:pPr>
              <w:adjustRightInd w:val="0"/>
              <w:snapToGrid w:val="0"/>
              <w:jc w:val="center"/>
              <w:rPr>
                <w:rFonts w:hint="eastAsia"/>
                <w:color w:val="auto"/>
                <w:highlight w:val="none"/>
              </w:rPr>
            </w:pPr>
            <w:r>
              <w:rPr>
                <w:rFonts w:hint="eastAsia" w:ascii="宋体" w:hAnsi="宋体" w:cs="宋体"/>
                <w:color w:val="auto"/>
                <w:szCs w:val="21"/>
                <w:highlight w:val="none"/>
              </w:rPr>
              <w:t>见《投标文件》第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c>
          <w:tcPr>
            <w:tcW w:w="701" w:type="dxa"/>
            <w:tcBorders>
              <w:bottom w:val="single" w:color="auto" w:sz="12" w:space="0"/>
            </w:tcBorders>
            <w:vAlign w:val="top"/>
          </w:tcPr>
          <w:p>
            <w:pPr>
              <w:spacing w:line="360" w:lineRule="auto"/>
              <w:jc w:val="center"/>
              <w:rPr>
                <w:rFonts w:hint="eastAsia"/>
                <w:color w:val="auto"/>
                <w:highlight w:val="none"/>
              </w:rPr>
            </w:pPr>
          </w:p>
        </w:tc>
        <w:tc>
          <w:tcPr>
            <w:tcW w:w="701" w:type="dxa"/>
            <w:tcBorders>
              <w:bottom w:val="single" w:color="auto" w:sz="12" w:space="0"/>
            </w:tcBorders>
            <w:vAlign w:val="top"/>
          </w:tcPr>
          <w:p>
            <w:pPr>
              <w:spacing w:line="360" w:lineRule="auto"/>
              <w:jc w:val="center"/>
              <w:rPr>
                <w:rFonts w:hint="eastAsia"/>
                <w:color w:val="auto"/>
                <w:highlight w:val="none"/>
              </w:rPr>
            </w:pPr>
          </w:p>
        </w:tc>
        <w:tc>
          <w:tcPr>
            <w:tcW w:w="1786" w:type="dxa"/>
            <w:tcBorders>
              <w:bottom w:val="single" w:color="auto" w:sz="12" w:space="0"/>
              <w:right w:val="single" w:color="auto" w:sz="12" w:space="0"/>
            </w:tcBorders>
            <w:vAlign w:val="center"/>
          </w:tcPr>
          <w:p>
            <w:pPr>
              <w:spacing w:line="360" w:lineRule="auto"/>
              <w:jc w:val="center"/>
              <w:rPr>
                <w:rFonts w:hint="eastAsia"/>
                <w:color w:val="auto"/>
                <w:highlight w:val="none"/>
              </w:rPr>
            </w:pPr>
          </w:p>
        </w:tc>
      </w:tr>
    </w:tbl>
    <w:p>
      <w:pPr>
        <w:spacing w:line="360" w:lineRule="auto"/>
        <w:ind w:left="420"/>
        <w:rPr>
          <w:rFonts w:hint="eastAsia"/>
          <w:b/>
          <w:color w:val="auto"/>
          <w:highlight w:val="none"/>
        </w:rPr>
      </w:pPr>
      <w:r>
        <w:rPr>
          <w:rFonts w:hint="eastAsia"/>
          <w:b/>
          <w:color w:val="auto"/>
          <w:highlight w:val="none"/>
        </w:rPr>
        <w:t>备注：</w:t>
      </w:r>
    </w:p>
    <w:p>
      <w:pPr>
        <w:numPr>
          <w:ilvl w:val="1"/>
          <w:numId w:val="66"/>
        </w:numPr>
        <w:spacing w:line="360" w:lineRule="auto"/>
        <w:rPr>
          <w:rFonts w:hint="eastAsia"/>
          <w:b/>
          <w:color w:val="auto"/>
          <w:highlight w:val="none"/>
        </w:rPr>
      </w:pPr>
      <w:r>
        <w:rPr>
          <w:rFonts w:hint="eastAsia"/>
          <w:b/>
          <w:color w:val="auto"/>
          <w:highlight w:val="none"/>
        </w:rPr>
        <w:t>本表中的“对应投标文件页码”栏填写相应的复印件所在投标文件中的页码范围，以便评审时核对。</w:t>
      </w:r>
    </w:p>
    <w:p>
      <w:pPr>
        <w:numPr>
          <w:ilvl w:val="1"/>
          <w:numId w:val="66"/>
        </w:numPr>
        <w:spacing w:line="360" w:lineRule="auto"/>
        <w:rPr>
          <w:rFonts w:hint="eastAsia" w:ascii="宋体" w:hAnsi="宋体"/>
          <w:bCs/>
          <w:color w:val="auto"/>
          <w:highlight w:val="none"/>
        </w:rPr>
      </w:pPr>
      <w:r>
        <w:rPr>
          <w:rFonts w:hint="eastAsia" w:ascii="宋体" w:hAnsi="宋体"/>
          <w:b/>
          <w:bCs/>
          <w:color w:val="auto"/>
          <w:highlight w:val="none"/>
          <w:u w:val="double"/>
        </w:rPr>
        <w:t>评审内容中所要求提交“原件”的应独立封装，并内附本清单，以便评审委员会核对，评标结束当日退回，如未提供原件的，该项评分为0分</w:t>
      </w:r>
      <w:r>
        <w:rPr>
          <w:rFonts w:hint="eastAsia" w:ascii="宋体" w:hAnsi="宋体"/>
          <w:bCs/>
          <w:color w:val="auto"/>
          <w:highlight w:val="none"/>
          <w:u w:val="double"/>
        </w:rPr>
        <w:t>。</w:t>
      </w:r>
    </w:p>
    <w:p>
      <w:pPr>
        <w:spacing w:line="360" w:lineRule="auto"/>
        <w:ind w:left="420"/>
        <w:rPr>
          <w:rFonts w:hint="eastAsia"/>
          <w:b/>
          <w:color w:val="auto"/>
          <w:highlight w:val="none"/>
        </w:rPr>
      </w:pPr>
    </w:p>
    <w:p>
      <w:pPr>
        <w:spacing w:line="360" w:lineRule="auto"/>
        <w:jc w:val="center"/>
        <w:rPr>
          <w:rFonts w:hint="eastAsia"/>
          <w:color w:val="auto"/>
          <w:highlight w:val="none"/>
        </w:rPr>
      </w:pPr>
    </w:p>
    <w:p>
      <w:pPr>
        <w:spacing w:line="500" w:lineRule="exact"/>
        <w:rPr>
          <w:rFonts w:hint="eastAsia" w:ascii="宋体" w:hAnsi="宋体"/>
          <w:color w:val="auto"/>
          <w:sz w:val="24"/>
          <w:highlight w:val="none"/>
        </w:rPr>
      </w:pPr>
    </w:p>
    <w:p>
      <w:pPr>
        <w:spacing w:line="500" w:lineRule="exact"/>
        <w:rPr>
          <w:rFonts w:hint="eastAsia" w:ascii="宋体" w:hAnsi="宋体"/>
          <w:color w:val="auto"/>
          <w:highlight w:val="none"/>
          <w:u w:val="single"/>
        </w:rPr>
      </w:pPr>
      <w:r>
        <w:rPr>
          <w:rFonts w:hint="eastAsia"/>
          <w:color w:val="auto"/>
          <w:spacing w:val="4"/>
          <w:highlight w:val="none"/>
        </w:rPr>
        <w:t>投标人名称（盖公章）：</w:t>
      </w:r>
      <w:r>
        <w:rPr>
          <w:rFonts w:hint="eastAsia"/>
          <w:color w:val="auto"/>
          <w:spacing w:val="4"/>
          <w:highlight w:val="none"/>
          <w:u w:val="single"/>
        </w:rPr>
        <w:t xml:space="preserve">                             </w:t>
      </w:r>
    </w:p>
    <w:p>
      <w:pPr>
        <w:rPr>
          <w:rFonts w:hint="eastAsia"/>
          <w:color w:val="auto"/>
          <w:spacing w:val="4"/>
          <w:highlight w:val="none"/>
        </w:rPr>
      </w:pPr>
    </w:p>
    <w:p>
      <w:pPr>
        <w:spacing w:line="440" w:lineRule="exact"/>
        <w:ind w:left="-2"/>
        <w:rPr>
          <w:rFonts w:hint="eastAsia" w:ascii="宋体" w:hAnsi="宋体"/>
          <w:color w:val="auto"/>
          <w:highlight w:val="non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spacing w:line="500" w:lineRule="exact"/>
        <w:rPr>
          <w:rFonts w:hint="eastAsia" w:ascii="黑体" w:eastAsia="黑体"/>
          <w:b/>
          <w:bCs/>
          <w:color w:val="auto"/>
          <w:sz w:val="28"/>
          <w:highlight w:val="none"/>
        </w:rPr>
        <w:sectPr>
          <w:pgSz w:w="11906" w:h="16838"/>
          <w:pgMar w:top="1134" w:right="1134" w:bottom="1134" w:left="1134" w:header="657" w:footer="481" w:gutter="0"/>
          <w:cols w:space="720" w:num="1"/>
          <w:docGrid w:linePitch="312" w:charSpace="0"/>
        </w:sectPr>
      </w:pPr>
    </w:p>
    <w:bookmarkEnd w:id="116"/>
    <w:p>
      <w:pPr>
        <w:numPr>
          <w:ilvl w:val="0"/>
          <w:numId w:val="57"/>
        </w:numPr>
        <w:spacing w:line="440" w:lineRule="exact"/>
        <w:rPr>
          <w:rFonts w:hint="eastAsia" w:ascii="宋体" w:hAnsi="宋体"/>
          <w:color w:val="auto"/>
          <w:highlight w:val="none"/>
        </w:rPr>
      </w:pPr>
      <w:bookmarkStart w:id="128" w:name="_Toc275865624"/>
    </w:p>
    <w:p>
      <w:pPr>
        <w:pStyle w:val="3"/>
        <w:adjustRightInd w:val="0"/>
        <w:snapToGrid w:val="0"/>
        <w:spacing w:before="120" w:beforeLines="50" w:after="120" w:afterLines="50" w:line="360" w:lineRule="auto"/>
        <w:jc w:val="center"/>
        <w:rPr>
          <w:rFonts w:hint="eastAsia"/>
          <w:b w:val="0"/>
          <w:color w:val="auto"/>
          <w:highlight w:val="none"/>
        </w:rPr>
      </w:pPr>
      <w:r>
        <w:rPr>
          <w:rFonts w:hint="eastAsia"/>
          <w:b w:val="0"/>
          <w:color w:val="auto"/>
          <w:highlight w:val="none"/>
        </w:rPr>
        <w:t>招标代理服务费承诺书</w:t>
      </w:r>
      <w:bookmarkEnd w:id="128"/>
    </w:p>
    <w:p>
      <w:pPr>
        <w:spacing w:line="360" w:lineRule="auto"/>
        <w:ind w:left="315"/>
        <w:rPr>
          <w:rFonts w:hint="eastAsia" w:ascii="宋体" w:hAnsi="宋体"/>
          <w:b/>
          <w:color w:val="auto"/>
          <w:highlight w:val="none"/>
        </w:rPr>
      </w:pPr>
      <w:r>
        <w:rPr>
          <w:rFonts w:hint="eastAsia" w:ascii="宋体" w:hAnsi="宋体"/>
          <w:b/>
          <w:color w:val="auto"/>
          <w:highlight w:val="none"/>
        </w:rPr>
        <w:t>广东中采招标有限公司:</w:t>
      </w:r>
    </w:p>
    <w:p>
      <w:pPr>
        <w:spacing w:line="360" w:lineRule="auto"/>
        <w:ind w:left="315" w:leftChars="150" w:firstLine="420" w:firstLineChars="200"/>
        <w:rPr>
          <w:rFonts w:hint="eastAsia" w:ascii="宋体" w:hAnsi="宋体"/>
          <w:color w:val="auto"/>
          <w:highlight w:val="none"/>
        </w:rPr>
      </w:pPr>
      <w:r>
        <w:rPr>
          <w:rFonts w:hint="eastAsia" w:ascii="宋体" w:hAnsi="宋体"/>
          <w:color w:val="auto"/>
          <w:highlight w:val="none"/>
        </w:rPr>
        <w:t>本公司</w:t>
      </w:r>
      <w:r>
        <w:rPr>
          <w:rFonts w:hint="eastAsia" w:ascii="宋体" w:hAnsi="宋体"/>
          <w:color w:val="auto"/>
          <w:highlight w:val="none"/>
          <w:u w:val="single"/>
        </w:rPr>
        <w:t xml:space="preserve">       (投标人名称)        </w:t>
      </w:r>
      <w:r>
        <w:rPr>
          <w:rFonts w:hint="eastAsia" w:ascii="宋体" w:hAnsi="宋体"/>
          <w:color w:val="auto"/>
          <w:highlight w:val="none"/>
        </w:rPr>
        <w:t>在参加在贵公司举行的</w:t>
      </w:r>
      <w:r>
        <w:rPr>
          <w:rFonts w:hint="eastAsia" w:ascii="宋体" w:hAnsi="宋体"/>
          <w:color w:val="auto"/>
          <w:highlight w:val="none"/>
          <w:lang w:eastAsia="zh-CN"/>
        </w:rPr>
        <w:t>档案综合整理服务</w:t>
      </w:r>
      <w:r>
        <w:rPr>
          <w:rFonts w:hint="eastAsia" w:ascii="宋体" w:hAnsi="宋体"/>
          <w:color w:val="auto"/>
          <w:highlight w:val="none"/>
        </w:rPr>
        <w:t>项目(</w:t>
      </w:r>
      <w:r>
        <w:rPr>
          <w:rFonts w:hint="eastAsia"/>
          <w:color w:val="auto"/>
          <w:highlight w:val="none"/>
        </w:rPr>
        <w:t>项目编号：</w:t>
      </w:r>
      <w:r>
        <w:rPr>
          <w:rFonts w:hint="eastAsia" w:ascii="宋体" w:hAnsi="宋体"/>
          <w:color w:val="auto"/>
          <w:highlight w:val="none"/>
          <w:lang w:eastAsia="zh-CN"/>
        </w:rPr>
        <w:t>GDZC-18GZ057</w:t>
      </w:r>
      <w:r>
        <w:rPr>
          <w:rFonts w:hint="eastAsia" w:ascii="宋体" w:hAnsi="宋体"/>
          <w:color w:val="auto"/>
          <w:highlight w:val="none"/>
        </w:rPr>
        <w:t>)的招标中如获中标，我公司保证按照招标文件规定缴纳“招标代理服务费”后，凭领取人身份证复印件并加盖公章领取《中标通知书》。</w:t>
      </w:r>
    </w:p>
    <w:p>
      <w:pPr>
        <w:spacing w:line="360" w:lineRule="auto"/>
        <w:ind w:left="315" w:leftChars="150" w:firstLine="420" w:firstLineChars="200"/>
        <w:rPr>
          <w:rFonts w:hint="eastAsia" w:ascii="宋体" w:hAnsi="宋体"/>
          <w:color w:val="auto"/>
          <w:highlight w:val="none"/>
        </w:rPr>
      </w:pPr>
      <w:r>
        <w:rPr>
          <w:rFonts w:hint="eastAsia" w:ascii="宋体" w:hAnsi="宋体"/>
          <w:color w:val="auto"/>
          <w:highlight w:val="none"/>
        </w:rPr>
        <w:t>如我方违反上款承诺，愿凭贵公司开出的相关通知，同意广东中采招标有限公司办理支付手续，扣除我司提交的全部投标保证金，并愿承担全部由此引起的法律责任。</w:t>
      </w:r>
    </w:p>
    <w:p>
      <w:pPr>
        <w:spacing w:line="520" w:lineRule="exact"/>
        <w:ind w:left="315"/>
        <w:rPr>
          <w:rFonts w:hint="eastAsia" w:ascii="宋体" w:hAnsi="宋体"/>
          <w:color w:val="auto"/>
          <w:highlight w:val="none"/>
        </w:rPr>
      </w:pPr>
    </w:p>
    <w:p>
      <w:pPr>
        <w:spacing w:line="520" w:lineRule="exact"/>
        <w:ind w:firstLine="840" w:firstLineChars="400"/>
        <w:rPr>
          <w:rFonts w:hint="eastAsia" w:ascii="宋体" w:hAnsi="宋体"/>
          <w:color w:val="auto"/>
          <w:highlight w:val="none"/>
        </w:rPr>
      </w:pPr>
      <w:r>
        <w:rPr>
          <w:rFonts w:hint="eastAsia" w:ascii="宋体" w:hAnsi="宋体"/>
          <w:color w:val="auto"/>
          <w:highlight w:val="none"/>
        </w:rPr>
        <w:t>特此承诺!</w:t>
      </w:r>
    </w:p>
    <w:p>
      <w:pPr>
        <w:spacing w:line="520" w:lineRule="exact"/>
        <w:ind w:left="315"/>
        <w:rPr>
          <w:rFonts w:hint="eastAsia" w:ascii="宋体" w:hAnsi="宋体"/>
          <w:color w:val="auto"/>
          <w:highlight w:val="none"/>
        </w:rPr>
      </w:pPr>
    </w:p>
    <w:p>
      <w:pPr>
        <w:spacing w:line="520" w:lineRule="exact"/>
        <w:ind w:left="315"/>
        <w:rPr>
          <w:rFonts w:hint="eastAsia" w:ascii="宋体" w:hAnsi="宋体"/>
          <w:color w:val="auto"/>
          <w:highlight w:val="none"/>
        </w:rPr>
      </w:pPr>
      <w:r>
        <w:rPr>
          <w:rFonts w:hint="eastAsia" w:ascii="宋体" w:hAnsi="宋体"/>
          <w:color w:val="auto"/>
          <w:highlight w:val="none"/>
        </w:rPr>
        <w:t>投标人名称(盖公章):</w:t>
      </w:r>
    </w:p>
    <w:p>
      <w:pPr>
        <w:spacing w:line="520" w:lineRule="exact"/>
        <w:ind w:left="315"/>
        <w:rPr>
          <w:rFonts w:hint="eastAsia" w:ascii="宋体" w:hAnsi="宋体"/>
          <w:color w:val="auto"/>
          <w:highlight w:val="none"/>
        </w:rPr>
      </w:pPr>
      <w:r>
        <w:rPr>
          <w:rFonts w:hint="eastAsia" w:ascii="宋体" w:hAnsi="宋体"/>
          <w:color w:val="auto"/>
          <w:highlight w:val="none"/>
        </w:rPr>
        <w:t>投标人地址:</w:t>
      </w:r>
    </w:p>
    <w:p>
      <w:pPr>
        <w:spacing w:line="520" w:lineRule="exact"/>
        <w:ind w:left="315"/>
        <w:rPr>
          <w:rFonts w:hint="eastAsia" w:ascii="宋体" w:hAnsi="宋体"/>
          <w:color w:val="auto"/>
          <w:highlight w:val="none"/>
        </w:rPr>
      </w:pPr>
      <w:r>
        <w:rPr>
          <w:rFonts w:hint="eastAsia" w:ascii="宋体" w:hAnsi="宋体"/>
          <w:color w:val="auto"/>
          <w:highlight w:val="none"/>
        </w:rPr>
        <w:t>电话:</w:t>
      </w:r>
    </w:p>
    <w:p>
      <w:pPr>
        <w:spacing w:line="520" w:lineRule="exact"/>
        <w:ind w:left="315"/>
        <w:rPr>
          <w:rFonts w:hint="eastAsia" w:ascii="宋体" w:hAnsi="宋体"/>
          <w:color w:val="auto"/>
          <w:highlight w:val="none"/>
        </w:rPr>
      </w:pPr>
      <w:r>
        <w:rPr>
          <w:rFonts w:hint="eastAsia" w:ascii="宋体" w:hAnsi="宋体"/>
          <w:color w:val="auto"/>
          <w:highlight w:val="none"/>
        </w:rPr>
        <w:t>传真:</w:t>
      </w:r>
    </w:p>
    <w:p>
      <w:pPr>
        <w:spacing w:line="520" w:lineRule="exact"/>
        <w:ind w:left="315"/>
        <w:rPr>
          <w:rFonts w:hint="eastAsia" w:ascii="宋体" w:hAnsi="宋体"/>
          <w:color w:val="auto"/>
          <w:highlight w:val="none"/>
        </w:rPr>
      </w:pPr>
      <w:r>
        <w:rPr>
          <w:rFonts w:hint="eastAsia" w:ascii="宋体"/>
          <w:color w:val="auto"/>
          <w:highlight w:val="none"/>
        </w:rPr>
        <w:t>法定代表人或</w:t>
      </w:r>
      <w:r>
        <w:rPr>
          <w:rFonts w:hint="eastAsia" w:ascii="宋体" w:hAnsi="宋体"/>
          <w:color w:val="auto"/>
          <w:highlight w:val="none"/>
        </w:rPr>
        <w:t>投标人授权代表（签名或盖章）：</w:t>
      </w:r>
    </w:p>
    <w:p>
      <w:pPr>
        <w:spacing w:line="520" w:lineRule="exact"/>
        <w:ind w:left="315"/>
        <w:rPr>
          <w:rFonts w:hint="eastAsia" w:ascii="宋体" w:hAnsi="宋体"/>
          <w:color w:val="auto"/>
          <w:highlight w:val="none"/>
        </w:rPr>
      </w:pPr>
      <w:r>
        <w:rPr>
          <w:rFonts w:hint="eastAsia" w:ascii="宋体" w:hAnsi="宋体"/>
          <w:color w:val="auto"/>
          <w:highlight w:val="none"/>
        </w:rPr>
        <w:t>签署日期:</w:t>
      </w:r>
    </w:p>
    <w:p>
      <w:pPr>
        <w:spacing w:line="520" w:lineRule="exact"/>
        <w:ind w:left="315"/>
        <w:rPr>
          <w:rFonts w:hint="eastAsia" w:ascii="宋体" w:hAnsi="宋体"/>
          <w:color w:val="auto"/>
          <w:highlight w:val="none"/>
        </w:rPr>
      </w:pPr>
    </w:p>
    <w:p>
      <w:pPr>
        <w:numPr>
          <w:ilvl w:val="0"/>
          <w:numId w:val="0"/>
        </w:numPr>
        <w:spacing w:line="440" w:lineRule="exact"/>
        <w:ind w:leftChars="0"/>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numPr>
          <w:ilvl w:val="0"/>
          <w:numId w:val="57"/>
        </w:numPr>
        <w:spacing w:line="440" w:lineRule="exact"/>
        <w:rPr>
          <w:rFonts w:hint="eastAsia"/>
          <w:color w:val="auto"/>
          <w:highlight w:val="none"/>
        </w:rPr>
      </w:pPr>
    </w:p>
    <w:p>
      <w:pPr>
        <w:pStyle w:val="3"/>
        <w:adjustRightInd w:val="0"/>
        <w:snapToGrid w:val="0"/>
        <w:spacing w:before="156" w:beforeLines="50" w:after="156" w:afterLines="50" w:line="360" w:lineRule="auto"/>
        <w:jc w:val="center"/>
        <w:rPr>
          <w:rFonts w:hint="eastAsia" w:eastAsia="黑体"/>
          <w:b w:val="0"/>
          <w:color w:val="auto"/>
          <w:highlight w:val="none"/>
          <w:lang w:eastAsia="zh-CN"/>
        </w:rPr>
      </w:pPr>
      <w:r>
        <w:rPr>
          <w:rFonts w:hint="eastAsia"/>
          <w:b w:val="0"/>
          <w:color w:val="auto"/>
          <w:highlight w:val="none"/>
          <w:lang w:eastAsia="zh-CN"/>
        </w:rPr>
        <w:t>企业采购保证金退付委托书</w:t>
      </w:r>
    </w:p>
    <w:p>
      <w:pPr>
        <w:rPr>
          <w:rFonts w:ascii="宋体" w:hAnsi="宋体" w:eastAsia="宋体"/>
          <w:color w:val="auto"/>
          <w:sz w:val="28"/>
          <w:szCs w:val="28"/>
          <w:highlight w:val="none"/>
        </w:rPr>
      </w:pPr>
      <w:r>
        <w:rPr>
          <w:rFonts w:hint="eastAsia" w:ascii="宋体" w:hAnsi="宋体" w:eastAsia="宋体"/>
          <w:color w:val="auto"/>
          <w:sz w:val="28"/>
          <w:szCs w:val="28"/>
          <w:highlight w:val="none"/>
        </w:rPr>
        <w:t>佛山市南海公有资产流转服务有限公司：</w:t>
      </w:r>
    </w:p>
    <w:p>
      <w:pPr>
        <w:ind w:firstLine="560" w:firstLineChars="200"/>
        <w:rPr>
          <w:rFonts w:ascii="宋体" w:hAnsi="宋体" w:eastAsia="宋体"/>
          <w:color w:val="auto"/>
          <w:sz w:val="28"/>
          <w:szCs w:val="28"/>
          <w:highlight w:val="none"/>
        </w:rPr>
      </w:pPr>
      <w:r>
        <w:rPr>
          <w:rFonts w:hint="eastAsia" w:ascii="宋体" w:hAnsi="宋体" w:eastAsia="宋体"/>
          <w:color w:val="auto"/>
          <w:sz w:val="28"/>
          <w:szCs w:val="28"/>
          <w:highlight w:val="none"/>
        </w:rPr>
        <w:t>兹委托贵司将</w:t>
      </w:r>
      <w:r>
        <w:rPr>
          <w:rFonts w:hint="eastAsia" w:ascii="宋体" w:hAnsi="宋体"/>
          <w:color w:val="auto"/>
          <w:sz w:val="28"/>
          <w:szCs w:val="28"/>
          <w:highlight w:val="none"/>
          <w:lang w:eastAsia="zh-CN"/>
        </w:rPr>
        <w:t>招标人</w:t>
      </w:r>
      <w:r>
        <w:rPr>
          <w:rFonts w:hint="eastAsia" w:ascii="宋体" w:hAnsi="宋体" w:eastAsia="宋体"/>
          <w:color w:val="auto"/>
          <w:sz w:val="28"/>
          <w:szCs w:val="28"/>
          <w:highlight w:val="none"/>
        </w:rPr>
        <w:t>：</w:t>
      </w:r>
      <w:r>
        <w:rPr>
          <w:rFonts w:hint="eastAsia" w:ascii="宋体" w:hAnsi="宋体" w:eastAsia="宋体"/>
          <w:color w:val="auto"/>
          <w:sz w:val="28"/>
          <w:szCs w:val="28"/>
          <w:highlight w:val="none"/>
          <w:u w:val="single"/>
        </w:rPr>
        <w:t xml:space="preserve"> 佛山市南海区铁路投资有限公司 </w:t>
      </w:r>
      <w:r>
        <w:rPr>
          <w:rFonts w:hint="eastAsia" w:ascii="宋体" w:hAnsi="宋体" w:eastAsia="宋体"/>
          <w:color w:val="auto"/>
          <w:sz w:val="28"/>
          <w:szCs w:val="28"/>
          <w:highlight w:val="none"/>
        </w:rPr>
        <w:t>的企业采购项目“</w:t>
      </w:r>
      <w:r>
        <w:rPr>
          <w:rFonts w:hint="eastAsia" w:ascii="宋体" w:hAnsi="宋体" w:eastAsia="宋体"/>
          <w:color w:val="auto"/>
          <w:kern w:val="0"/>
          <w:sz w:val="28"/>
          <w:szCs w:val="28"/>
          <w:highlight w:val="none"/>
          <w:u w:val="single"/>
        </w:rPr>
        <w:t xml:space="preserve">  档案综合整理服务  </w:t>
      </w:r>
      <w:r>
        <w:rPr>
          <w:rFonts w:hint="eastAsia" w:ascii="宋体" w:hAnsi="宋体" w:eastAsia="宋体"/>
          <w:color w:val="auto"/>
          <w:sz w:val="28"/>
          <w:szCs w:val="28"/>
          <w:highlight w:val="none"/>
        </w:rPr>
        <w:t>”（项目编号：</w:t>
      </w:r>
      <w:r>
        <w:rPr>
          <w:rFonts w:hint="eastAsia" w:ascii="宋体" w:hAnsi="宋体" w:eastAsia="宋体"/>
          <w:color w:val="auto"/>
          <w:sz w:val="28"/>
          <w:szCs w:val="28"/>
          <w:highlight w:val="none"/>
          <w:u w:val="single"/>
        </w:rPr>
        <w:t xml:space="preserve"> GDZC-18GZ057 </w:t>
      </w:r>
      <w:r>
        <w:rPr>
          <w:rFonts w:hint="eastAsia" w:ascii="宋体" w:hAnsi="宋体" w:eastAsia="宋体"/>
          <w:color w:val="auto"/>
          <w:sz w:val="28"/>
          <w:szCs w:val="28"/>
          <w:highlight w:val="none"/>
        </w:rPr>
        <w:t>）</w:t>
      </w:r>
    </w:p>
    <w:p>
      <w:pPr>
        <w:rPr>
          <w:rFonts w:ascii="宋体" w:hAnsi="宋体" w:eastAsia="宋体"/>
          <w:color w:val="auto"/>
          <w:sz w:val="28"/>
          <w:szCs w:val="28"/>
          <w:highlight w:val="none"/>
        </w:rPr>
      </w:pPr>
      <w:r>
        <w:rPr>
          <w:rFonts w:hint="eastAsia" w:ascii="宋体" w:hAnsi="宋体" w:eastAsia="宋体"/>
          <w:color w:val="auto"/>
          <w:sz w:val="28"/>
          <w:szCs w:val="28"/>
          <w:highlight w:val="none"/>
        </w:rPr>
        <w:t>项目</w:t>
      </w:r>
      <w:r>
        <w:rPr>
          <w:rFonts w:hint="eastAsia" w:ascii="宋体" w:hAnsi="宋体" w:eastAsia="宋体"/>
          <w:color w:val="auto"/>
          <w:sz w:val="28"/>
          <w:szCs w:val="28"/>
          <w:highlight w:val="none"/>
          <w:u w:val="single"/>
        </w:rPr>
        <w:t>保证金</w:t>
      </w:r>
      <w:r>
        <w:rPr>
          <w:rFonts w:hint="eastAsia" w:ascii="宋体" w:hAnsi="宋体" w:eastAsia="宋体"/>
          <w:color w:val="auto"/>
          <w:sz w:val="28"/>
          <w:szCs w:val="28"/>
          <w:highlight w:val="none"/>
        </w:rPr>
        <w:t>：人民币大写:</w:t>
      </w:r>
      <w:r>
        <w:rPr>
          <w:rFonts w:hint="eastAsia" w:ascii="宋体" w:hAnsi="宋体" w:eastAsia="宋体"/>
          <w:color w:val="auto"/>
          <w:sz w:val="28"/>
          <w:szCs w:val="28"/>
          <w:highlight w:val="none"/>
          <w:u w:val="single"/>
        </w:rPr>
        <w:t xml:space="preserve"> 玖万柒仟玖佰壹拾陆元整 </w:t>
      </w:r>
      <w:r>
        <w:rPr>
          <w:rFonts w:hint="eastAsia" w:ascii="宋体" w:hAnsi="宋体" w:eastAsia="宋体"/>
          <w:color w:val="auto"/>
          <w:sz w:val="28"/>
          <w:szCs w:val="28"/>
          <w:highlight w:val="none"/>
        </w:rPr>
        <w:t>（小写：</w:t>
      </w:r>
      <w:r>
        <w:rPr>
          <w:rFonts w:hint="eastAsia" w:ascii="宋体" w:hAnsi="宋体" w:eastAsia="宋体"/>
          <w:color w:val="auto"/>
          <w:sz w:val="28"/>
          <w:szCs w:val="28"/>
          <w:highlight w:val="none"/>
          <w:u w:val="single"/>
        </w:rPr>
        <w:t>￥97,916.00</w:t>
      </w:r>
      <w:r>
        <w:rPr>
          <w:rFonts w:hint="eastAsia" w:ascii="宋体" w:hAnsi="宋体" w:eastAsia="宋体"/>
          <w:color w:val="auto"/>
          <w:sz w:val="28"/>
          <w:szCs w:val="28"/>
          <w:highlight w:val="none"/>
          <w:u w:val="single"/>
        </w:rPr>
        <w:t>元</w:t>
      </w:r>
      <w:r>
        <w:rPr>
          <w:rFonts w:hint="eastAsia" w:ascii="宋体" w:hAnsi="宋体" w:eastAsia="宋体"/>
          <w:color w:val="auto"/>
          <w:sz w:val="28"/>
          <w:szCs w:val="28"/>
          <w:highlight w:val="none"/>
        </w:rPr>
        <w:t>）退回以下帐户：</w:t>
      </w:r>
    </w:p>
    <w:p>
      <w:pPr>
        <w:rPr>
          <w:rFonts w:ascii="宋体" w:hAnsi="宋体" w:eastAsia="宋体"/>
          <w:color w:val="auto"/>
          <w:sz w:val="28"/>
          <w:szCs w:val="28"/>
          <w:highlight w:val="none"/>
          <w:u w:val="single"/>
        </w:rPr>
      </w:pPr>
      <w:r>
        <w:rPr>
          <w:rFonts w:hint="eastAsia" w:ascii="宋体" w:hAnsi="宋体" w:eastAsia="宋体"/>
          <w:color w:val="auto"/>
          <w:sz w:val="28"/>
          <w:szCs w:val="28"/>
          <w:highlight w:val="none"/>
        </w:rPr>
        <w:t xml:space="preserve">户名： </w:t>
      </w:r>
      <w:r>
        <w:rPr>
          <w:rFonts w:hint="eastAsia" w:ascii="宋体" w:hAnsi="宋体" w:eastAsia="宋体"/>
          <w:color w:val="auto"/>
          <w:sz w:val="28"/>
          <w:szCs w:val="28"/>
          <w:highlight w:val="none"/>
          <w:u w:val="single"/>
        </w:rPr>
        <w:t xml:space="preserve">                     （与缴款人或者单位一致）</w:t>
      </w:r>
    </w:p>
    <w:p>
      <w:pPr>
        <w:rPr>
          <w:rFonts w:ascii="宋体" w:hAnsi="宋体" w:eastAsia="宋体"/>
          <w:color w:val="auto"/>
          <w:sz w:val="28"/>
          <w:szCs w:val="28"/>
          <w:highlight w:val="none"/>
          <w:u w:val="single"/>
        </w:rPr>
      </w:pPr>
      <w:r>
        <w:rPr>
          <w:rFonts w:hint="eastAsia" w:ascii="宋体" w:hAnsi="宋体" w:eastAsia="宋体"/>
          <w:color w:val="auto"/>
          <w:sz w:val="28"/>
          <w:szCs w:val="28"/>
          <w:highlight w:val="none"/>
        </w:rPr>
        <w:t xml:space="preserve">账号： </w:t>
      </w:r>
      <w:r>
        <w:rPr>
          <w:rFonts w:hint="eastAsia" w:ascii="宋体" w:hAnsi="宋体" w:eastAsia="宋体"/>
          <w:color w:val="auto"/>
          <w:sz w:val="28"/>
          <w:szCs w:val="28"/>
          <w:highlight w:val="none"/>
          <w:u w:val="single"/>
        </w:rPr>
        <w:t xml:space="preserve">                                             </w:t>
      </w:r>
    </w:p>
    <w:p>
      <w:pPr>
        <w:rPr>
          <w:rFonts w:ascii="宋体" w:hAnsi="宋体" w:eastAsia="宋体"/>
          <w:color w:val="auto"/>
          <w:sz w:val="28"/>
          <w:szCs w:val="28"/>
          <w:highlight w:val="none"/>
          <w:u w:val="single"/>
        </w:rPr>
      </w:pPr>
      <w:r>
        <w:rPr>
          <w:rFonts w:hint="eastAsia" w:ascii="宋体" w:hAnsi="宋体" w:eastAsia="宋体"/>
          <w:color w:val="auto"/>
          <w:sz w:val="28"/>
          <w:szCs w:val="28"/>
          <w:highlight w:val="none"/>
        </w:rPr>
        <w:t>开户银行：</w:t>
      </w:r>
      <w:r>
        <w:rPr>
          <w:rFonts w:hint="eastAsia" w:ascii="宋体" w:hAnsi="宋体" w:eastAsia="宋体"/>
          <w:color w:val="auto"/>
          <w:sz w:val="28"/>
          <w:szCs w:val="28"/>
          <w:highlight w:val="none"/>
          <w:u w:val="single"/>
        </w:rPr>
        <w:t xml:space="preserve">                                          </w:t>
      </w:r>
    </w:p>
    <w:p>
      <w:pPr>
        <w:rPr>
          <w:rFonts w:ascii="宋体" w:hAnsi="宋体" w:eastAsia="宋体"/>
          <w:color w:val="auto"/>
          <w:sz w:val="28"/>
          <w:szCs w:val="28"/>
          <w:highlight w:val="none"/>
          <w:u w:val="single"/>
        </w:rPr>
      </w:pPr>
      <w:r>
        <w:rPr>
          <w:rFonts w:hint="eastAsia" w:ascii="宋体" w:hAnsi="宋体" w:eastAsia="宋体"/>
          <w:color w:val="auto"/>
          <w:sz w:val="28"/>
          <w:szCs w:val="28"/>
          <w:highlight w:val="none"/>
        </w:rPr>
        <w:t>联系方式：</w:t>
      </w:r>
      <w:r>
        <w:rPr>
          <w:rFonts w:hint="eastAsia" w:ascii="宋体" w:hAnsi="宋体" w:eastAsia="宋体"/>
          <w:color w:val="auto"/>
          <w:sz w:val="28"/>
          <w:szCs w:val="28"/>
          <w:highlight w:val="none"/>
          <w:u w:val="single"/>
        </w:rPr>
        <w:t xml:space="preserve">                                          </w:t>
      </w:r>
    </w:p>
    <w:p>
      <w:pPr>
        <w:ind w:firstLine="560" w:firstLineChars="200"/>
        <w:rPr>
          <w:rFonts w:ascii="宋体" w:hAnsi="宋体" w:eastAsia="宋体"/>
          <w:color w:val="auto"/>
          <w:sz w:val="28"/>
          <w:szCs w:val="28"/>
          <w:highlight w:val="none"/>
        </w:rPr>
      </w:pPr>
      <w:r>
        <w:rPr>
          <w:rFonts w:hint="eastAsia" w:ascii="宋体" w:hAnsi="宋体" w:eastAsia="宋体"/>
          <w:color w:val="auto"/>
          <w:sz w:val="28"/>
          <w:szCs w:val="28"/>
          <w:highlight w:val="none"/>
        </w:rPr>
        <w:t>此委托退款账号及户名经本人（单位）核对无误，如有差异导致款项错退，本（单位）人承担其经济责任。</w:t>
      </w:r>
    </w:p>
    <w:p>
      <w:pPr>
        <w:ind w:firstLine="560" w:firstLineChars="200"/>
        <w:rPr>
          <w:rFonts w:ascii="宋体" w:hAnsi="宋体" w:eastAsia="宋体"/>
          <w:color w:val="auto"/>
          <w:sz w:val="28"/>
          <w:szCs w:val="28"/>
          <w:highlight w:val="none"/>
        </w:rPr>
      </w:pPr>
      <w:r>
        <w:rPr>
          <w:rFonts w:hint="eastAsia" w:ascii="宋体" w:hAnsi="宋体" w:eastAsia="宋体"/>
          <w:color w:val="auto"/>
          <w:sz w:val="28"/>
          <w:szCs w:val="28"/>
          <w:highlight w:val="none"/>
        </w:rPr>
        <w:t>特此委托</w:t>
      </w:r>
    </w:p>
    <w:p>
      <w:pPr>
        <w:rPr>
          <w:rFonts w:ascii="宋体" w:hAnsi="宋体" w:eastAsia="宋体"/>
          <w:color w:val="auto"/>
          <w:sz w:val="28"/>
          <w:szCs w:val="28"/>
          <w:highlight w:val="none"/>
        </w:rPr>
      </w:pPr>
      <w:r>
        <w:rPr>
          <w:rFonts w:hint="eastAsia" w:ascii="宋体" w:hAnsi="宋体" w:eastAsia="宋体"/>
          <w:color w:val="auto"/>
          <w:sz w:val="28"/>
          <w:szCs w:val="28"/>
          <w:highlight w:val="none"/>
        </w:rPr>
        <w:t xml:space="preserve">                                        </w:t>
      </w:r>
    </w:p>
    <w:p>
      <w:pPr>
        <w:ind w:right="560" w:firstLine="3500" w:firstLineChars="1250"/>
        <w:rPr>
          <w:rFonts w:ascii="宋体" w:hAnsi="宋体" w:eastAsia="宋体"/>
          <w:color w:val="auto"/>
          <w:sz w:val="28"/>
          <w:szCs w:val="28"/>
          <w:highlight w:val="none"/>
        </w:rPr>
      </w:pPr>
      <w:r>
        <w:rPr>
          <w:rFonts w:hint="eastAsia" w:ascii="宋体" w:hAnsi="宋体" w:eastAsia="宋体"/>
          <w:color w:val="auto"/>
          <w:sz w:val="28"/>
          <w:szCs w:val="28"/>
          <w:highlight w:val="none"/>
        </w:rPr>
        <w:t>单位（单位盖章）：</w:t>
      </w:r>
    </w:p>
    <w:p>
      <w:pPr>
        <w:ind w:right="560" w:firstLine="3640" w:firstLineChars="1300"/>
        <w:rPr>
          <w:rFonts w:ascii="宋体" w:hAnsi="宋体" w:eastAsia="宋体"/>
          <w:color w:val="auto"/>
          <w:sz w:val="28"/>
          <w:szCs w:val="28"/>
          <w:highlight w:val="none"/>
        </w:rPr>
      </w:pPr>
      <w:r>
        <w:rPr>
          <w:rFonts w:hint="eastAsia" w:ascii="宋体" w:hAnsi="宋体" w:eastAsia="宋体"/>
          <w:color w:val="auto"/>
          <w:sz w:val="28"/>
          <w:szCs w:val="28"/>
          <w:highlight w:val="none"/>
        </w:rPr>
        <w:t xml:space="preserve">   </w:t>
      </w:r>
    </w:p>
    <w:p>
      <w:pPr>
        <w:rPr>
          <w:rFonts w:ascii="宋体" w:hAnsi="宋体" w:eastAsia="宋体"/>
          <w:color w:val="auto"/>
          <w:sz w:val="28"/>
          <w:szCs w:val="28"/>
          <w:highlight w:val="none"/>
        </w:rPr>
      </w:pPr>
      <w:r>
        <w:rPr>
          <w:rFonts w:hint="eastAsia" w:ascii="宋体" w:hAnsi="宋体" w:eastAsia="宋体"/>
          <w:color w:val="auto"/>
          <w:sz w:val="28"/>
          <w:szCs w:val="28"/>
          <w:highlight w:val="none"/>
        </w:rPr>
        <w:t xml:space="preserve">                                年     月     日</w:t>
      </w:r>
    </w:p>
    <w:p>
      <w:pPr>
        <w:spacing w:line="440" w:lineRule="exact"/>
        <w:rPr>
          <w:rFonts w:hint="eastAsia"/>
          <w:color w:val="auto"/>
          <w:highlight w:val="none"/>
        </w:rPr>
      </w:pPr>
    </w:p>
    <w:p>
      <w:pPr>
        <w:rPr>
          <w:rFonts w:hint="eastAsia" w:ascii="宋体" w:hAnsi="宋体" w:eastAsia="宋体" w:cs="宋体"/>
          <w:color w:val="auto"/>
          <w:sz w:val="21"/>
          <w:szCs w:val="21"/>
          <w:highlight w:val="none"/>
        </w:rPr>
      </w:pPr>
    </w:p>
    <w:sectPr>
      <w:pgSz w:w="11906" w:h="16838"/>
      <w:pgMar w:top="1440" w:right="1286"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r>
      <w:rPr>
        <w:rFonts w:hint="eastAsia"/>
      </w:rPr>
      <w:t>第</w:t>
    </w:r>
    <w:r>
      <w:fldChar w:fldCharType="begin"/>
    </w:r>
    <w:r>
      <w:rPr>
        <w:rStyle w:val="15"/>
      </w:rPr>
      <w:instrText xml:space="preserve"> PAGE </w:instrText>
    </w:r>
    <w:r>
      <w:fldChar w:fldCharType="separate"/>
    </w:r>
    <w:r>
      <w:rPr>
        <w:rStyle w:val="15"/>
      </w:rPr>
      <w:t>8</w:t>
    </w:r>
    <w:r>
      <w:fldChar w:fldCharType="end"/>
    </w:r>
    <w:r>
      <w:rPr>
        <w:rStyle w:val="15"/>
        <w:rFonts w:hint="eastAsia"/>
      </w:rPr>
      <w:t>页，共</w:t>
    </w:r>
    <w:r>
      <w:rPr>
        <w:rStyle w:val="15"/>
        <w:rFonts w:hint="eastAsia"/>
        <w:lang w:val="en-US" w:eastAsia="zh-CN"/>
      </w:rPr>
      <w:t>91</w:t>
    </w:r>
    <w:r>
      <w:rPr>
        <w:rStyle w:val="15"/>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r>
      <w:rPr>
        <w:rFonts w:hint="eastAsia"/>
      </w:rPr>
      <w:t>第</w:t>
    </w:r>
    <w:r>
      <w:fldChar w:fldCharType="begin"/>
    </w:r>
    <w:r>
      <w:rPr>
        <w:rStyle w:val="15"/>
      </w:rPr>
      <w:instrText xml:space="preserve"> PAGE </w:instrText>
    </w:r>
    <w:r>
      <w:fldChar w:fldCharType="separate"/>
    </w:r>
    <w:r>
      <w:rPr>
        <w:rStyle w:val="15"/>
      </w:rPr>
      <w:t>8</w:t>
    </w:r>
    <w:r>
      <w:fldChar w:fldCharType="end"/>
    </w:r>
    <w:r>
      <w:rPr>
        <w:rStyle w:val="15"/>
        <w:rFonts w:hint="eastAsia"/>
      </w:rPr>
      <w:t>页，共</w:t>
    </w:r>
    <w:r>
      <w:rPr>
        <w:rStyle w:val="15"/>
        <w:rFonts w:hint="eastAsia"/>
        <w:lang w:val="en-US" w:eastAsia="zh-CN"/>
      </w:rPr>
      <w:t>90</w:t>
    </w:r>
    <w:r>
      <w:rPr>
        <w:rStyle w:val="15"/>
        <w:rFonts w:hint="eastAsia"/>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t>http://www.chinapsp.cn/                  第</w:t>
    </w:r>
    <w:r>
      <w:fldChar w:fldCharType="begin"/>
    </w:r>
    <w:r>
      <w:rPr>
        <w:rStyle w:val="15"/>
      </w:rPr>
      <w:instrText xml:space="preserve"> PAGE </w:instrText>
    </w:r>
    <w:r>
      <w:fldChar w:fldCharType="separate"/>
    </w:r>
    <w:r>
      <w:rPr>
        <w:rStyle w:val="15"/>
      </w:rPr>
      <w:t>1</w:t>
    </w:r>
    <w:r>
      <w:fldChar w:fldCharType="end"/>
    </w:r>
    <w:r>
      <w:rPr>
        <w:rStyle w:val="15"/>
        <w:rFonts w:hint="eastAsia"/>
      </w:rPr>
      <w:t>页，共103页</w:t>
    </w:r>
    <w:r>
      <w:rPr>
        <w:rFonts w:hint="eastAsia"/>
      </w:rPr>
      <w:t xml:space="preserve">                    广东中采招标有限公司</w: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hint="eastAsia" w:ascii="宋体" w:hAnsi="宋体"/>
        <w:szCs w:val="20"/>
      </w:rPr>
    </w:pPr>
    <w:r>
      <w:rPr>
        <w:rFonts w:ascii="宋体" w:hAnsi="宋体" w:cs="宋体"/>
        <w:kern w:val="0"/>
        <w:sz w:val="24"/>
      </w:rPr>
      <w:fldChar w:fldCharType="begin"/>
    </w:r>
    <w:r>
      <w:instrText xml:space="preserve"> INCLUDEPICTURE "D:\\222★\\项目\\Local%20Settings\\Temp\\AppData\\Roaming\\Tencent\\Users\\366968177\\QQ\\WinTemp\\RichOle\\%7b9KYQQ%7dGOZ1%7b%5d~8T6VE%5d_3Y.png" \* MERGEFORMAT </w:instrText>
    </w:r>
    <w:r>
      <w:rPr>
        <w:rFonts w:ascii="宋体" w:hAnsi="宋体" w:cs="宋体"/>
        <w:kern w:val="0"/>
        <w:sz w:val="24"/>
      </w:rPr>
      <w:fldChar w:fldCharType="separate"/>
    </w:r>
    <w:r>
      <w:rPr>
        <w:rFonts w:ascii="宋体" w:hAnsi="宋体" w:cs="宋体"/>
        <w:kern w:val="0"/>
        <w:sz w:val="24"/>
      </w:rPr>
      <w:drawing>
        <wp:inline distT="0" distB="0" distL="114300" distR="114300">
          <wp:extent cx="457835" cy="411480"/>
          <wp:effectExtent l="0" t="0" r="18415" b="7620"/>
          <wp:docPr id="4" name="图片 2" descr="{9KYQQ}GOZ1{]~8T6VE]_3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9KYQQ}GOZ1{]~8T6VE]_3Y"/>
                  <pic:cNvPicPr>
                    <a:picLocks noChangeAspect="1"/>
                  </pic:cNvPicPr>
                </pic:nvPicPr>
                <pic:blipFill>
                  <a:blip r:embed="rId1"/>
                  <a:stretch>
                    <a:fillRect/>
                  </a:stretch>
                </pic:blipFill>
                <pic:spPr>
                  <a:xfrm>
                    <a:off x="0" y="0"/>
                    <a:ext cx="457835" cy="411480"/>
                  </a:xfrm>
                  <a:prstGeom prst="rect">
                    <a:avLst/>
                  </a:prstGeom>
                  <a:noFill/>
                  <a:ln w="9525">
                    <a:noFill/>
                  </a:ln>
                </pic:spPr>
              </pic:pic>
            </a:graphicData>
          </a:graphic>
        </wp:inline>
      </w:drawing>
    </w:r>
    <w:r>
      <w:rPr>
        <w:rFonts w:ascii="宋体" w:hAnsi="宋体" w:cs="宋体"/>
        <w:kern w:val="0"/>
        <w:sz w:val="24"/>
      </w:rPr>
      <w:fldChar w:fldCharType="end"/>
    </w:r>
    <w:r>
      <w:rPr>
        <w:rFonts w:hint="eastAsia" w:ascii="宋体" w:hAnsi="宋体"/>
      </w:rPr>
      <w:t xml:space="preserve">               </w:t>
    </w:r>
    <w:r>
      <w:rPr>
        <w:rFonts w:ascii="宋体" w:hAnsi="宋体"/>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0A9D7B"/>
    <w:multiLevelType w:val="singleLevel"/>
    <w:tmpl w:val="9F0A9D7B"/>
    <w:lvl w:ilvl="0" w:tentative="0">
      <w:start w:val="1"/>
      <w:numFmt w:val="decimal"/>
      <w:lvlText w:val="%1."/>
      <w:lvlJc w:val="left"/>
      <w:pPr>
        <w:ind w:left="425" w:hanging="425"/>
      </w:pPr>
      <w:rPr>
        <w:rFonts w:hint="default"/>
      </w:rPr>
    </w:lvl>
  </w:abstractNum>
  <w:abstractNum w:abstractNumId="1">
    <w:nsid w:val="A7BEAE6A"/>
    <w:multiLevelType w:val="singleLevel"/>
    <w:tmpl w:val="A7BEAE6A"/>
    <w:lvl w:ilvl="0" w:tentative="0">
      <w:start w:val="1"/>
      <w:numFmt w:val="decimalEnclosedCircleChinese"/>
      <w:suff w:val="nothing"/>
      <w:lvlText w:val="%1　"/>
      <w:lvlJc w:val="left"/>
      <w:pPr>
        <w:ind w:left="0" w:firstLine="400"/>
      </w:pPr>
      <w:rPr>
        <w:rFonts w:hint="eastAsia"/>
      </w:rPr>
    </w:lvl>
  </w:abstractNum>
  <w:abstractNum w:abstractNumId="2">
    <w:nsid w:val="B7CD1C22"/>
    <w:multiLevelType w:val="singleLevel"/>
    <w:tmpl w:val="B7CD1C22"/>
    <w:lvl w:ilvl="0" w:tentative="0">
      <w:start w:val="1"/>
      <w:numFmt w:val="decimal"/>
      <w:lvlText w:val="%1."/>
      <w:lvlJc w:val="left"/>
      <w:pPr>
        <w:ind w:left="425" w:hanging="425"/>
      </w:pPr>
      <w:rPr>
        <w:rFonts w:hint="default"/>
      </w:rPr>
    </w:lvl>
  </w:abstractNum>
  <w:abstractNum w:abstractNumId="3">
    <w:nsid w:val="D1CD8EAC"/>
    <w:multiLevelType w:val="singleLevel"/>
    <w:tmpl w:val="D1CD8EAC"/>
    <w:lvl w:ilvl="0" w:tentative="0">
      <w:start w:val="1"/>
      <w:numFmt w:val="decimal"/>
      <w:lvlText w:val="%1."/>
      <w:lvlJc w:val="left"/>
      <w:pPr>
        <w:ind w:left="425" w:hanging="425"/>
      </w:pPr>
      <w:rPr>
        <w:rFonts w:hint="default"/>
      </w:rPr>
    </w:lvl>
  </w:abstractNum>
  <w:abstractNum w:abstractNumId="4">
    <w:nsid w:val="E109717D"/>
    <w:multiLevelType w:val="singleLevel"/>
    <w:tmpl w:val="E109717D"/>
    <w:lvl w:ilvl="0" w:tentative="0">
      <w:start w:val="1"/>
      <w:numFmt w:val="decimal"/>
      <w:lvlText w:val="%1."/>
      <w:lvlJc w:val="left"/>
      <w:pPr>
        <w:ind w:left="425" w:hanging="425"/>
      </w:pPr>
      <w:rPr>
        <w:rFonts w:hint="default"/>
      </w:rPr>
    </w:lvl>
  </w:abstractNum>
  <w:abstractNum w:abstractNumId="5">
    <w:nsid w:val="FA7BDB68"/>
    <w:multiLevelType w:val="singleLevel"/>
    <w:tmpl w:val="FA7BDB68"/>
    <w:lvl w:ilvl="0" w:tentative="0">
      <w:start w:val="1"/>
      <w:numFmt w:val="decimal"/>
      <w:lvlText w:val="%1."/>
      <w:lvlJc w:val="left"/>
      <w:pPr>
        <w:ind w:left="425" w:hanging="425"/>
      </w:pPr>
      <w:rPr>
        <w:rFonts w:hint="default"/>
      </w:rPr>
    </w:lvl>
  </w:abstractNum>
  <w:abstractNum w:abstractNumId="6">
    <w:nsid w:val="FD99ED72"/>
    <w:multiLevelType w:val="singleLevel"/>
    <w:tmpl w:val="FD99ED72"/>
    <w:lvl w:ilvl="0" w:tentative="0">
      <w:start w:val="1"/>
      <w:numFmt w:val="decimal"/>
      <w:lvlText w:val="%1."/>
      <w:lvlJc w:val="left"/>
      <w:pPr>
        <w:ind w:left="425" w:hanging="425"/>
      </w:pPr>
      <w:rPr>
        <w:rFonts w:hint="default"/>
      </w:rPr>
    </w:lvl>
  </w:abstractNum>
  <w:abstractNum w:abstractNumId="7">
    <w:nsid w:val="00000005"/>
    <w:multiLevelType w:val="multilevel"/>
    <w:tmpl w:val="0000000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C"/>
    <w:multiLevelType w:val="multilevel"/>
    <w:tmpl w:val="0000000C"/>
    <w:lvl w:ilvl="0" w:tentative="0">
      <w:start w:val="1"/>
      <w:numFmt w:val="decimal"/>
      <w:lvlText w:val="%1."/>
      <w:lvlJc w:val="left"/>
      <w:pPr>
        <w:tabs>
          <w:tab w:val="left" w:pos="425"/>
        </w:tabs>
        <w:ind w:left="425" w:hanging="425"/>
      </w:pPr>
      <w:rPr>
        <w:rFonts w:ascii="宋体" w:hAnsi="宋体" w:eastAsia="宋体"/>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9">
    <w:nsid w:val="0000000D"/>
    <w:multiLevelType w:val="multilevel"/>
    <w:tmpl w:val="0000000D"/>
    <w:lvl w:ilvl="0" w:tentative="0">
      <w:start w:val="1"/>
      <w:numFmt w:val="decimal"/>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b w:val="0"/>
        <w:dstrike w:val="0"/>
        <w:color w:val="auto"/>
      </w:rPr>
    </w:lvl>
    <w:lvl w:ilvl="2" w:tentative="0">
      <w:start w:val="1"/>
      <w:numFmt w:val="decimal"/>
      <w:lvlText w:val="%1.%2.%3."/>
      <w:lvlJc w:val="left"/>
      <w:pPr>
        <w:tabs>
          <w:tab w:val="left" w:pos="1135"/>
        </w:tabs>
        <w:ind w:left="1135" w:hanging="567"/>
      </w:pPr>
      <w:rPr>
        <w:rFonts w:hint="eastAsia" w:ascii="宋体" w:hAnsi="宋体" w:eastAsia="宋体"/>
        <w:color w:val="000000"/>
        <w:sz w:val="21"/>
        <w:szCs w:val="21"/>
      </w:rPr>
    </w:lvl>
    <w:lvl w:ilvl="3" w:tentative="0">
      <w:start w:val="1"/>
      <w:numFmt w:val="decimal"/>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05996981"/>
    <w:multiLevelType w:val="multilevel"/>
    <w:tmpl w:val="0599698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7EA953B"/>
    <w:multiLevelType w:val="singleLevel"/>
    <w:tmpl w:val="07EA953B"/>
    <w:lvl w:ilvl="0" w:tentative="0">
      <w:start w:val="1"/>
      <w:numFmt w:val="decimal"/>
      <w:lvlText w:val="%1."/>
      <w:lvlJc w:val="left"/>
      <w:pPr>
        <w:ind w:left="425" w:hanging="425"/>
      </w:pPr>
      <w:rPr>
        <w:rFonts w:hint="default"/>
      </w:rPr>
    </w:lvl>
  </w:abstractNum>
  <w:abstractNum w:abstractNumId="12">
    <w:nsid w:val="0B997112"/>
    <w:multiLevelType w:val="singleLevel"/>
    <w:tmpl w:val="0B997112"/>
    <w:lvl w:ilvl="0" w:tentative="0">
      <w:start w:val="1"/>
      <w:numFmt w:val="decimal"/>
      <w:lvlText w:val="%1."/>
      <w:lvlJc w:val="left"/>
      <w:pPr>
        <w:ind w:left="425" w:hanging="425"/>
      </w:pPr>
      <w:rPr>
        <w:rFonts w:hint="default"/>
      </w:rPr>
    </w:lvl>
  </w:abstractNum>
  <w:abstractNum w:abstractNumId="13">
    <w:nsid w:val="10606577"/>
    <w:multiLevelType w:val="multilevel"/>
    <w:tmpl w:val="10606577"/>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0D58C68"/>
    <w:multiLevelType w:val="singleLevel"/>
    <w:tmpl w:val="10D58C68"/>
    <w:lvl w:ilvl="0" w:tentative="0">
      <w:start w:val="1"/>
      <w:numFmt w:val="decimal"/>
      <w:lvlText w:val="%1."/>
      <w:lvlJc w:val="left"/>
      <w:pPr>
        <w:ind w:left="425" w:hanging="425"/>
      </w:pPr>
      <w:rPr>
        <w:rFonts w:hint="default"/>
      </w:rPr>
    </w:lvl>
  </w:abstractNum>
  <w:abstractNum w:abstractNumId="15">
    <w:nsid w:val="11CC7BE7"/>
    <w:multiLevelType w:val="multilevel"/>
    <w:tmpl w:val="11CC7BE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B036568"/>
    <w:multiLevelType w:val="multilevel"/>
    <w:tmpl w:val="1B036568"/>
    <w:lvl w:ilvl="0" w:tentative="0">
      <w:start w:val="1"/>
      <w:numFmt w:val="decimal"/>
      <w:lvlText w:val="%1."/>
      <w:lvlJc w:val="left"/>
      <w:pPr>
        <w:tabs>
          <w:tab w:val="left" w:pos="420"/>
        </w:tabs>
        <w:ind w:left="420" w:hanging="420"/>
      </w:pPr>
      <w:rPr>
        <w:rFonts w:hint="eastAsia" w:ascii="宋体" w:hAnsi="宋体" w:eastAsia="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23B46FC0"/>
    <w:multiLevelType w:val="multilevel"/>
    <w:tmpl w:val="23B46FC0"/>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0"/>
        </w:tabs>
        <w:ind w:left="0" w:hanging="420"/>
      </w:pPr>
    </w:lvl>
    <w:lvl w:ilvl="3" w:tentative="0">
      <w:start w:val="1"/>
      <w:numFmt w:val="decimal"/>
      <w:lvlText w:val="%4."/>
      <w:lvlJc w:val="left"/>
      <w:pPr>
        <w:tabs>
          <w:tab w:val="left" w:pos="420"/>
        </w:tabs>
        <w:ind w:left="420" w:hanging="420"/>
      </w:pPr>
    </w:lvl>
    <w:lvl w:ilvl="4" w:tentative="0">
      <w:start w:val="1"/>
      <w:numFmt w:val="lowerLetter"/>
      <w:lvlText w:val="%5)"/>
      <w:lvlJc w:val="left"/>
      <w:pPr>
        <w:tabs>
          <w:tab w:val="left" w:pos="840"/>
        </w:tabs>
        <w:ind w:left="840" w:hanging="420"/>
      </w:pPr>
    </w:lvl>
    <w:lvl w:ilvl="5" w:tentative="0">
      <w:start w:val="1"/>
      <w:numFmt w:val="lowerRoman"/>
      <w:lvlText w:val="%6."/>
      <w:lvlJc w:val="right"/>
      <w:pPr>
        <w:tabs>
          <w:tab w:val="left" w:pos="1260"/>
        </w:tabs>
        <w:ind w:left="1260" w:hanging="420"/>
      </w:pPr>
    </w:lvl>
    <w:lvl w:ilvl="6" w:tentative="0">
      <w:start w:val="1"/>
      <w:numFmt w:val="decimal"/>
      <w:lvlText w:val="%7."/>
      <w:lvlJc w:val="left"/>
      <w:pPr>
        <w:tabs>
          <w:tab w:val="left" w:pos="1680"/>
        </w:tabs>
        <w:ind w:left="1680" w:hanging="420"/>
      </w:pPr>
    </w:lvl>
    <w:lvl w:ilvl="7" w:tentative="0">
      <w:start w:val="1"/>
      <w:numFmt w:val="lowerLetter"/>
      <w:lvlText w:val="%8)"/>
      <w:lvlJc w:val="left"/>
      <w:pPr>
        <w:tabs>
          <w:tab w:val="left" w:pos="2100"/>
        </w:tabs>
        <w:ind w:left="2100" w:hanging="420"/>
      </w:pPr>
    </w:lvl>
    <w:lvl w:ilvl="8" w:tentative="0">
      <w:start w:val="1"/>
      <w:numFmt w:val="lowerRoman"/>
      <w:lvlText w:val="%9."/>
      <w:lvlJc w:val="right"/>
      <w:pPr>
        <w:tabs>
          <w:tab w:val="left" w:pos="2520"/>
        </w:tabs>
        <w:ind w:left="2520" w:hanging="420"/>
      </w:pPr>
    </w:lvl>
  </w:abstractNum>
  <w:abstractNum w:abstractNumId="18">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24A61ACD"/>
    <w:multiLevelType w:val="multilevel"/>
    <w:tmpl w:val="24A61ACD"/>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25AC778E"/>
    <w:multiLevelType w:val="multilevel"/>
    <w:tmpl w:val="25AC778E"/>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279E1E93"/>
    <w:multiLevelType w:val="multilevel"/>
    <w:tmpl w:val="279E1E93"/>
    <w:lvl w:ilvl="0" w:tentative="0">
      <w:start w:val="1"/>
      <w:numFmt w:val="decimal"/>
      <w:lvlText w:val="%1."/>
      <w:lvlJc w:val="left"/>
      <w:pPr>
        <w:tabs>
          <w:tab w:val="left" w:pos="425"/>
        </w:tabs>
        <w:ind w:left="425" w:hanging="425"/>
      </w:pPr>
      <w:rPr>
        <w:b w:val="0"/>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2">
    <w:nsid w:val="30C32AA7"/>
    <w:multiLevelType w:val="singleLevel"/>
    <w:tmpl w:val="30C32AA7"/>
    <w:lvl w:ilvl="0" w:tentative="0">
      <w:start w:val="1"/>
      <w:numFmt w:val="decimal"/>
      <w:lvlText w:val="%1."/>
      <w:lvlJc w:val="left"/>
      <w:pPr>
        <w:ind w:left="425" w:hanging="425"/>
      </w:pPr>
      <w:rPr>
        <w:rFonts w:hint="default"/>
      </w:rPr>
    </w:lvl>
  </w:abstractNum>
  <w:abstractNum w:abstractNumId="23">
    <w:nsid w:val="3410B5C6"/>
    <w:multiLevelType w:val="singleLevel"/>
    <w:tmpl w:val="3410B5C6"/>
    <w:lvl w:ilvl="0" w:tentative="0">
      <w:start w:val="1"/>
      <w:numFmt w:val="decimal"/>
      <w:lvlText w:val="%1."/>
      <w:lvlJc w:val="left"/>
      <w:pPr>
        <w:ind w:left="425" w:hanging="425"/>
      </w:pPr>
      <w:rPr>
        <w:rFonts w:hint="default"/>
      </w:rPr>
    </w:lvl>
  </w:abstractNum>
  <w:abstractNum w:abstractNumId="24">
    <w:nsid w:val="3614E0CC"/>
    <w:multiLevelType w:val="singleLevel"/>
    <w:tmpl w:val="3614E0CC"/>
    <w:lvl w:ilvl="0" w:tentative="0">
      <w:start w:val="1"/>
      <w:numFmt w:val="decimal"/>
      <w:lvlText w:val="%1."/>
      <w:lvlJc w:val="left"/>
      <w:pPr>
        <w:ind w:left="425" w:hanging="425"/>
      </w:pPr>
      <w:rPr>
        <w:rFonts w:hint="default"/>
      </w:rPr>
    </w:lvl>
  </w:abstractNum>
  <w:abstractNum w:abstractNumId="25">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3A44CA7A"/>
    <w:multiLevelType w:val="singleLevel"/>
    <w:tmpl w:val="3A44CA7A"/>
    <w:lvl w:ilvl="0" w:tentative="0">
      <w:start w:val="1"/>
      <w:numFmt w:val="decimal"/>
      <w:lvlText w:val="%1."/>
      <w:lvlJc w:val="left"/>
      <w:pPr>
        <w:ind w:left="425" w:hanging="425"/>
      </w:pPr>
      <w:rPr>
        <w:rFonts w:hint="default"/>
      </w:rPr>
    </w:lvl>
  </w:abstractNum>
  <w:abstractNum w:abstractNumId="27">
    <w:nsid w:val="3E7E7F18"/>
    <w:multiLevelType w:val="singleLevel"/>
    <w:tmpl w:val="3E7E7F18"/>
    <w:lvl w:ilvl="0" w:tentative="0">
      <w:start w:val="1"/>
      <w:numFmt w:val="decimal"/>
      <w:lvlText w:val="%1."/>
      <w:lvlJc w:val="left"/>
      <w:pPr>
        <w:ind w:left="425" w:hanging="425"/>
      </w:pPr>
      <w:rPr>
        <w:rFonts w:hint="default"/>
      </w:rPr>
    </w:lvl>
  </w:abstractNum>
  <w:abstractNum w:abstractNumId="28">
    <w:nsid w:val="3F77FE1D"/>
    <w:multiLevelType w:val="singleLevel"/>
    <w:tmpl w:val="3F77FE1D"/>
    <w:lvl w:ilvl="0" w:tentative="0">
      <w:start w:val="1"/>
      <w:numFmt w:val="decimal"/>
      <w:suff w:val="nothing"/>
      <w:lvlText w:val="%1、"/>
      <w:lvlJc w:val="left"/>
      <w:pPr>
        <w:ind w:left="0" w:firstLine="420"/>
      </w:pPr>
      <w:rPr>
        <w:rFonts w:hint="default"/>
      </w:rPr>
    </w:lvl>
  </w:abstractNum>
  <w:abstractNum w:abstractNumId="29">
    <w:nsid w:val="4287798D"/>
    <w:multiLevelType w:val="multilevel"/>
    <w:tmpl w:val="4287798D"/>
    <w:lvl w:ilvl="0" w:tentative="0">
      <w:start w:val="1"/>
      <w:numFmt w:val="decimal"/>
      <w:lvlText w:val="%1"/>
      <w:lvlJc w:val="center"/>
      <w:pPr>
        <w:tabs>
          <w:tab w:val="left" w:pos="142"/>
        </w:tabs>
        <w:ind w:left="142" w:firstLine="38"/>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467A7D38"/>
    <w:multiLevelType w:val="multilevel"/>
    <w:tmpl w:val="467A7D38"/>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49608ED3"/>
    <w:multiLevelType w:val="multilevel"/>
    <w:tmpl w:val="49608ED3"/>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2">
    <w:nsid w:val="49B0187A"/>
    <w:multiLevelType w:val="multilevel"/>
    <w:tmpl w:val="49B0187A"/>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4AF300E9"/>
    <w:multiLevelType w:val="multilevel"/>
    <w:tmpl w:val="4AF300E9"/>
    <w:lvl w:ilvl="0" w:tentative="0">
      <w:start w:val="2"/>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34">
    <w:nsid w:val="4B19D5B9"/>
    <w:multiLevelType w:val="singleLevel"/>
    <w:tmpl w:val="4B19D5B9"/>
    <w:lvl w:ilvl="0" w:tentative="0">
      <w:start w:val="1"/>
      <w:numFmt w:val="decimal"/>
      <w:lvlText w:val="%1."/>
      <w:lvlJc w:val="left"/>
      <w:pPr>
        <w:ind w:left="425" w:hanging="425"/>
      </w:pPr>
      <w:rPr>
        <w:rFonts w:hint="default"/>
      </w:rPr>
    </w:lvl>
  </w:abstractNum>
  <w:abstractNum w:abstractNumId="35">
    <w:nsid w:val="4B292F94"/>
    <w:multiLevelType w:val="singleLevel"/>
    <w:tmpl w:val="4B292F94"/>
    <w:lvl w:ilvl="0" w:tentative="0">
      <w:start w:val="1"/>
      <w:numFmt w:val="decimal"/>
      <w:lvlText w:val="%1."/>
      <w:lvlJc w:val="left"/>
      <w:pPr>
        <w:ind w:left="425" w:hanging="425"/>
      </w:pPr>
      <w:rPr>
        <w:rFonts w:hint="default"/>
      </w:rPr>
    </w:lvl>
  </w:abstractNum>
  <w:abstractNum w:abstractNumId="36">
    <w:nsid w:val="4D6FCE5E"/>
    <w:multiLevelType w:val="singleLevel"/>
    <w:tmpl w:val="4D6FCE5E"/>
    <w:lvl w:ilvl="0" w:tentative="0">
      <w:start w:val="1"/>
      <w:numFmt w:val="decimal"/>
      <w:lvlText w:val="%1."/>
      <w:lvlJc w:val="left"/>
      <w:pPr>
        <w:ind w:left="425" w:hanging="425"/>
      </w:pPr>
      <w:rPr>
        <w:rFonts w:hint="default"/>
      </w:rPr>
    </w:lvl>
  </w:abstractNum>
  <w:abstractNum w:abstractNumId="37">
    <w:nsid w:val="50675357"/>
    <w:multiLevelType w:val="multilevel"/>
    <w:tmpl w:val="50675357"/>
    <w:lvl w:ilvl="0" w:tentative="0">
      <w:start w:val="1"/>
      <w:numFmt w:val="decimal"/>
      <w:lvlText w:val="%1."/>
      <w:lvlJc w:val="left"/>
      <w:pPr>
        <w:tabs>
          <w:tab w:val="left" w:pos="425"/>
        </w:tabs>
        <w:ind w:left="425" w:hanging="425"/>
      </w:pPr>
      <w:rPr>
        <w:rFonts w:hint="eastAsia" w:ascii="宋体" w:hAnsi="宋体" w:eastAsia="宋体"/>
        <w:b w:val="0"/>
      </w:rPr>
    </w:lvl>
    <w:lvl w:ilvl="1" w:tentative="0">
      <w:start w:val="1"/>
      <w:numFmt w:val="decimal"/>
      <w:lvlText w:val="%1.%2."/>
      <w:lvlJc w:val="left"/>
      <w:pPr>
        <w:tabs>
          <w:tab w:val="left" w:pos="567"/>
        </w:tabs>
        <w:ind w:left="567" w:hanging="567"/>
      </w:pPr>
      <w:rPr>
        <w:rFonts w:ascii="宋体" w:hAnsi="宋体" w:eastAsia="宋体"/>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8">
    <w:nsid w:val="52F42418"/>
    <w:multiLevelType w:val="multilevel"/>
    <w:tmpl w:val="52F42418"/>
    <w:lvl w:ilvl="0" w:tentative="0">
      <w:start w:val="1"/>
      <w:numFmt w:val="decimal"/>
      <w:lvlText w:val="%1."/>
      <w:lvlJc w:val="left"/>
      <w:pPr>
        <w:tabs>
          <w:tab w:val="left" w:pos="425"/>
        </w:tabs>
        <w:ind w:left="425" w:hanging="425"/>
      </w:pPr>
      <w:rPr>
        <w:rFonts w:hint="eastAsia" w:ascii="宋体" w:hAnsi="宋体" w:eastAsia="宋体"/>
        <w:b w:val="0"/>
        <w:color w:val="auto"/>
      </w:rPr>
    </w:lvl>
    <w:lvl w:ilvl="1" w:tentative="0">
      <w:start w:val="1"/>
      <w:numFmt w:val="decimal"/>
      <w:lvlText w:val="%1.%2"/>
      <w:lvlJc w:val="left"/>
      <w:pPr>
        <w:tabs>
          <w:tab w:val="left" w:pos="567"/>
        </w:tabs>
        <w:ind w:left="567" w:hanging="567"/>
      </w:pPr>
      <w:rPr>
        <w:rFonts w:hint="eastAsia" w:ascii="宋体" w:hAnsi="宋体" w:eastAsia="宋体"/>
        <w:b w:val="0"/>
      </w:rPr>
    </w:lvl>
    <w:lvl w:ilvl="2" w:tentative="0">
      <w:start w:val="1"/>
      <w:numFmt w:val="decimal"/>
      <w:lvlText w:val="%1.%2.%3"/>
      <w:lvlJc w:val="left"/>
      <w:pPr>
        <w:tabs>
          <w:tab w:val="left" w:pos="709"/>
        </w:tabs>
        <w:ind w:left="709" w:hanging="709"/>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9">
    <w:nsid w:val="55015D94"/>
    <w:multiLevelType w:val="multilevel"/>
    <w:tmpl w:val="55015D94"/>
    <w:lvl w:ilvl="0" w:tentative="0">
      <w:start w:val="1"/>
      <w:numFmt w:val="decimal"/>
      <w:lvlText w:val="%1."/>
      <w:lvlJc w:val="left"/>
      <w:pPr>
        <w:ind w:left="425" w:hanging="425"/>
      </w:pPr>
      <w:rPr>
        <w:rFonts w:hint="default"/>
      </w:rPr>
    </w:lvl>
    <w:lvl w:ilvl="1" w:tentative="0">
      <w:start w:val="1"/>
      <w:numFmt w:val="decimal"/>
      <w:lvlText w:val="3.%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0">
    <w:nsid w:val="5631A12C"/>
    <w:multiLevelType w:val="singleLevel"/>
    <w:tmpl w:val="5631A12C"/>
    <w:lvl w:ilvl="0" w:tentative="0">
      <w:start w:val="1"/>
      <w:numFmt w:val="chineseCounting"/>
      <w:suff w:val="nothing"/>
      <w:lvlText w:val="%1、"/>
      <w:lvlJc w:val="left"/>
      <w:pPr>
        <w:ind w:left="0" w:firstLine="420"/>
      </w:pPr>
      <w:rPr>
        <w:rFonts w:hint="eastAsia"/>
      </w:rPr>
    </w:lvl>
  </w:abstractNum>
  <w:abstractNum w:abstractNumId="41">
    <w:nsid w:val="570B07C4"/>
    <w:multiLevelType w:val="multilevel"/>
    <w:tmpl w:val="570B07C4"/>
    <w:lvl w:ilvl="0" w:tentative="0">
      <w:start w:val="1"/>
      <w:numFmt w:val="decimal"/>
      <w:lvlText w:val="%1."/>
      <w:lvlJc w:val="left"/>
      <w:pPr>
        <w:tabs>
          <w:tab w:val="left" w:pos="425"/>
        </w:tabs>
        <w:ind w:left="425" w:hanging="425"/>
      </w:pPr>
      <w:rPr>
        <w:rFonts w:hint="eastAsia" w:ascii="宋体" w:hAnsi="宋体" w:eastAsia="宋体"/>
        <w:b w:val="0"/>
        <w:color w:val="auto"/>
      </w:rPr>
    </w:lvl>
    <w:lvl w:ilvl="1" w:tentative="0">
      <w:start w:val="1"/>
      <w:numFmt w:val="decimal"/>
      <w:lvlText w:val="%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2">
    <w:nsid w:val="59170E7C"/>
    <w:multiLevelType w:val="multilevel"/>
    <w:tmpl w:val="59170E7C"/>
    <w:lvl w:ilvl="0" w:tentative="0">
      <w:start w:val="1"/>
      <w:numFmt w:val="chineseCountingThousand"/>
      <w:lvlText w:val="%1、"/>
      <w:lvlJc w:val="left"/>
      <w:pPr>
        <w:ind w:left="861" w:hanging="420"/>
      </w:pPr>
    </w:lvl>
    <w:lvl w:ilvl="1" w:tentative="0">
      <w:start w:val="1"/>
      <w:numFmt w:val="lowerLetter"/>
      <w:lvlText w:val="%2)"/>
      <w:lvlJc w:val="left"/>
      <w:pPr>
        <w:ind w:left="1281" w:hanging="420"/>
      </w:pPr>
    </w:lvl>
    <w:lvl w:ilvl="2" w:tentative="0">
      <w:start w:val="1"/>
      <w:numFmt w:val="lowerRoman"/>
      <w:lvlText w:val="%3."/>
      <w:lvlJc w:val="right"/>
      <w:pPr>
        <w:ind w:left="1701" w:hanging="420"/>
      </w:pPr>
    </w:lvl>
    <w:lvl w:ilvl="3" w:tentative="0">
      <w:start w:val="1"/>
      <w:numFmt w:val="decimal"/>
      <w:lvlText w:val="%4."/>
      <w:lvlJc w:val="left"/>
      <w:pPr>
        <w:ind w:left="2121" w:hanging="420"/>
      </w:pPr>
    </w:lvl>
    <w:lvl w:ilvl="4" w:tentative="0">
      <w:start w:val="1"/>
      <w:numFmt w:val="lowerLetter"/>
      <w:lvlText w:val="%5)"/>
      <w:lvlJc w:val="left"/>
      <w:pPr>
        <w:ind w:left="2541" w:hanging="420"/>
      </w:pPr>
    </w:lvl>
    <w:lvl w:ilvl="5" w:tentative="0">
      <w:start w:val="1"/>
      <w:numFmt w:val="lowerRoman"/>
      <w:lvlText w:val="%6."/>
      <w:lvlJc w:val="right"/>
      <w:pPr>
        <w:ind w:left="2961" w:hanging="420"/>
      </w:pPr>
    </w:lvl>
    <w:lvl w:ilvl="6" w:tentative="0">
      <w:start w:val="1"/>
      <w:numFmt w:val="decimal"/>
      <w:lvlText w:val="%7."/>
      <w:lvlJc w:val="left"/>
      <w:pPr>
        <w:ind w:left="3381" w:hanging="420"/>
      </w:pPr>
    </w:lvl>
    <w:lvl w:ilvl="7" w:tentative="0">
      <w:start w:val="1"/>
      <w:numFmt w:val="lowerLetter"/>
      <w:lvlText w:val="%8)"/>
      <w:lvlJc w:val="left"/>
      <w:pPr>
        <w:ind w:left="3801" w:hanging="420"/>
      </w:pPr>
    </w:lvl>
    <w:lvl w:ilvl="8" w:tentative="0">
      <w:start w:val="1"/>
      <w:numFmt w:val="lowerRoman"/>
      <w:lvlText w:val="%9."/>
      <w:lvlJc w:val="right"/>
      <w:pPr>
        <w:ind w:left="4221" w:hanging="420"/>
      </w:pPr>
    </w:lvl>
  </w:abstractNum>
  <w:abstractNum w:abstractNumId="43">
    <w:nsid w:val="59228704"/>
    <w:multiLevelType w:val="singleLevel"/>
    <w:tmpl w:val="59228704"/>
    <w:lvl w:ilvl="0" w:tentative="0">
      <w:start w:val="1"/>
      <w:numFmt w:val="decimal"/>
      <w:lvlText w:val="%1."/>
      <w:lvlJc w:val="left"/>
      <w:pPr>
        <w:ind w:left="425" w:hanging="425"/>
      </w:pPr>
      <w:rPr>
        <w:rFonts w:hint="default"/>
      </w:rPr>
    </w:lvl>
  </w:abstractNum>
  <w:abstractNum w:abstractNumId="44">
    <w:nsid w:val="59B547C8"/>
    <w:multiLevelType w:val="singleLevel"/>
    <w:tmpl w:val="59B547C8"/>
    <w:lvl w:ilvl="0" w:tentative="0">
      <w:start w:val="1"/>
      <w:numFmt w:val="decimal"/>
      <w:lvlText w:val="%1)"/>
      <w:lvlJc w:val="left"/>
      <w:pPr>
        <w:ind w:left="425" w:hanging="425"/>
      </w:pPr>
      <w:rPr>
        <w:rFonts w:hint="default"/>
      </w:rPr>
    </w:lvl>
  </w:abstractNum>
  <w:abstractNum w:abstractNumId="45">
    <w:nsid w:val="59B6BCA8"/>
    <w:multiLevelType w:val="singleLevel"/>
    <w:tmpl w:val="59B6BCA8"/>
    <w:lvl w:ilvl="0" w:tentative="0">
      <w:start w:val="1"/>
      <w:numFmt w:val="decimal"/>
      <w:lvlText w:val="%1."/>
      <w:lvlJc w:val="left"/>
      <w:pPr>
        <w:ind w:left="425" w:hanging="425"/>
      </w:pPr>
      <w:rPr>
        <w:rFonts w:hint="default"/>
      </w:rPr>
    </w:lvl>
  </w:abstractNum>
  <w:abstractNum w:abstractNumId="46">
    <w:nsid w:val="5ABDEEB2"/>
    <w:multiLevelType w:val="multilevel"/>
    <w:tmpl w:val="5ABDEEB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5ABDEED3"/>
    <w:multiLevelType w:val="multilevel"/>
    <w:tmpl w:val="5ABDEED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5B8255C9"/>
    <w:multiLevelType w:val="multilevel"/>
    <w:tmpl w:val="5B8255C9"/>
    <w:lvl w:ilvl="0" w:tentative="0">
      <w:start w:val="1"/>
      <w:numFmt w:val="decimal"/>
      <w:lvlText w:val="格式%1"/>
      <w:lvlJc w:val="left"/>
      <w:pPr>
        <w:tabs>
          <w:tab w:val="left" w:pos="425"/>
        </w:tabs>
        <w:ind w:left="425" w:hanging="425"/>
      </w:pPr>
      <w:rPr>
        <w:rFonts w:hint="eastAsia" w:ascii="黑体" w:eastAsia="黑体"/>
        <w:b w:val="0"/>
        <w:color w:val="auto"/>
        <w:sz w:val="28"/>
        <w:szCs w:val="28"/>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9">
    <w:nsid w:val="5C932ED5"/>
    <w:multiLevelType w:val="multilevel"/>
    <w:tmpl w:val="5C932ED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5CA44D87"/>
    <w:multiLevelType w:val="multilevel"/>
    <w:tmpl w:val="5CA44D87"/>
    <w:lvl w:ilvl="0" w:tentative="0">
      <w:start w:val="1"/>
      <w:numFmt w:val="decimal"/>
      <w:lvlText w:val="%1."/>
      <w:lvlJc w:val="left"/>
      <w:pPr>
        <w:tabs>
          <w:tab w:val="left" w:pos="420"/>
        </w:tabs>
        <w:ind w:left="420" w:hanging="420"/>
      </w:pPr>
      <w:rPr>
        <w:rFonts w:hint="eastAsia" w:ascii="宋体" w:hAnsi="宋体" w:eastAsia="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rPr>
        <w:rFonts w:ascii="宋体" w:hAnsi="宋体" w:eastAsia="宋体"/>
        <w:b w:val="0"/>
        <w:sz w:val="21"/>
        <w:szCs w:val="21"/>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1">
    <w:nsid w:val="5ED30DC5"/>
    <w:multiLevelType w:val="multilevel"/>
    <w:tmpl w:val="5ED30DC5"/>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2">
    <w:nsid w:val="61E8A8D5"/>
    <w:multiLevelType w:val="singleLevel"/>
    <w:tmpl w:val="61E8A8D5"/>
    <w:lvl w:ilvl="0" w:tentative="0">
      <w:start w:val="1"/>
      <w:numFmt w:val="decimal"/>
      <w:lvlText w:val="%1."/>
      <w:lvlJc w:val="left"/>
      <w:pPr>
        <w:ind w:left="425" w:hanging="425"/>
      </w:pPr>
      <w:rPr>
        <w:rFonts w:hint="default"/>
      </w:rPr>
    </w:lvl>
  </w:abstractNum>
  <w:abstractNum w:abstractNumId="53">
    <w:nsid w:val="67BC6897"/>
    <w:multiLevelType w:val="multilevel"/>
    <w:tmpl w:val="67BC6897"/>
    <w:lvl w:ilvl="0" w:tentative="0">
      <w:start w:val="1"/>
      <w:numFmt w:val="chineseCountingThousand"/>
      <w:lvlText w:val="%1、"/>
      <w:lvlJc w:val="left"/>
      <w:pPr>
        <w:tabs>
          <w:tab w:val="left" w:pos="420"/>
        </w:tabs>
        <w:ind w:left="420" w:hanging="420"/>
      </w:pPr>
      <w:rPr>
        <w:rFonts w:hint="eastAsia"/>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54">
    <w:nsid w:val="689F6B32"/>
    <w:multiLevelType w:val="multilevel"/>
    <w:tmpl w:val="689F6B32"/>
    <w:lvl w:ilvl="0" w:tentative="0">
      <w:start w:val="1"/>
      <w:numFmt w:val="decimal"/>
      <w:lvlText w:val="%1."/>
      <w:lvlJc w:val="left"/>
      <w:pPr>
        <w:tabs>
          <w:tab w:val="left" w:pos="420"/>
        </w:tabs>
        <w:ind w:left="420" w:hanging="420"/>
      </w:pPr>
      <w:rPr>
        <w:rFonts w:hint="eastAsia" w:ascii="宋体" w:hAnsi="宋体" w:eastAsia="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5">
    <w:nsid w:val="6AE3D87B"/>
    <w:multiLevelType w:val="multilevel"/>
    <w:tmpl w:val="6AE3D87B"/>
    <w:lvl w:ilvl="0" w:tentative="0">
      <w:start w:val="1"/>
      <w:numFmt w:val="decimal"/>
      <w:lvlText w:val="%1."/>
      <w:lvlJc w:val="left"/>
      <w:pPr>
        <w:ind w:left="425" w:hanging="425"/>
      </w:pPr>
      <w:rPr>
        <w:rFonts w:hint="default"/>
      </w:rPr>
    </w:lvl>
    <w:lvl w:ilvl="1" w:tentative="0">
      <w:start w:val="1"/>
      <w:numFmt w:val="decimal"/>
      <w:lvlText w:val="2.%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6">
    <w:nsid w:val="6ECE3516"/>
    <w:multiLevelType w:val="multilevel"/>
    <w:tmpl w:val="6ECE3516"/>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7">
    <w:nsid w:val="6F4368BE"/>
    <w:multiLevelType w:val="singleLevel"/>
    <w:tmpl w:val="6F4368BE"/>
    <w:lvl w:ilvl="0" w:tentative="0">
      <w:start w:val="1"/>
      <w:numFmt w:val="decimal"/>
      <w:lvlText w:val="%1."/>
      <w:lvlJc w:val="left"/>
      <w:pPr>
        <w:ind w:left="425" w:hanging="425"/>
      </w:pPr>
      <w:rPr>
        <w:rFonts w:hint="default"/>
      </w:rPr>
    </w:lvl>
  </w:abstractNum>
  <w:abstractNum w:abstractNumId="58">
    <w:nsid w:val="6FDB6E48"/>
    <w:multiLevelType w:val="multilevel"/>
    <w:tmpl w:val="6FDB6E48"/>
    <w:lvl w:ilvl="0" w:tentative="0">
      <w:start w:val="1"/>
      <w:numFmt w:val="decimal"/>
      <w:lvlText w:val="%1."/>
      <w:lvlJc w:val="left"/>
      <w:pPr>
        <w:ind w:left="425" w:hanging="425"/>
      </w:pPr>
      <w:rPr>
        <w:rFonts w:hint="default"/>
      </w:rPr>
    </w:lvl>
    <w:lvl w:ilvl="1" w:tentative="0">
      <w:start w:val="1"/>
      <w:numFmt w:val="decimal"/>
      <w:lvlText w:val="4.%2."/>
      <w:lvlJc w:val="left"/>
      <w:pPr>
        <w:ind w:left="850" w:hanging="453"/>
      </w:pPr>
      <w:rPr>
        <w:rFonts w:hint="default" w:ascii="宋体" w:hAnsi="宋体" w:eastAsia="宋体" w:cs="宋体"/>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59">
    <w:nsid w:val="70847A5D"/>
    <w:multiLevelType w:val="singleLevel"/>
    <w:tmpl w:val="70847A5D"/>
    <w:lvl w:ilvl="0" w:tentative="0">
      <w:start w:val="1"/>
      <w:numFmt w:val="decimal"/>
      <w:lvlText w:val="%1."/>
      <w:lvlJc w:val="left"/>
      <w:pPr>
        <w:ind w:left="425" w:hanging="425"/>
      </w:pPr>
      <w:rPr>
        <w:rFonts w:hint="default"/>
      </w:rPr>
    </w:lvl>
  </w:abstractNum>
  <w:abstractNum w:abstractNumId="60">
    <w:nsid w:val="70DF5025"/>
    <w:multiLevelType w:val="singleLevel"/>
    <w:tmpl w:val="70DF5025"/>
    <w:lvl w:ilvl="0" w:tentative="0">
      <w:start w:val="1"/>
      <w:numFmt w:val="decimal"/>
      <w:lvlText w:val="%1."/>
      <w:lvlJc w:val="left"/>
      <w:pPr>
        <w:ind w:left="425" w:hanging="425"/>
      </w:pPr>
      <w:rPr>
        <w:rFonts w:hint="default"/>
      </w:rPr>
    </w:lvl>
  </w:abstractNum>
  <w:abstractNum w:abstractNumId="61">
    <w:nsid w:val="72FC67B5"/>
    <w:multiLevelType w:val="singleLevel"/>
    <w:tmpl w:val="72FC67B5"/>
    <w:lvl w:ilvl="0" w:tentative="0">
      <w:start w:val="1"/>
      <w:numFmt w:val="decimal"/>
      <w:lvlText w:val="%1."/>
      <w:lvlJc w:val="left"/>
      <w:pPr>
        <w:ind w:left="425" w:hanging="425"/>
      </w:pPr>
      <w:rPr>
        <w:rFonts w:hint="default"/>
      </w:rPr>
    </w:lvl>
  </w:abstractNum>
  <w:abstractNum w:abstractNumId="62">
    <w:nsid w:val="76D45217"/>
    <w:multiLevelType w:val="singleLevel"/>
    <w:tmpl w:val="76D45217"/>
    <w:lvl w:ilvl="0" w:tentative="0">
      <w:start w:val="1"/>
      <w:numFmt w:val="decimal"/>
      <w:lvlText w:val="%1."/>
      <w:lvlJc w:val="left"/>
      <w:pPr>
        <w:ind w:left="425" w:hanging="425"/>
      </w:pPr>
      <w:rPr>
        <w:rFonts w:hint="default"/>
      </w:rPr>
    </w:lvl>
  </w:abstractNum>
  <w:abstractNum w:abstractNumId="63">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4">
    <w:nsid w:val="7AC30FF3"/>
    <w:multiLevelType w:val="singleLevel"/>
    <w:tmpl w:val="7AC30FF3"/>
    <w:lvl w:ilvl="0" w:tentative="0">
      <w:start w:val="1"/>
      <w:numFmt w:val="decimal"/>
      <w:lvlText w:val="%1."/>
      <w:lvlJc w:val="left"/>
      <w:pPr>
        <w:ind w:left="425" w:hanging="425"/>
      </w:pPr>
      <w:rPr>
        <w:rFonts w:hint="default"/>
      </w:rPr>
    </w:lvl>
  </w:abstractNum>
  <w:abstractNum w:abstractNumId="65">
    <w:nsid w:val="7C96528F"/>
    <w:multiLevelType w:val="multilevel"/>
    <w:tmpl w:val="7C96528F"/>
    <w:lvl w:ilvl="0" w:tentative="0">
      <w:start w:val="1"/>
      <w:numFmt w:val="bullet"/>
      <w:lvlText w:val=""/>
      <w:lvlJc w:val="left"/>
      <w:pPr>
        <w:ind w:left="960" w:hanging="420"/>
      </w:pPr>
      <w:rPr>
        <w:rFonts w:hint="default" w:ascii="Wingdings" w:hAnsi="Wingdings"/>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num w:numId="1">
    <w:abstractNumId w:val="40"/>
  </w:num>
  <w:num w:numId="2">
    <w:abstractNumId w:val="45"/>
  </w:num>
  <w:num w:numId="3">
    <w:abstractNumId w:val="41"/>
  </w:num>
  <w:num w:numId="4">
    <w:abstractNumId w:val="38"/>
  </w:num>
  <w:num w:numId="5">
    <w:abstractNumId w:val="8"/>
  </w:num>
  <w:num w:numId="6">
    <w:abstractNumId w:val="28"/>
  </w:num>
  <w:num w:numId="7">
    <w:abstractNumId w:val="10"/>
  </w:num>
  <w:num w:numId="8">
    <w:abstractNumId w:val="20"/>
  </w:num>
  <w:num w:numId="9">
    <w:abstractNumId w:val="65"/>
  </w:num>
  <w:num w:numId="10">
    <w:abstractNumId w:val="62"/>
  </w:num>
  <w:num w:numId="11">
    <w:abstractNumId w:val="12"/>
  </w:num>
  <w:num w:numId="12">
    <w:abstractNumId w:val="64"/>
  </w:num>
  <w:num w:numId="13">
    <w:abstractNumId w:val="23"/>
  </w:num>
  <w:num w:numId="14">
    <w:abstractNumId w:val="0"/>
  </w:num>
  <w:num w:numId="15">
    <w:abstractNumId w:val="43"/>
  </w:num>
  <w:num w:numId="16">
    <w:abstractNumId w:val="35"/>
  </w:num>
  <w:num w:numId="17">
    <w:abstractNumId w:val="36"/>
  </w:num>
  <w:num w:numId="18">
    <w:abstractNumId w:val="5"/>
  </w:num>
  <w:num w:numId="19">
    <w:abstractNumId w:val="22"/>
  </w:num>
  <w:num w:numId="20">
    <w:abstractNumId w:val="49"/>
  </w:num>
  <w:num w:numId="21">
    <w:abstractNumId w:val="46"/>
    <w:lvlOverride w:ilvl="0">
      <w:startOverride w:val="1"/>
    </w:lvlOverride>
  </w:num>
  <w:num w:numId="22">
    <w:abstractNumId w:val="47"/>
    <w:lvlOverride w:ilvl="0">
      <w:startOverride w:val="1"/>
    </w:lvlOverride>
  </w:num>
  <w:num w:numId="23">
    <w:abstractNumId w:val="44"/>
  </w:num>
  <w:num w:numId="24">
    <w:abstractNumId w:val="6"/>
  </w:num>
  <w:num w:numId="25">
    <w:abstractNumId w:val="21"/>
  </w:num>
  <w:num w:numId="26">
    <w:abstractNumId w:val="15"/>
  </w:num>
  <w:num w:numId="27">
    <w:abstractNumId w:val="25"/>
  </w:num>
  <w:num w:numId="28">
    <w:abstractNumId w:val="19"/>
  </w:num>
  <w:num w:numId="29">
    <w:abstractNumId w:val="61"/>
  </w:num>
  <w:num w:numId="30">
    <w:abstractNumId w:val="24"/>
  </w:num>
  <w:num w:numId="31">
    <w:abstractNumId w:val="4"/>
  </w:num>
  <w:num w:numId="32">
    <w:abstractNumId w:val="54"/>
  </w:num>
  <w:num w:numId="33">
    <w:abstractNumId w:val="3"/>
  </w:num>
  <w:num w:numId="34">
    <w:abstractNumId w:val="16"/>
  </w:num>
  <w:num w:numId="35">
    <w:abstractNumId w:val="37"/>
  </w:num>
  <w:num w:numId="36">
    <w:abstractNumId w:val="7"/>
  </w:num>
  <w:num w:numId="37">
    <w:abstractNumId w:val="9"/>
  </w:num>
  <w:num w:numId="38">
    <w:abstractNumId w:val="53"/>
  </w:num>
  <w:num w:numId="39">
    <w:abstractNumId w:val="2"/>
  </w:num>
  <w:num w:numId="40">
    <w:abstractNumId w:val="31"/>
  </w:num>
  <w:num w:numId="41">
    <w:abstractNumId w:val="39"/>
  </w:num>
  <w:num w:numId="42">
    <w:abstractNumId w:val="58"/>
  </w:num>
  <w:num w:numId="43">
    <w:abstractNumId w:val="14"/>
  </w:num>
  <w:num w:numId="44">
    <w:abstractNumId w:val="55"/>
  </w:num>
  <w:num w:numId="45">
    <w:abstractNumId w:val="52"/>
  </w:num>
  <w:num w:numId="46">
    <w:abstractNumId w:val="60"/>
  </w:num>
  <w:num w:numId="47">
    <w:abstractNumId w:val="34"/>
  </w:num>
  <w:num w:numId="48">
    <w:abstractNumId w:val="26"/>
  </w:num>
  <w:num w:numId="49">
    <w:abstractNumId w:val="59"/>
  </w:num>
  <w:num w:numId="50">
    <w:abstractNumId w:val="1"/>
  </w:num>
  <w:num w:numId="51">
    <w:abstractNumId w:val="11"/>
  </w:num>
  <w:num w:numId="52">
    <w:abstractNumId w:val="27"/>
  </w:num>
  <w:num w:numId="53">
    <w:abstractNumId w:val="57"/>
  </w:num>
  <w:num w:numId="54">
    <w:abstractNumId w:val="32"/>
  </w:num>
  <w:num w:numId="55">
    <w:abstractNumId w:val="51"/>
  </w:num>
  <w:num w:numId="56">
    <w:abstractNumId w:val="56"/>
  </w:num>
  <w:num w:numId="57">
    <w:abstractNumId w:val="48"/>
  </w:num>
  <w:num w:numId="58">
    <w:abstractNumId w:val="63"/>
  </w:num>
  <w:num w:numId="59">
    <w:abstractNumId w:val="42"/>
  </w:num>
  <w:num w:numId="60">
    <w:abstractNumId w:val="33"/>
  </w:num>
  <w:num w:numId="61">
    <w:abstractNumId w:val="17"/>
  </w:num>
  <w:num w:numId="62">
    <w:abstractNumId w:val="50"/>
  </w:num>
  <w:num w:numId="63">
    <w:abstractNumId w:val="18"/>
  </w:num>
  <w:num w:numId="64">
    <w:abstractNumId w:val="13"/>
  </w:num>
  <w:num w:numId="65">
    <w:abstractNumId w:val="30"/>
  </w:num>
  <w:num w:numId="6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C3160"/>
    <w:rsid w:val="023B5E80"/>
    <w:rsid w:val="02795ED2"/>
    <w:rsid w:val="036F03DE"/>
    <w:rsid w:val="058C3C07"/>
    <w:rsid w:val="07354B89"/>
    <w:rsid w:val="0CB77FF2"/>
    <w:rsid w:val="0DAE0F45"/>
    <w:rsid w:val="13D95EA7"/>
    <w:rsid w:val="16E1566E"/>
    <w:rsid w:val="199E4FC3"/>
    <w:rsid w:val="1AF96868"/>
    <w:rsid w:val="1CAE7892"/>
    <w:rsid w:val="20663F9C"/>
    <w:rsid w:val="244B439C"/>
    <w:rsid w:val="26CC5CDE"/>
    <w:rsid w:val="282D11B0"/>
    <w:rsid w:val="28A462FB"/>
    <w:rsid w:val="2DE93D8E"/>
    <w:rsid w:val="31212696"/>
    <w:rsid w:val="328457F9"/>
    <w:rsid w:val="37E17B35"/>
    <w:rsid w:val="38891E04"/>
    <w:rsid w:val="395E0971"/>
    <w:rsid w:val="40C23BEE"/>
    <w:rsid w:val="41F22A42"/>
    <w:rsid w:val="43941B2E"/>
    <w:rsid w:val="46665FE0"/>
    <w:rsid w:val="47474F96"/>
    <w:rsid w:val="48AF2E65"/>
    <w:rsid w:val="48CF51F7"/>
    <w:rsid w:val="4E475342"/>
    <w:rsid w:val="53B04011"/>
    <w:rsid w:val="59360234"/>
    <w:rsid w:val="5B3B6CD9"/>
    <w:rsid w:val="5ED213D5"/>
    <w:rsid w:val="60E65001"/>
    <w:rsid w:val="61F72097"/>
    <w:rsid w:val="63EF15F8"/>
    <w:rsid w:val="69CB4972"/>
    <w:rsid w:val="6A346BB5"/>
    <w:rsid w:val="6BD67678"/>
    <w:rsid w:val="6D327B75"/>
    <w:rsid w:val="6EF44CFB"/>
    <w:rsid w:val="73062159"/>
    <w:rsid w:val="73833840"/>
    <w:rsid w:val="74B54623"/>
    <w:rsid w:val="76D92103"/>
    <w:rsid w:val="7C0C31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semiHidden/>
    <w:unhideWhenUsed/>
    <w:qFormat/>
    <w:uiPriority w:val="0"/>
    <w:pPr>
      <w:autoSpaceDE w:val="0"/>
      <w:autoSpaceDN w:val="0"/>
      <w:adjustRightInd w:val="0"/>
      <w:spacing w:after="156" w:afterLines="50" w:line="360" w:lineRule="auto"/>
      <w:ind w:left="-4"/>
      <w:jc w:val="center"/>
      <w:outlineLvl w:val="2"/>
    </w:pPr>
    <w:rPr>
      <w:rFonts w:ascii="宋体" w:hAnsi="宋体"/>
      <w:b/>
      <w:color w:val="000000"/>
      <w:kern w:val="0"/>
      <w:szCs w:val="20"/>
      <w:lang w:val="en-GB"/>
    </w:rPr>
  </w:style>
  <w:style w:type="character" w:default="1" w:styleId="14">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szCs w:val="20"/>
    </w:rPr>
  </w:style>
  <w:style w:type="paragraph" w:styleId="5">
    <w:name w:val="annotation text"/>
    <w:basedOn w:val="1"/>
    <w:qFormat/>
    <w:uiPriority w:val="0"/>
    <w:pPr>
      <w:jc w:val="left"/>
    </w:pPr>
  </w:style>
  <w:style w:type="paragraph" w:styleId="6">
    <w:name w:val="Body Text"/>
    <w:basedOn w:val="1"/>
    <w:qFormat/>
    <w:uiPriority w:val="0"/>
    <w:pPr>
      <w:spacing w:after="120" w:afterLines="0"/>
    </w:pPr>
  </w:style>
  <w:style w:type="paragraph" w:styleId="7">
    <w:name w:val="Body Text Indent"/>
    <w:basedOn w:val="1"/>
    <w:qFormat/>
    <w:uiPriority w:val="0"/>
    <w:pPr>
      <w:spacing w:line="560" w:lineRule="exact"/>
      <w:ind w:left="300"/>
    </w:pPr>
    <w:rPr>
      <w:sz w:val="24"/>
    </w:rPr>
  </w:style>
  <w:style w:type="paragraph" w:styleId="8">
    <w:name w:val="Plain Text"/>
    <w:basedOn w:val="1"/>
    <w:qFormat/>
    <w:uiPriority w:val="0"/>
    <w:rPr>
      <w:rFonts w:ascii="宋体" w:hAnsi="Courier New" w:cs="Courier New"/>
      <w:szCs w:val="21"/>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tabs>
        <w:tab w:val="right" w:leader="dot" w:pos="9060"/>
      </w:tabs>
      <w:spacing w:line="360" w:lineRule="auto"/>
    </w:pPr>
    <w:rPr>
      <w:szCs w:val="20"/>
    </w:rPr>
  </w:style>
  <w:style w:type="paragraph" w:styleId="13">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15">
    <w:name w:val="page number"/>
    <w:basedOn w:val="14"/>
    <w:qFormat/>
    <w:uiPriority w:val="0"/>
  </w:style>
  <w:style w:type="character" w:styleId="16">
    <w:name w:val="Hyperlink"/>
    <w:qFormat/>
    <w:uiPriority w:val="0"/>
    <w:rPr>
      <w:color w:val="0000FF"/>
      <w:u w:val="single"/>
    </w:rPr>
  </w:style>
  <w:style w:type="paragraph" w:customStyle="1" w:styleId="18">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 w:type="character" w:customStyle="1" w:styleId="19">
    <w:name w:val="copied"/>
    <w:qFormat/>
    <w:uiPriority w:val="0"/>
  </w:style>
  <w:style w:type="paragraph" w:customStyle="1" w:styleId="2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2018-04-02T03:01:00Z</dcterms:created>
  <dc:creator>Administrator</dc:creator>
  <cp:lastModifiedBy>聪明蛋</cp:lastModifiedBy>
  <dcterms:modified xsi:type="dcterms:W3CDTF">2018-05-14T01:30:17Z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