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rPr>
          <w:rFonts w:ascii="黑体" w:hAnsi="黑体" w:eastAsia="黑体" w:cs="黑体"/>
          <w:b/>
          <w:sz w:val="32"/>
          <w:szCs w:val="32"/>
          <w:highlight w:val="none"/>
        </w:rPr>
      </w:pPr>
      <w:r>
        <w:rPr>
          <w:rFonts w:ascii="黑体" w:hAnsi="黑体" w:eastAsia="黑体" w:cs="黑体"/>
          <w:sz w:val="32"/>
          <w:szCs w:val="32"/>
          <w:highlight w:val="none"/>
        </w:rPr>
        <mc:AlternateContent>
          <mc:Choice Requires="wps">
            <w:drawing>
              <wp:anchor distT="0" distB="0" distL="114300" distR="114300" simplePos="0" relativeHeight="251657216" behindDoc="0" locked="0" layoutInCell="1" allowOverlap="1">
                <wp:simplePos x="0" y="0"/>
                <wp:positionH relativeFrom="column">
                  <wp:posOffset>-422910</wp:posOffset>
                </wp:positionH>
                <wp:positionV relativeFrom="paragraph">
                  <wp:posOffset>-13970</wp:posOffset>
                </wp:positionV>
                <wp:extent cx="635" cy="0"/>
                <wp:effectExtent l="0" t="0" r="0" b="0"/>
                <wp:wrapNone/>
                <wp:docPr id="1" name="Line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Line 2" o:spid="_x0000_s1026" o:spt="20" style="position:absolute;left:0pt;margin-left:-33.3pt;margin-top:-1.1pt;height:0pt;width:0.05pt;z-index:251657216;mso-width-relative:page;mso-height-relative:page;" filled="f" stroked="t" coordsize="21600,21600" o:gfxdata="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N+qJl1QAAAAkBAAAPAAAAAAAAAAEAIAAAACIAAABkcnMvZG93bnJldi54bWxQSwECFAAUAAAA&#10;CACHTuJAFe4yK7gBAACJAwAADgAAAAAAAAABACAAAAAkAQAAZHJzL2Uyb0RvYy54bWxQSwUGAAAA&#10;AAYABgBZAQAATgUAAAAA&#10;">
                <v:fill on="f" focussize="0,0"/>
                <v:stroke color="#000000" joinstyle="round"/>
                <v:imagedata o:title=""/>
                <o:lock v:ext="edit" aspectratio="f"/>
              </v:line>
            </w:pict>
          </mc:Fallback>
        </mc:AlternateContent>
      </w:r>
    </w:p>
    <w:p>
      <w:pPr>
        <w:adjustRightInd w:val="0"/>
        <w:rPr>
          <w:rFonts w:ascii="宋体" w:hAnsi="宋体"/>
          <w:b/>
          <w:sz w:val="24"/>
          <w:highlight w:val="none"/>
        </w:rPr>
      </w:pPr>
    </w:p>
    <w:p>
      <w:pPr>
        <w:adjustRightInd w:val="0"/>
        <w:ind w:firstLine="3626"/>
        <w:rPr>
          <w:rFonts w:ascii="宋体" w:hAnsi="宋体"/>
          <w:b/>
          <w:sz w:val="24"/>
          <w:highlight w:val="none"/>
        </w:rPr>
      </w:pPr>
    </w:p>
    <w:p>
      <w:pPr>
        <w:adjustRightInd w:val="0"/>
        <w:ind w:firstLine="3626"/>
        <w:rPr>
          <w:rFonts w:ascii="宋体" w:hAnsi="宋体"/>
          <w:b/>
          <w:sz w:val="24"/>
          <w:highlight w:val="none"/>
        </w:rPr>
      </w:pPr>
    </w:p>
    <w:p>
      <w:pPr>
        <w:adjustRightInd w:val="0"/>
        <w:ind w:firstLine="3626"/>
        <w:rPr>
          <w:rFonts w:ascii="宋体" w:hAnsi="宋体"/>
          <w:b/>
          <w:sz w:val="24"/>
          <w:highlight w:val="none"/>
        </w:rPr>
      </w:pPr>
    </w:p>
    <w:p>
      <w:pPr>
        <w:adjustRightInd w:val="0"/>
        <w:jc w:val="center"/>
        <w:rPr>
          <w:rFonts w:ascii="黑体" w:hAnsi="黑体" w:eastAsia="黑体"/>
          <w:b/>
          <w:sz w:val="44"/>
          <w:szCs w:val="44"/>
          <w:highlight w:val="none"/>
        </w:rPr>
      </w:pPr>
    </w:p>
    <w:p>
      <w:pPr>
        <w:adjustRightInd w:val="0"/>
        <w:jc w:val="center"/>
        <w:rPr>
          <w:rFonts w:ascii="黑体" w:hAnsi="黑体" w:eastAsia="黑体"/>
          <w:b/>
          <w:sz w:val="44"/>
          <w:szCs w:val="44"/>
          <w:highlight w:val="none"/>
        </w:rPr>
      </w:pPr>
    </w:p>
    <w:p>
      <w:pPr>
        <w:adjustRightInd w:val="0"/>
        <w:jc w:val="center"/>
        <w:rPr>
          <w:rFonts w:ascii="黑体" w:hAnsi="黑体" w:eastAsia="黑体"/>
          <w:b/>
          <w:sz w:val="44"/>
          <w:szCs w:val="44"/>
          <w:highlight w:val="none"/>
        </w:rPr>
      </w:pPr>
      <w:r>
        <w:rPr>
          <w:rFonts w:hint="eastAsia" w:ascii="黑体" w:hAnsi="黑体" w:eastAsia="黑体"/>
          <w:b/>
          <w:sz w:val="44"/>
          <w:szCs w:val="44"/>
          <w:highlight w:val="none"/>
        </w:rPr>
        <w:t>佛山市恒益环保建材有限公司</w:t>
      </w:r>
    </w:p>
    <w:p>
      <w:pPr>
        <w:adjustRightInd w:val="0"/>
        <w:spacing w:beforeLines="50"/>
        <w:jc w:val="center"/>
        <w:rPr>
          <w:rFonts w:ascii="黑体" w:hAnsi="黑体" w:eastAsia="黑体"/>
          <w:b/>
          <w:sz w:val="44"/>
          <w:szCs w:val="44"/>
          <w:highlight w:val="none"/>
        </w:rPr>
      </w:pPr>
      <w:r>
        <w:rPr>
          <w:rFonts w:hint="eastAsia" w:ascii="黑体" w:hAnsi="黑体" w:eastAsia="黑体"/>
          <w:b/>
          <w:sz w:val="44"/>
          <w:szCs w:val="44"/>
          <w:highlight w:val="none"/>
        </w:rPr>
        <w:t>加气砌块生产辅助业务外委采购项目</w:t>
      </w:r>
    </w:p>
    <w:p>
      <w:pPr>
        <w:adjustRightInd w:val="0"/>
        <w:spacing w:beforeLines="50"/>
        <w:jc w:val="center"/>
        <w:rPr>
          <w:rFonts w:ascii="黑体" w:hAnsi="黑体" w:eastAsia="黑体"/>
          <w:b/>
          <w:sz w:val="44"/>
          <w:szCs w:val="44"/>
          <w:highlight w:val="none"/>
        </w:rPr>
      </w:pPr>
    </w:p>
    <w:p>
      <w:pPr>
        <w:adjustRightInd w:val="0"/>
        <w:spacing w:beforeLines="50"/>
        <w:jc w:val="center"/>
        <w:rPr>
          <w:rFonts w:ascii="黑体" w:hAnsi="黑体" w:eastAsia="黑体"/>
          <w:b/>
          <w:color w:val="FFFFFF"/>
          <w:sz w:val="44"/>
          <w:szCs w:val="44"/>
          <w:highlight w:val="none"/>
        </w:rPr>
      </w:pPr>
    </w:p>
    <w:p>
      <w:pPr>
        <w:adjustRightInd w:val="0"/>
        <w:spacing w:beforeLines="50"/>
        <w:jc w:val="center"/>
        <w:rPr>
          <w:rFonts w:ascii="黑体" w:hAnsi="黑体" w:eastAsia="黑体"/>
          <w:b/>
          <w:sz w:val="44"/>
          <w:szCs w:val="44"/>
          <w:highlight w:val="none"/>
        </w:rPr>
      </w:pPr>
      <w:r>
        <w:rPr>
          <w:rFonts w:hint="eastAsia" w:ascii="黑体" w:hAnsi="黑体" w:eastAsia="黑体"/>
          <w:b/>
          <w:sz w:val="44"/>
          <w:szCs w:val="44"/>
          <w:highlight w:val="none"/>
        </w:rPr>
        <w:t>招标文件</w:t>
      </w:r>
    </w:p>
    <w:p>
      <w:pPr>
        <w:adjustRightInd w:val="0"/>
        <w:spacing w:beforeLines="50"/>
        <w:jc w:val="center"/>
        <w:rPr>
          <w:rFonts w:hint="eastAsia" w:ascii="宋体" w:hAnsi="宋体" w:eastAsia="宋体"/>
          <w:b/>
          <w:sz w:val="30"/>
          <w:szCs w:val="30"/>
          <w:highlight w:val="none"/>
          <w:lang w:eastAsia="zh-CN"/>
        </w:rPr>
      </w:pPr>
      <w:r>
        <w:rPr>
          <w:rFonts w:hint="eastAsia" w:ascii="宋体" w:hAnsi="宋体"/>
          <w:b/>
          <w:sz w:val="30"/>
          <w:szCs w:val="30"/>
          <w:highlight w:val="none"/>
          <w:lang w:eastAsia="zh-CN"/>
        </w:rPr>
        <w:t>项目编号：GDZC-19GZ242</w:t>
      </w:r>
    </w:p>
    <w:p>
      <w:pPr>
        <w:adjustRightInd w:val="0"/>
        <w:ind w:firstLine="3626"/>
        <w:rPr>
          <w:rFonts w:ascii="宋体" w:hAnsi="宋体"/>
          <w:b/>
          <w:sz w:val="72"/>
          <w:highlight w:val="none"/>
        </w:rPr>
      </w:pPr>
    </w:p>
    <w:p>
      <w:pPr>
        <w:adjustRightInd w:val="0"/>
        <w:ind w:firstLine="3626"/>
        <w:rPr>
          <w:rFonts w:ascii="宋体" w:hAnsi="宋体"/>
          <w:b/>
          <w:sz w:val="24"/>
          <w:highlight w:val="none"/>
        </w:rPr>
      </w:pPr>
    </w:p>
    <w:p>
      <w:pPr>
        <w:adjustRightInd w:val="0"/>
        <w:ind w:firstLine="3626"/>
        <w:rPr>
          <w:rFonts w:ascii="宋体" w:hAnsi="宋体"/>
          <w:b/>
          <w:sz w:val="24"/>
          <w:highlight w:val="none"/>
        </w:rPr>
      </w:pPr>
    </w:p>
    <w:p>
      <w:pPr>
        <w:adjustRightInd w:val="0"/>
        <w:ind w:firstLine="3626"/>
        <w:rPr>
          <w:rFonts w:ascii="宋体" w:hAnsi="宋体"/>
          <w:b/>
          <w:sz w:val="24"/>
          <w:highlight w:val="none"/>
        </w:rPr>
      </w:pPr>
    </w:p>
    <w:p>
      <w:pPr>
        <w:adjustRightInd w:val="0"/>
        <w:rPr>
          <w:rFonts w:ascii="宋体" w:hAnsi="宋体"/>
          <w:b/>
          <w:sz w:val="24"/>
          <w:highlight w:val="none"/>
        </w:rPr>
      </w:pPr>
    </w:p>
    <w:p>
      <w:pPr>
        <w:adjustRightInd w:val="0"/>
        <w:ind w:firstLine="3626"/>
        <w:rPr>
          <w:rFonts w:ascii="宋体" w:hAnsi="宋体"/>
          <w:b/>
          <w:sz w:val="24"/>
          <w:highlight w:val="none"/>
        </w:rPr>
      </w:pPr>
    </w:p>
    <w:p>
      <w:pPr>
        <w:ind w:left="27" w:leftChars="-171" w:hanging="386" w:hangingChars="128"/>
        <w:jc w:val="center"/>
        <w:rPr>
          <w:rFonts w:ascii="宋体" w:hAnsi="宋体"/>
          <w:b/>
          <w:sz w:val="30"/>
          <w:szCs w:val="30"/>
          <w:highlight w:val="none"/>
        </w:rPr>
      </w:pPr>
    </w:p>
    <w:p>
      <w:pPr>
        <w:ind w:firstLine="1656" w:firstLineChars="550"/>
        <w:rPr>
          <w:rFonts w:ascii="宋体" w:hAnsi="宋体"/>
          <w:b/>
          <w:sz w:val="30"/>
          <w:szCs w:val="30"/>
          <w:highlight w:val="none"/>
        </w:rPr>
      </w:pPr>
      <w:r>
        <w:rPr>
          <w:rFonts w:hint="eastAsia" w:ascii="宋体" w:hAnsi="宋体"/>
          <w:b/>
          <w:sz w:val="30"/>
          <w:szCs w:val="30"/>
          <w:highlight w:val="none"/>
        </w:rPr>
        <w:t>招标人： 佛山市恒益环保建材有限公司</w:t>
      </w:r>
    </w:p>
    <w:p>
      <w:pPr>
        <w:ind w:firstLine="1606" w:firstLineChars="500"/>
        <w:rPr>
          <w:rFonts w:ascii="宋体" w:hAnsi="宋体"/>
          <w:b/>
          <w:sz w:val="30"/>
          <w:szCs w:val="30"/>
          <w:highlight w:val="none"/>
        </w:rPr>
      </w:pPr>
      <w:r>
        <w:rPr>
          <w:rFonts w:hint="eastAsia" w:ascii="宋体" w:hAnsi="宋体"/>
          <w:b/>
          <w:sz w:val="32"/>
          <w:szCs w:val="32"/>
          <w:highlight w:val="none"/>
        </w:rPr>
        <w:t>招标代理：</w:t>
      </w:r>
      <w:r>
        <w:rPr>
          <w:rFonts w:hint="eastAsia" w:ascii="宋体" w:hAnsi="宋体"/>
          <w:b/>
          <w:sz w:val="30"/>
          <w:szCs w:val="30"/>
          <w:highlight w:val="none"/>
        </w:rPr>
        <w:t xml:space="preserve"> 广东中采招标有限公司</w:t>
      </w:r>
    </w:p>
    <w:p>
      <w:pPr>
        <w:adjustRightInd w:val="0"/>
        <w:ind w:left="672" w:leftChars="-171" w:hanging="1031" w:hangingChars="321"/>
        <w:rPr>
          <w:rFonts w:ascii="宋体" w:hAnsi="宋体"/>
          <w:b/>
          <w:sz w:val="32"/>
          <w:szCs w:val="32"/>
          <w:highlight w:val="none"/>
        </w:rPr>
      </w:pPr>
    </w:p>
    <w:p>
      <w:pPr>
        <w:adjustRightInd w:val="0"/>
        <w:jc w:val="center"/>
        <w:rPr>
          <w:rFonts w:ascii="宋体" w:hAnsi="宋体"/>
          <w:b/>
          <w:sz w:val="32"/>
          <w:szCs w:val="32"/>
          <w:highlight w:val="none"/>
        </w:rPr>
      </w:pPr>
      <w:r>
        <w:rPr>
          <w:rFonts w:hint="eastAsia" w:ascii="宋体" w:hAnsi="宋体"/>
          <w:b/>
          <w:sz w:val="32"/>
          <w:szCs w:val="32"/>
          <w:highlight w:val="none"/>
        </w:rPr>
        <w:t>2019年10月</w:t>
      </w:r>
    </w:p>
    <w:p>
      <w:pPr>
        <w:adjustRightInd w:val="0"/>
        <w:ind w:left="540" w:leftChars="257" w:firstLine="3502" w:firstLineChars="1090"/>
        <w:rPr>
          <w:rFonts w:ascii="宋体" w:hAnsi="宋体"/>
          <w:b/>
          <w:sz w:val="32"/>
          <w:szCs w:val="32"/>
          <w:highlight w:val="none"/>
        </w:rPr>
      </w:pPr>
    </w:p>
    <w:p>
      <w:pPr>
        <w:pStyle w:val="225"/>
        <w:tabs>
          <w:tab w:val="left" w:pos="0"/>
          <w:tab w:val="clear" w:pos="432"/>
        </w:tabs>
        <w:ind w:left="0" w:firstLine="0"/>
        <w:jc w:val="center"/>
        <w:rPr>
          <w:sz w:val="28"/>
          <w:szCs w:val="28"/>
          <w:highlight w:val="none"/>
          <w:lang w:val="zh-CN" w:eastAsia="zh-CN"/>
        </w:rPr>
        <w:sectPr>
          <w:headerReference r:id="rId3" w:type="default"/>
          <w:pgSz w:w="11906" w:h="16838"/>
          <w:pgMar w:top="1474" w:right="1474" w:bottom="1474" w:left="1474" w:header="113" w:footer="851" w:gutter="0"/>
          <w:cols w:space="720" w:num="1"/>
          <w:docGrid w:type="lines" w:linePitch="312" w:charSpace="0"/>
        </w:sectPr>
      </w:pPr>
    </w:p>
    <w:p>
      <w:pPr>
        <w:pStyle w:val="225"/>
        <w:tabs>
          <w:tab w:val="left" w:pos="0"/>
          <w:tab w:val="clear" w:pos="432"/>
        </w:tabs>
        <w:ind w:left="0" w:firstLine="0"/>
        <w:jc w:val="center"/>
        <w:rPr>
          <w:sz w:val="28"/>
          <w:szCs w:val="28"/>
          <w:highlight w:val="none"/>
          <w:lang w:eastAsia="zh-CN"/>
        </w:rPr>
      </w:pPr>
      <w:r>
        <w:rPr>
          <w:sz w:val="28"/>
          <w:szCs w:val="28"/>
          <w:highlight w:val="none"/>
          <w:lang w:val="zh-CN" w:eastAsia="zh-CN"/>
        </w:rPr>
        <w:t>目录</w:t>
      </w:r>
    </w:p>
    <w:p>
      <w:pPr>
        <w:pStyle w:val="28"/>
        <w:tabs>
          <w:tab w:val="right" w:leader="dot" w:pos="8958"/>
        </w:tabs>
        <w:rPr>
          <w:rFonts w:ascii="宋体" w:hAnsi="宋体"/>
          <w:b w:val="0"/>
          <w:bCs w:val="0"/>
          <w:caps w:val="0"/>
          <w:smallCaps/>
          <w:szCs w:val="24"/>
          <w:highlight w:val="none"/>
        </w:rPr>
      </w:pPr>
      <w:r>
        <w:rPr>
          <w:rFonts w:ascii="宋体" w:hAnsi="宋体"/>
          <w:b w:val="0"/>
          <w:bCs w:val="0"/>
          <w:caps w:val="0"/>
          <w:smallCaps/>
          <w:szCs w:val="24"/>
          <w:highlight w:val="none"/>
        </w:rPr>
        <w:fldChar w:fldCharType="begin"/>
      </w:r>
      <w:r>
        <w:rPr>
          <w:rFonts w:ascii="宋体" w:hAnsi="宋体"/>
          <w:b w:val="0"/>
          <w:bCs w:val="0"/>
          <w:caps w:val="0"/>
          <w:smallCaps/>
          <w:szCs w:val="24"/>
          <w:highlight w:val="none"/>
        </w:rPr>
        <w:instrText xml:space="preserve"> TOC \o "1-3" \h \z \u </w:instrText>
      </w:r>
      <w:r>
        <w:rPr>
          <w:rFonts w:ascii="宋体" w:hAnsi="宋体"/>
          <w:b w:val="0"/>
          <w:bCs w:val="0"/>
          <w:caps w:val="0"/>
          <w:smallCaps/>
          <w:szCs w:val="24"/>
          <w:highlight w:val="none"/>
        </w:rPr>
        <w:fldChar w:fldCharType="separate"/>
      </w:r>
      <w:r>
        <w:rPr>
          <w:rFonts w:ascii="宋体" w:hAnsi="宋体"/>
          <w:b w:val="0"/>
          <w:bCs w:val="0"/>
          <w:caps w:val="0"/>
          <w:smallCaps/>
          <w:szCs w:val="24"/>
          <w:highlight w:val="none"/>
        </w:rPr>
        <w:fldChar w:fldCharType="begin"/>
      </w:r>
      <w:r>
        <w:rPr>
          <w:rFonts w:ascii="宋体" w:hAnsi="宋体"/>
          <w:b w:val="0"/>
          <w:bCs w:val="0"/>
          <w:caps w:val="0"/>
          <w:smallCaps/>
          <w:szCs w:val="24"/>
          <w:highlight w:val="none"/>
        </w:rPr>
        <w:instrText xml:space="preserve">HYPERLINK \l "_Toc3971"</w:instrText>
      </w:r>
      <w:r>
        <w:rPr>
          <w:rFonts w:ascii="宋体" w:hAnsi="宋体"/>
          <w:b w:val="0"/>
          <w:bCs w:val="0"/>
          <w:caps w:val="0"/>
          <w:smallCaps/>
          <w:szCs w:val="24"/>
          <w:highlight w:val="none"/>
        </w:rPr>
        <w:fldChar w:fldCharType="separate"/>
      </w:r>
      <w:r>
        <w:rPr>
          <w:rFonts w:hint="eastAsia" w:ascii="宋体" w:hAnsi="宋体" w:cs="Times New Roman"/>
          <w:b w:val="0"/>
          <w:bCs w:val="0"/>
          <w:caps w:val="0"/>
          <w:smallCaps/>
          <w:szCs w:val="24"/>
          <w:highlight w:val="none"/>
        </w:rPr>
        <w:t>第一章  招标公告</w:t>
      </w:r>
      <w:r>
        <w:rPr>
          <w:rFonts w:ascii="宋体" w:hAnsi="宋体"/>
          <w:b w:val="0"/>
          <w:bCs w:val="0"/>
          <w:caps w:val="0"/>
          <w:smallCaps/>
          <w:szCs w:val="24"/>
          <w:highlight w:val="none"/>
        </w:rPr>
        <w:tab/>
      </w:r>
      <w:r>
        <w:rPr>
          <w:rFonts w:ascii="宋体" w:hAnsi="宋体"/>
          <w:b w:val="0"/>
          <w:bCs w:val="0"/>
          <w:caps w:val="0"/>
          <w:smallCaps/>
          <w:szCs w:val="24"/>
          <w:highlight w:val="none"/>
        </w:rPr>
        <w:fldChar w:fldCharType="begin"/>
      </w:r>
      <w:r>
        <w:rPr>
          <w:rFonts w:ascii="宋体" w:hAnsi="宋体"/>
          <w:b w:val="0"/>
          <w:bCs w:val="0"/>
          <w:caps w:val="0"/>
          <w:smallCaps/>
          <w:szCs w:val="24"/>
          <w:highlight w:val="none"/>
        </w:rPr>
        <w:instrText xml:space="preserve"> PAGEREF _Toc3971 </w:instrText>
      </w:r>
      <w:r>
        <w:rPr>
          <w:rFonts w:ascii="宋体" w:hAnsi="宋体"/>
          <w:b w:val="0"/>
          <w:bCs w:val="0"/>
          <w:caps w:val="0"/>
          <w:smallCaps/>
          <w:szCs w:val="24"/>
          <w:highlight w:val="none"/>
        </w:rPr>
        <w:fldChar w:fldCharType="separate"/>
      </w:r>
      <w:r>
        <w:rPr>
          <w:rFonts w:ascii="宋体" w:hAnsi="宋体"/>
          <w:b w:val="0"/>
          <w:bCs w:val="0"/>
          <w:caps w:val="0"/>
          <w:smallCaps/>
          <w:szCs w:val="24"/>
          <w:highlight w:val="none"/>
        </w:rPr>
        <w:t>4</w:t>
      </w:r>
      <w:r>
        <w:rPr>
          <w:rFonts w:ascii="宋体" w:hAnsi="宋体"/>
          <w:b w:val="0"/>
          <w:bCs w:val="0"/>
          <w:caps w:val="0"/>
          <w:smallCaps/>
          <w:szCs w:val="24"/>
          <w:highlight w:val="none"/>
        </w:rPr>
        <w:fldChar w:fldCharType="end"/>
      </w:r>
      <w:r>
        <w:rPr>
          <w:rFonts w:ascii="宋体" w:hAnsi="宋体"/>
          <w:b w:val="0"/>
          <w:bCs w:val="0"/>
          <w:caps w:val="0"/>
          <w:smallCaps/>
          <w:szCs w:val="24"/>
          <w:highlight w:val="none"/>
        </w:rPr>
        <w:fldChar w:fldCharType="end"/>
      </w:r>
    </w:p>
    <w:p>
      <w:pPr>
        <w:pStyle w:val="28"/>
        <w:tabs>
          <w:tab w:val="right" w:leader="dot" w:pos="8958"/>
        </w:tabs>
        <w:rPr>
          <w:rFonts w:ascii="宋体" w:hAnsi="宋体"/>
          <w:b w:val="0"/>
          <w:bCs w:val="0"/>
          <w:caps w:val="0"/>
          <w:smallCaps/>
          <w:szCs w:val="24"/>
          <w:highlight w:val="none"/>
        </w:rPr>
      </w:pPr>
      <w:r>
        <w:rPr>
          <w:rFonts w:ascii="宋体" w:hAnsi="宋体"/>
          <w:b w:val="0"/>
          <w:bCs w:val="0"/>
          <w:caps w:val="0"/>
          <w:smallCaps/>
          <w:szCs w:val="24"/>
          <w:highlight w:val="none"/>
        </w:rPr>
        <w:fldChar w:fldCharType="begin"/>
      </w:r>
      <w:r>
        <w:rPr>
          <w:rFonts w:ascii="宋体" w:hAnsi="宋体"/>
          <w:b w:val="0"/>
          <w:bCs w:val="0"/>
          <w:caps w:val="0"/>
          <w:smallCaps/>
          <w:szCs w:val="24"/>
          <w:highlight w:val="none"/>
        </w:rPr>
        <w:instrText xml:space="preserve">HYPERLINK \l "_Toc23278"</w:instrText>
      </w:r>
      <w:r>
        <w:rPr>
          <w:rFonts w:ascii="宋体" w:hAnsi="宋体"/>
          <w:b w:val="0"/>
          <w:bCs w:val="0"/>
          <w:caps w:val="0"/>
          <w:smallCaps/>
          <w:szCs w:val="24"/>
          <w:highlight w:val="none"/>
        </w:rPr>
        <w:fldChar w:fldCharType="separate"/>
      </w:r>
      <w:r>
        <w:rPr>
          <w:rFonts w:hint="eastAsia" w:ascii="宋体" w:hAnsi="宋体" w:cs="Times New Roman"/>
          <w:b w:val="0"/>
          <w:bCs w:val="0"/>
          <w:caps w:val="0"/>
          <w:smallCaps/>
          <w:szCs w:val="24"/>
          <w:highlight w:val="none"/>
        </w:rPr>
        <w:t>第二章  投标人须知</w:t>
      </w:r>
      <w:r>
        <w:rPr>
          <w:rFonts w:ascii="宋体" w:hAnsi="宋体"/>
          <w:b w:val="0"/>
          <w:bCs w:val="0"/>
          <w:caps w:val="0"/>
          <w:smallCaps/>
          <w:szCs w:val="24"/>
          <w:highlight w:val="none"/>
        </w:rPr>
        <w:tab/>
      </w:r>
      <w:r>
        <w:rPr>
          <w:rFonts w:ascii="宋体" w:hAnsi="宋体"/>
          <w:b w:val="0"/>
          <w:bCs w:val="0"/>
          <w:caps w:val="0"/>
          <w:smallCaps/>
          <w:szCs w:val="24"/>
          <w:highlight w:val="none"/>
        </w:rPr>
        <w:fldChar w:fldCharType="begin"/>
      </w:r>
      <w:r>
        <w:rPr>
          <w:rFonts w:ascii="宋体" w:hAnsi="宋体"/>
          <w:b w:val="0"/>
          <w:bCs w:val="0"/>
          <w:caps w:val="0"/>
          <w:smallCaps/>
          <w:szCs w:val="24"/>
          <w:highlight w:val="none"/>
        </w:rPr>
        <w:instrText xml:space="preserve"> PAGEREF _Toc23278 </w:instrText>
      </w:r>
      <w:r>
        <w:rPr>
          <w:rFonts w:ascii="宋体" w:hAnsi="宋体"/>
          <w:b w:val="0"/>
          <w:bCs w:val="0"/>
          <w:caps w:val="0"/>
          <w:smallCaps/>
          <w:szCs w:val="24"/>
          <w:highlight w:val="none"/>
        </w:rPr>
        <w:fldChar w:fldCharType="separate"/>
      </w:r>
      <w:r>
        <w:rPr>
          <w:rFonts w:ascii="宋体" w:hAnsi="宋体"/>
          <w:b w:val="0"/>
          <w:bCs w:val="0"/>
          <w:caps w:val="0"/>
          <w:smallCaps/>
          <w:szCs w:val="24"/>
          <w:highlight w:val="none"/>
        </w:rPr>
        <w:t>7</w:t>
      </w:r>
      <w:r>
        <w:rPr>
          <w:rFonts w:ascii="宋体" w:hAnsi="宋体"/>
          <w:b w:val="0"/>
          <w:bCs w:val="0"/>
          <w:caps w:val="0"/>
          <w:smallCaps/>
          <w:szCs w:val="24"/>
          <w:highlight w:val="none"/>
        </w:rPr>
        <w:fldChar w:fldCharType="end"/>
      </w:r>
      <w:r>
        <w:rPr>
          <w:rFonts w:ascii="宋体" w:hAnsi="宋体"/>
          <w:b w:val="0"/>
          <w:bCs w:val="0"/>
          <w:caps w:val="0"/>
          <w:smallCaps/>
          <w:szCs w:val="24"/>
          <w:highlight w:val="none"/>
        </w:rPr>
        <w:fldChar w:fldCharType="end"/>
      </w:r>
    </w:p>
    <w:p>
      <w:pPr>
        <w:pStyle w:val="33"/>
        <w:tabs>
          <w:tab w:val="right" w:leader="dot" w:pos="8958"/>
        </w:tabs>
        <w:rPr>
          <w:rFonts w:ascii="宋体" w:hAnsi="宋体"/>
          <w:szCs w:val="24"/>
          <w:highlight w:val="none"/>
        </w:rPr>
      </w:pPr>
      <w:r>
        <w:rPr>
          <w:rFonts w:ascii="宋体" w:hAnsi="宋体"/>
          <w:szCs w:val="24"/>
          <w:highlight w:val="none"/>
        </w:rPr>
        <w:fldChar w:fldCharType="begin"/>
      </w:r>
      <w:r>
        <w:rPr>
          <w:rFonts w:ascii="宋体" w:hAnsi="宋体"/>
          <w:szCs w:val="24"/>
          <w:highlight w:val="none"/>
        </w:rPr>
        <w:instrText xml:space="preserve">HYPERLINK \l "_Toc27501"</w:instrText>
      </w:r>
      <w:r>
        <w:rPr>
          <w:rFonts w:ascii="宋体" w:hAnsi="宋体"/>
          <w:szCs w:val="24"/>
          <w:highlight w:val="none"/>
        </w:rPr>
        <w:fldChar w:fldCharType="separate"/>
      </w:r>
      <w:r>
        <w:rPr>
          <w:rFonts w:hint="eastAsia" w:ascii="宋体" w:hAnsi="宋体"/>
          <w:szCs w:val="24"/>
          <w:highlight w:val="none"/>
        </w:rPr>
        <w:t>一、投标人须知前附表</w:t>
      </w:r>
      <w:r>
        <w:rPr>
          <w:rFonts w:ascii="宋体" w:hAnsi="宋体"/>
          <w:szCs w:val="24"/>
          <w:highlight w:val="none"/>
        </w:rPr>
        <w:tab/>
      </w:r>
      <w:r>
        <w:rPr>
          <w:rFonts w:ascii="宋体" w:hAnsi="宋体"/>
          <w:szCs w:val="24"/>
          <w:highlight w:val="none"/>
        </w:rPr>
        <w:fldChar w:fldCharType="begin"/>
      </w:r>
      <w:r>
        <w:rPr>
          <w:rFonts w:ascii="宋体" w:hAnsi="宋体"/>
          <w:szCs w:val="24"/>
          <w:highlight w:val="none"/>
        </w:rPr>
        <w:instrText xml:space="preserve"> PAGEREF _Toc27501 </w:instrText>
      </w:r>
      <w:r>
        <w:rPr>
          <w:rFonts w:ascii="宋体" w:hAnsi="宋体"/>
          <w:szCs w:val="24"/>
          <w:highlight w:val="none"/>
        </w:rPr>
        <w:fldChar w:fldCharType="separate"/>
      </w:r>
      <w:r>
        <w:rPr>
          <w:rFonts w:ascii="宋体" w:hAnsi="宋体"/>
          <w:szCs w:val="24"/>
          <w:highlight w:val="none"/>
        </w:rPr>
        <w:t>7</w:t>
      </w:r>
      <w:r>
        <w:rPr>
          <w:rFonts w:ascii="宋体" w:hAnsi="宋体"/>
          <w:szCs w:val="24"/>
          <w:highlight w:val="none"/>
        </w:rPr>
        <w:fldChar w:fldCharType="end"/>
      </w:r>
      <w:r>
        <w:rPr>
          <w:rFonts w:ascii="宋体" w:hAnsi="宋体"/>
          <w:szCs w:val="24"/>
          <w:highlight w:val="none"/>
        </w:rPr>
        <w:fldChar w:fldCharType="end"/>
      </w:r>
    </w:p>
    <w:p>
      <w:pPr>
        <w:pStyle w:val="33"/>
        <w:tabs>
          <w:tab w:val="right" w:leader="dot" w:pos="8958"/>
        </w:tabs>
        <w:rPr>
          <w:rFonts w:ascii="宋体" w:hAnsi="宋体"/>
          <w:szCs w:val="24"/>
          <w:highlight w:val="none"/>
        </w:rPr>
      </w:pPr>
      <w:r>
        <w:rPr>
          <w:rFonts w:ascii="宋体" w:hAnsi="宋体"/>
          <w:szCs w:val="24"/>
          <w:highlight w:val="none"/>
        </w:rPr>
        <w:fldChar w:fldCharType="begin"/>
      </w:r>
      <w:r>
        <w:rPr>
          <w:rFonts w:ascii="宋体" w:hAnsi="宋体"/>
          <w:szCs w:val="24"/>
          <w:highlight w:val="none"/>
        </w:rPr>
        <w:instrText xml:space="preserve">HYPERLINK \l "_Toc9630"</w:instrText>
      </w:r>
      <w:r>
        <w:rPr>
          <w:rFonts w:ascii="宋体" w:hAnsi="宋体"/>
          <w:szCs w:val="24"/>
          <w:highlight w:val="none"/>
        </w:rPr>
        <w:fldChar w:fldCharType="separate"/>
      </w:r>
      <w:r>
        <w:rPr>
          <w:rFonts w:hint="eastAsia" w:ascii="宋体" w:hAnsi="宋体" w:eastAsia="宋体"/>
          <w:szCs w:val="24"/>
          <w:highlight w:val="none"/>
        </w:rPr>
        <w:t>二、投标人须知通用条款</w:t>
      </w:r>
      <w:r>
        <w:rPr>
          <w:rFonts w:ascii="宋体" w:hAnsi="宋体"/>
          <w:szCs w:val="24"/>
          <w:highlight w:val="none"/>
        </w:rPr>
        <w:tab/>
      </w:r>
      <w:r>
        <w:rPr>
          <w:rFonts w:ascii="宋体" w:hAnsi="宋体"/>
          <w:szCs w:val="24"/>
          <w:highlight w:val="none"/>
        </w:rPr>
        <w:fldChar w:fldCharType="begin"/>
      </w:r>
      <w:r>
        <w:rPr>
          <w:rFonts w:ascii="宋体" w:hAnsi="宋体"/>
          <w:szCs w:val="24"/>
          <w:highlight w:val="none"/>
        </w:rPr>
        <w:instrText xml:space="preserve"> PAGEREF _Toc9630 </w:instrText>
      </w:r>
      <w:r>
        <w:rPr>
          <w:rFonts w:ascii="宋体" w:hAnsi="宋体"/>
          <w:szCs w:val="24"/>
          <w:highlight w:val="none"/>
        </w:rPr>
        <w:fldChar w:fldCharType="separate"/>
      </w:r>
      <w:r>
        <w:rPr>
          <w:rFonts w:ascii="宋体" w:hAnsi="宋体"/>
          <w:szCs w:val="24"/>
          <w:highlight w:val="none"/>
        </w:rPr>
        <w:t>10</w:t>
      </w:r>
      <w:r>
        <w:rPr>
          <w:rFonts w:ascii="宋体" w:hAnsi="宋体"/>
          <w:szCs w:val="24"/>
          <w:highlight w:val="none"/>
        </w:rPr>
        <w:fldChar w:fldCharType="end"/>
      </w:r>
      <w:r>
        <w:rPr>
          <w:rFonts w:ascii="宋体" w:hAnsi="宋体"/>
          <w:szCs w:val="24"/>
          <w:highlight w:val="none"/>
        </w:rPr>
        <w:fldChar w:fldCharType="end"/>
      </w:r>
    </w:p>
    <w:p>
      <w:pPr>
        <w:pStyle w:val="33"/>
        <w:tabs>
          <w:tab w:val="right" w:leader="dot" w:pos="8958"/>
        </w:tabs>
        <w:rPr>
          <w:rFonts w:ascii="宋体" w:hAnsi="宋体"/>
          <w:szCs w:val="24"/>
          <w:highlight w:val="none"/>
        </w:rPr>
      </w:pPr>
      <w:r>
        <w:rPr>
          <w:rFonts w:ascii="宋体" w:hAnsi="宋体"/>
          <w:szCs w:val="24"/>
          <w:highlight w:val="none"/>
        </w:rPr>
        <w:fldChar w:fldCharType="begin"/>
      </w:r>
      <w:r>
        <w:rPr>
          <w:rFonts w:ascii="宋体" w:hAnsi="宋体"/>
          <w:szCs w:val="24"/>
          <w:highlight w:val="none"/>
        </w:rPr>
        <w:instrText xml:space="preserve">HYPERLINK \l "_Toc10287"</w:instrText>
      </w:r>
      <w:r>
        <w:rPr>
          <w:rFonts w:ascii="宋体" w:hAnsi="宋体"/>
          <w:szCs w:val="24"/>
          <w:highlight w:val="none"/>
        </w:rPr>
        <w:fldChar w:fldCharType="separate"/>
      </w:r>
      <w:r>
        <w:rPr>
          <w:rFonts w:hint="eastAsia" w:ascii="宋体" w:hAnsi="宋体" w:eastAsia="宋体"/>
          <w:szCs w:val="24"/>
          <w:highlight w:val="none"/>
        </w:rPr>
        <w:t>（一）总则</w:t>
      </w:r>
      <w:r>
        <w:rPr>
          <w:rFonts w:ascii="宋体" w:hAnsi="宋体"/>
          <w:szCs w:val="24"/>
          <w:highlight w:val="none"/>
        </w:rPr>
        <w:tab/>
      </w:r>
      <w:r>
        <w:rPr>
          <w:rFonts w:ascii="宋体" w:hAnsi="宋体"/>
          <w:szCs w:val="24"/>
          <w:highlight w:val="none"/>
        </w:rPr>
        <w:fldChar w:fldCharType="begin"/>
      </w:r>
      <w:r>
        <w:rPr>
          <w:rFonts w:ascii="宋体" w:hAnsi="宋体"/>
          <w:szCs w:val="24"/>
          <w:highlight w:val="none"/>
        </w:rPr>
        <w:instrText xml:space="preserve"> PAGEREF _Toc10287 </w:instrText>
      </w:r>
      <w:r>
        <w:rPr>
          <w:rFonts w:ascii="宋体" w:hAnsi="宋体"/>
          <w:szCs w:val="24"/>
          <w:highlight w:val="none"/>
        </w:rPr>
        <w:fldChar w:fldCharType="separate"/>
      </w:r>
      <w:r>
        <w:rPr>
          <w:rFonts w:ascii="宋体" w:hAnsi="宋体"/>
          <w:szCs w:val="24"/>
          <w:highlight w:val="none"/>
        </w:rPr>
        <w:t>10</w:t>
      </w:r>
      <w:r>
        <w:rPr>
          <w:rFonts w:ascii="宋体" w:hAnsi="宋体"/>
          <w:szCs w:val="24"/>
          <w:highlight w:val="none"/>
        </w:rPr>
        <w:fldChar w:fldCharType="end"/>
      </w:r>
      <w:r>
        <w:rPr>
          <w:rFonts w:ascii="宋体" w:hAnsi="宋体"/>
          <w:szCs w:val="24"/>
          <w:highlight w:val="none"/>
        </w:rPr>
        <w:fldChar w:fldCharType="end"/>
      </w:r>
    </w:p>
    <w:p>
      <w:pPr>
        <w:pStyle w:val="21"/>
        <w:tabs>
          <w:tab w:val="right" w:leader="dot" w:pos="8958"/>
          <w:tab w:val="clear" w:pos="8303"/>
        </w:tabs>
        <w:ind w:firstLine="200"/>
        <w:rPr>
          <w:rFonts w:ascii="宋体" w:hAnsi="宋体"/>
          <w:smallCaps/>
          <w:sz w:val="20"/>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"_Toc28805"</w:instrText>
      </w:r>
      <w:r>
        <w:rPr>
          <w:rFonts w:ascii="宋体" w:hAnsi="宋体"/>
          <w:smallCaps/>
          <w:sz w:val="20"/>
          <w:highlight w:val="none"/>
        </w:rPr>
        <w:fldChar w:fldCharType="separate"/>
      </w:r>
      <w:r>
        <w:rPr>
          <w:rFonts w:ascii="宋体" w:hAnsi="宋体"/>
          <w:smallCaps/>
          <w:sz w:val="20"/>
          <w:highlight w:val="none"/>
        </w:rPr>
        <w:t xml:space="preserve">1. </w:t>
      </w:r>
      <w:r>
        <w:rPr>
          <w:rFonts w:hint="eastAsia" w:ascii="宋体" w:hAnsi="宋体" w:eastAsia="宋体"/>
          <w:smallCaps/>
          <w:sz w:val="20"/>
          <w:szCs w:val="24"/>
          <w:highlight w:val="none"/>
        </w:rPr>
        <w:t>适用范围</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_Toc28805 </w:instrText>
      </w:r>
      <w:r>
        <w:rPr>
          <w:rFonts w:ascii="宋体" w:hAnsi="宋体"/>
          <w:smallCaps/>
          <w:sz w:val="20"/>
          <w:highlight w:val="none"/>
        </w:rPr>
        <w:fldChar w:fldCharType="separate"/>
      </w:r>
      <w:r>
        <w:rPr>
          <w:rFonts w:ascii="宋体" w:hAnsi="宋体"/>
          <w:smallCaps/>
          <w:sz w:val="20"/>
          <w:highlight w:val="none"/>
        </w:rPr>
        <w:t>10</w:t>
      </w:r>
      <w:r>
        <w:rPr>
          <w:rFonts w:ascii="宋体" w:hAnsi="宋体"/>
          <w:smallCaps/>
          <w:sz w:val="20"/>
          <w:highlight w:val="none"/>
        </w:rPr>
        <w:fldChar w:fldCharType="end"/>
      </w:r>
      <w:r>
        <w:rPr>
          <w:rFonts w:ascii="宋体" w:hAnsi="宋体"/>
          <w:smallCaps/>
          <w:sz w:val="20"/>
          <w:highlight w:val="none"/>
        </w:rPr>
        <w:fldChar w:fldCharType="end"/>
      </w:r>
    </w:p>
    <w:p>
      <w:pPr>
        <w:pStyle w:val="21"/>
        <w:tabs>
          <w:tab w:val="right" w:leader="dot" w:pos="8958"/>
          <w:tab w:val="clear" w:pos="8303"/>
        </w:tabs>
        <w:ind w:firstLine="200"/>
        <w:rPr>
          <w:rFonts w:ascii="宋体" w:hAnsi="宋体"/>
          <w:smallCaps/>
          <w:sz w:val="20"/>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"_Toc15638"</w:instrText>
      </w:r>
      <w:r>
        <w:rPr>
          <w:rFonts w:ascii="宋体" w:hAnsi="宋体"/>
          <w:smallCaps/>
          <w:sz w:val="20"/>
          <w:highlight w:val="none"/>
        </w:rPr>
        <w:fldChar w:fldCharType="separate"/>
      </w:r>
      <w:r>
        <w:rPr>
          <w:rFonts w:ascii="宋体" w:hAnsi="宋体"/>
          <w:smallCaps/>
          <w:sz w:val="20"/>
          <w:highlight w:val="none"/>
        </w:rPr>
        <w:t xml:space="preserve">2. </w:t>
      </w:r>
      <w:r>
        <w:rPr>
          <w:rFonts w:hint="eastAsia" w:ascii="宋体" w:hAnsi="宋体" w:eastAsia="宋体"/>
          <w:smallCaps/>
          <w:sz w:val="20"/>
          <w:szCs w:val="24"/>
          <w:highlight w:val="none"/>
        </w:rPr>
        <w:t>项目说明</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_Toc15638 </w:instrText>
      </w:r>
      <w:r>
        <w:rPr>
          <w:rFonts w:ascii="宋体" w:hAnsi="宋体"/>
          <w:smallCaps/>
          <w:sz w:val="20"/>
          <w:highlight w:val="none"/>
        </w:rPr>
        <w:fldChar w:fldCharType="separate"/>
      </w:r>
      <w:r>
        <w:rPr>
          <w:rFonts w:ascii="宋体" w:hAnsi="宋体"/>
          <w:smallCaps/>
          <w:sz w:val="20"/>
          <w:highlight w:val="none"/>
        </w:rPr>
        <w:t>10</w:t>
      </w:r>
      <w:r>
        <w:rPr>
          <w:rFonts w:ascii="宋体" w:hAnsi="宋体"/>
          <w:smallCaps/>
          <w:sz w:val="20"/>
          <w:highlight w:val="none"/>
        </w:rPr>
        <w:fldChar w:fldCharType="end"/>
      </w:r>
      <w:r>
        <w:rPr>
          <w:rFonts w:ascii="宋体" w:hAnsi="宋体"/>
          <w:smallCaps/>
          <w:sz w:val="20"/>
          <w:highlight w:val="none"/>
        </w:rPr>
        <w:fldChar w:fldCharType="end"/>
      </w:r>
    </w:p>
    <w:p>
      <w:pPr>
        <w:pStyle w:val="21"/>
        <w:tabs>
          <w:tab w:val="right" w:leader="dot" w:pos="8958"/>
          <w:tab w:val="clear" w:pos="8303"/>
        </w:tabs>
        <w:ind w:firstLine="200"/>
        <w:rPr>
          <w:rFonts w:ascii="宋体" w:hAnsi="宋体"/>
          <w:smallCaps/>
          <w:sz w:val="20"/>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"_Toc26009"</w:instrText>
      </w:r>
      <w:r>
        <w:rPr>
          <w:rFonts w:ascii="宋体" w:hAnsi="宋体"/>
          <w:smallCaps/>
          <w:sz w:val="20"/>
          <w:highlight w:val="none"/>
        </w:rPr>
        <w:fldChar w:fldCharType="separate"/>
      </w:r>
      <w:r>
        <w:rPr>
          <w:rFonts w:ascii="宋体" w:hAnsi="宋体"/>
          <w:smallCaps/>
          <w:sz w:val="20"/>
          <w:highlight w:val="none"/>
        </w:rPr>
        <w:t xml:space="preserve">3. </w:t>
      </w:r>
      <w:r>
        <w:rPr>
          <w:rFonts w:hint="eastAsia" w:ascii="宋体" w:hAnsi="宋体" w:eastAsia="宋体"/>
          <w:smallCaps/>
          <w:sz w:val="20"/>
          <w:szCs w:val="24"/>
          <w:highlight w:val="none"/>
        </w:rPr>
        <w:t>定义及解释</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_Toc26009 </w:instrText>
      </w:r>
      <w:r>
        <w:rPr>
          <w:rFonts w:ascii="宋体" w:hAnsi="宋体"/>
          <w:smallCaps/>
          <w:sz w:val="20"/>
          <w:highlight w:val="none"/>
        </w:rPr>
        <w:fldChar w:fldCharType="separate"/>
      </w:r>
      <w:r>
        <w:rPr>
          <w:rFonts w:ascii="宋体" w:hAnsi="宋体"/>
          <w:smallCaps/>
          <w:sz w:val="20"/>
          <w:highlight w:val="none"/>
        </w:rPr>
        <w:t>10</w:t>
      </w:r>
      <w:r>
        <w:rPr>
          <w:rFonts w:ascii="宋体" w:hAnsi="宋体"/>
          <w:smallCaps/>
          <w:sz w:val="20"/>
          <w:highlight w:val="none"/>
        </w:rPr>
        <w:fldChar w:fldCharType="end"/>
      </w:r>
      <w:r>
        <w:rPr>
          <w:rFonts w:ascii="宋体" w:hAnsi="宋体"/>
          <w:smallCaps/>
          <w:sz w:val="20"/>
          <w:highlight w:val="none"/>
        </w:rPr>
        <w:fldChar w:fldCharType="end"/>
      </w:r>
    </w:p>
    <w:p>
      <w:pPr>
        <w:pStyle w:val="21"/>
        <w:tabs>
          <w:tab w:val="right" w:leader="dot" w:pos="8958"/>
          <w:tab w:val="clear" w:pos="8303"/>
        </w:tabs>
        <w:ind w:firstLine="200"/>
        <w:rPr>
          <w:rFonts w:ascii="宋体" w:hAnsi="宋体"/>
          <w:smallCaps/>
          <w:sz w:val="20"/>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"_Toc1178"</w:instrText>
      </w:r>
      <w:r>
        <w:rPr>
          <w:rFonts w:ascii="宋体" w:hAnsi="宋体"/>
          <w:smallCaps/>
          <w:sz w:val="20"/>
          <w:highlight w:val="none"/>
        </w:rPr>
        <w:fldChar w:fldCharType="separate"/>
      </w:r>
      <w:r>
        <w:rPr>
          <w:rFonts w:ascii="宋体" w:hAnsi="宋体"/>
          <w:smallCaps/>
          <w:sz w:val="20"/>
          <w:highlight w:val="none"/>
        </w:rPr>
        <w:t xml:space="preserve">4. </w:t>
      </w:r>
      <w:r>
        <w:rPr>
          <w:rFonts w:hint="eastAsia" w:ascii="宋体" w:hAnsi="宋体" w:eastAsia="宋体"/>
          <w:smallCaps/>
          <w:sz w:val="20"/>
          <w:szCs w:val="24"/>
          <w:highlight w:val="none"/>
        </w:rPr>
        <w:t>招标采购</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_Toc1178 </w:instrText>
      </w:r>
      <w:r>
        <w:rPr>
          <w:rFonts w:ascii="宋体" w:hAnsi="宋体"/>
          <w:smallCaps/>
          <w:sz w:val="20"/>
          <w:highlight w:val="none"/>
        </w:rPr>
        <w:fldChar w:fldCharType="separate"/>
      </w:r>
      <w:r>
        <w:rPr>
          <w:rFonts w:ascii="宋体" w:hAnsi="宋体"/>
          <w:smallCaps/>
          <w:sz w:val="20"/>
          <w:highlight w:val="none"/>
        </w:rPr>
        <w:t>10</w:t>
      </w:r>
      <w:r>
        <w:rPr>
          <w:rFonts w:ascii="宋体" w:hAnsi="宋体"/>
          <w:smallCaps/>
          <w:sz w:val="20"/>
          <w:highlight w:val="none"/>
        </w:rPr>
        <w:fldChar w:fldCharType="end"/>
      </w:r>
      <w:r>
        <w:rPr>
          <w:rFonts w:ascii="宋体" w:hAnsi="宋体"/>
          <w:smallCaps/>
          <w:sz w:val="20"/>
          <w:highlight w:val="none"/>
        </w:rPr>
        <w:fldChar w:fldCharType="end"/>
      </w:r>
    </w:p>
    <w:p>
      <w:pPr>
        <w:pStyle w:val="21"/>
        <w:tabs>
          <w:tab w:val="right" w:leader="dot" w:pos="8958"/>
          <w:tab w:val="clear" w:pos="8303"/>
        </w:tabs>
        <w:ind w:firstLine="200"/>
        <w:rPr>
          <w:rFonts w:ascii="宋体" w:hAnsi="宋体"/>
          <w:smallCaps/>
          <w:sz w:val="20"/>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"_Toc21608"</w:instrText>
      </w:r>
      <w:r>
        <w:rPr>
          <w:rFonts w:ascii="宋体" w:hAnsi="宋体"/>
          <w:smallCaps/>
          <w:sz w:val="20"/>
          <w:highlight w:val="none"/>
        </w:rPr>
        <w:fldChar w:fldCharType="separate"/>
      </w:r>
      <w:r>
        <w:rPr>
          <w:rFonts w:ascii="宋体" w:hAnsi="宋体"/>
          <w:smallCaps/>
          <w:sz w:val="20"/>
          <w:highlight w:val="none"/>
        </w:rPr>
        <w:t xml:space="preserve">5. </w:t>
      </w:r>
      <w:r>
        <w:rPr>
          <w:rFonts w:hint="eastAsia" w:ascii="宋体" w:hAnsi="宋体" w:eastAsia="宋体"/>
          <w:smallCaps/>
          <w:sz w:val="20"/>
          <w:szCs w:val="24"/>
          <w:highlight w:val="none"/>
        </w:rPr>
        <w:t>合格的投标人条件</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_Toc21608 </w:instrText>
      </w:r>
      <w:r>
        <w:rPr>
          <w:rFonts w:ascii="宋体" w:hAnsi="宋体"/>
          <w:smallCaps/>
          <w:sz w:val="20"/>
          <w:highlight w:val="none"/>
        </w:rPr>
        <w:fldChar w:fldCharType="separate"/>
      </w:r>
      <w:r>
        <w:rPr>
          <w:rFonts w:ascii="宋体" w:hAnsi="宋体"/>
          <w:smallCaps/>
          <w:sz w:val="20"/>
          <w:highlight w:val="none"/>
        </w:rPr>
        <w:t>10</w:t>
      </w:r>
      <w:r>
        <w:rPr>
          <w:rFonts w:ascii="宋体" w:hAnsi="宋体"/>
          <w:smallCaps/>
          <w:sz w:val="20"/>
          <w:highlight w:val="none"/>
        </w:rPr>
        <w:fldChar w:fldCharType="end"/>
      </w:r>
      <w:r>
        <w:rPr>
          <w:rFonts w:ascii="宋体" w:hAnsi="宋体"/>
          <w:smallCaps/>
          <w:sz w:val="20"/>
          <w:highlight w:val="none"/>
        </w:rPr>
        <w:fldChar w:fldCharType="end"/>
      </w:r>
    </w:p>
    <w:p>
      <w:pPr>
        <w:pStyle w:val="21"/>
        <w:tabs>
          <w:tab w:val="right" w:leader="dot" w:pos="8958"/>
          <w:tab w:val="clear" w:pos="8303"/>
        </w:tabs>
        <w:ind w:firstLine="200"/>
        <w:rPr>
          <w:rFonts w:ascii="宋体" w:hAnsi="宋体"/>
          <w:smallCaps/>
          <w:sz w:val="20"/>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"_Toc15166"</w:instrText>
      </w:r>
      <w:r>
        <w:rPr>
          <w:rFonts w:ascii="宋体" w:hAnsi="宋体"/>
          <w:smallCaps/>
          <w:sz w:val="20"/>
          <w:highlight w:val="none"/>
        </w:rPr>
        <w:fldChar w:fldCharType="separate"/>
      </w:r>
      <w:r>
        <w:rPr>
          <w:rFonts w:ascii="宋体" w:hAnsi="宋体"/>
          <w:smallCaps/>
          <w:sz w:val="20"/>
          <w:highlight w:val="none"/>
        </w:rPr>
        <w:t xml:space="preserve">6. </w:t>
      </w:r>
      <w:r>
        <w:rPr>
          <w:rFonts w:hint="eastAsia" w:ascii="宋体" w:hAnsi="宋体" w:eastAsia="宋体"/>
          <w:smallCaps/>
          <w:sz w:val="20"/>
          <w:szCs w:val="24"/>
          <w:highlight w:val="none"/>
        </w:rPr>
        <w:t>合格的服务</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_Toc15166 </w:instrText>
      </w:r>
      <w:r>
        <w:rPr>
          <w:rFonts w:ascii="宋体" w:hAnsi="宋体"/>
          <w:smallCaps/>
          <w:sz w:val="20"/>
          <w:highlight w:val="none"/>
        </w:rPr>
        <w:fldChar w:fldCharType="separate"/>
      </w:r>
      <w:r>
        <w:rPr>
          <w:rFonts w:ascii="宋体" w:hAnsi="宋体"/>
          <w:smallCaps/>
          <w:sz w:val="20"/>
          <w:highlight w:val="none"/>
        </w:rPr>
        <w:t>10</w:t>
      </w:r>
      <w:r>
        <w:rPr>
          <w:rFonts w:ascii="宋体" w:hAnsi="宋体"/>
          <w:smallCaps/>
          <w:sz w:val="20"/>
          <w:highlight w:val="none"/>
        </w:rPr>
        <w:fldChar w:fldCharType="end"/>
      </w:r>
      <w:r>
        <w:rPr>
          <w:rFonts w:ascii="宋体" w:hAnsi="宋体"/>
          <w:smallCaps/>
          <w:sz w:val="20"/>
          <w:highlight w:val="none"/>
        </w:rPr>
        <w:fldChar w:fldCharType="end"/>
      </w:r>
    </w:p>
    <w:p>
      <w:pPr>
        <w:pStyle w:val="21"/>
        <w:tabs>
          <w:tab w:val="right" w:leader="dot" w:pos="8958"/>
          <w:tab w:val="clear" w:pos="8303"/>
        </w:tabs>
        <w:ind w:firstLine="200"/>
        <w:rPr>
          <w:rFonts w:ascii="宋体" w:hAnsi="宋体"/>
          <w:smallCaps/>
          <w:sz w:val="20"/>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"_Toc11753"</w:instrText>
      </w:r>
      <w:r>
        <w:rPr>
          <w:rFonts w:ascii="宋体" w:hAnsi="宋体"/>
          <w:smallCaps/>
          <w:sz w:val="20"/>
          <w:highlight w:val="none"/>
        </w:rPr>
        <w:fldChar w:fldCharType="separate"/>
      </w:r>
      <w:r>
        <w:rPr>
          <w:rFonts w:ascii="宋体" w:hAnsi="宋体"/>
          <w:smallCaps/>
          <w:sz w:val="20"/>
          <w:highlight w:val="none"/>
        </w:rPr>
        <w:t xml:space="preserve">7. </w:t>
      </w:r>
      <w:r>
        <w:rPr>
          <w:rFonts w:hint="eastAsia" w:ascii="宋体" w:hAnsi="宋体" w:eastAsia="宋体"/>
          <w:smallCaps/>
          <w:sz w:val="20"/>
          <w:szCs w:val="24"/>
          <w:highlight w:val="none"/>
        </w:rPr>
        <w:t>纪律与保密事项</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_Toc11753 </w:instrText>
      </w:r>
      <w:r>
        <w:rPr>
          <w:rFonts w:ascii="宋体" w:hAnsi="宋体"/>
          <w:smallCaps/>
          <w:sz w:val="20"/>
          <w:highlight w:val="none"/>
        </w:rPr>
        <w:fldChar w:fldCharType="separate"/>
      </w:r>
      <w:r>
        <w:rPr>
          <w:rFonts w:ascii="宋体" w:hAnsi="宋体"/>
          <w:smallCaps/>
          <w:sz w:val="20"/>
          <w:highlight w:val="none"/>
        </w:rPr>
        <w:t>10</w:t>
      </w:r>
      <w:r>
        <w:rPr>
          <w:rFonts w:ascii="宋体" w:hAnsi="宋体"/>
          <w:smallCaps/>
          <w:sz w:val="20"/>
          <w:highlight w:val="none"/>
        </w:rPr>
        <w:fldChar w:fldCharType="end"/>
      </w:r>
      <w:r>
        <w:rPr>
          <w:rFonts w:ascii="宋体" w:hAnsi="宋体"/>
          <w:smallCaps/>
          <w:sz w:val="20"/>
          <w:highlight w:val="none"/>
        </w:rPr>
        <w:fldChar w:fldCharType="end"/>
      </w:r>
    </w:p>
    <w:p>
      <w:pPr>
        <w:pStyle w:val="21"/>
        <w:tabs>
          <w:tab w:val="right" w:leader="dot" w:pos="8958"/>
          <w:tab w:val="clear" w:pos="8303"/>
        </w:tabs>
        <w:ind w:firstLine="200"/>
        <w:rPr>
          <w:rFonts w:ascii="宋体" w:hAnsi="宋体"/>
          <w:smallCaps/>
          <w:sz w:val="20"/>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"_Toc8856"</w:instrText>
      </w:r>
      <w:r>
        <w:rPr>
          <w:rFonts w:ascii="宋体" w:hAnsi="宋体"/>
          <w:smallCaps/>
          <w:sz w:val="20"/>
          <w:highlight w:val="none"/>
        </w:rPr>
        <w:fldChar w:fldCharType="separate"/>
      </w:r>
      <w:r>
        <w:rPr>
          <w:rFonts w:ascii="宋体" w:hAnsi="宋体"/>
          <w:smallCaps/>
          <w:sz w:val="20"/>
          <w:highlight w:val="none"/>
        </w:rPr>
        <w:t xml:space="preserve">8. </w:t>
      </w:r>
      <w:r>
        <w:rPr>
          <w:rFonts w:hint="eastAsia" w:ascii="宋体" w:hAnsi="宋体" w:eastAsia="宋体"/>
          <w:smallCaps/>
          <w:sz w:val="20"/>
          <w:szCs w:val="24"/>
          <w:highlight w:val="none"/>
        </w:rPr>
        <w:t>投标人知悉</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_Toc8856 </w:instrText>
      </w:r>
      <w:r>
        <w:rPr>
          <w:rFonts w:ascii="宋体" w:hAnsi="宋体"/>
          <w:smallCaps/>
          <w:sz w:val="20"/>
          <w:highlight w:val="none"/>
        </w:rPr>
        <w:fldChar w:fldCharType="separate"/>
      </w:r>
      <w:r>
        <w:rPr>
          <w:rFonts w:ascii="宋体" w:hAnsi="宋体"/>
          <w:smallCaps/>
          <w:sz w:val="20"/>
          <w:highlight w:val="none"/>
        </w:rPr>
        <w:t>11</w:t>
      </w:r>
      <w:r>
        <w:rPr>
          <w:rFonts w:ascii="宋体" w:hAnsi="宋体"/>
          <w:smallCaps/>
          <w:sz w:val="20"/>
          <w:highlight w:val="none"/>
        </w:rPr>
        <w:fldChar w:fldCharType="end"/>
      </w:r>
      <w:r>
        <w:rPr>
          <w:rFonts w:ascii="宋体" w:hAnsi="宋体"/>
          <w:smallCaps/>
          <w:sz w:val="20"/>
          <w:highlight w:val="none"/>
        </w:rPr>
        <w:fldChar w:fldCharType="end"/>
      </w:r>
    </w:p>
    <w:p>
      <w:pPr>
        <w:pStyle w:val="21"/>
        <w:tabs>
          <w:tab w:val="right" w:leader="dot" w:pos="8958"/>
          <w:tab w:val="clear" w:pos="8303"/>
        </w:tabs>
        <w:ind w:firstLine="200"/>
        <w:rPr>
          <w:rFonts w:ascii="宋体" w:hAnsi="宋体"/>
          <w:smallCaps/>
          <w:sz w:val="20"/>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"_Toc22507"</w:instrText>
      </w:r>
      <w:r>
        <w:rPr>
          <w:rFonts w:ascii="宋体" w:hAnsi="宋体"/>
          <w:smallCaps/>
          <w:sz w:val="20"/>
          <w:highlight w:val="none"/>
        </w:rPr>
        <w:fldChar w:fldCharType="separate"/>
      </w:r>
      <w:r>
        <w:rPr>
          <w:rFonts w:ascii="宋体" w:hAnsi="宋体"/>
          <w:smallCaps/>
          <w:sz w:val="20"/>
          <w:highlight w:val="none"/>
        </w:rPr>
        <w:t xml:space="preserve">9. </w:t>
      </w:r>
      <w:r>
        <w:rPr>
          <w:rFonts w:hint="eastAsia" w:ascii="宋体" w:hAnsi="宋体" w:eastAsia="宋体"/>
          <w:smallCaps/>
          <w:sz w:val="20"/>
          <w:szCs w:val="24"/>
          <w:highlight w:val="none"/>
        </w:rPr>
        <w:t>投标费用</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_Toc22507 </w:instrText>
      </w:r>
      <w:r>
        <w:rPr>
          <w:rFonts w:ascii="宋体" w:hAnsi="宋体"/>
          <w:smallCaps/>
          <w:sz w:val="20"/>
          <w:highlight w:val="none"/>
        </w:rPr>
        <w:fldChar w:fldCharType="separate"/>
      </w:r>
      <w:r>
        <w:rPr>
          <w:rFonts w:ascii="宋体" w:hAnsi="宋体"/>
          <w:smallCaps/>
          <w:sz w:val="20"/>
          <w:highlight w:val="none"/>
        </w:rPr>
        <w:t>11</w:t>
      </w:r>
      <w:r>
        <w:rPr>
          <w:rFonts w:ascii="宋体" w:hAnsi="宋体"/>
          <w:smallCaps/>
          <w:sz w:val="20"/>
          <w:highlight w:val="none"/>
        </w:rPr>
        <w:fldChar w:fldCharType="end"/>
      </w:r>
      <w:r>
        <w:rPr>
          <w:rFonts w:ascii="宋体" w:hAnsi="宋体"/>
          <w:smallCaps/>
          <w:sz w:val="20"/>
          <w:highlight w:val="none"/>
        </w:rPr>
        <w:fldChar w:fldCharType="end"/>
      </w:r>
    </w:p>
    <w:p>
      <w:pPr>
        <w:pStyle w:val="21"/>
        <w:tabs>
          <w:tab w:val="right" w:leader="dot" w:pos="8958"/>
          <w:tab w:val="clear" w:pos="8303"/>
        </w:tabs>
        <w:ind w:firstLine="200"/>
        <w:rPr>
          <w:rFonts w:ascii="宋体" w:hAnsi="宋体"/>
          <w:smallCaps/>
          <w:sz w:val="20"/>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"_Toc20861"</w:instrText>
      </w:r>
      <w:r>
        <w:rPr>
          <w:rFonts w:ascii="宋体" w:hAnsi="宋体"/>
          <w:smallCaps/>
          <w:sz w:val="20"/>
          <w:highlight w:val="none"/>
        </w:rPr>
        <w:fldChar w:fldCharType="separate"/>
      </w:r>
      <w:r>
        <w:rPr>
          <w:rFonts w:ascii="宋体" w:hAnsi="宋体"/>
          <w:smallCaps/>
          <w:sz w:val="20"/>
          <w:highlight w:val="none"/>
        </w:rPr>
        <w:t xml:space="preserve">10. </w:t>
      </w:r>
      <w:r>
        <w:rPr>
          <w:rFonts w:hint="eastAsia" w:ascii="宋体" w:hAnsi="宋体" w:eastAsia="宋体"/>
          <w:smallCaps/>
          <w:sz w:val="20"/>
          <w:szCs w:val="24"/>
          <w:highlight w:val="none"/>
        </w:rPr>
        <w:t>保证</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_Toc20861 </w:instrText>
      </w:r>
      <w:r>
        <w:rPr>
          <w:rFonts w:ascii="宋体" w:hAnsi="宋体"/>
          <w:smallCaps/>
          <w:sz w:val="20"/>
          <w:highlight w:val="none"/>
        </w:rPr>
        <w:fldChar w:fldCharType="separate"/>
      </w:r>
      <w:r>
        <w:rPr>
          <w:rFonts w:ascii="宋体" w:hAnsi="宋体"/>
          <w:smallCaps/>
          <w:sz w:val="20"/>
          <w:highlight w:val="none"/>
        </w:rPr>
        <w:t>11</w:t>
      </w:r>
      <w:r>
        <w:rPr>
          <w:rFonts w:ascii="宋体" w:hAnsi="宋体"/>
          <w:smallCaps/>
          <w:sz w:val="20"/>
          <w:highlight w:val="none"/>
        </w:rPr>
        <w:fldChar w:fldCharType="end"/>
      </w:r>
      <w:r>
        <w:rPr>
          <w:rFonts w:ascii="宋体" w:hAnsi="宋体"/>
          <w:smallCaps/>
          <w:sz w:val="20"/>
          <w:highlight w:val="none"/>
        </w:rPr>
        <w:fldChar w:fldCharType="end"/>
      </w:r>
    </w:p>
    <w:p>
      <w:pPr>
        <w:pStyle w:val="33"/>
        <w:tabs>
          <w:tab w:val="right" w:leader="dot" w:pos="8958"/>
        </w:tabs>
        <w:rPr>
          <w:rFonts w:ascii="宋体" w:hAnsi="宋体"/>
          <w:szCs w:val="24"/>
          <w:highlight w:val="none"/>
        </w:rPr>
      </w:pPr>
      <w:r>
        <w:rPr>
          <w:rFonts w:ascii="宋体" w:hAnsi="宋体"/>
          <w:szCs w:val="24"/>
          <w:highlight w:val="none"/>
        </w:rPr>
        <w:fldChar w:fldCharType="begin"/>
      </w:r>
      <w:r>
        <w:rPr>
          <w:rFonts w:ascii="宋体" w:hAnsi="宋体"/>
          <w:szCs w:val="24"/>
          <w:highlight w:val="none"/>
        </w:rPr>
        <w:instrText xml:space="preserve">HYPERLINK \l "_Toc17058"</w:instrText>
      </w:r>
      <w:r>
        <w:rPr>
          <w:rFonts w:ascii="宋体" w:hAnsi="宋体"/>
          <w:szCs w:val="24"/>
          <w:highlight w:val="none"/>
        </w:rPr>
        <w:fldChar w:fldCharType="separate"/>
      </w:r>
      <w:r>
        <w:rPr>
          <w:rFonts w:hint="eastAsia" w:ascii="宋体" w:hAnsi="宋体" w:eastAsia="宋体" w:cs="Times New Roman"/>
          <w:szCs w:val="24"/>
          <w:highlight w:val="none"/>
        </w:rPr>
        <w:t>（二）招标文件</w:t>
      </w:r>
      <w:r>
        <w:rPr>
          <w:rFonts w:ascii="宋体" w:hAnsi="宋体"/>
          <w:szCs w:val="24"/>
          <w:highlight w:val="none"/>
        </w:rPr>
        <w:tab/>
      </w:r>
      <w:r>
        <w:rPr>
          <w:rFonts w:ascii="宋体" w:hAnsi="宋体"/>
          <w:szCs w:val="24"/>
          <w:highlight w:val="none"/>
        </w:rPr>
        <w:fldChar w:fldCharType="begin"/>
      </w:r>
      <w:r>
        <w:rPr>
          <w:rFonts w:ascii="宋体" w:hAnsi="宋体"/>
          <w:szCs w:val="24"/>
          <w:highlight w:val="none"/>
        </w:rPr>
        <w:instrText xml:space="preserve"> PAGEREF _Toc17058 </w:instrText>
      </w:r>
      <w:r>
        <w:rPr>
          <w:rFonts w:ascii="宋体" w:hAnsi="宋体"/>
          <w:szCs w:val="24"/>
          <w:highlight w:val="none"/>
        </w:rPr>
        <w:fldChar w:fldCharType="separate"/>
      </w:r>
      <w:r>
        <w:rPr>
          <w:rFonts w:ascii="宋体" w:hAnsi="宋体"/>
          <w:szCs w:val="24"/>
          <w:highlight w:val="none"/>
        </w:rPr>
        <w:t>11</w:t>
      </w:r>
      <w:r>
        <w:rPr>
          <w:rFonts w:ascii="宋体" w:hAnsi="宋体"/>
          <w:szCs w:val="24"/>
          <w:highlight w:val="none"/>
        </w:rPr>
        <w:fldChar w:fldCharType="end"/>
      </w:r>
      <w:r>
        <w:rPr>
          <w:rFonts w:ascii="宋体" w:hAnsi="宋体"/>
          <w:szCs w:val="24"/>
          <w:highlight w:val="none"/>
        </w:rPr>
        <w:fldChar w:fldCharType="end"/>
      </w:r>
    </w:p>
    <w:p>
      <w:pPr>
        <w:pStyle w:val="21"/>
        <w:tabs>
          <w:tab w:val="right" w:leader="dot" w:pos="8958"/>
          <w:tab w:val="clear" w:pos="8303"/>
        </w:tabs>
        <w:ind w:firstLine="200"/>
        <w:rPr>
          <w:rFonts w:ascii="宋体" w:hAnsi="宋体"/>
          <w:smallCaps/>
          <w:sz w:val="20"/>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"_Toc25971"</w:instrText>
      </w:r>
      <w:r>
        <w:rPr>
          <w:rFonts w:ascii="宋体" w:hAnsi="宋体"/>
          <w:smallCaps/>
          <w:sz w:val="20"/>
          <w:highlight w:val="none"/>
        </w:rPr>
        <w:fldChar w:fldCharType="separate"/>
      </w:r>
      <w:r>
        <w:rPr>
          <w:rFonts w:ascii="宋体" w:hAnsi="宋体"/>
          <w:smallCaps/>
          <w:sz w:val="20"/>
          <w:highlight w:val="none"/>
        </w:rPr>
        <w:t xml:space="preserve">11. </w:t>
      </w:r>
      <w:r>
        <w:rPr>
          <w:rFonts w:hint="eastAsia" w:ascii="宋体" w:hAnsi="宋体" w:eastAsia="宋体"/>
          <w:smallCaps/>
          <w:sz w:val="20"/>
          <w:szCs w:val="24"/>
          <w:highlight w:val="none"/>
        </w:rPr>
        <w:t>招标文件构成</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_Toc25971 </w:instrText>
      </w:r>
      <w:r>
        <w:rPr>
          <w:rFonts w:ascii="宋体" w:hAnsi="宋体"/>
          <w:smallCaps/>
          <w:sz w:val="20"/>
          <w:highlight w:val="none"/>
        </w:rPr>
        <w:fldChar w:fldCharType="separate"/>
      </w:r>
      <w:r>
        <w:rPr>
          <w:rFonts w:ascii="宋体" w:hAnsi="宋体"/>
          <w:smallCaps/>
          <w:sz w:val="20"/>
          <w:highlight w:val="none"/>
        </w:rPr>
        <w:t>11</w:t>
      </w:r>
      <w:r>
        <w:rPr>
          <w:rFonts w:ascii="宋体" w:hAnsi="宋体"/>
          <w:smallCaps/>
          <w:sz w:val="20"/>
          <w:highlight w:val="none"/>
        </w:rPr>
        <w:fldChar w:fldCharType="end"/>
      </w:r>
      <w:r>
        <w:rPr>
          <w:rFonts w:ascii="宋体" w:hAnsi="宋体"/>
          <w:smallCaps/>
          <w:sz w:val="20"/>
          <w:highlight w:val="none"/>
        </w:rPr>
        <w:fldChar w:fldCharType="end"/>
      </w:r>
    </w:p>
    <w:p>
      <w:pPr>
        <w:pStyle w:val="21"/>
        <w:tabs>
          <w:tab w:val="right" w:leader="dot" w:pos="8958"/>
          <w:tab w:val="clear" w:pos="8303"/>
        </w:tabs>
        <w:ind w:firstLine="200"/>
        <w:rPr>
          <w:rFonts w:ascii="宋体" w:hAnsi="宋体"/>
          <w:smallCaps/>
          <w:sz w:val="20"/>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"_Toc32050"</w:instrText>
      </w:r>
      <w:r>
        <w:rPr>
          <w:rFonts w:ascii="宋体" w:hAnsi="宋体"/>
          <w:smallCaps/>
          <w:sz w:val="20"/>
          <w:highlight w:val="none"/>
        </w:rPr>
        <w:fldChar w:fldCharType="separate"/>
      </w:r>
      <w:r>
        <w:rPr>
          <w:rFonts w:ascii="宋体" w:hAnsi="宋体"/>
          <w:smallCaps/>
          <w:sz w:val="20"/>
          <w:highlight w:val="none"/>
        </w:rPr>
        <w:t xml:space="preserve">12. </w:t>
      </w:r>
      <w:r>
        <w:rPr>
          <w:rFonts w:hint="eastAsia" w:ascii="宋体" w:hAnsi="宋体" w:eastAsia="宋体"/>
          <w:smallCaps/>
          <w:sz w:val="20"/>
          <w:szCs w:val="24"/>
          <w:highlight w:val="none"/>
        </w:rPr>
        <w:t>招标语言</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_Toc32050 </w:instrText>
      </w:r>
      <w:r>
        <w:rPr>
          <w:rFonts w:ascii="宋体" w:hAnsi="宋体"/>
          <w:smallCaps/>
          <w:sz w:val="20"/>
          <w:highlight w:val="none"/>
        </w:rPr>
        <w:fldChar w:fldCharType="separate"/>
      </w:r>
      <w:r>
        <w:rPr>
          <w:rFonts w:ascii="宋体" w:hAnsi="宋体"/>
          <w:smallCaps/>
          <w:sz w:val="20"/>
          <w:highlight w:val="none"/>
        </w:rPr>
        <w:t>12</w:t>
      </w:r>
      <w:r>
        <w:rPr>
          <w:rFonts w:ascii="宋体" w:hAnsi="宋体"/>
          <w:smallCaps/>
          <w:sz w:val="20"/>
          <w:highlight w:val="none"/>
        </w:rPr>
        <w:fldChar w:fldCharType="end"/>
      </w:r>
      <w:r>
        <w:rPr>
          <w:rFonts w:ascii="宋体" w:hAnsi="宋体"/>
          <w:smallCaps/>
          <w:sz w:val="20"/>
          <w:highlight w:val="none"/>
        </w:rPr>
        <w:fldChar w:fldCharType="end"/>
      </w:r>
    </w:p>
    <w:p>
      <w:pPr>
        <w:pStyle w:val="33"/>
        <w:tabs>
          <w:tab w:val="right" w:leader="dot" w:pos="8958"/>
        </w:tabs>
        <w:rPr>
          <w:rFonts w:ascii="宋体" w:hAnsi="宋体"/>
          <w:szCs w:val="24"/>
          <w:highlight w:val="none"/>
        </w:rPr>
      </w:pPr>
      <w:r>
        <w:rPr>
          <w:rFonts w:ascii="宋体" w:hAnsi="宋体"/>
          <w:szCs w:val="24"/>
          <w:highlight w:val="none"/>
        </w:rPr>
        <w:fldChar w:fldCharType="begin"/>
      </w:r>
      <w:r>
        <w:rPr>
          <w:rFonts w:ascii="宋体" w:hAnsi="宋体"/>
          <w:szCs w:val="24"/>
          <w:highlight w:val="none"/>
        </w:rPr>
        <w:instrText xml:space="preserve">HYPERLINK \l "_Toc1357"</w:instrText>
      </w:r>
      <w:r>
        <w:rPr>
          <w:rFonts w:ascii="宋体" w:hAnsi="宋体"/>
          <w:szCs w:val="24"/>
          <w:highlight w:val="none"/>
        </w:rPr>
        <w:fldChar w:fldCharType="separate"/>
      </w:r>
      <w:r>
        <w:rPr>
          <w:rFonts w:hint="eastAsia" w:ascii="宋体" w:hAnsi="宋体" w:eastAsia="宋体"/>
          <w:szCs w:val="24"/>
          <w:highlight w:val="none"/>
        </w:rPr>
        <w:t>（三）投标文件的编制</w:t>
      </w:r>
      <w:r>
        <w:rPr>
          <w:rFonts w:ascii="宋体" w:hAnsi="宋体"/>
          <w:szCs w:val="24"/>
          <w:highlight w:val="none"/>
        </w:rPr>
        <w:tab/>
      </w:r>
      <w:r>
        <w:rPr>
          <w:rFonts w:ascii="宋体" w:hAnsi="宋体"/>
          <w:szCs w:val="24"/>
          <w:highlight w:val="none"/>
        </w:rPr>
        <w:fldChar w:fldCharType="begin"/>
      </w:r>
      <w:r>
        <w:rPr>
          <w:rFonts w:ascii="宋体" w:hAnsi="宋体"/>
          <w:szCs w:val="24"/>
          <w:highlight w:val="none"/>
        </w:rPr>
        <w:instrText xml:space="preserve"> PAGEREF _Toc1357 </w:instrText>
      </w:r>
      <w:r>
        <w:rPr>
          <w:rFonts w:ascii="宋体" w:hAnsi="宋体"/>
          <w:szCs w:val="24"/>
          <w:highlight w:val="none"/>
        </w:rPr>
        <w:fldChar w:fldCharType="separate"/>
      </w:r>
      <w:r>
        <w:rPr>
          <w:rFonts w:ascii="宋体" w:hAnsi="宋体"/>
          <w:szCs w:val="24"/>
          <w:highlight w:val="none"/>
        </w:rPr>
        <w:t>12</w:t>
      </w:r>
      <w:r>
        <w:rPr>
          <w:rFonts w:ascii="宋体" w:hAnsi="宋体"/>
          <w:szCs w:val="24"/>
          <w:highlight w:val="none"/>
        </w:rPr>
        <w:fldChar w:fldCharType="end"/>
      </w:r>
      <w:r>
        <w:rPr>
          <w:rFonts w:ascii="宋体" w:hAnsi="宋体"/>
          <w:szCs w:val="24"/>
          <w:highlight w:val="none"/>
        </w:rPr>
        <w:fldChar w:fldCharType="end"/>
      </w:r>
    </w:p>
    <w:p>
      <w:pPr>
        <w:pStyle w:val="21"/>
        <w:tabs>
          <w:tab w:val="right" w:leader="dot" w:pos="8958"/>
          <w:tab w:val="clear" w:pos="8303"/>
        </w:tabs>
        <w:ind w:firstLine="200"/>
        <w:rPr>
          <w:rFonts w:ascii="宋体" w:hAnsi="宋体"/>
          <w:smallCaps/>
          <w:sz w:val="20"/>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"_Toc20265"</w:instrText>
      </w:r>
      <w:r>
        <w:rPr>
          <w:rFonts w:ascii="宋体" w:hAnsi="宋体"/>
          <w:smallCaps/>
          <w:sz w:val="20"/>
          <w:highlight w:val="none"/>
        </w:rPr>
        <w:fldChar w:fldCharType="separate"/>
      </w:r>
      <w:r>
        <w:rPr>
          <w:rFonts w:ascii="宋体" w:hAnsi="宋体"/>
          <w:smallCaps/>
          <w:sz w:val="20"/>
          <w:highlight w:val="none"/>
        </w:rPr>
        <w:t xml:space="preserve">13. </w:t>
      </w:r>
      <w:r>
        <w:rPr>
          <w:rFonts w:hint="eastAsia" w:ascii="宋体" w:hAnsi="宋体" w:eastAsia="宋体"/>
          <w:smallCaps/>
          <w:sz w:val="20"/>
          <w:szCs w:val="24"/>
          <w:highlight w:val="none"/>
        </w:rPr>
        <w:t>投标语言及计量</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_Toc20265 </w:instrText>
      </w:r>
      <w:r>
        <w:rPr>
          <w:rFonts w:ascii="宋体" w:hAnsi="宋体"/>
          <w:smallCaps/>
          <w:sz w:val="20"/>
          <w:highlight w:val="none"/>
        </w:rPr>
        <w:fldChar w:fldCharType="separate"/>
      </w:r>
      <w:r>
        <w:rPr>
          <w:rFonts w:ascii="宋体" w:hAnsi="宋体"/>
          <w:smallCaps/>
          <w:sz w:val="20"/>
          <w:highlight w:val="none"/>
        </w:rPr>
        <w:t>12</w:t>
      </w:r>
      <w:r>
        <w:rPr>
          <w:rFonts w:ascii="宋体" w:hAnsi="宋体"/>
          <w:smallCaps/>
          <w:sz w:val="20"/>
          <w:highlight w:val="none"/>
        </w:rPr>
        <w:fldChar w:fldCharType="end"/>
      </w:r>
      <w:r>
        <w:rPr>
          <w:rFonts w:ascii="宋体" w:hAnsi="宋体"/>
          <w:smallCaps/>
          <w:sz w:val="20"/>
          <w:highlight w:val="none"/>
        </w:rPr>
        <w:fldChar w:fldCharType="end"/>
      </w:r>
    </w:p>
    <w:p>
      <w:pPr>
        <w:pStyle w:val="21"/>
        <w:tabs>
          <w:tab w:val="right" w:leader="dot" w:pos="8958"/>
          <w:tab w:val="clear" w:pos="8303"/>
        </w:tabs>
        <w:ind w:firstLine="200"/>
        <w:rPr>
          <w:rFonts w:ascii="宋体" w:hAnsi="宋体"/>
          <w:smallCaps/>
          <w:sz w:val="20"/>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"_Toc6782"</w:instrText>
      </w:r>
      <w:r>
        <w:rPr>
          <w:rFonts w:ascii="宋体" w:hAnsi="宋体"/>
          <w:smallCaps/>
          <w:sz w:val="20"/>
          <w:highlight w:val="none"/>
        </w:rPr>
        <w:fldChar w:fldCharType="separate"/>
      </w:r>
      <w:r>
        <w:rPr>
          <w:rFonts w:ascii="宋体" w:hAnsi="宋体"/>
          <w:smallCaps/>
          <w:sz w:val="20"/>
          <w:highlight w:val="none"/>
        </w:rPr>
        <w:t xml:space="preserve">14. </w:t>
      </w:r>
      <w:r>
        <w:rPr>
          <w:rFonts w:hint="eastAsia" w:ascii="宋体" w:hAnsi="宋体" w:eastAsia="宋体"/>
          <w:smallCaps/>
          <w:sz w:val="20"/>
          <w:szCs w:val="24"/>
          <w:highlight w:val="none"/>
        </w:rPr>
        <w:t>投标文件的构成</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_Toc6782 </w:instrText>
      </w:r>
      <w:r>
        <w:rPr>
          <w:rFonts w:ascii="宋体" w:hAnsi="宋体"/>
          <w:smallCaps/>
          <w:sz w:val="20"/>
          <w:highlight w:val="none"/>
        </w:rPr>
        <w:fldChar w:fldCharType="separate"/>
      </w:r>
      <w:r>
        <w:rPr>
          <w:rFonts w:ascii="宋体" w:hAnsi="宋体"/>
          <w:smallCaps/>
          <w:sz w:val="20"/>
          <w:highlight w:val="none"/>
        </w:rPr>
        <w:t>12</w:t>
      </w:r>
      <w:r>
        <w:rPr>
          <w:rFonts w:ascii="宋体" w:hAnsi="宋体"/>
          <w:smallCaps/>
          <w:sz w:val="20"/>
          <w:highlight w:val="none"/>
        </w:rPr>
        <w:fldChar w:fldCharType="end"/>
      </w:r>
      <w:r>
        <w:rPr>
          <w:rFonts w:ascii="宋体" w:hAnsi="宋体"/>
          <w:smallCaps/>
          <w:sz w:val="20"/>
          <w:highlight w:val="none"/>
        </w:rPr>
        <w:fldChar w:fldCharType="end"/>
      </w:r>
    </w:p>
    <w:p>
      <w:pPr>
        <w:pStyle w:val="21"/>
        <w:tabs>
          <w:tab w:val="right" w:leader="dot" w:pos="8958"/>
          <w:tab w:val="clear" w:pos="8303"/>
        </w:tabs>
        <w:ind w:firstLine="200"/>
        <w:rPr>
          <w:rFonts w:ascii="宋体" w:hAnsi="宋体"/>
          <w:smallCaps/>
          <w:sz w:val="20"/>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"_Toc3957"</w:instrText>
      </w:r>
      <w:r>
        <w:rPr>
          <w:rFonts w:ascii="宋体" w:hAnsi="宋体"/>
          <w:smallCaps/>
          <w:sz w:val="20"/>
          <w:highlight w:val="none"/>
        </w:rPr>
        <w:fldChar w:fldCharType="separate"/>
      </w:r>
      <w:r>
        <w:rPr>
          <w:rFonts w:ascii="宋体" w:hAnsi="宋体"/>
          <w:smallCaps/>
          <w:sz w:val="20"/>
          <w:highlight w:val="none"/>
        </w:rPr>
        <w:t xml:space="preserve">15. </w:t>
      </w:r>
      <w:r>
        <w:rPr>
          <w:rFonts w:hint="eastAsia" w:ascii="宋体" w:hAnsi="宋体" w:eastAsia="宋体"/>
          <w:smallCaps/>
          <w:sz w:val="20"/>
          <w:szCs w:val="24"/>
          <w:highlight w:val="none"/>
        </w:rPr>
        <w:t>投标函</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_Toc3957 </w:instrText>
      </w:r>
      <w:r>
        <w:rPr>
          <w:rFonts w:ascii="宋体" w:hAnsi="宋体"/>
          <w:smallCaps/>
          <w:sz w:val="20"/>
          <w:highlight w:val="none"/>
        </w:rPr>
        <w:fldChar w:fldCharType="separate"/>
      </w:r>
      <w:r>
        <w:rPr>
          <w:rFonts w:ascii="宋体" w:hAnsi="宋体"/>
          <w:smallCaps/>
          <w:sz w:val="20"/>
          <w:highlight w:val="none"/>
        </w:rPr>
        <w:t>13</w:t>
      </w:r>
      <w:r>
        <w:rPr>
          <w:rFonts w:ascii="宋体" w:hAnsi="宋体"/>
          <w:smallCaps/>
          <w:sz w:val="20"/>
          <w:highlight w:val="none"/>
        </w:rPr>
        <w:fldChar w:fldCharType="end"/>
      </w:r>
      <w:r>
        <w:rPr>
          <w:rFonts w:ascii="宋体" w:hAnsi="宋体"/>
          <w:smallCaps/>
          <w:sz w:val="20"/>
          <w:highlight w:val="none"/>
        </w:rPr>
        <w:fldChar w:fldCharType="end"/>
      </w:r>
    </w:p>
    <w:p>
      <w:pPr>
        <w:pStyle w:val="21"/>
        <w:tabs>
          <w:tab w:val="right" w:leader="dot" w:pos="8958"/>
          <w:tab w:val="clear" w:pos="8303"/>
        </w:tabs>
        <w:ind w:firstLine="200"/>
        <w:rPr>
          <w:rFonts w:ascii="宋体" w:hAnsi="宋体"/>
          <w:smallCaps/>
          <w:sz w:val="20"/>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"_Toc30365"</w:instrText>
      </w:r>
      <w:r>
        <w:rPr>
          <w:rFonts w:ascii="宋体" w:hAnsi="宋体"/>
          <w:smallCaps/>
          <w:sz w:val="20"/>
          <w:highlight w:val="none"/>
        </w:rPr>
        <w:fldChar w:fldCharType="separate"/>
      </w:r>
      <w:r>
        <w:rPr>
          <w:rFonts w:ascii="宋体" w:hAnsi="宋体"/>
          <w:smallCaps/>
          <w:sz w:val="20"/>
          <w:highlight w:val="none"/>
        </w:rPr>
        <w:t xml:space="preserve">16. </w:t>
      </w:r>
      <w:r>
        <w:rPr>
          <w:rFonts w:hint="eastAsia" w:ascii="宋体" w:hAnsi="宋体" w:eastAsia="宋体"/>
          <w:smallCaps/>
          <w:sz w:val="20"/>
          <w:szCs w:val="24"/>
          <w:highlight w:val="none"/>
        </w:rPr>
        <w:t>投标报价</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_Toc30365 </w:instrText>
      </w:r>
      <w:r>
        <w:rPr>
          <w:rFonts w:ascii="宋体" w:hAnsi="宋体"/>
          <w:smallCaps/>
          <w:sz w:val="20"/>
          <w:highlight w:val="none"/>
        </w:rPr>
        <w:fldChar w:fldCharType="separate"/>
      </w:r>
      <w:r>
        <w:rPr>
          <w:rFonts w:ascii="宋体" w:hAnsi="宋体"/>
          <w:smallCaps/>
          <w:sz w:val="20"/>
          <w:highlight w:val="none"/>
        </w:rPr>
        <w:t>13</w:t>
      </w:r>
      <w:r>
        <w:rPr>
          <w:rFonts w:ascii="宋体" w:hAnsi="宋体"/>
          <w:smallCaps/>
          <w:sz w:val="20"/>
          <w:highlight w:val="none"/>
        </w:rPr>
        <w:fldChar w:fldCharType="end"/>
      </w:r>
      <w:r>
        <w:rPr>
          <w:rFonts w:ascii="宋体" w:hAnsi="宋体"/>
          <w:smallCaps/>
          <w:sz w:val="20"/>
          <w:highlight w:val="none"/>
        </w:rPr>
        <w:fldChar w:fldCharType="end"/>
      </w:r>
    </w:p>
    <w:p>
      <w:pPr>
        <w:pStyle w:val="21"/>
        <w:tabs>
          <w:tab w:val="right" w:leader="dot" w:pos="8958"/>
          <w:tab w:val="clear" w:pos="8303"/>
        </w:tabs>
        <w:ind w:firstLine="200"/>
        <w:rPr>
          <w:rFonts w:ascii="宋体" w:hAnsi="宋体"/>
          <w:smallCaps/>
          <w:sz w:val="20"/>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"_Toc20010"</w:instrText>
      </w:r>
      <w:r>
        <w:rPr>
          <w:rFonts w:ascii="宋体" w:hAnsi="宋体"/>
          <w:smallCaps/>
          <w:sz w:val="20"/>
          <w:highlight w:val="none"/>
        </w:rPr>
        <w:fldChar w:fldCharType="separate"/>
      </w:r>
      <w:r>
        <w:rPr>
          <w:rFonts w:ascii="宋体" w:hAnsi="宋体"/>
          <w:smallCaps/>
          <w:sz w:val="20"/>
          <w:highlight w:val="none"/>
        </w:rPr>
        <w:t xml:space="preserve">17. </w:t>
      </w:r>
      <w:r>
        <w:rPr>
          <w:rFonts w:hint="eastAsia" w:ascii="宋体" w:hAnsi="宋体" w:eastAsia="宋体"/>
          <w:smallCaps/>
          <w:sz w:val="20"/>
          <w:szCs w:val="24"/>
          <w:highlight w:val="none"/>
        </w:rPr>
        <w:t>投标货币</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_Toc20010 </w:instrText>
      </w:r>
      <w:r>
        <w:rPr>
          <w:rFonts w:ascii="宋体" w:hAnsi="宋体"/>
          <w:smallCaps/>
          <w:sz w:val="20"/>
          <w:highlight w:val="none"/>
        </w:rPr>
        <w:fldChar w:fldCharType="separate"/>
      </w:r>
      <w:r>
        <w:rPr>
          <w:rFonts w:ascii="宋体" w:hAnsi="宋体"/>
          <w:smallCaps/>
          <w:sz w:val="20"/>
          <w:highlight w:val="none"/>
        </w:rPr>
        <w:t>13</w:t>
      </w:r>
      <w:r>
        <w:rPr>
          <w:rFonts w:ascii="宋体" w:hAnsi="宋体"/>
          <w:smallCaps/>
          <w:sz w:val="20"/>
          <w:highlight w:val="none"/>
        </w:rPr>
        <w:fldChar w:fldCharType="end"/>
      </w:r>
      <w:r>
        <w:rPr>
          <w:rFonts w:ascii="宋体" w:hAnsi="宋体"/>
          <w:smallCaps/>
          <w:sz w:val="20"/>
          <w:highlight w:val="none"/>
        </w:rPr>
        <w:fldChar w:fldCharType="end"/>
      </w:r>
    </w:p>
    <w:p>
      <w:pPr>
        <w:pStyle w:val="21"/>
        <w:tabs>
          <w:tab w:val="right" w:leader="dot" w:pos="8958"/>
          <w:tab w:val="clear" w:pos="8303"/>
        </w:tabs>
        <w:ind w:firstLine="200"/>
        <w:rPr>
          <w:rFonts w:ascii="宋体" w:hAnsi="宋体"/>
          <w:smallCaps/>
          <w:sz w:val="20"/>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"_Toc17123"</w:instrText>
      </w:r>
      <w:r>
        <w:rPr>
          <w:rFonts w:ascii="宋体" w:hAnsi="宋体"/>
          <w:smallCaps/>
          <w:sz w:val="20"/>
          <w:highlight w:val="none"/>
        </w:rPr>
        <w:fldChar w:fldCharType="separate"/>
      </w:r>
      <w:r>
        <w:rPr>
          <w:rFonts w:ascii="宋体" w:hAnsi="宋体"/>
          <w:smallCaps/>
          <w:sz w:val="20"/>
          <w:highlight w:val="none"/>
        </w:rPr>
        <w:t xml:space="preserve">18. </w:t>
      </w:r>
      <w:r>
        <w:rPr>
          <w:rFonts w:hint="eastAsia" w:ascii="宋体" w:hAnsi="宋体" w:eastAsia="宋体"/>
          <w:smallCaps/>
          <w:sz w:val="20"/>
          <w:szCs w:val="24"/>
          <w:highlight w:val="none"/>
        </w:rPr>
        <w:t>证明投标人资格的文件</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_Toc17123 </w:instrText>
      </w:r>
      <w:r>
        <w:rPr>
          <w:rFonts w:ascii="宋体" w:hAnsi="宋体"/>
          <w:smallCaps/>
          <w:sz w:val="20"/>
          <w:highlight w:val="none"/>
        </w:rPr>
        <w:fldChar w:fldCharType="separate"/>
      </w:r>
      <w:r>
        <w:rPr>
          <w:rFonts w:ascii="宋体" w:hAnsi="宋体"/>
          <w:smallCaps/>
          <w:sz w:val="20"/>
          <w:highlight w:val="none"/>
        </w:rPr>
        <w:t>13</w:t>
      </w:r>
      <w:r>
        <w:rPr>
          <w:rFonts w:ascii="宋体" w:hAnsi="宋体"/>
          <w:smallCaps/>
          <w:sz w:val="20"/>
          <w:highlight w:val="none"/>
        </w:rPr>
        <w:fldChar w:fldCharType="end"/>
      </w:r>
      <w:r>
        <w:rPr>
          <w:rFonts w:ascii="宋体" w:hAnsi="宋体"/>
          <w:smallCaps/>
          <w:sz w:val="20"/>
          <w:highlight w:val="none"/>
        </w:rPr>
        <w:fldChar w:fldCharType="end"/>
      </w:r>
    </w:p>
    <w:p>
      <w:pPr>
        <w:pStyle w:val="21"/>
        <w:tabs>
          <w:tab w:val="right" w:leader="dot" w:pos="8958"/>
          <w:tab w:val="clear" w:pos="8303"/>
        </w:tabs>
        <w:ind w:firstLine="200"/>
        <w:rPr>
          <w:rFonts w:ascii="宋体" w:hAnsi="宋体"/>
          <w:smallCaps/>
          <w:sz w:val="20"/>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"_Toc19277"</w:instrText>
      </w:r>
      <w:r>
        <w:rPr>
          <w:rFonts w:ascii="宋体" w:hAnsi="宋体"/>
          <w:smallCaps/>
          <w:sz w:val="20"/>
          <w:highlight w:val="none"/>
        </w:rPr>
        <w:fldChar w:fldCharType="separate"/>
      </w:r>
      <w:r>
        <w:rPr>
          <w:rFonts w:ascii="宋体" w:hAnsi="宋体"/>
          <w:smallCaps/>
          <w:sz w:val="20"/>
          <w:highlight w:val="none"/>
        </w:rPr>
        <w:t xml:space="preserve">19. </w:t>
      </w:r>
      <w:r>
        <w:rPr>
          <w:rFonts w:hint="eastAsia" w:ascii="宋体" w:hAnsi="宋体" w:eastAsia="宋体"/>
          <w:smallCaps/>
          <w:sz w:val="20"/>
          <w:szCs w:val="24"/>
          <w:highlight w:val="none"/>
        </w:rPr>
        <w:t>证明货物的合格和符合招标文件规定的文件</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_Toc19277 </w:instrText>
      </w:r>
      <w:r>
        <w:rPr>
          <w:rFonts w:ascii="宋体" w:hAnsi="宋体"/>
          <w:smallCaps/>
          <w:sz w:val="20"/>
          <w:highlight w:val="none"/>
        </w:rPr>
        <w:fldChar w:fldCharType="separate"/>
      </w:r>
      <w:r>
        <w:rPr>
          <w:rFonts w:ascii="宋体" w:hAnsi="宋体"/>
          <w:smallCaps/>
          <w:sz w:val="20"/>
          <w:highlight w:val="none"/>
        </w:rPr>
        <w:t>14</w:t>
      </w:r>
      <w:r>
        <w:rPr>
          <w:rFonts w:ascii="宋体" w:hAnsi="宋体"/>
          <w:smallCaps/>
          <w:sz w:val="20"/>
          <w:highlight w:val="none"/>
        </w:rPr>
        <w:fldChar w:fldCharType="end"/>
      </w:r>
      <w:r>
        <w:rPr>
          <w:rFonts w:ascii="宋体" w:hAnsi="宋体"/>
          <w:smallCaps/>
          <w:sz w:val="20"/>
          <w:highlight w:val="none"/>
        </w:rPr>
        <w:fldChar w:fldCharType="end"/>
      </w:r>
    </w:p>
    <w:p>
      <w:pPr>
        <w:pStyle w:val="21"/>
        <w:tabs>
          <w:tab w:val="right" w:leader="dot" w:pos="8958"/>
          <w:tab w:val="clear" w:pos="8303"/>
        </w:tabs>
        <w:ind w:firstLine="200"/>
        <w:rPr>
          <w:rFonts w:ascii="宋体" w:hAnsi="宋体"/>
          <w:smallCaps/>
          <w:sz w:val="20"/>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"_Toc13376"</w:instrText>
      </w:r>
      <w:r>
        <w:rPr>
          <w:rFonts w:ascii="宋体" w:hAnsi="宋体"/>
          <w:smallCaps/>
          <w:sz w:val="20"/>
          <w:highlight w:val="none"/>
        </w:rPr>
        <w:fldChar w:fldCharType="separate"/>
      </w:r>
      <w:r>
        <w:rPr>
          <w:rFonts w:ascii="宋体" w:hAnsi="宋体"/>
          <w:smallCaps/>
          <w:sz w:val="20"/>
          <w:highlight w:val="none"/>
        </w:rPr>
        <w:t xml:space="preserve">20. </w:t>
      </w:r>
      <w:r>
        <w:rPr>
          <w:rFonts w:hint="eastAsia" w:ascii="宋体" w:hAnsi="宋体" w:eastAsia="宋体"/>
          <w:smallCaps/>
          <w:sz w:val="20"/>
          <w:szCs w:val="24"/>
          <w:highlight w:val="none"/>
        </w:rPr>
        <w:t>投标保证金</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_Toc13376 </w:instrText>
      </w:r>
      <w:r>
        <w:rPr>
          <w:rFonts w:ascii="宋体" w:hAnsi="宋体"/>
          <w:smallCaps/>
          <w:sz w:val="20"/>
          <w:highlight w:val="none"/>
        </w:rPr>
        <w:fldChar w:fldCharType="separate"/>
      </w:r>
      <w:r>
        <w:rPr>
          <w:rFonts w:ascii="宋体" w:hAnsi="宋体"/>
          <w:smallCaps/>
          <w:sz w:val="20"/>
          <w:highlight w:val="none"/>
        </w:rPr>
        <w:t>14</w:t>
      </w:r>
      <w:r>
        <w:rPr>
          <w:rFonts w:ascii="宋体" w:hAnsi="宋体"/>
          <w:smallCaps/>
          <w:sz w:val="20"/>
          <w:highlight w:val="none"/>
        </w:rPr>
        <w:fldChar w:fldCharType="end"/>
      </w:r>
      <w:r>
        <w:rPr>
          <w:rFonts w:ascii="宋体" w:hAnsi="宋体"/>
          <w:smallCaps/>
          <w:sz w:val="20"/>
          <w:highlight w:val="none"/>
        </w:rPr>
        <w:fldChar w:fldCharType="end"/>
      </w:r>
    </w:p>
    <w:p>
      <w:pPr>
        <w:pStyle w:val="21"/>
        <w:tabs>
          <w:tab w:val="right" w:leader="dot" w:pos="8958"/>
          <w:tab w:val="clear" w:pos="8303"/>
        </w:tabs>
        <w:ind w:firstLine="200"/>
        <w:rPr>
          <w:rFonts w:ascii="宋体" w:hAnsi="宋体"/>
          <w:smallCaps/>
          <w:sz w:val="20"/>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"_Toc4355"</w:instrText>
      </w:r>
      <w:r>
        <w:rPr>
          <w:rFonts w:ascii="宋体" w:hAnsi="宋体"/>
          <w:smallCaps/>
          <w:sz w:val="20"/>
          <w:highlight w:val="none"/>
        </w:rPr>
        <w:fldChar w:fldCharType="separate"/>
      </w:r>
      <w:r>
        <w:rPr>
          <w:rFonts w:ascii="宋体" w:hAnsi="宋体"/>
          <w:smallCaps/>
          <w:sz w:val="20"/>
          <w:highlight w:val="none"/>
        </w:rPr>
        <w:t xml:space="preserve">21. </w:t>
      </w:r>
      <w:r>
        <w:rPr>
          <w:rFonts w:hint="eastAsia" w:ascii="宋体" w:hAnsi="宋体" w:eastAsia="宋体"/>
          <w:smallCaps/>
          <w:sz w:val="20"/>
          <w:szCs w:val="24"/>
          <w:highlight w:val="none"/>
        </w:rPr>
        <w:t>知识产权</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_Toc4355 </w:instrText>
      </w:r>
      <w:r>
        <w:rPr>
          <w:rFonts w:ascii="宋体" w:hAnsi="宋体"/>
          <w:smallCaps/>
          <w:sz w:val="20"/>
          <w:highlight w:val="none"/>
        </w:rPr>
        <w:fldChar w:fldCharType="separate"/>
      </w:r>
      <w:r>
        <w:rPr>
          <w:rFonts w:ascii="宋体" w:hAnsi="宋体"/>
          <w:smallCaps/>
          <w:sz w:val="20"/>
          <w:highlight w:val="none"/>
        </w:rPr>
        <w:t>14</w:t>
      </w:r>
      <w:r>
        <w:rPr>
          <w:rFonts w:ascii="宋体" w:hAnsi="宋体"/>
          <w:smallCaps/>
          <w:sz w:val="20"/>
          <w:highlight w:val="none"/>
        </w:rPr>
        <w:fldChar w:fldCharType="end"/>
      </w:r>
      <w:r>
        <w:rPr>
          <w:rFonts w:ascii="宋体" w:hAnsi="宋体"/>
          <w:smallCaps/>
          <w:sz w:val="20"/>
          <w:highlight w:val="none"/>
        </w:rPr>
        <w:fldChar w:fldCharType="end"/>
      </w:r>
    </w:p>
    <w:p>
      <w:pPr>
        <w:pStyle w:val="21"/>
        <w:tabs>
          <w:tab w:val="right" w:leader="dot" w:pos="8958"/>
          <w:tab w:val="clear" w:pos="8303"/>
        </w:tabs>
        <w:ind w:firstLine="200"/>
        <w:rPr>
          <w:rFonts w:ascii="宋体" w:hAnsi="宋体"/>
          <w:smallCaps/>
          <w:sz w:val="20"/>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"_Toc6490"</w:instrText>
      </w:r>
      <w:r>
        <w:rPr>
          <w:rFonts w:ascii="宋体" w:hAnsi="宋体"/>
          <w:smallCaps/>
          <w:sz w:val="20"/>
          <w:highlight w:val="none"/>
        </w:rPr>
        <w:fldChar w:fldCharType="separate"/>
      </w:r>
      <w:r>
        <w:rPr>
          <w:rFonts w:ascii="宋体" w:hAnsi="宋体"/>
          <w:smallCaps/>
          <w:sz w:val="20"/>
          <w:highlight w:val="none"/>
        </w:rPr>
        <w:t xml:space="preserve">22. </w:t>
      </w:r>
      <w:r>
        <w:rPr>
          <w:rFonts w:hint="eastAsia" w:ascii="宋体" w:hAnsi="宋体" w:eastAsia="宋体"/>
          <w:smallCaps/>
          <w:sz w:val="20"/>
          <w:szCs w:val="24"/>
          <w:highlight w:val="none"/>
        </w:rPr>
        <w:t>投标有效期</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_Toc6490 </w:instrText>
      </w:r>
      <w:r>
        <w:rPr>
          <w:rFonts w:ascii="宋体" w:hAnsi="宋体"/>
          <w:smallCaps/>
          <w:sz w:val="20"/>
          <w:highlight w:val="none"/>
        </w:rPr>
        <w:fldChar w:fldCharType="separate"/>
      </w:r>
      <w:r>
        <w:rPr>
          <w:rFonts w:ascii="宋体" w:hAnsi="宋体"/>
          <w:smallCaps/>
          <w:sz w:val="20"/>
          <w:highlight w:val="none"/>
        </w:rPr>
        <w:t>14</w:t>
      </w:r>
      <w:r>
        <w:rPr>
          <w:rFonts w:ascii="宋体" w:hAnsi="宋体"/>
          <w:smallCaps/>
          <w:sz w:val="20"/>
          <w:highlight w:val="none"/>
        </w:rPr>
        <w:fldChar w:fldCharType="end"/>
      </w:r>
      <w:r>
        <w:rPr>
          <w:rFonts w:ascii="宋体" w:hAnsi="宋体"/>
          <w:smallCaps/>
          <w:sz w:val="20"/>
          <w:highlight w:val="none"/>
        </w:rPr>
        <w:fldChar w:fldCharType="end"/>
      </w:r>
    </w:p>
    <w:p>
      <w:pPr>
        <w:pStyle w:val="21"/>
        <w:tabs>
          <w:tab w:val="right" w:leader="dot" w:pos="8958"/>
          <w:tab w:val="clear" w:pos="8303"/>
        </w:tabs>
        <w:ind w:firstLine="200"/>
        <w:rPr>
          <w:rFonts w:ascii="宋体" w:hAnsi="宋体"/>
          <w:smallCaps/>
          <w:sz w:val="20"/>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"_Toc13347"</w:instrText>
      </w:r>
      <w:r>
        <w:rPr>
          <w:rFonts w:ascii="宋体" w:hAnsi="宋体"/>
          <w:smallCaps/>
          <w:sz w:val="20"/>
          <w:highlight w:val="none"/>
        </w:rPr>
        <w:fldChar w:fldCharType="separate"/>
      </w:r>
      <w:r>
        <w:rPr>
          <w:rFonts w:ascii="宋体" w:hAnsi="宋体"/>
          <w:smallCaps/>
          <w:sz w:val="20"/>
          <w:highlight w:val="none"/>
        </w:rPr>
        <w:t xml:space="preserve">23. </w:t>
      </w:r>
      <w:r>
        <w:rPr>
          <w:rFonts w:hint="eastAsia" w:ascii="宋体" w:hAnsi="宋体" w:eastAsia="宋体"/>
          <w:smallCaps/>
          <w:sz w:val="20"/>
          <w:szCs w:val="24"/>
          <w:highlight w:val="none"/>
        </w:rPr>
        <w:t>投标文件的组成、式样和签署</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_Toc13347 </w:instrText>
      </w:r>
      <w:r>
        <w:rPr>
          <w:rFonts w:ascii="宋体" w:hAnsi="宋体"/>
          <w:smallCaps/>
          <w:sz w:val="20"/>
          <w:highlight w:val="none"/>
        </w:rPr>
        <w:fldChar w:fldCharType="separate"/>
      </w:r>
      <w:r>
        <w:rPr>
          <w:rFonts w:ascii="宋体" w:hAnsi="宋体"/>
          <w:smallCaps/>
          <w:sz w:val="20"/>
          <w:highlight w:val="none"/>
        </w:rPr>
        <w:t>15</w:t>
      </w:r>
      <w:r>
        <w:rPr>
          <w:rFonts w:ascii="宋体" w:hAnsi="宋体"/>
          <w:smallCaps/>
          <w:sz w:val="20"/>
          <w:highlight w:val="none"/>
        </w:rPr>
        <w:fldChar w:fldCharType="end"/>
      </w:r>
      <w:r>
        <w:rPr>
          <w:rFonts w:ascii="宋体" w:hAnsi="宋体"/>
          <w:smallCaps/>
          <w:sz w:val="20"/>
          <w:highlight w:val="none"/>
        </w:rPr>
        <w:fldChar w:fldCharType="end"/>
      </w:r>
    </w:p>
    <w:p>
      <w:pPr>
        <w:pStyle w:val="33"/>
        <w:tabs>
          <w:tab w:val="right" w:leader="dot" w:pos="8958"/>
        </w:tabs>
        <w:rPr>
          <w:rFonts w:ascii="宋体" w:hAnsi="宋体"/>
          <w:szCs w:val="24"/>
          <w:highlight w:val="none"/>
        </w:rPr>
      </w:pPr>
      <w:r>
        <w:rPr>
          <w:rFonts w:ascii="宋体" w:hAnsi="宋体"/>
          <w:szCs w:val="24"/>
          <w:highlight w:val="none"/>
        </w:rPr>
        <w:fldChar w:fldCharType="begin"/>
      </w:r>
      <w:r>
        <w:rPr>
          <w:rFonts w:ascii="宋体" w:hAnsi="宋体"/>
          <w:szCs w:val="24"/>
          <w:highlight w:val="none"/>
        </w:rPr>
        <w:instrText xml:space="preserve">HYPERLINK \l "_Toc22857"</w:instrText>
      </w:r>
      <w:r>
        <w:rPr>
          <w:rFonts w:ascii="宋体" w:hAnsi="宋体"/>
          <w:szCs w:val="24"/>
          <w:highlight w:val="none"/>
        </w:rPr>
        <w:fldChar w:fldCharType="separate"/>
      </w:r>
      <w:r>
        <w:rPr>
          <w:rFonts w:hint="eastAsia" w:ascii="宋体" w:hAnsi="宋体" w:eastAsia="宋体"/>
          <w:szCs w:val="24"/>
          <w:highlight w:val="none"/>
        </w:rPr>
        <w:t>（四）投标文件的递交</w:t>
      </w:r>
      <w:r>
        <w:rPr>
          <w:rFonts w:ascii="宋体" w:hAnsi="宋体"/>
          <w:szCs w:val="24"/>
          <w:highlight w:val="none"/>
        </w:rPr>
        <w:tab/>
      </w:r>
      <w:r>
        <w:rPr>
          <w:rFonts w:ascii="宋体" w:hAnsi="宋体"/>
          <w:szCs w:val="24"/>
          <w:highlight w:val="none"/>
        </w:rPr>
        <w:fldChar w:fldCharType="begin"/>
      </w:r>
      <w:r>
        <w:rPr>
          <w:rFonts w:ascii="宋体" w:hAnsi="宋体"/>
          <w:szCs w:val="24"/>
          <w:highlight w:val="none"/>
        </w:rPr>
        <w:instrText xml:space="preserve"> PAGEREF _Toc22857 </w:instrText>
      </w:r>
      <w:r>
        <w:rPr>
          <w:rFonts w:ascii="宋体" w:hAnsi="宋体"/>
          <w:szCs w:val="24"/>
          <w:highlight w:val="none"/>
        </w:rPr>
        <w:fldChar w:fldCharType="separate"/>
      </w:r>
      <w:r>
        <w:rPr>
          <w:rFonts w:ascii="宋体" w:hAnsi="宋体"/>
          <w:szCs w:val="24"/>
          <w:highlight w:val="none"/>
        </w:rPr>
        <w:t>16</w:t>
      </w:r>
      <w:r>
        <w:rPr>
          <w:rFonts w:ascii="宋体" w:hAnsi="宋体"/>
          <w:szCs w:val="24"/>
          <w:highlight w:val="none"/>
        </w:rPr>
        <w:fldChar w:fldCharType="end"/>
      </w:r>
      <w:r>
        <w:rPr>
          <w:rFonts w:ascii="宋体" w:hAnsi="宋体"/>
          <w:szCs w:val="24"/>
          <w:highlight w:val="none"/>
        </w:rPr>
        <w:fldChar w:fldCharType="end"/>
      </w:r>
    </w:p>
    <w:p>
      <w:pPr>
        <w:pStyle w:val="21"/>
        <w:tabs>
          <w:tab w:val="right" w:leader="dot" w:pos="8958"/>
          <w:tab w:val="clear" w:pos="8303"/>
        </w:tabs>
        <w:ind w:firstLine="200"/>
        <w:rPr>
          <w:rFonts w:ascii="宋体" w:hAnsi="宋体"/>
          <w:smallCaps/>
          <w:sz w:val="20"/>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"_Toc5765"</w:instrText>
      </w:r>
      <w:r>
        <w:rPr>
          <w:rFonts w:ascii="宋体" w:hAnsi="宋体"/>
          <w:smallCaps/>
          <w:sz w:val="20"/>
          <w:highlight w:val="none"/>
        </w:rPr>
        <w:fldChar w:fldCharType="separate"/>
      </w:r>
      <w:r>
        <w:rPr>
          <w:rFonts w:ascii="宋体" w:hAnsi="宋体"/>
          <w:smallCaps/>
          <w:sz w:val="20"/>
          <w:highlight w:val="none"/>
        </w:rPr>
        <w:t xml:space="preserve">24. </w:t>
      </w:r>
      <w:r>
        <w:rPr>
          <w:rFonts w:hint="eastAsia" w:ascii="宋体" w:hAnsi="宋体" w:eastAsia="宋体"/>
          <w:smallCaps/>
          <w:sz w:val="20"/>
          <w:szCs w:val="24"/>
          <w:highlight w:val="none"/>
        </w:rPr>
        <w:t>投标文件递交要求</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_Toc5765 </w:instrText>
      </w:r>
      <w:r>
        <w:rPr>
          <w:rFonts w:ascii="宋体" w:hAnsi="宋体"/>
          <w:smallCaps/>
          <w:sz w:val="20"/>
          <w:highlight w:val="none"/>
        </w:rPr>
        <w:fldChar w:fldCharType="separate"/>
      </w:r>
      <w:r>
        <w:rPr>
          <w:rFonts w:ascii="宋体" w:hAnsi="宋体"/>
          <w:smallCaps/>
          <w:sz w:val="20"/>
          <w:highlight w:val="none"/>
        </w:rPr>
        <w:t>16</w:t>
      </w:r>
      <w:r>
        <w:rPr>
          <w:rFonts w:ascii="宋体" w:hAnsi="宋体"/>
          <w:smallCaps/>
          <w:sz w:val="20"/>
          <w:highlight w:val="none"/>
        </w:rPr>
        <w:fldChar w:fldCharType="end"/>
      </w:r>
      <w:r>
        <w:rPr>
          <w:rFonts w:ascii="宋体" w:hAnsi="宋体"/>
          <w:smallCaps/>
          <w:sz w:val="20"/>
          <w:highlight w:val="none"/>
        </w:rPr>
        <w:fldChar w:fldCharType="end"/>
      </w:r>
    </w:p>
    <w:p>
      <w:pPr>
        <w:pStyle w:val="21"/>
        <w:tabs>
          <w:tab w:val="right" w:leader="dot" w:pos="8958"/>
          <w:tab w:val="clear" w:pos="8303"/>
        </w:tabs>
        <w:ind w:firstLine="200"/>
        <w:rPr>
          <w:rFonts w:ascii="宋体" w:hAnsi="宋体"/>
          <w:smallCaps/>
          <w:sz w:val="20"/>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"_Toc28990"</w:instrText>
      </w:r>
      <w:r>
        <w:rPr>
          <w:rFonts w:ascii="宋体" w:hAnsi="宋体"/>
          <w:smallCaps/>
          <w:sz w:val="20"/>
          <w:highlight w:val="none"/>
        </w:rPr>
        <w:fldChar w:fldCharType="separate"/>
      </w:r>
      <w:r>
        <w:rPr>
          <w:rFonts w:ascii="宋体" w:hAnsi="宋体"/>
          <w:smallCaps/>
          <w:sz w:val="20"/>
          <w:highlight w:val="none"/>
        </w:rPr>
        <w:t xml:space="preserve">25. </w:t>
      </w:r>
      <w:r>
        <w:rPr>
          <w:rFonts w:hint="eastAsia" w:ascii="宋体" w:hAnsi="宋体" w:eastAsia="宋体"/>
          <w:smallCaps/>
          <w:sz w:val="20"/>
          <w:szCs w:val="24"/>
          <w:highlight w:val="none"/>
        </w:rPr>
        <w:t>投标文件的密封和标记</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_Toc28990 </w:instrText>
      </w:r>
      <w:r>
        <w:rPr>
          <w:rFonts w:ascii="宋体" w:hAnsi="宋体"/>
          <w:smallCaps/>
          <w:sz w:val="20"/>
          <w:highlight w:val="none"/>
        </w:rPr>
        <w:fldChar w:fldCharType="separate"/>
      </w:r>
      <w:r>
        <w:rPr>
          <w:rFonts w:ascii="宋体" w:hAnsi="宋体"/>
          <w:smallCaps/>
          <w:sz w:val="20"/>
          <w:highlight w:val="none"/>
        </w:rPr>
        <w:t>16</w:t>
      </w:r>
      <w:r>
        <w:rPr>
          <w:rFonts w:ascii="宋体" w:hAnsi="宋体"/>
          <w:smallCaps/>
          <w:sz w:val="20"/>
          <w:highlight w:val="none"/>
        </w:rPr>
        <w:fldChar w:fldCharType="end"/>
      </w:r>
      <w:r>
        <w:rPr>
          <w:rFonts w:ascii="宋体" w:hAnsi="宋体"/>
          <w:smallCaps/>
          <w:sz w:val="20"/>
          <w:highlight w:val="none"/>
        </w:rPr>
        <w:fldChar w:fldCharType="end"/>
      </w:r>
    </w:p>
    <w:p>
      <w:pPr>
        <w:pStyle w:val="21"/>
        <w:tabs>
          <w:tab w:val="right" w:leader="dot" w:pos="8958"/>
          <w:tab w:val="clear" w:pos="8303"/>
        </w:tabs>
        <w:ind w:firstLine="200"/>
        <w:rPr>
          <w:rFonts w:ascii="宋体" w:hAnsi="宋体"/>
          <w:smallCaps/>
          <w:sz w:val="20"/>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"_Toc8311"</w:instrText>
      </w:r>
      <w:r>
        <w:rPr>
          <w:rFonts w:ascii="宋体" w:hAnsi="宋体"/>
          <w:smallCaps/>
          <w:sz w:val="20"/>
          <w:highlight w:val="none"/>
        </w:rPr>
        <w:fldChar w:fldCharType="separate"/>
      </w:r>
      <w:r>
        <w:rPr>
          <w:rFonts w:ascii="宋体" w:hAnsi="宋体"/>
          <w:smallCaps/>
          <w:sz w:val="20"/>
          <w:highlight w:val="none"/>
        </w:rPr>
        <w:t xml:space="preserve">26. </w:t>
      </w:r>
      <w:r>
        <w:rPr>
          <w:rFonts w:hint="eastAsia" w:ascii="宋体" w:hAnsi="宋体" w:eastAsia="宋体"/>
          <w:smallCaps/>
          <w:sz w:val="20"/>
          <w:szCs w:val="24"/>
          <w:highlight w:val="none"/>
        </w:rPr>
        <w:t>投标截止时间</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_Toc8311 </w:instrText>
      </w:r>
      <w:r>
        <w:rPr>
          <w:rFonts w:ascii="宋体" w:hAnsi="宋体"/>
          <w:smallCaps/>
          <w:sz w:val="20"/>
          <w:highlight w:val="none"/>
        </w:rPr>
        <w:fldChar w:fldCharType="separate"/>
      </w:r>
      <w:r>
        <w:rPr>
          <w:rFonts w:ascii="宋体" w:hAnsi="宋体"/>
          <w:smallCaps/>
          <w:sz w:val="20"/>
          <w:highlight w:val="none"/>
        </w:rPr>
        <w:t>16</w:t>
      </w:r>
      <w:r>
        <w:rPr>
          <w:rFonts w:ascii="宋体" w:hAnsi="宋体"/>
          <w:smallCaps/>
          <w:sz w:val="20"/>
          <w:highlight w:val="none"/>
        </w:rPr>
        <w:fldChar w:fldCharType="end"/>
      </w:r>
      <w:r>
        <w:rPr>
          <w:rFonts w:ascii="宋体" w:hAnsi="宋体"/>
          <w:smallCaps/>
          <w:sz w:val="20"/>
          <w:highlight w:val="none"/>
        </w:rPr>
        <w:fldChar w:fldCharType="end"/>
      </w:r>
    </w:p>
    <w:p>
      <w:pPr>
        <w:pStyle w:val="21"/>
        <w:tabs>
          <w:tab w:val="right" w:leader="dot" w:pos="8958"/>
          <w:tab w:val="clear" w:pos="8303"/>
        </w:tabs>
        <w:ind w:firstLine="200"/>
        <w:rPr>
          <w:rFonts w:ascii="宋体" w:hAnsi="宋体"/>
          <w:smallCaps/>
          <w:sz w:val="20"/>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"_Toc12426"</w:instrText>
      </w:r>
      <w:r>
        <w:rPr>
          <w:rFonts w:ascii="宋体" w:hAnsi="宋体"/>
          <w:smallCaps/>
          <w:sz w:val="20"/>
          <w:highlight w:val="none"/>
        </w:rPr>
        <w:fldChar w:fldCharType="separate"/>
      </w:r>
      <w:r>
        <w:rPr>
          <w:rFonts w:ascii="宋体" w:hAnsi="宋体"/>
          <w:smallCaps/>
          <w:sz w:val="20"/>
          <w:highlight w:val="none"/>
        </w:rPr>
        <w:t xml:space="preserve">27. </w:t>
      </w:r>
      <w:r>
        <w:rPr>
          <w:rFonts w:hint="eastAsia" w:ascii="宋体" w:hAnsi="宋体" w:eastAsia="宋体"/>
          <w:smallCaps/>
          <w:sz w:val="20"/>
          <w:szCs w:val="24"/>
          <w:highlight w:val="none"/>
        </w:rPr>
        <w:t>迟交的投标文件</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_Toc12426 </w:instrText>
      </w:r>
      <w:r>
        <w:rPr>
          <w:rFonts w:ascii="宋体" w:hAnsi="宋体"/>
          <w:smallCaps/>
          <w:sz w:val="20"/>
          <w:highlight w:val="none"/>
        </w:rPr>
        <w:fldChar w:fldCharType="separate"/>
      </w:r>
      <w:r>
        <w:rPr>
          <w:rFonts w:ascii="宋体" w:hAnsi="宋体"/>
          <w:smallCaps/>
          <w:sz w:val="20"/>
          <w:highlight w:val="none"/>
        </w:rPr>
        <w:t>17</w:t>
      </w:r>
      <w:r>
        <w:rPr>
          <w:rFonts w:ascii="宋体" w:hAnsi="宋体"/>
          <w:smallCaps/>
          <w:sz w:val="20"/>
          <w:highlight w:val="none"/>
        </w:rPr>
        <w:fldChar w:fldCharType="end"/>
      </w:r>
      <w:r>
        <w:rPr>
          <w:rFonts w:ascii="宋体" w:hAnsi="宋体"/>
          <w:smallCaps/>
          <w:sz w:val="20"/>
          <w:highlight w:val="none"/>
        </w:rPr>
        <w:fldChar w:fldCharType="end"/>
      </w:r>
    </w:p>
    <w:p>
      <w:pPr>
        <w:pStyle w:val="21"/>
        <w:tabs>
          <w:tab w:val="right" w:leader="dot" w:pos="8958"/>
          <w:tab w:val="clear" w:pos="8303"/>
        </w:tabs>
        <w:ind w:firstLine="200"/>
        <w:rPr>
          <w:rFonts w:ascii="宋体" w:hAnsi="宋体"/>
          <w:smallCaps/>
          <w:sz w:val="20"/>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"_Toc21322"</w:instrText>
      </w:r>
      <w:r>
        <w:rPr>
          <w:rFonts w:ascii="宋体" w:hAnsi="宋体"/>
          <w:smallCaps/>
          <w:sz w:val="20"/>
          <w:highlight w:val="none"/>
        </w:rPr>
        <w:fldChar w:fldCharType="separate"/>
      </w:r>
      <w:r>
        <w:rPr>
          <w:rFonts w:ascii="宋体" w:hAnsi="宋体"/>
          <w:smallCaps/>
          <w:sz w:val="20"/>
          <w:highlight w:val="none"/>
        </w:rPr>
        <w:t xml:space="preserve">28. </w:t>
      </w:r>
      <w:r>
        <w:rPr>
          <w:rFonts w:hint="eastAsia" w:ascii="宋体" w:hAnsi="宋体" w:eastAsia="宋体"/>
          <w:smallCaps/>
          <w:sz w:val="20"/>
          <w:szCs w:val="24"/>
          <w:highlight w:val="none"/>
        </w:rPr>
        <w:t>投标文件的修改与撤回</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_Toc21322 </w:instrText>
      </w:r>
      <w:r>
        <w:rPr>
          <w:rFonts w:ascii="宋体" w:hAnsi="宋体"/>
          <w:smallCaps/>
          <w:sz w:val="20"/>
          <w:highlight w:val="none"/>
        </w:rPr>
        <w:fldChar w:fldCharType="separate"/>
      </w:r>
      <w:r>
        <w:rPr>
          <w:rFonts w:ascii="宋体" w:hAnsi="宋体"/>
          <w:smallCaps/>
          <w:sz w:val="20"/>
          <w:highlight w:val="none"/>
        </w:rPr>
        <w:t>17</w:t>
      </w:r>
      <w:r>
        <w:rPr>
          <w:rFonts w:ascii="宋体" w:hAnsi="宋体"/>
          <w:smallCaps/>
          <w:sz w:val="20"/>
          <w:highlight w:val="none"/>
        </w:rPr>
        <w:fldChar w:fldCharType="end"/>
      </w:r>
      <w:r>
        <w:rPr>
          <w:rFonts w:ascii="宋体" w:hAnsi="宋体"/>
          <w:smallCaps/>
          <w:sz w:val="20"/>
          <w:highlight w:val="none"/>
        </w:rPr>
        <w:fldChar w:fldCharType="end"/>
      </w:r>
    </w:p>
    <w:p>
      <w:pPr>
        <w:pStyle w:val="33"/>
        <w:tabs>
          <w:tab w:val="right" w:leader="dot" w:pos="8958"/>
        </w:tabs>
        <w:rPr>
          <w:rFonts w:ascii="宋体" w:hAnsi="宋体"/>
          <w:szCs w:val="24"/>
          <w:highlight w:val="none"/>
        </w:rPr>
      </w:pPr>
      <w:r>
        <w:rPr>
          <w:rFonts w:ascii="宋体" w:hAnsi="宋体"/>
          <w:szCs w:val="24"/>
          <w:highlight w:val="none"/>
        </w:rPr>
        <w:fldChar w:fldCharType="begin"/>
      </w:r>
      <w:r>
        <w:rPr>
          <w:rFonts w:ascii="宋体" w:hAnsi="宋体"/>
          <w:szCs w:val="24"/>
          <w:highlight w:val="none"/>
        </w:rPr>
        <w:instrText xml:space="preserve">HYPERLINK \l "_Toc11666"</w:instrText>
      </w:r>
      <w:r>
        <w:rPr>
          <w:rFonts w:ascii="宋体" w:hAnsi="宋体"/>
          <w:szCs w:val="24"/>
          <w:highlight w:val="none"/>
        </w:rPr>
        <w:fldChar w:fldCharType="separate"/>
      </w:r>
      <w:r>
        <w:rPr>
          <w:rFonts w:hint="eastAsia" w:ascii="宋体" w:hAnsi="宋体" w:eastAsia="宋体"/>
          <w:szCs w:val="24"/>
          <w:highlight w:val="none"/>
        </w:rPr>
        <w:t>（五）开标与评标</w:t>
      </w:r>
      <w:r>
        <w:rPr>
          <w:rFonts w:ascii="宋体" w:hAnsi="宋体"/>
          <w:szCs w:val="24"/>
          <w:highlight w:val="none"/>
        </w:rPr>
        <w:tab/>
      </w:r>
      <w:r>
        <w:rPr>
          <w:rFonts w:ascii="宋体" w:hAnsi="宋体"/>
          <w:szCs w:val="24"/>
          <w:highlight w:val="none"/>
        </w:rPr>
        <w:fldChar w:fldCharType="begin"/>
      </w:r>
      <w:r>
        <w:rPr>
          <w:rFonts w:ascii="宋体" w:hAnsi="宋体"/>
          <w:szCs w:val="24"/>
          <w:highlight w:val="none"/>
        </w:rPr>
        <w:instrText xml:space="preserve"> PAGEREF _Toc11666 </w:instrText>
      </w:r>
      <w:r>
        <w:rPr>
          <w:rFonts w:ascii="宋体" w:hAnsi="宋体"/>
          <w:szCs w:val="24"/>
          <w:highlight w:val="none"/>
        </w:rPr>
        <w:fldChar w:fldCharType="separate"/>
      </w:r>
      <w:r>
        <w:rPr>
          <w:rFonts w:ascii="宋体" w:hAnsi="宋体"/>
          <w:szCs w:val="24"/>
          <w:highlight w:val="none"/>
        </w:rPr>
        <w:t>17</w:t>
      </w:r>
      <w:r>
        <w:rPr>
          <w:rFonts w:ascii="宋体" w:hAnsi="宋体"/>
          <w:szCs w:val="24"/>
          <w:highlight w:val="none"/>
        </w:rPr>
        <w:fldChar w:fldCharType="end"/>
      </w:r>
      <w:r>
        <w:rPr>
          <w:rFonts w:ascii="宋体" w:hAnsi="宋体"/>
          <w:szCs w:val="24"/>
          <w:highlight w:val="none"/>
        </w:rPr>
        <w:fldChar w:fldCharType="end"/>
      </w:r>
    </w:p>
    <w:p>
      <w:pPr>
        <w:pStyle w:val="21"/>
        <w:tabs>
          <w:tab w:val="right" w:leader="dot" w:pos="8958"/>
          <w:tab w:val="clear" w:pos="8303"/>
        </w:tabs>
        <w:ind w:firstLine="200"/>
        <w:rPr>
          <w:rFonts w:ascii="宋体" w:hAnsi="宋体"/>
          <w:smallCaps/>
          <w:sz w:val="20"/>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"_Toc25810"</w:instrText>
      </w:r>
      <w:r>
        <w:rPr>
          <w:rFonts w:ascii="宋体" w:hAnsi="宋体"/>
          <w:smallCaps/>
          <w:sz w:val="20"/>
          <w:highlight w:val="none"/>
        </w:rPr>
        <w:fldChar w:fldCharType="separate"/>
      </w:r>
      <w:r>
        <w:rPr>
          <w:rFonts w:ascii="宋体" w:hAnsi="宋体"/>
          <w:smallCaps/>
          <w:sz w:val="20"/>
          <w:highlight w:val="none"/>
        </w:rPr>
        <w:t xml:space="preserve">29. </w:t>
      </w:r>
      <w:r>
        <w:rPr>
          <w:rFonts w:hint="eastAsia" w:ascii="宋体" w:hAnsi="宋体" w:eastAsia="宋体"/>
          <w:smallCaps/>
          <w:sz w:val="20"/>
          <w:szCs w:val="24"/>
          <w:highlight w:val="none"/>
        </w:rPr>
        <w:t>开标</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_Toc25810 </w:instrText>
      </w:r>
      <w:r>
        <w:rPr>
          <w:rFonts w:ascii="宋体" w:hAnsi="宋体"/>
          <w:smallCaps/>
          <w:sz w:val="20"/>
          <w:highlight w:val="none"/>
        </w:rPr>
        <w:fldChar w:fldCharType="separate"/>
      </w:r>
      <w:r>
        <w:rPr>
          <w:rFonts w:ascii="宋体" w:hAnsi="宋体"/>
          <w:smallCaps/>
          <w:sz w:val="20"/>
          <w:highlight w:val="none"/>
        </w:rPr>
        <w:t>17</w:t>
      </w:r>
      <w:r>
        <w:rPr>
          <w:rFonts w:ascii="宋体" w:hAnsi="宋体"/>
          <w:smallCaps/>
          <w:sz w:val="20"/>
          <w:highlight w:val="none"/>
        </w:rPr>
        <w:fldChar w:fldCharType="end"/>
      </w:r>
      <w:r>
        <w:rPr>
          <w:rFonts w:ascii="宋体" w:hAnsi="宋体"/>
          <w:smallCaps/>
          <w:sz w:val="20"/>
          <w:highlight w:val="none"/>
        </w:rPr>
        <w:fldChar w:fldCharType="end"/>
      </w:r>
    </w:p>
    <w:p>
      <w:pPr>
        <w:pStyle w:val="21"/>
        <w:tabs>
          <w:tab w:val="right" w:leader="dot" w:pos="8958"/>
          <w:tab w:val="clear" w:pos="8303"/>
        </w:tabs>
        <w:ind w:firstLine="200"/>
        <w:rPr>
          <w:rFonts w:ascii="宋体" w:hAnsi="宋体"/>
          <w:smallCaps/>
          <w:sz w:val="20"/>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"_Toc951"</w:instrText>
      </w:r>
      <w:r>
        <w:rPr>
          <w:rFonts w:ascii="宋体" w:hAnsi="宋体"/>
          <w:smallCaps/>
          <w:sz w:val="20"/>
          <w:highlight w:val="none"/>
        </w:rPr>
        <w:fldChar w:fldCharType="separate"/>
      </w:r>
      <w:r>
        <w:rPr>
          <w:rFonts w:ascii="宋体" w:hAnsi="宋体"/>
          <w:smallCaps/>
          <w:sz w:val="20"/>
          <w:highlight w:val="none"/>
        </w:rPr>
        <w:t xml:space="preserve">30. </w:t>
      </w:r>
      <w:r>
        <w:rPr>
          <w:rFonts w:hint="eastAsia" w:ascii="宋体" w:hAnsi="宋体" w:eastAsia="宋体"/>
          <w:smallCaps/>
          <w:sz w:val="20"/>
          <w:szCs w:val="24"/>
          <w:highlight w:val="none"/>
        </w:rPr>
        <w:t>投标文件的评审、评价和比较</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_Toc951 </w:instrText>
      </w:r>
      <w:r>
        <w:rPr>
          <w:rFonts w:ascii="宋体" w:hAnsi="宋体"/>
          <w:smallCaps/>
          <w:sz w:val="20"/>
          <w:highlight w:val="none"/>
        </w:rPr>
        <w:fldChar w:fldCharType="separate"/>
      </w:r>
      <w:r>
        <w:rPr>
          <w:rFonts w:ascii="宋体" w:hAnsi="宋体"/>
          <w:smallCaps/>
          <w:sz w:val="20"/>
          <w:highlight w:val="none"/>
        </w:rPr>
        <w:t>17</w:t>
      </w:r>
      <w:r>
        <w:rPr>
          <w:rFonts w:ascii="宋体" w:hAnsi="宋体"/>
          <w:smallCaps/>
          <w:sz w:val="20"/>
          <w:highlight w:val="none"/>
        </w:rPr>
        <w:fldChar w:fldCharType="end"/>
      </w:r>
      <w:r>
        <w:rPr>
          <w:rFonts w:ascii="宋体" w:hAnsi="宋体"/>
          <w:smallCaps/>
          <w:sz w:val="20"/>
          <w:highlight w:val="none"/>
        </w:rPr>
        <w:fldChar w:fldCharType="end"/>
      </w:r>
    </w:p>
    <w:p>
      <w:pPr>
        <w:pStyle w:val="21"/>
        <w:tabs>
          <w:tab w:val="right" w:leader="dot" w:pos="8958"/>
          <w:tab w:val="clear" w:pos="8303"/>
        </w:tabs>
        <w:ind w:firstLine="200"/>
        <w:rPr>
          <w:rFonts w:ascii="宋体" w:hAnsi="宋体"/>
          <w:smallCaps/>
          <w:sz w:val="20"/>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"_Toc21576"</w:instrText>
      </w:r>
      <w:r>
        <w:rPr>
          <w:rFonts w:ascii="宋体" w:hAnsi="宋体"/>
          <w:smallCaps/>
          <w:sz w:val="20"/>
          <w:highlight w:val="none"/>
        </w:rPr>
        <w:fldChar w:fldCharType="separate"/>
      </w:r>
      <w:r>
        <w:rPr>
          <w:rFonts w:ascii="宋体" w:hAnsi="宋体"/>
          <w:smallCaps/>
          <w:sz w:val="20"/>
          <w:highlight w:val="none"/>
        </w:rPr>
        <w:t xml:space="preserve">31. </w:t>
      </w:r>
      <w:r>
        <w:rPr>
          <w:rFonts w:hint="eastAsia" w:ascii="宋体" w:hAnsi="宋体" w:eastAsia="宋体"/>
          <w:smallCaps/>
          <w:sz w:val="20"/>
          <w:szCs w:val="24"/>
          <w:highlight w:val="none"/>
        </w:rPr>
        <w:t>评标原则和评标办法</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_Toc21576 </w:instrText>
      </w:r>
      <w:r>
        <w:rPr>
          <w:rFonts w:ascii="宋体" w:hAnsi="宋体"/>
          <w:smallCaps/>
          <w:sz w:val="20"/>
          <w:highlight w:val="none"/>
        </w:rPr>
        <w:fldChar w:fldCharType="separate"/>
      </w:r>
      <w:r>
        <w:rPr>
          <w:rFonts w:ascii="宋体" w:hAnsi="宋体"/>
          <w:smallCaps/>
          <w:sz w:val="20"/>
          <w:highlight w:val="none"/>
        </w:rPr>
        <w:t>17</w:t>
      </w:r>
      <w:r>
        <w:rPr>
          <w:rFonts w:ascii="宋体" w:hAnsi="宋体"/>
          <w:smallCaps/>
          <w:sz w:val="20"/>
          <w:highlight w:val="none"/>
        </w:rPr>
        <w:fldChar w:fldCharType="end"/>
      </w:r>
      <w:r>
        <w:rPr>
          <w:rFonts w:ascii="宋体" w:hAnsi="宋体"/>
          <w:smallCaps/>
          <w:sz w:val="20"/>
          <w:highlight w:val="none"/>
        </w:rPr>
        <w:fldChar w:fldCharType="end"/>
      </w:r>
    </w:p>
    <w:p>
      <w:pPr>
        <w:pStyle w:val="21"/>
        <w:tabs>
          <w:tab w:val="right" w:leader="dot" w:pos="8958"/>
          <w:tab w:val="clear" w:pos="8303"/>
        </w:tabs>
        <w:ind w:firstLine="200"/>
        <w:rPr>
          <w:rFonts w:ascii="宋体" w:hAnsi="宋体"/>
          <w:smallCaps/>
          <w:sz w:val="20"/>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"_Toc10563"</w:instrText>
      </w:r>
      <w:r>
        <w:rPr>
          <w:rFonts w:ascii="宋体" w:hAnsi="宋体"/>
          <w:smallCaps/>
          <w:sz w:val="20"/>
          <w:highlight w:val="none"/>
        </w:rPr>
        <w:fldChar w:fldCharType="separate"/>
      </w:r>
      <w:r>
        <w:rPr>
          <w:rFonts w:ascii="宋体" w:hAnsi="宋体"/>
          <w:smallCaps/>
          <w:sz w:val="20"/>
          <w:highlight w:val="none"/>
        </w:rPr>
        <w:t xml:space="preserve">32. </w:t>
      </w:r>
      <w:r>
        <w:rPr>
          <w:rFonts w:hint="eastAsia" w:ascii="宋体" w:hAnsi="宋体" w:eastAsia="宋体"/>
          <w:bCs w:val="0"/>
          <w:smallCaps/>
          <w:sz w:val="20"/>
          <w:szCs w:val="24"/>
          <w:highlight w:val="none"/>
        </w:rPr>
        <w:t>投标文件的澄清，计算错误的修正</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_Toc10563 </w:instrText>
      </w:r>
      <w:r>
        <w:rPr>
          <w:rFonts w:ascii="宋体" w:hAnsi="宋体"/>
          <w:smallCaps/>
          <w:sz w:val="20"/>
          <w:highlight w:val="none"/>
        </w:rPr>
        <w:fldChar w:fldCharType="separate"/>
      </w:r>
      <w:r>
        <w:rPr>
          <w:rFonts w:ascii="宋体" w:hAnsi="宋体"/>
          <w:smallCaps/>
          <w:sz w:val="20"/>
          <w:highlight w:val="none"/>
        </w:rPr>
        <w:t>17</w:t>
      </w:r>
      <w:r>
        <w:rPr>
          <w:rFonts w:ascii="宋体" w:hAnsi="宋体"/>
          <w:smallCaps/>
          <w:sz w:val="20"/>
          <w:highlight w:val="none"/>
        </w:rPr>
        <w:fldChar w:fldCharType="end"/>
      </w:r>
      <w:r>
        <w:rPr>
          <w:rFonts w:ascii="宋体" w:hAnsi="宋体"/>
          <w:smallCaps/>
          <w:sz w:val="20"/>
          <w:highlight w:val="none"/>
        </w:rPr>
        <w:fldChar w:fldCharType="end"/>
      </w:r>
    </w:p>
    <w:p>
      <w:pPr>
        <w:pStyle w:val="21"/>
        <w:tabs>
          <w:tab w:val="right" w:leader="dot" w:pos="8958"/>
          <w:tab w:val="clear" w:pos="8303"/>
        </w:tabs>
        <w:ind w:firstLine="200"/>
        <w:rPr>
          <w:rFonts w:ascii="宋体" w:hAnsi="宋体"/>
          <w:smallCaps/>
          <w:sz w:val="20"/>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"_Toc11004"</w:instrText>
      </w:r>
      <w:r>
        <w:rPr>
          <w:rFonts w:ascii="宋体" w:hAnsi="宋体"/>
          <w:smallCaps/>
          <w:sz w:val="20"/>
          <w:highlight w:val="none"/>
        </w:rPr>
        <w:fldChar w:fldCharType="separate"/>
      </w:r>
      <w:r>
        <w:rPr>
          <w:rFonts w:ascii="宋体" w:hAnsi="宋体"/>
          <w:smallCaps/>
          <w:sz w:val="20"/>
          <w:highlight w:val="none"/>
        </w:rPr>
        <w:t xml:space="preserve">33. </w:t>
      </w:r>
      <w:r>
        <w:rPr>
          <w:rFonts w:hint="eastAsia" w:ascii="宋体" w:hAnsi="宋体" w:eastAsia="宋体"/>
          <w:smallCaps/>
          <w:sz w:val="20"/>
          <w:szCs w:val="24"/>
          <w:highlight w:val="none"/>
        </w:rPr>
        <w:t>评标过程的保密</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_Toc11004 </w:instrText>
      </w:r>
      <w:r>
        <w:rPr>
          <w:rFonts w:ascii="宋体" w:hAnsi="宋体"/>
          <w:smallCaps/>
          <w:sz w:val="20"/>
          <w:highlight w:val="none"/>
        </w:rPr>
        <w:fldChar w:fldCharType="separate"/>
      </w:r>
      <w:r>
        <w:rPr>
          <w:rFonts w:ascii="宋体" w:hAnsi="宋体"/>
          <w:smallCaps/>
          <w:sz w:val="20"/>
          <w:highlight w:val="none"/>
        </w:rPr>
        <w:t>17</w:t>
      </w:r>
      <w:r>
        <w:rPr>
          <w:rFonts w:ascii="宋体" w:hAnsi="宋体"/>
          <w:smallCaps/>
          <w:sz w:val="20"/>
          <w:highlight w:val="none"/>
        </w:rPr>
        <w:fldChar w:fldCharType="end"/>
      </w:r>
      <w:r>
        <w:rPr>
          <w:rFonts w:ascii="宋体" w:hAnsi="宋体"/>
          <w:smallCaps/>
          <w:sz w:val="20"/>
          <w:highlight w:val="none"/>
        </w:rPr>
        <w:fldChar w:fldCharType="end"/>
      </w:r>
    </w:p>
    <w:p>
      <w:pPr>
        <w:pStyle w:val="21"/>
        <w:tabs>
          <w:tab w:val="right" w:leader="dot" w:pos="8958"/>
          <w:tab w:val="clear" w:pos="8303"/>
        </w:tabs>
        <w:ind w:firstLine="200"/>
        <w:rPr>
          <w:rFonts w:ascii="宋体" w:hAnsi="宋体"/>
          <w:smallCaps/>
          <w:sz w:val="20"/>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"_Toc26057"</w:instrText>
      </w:r>
      <w:r>
        <w:rPr>
          <w:rFonts w:ascii="宋体" w:hAnsi="宋体"/>
          <w:smallCaps/>
          <w:sz w:val="20"/>
          <w:highlight w:val="none"/>
        </w:rPr>
        <w:fldChar w:fldCharType="separate"/>
      </w:r>
      <w:r>
        <w:rPr>
          <w:rFonts w:ascii="宋体" w:hAnsi="宋体"/>
          <w:smallCaps/>
          <w:sz w:val="20"/>
          <w:highlight w:val="none"/>
        </w:rPr>
        <w:t xml:space="preserve">34. </w:t>
      </w:r>
      <w:r>
        <w:rPr>
          <w:rFonts w:hint="eastAsia" w:ascii="宋体" w:hAnsi="宋体" w:eastAsia="宋体"/>
          <w:smallCaps/>
          <w:sz w:val="20"/>
          <w:szCs w:val="24"/>
          <w:highlight w:val="none"/>
        </w:rPr>
        <w:t>拒绝任何或所有投标的权利</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_Toc26057 </w:instrText>
      </w:r>
      <w:r>
        <w:rPr>
          <w:rFonts w:ascii="宋体" w:hAnsi="宋体"/>
          <w:smallCaps/>
          <w:sz w:val="20"/>
          <w:highlight w:val="none"/>
        </w:rPr>
        <w:fldChar w:fldCharType="separate"/>
      </w:r>
      <w:r>
        <w:rPr>
          <w:rFonts w:ascii="宋体" w:hAnsi="宋体"/>
          <w:smallCaps/>
          <w:sz w:val="20"/>
          <w:highlight w:val="none"/>
        </w:rPr>
        <w:t>17</w:t>
      </w:r>
      <w:r>
        <w:rPr>
          <w:rFonts w:ascii="宋体" w:hAnsi="宋体"/>
          <w:smallCaps/>
          <w:sz w:val="20"/>
          <w:highlight w:val="none"/>
        </w:rPr>
        <w:fldChar w:fldCharType="end"/>
      </w:r>
      <w:r>
        <w:rPr>
          <w:rFonts w:ascii="宋体" w:hAnsi="宋体"/>
          <w:smallCaps/>
          <w:sz w:val="20"/>
          <w:highlight w:val="none"/>
        </w:rPr>
        <w:fldChar w:fldCharType="end"/>
      </w:r>
    </w:p>
    <w:p>
      <w:pPr>
        <w:pStyle w:val="33"/>
        <w:tabs>
          <w:tab w:val="right" w:leader="dot" w:pos="8958"/>
        </w:tabs>
        <w:rPr>
          <w:rFonts w:ascii="宋体" w:hAnsi="宋体"/>
          <w:szCs w:val="24"/>
          <w:highlight w:val="none"/>
        </w:rPr>
      </w:pPr>
      <w:r>
        <w:rPr>
          <w:rFonts w:ascii="宋体" w:hAnsi="宋体"/>
          <w:szCs w:val="24"/>
          <w:highlight w:val="none"/>
        </w:rPr>
        <w:fldChar w:fldCharType="begin"/>
      </w:r>
      <w:r>
        <w:rPr>
          <w:rFonts w:ascii="宋体" w:hAnsi="宋体"/>
          <w:szCs w:val="24"/>
          <w:highlight w:val="none"/>
        </w:rPr>
        <w:instrText xml:space="preserve">HYPERLINK \l "_Toc28583"</w:instrText>
      </w:r>
      <w:r>
        <w:rPr>
          <w:rFonts w:ascii="宋体" w:hAnsi="宋体"/>
          <w:szCs w:val="24"/>
          <w:highlight w:val="none"/>
        </w:rPr>
        <w:fldChar w:fldCharType="separate"/>
      </w:r>
      <w:r>
        <w:rPr>
          <w:rFonts w:hint="eastAsia" w:ascii="宋体" w:hAnsi="宋体" w:eastAsia="宋体"/>
          <w:szCs w:val="24"/>
          <w:highlight w:val="none"/>
        </w:rPr>
        <w:t>（六）授予合同</w:t>
      </w:r>
      <w:r>
        <w:rPr>
          <w:rFonts w:ascii="宋体" w:hAnsi="宋体"/>
          <w:szCs w:val="24"/>
          <w:highlight w:val="none"/>
        </w:rPr>
        <w:tab/>
      </w:r>
      <w:r>
        <w:rPr>
          <w:rFonts w:ascii="宋体" w:hAnsi="宋体"/>
          <w:szCs w:val="24"/>
          <w:highlight w:val="none"/>
        </w:rPr>
        <w:fldChar w:fldCharType="begin"/>
      </w:r>
      <w:r>
        <w:rPr>
          <w:rFonts w:ascii="宋体" w:hAnsi="宋体"/>
          <w:szCs w:val="24"/>
          <w:highlight w:val="none"/>
        </w:rPr>
        <w:instrText xml:space="preserve"> PAGEREF _Toc28583 </w:instrText>
      </w:r>
      <w:r>
        <w:rPr>
          <w:rFonts w:ascii="宋体" w:hAnsi="宋体"/>
          <w:szCs w:val="24"/>
          <w:highlight w:val="none"/>
        </w:rPr>
        <w:fldChar w:fldCharType="separate"/>
      </w:r>
      <w:r>
        <w:rPr>
          <w:rFonts w:ascii="宋体" w:hAnsi="宋体"/>
          <w:szCs w:val="24"/>
          <w:highlight w:val="none"/>
        </w:rPr>
        <w:t>18</w:t>
      </w:r>
      <w:r>
        <w:rPr>
          <w:rFonts w:ascii="宋体" w:hAnsi="宋体"/>
          <w:szCs w:val="24"/>
          <w:highlight w:val="none"/>
        </w:rPr>
        <w:fldChar w:fldCharType="end"/>
      </w:r>
      <w:r>
        <w:rPr>
          <w:rFonts w:ascii="宋体" w:hAnsi="宋体"/>
          <w:szCs w:val="24"/>
          <w:highlight w:val="none"/>
        </w:rPr>
        <w:fldChar w:fldCharType="end"/>
      </w:r>
    </w:p>
    <w:p>
      <w:pPr>
        <w:pStyle w:val="21"/>
        <w:tabs>
          <w:tab w:val="right" w:leader="dot" w:pos="8958"/>
          <w:tab w:val="clear" w:pos="8303"/>
        </w:tabs>
        <w:ind w:firstLine="200"/>
        <w:rPr>
          <w:rFonts w:ascii="宋体" w:hAnsi="宋体"/>
          <w:smallCaps/>
          <w:sz w:val="20"/>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"_Toc29868"</w:instrText>
      </w:r>
      <w:r>
        <w:rPr>
          <w:rFonts w:ascii="宋体" w:hAnsi="宋体"/>
          <w:smallCaps/>
          <w:sz w:val="20"/>
          <w:highlight w:val="none"/>
        </w:rPr>
        <w:fldChar w:fldCharType="separate"/>
      </w:r>
      <w:r>
        <w:rPr>
          <w:rFonts w:ascii="宋体" w:hAnsi="宋体"/>
          <w:smallCaps/>
          <w:sz w:val="20"/>
          <w:highlight w:val="none"/>
        </w:rPr>
        <w:t xml:space="preserve">35. </w:t>
      </w:r>
      <w:r>
        <w:rPr>
          <w:rFonts w:hint="eastAsia" w:ascii="宋体" w:hAnsi="宋体" w:eastAsia="宋体"/>
          <w:smallCaps/>
          <w:sz w:val="20"/>
          <w:szCs w:val="24"/>
          <w:highlight w:val="none"/>
        </w:rPr>
        <w:t>中标人的确定</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_Toc29868 </w:instrText>
      </w:r>
      <w:r>
        <w:rPr>
          <w:rFonts w:ascii="宋体" w:hAnsi="宋体"/>
          <w:smallCaps/>
          <w:sz w:val="20"/>
          <w:highlight w:val="none"/>
        </w:rPr>
        <w:fldChar w:fldCharType="separate"/>
      </w:r>
      <w:r>
        <w:rPr>
          <w:rFonts w:ascii="宋体" w:hAnsi="宋体"/>
          <w:smallCaps/>
          <w:sz w:val="20"/>
          <w:highlight w:val="none"/>
        </w:rPr>
        <w:t>18</w:t>
      </w:r>
      <w:r>
        <w:rPr>
          <w:rFonts w:ascii="宋体" w:hAnsi="宋体"/>
          <w:smallCaps/>
          <w:sz w:val="20"/>
          <w:highlight w:val="none"/>
        </w:rPr>
        <w:fldChar w:fldCharType="end"/>
      </w:r>
      <w:r>
        <w:rPr>
          <w:rFonts w:ascii="宋体" w:hAnsi="宋体"/>
          <w:smallCaps/>
          <w:sz w:val="20"/>
          <w:highlight w:val="none"/>
        </w:rPr>
        <w:fldChar w:fldCharType="end"/>
      </w:r>
    </w:p>
    <w:p>
      <w:pPr>
        <w:pStyle w:val="21"/>
        <w:tabs>
          <w:tab w:val="right" w:leader="dot" w:pos="8958"/>
          <w:tab w:val="clear" w:pos="8303"/>
        </w:tabs>
        <w:ind w:firstLine="200"/>
        <w:rPr>
          <w:rFonts w:ascii="宋体" w:hAnsi="宋体"/>
          <w:smallCaps/>
          <w:sz w:val="20"/>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"_Toc18798"</w:instrText>
      </w:r>
      <w:r>
        <w:rPr>
          <w:rFonts w:ascii="宋体" w:hAnsi="宋体"/>
          <w:smallCaps/>
          <w:sz w:val="20"/>
          <w:highlight w:val="none"/>
        </w:rPr>
        <w:fldChar w:fldCharType="separate"/>
      </w:r>
      <w:r>
        <w:rPr>
          <w:rFonts w:ascii="宋体" w:hAnsi="宋体"/>
          <w:smallCaps/>
          <w:sz w:val="20"/>
          <w:highlight w:val="none"/>
        </w:rPr>
        <w:t xml:space="preserve">36. </w:t>
      </w:r>
      <w:r>
        <w:rPr>
          <w:rFonts w:hint="eastAsia" w:ascii="宋体" w:hAnsi="宋体" w:eastAsia="宋体"/>
          <w:smallCaps/>
          <w:sz w:val="20"/>
          <w:szCs w:val="24"/>
          <w:highlight w:val="none"/>
        </w:rPr>
        <w:t>中标及中标结果通知</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_Toc18798 </w:instrText>
      </w:r>
      <w:r>
        <w:rPr>
          <w:rFonts w:ascii="宋体" w:hAnsi="宋体"/>
          <w:smallCaps/>
          <w:sz w:val="20"/>
          <w:highlight w:val="none"/>
        </w:rPr>
        <w:fldChar w:fldCharType="separate"/>
      </w:r>
      <w:r>
        <w:rPr>
          <w:rFonts w:ascii="宋体" w:hAnsi="宋体"/>
          <w:smallCaps/>
          <w:sz w:val="20"/>
          <w:highlight w:val="none"/>
        </w:rPr>
        <w:t>18</w:t>
      </w:r>
      <w:r>
        <w:rPr>
          <w:rFonts w:ascii="宋体" w:hAnsi="宋体"/>
          <w:smallCaps/>
          <w:sz w:val="20"/>
          <w:highlight w:val="none"/>
        </w:rPr>
        <w:fldChar w:fldCharType="end"/>
      </w:r>
      <w:r>
        <w:rPr>
          <w:rFonts w:ascii="宋体" w:hAnsi="宋体"/>
          <w:smallCaps/>
          <w:sz w:val="20"/>
          <w:highlight w:val="none"/>
        </w:rPr>
        <w:fldChar w:fldCharType="end"/>
      </w:r>
    </w:p>
    <w:p>
      <w:pPr>
        <w:pStyle w:val="21"/>
        <w:tabs>
          <w:tab w:val="right" w:leader="dot" w:pos="8958"/>
          <w:tab w:val="clear" w:pos="8303"/>
        </w:tabs>
        <w:ind w:firstLine="200"/>
        <w:rPr>
          <w:rFonts w:ascii="宋体" w:hAnsi="宋体"/>
          <w:smallCaps/>
          <w:sz w:val="20"/>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"_Toc31905"</w:instrText>
      </w:r>
      <w:r>
        <w:rPr>
          <w:rFonts w:ascii="宋体" w:hAnsi="宋体"/>
          <w:smallCaps/>
          <w:sz w:val="20"/>
          <w:highlight w:val="none"/>
        </w:rPr>
        <w:fldChar w:fldCharType="separate"/>
      </w:r>
      <w:r>
        <w:rPr>
          <w:rFonts w:ascii="宋体" w:hAnsi="宋体"/>
          <w:smallCaps/>
          <w:sz w:val="20"/>
          <w:highlight w:val="none"/>
        </w:rPr>
        <w:t xml:space="preserve">37. </w:t>
      </w:r>
      <w:r>
        <w:rPr>
          <w:rFonts w:hint="eastAsia" w:ascii="宋体" w:hAnsi="宋体" w:eastAsia="宋体"/>
          <w:smallCaps/>
          <w:sz w:val="20"/>
          <w:szCs w:val="24"/>
          <w:highlight w:val="none"/>
        </w:rPr>
        <w:t>中标通知书</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_Toc31905 </w:instrText>
      </w:r>
      <w:r>
        <w:rPr>
          <w:rFonts w:ascii="宋体" w:hAnsi="宋体"/>
          <w:smallCaps/>
          <w:sz w:val="20"/>
          <w:highlight w:val="none"/>
        </w:rPr>
        <w:fldChar w:fldCharType="separate"/>
      </w:r>
      <w:r>
        <w:rPr>
          <w:rFonts w:ascii="宋体" w:hAnsi="宋体"/>
          <w:smallCaps/>
          <w:sz w:val="20"/>
          <w:highlight w:val="none"/>
        </w:rPr>
        <w:t>18</w:t>
      </w:r>
      <w:r>
        <w:rPr>
          <w:rFonts w:ascii="宋体" w:hAnsi="宋体"/>
          <w:smallCaps/>
          <w:sz w:val="20"/>
          <w:highlight w:val="none"/>
        </w:rPr>
        <w:fldChar w:fldCharType="end"/>
      </w:r>
      <w:r>
        <w:rPr>
          <w:rFonts w:ascii="宋体" w:hAnsi="宋体"/>
          <w:smallCaps/>
          <w:sz w:val="20"/>
          <w:highlight w:val="none"/>
        </w:rPr>
        <w:fldChar w:fldCharType="end"/>
      </w:r>
    </w:p>
    <w:p>
      <w:pPr>
        <w:pStyle w:val="21"/>
        <w:tabs>
          <w:tab w:val="right" w:leader="dot" w:pos="8958"/>
          <w:tab w:val="clear" w:pos="8303"/>
        </w:tabs>
        <w:ind w:firstLine="200"/>
        <w:rPr>
          <w:rFonts w:ascii="宋体" w:hAnsi="宋体"/>
          <w:smallCaps/>
          <w:sz w:val="20"/>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"_Toc30672"</w:instrText>
      </w:r>
      <w:r>
        <w:rPr>
          <w:rFonts w:ascii="宋体" w:hAnsi="宋体"/>
          <w:smallCaps/>
          <w:sz w:val="20"/>
          <w:highlight w:val="none"/>
        </w:rPr>
        <w:fldChar w:fldCharType="separate"/>
      </w:r>
      <w:r>
        <w:rPr>
          <w:rFonts w:ascii="宋体" w:hAnsi="宋体"/>
          <w:smallCaps/>
          <w:sz w:val="20"/>
          <w:highlight w:val="none"/>
        </w:rPr>
        <w:t xml:space="preserve">38. </w:t>
      </w:r>
      <w:r>
        <w:rPr>
          <w:rFonts w:hint="eastAsia" w:ascii="宋体" w:hAnsi="宋体" w:eastAsia="宋体"/>
          <w:smallCaps/>
          <w:sz w:val="20"/>
          <w:szCs w:val="24"/>
          <w:highlight w:val="none"/>
        </w:rPr>
        <w:t>签订合同</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_Toc30672 </w:instrText>
      </w:r>
      <w:r>
        <w:rPr>
          <w:rFonts w:ascii="宋体" w:hAnsi="宋体"/>
          <w:smallCaps/>
          <w:sz w:val="20"/>
          <w:highlight w:val="none"/>
        </w:rPr>
        <w:fldChar w:fldCharType="separate"/>
      </w:r>
      <w:r>
        <w:rPr>
          <w:rFonts w:ascii="宋体" w:hAnsi="宋体"/>
          <w:smallCaps/>
          <w:sz w:val="20"/>
          <w:highlight w:val="none"/>
        </w:rPr>
        <w:t>18</w:t>
      </w:r>
      <w:r>
        <w:rPr>
          <w:rFonts w:ascii="宋体" w:hAnsi="宋体"/>
          <w:smallCaps/>
          <w:sz w:val="20"/>
          <w:highlight w:val="none"/>
        </w:rPr>
        <w:fldChar w:fldCharType="end"/>
      </w:r>
      <w:r>
        <w:rPr>
          <w:rFonts w:ascii="宋体" w:hAnsi="宋体"/>
          <w:smallCaps/>
          <w:sz w:val="20"/>
          <w:highlight w:val="none"/>
        </w:rPr>
        <w:fldChar w:fldCharType="end"/>
      </w:r>
    </w:p>
    <w:p>
      <w:pPr>
        <w:pStyle w:val="21"/>
        <w:tabs>
          <w:tab w:val="right" w:leader="dot" w:pos="8958"/>
          <w:tab w:val="clear" w:pos="8303"/>
        </w:tabs>
        <w:ind w:firstLine="200"/>
        <w:rPr>
          <w:rFonts w:ascii="宋体" w:hAnsi="宋体"/>
          <w:smallCaps/>
          <w:sz w:val="20"/>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"_Toc3167"</w:instrText>
      </w:r>
      <w:r>
        <w:rPr>
          <w:rFonts w:ascii="宋体" w:hAnsi="宋体"/>
          <w:smallCaps/>
          <w:sz w:val="20"/>
          <w:highlight w:val="none"/>
        </w:rPr>
        <w:fldChar w:fldCharType="separate"/>
      </w:r>
      <w:r>
        <w:rPr>
          <w:rFonts w:hint="eastAsia" w:ascii="宋体" w:hAnsi="宋体" w:eastAsia="宋体"/>
          <w:smallCaps/>
          <w:sz w:val="20"/>
          <w:szCs w:val="24"/>
          <w:highlight w:val="none"/>
        </w:rPr>
        <w:t>40. 合同生效</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_Toc3167 </w:instrText>
      </w:r>
      <w:r>
        <w:rPr>
          <w:rFonts w:ascii="宋体" w:hAnsi="宋体"/>
          <w:smallCaps/>
          <w:sz w:val="20"/>
          <w:highlight w:val="none"/>
        </w:rPr>
        <w:fldChar w:fldCharType="separate"/>
      </w:r>
      <w:r>
        <w:rPr>
          <w:rFonts w:ascii="宋体" w:hAnsi="宋体"/>
          <w:smallCaps/>
          <w:sz w:val="20"/>
          <w:highlight w:val="none"/>
        </w:rPr>
        <w:t>19</w:t>
      </w:r>
      <w:r>
        <w:rPr>
          <w:rFonts w:ascii="宋体" w:hAnsi="宋体"/>
          <w:smallCaps/>
          <w:sz w:val="20"/>
          <w:highlight w:val="none"/>
        </w:rPr>
        <w:fldChar w:fldCharType="end"/>
      </w:r>
      <w:r>
        <w:rPr>
          <w:rFonts w:ascii="宋体" w:hAnsi="宋体"/>
          <w:smallCaps/>
          <w:sz w:val="20"/>
          <w:highlight w:val="none"/>
        </w:rPr>
        <w:fldChar w:fldCharType="end"/>
      </w:r>
    </w:p>
    <w:p>
      <w:pPr>
        <w:pStyle w:val="21"/>
        <w:tabs>
          <w:tab w:val="right" w:leader="dot" w:pos="8958"/>
          <w:tab w:val="clear" w:pos="8303"/>
        </w:tabs>
        <w:ind w:firstLine="200"/>
        <w:rPr>
          <w:rFonts w:ascii="宋体" w:hAnsi="宋体"/>
          <w:smallCaps/>
          <w:sz w:val="20"/>
          <w:szCs w:val="24"/>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"_Toc12042"</w:instrText>
      </w:r>
      <w:r>
        <w:rPr>
          <w:rFonts w:ascii="宋体" w:hAnsi="宋体"/>
          <w:smallCaps/>
          <w:sz w:val="20"/>
          <w:highlight w:val="none"/>
        </w:rPr>
        <w:fldChar w:fldCharType="separate"/>
      </w:r>
      <w:r>
        <w:rPr>
          <w:rFonts w:ascii="宋体" w:hAnsi="宋体"/>
          <w:smallCaps/>
          <w:sz w:val="20"/>
          <w:highlight w:val="none"/>
        </w:rPr>
        <w:t>附</w:t>
      </w:r>
      <w:r>
        <w:rPr>
          <w:rFonts w:hint="eastAsia" w:ascii="宋体" w:hAnsi="宋体"/>
          <w:smallCaps/>
          <w:sz w:val="20"/>
          <w:highlight w:val="none"/>
        </w:rPr>
        <w:t>件一</w:t>
      </w:r>
      <w:r>
        <w:rPr>
          <w:rFonts w:ascii="宋体" w:hAnsi="宋体"/>
          <w:smallCaps/>
          <w:sz w:val="20"/>
          <w:highlight w:val="none"/>
        </w:rPr>
        <w:t>：</w:t>
      </w:r>
      <w:r>
        <w:rPr>
          <w:rFonts w:hint="eastAsia" w:ascii="宋体" w:hAnsi="宋体"/>
          <w:smallCaps/>
          <w:sz w:val="20"/>
          <w:highlight w:val="none"/>
        </w:rPr>
        <w:t>开标记录表</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_Toc12042 </w:instrText>
      </w:r>
      <w:r>
        <w:rPr>
          <w:rFonts w:ascii="宋体" w:hAnsi="宋体"/>
          <w:smallCaps/>
          <w:sz w:val="20"/>
          <w:highlight w:val="none"/>
        </w:rPr>
        <w:fldChar w:fldCharType="separate"/>
      </w:r>
      <w:r>
        <w:rPr>
          <w:rFonts w:ascii="宋体" w:hAnsi="宋体"/>
          <w:smallCaps/>
          <w:sz w:val="20"/>
          <w:highlight w:val="none"/>
        </w:rPr>
        <w:t>2</w:t>
      </w:r>
      <w:r>
        <w:rPr>
          <w:rFonts w:ascii="宋体" w:hAnsi="宋体"/>
          <w:smallCaps/>
          <w:sz w:val="20"/>
          <w:highlight w:val="none"/>
        </w:rPr>
        <w:fldChar w:fldCharType="end"/>
      </w:r>
      <w:r>
        <w:rPr>
          <w:rFonts w:ascii="宋体" w:hAnsi="宋体"/>
          <w:smallCaps/>
          <w:sz w:val="20"/>
          <w:highlight w:val="none"/>
        </w:rPr>
        <w:fldChar w:fldCharType="end"/>
      </w:r>
      <w:r>
        <w:rPr>
          <w:rFonts w:hint="eastAsia" w:ascii="宋体" w:hAnsi="宋体"/>
          <w:smallCaps/>
          <w:sz w:val="20"/>
          <w:szCs w:val="24"/>
          <w:highlight w:val="none"/>
        </w:rPr>
        <w:t>0</w:t>
      </w:r>
    </w:p>
    <w:p>
      <w:pPr>
        <w:pStyle w:val="21"/>
        <w:tabs>
          <w:tab w:val="right" w:leader="dot" w:pos="8958"/>
          <w:tab w:val="clear" w:pos="8303"/>
        </w:tabs>
        <w:ind w:firstLine="200"/>
        <w:rPr>
          <w:rFonts w:ascii="宋体" w:hAnsi="宋体"/>
          <w:smallCaps/>
          <w:sz w:val="20"/>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"_Toc12042"</w:instrText>
      </w:r>
      <w:r>
        <w:rPr>
          <w:rFonts w:ascii="宋体" w:hAnsi="宋体"/>
          <w:smallCaps/>
          <w:sz w:val="20"/>
          <w:highlight w:val="none"/>
        </w:rPr>
        <w:fldChar w:fldCharType="separate"/>
      </w:r>
      <w:r>
        <w:rPr>
          <w:rFonts w:ascii="宋体" w:hAnsi="宋体"/>
          <w:smallCaps/>
          <w:sz w:val="20"/>
          <w:highlight w:val="none"/>
        </w:rPr>
        <w:t>附</w:t>
      </w:r>
      <w:r>
        <w:rPr>
          <w:rFonts w:hint="eastAsia" w:ascii="宋体" w:hAnsi="宋体"/>
          <w:smallCaps/>
          <w:sz w:val="20"/>
          <w:highlight w:val="none"/>
        </w:rPr>
        <w:t>件</w:t>
      </w:r>
      <w:r>
        <w:rPr>
          <w:rFonts w:ascii="宋体" w:hAnsi="宋体"/>
          <w:smallCaps/>
          <w:sz w:val="20"/>
          <w:highlight w:val="none"/>
        </w:rPr>
        <w:t>二：问题澄清通知</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_Toc12042 </w:instrText>
      </w:r>
      <w:r>
        <w:rPr>
          <w:rFonts w:ascii="宋体" w:hAnsi="宋体"/>
          <w:smallCaps/>
          <w:sz w:val="20"/>
          <w:highlight w:val="none"/>
        </w:rPr>
        <w:fldChar w:fldCharType="separate"/>
      </w:r>
      <w:r>
        <w:rPr>
          <w:rFonts w:ascii="宋体" w:hAnsi="宋体"/>
          <w:smallCaps/>
          <w:sz w:val="20"/>
          <w:highlight w:val="none"/>
        </w:rPr>
        <w:t>21</w:t>
      </w:r>
      <w:r>
        <w:rPr>
          <w:rFonts w:ascii="宋体" w:hAnsi="宋体"/>
          <w:smallCaps/>
          <w:sz w:val="20"/>
          <w:highlight w:val="none"/>
        </w:rPr>
        <w:fldChar w:fldCharType="end"/>
      </w:r>
      <w:r>
        <w:rPr>
          <w:rFonts w:ascii="宋体" w:hAnsi="宋体"/>
          <w:smallCaps/>
          <w:sz w:val="20"/>
          <w:highlight w:val="none"/>
        </w:rPr>
        <w:fldChar w:fldCharType="end"/>
      </w:r>
    </w:p>
    <w:p>
      <w:pPr>
        <w:pStyle w:val="21"/>
        <w:tabs>
          <w:tab w:val="right" w:leader="dot" w:pos="8958"/>
          <w:tab w:val="clear" w:pos="8303"/>
        </w:tabs>
        <w:ind w:firstLine="200"/>
        <w:rPr>
          <w:rFonts w:ascii="宋体" w:hAnsi="宋体"/>
          <w:smallCaps/>
          <w:sz w:val="20"/>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"_Toc3566"</w:instrText>
      </w:r>
      <w:r>
        <w:rPr>
          <w:rFonts w:ascii="宋体" w:hAnsi="宋体"/>
          <w:smallCaps/>
          <w:sz w:val="20"/>
          <w:highlight w:val="none"/>
        </w:rPr>
        <w:fldChar w:fldCharType="separate"/>
      </w:r>
      <w:r>
        <w:rPr>
          <w:rFonts w:hint="eastAsia" w:ascii="宋体" w:hAnsi="宋体"/>
          <w:smallCaps/>
          <w:sz w:val="20"/>
          <w:highlight w:val="none"/>
        </w:rPr>
        <w:t>附件三：问题的澄清</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_Toc3566 </w:instrText>
      </w:r>
      <w:r>
        <w:rPr>
          <w:rFonts w:ascii="宋体" w:hAnsi="宋体"/>
          <w:smallCaps/>
          <w:sz w:val="20"/>
          <w:highlight w:val="none"/>
        </w:rPr>
        <w:fldChar w:fldCharType="separate"/>
      </w:r>
      <w:r>
        <w:rPr>
          <w:rFonts w:ascii="宋体" w:hAnsi="宋体"/>
          <w:smallCaps/>
          <w:sz w:val="20"/>
          <w:highlight w:val="none"/>
        </w:rPr>
        <w:t>22</w:t>
      </w:r>
      <w:r>
        <w:rPr>
          <w:rFonts w:ascii="宋体" w:hAnsi="宋体"/>
          <w:smallCaps/>
          <w:sz w:val="20"/>
          <w:highlight w:val="none"/>
        </w:rPr>
        <w:fldChar w:fldCharType="end"/>
      </w:r>
      <w:r>
        <w:rPr>
          <w:rFonts w:ascii="宋体" w:hAnsi="宋体"/>
          <w:smallCaps/>
          <w:sz w:val="20"/>
          <w:highlight w:val="none"/>
        </w:rPr>
        <w:fldChar w:fldCharType="end"/>
      </w:r>
    </w:p>
    <w:p>
      <w:pPr>
        <w:pStyle w:val="21"/>
        <w:tabs>
          <w:tab w:val="right" w:leader="dot" w:pos="8958"/>
          <w:tab w:val="clear" w:pos="8303"/>
        </w:tabs>
        <w:ind w:firstLine="200"/>
        <w:rPr>
          <w:rFonts w:ascii="宋体" w:hAnsi="宋体"/>
          <w:smallCaps/>
          <w:sz w:val="20"/>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"_Toc9415"</w:instrText>
      </w:r>
      <w:r>
        <w:rPr>
          <w:rFonts w:ascii="宋体" w:hAnsi="宋体"/>
          <w:smallCaps/>
          <w:sz w:val="20"/>
          <w:highlight w:val="none"/>
        </w:rPr>
        <w:fldChar w:fldCharType="separate"/>
      </w:r>
      <w:r>
        <w:rPr>
          <w:rFonts w:hint="eastAsia" w:ascii="宋体" w:hAnsi="宋体"/>
          <w:smallCaps/>
          <w:sz w:val="20"/>
          <w:highlight w:val="none"/>
        </w:rPr>
        <w:t>附件四：中标通知书</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_Toc9415 </w:instrText>
      </w:r>
      <w:r>
        <w:rPr>
          <w:rFonts w:ascii="宋体" w:hAnsi="宋体"/>
          <w:smallCaps/>
          <w:sz w:val="20"/>
          <w:highlight w:val="none"/>
        </w:rPr>
        <w:fldChar w:fldCharType="separate"/>
      </w:r>
      <w:r>
        <w:rPr>
          <w:rFonts w:ascii="宋体" w:hAnsi="宋体"/>
          <w:smallCaps/>
          <w:sz w:val="20"/>
          <w:highlight w:val="none"/>
        </w:rPr>
        <w:t>23</w:t>
      </w:r>
      <w:r>
        <w:rPr>
          <w:rFonts w:ascii="宋体" w:hAnsi="宋体"/>
          <w:smallCaps/>
          <w:sz w:val="20"/>
          <w:highlight w:val="none"/>
        </w:rPr>
        <w:fldChar w:fldCharType="end"/>
      </w:r>
      <w:r>
        <w:rPr>
          <w:rFonts w:ascii="宋体" w:hAnsi="宋体"/>
          <w:smallCaps/>
          <w:sz w:val="20"/>
          <w:highlight w:val="none"/>
        </w:rPr>
        <w:fldChar w:fldCharType="end"/>
      </w:r>
    </w:p>
    <w:p>
      <w:pPr>
        <w:pStyle w:val="21"/>
        <w:tabs>
          <w:tab w:val="right" w:leader="dot" w:pos="8958"/>
          <w:tab w:val="clear" w:pos="8303"/>
        </w:tabs>
        <w:ind w:firstLine="200"/>
        <w:rPr>
          <w:rFonts w:ascii="宋体" w:hAnsi="宋体"/>
          <w:smallCaps/>
          <w:sz w:val="20"/>
          <w:highlight w:val="none"/>
        </w:rPr>
      </w:pPr>
      <w:r>
        <w:rPr>
          <w:rFonts w:ascii="宋体" w:hAnsi="宋体"/>
          <w:smallCaps/>
          <w:sz w:val="20"/>
          <w:highlight w:val="none"/>
        </w:rPr>
        <w:fldChar w:fldCharType="begin"/>
      </w:r>
      <w:r>
        <w:rPr>
          <w:rFonts w:ascii="宋体" w:hAnsi="宋体"/>
          <w:smallCaps/>
          <w:sz w:val="20"/>
          <w:highlight w:val="none"/>
        </w:rPr>
        <w:instrText xml:space="preserve">HYPERLINK \l "_Toc27939"</w:instrText>
      </w:r>
      <w:r>
        <w:rPr>
          <w:rFonts w:ascii="宋体" w:hAnsi="宋体"/>
          <w:smallCaps/>
          <w:sz w:val="20"/>
          <w:highlight w:val="none"/>
        </w:rPr>
        <w:fldChar w:fldCharType="separate"/>
      </w:r>
      <w:r>
        <w:rPr>
          <w:rFonts w:hint="eastAsia" w:ascii="宋体" w:hAnsi="宋体"/>
          <w:smallCaps/>
          <w:sz w:val="20"/>
          <w:highlight w:val="none"/>
        </w:rPr>
        <w:t>附件五：确认通知</w:t>
      </w:r>
      <w:r>
        <w:rPr>
          <w:rFonts w:ascii="宋体" w:hAnsi="宋体"/>
          <w:smallCaps/>
          <w:sz w:val="20"/>
          <w:highlight w:val="none"/>
        </w:rPr>
        <w:tab/>
      </w:r>
      <w:r>
        <w:rPr>
          <w:rFonts w:ascii="宋体" w:hAnsi="宋体"/>
          <w:smallCaps/>
          <w:sz w:val="20"/>
          <w:highlight w:val="none"/>
        </w:rPr>
        <w:fldChar w:fldCharType="begin"/>
      </w:r>
      <w:r>
        <w:rPr>
          <w:rFonts w:ascii="宋体" w:hAnsi="宋体"/>
          <w:smallCaps/>
          <w:sz w:val="20"/>
          <w:highlight w:val="none"/>
        </w:rPr>
        <w:instrText xml:space="preserve"> PAGEREF _Toc27939 </w:instrText>
      </w:r>
      <w:r>
        <w:rPr>
          <w:rFonts w:ascii="宋体" w:hAnsi="宋体"/>
          <w:smallCaps/>
          <w:sz w:val="20"/>
          <w:highlight w:val="none"/>
        </w:rPr>
        <w:fldChar w:fldCharType="separate"/>
      </w:r>
      <w:r>
        <w:rPr>
          <w:rFonts w:ascii="宋体" w:hAnsi="宋体"/>
          <w:smallCaps/>
          <w:sz w:val="20"/>
          <w:highlight w:val="none"/>
        </w:rPr>
        <w:t>24</w:t>
      </w:r>
      <w:r>
        <w:rPr>
          <w:rFonts w:ascii="宋体" w:hAnsi="宋体"/>
          <w:smallCaps/>
          <w:sz w:val="20"/>
          <w:highlight w:val="none"/>
        </w:rPr>
        <w:fldChar w:fldCharType="end"/>
      </w:r>
      <w:r>
        <w:rPr>
          <w:rFonts w:ascii="宋体" w:hAnsi="宋体"/>
          <w:smallCaps/>
          <w:sz w:val="20"/>
          <w:highlight w:val="none"/>
        </w:rPr>
        <w:fldChar w:fldCharType="end"/>
      </w:r>
    </w:p>
    <w:p>
      <w:pPr>
        <w:pStyle w:val="28"/>
        <w:tabs>
          <w:tab w:val="right" w:leader="dot" w:pos="8958"/>
        </w:tabs>
        <w:rPr>
          <w:rFonts w:ascii="宋体" w:hAnsi="宋体"/>
          <w:b w:val="0"/>
          <w:bCs w:val="0"/>
          <w:caps w:val="0"/>
          <w:smallCaps/>
          <w:szCs w:val="24"/>
          <w:highlight w:val="none"/>
        </w:rPr>
      </w:pPr>
      <w:r>
        <w:rPr>
          <w:rFonts w:ascii="宋体" w:hAnsi="宋体"/>
          <w:b w:val="0"/>
          <w:bCs w:val="0"/>
          <w:caps w:val="0"/>
          <w:smallCaps/>
          <w:szCs w:val="24"/>
          <w:highlight w:val="none"/>
        </w:rPr>
        <w:fldChar w:fldCharType="begin"/>
      </w:r>
      <w:r>
        <w:rPr>
          <w:rFonts w:ascii="宋体" w:hAnsi="宋体"/>
          <w:b w:val="0"/>
          <w:bCs w:val="0"/>
          <w:caps w:val="0"/>
          <w:smallCaps/>
          <w:szCs w:val="24"/>
          <w:highlight w:val="none"/>
        </w:rPr>
        <w:instrText xml:space="preserve">HYPERLINK \l "_Toc14090"</w:instrText>
      </w:r>
      <w:r>
        <w:rPr>
          <w:rFonts w:ascii="宋体" w:hAnsi="宋体"/>
          <w:b w:val="0"/>
          <w:bCs w:val="0"/>
          <w:caps w:val="0"/>
          <w:smallCaps/>
          <w:szCs w:val="24"/>
          <w:highlight w:val="none"/>
        </w:rPr>
        <w:fldChar w:fldCharType="separate"/>
      </w:r>
      <w:r>
        <w:rPr>
          <w:rFonts w:hint="eastAsia" w:ascii="宋体" w:hAnsi="宋体"/>
          <w:b w:val="0"/>
          <w:bCs w:val="0"/>
          <w:caps w:val="0"/>
          <w:smallCaps/>
          <w:szCs w:val="24"/>
          <w:highlight w:val="none"/>
        </w:rPr>
        <w:t>第三章 开标、评标及定标办法</w:t>
      </w:r>
      <w:r>
        <w:rPr>
          <w:rFonts w:ascii="宋体" w:hAnsi="宋体"/>
          <w:b w:val="0"/>
          <w:bCs w:val="0"/>
          <w:caps w:val="0"/>
          <w:smallCaps/>
          <w:szCs w:val="24"/>
          <w:highlight w:val="none"/>
        </w:rPr>
        <w:tab/>
      </w:r>
      <w:r>
        <w:rPr>
          <w:rFonts w:ascii="宋体" w:hAnsi="宋体"/>
          <w:b w:val="0"/>
          <w:bCs w:val="0"/>
          <w:caps w:val="0"/>
          <w:smallCaps/>
          <w:szCs w:val="24"/>
          <w:highlight w:val="none"/>
        </w:rPr>
        <w:fldChar w:fldCharType="begin"/>
      </w:r>
      <w:r>
        <w:rPr>
          <w:rFonts w:ascii="宋体" w:hAnsi="宋体"/>
          <w:b w:val="0"/>
          <w:bCs w:val="0"/>
          <w:caps w:val="0"/>
          <w:smallCaps/>
          <w:szCs w:val="24"/>
          <w:highlight w:val="none"/>
        </w:rPr>
        <w:instrText xml:space="preserve"> PAGEREF _Toc14090 </w:instrText>
      </w:r>
      <w:r>
        <w:rPr>
          <w:rFonts w:ascii="宋体" w:hAnsi="宋体"/>
          <w:b w:val="0"/>
          <w:bCs w:val="0"/>
          <w:caps w:val="0"/>
          <w:smallCaps/>
          <w:szCs w:val="24"/>
          <w:highlight w:val="none"/>
        </w:rPr>
        <w:fldChar w:fldCharType="separate"/>
      </w:r>
      <w:r>
        <w:rPr>
          <w:rFonts w:ascii="宋体" w:hAnsi="宋体"/>
          <w:b w:val="0"/>
          <w:bCs w:val="0"/>
          <w:caps w:val="0"/>
          <w:smallCaps/>
          <w:szCs w:val="24"/>
          <w:highlight w:val="none"/>
        </w:rPr>
        <w:t>25</w:t>
      </w:r>
      <w:r>
        <w:rPr>
          <w:rFonts w:ascii="宋体" w:hAnsi="宋体"/>
          <w:b w:val="0"/>
          <w:bCs w:val="0"/>
          <w:caps w:val="0"/>
          <w:smallCaps/>
          <w:szCs w:val="24"/>
          <w:highlight w:val="none"/>
        </w:rPr>
        <w:fldChar w:fldCharType="end"/>
      </w:r>
      <w:r>
        <w:rPr>
          <w:rFonts w:ascii="宋体" w:hAnsi="宋体"/>
          <w:b w:val="0"/>
          <w:bCs w:val="0"/>
          <w:caps w:val="0"/>
          <w:smallCaps/>
          <w:szCs w:val="24"/>
          <w:highlight w:val="none"/>
        </w:rPr>
        <w:fldChar w:fldCharType="end"/>
      </w:r>
    </w:p>
    <w:p>
      <w:pPr>
        <w:pStyle w:val="33"/>
        <w:tabs>
          <w:tab w:val="right" w:leader="dot" w:pos="8958"/>
        </w:tabs>
        <w:rPr>
          <w:rFonts w:ascii="宋体" w:hAnsi="宋体"/>
          <w:szCs w:val="24"/>
          <w:highlight w:val="none"/>
        </w:rPr>
      </w:pPr>
      <w:r>
        <w:rPr>
          <w:rFonts w:ascii="宋体" w:hAnsi="宋体"/>
          <w:szCs w:val="24"/>
          <w:highlight w:val="none"/>
        </w:rPr>
        <w:fldChar w:fldCharType="begin"/>
      </w:r>
      <w:r>
        <w:rPr>
          <w:rFonts w:ascii="宋体" w:hAnsi="宋体"/>
          <w:szCs w:val="24"/>
          <w:highlight w:val="none"/>
        </w:rPr>
        <w:instrText xml:space="preserve">HYPERLINK \l "_Toc21328"</w:instrText>
      </w:r>
      <w:r>
        <w:rPr>
          <w:rFonts w:ascii="宋体" w:hAnsi="宋体"/>
          <w:szCs w:val="24"/>
          <w:highlight w:val="none"/>
        </w:rPr>
        <w:fldChar w:fldCharType="separate"/>
      </w:r>
      <w:r>
        <w:rPr>
          <w:rFonts w:hint="eastAsia" w:ascii="宋体" w:hAnsi="宋体"/>
          <w:color w:val="000000"/>
          <w:szCs w:val="24"/>
          <w:highlight w:val="none"/>
        </w:rPr>
        <w:t>一、总则</w:t>
      </w:r>
      <w:r>
        <w:rPr>
          <w:rFonts w:ascii="宋体" w:hAnsi="宋体"/>
          <w:szCs w:val="24"/>
          <w:highlight w:val="none"/>
        </w:rPr>
        <w:tab/>
      </w:r>
      <w:r>
        <w:rPr>
          <w:rFonts w:ascii="宋体" w:hAnsi="宋体"/>
          <w:szCs w:val="24"/>
          <w:highlight w:val="none"/>
        </w:rPr>
        <w:fldChar w:fldCharType="begin"/>
      </w:r>
      <w:r>
        <w:rPr>
          <w:rFonts w:ascii="宋体" w:hAnsi="宋体"/>
          <w:szCs w:val="24"/>
          <w:highlight w:val="none"/>
        </w:rPr>
        <w:instrText xml:space="preserve"> PAGEREF _Toc21328 </w:instrText>
      </w:r>
      <w:r>
        <w:rPr>
          <w:rFonts w:ascii="宋体" w:hAnsi="宋体"/>
          <w:szCs w:val="24"/>
          <w:highlight w:val="none"/>
        </w:rPr>
        <w:fldChar w:fldCharType="separate"/>
      </w:r>
      <w:r>
        <w:rPr>
          <w:rFonts w:ascii="宋体" w:hAnsi="宋体"/>
          <w:szCs w:val="24"/>
          <w:highlight w:val="none"/>
        </w:rPr>
        <w:t>26</w:t>
      </w:r>
      <w:r>
        <w:rPr>
          <w:rFonts w:ascii="宋体" w:hAnsi="宋体"/>
          <w:szCs w:val="24"/>
          <w:highlight w:val="none"/>
        </w:rPr>
        <w:fldChar w:fldCharType="end"/>
      </w:r>
      <w:r>
        <w:rPr>
          <w:rFonts w:ascii="宋体" w:hAnsi="宋体"/>
          <w:szCs w:val="24"/>
          <w:highlight w:val="none"/>
        </w:rPr>
        <w:fldChar w:fldCharType="end"/>
      </w:r>
    </w:p>
    <w:p>
      <w:pPr>
        <w:pStyle w:val="33"/>
        <w:tabs>
          <w:tab w:val="right" w:leader="dot" w:pos="8958"/>
        </w:tabs>
        <w:rPr>
          <w:rFonts w:ascii="宋体" w:hAnsi="宋体"/>
          <w:szCs w:val="24"/>
          <w:highlight w:val="none"/>
        </w:rPr>
      </w:pPr>
      <w:r>
        <w:rPr>
          <w:rFonts w:ascii="宋体" w:hAnsi="宋体"/>
          <w:szCs w:val="24"/>
          <w:highlight w:val="none"/>
        </w:rPr>
        <w:fldChar w:fldCharType="begin"/>
      </w:r>
      <w:r>
        <w:rPr>
          <w:rFonts w:ascii="宋体" w:hAnsi="宋体"/>
          <w:szCs w:val="24"/>
          <w:highlight w:val="none"/>
        </w:rPr>
        <w:instrText xml:space="preserve">HYPERLINK \l "_Toc10170"</w:instrText>
      </w:r>
      <w:r>
        <w:rPr>
          <w:rFonts w:ascii="宋体" w:hAnsi="宋体"/>
          <w:szCs w:val="24"/>
          <w:highlight w:val="none"/>
        </w:rPr>
        <w:fldChar w:fldCharType="separate"/>
      </w:r>
      <w:r>
        <w:rPr>
          <w:rFonts w:hint="eastAsia" w:ascii="宋体" w:hAnsi="宋体" w:eastAsia="宋体"/>
          <w:color w:val="000000"/>
          <w:szCs w:val="24"/>
          <w:highlight w:val="none"/>
        </w:rPr>
        <w:t>1.开标、评标及定标所依据的规则</w:t>
      </w:r>
      <w:r>
        <w:rPr>
          <w:rFonts w:ascii="宋体" w:hAnsi="宋体"/>
          <w:szCs w:val="24"/>
          <w:highlight w:val="none"/>
        </w:rPr>
        <w:tab/>
      </w:r>
      <w:r>
        <w:rPr>
          <w:rFonts w:ascii="宋体" w:hAnsi="宋体"/>
          <w:szCs w:val="24"/>
          <w:highlight w:val="none"/>
        </w:rPr>
        <w:fldChar w:fldCharType="begin"/>
      </w:r>
      <w:r>
        <w:rPr>
          <w:rFonts w:ascii="宋体" w:hAnsi="宋体"/>
          <w:szCs w:val="24"/>
          <w:highlight w:val="none"/>
        </w:rPr>
        <w:instrText xml:space="preserve"> PAGEREF _Toc10170 </w:instrText>
      </w:r>
      <w:r>
        <w:rPr>
          <w:rFonts w:ascii="宋体" w:hAnsi="宋体"/>
          <w:szCs w:val="24"/>
          <w:highlight w:val="none"/>
        </w:rPr>
        <w:fldChar w:fldCharType="separate"/>
      </w:r>
      <w:r>
        <w:rPr>
          <w:rFonts w:ascii="宋体" w:hAnsi="宋体"/>
          <w:szCs w:val="24"/>
          <w:highlight w:val="none"/>
        </w:rPr>
        <w:t>26</w:t>
      </w:r>
      <w:r>
        <w:rPr>
          <w:rFonts w:ascii="宋体" w:hAnsi="宋体"/>
          <w:szCs w:val="24"/>
          <w:highlight w:val="none"/>
        </w:rPr>
        <w:fldChar w:fldCharType="end"/>
      </w:r>
      <w:r>
        <w:rPr>
          <w:rFonts w:ascii="宋体" w:hAnsi="宋体"/>
          <w:szCs w:val="24"/>
          <w:highlight w:val="none"/>
        </w:rPr>
        <w:fldChar w:fldCharType="end"/>
      </w:r>
    </w:p>
    <w:p>
      <w:pPr>
        <w:pStyle w:val="33"/>
        <w:tabs>
          <w:tab w:val="right" w:leader="dot" w:pos="8958"/>
        </w:tabs>
        <w:rPr>
          <w:rFonts w:ascii="宋体" w:hAnsi="宋体"/>
          <w:szCs w:val="24"/>
          <w:highlight w:val="none"/>
        </w:rPr>
      </w:pPr>
      <w:r>
        <w:rPr>
          <w:rFonts w:ascii="宋体" w:hAnsi="宋体"/>
          <w:szCs w:val="24"/>
          <w:highlight w:val="none"/>
        </w:rPr>
        <w:fldChar w:fldCharType="begin"/>
      </w:r>
      <w:r>
        <w:rPr>
          <w:rFonts w:ascii="宋体" w:hAnsi="宋体"/>
          <w:szCs w:val="24"/>
          <w:highlight w:val="none"/>
        </w:rPr>
        <w:instrText xml:space="preserve">HYPERLINK \l "_Toc10553"</w:instrText>
      </w:r>
      <w:r>
        <w:rPr>
          <w:rFonts w:ascii="宋体" w:hAnsi="宋体"/>
          <w:szCs w:val="24"/>
          <w:highlight w:val="none"/>
        </w:rPr>
        <w:fldChar w:fldCharType="separate"/>
      </w:r>
      <w:r>
        <w:rPr>
          <w:rFonts w:hint="eastAsia" w:ascii="宋体" w:hAnsi="宋体" w:eastAsia="宋体"/>
          <w:color w:val="000000"/>
          <w:szCs w:val="24"/>
          <w:highlight w:val="none"/>
        </w:rPr>
        <w:t>2.开标</w:t>
      </w:r>
      <w:r>
        <w:rPr>
          <w:rFonts w:ascii="宋体" w:hAnsi="宋体"/>
          <w:szCs w:val="24"/>
          <w:highlight w:val="none"/>
        </w:rPr>
        <w:tab/>
      </w:r>
      <w:r>
        <w:rPr>
          <w:rFonts w:ascii="宋体" w:hAnsi="宋体"/>
          <w:szCs w:val="24"/>
          <w:highlight w:val="none"/>
        </w:rPr>
        <w:fldChar w:fldCharType="begin"/>
      </w:r>
      <w:r>
        <w:rPr>
          <w:rFonts w:ascii="宋体" w:hAnsi="宋体"/>
          <w:szCs w:val="24"/>
          <w:highlight w:val="none"/>
        </w:rPr>
        <w:instrText xml:space="preserve"> PAGEREF _Toc10553 </w:instrText>
      </w:r>
      <w:r>
        <w:rPr>
          <w:rFonts w:ascii="宋体" w:hAnsi="宋体"/>
          <w:szCs w:val="24"/>
          <w:highlight w:val="none"/>
        </w:rPr>
        <w:fldChar w:fldCharType="separate"/>
      </w:r>
      <w:r>
        <w:rPr>
          <w:rFonts w:ascii="宋体" w:hAnsi="宋体"/>
          <w:szCs w:val="24"/>
          <w:highlight w:val="none"/>
        </w:rPr>
        <w:t>26</w:t>
      </w:r>
      <w:r>
        <w:rPr>
          <w:rFonts w:ascii="宋体" w:hAnsi="宋体"/>
          <w:szCs w:val="24"/>
          <w:highlight w:val="none"/>
        </w:rPr>
        <w:fldChar w:fldCharType="end"/>
      </w:r>
      <w:r>
        <w:rPr>
          <w:rFonts w:ascii="宋体" w:hAnsi="宋体"/>
          <w:szCs w:val="24"/>
          <w:highlight w:val="none"/>
        </w:rPr>
        <w:fldChar w:fldCharType="end"/>
      </w:r>
    </w:p>
    <w:p>
      <w:pPr>
        <w:pStyle w:val="33"/>
        <w:tabs>
          <w:tab w:val="right" w:leader="dot" w:pos="8958"/>
        </w:tabs>
        <w:rPr>
          <w:rFonts w:ascii="宋体" w:hAnsi="宋体"/>
          <w:szCs w:val="24"/>
          <w:highlight w:val="none"/>
        </w:rPr>
      </w:pPr>
      <w:r>
        <w:rPr>
          <w:rFonts w:ascii="宋体" w:hAnsi="宋体"/>
          <w:szCs w:val="24"/>
          <w:highlight w:val="none"/>
        </w:rPr>
        <w:fldChar w:fldCharType="begin"/>
      </w:r>
      <w:r>
        <w:rPr>
          <w:rFonts w:ascii="宋体" w:hAnsi="宋体"/>
          <w:szCs w:val="24"/>
          <w:highlight w:val="none"/>
        </w:rPr>
        <w:instrText xml:space="preserve">HYPERLINK \l "_Toc31031"</w:instrText>
      </w:r>
      <w:r>
        <w:rPr>
          <w:rFonts w:ascii="宋体" w:hAnsi="宋体"/>
          <w:szCs w:val="24"/>
          <w:highlight w:val="none"/>
        </w:rPr>
        <w:fldChar w:fldCharType="separate"/>
      </w:r>
      <w:r>
        <w:rPr>
          <w:rFonts w:hint="eastAsia" w:ascii="宋体" w:hAnsi="宋体" w:eastAsia="宋体"/>
          <w:color w:val="000000"/>
          <w:szCs w:val="24"/>
          <w:highlight w:val="none"/>
        </w:rPr>
        <w:t>3.评标</w:t>
      </w:r>
      <w:r>
        <w:rPr>
          <w:rFonts w:ascii="宋体" w:hAnsi="宋体"/>
          <w:szCs w:val="24"/>
          <w:highlight w:val="none"/>
        </w:rPr>
        <w:tab/>
      </w:r>
      <w:r>
        <w:rPr>
          <w:rFonts w:ascii="宋体" w:hAnsi="宋体"/>
          <w:szCs w:val="24"/>
          <w:highlight w:val="none"/>
        </w:rPr>
        <w:fldChar w:fldCharType="begin"/>
      </w:r>
      <w:r>
        <w:rPr>
          <w:rFonts w:ascii="宋体" w:hAnsi="宋体"/>
          <w:szCs w:val="24"/>
          <w:highlight w:val="none"/>
        </w:rPr>
        <w:instrText xml:space="preserve"> PAGEREF _Toc31031 </w:instrText>
      </w:r>
      <w:r>
        <w:rPr>
          <w:rFonts w:ascii="宋体" w:hAnsi="宋体"/>
          <w:szCs w:val="24"/>
          <w:highlight w:val="none"/>
        </w:rPr>
        <w:fldChar w:fldCharType="separate"/>
      </w:r>
      <w:r>
        <w:rPr>
          <w:rFonts w:ascii="宋体" w:hAnsi="宋体"/>
          <w:szCs w:val="24"/>
          <w:highlight w:val="none"/>
        </w:rPr>
        <w:t>26</w:t>
      </w:r>
      <w:r>
        <w:rPr>
          <w:rFonts w:ascii="宋体" w:hAnsi="宋体"/>
          <w:szCs w:val="24"/>
          <w:highlight w:val="none"/>
        </w:rPr>
        <w:fldChar w:fldCharType="end"/>
      </w:r>
      <w:r>
        <w:rPr>
          <w:rFonts w:ascii="宋体" w:hAnsi="宋体"/>
          <w:szCs w:val="24"/>
          <w:highlight w:val="none"/>
        </w:rPr>
        <w:fldChar w:fldCharType="end"/>
      </w:r>
    </w:p>
    <w:p>
      <w:pPr>
        <w:pStyle w:val="33"/>
        <w:tabs>
          <w:tab w:val="right" w:leader="dot" w:pos="8958"/>
        </w:tabs>
        <w:rPr>
          <w:rFonts w:ascii="宋体" w:hAnsi="宋体"/>
          <w:szCs w:val="24"/>
          <w:highlight w:val="none"/>
        </w:rPr>
      </w:pPr>
      <w:r>
        <w:rPr>
          <w:rFonts w:ascii="宋体" w:hAnsi="宋体"/>
          <w:szCs w:val="24"/>
          <w:highlight w:val="none"/>
        </w:rPr>
        <w:fldChar w:fldCharType="begin"/>
      </w:r>
      <w:r>
        <w:rPr>
          <w:rFonts w:ascii="宋体" w:hAnsi="宋体"/>
          <w:szCs w:val="24"/>
          <w:highlight w:val="none"/>
        </w:rPr>
        <w:instrText xml:space="preserve">HYPERLINK \l "_Toc22974"</w:instrText>
      </w:r>
      <w:r>
        <w:rPr>
          <w:rFonts w:ascii="宋体" w:hAnsi="宋体"/>
          <w:szCs w:val="24"/>
          <w:highlight w:val="none"/>
        </w:rPr>
        <w:fldChar w:fldCharType="separate"/>
      </w:r>
      <w:r>
        <w:rPr>
          <w:rFonts w:hint="eastAsia" w:ascii="宋体" w:hAnsi="宋体" w:eastAsia="宋体"/>
          <w:color w:val="000000"/>
          <w:szCs w:val="24"/>
          <w:highlight w:val="none"/>
        </w:rPr>
        <w:t>4.投标文件的澄清</w:t>
      </w:r>
      <w:r>
        <w:rPr>
          <w:rFonts w:ascii="宋体" w:hAnsi="宋体"/>
          <w:szCs w:val="24"/>
          <w:highlight w:val="none"/>
        </w:rPr>
        <w:tab/>
      </w:r>
      <w:r>
        <w:rPr>
          <w:rFonts w:ascii="宋体" w:hAnsi="宋体"/>
          <w:szCs w:val="24"/>
          <w:highlight w:val="none"/>
        </w:rPr>
        <w:fldChar w:fldCharType="begin"/>
      </w:r>
      <w:r>
        <w:rPr>
          <w:rFonts w:ascii="宋体" w:hAnsi="宋体"/>
          <w:szCs w:val="24"/>
          <w:highlight w:val="none"/>
        </w:rPr>
        <w:instrText xml:space="preserve"> PAGEREF _Toc22974 </w:instrText>
      </w:r>
      <w:r>
        <w:rPr>
          <w:rFonts w:ascii="宋体" w:hAnsi="宋体"/>
          <w:szCs w:val="24"/>
          <w:highlight w:val="none"/>
        </w:rPr>
        <w:fldChar w:fldCharType="separate"/>
      </w:r>
      <w:r>
        <w:rPr>
          <w:rFonts w:ascii="宋体" w:hAnsi="宋体"/>
          <w:szCs w:val="24"/>
          <w:highlight w:val="none"/>
        </w:rPr>
        <w:t>27</w:t>
      </w:r>
      <w:r>
        <w:rPr>
          <w:rFonts w:ascii="宋体" w:hAnsi="宋体"/>
          <w:szCs w:val="24"/>
          <w:highlight w:val="none"/>
        </w:rPr>
        <w:fldChar w:fldCharType="end"/>
      </w:r>
      <w:r>
        <w:rPr>
          <w:rFonts w:ascii="宋体" w:hAnsi="宋体"/>
          <w:szCs w:val="24"/>
          <w:highlight w:val="none"/>
        </w:rPr>
        <w:fldChar w:fldCharType="end"/>
      </w:r>
    </w:p>
    <w:p>
      <w:pPr>
        <w:pStyle w:val="33"/>
        <w:tabs>
          <w:tab w:val="right" w:leader="dot" w:pos="8958"/>
        </w:tabs>
        <w:rPr>
          <w:rFonts w:ascii="宋体" w:hAnsi="宋体"/>
          <w:szCs w:val="24"/>
          <w:highlight w:val="none"/>
        </w:rPr>
      </w:pPr>
      <w:r>
        <w:rPr>
          <w:rFonts w:ascii="宋体" w:hAnsi="宋体"/>
          <w:szCs w:val="24"/>
          <w:highlight w:val="none"/>
        </w:rPr>
        <w:fldChar w:fldCharType="begin"/>
      </w:r>
      <w:r>
        <w:rPr>
          <w:rFonts w:ascii="宋体" w:hAnsi="宋体"/>
          <w:szCs w:val="24"/>
          <w:highlight w:val="none"/>
        </w:rPr>
        <w:instrText xml:space="preserve">HYPERLINK \l "_Toc7386"</w:instrText>
      </w:r>
      <w:r>
        <w:rPr>
          <w:rFonts w:ascii="宋体" w:hAnsi="宋体"/>
          <w:szCs w:val="24"/>
          <w:highlight w:val="none"/>
        </w:rPr>
        <w:fldChar w:fldCharType="separate"/>
      </w:r>
      <w:r>
        <w:rPr>
          <w:rFonts w:hint="eastAsia" w:ascii="宋体" w:hAnsi="宋体" w:eastAsia="宋体"/>
          <w:color w:val="000000"/>
          <w:szCs w:val="24"/>
          <w:highlight w:val="none"/>
        </w:rPr>
        <w:t>5.定标</w:t>
      </w:r>
      <w:r>
        <w:rPr>
          <w:rFonts w:ascii="宋体" w:hAnsi="宋体"/>
          <w:szCs w:val="24"/>
          <w:highlight w:val="none"/>
        </w:rPr>
        <w:tab/>
      </w:r>
      <w:r>
        <w:rPr>
          <w:rFonts w:ascii="宋体" w:hAnsi="宋体"/>
          <w:szCs w:val="24"/>
          <w:highlight w:val="none"/>
        </w:rPr>
        <w:fldChar w:fldCharType="begin"/>
      </w:r>
      <w:r>
        <w:rPr>
          <w:rFonts w:ascii="宋体" w:hAnsi="宋体"/>
          <w:szCs w:val="24"/>
          <w:highlight w:val="none"/>
        </w:rPr>
        <w:instrText xml:space="preserve"> PAGEREF _Toc7386 </w:instrText>
      </w:r>
      <w:r>
        <w:rPr>
          <w:rFonts w:ascii="宋体" w:hAnsi="宋体"/>
          <w:szCs w:val="24"/>
          <w:highlight w:val="none"/>
        </w:rPr>
        <w:fldChar w:fldCharType="separate"/>
      </w:r>
      <w:r>
        <w:rPr>
          <w:rFonts w:ascii="宋体" w:hAnsi="宋体"/>
          <w:szCs w:val="24"/>
          <w:highlight w:val="none"/>
        </w:rPr>
        <w:t>27</w:t>
      </w:r>
      <w:r>
        <w:rPr>
          <w:rFonts w:ascii="宋体" w:hAnsi="宋体"/>
          <w:szCs w:val="24"/>
          <w:highlight w:val="none"/>
        </w:rPr>
        <w:fldChar w:fldCharType="end"/>
      </w:r>
      <w:r>
        <w:rPr>
          <w:rFonts w:ascii="宋体" w:hAnsi="宋体"/>
          <w:szCs w:val="24"/>
          <w:highlight w:val="none"/>
        </w:rPr>
        <w:fldChar w:fldCharType="end"/>
      </w:r>
    </w:p>
    <w:p>
      <w:pPr>
        <w:pStyle w:val="33"/>
        <w:tabs>
          <w:tab w:val="right" w:leader="dot" w:pos="8958"/>
        </w:tabs>
        <w:rPr>
          <w:rFonts w:ascii="宋体" w:hAnsi="宋体"/>
          <w:szCs w:val="24"/>
          <w:highlight w:val="none"/>
        </w:rPr>
      </w:pPr>
      <w:r>
        <w:rPr>
          <w:rFonts w:ascii="宋体" w:hAnsi="宋体"/>
          <w:szCs w:val="24"/>
          <w:highlight w:val="none"/>
        </w:rPr>
        <w:fldChar w:fldCharType="begin"/>
      </w:r>
      <w:r>
        <w:rPr>
          <w:rFonts w:ascii="宋体" w:hAnsi="宋体"/>
          <w:szCs w:val="24"/>
          <w:highlight w:val="none"/>
        </w:rPr>
        <w:instrText xml:space="preserve">HYPERLINK \l "_Toc25316"</w:instrText>
      </w:r>
      <w:r>
        <w:rPr>
          <w:rFonts w:ascii="宋体" w:hAnsi="宋体"/>
          <w:szCs w:val="24"/>
          <w:highlight w:val="none"/>
        </w:rPr>
        <w:fldChar w:fldCharType="separate"/>
      </w:r>
      <w:r>
        <w:rPr>
          <w:rFonts w:hint="eastAsia" w:ascii="宋体" w:hAnsi="宋体" w:eastAsia="宋体"/>
          <w:color w:val="000000"/>
          <w:szCs w:val="24"/>
          <w:highlight w:val="none"/>
        </w:rPr>
        <w:t>二、开标评标办法程序和细则</w:t>
      </w:r>
      <w:r>
        <w:rPr>
          <w:rFonts w:ascii="宋体" w:hAnsi="宋体"/>
          <w:szCs w:val="24"/>
          <w:highlight w:val="none"/>
        </w:rPr>
        <w:tab/>
      </w:r>
      <w:r>
        <w:rPr>
          <w:rFonts w:ascii="宋体" w:hAnsi="宋体"/>
          <w:szCs w:val="24"/>
          <w:highlight w:val="none"/>
        </w:rPr>
        <w:fldChar w:fldCharType="begin"/>
      </w:r>
      <w:r>
        <w:rPr>
          <w:rFonts w:ascii="宋体" w:hAnsi="宋体"/>
          <w:szCs w:val="24"/>
          <w:highlight w:val="none"/>
        </w:rPr>
        <w:instrText xml:space="preserve"> PAGEREF _Toc25316 </w:instrText>
      </w:r>
      <w:r>
        <w:rPr>
          <w:rFonts w:ascii="宋体" w:hAnsi="宋体"/>
          <w:szCs w:val="24"/>
          <w:highlight w:val="none"/>
        </w:rPr>
        <w:fldChar w:fldCharType="separate"/>
      </w:r>
      <w:r>
        <w:rPr>
          <w:rFonts w:ascii="宋体" w:hAnsi="宋体"/>
          <w:szCs w:val="24"/>
          <w:highlight w:val="none"/>
        </w:rPr>
        <w:t>27</w:t>
      </w:r>
      <w:r>
        <w:rPr>
          <w:rFonts w:ascii="宋体" w:hAnsi="宋体"/>
          <w:szCs w:val="24"/>
          <w:highlight w:val="none"/>
        </w:rPr>
        <w:fldChar w:fldCharType="end"/>
      </w:r>
      <w:r>
        <w:rPr>
          <w:rFonts w:ascii="宋体" w:hAnsi="宋体"/>
          <w:szCs w:val="24"/>
          <w:highlight w:val="none"/>
        </w:rPr>
        <w:fldChar w:fldCharType="end"/>
      </w:r>
    </w:p>
    <w:p>
      <w:pPr>
        <w:pStyle w:val="33"/>
        <w:tabs>
          <w:tab w:val="right" w:leader="dot" w:pos="8958"/>
        </w:tabs>
        <w:rPr>
          <w:rFonts w:ascii="宋体" w:hAnsi="宋体"/>
          <w:szCs w:val="24"/>
          <w:highlight w:val="none"/>
        </w:rPr>
      </w:pPr>
      <w:r>
        <w:rPr>
          <w:rFonts w:ascii="宋体" w:hAnsi="宋体"/>
          <w:szCs w:val="24"/>
          <w:highlight w:val="none"/>
        </w:rPr>
        <w:fldChar w:fldCharType="begin"/>
      </w:r>
      <w:r>
        <w:rPr>
          <w:rFonts w:ascii="宋体" w:hAnsi="宋体"/>
          <w:szCs w:val="24"/>
          <w:highlight w:val="none"/>
        </w:rPr>
        <w:instrText xml:space="preserve">HYPERLINK \l "_Toc27227"</w:instrText>
      </w:r>
      <w:r>
        <w:rPr>
          <w:rFonts w:ascii="宋体" w:hAnsi="宋体"/>
          <w:szCs w:val="24"/>
          <w:highlight w:val="none"/>
        </w:rPr>
        <w:fldChar w:fldCharType="separate"/>
      </w:r>
      <w:r>
        <w:rPr>
          <w:rFonts w:ascii="宋体" w:hAnsi="宋体" w:eastAsia="宋体"/>
          <w:color w:val="000000"/>
          <w:szCs w:val="24"/>
          <w:highlight w:val="none"/>
        </w:rPr>
        <w:t xml:space="preserve">6. </w:t>
      </w:r>
      <w:r>
        <w:rPr>
          <w:rFonts w:hint="eastAsia" w:ascii="宋体" w:hAnsi="宋体" w:eastAsia="宋体"/>
          <w:color w:val="000000"/>
          <w:szCs w:val="24"/>
          <w:highlight w:val="none"/>
        </w:rPr>
        <w:t>开标和评标程序</w:t>
      </w:r>
      <w:r>
        <w:rPr>
          <w:rFonts w:ascii="宋体" w:hAnsi="宋体"/>
          <w:szCs w:val="24"/>
          <w:highlight w:val="none"/>
        </w:rPr>
        <w:tab/>
      </w:r>
      <w:r>
        <w:rPr>
          <w:rFonts w:ascii="宋体" w:hAnsi="宋体"/>
          <w:szCs w:val="24"/>
          <w:highlight w:val="none"/>
        </w:rPr>
        <w:fldChar w:fldCharType="begin"/>
      </w:r>
      <w:r>
        <w:rPr>
          <w:rFonts w:ascii="宋体" w:hAnsi="宋体"/>
          <w:szCs w:val="24"/>
          <w:highlight w:val="none"/>
        </w:rPr>
        <w:instrText xml:space="preserve"> PAGEREF _Toc27227 </w:instrText>
      </w:r>
      <w:r>
        <w:rPr>
          <w:rFonts w:ascii="宋体" w:hAnsi="宋体"/>
          <w:szCs w:val="24"/>
          <w:highlight w:val="none"/>
        </w:rPr>
        <w:fldChar w:fldCharType="separate"/>
      </w:r>
      <w:r>
        <w:rPr>
          <w:rFonts w:ascii="宋体" w:hAnsi="宋体"/>
          <w:szCs w:val="24"/>
          <w:highlight w:val="none"/>
        </w:rPr>
        <w:t>27</w:t>
      </w:r>
      <w:r>
        <w:rPr>
          <w:rFonts w:ascii="宋体" w:hAnsi="宋体"/>
          <w:szCs w:val="24"/>
          <w:highlight w:val="none"/>
        </w:rPr>
        <w:fldChar w:fldCharType="end"/>
      </w:r>
      <w:r>
        <w:rPr>
          <w:rFonts w:ascii="宋体" w:hAnsi="宋体"/>
          <w:szCs w:val="24"/>
          <w:highlight w:val="none"/>
        </w:rPr>
        <w:fldChar w:fldCharType="end"/>
      </w:r>
    </w:p>
    <w:p>
      <w:pPr>
        <w:pStyle w:val="33"/>
        <w:tabs>
          <w:tab w:val="right" w:leader="dot" w:pos="8958"/>
        </w:tabs>
        <w:rPr>
          <w:rFonts w:ascii="宋体" w:hAnsi="宋体"/>
          <w:szCs w:val="24"/>
          <w:highlight w:val="none"/>
        </w:rPr>
      </w:pPr>
      <w:r>
        <w:rPr>
          <w:rFonts w:ascii="宋体" w:hAnsi="宋体"/>
          <w:szCs w:val="24"/>
          <w:highlight w:val="none"/>
        </w:rPr>
        <w:fldChar w:fldCharType="begin"/>
      </w:r>
      <w:r>
        <w:rPr>
          <w:rFonts w:ascii="宋体" w:hAnsi="宋体"/>
          <w:szCs w:val="24"/>
          <w:highlight w:val="none"/>
        </w:rPr>
        <w:instrText xml:space="preserve">HYPERLINK \l "_Toc28709"</w:instrText>
      </w:r>
      <w:r>
        <w:rPr>
          <w:rFonts w:ascii="宋体" w:hAnsi="宋体"/>
          <w:szCs w:val="24"/>
          <w:highlight w:val="none"/>
        </w:rPr>
        <w:fldChar w:fldCharType="separate"/>
      </w:r>
      <w:r>
        <w:rPr>
          <w:rFonts w:ascii="宋体" w:hAnsi="宋体" w:eastAsia="宋体"/>
          <w:color w:val="000000"/>
          <w:szCs w:val="24"/>
          <w:highlight w:val="none"/>
        </w:rPr>
        <w:t xml:space="preserve">7. </w:t>
      </w:r>
      <w:r>
        <w:rPr>
          <w:rFonts w:hint="eastAsia" w:ascii="宋体" w:hAnsi="宋体" w:eastAsia="宋体"/>
          <w:color w:val="000000"/>
          <w:szCs w:val="24"/>
          <w:highlight w:val="none"/>
        </w:rPr>
        <w:t>开标细则</w:t>
      </w:r>
      <w:r>
        <w:rPr>
          <w:rFonts w:ascii="宋体" w:hAnsi="宋体"/>
          <w:szCs w:val="24"/>
          <w:highlight w:val="none"/>
        </w:rPr>
        <w:tab/>
      </w:r>
      <w:r>
        <w:rPr>
          <w:rFonts w:ascii="宋体" w:hAnsi="宋体"/>
          <w:szCs w:val="24"/>
          <w:highlight w:val="none"/>
        </w:rPr>
        <w:fldChar w:fldCharType="begin"/>
      </w:r>
      <w:r>
        <w:rPr>
          <w:rFonts w:ascii="宋体" w:hAnsi="宋体"/>
          <w:szCs w:val="24"/>
          <w:highlight w:val="none"/>
        </w:rPr>
        <w:instrText xml:space="preserve"> PAGEREF _Toc28709 </w:instrText>
      </w:r>
      <w:r>
        <w:rPr>
          <w:rFonts w:ascii="宋体" w:hAnsi="宋体"/>
          <w:szCs w:val="24"/>
          <w:highlight w:val="none"/>
        </w:rPr>
        <w:fldChar w:fldCharType="separate"/>
      </w:r>
      <w:r>
        <w:rPr>
          <w:rFonts w:ascii="宋体" w:hAnsi="宋体"/>
          <w:szCs w:val="24"/>
          <w:highlight w:val="none"/>
        </w:rPr>
        <w:t>28</w:t>
      </w:r>
      <w:r>
        <w:rPr>
          <w:rFonts w:ascii="宋体" w:hAnsi="宋体"/>
          <w:szCs w:val="24"/>
          <w:highlight w:val="none"/>
        </w:rPr>
        <w:fldChar w:fldCharType="end"/>
      </w:r>
      <w:r>
        <w:rPr>
          <w:rFonts w:ascii="宋体" w:hAnsi="宋体"/>
          <w:szCs w:val="24"/>
          <w:highlight w:val="none"/>
        </w:rPr>
        <w:fldChar w:fldCharType="end"/>
      </w:r>
    </w:p>
    <w:p>
      <w:pPr>
        <w:pStyle w:val="33"/>
        <w:tabs>
          <w:tab w:val="right" w:leader="dot" w:pos="8958"/>
        </w:tabs>
        <w:rPr>
          <w:rFonts w:ascii="宋体" w:hAnsi="宋体"/>
          <w:szCs w:val="24"/>
          <w:highlight w:val="none"/>
        </w:rPr>
      </w:pPr>
      <w:r>
        <w:rPr>
          <w:rFonts w:ascii="宋体" w:hAnsi="宋体"/>
          <w:szCs w:val="24"/>
          <w:highlight w:val="none"/>
        </w:rPr>
        <w:fldChar w:fldCharType="begin"/>
      </w:r>
      <w:r>
        <w:rPr>
          <w:rFonts w:ascii="宋体" w:hAnsi="宋体"/>
          <w:szCs w:val="24"/>
          <w:highlight w:val="none"/>
        </w:rPr>
        <w:instrText xml:space="preserve">HYPERLINK \l "_Toc20329"</w:instrText>
      </w:r>
      <w:r>
        <w:rPr>
          <w:rFonts w:ascii="宋体" w:hAnsi="宋体"/>
          <w:szCs w:val="24"/>
          <w:highlight w:val="none"/>
        </w:rPr>
        <w:fldChar w:fldCharType="separate"/>
      </w:r>
      <w:r>
        <w:rPr>
          <w:rFonts w:ascii="宋体" w:hAnsi="宋体" w:eastAsia="宋体"/>
          <w:color w:val="000000"/>
          <w:szCs w:val="24"/>
          <w:highlight w:val="none"/>
        </w:rPr>
        <w:t xml:space="preserve">8. </w:t>
      </w:r>
      <w:r>
        <w:rPr>
          <w:rFonts w:hint="eastAsia" w:ascii="宋体" w:hAnsi="宋体" w:eastAsia="宋体"/>
          <w:color w:val="000000"/>
          <w:szCs w:val="24"/>
          <w:highlight w:val="none"/>
        </w:rPr>
        <w:t>评标细则</w:t>
      </w:r>
      <w:r>
        <w:rPr>
          <w:rFonts w:ascii="宋体" w:hAnsi="宋体"/>
          <w:szCs w:val="24"/>
          <w:highlight w:val="none"/>
        </w:rPr>
        <w:tab/>
      </w:r>
      <w:r>
        <w:rPr>
          <w:rFonts w:ascii="宋体" w:hAnsi="宋体"/>
          <w:szCs w:val="24"/>
          <w:highlight w:val="none"/>
        </w:rPr>
        <w:fldChar w:fldCharType="begin"/>
      </w:r>
      <w:r>
        <w:rPr>
          <w:rFonts w:ascii="宋体" w:hAnsi="宋体"/>
          <w:szCs w:val="24"/>
          <w:highlight w:val="none"/>
        </w:rPr>
        <w:instrText xml:space="preserve"> PAGEREF _Toc20329 </w:instrText>
      </w:r>
      <w:r>
        <w:rPr>
          <w:rFonts w:ascii="宋体" w:hAnsi="宋体"/>
          <w:szCs w:val="24"/>
          <w:highlight w:val="none"/>
        </w:rPr>
        <w:fldChar w:fldCharType="separate"/>
      </w:r>
      <w:r>
        <w:rPr>
          <w:rFonts w:ascii="宋体" w:hAnsi="宋体"/>
          <w:szCs w:val="24"/>
          <w:highlight w:val="none"/>
        </w:rPr>
        <w:t>28</w:t>
      </w:r>
      <w:r>
        <w:rPr>
          <w:rFonts w:ascii="宋体" w:hAnsi="宋体"/>
          <w:szCs w:val="24"/>
          <w:highlight w:val="none"/>
        </w:rPr>
        <w:fldChar w:fldCharType="end"/>
      </w:r>
      <w:r>
        <w:rPr>
          <w:rFonts w:ascii="宋体" w:hAnsi="宋体"/>
          <w:szCs w:val="24"/>
          <w:highlight w:val="none"/>
        </w:rPr>
        <w:fldChar w:fldCharType="end"/>
      </w:r>
    </w:p>
    <w:p>
      <w:pPr>
        <w:pStyle w:val="33"/>
        <w:tabs>
          <w:tab w:val="right" w:leader="dot" w:pos="8958"/>
        </w:tabs>
        <w:rPr>
          <w:rFonts w:ascii="宋体" w:hAnsi="宋体"/>
          <w:szCs w:val="24"/>
          <w:highlight w:val="none"/>
        </w:rPr>
      </w:pPr>
      <w:r>
        <w:rPr>
          <w:rFonts w:ascii="宋体" w:hAnsi="宋体"/>
          <w:szCs w:val="24"/>
          <w:highlight w:val="none"/>
        </w:rPr>
        <w:fldChar w:fldCharType="begin"/>
      </w:r>
      <w:r>
        <w:rPr>
          <w:rFonts w:ascii="宋体" w:hAnsi="宋体"/>
          <w:szCs w:val="24"/>
          <w:highlight w:val="none"/>
        </w:rPr>
        <w:instrText xml:space="preserve">HYPERLINK \l "_Toc24824"</w:instrText>
      </w:r>
      <w:r>
        <w:rPr>
          <w:rFonts w:ascii="宋体" w:hAnsi="宋体"/>
          <w:szCs w:val="24"/>
          <w:highlight w:val="none"/>
        </w:rPr>
        <w:fldChar w:fldCharType="separate"/>
      </w:r>
      <w:r>
        <w:rPr>
          <w:rFonts w:hint="eastAsia" w:ascii="宋体" w:hAnsi="宋体"/>
          <w:szCs w:val="24"/>
          <w:highlight w:val="none"/>
        </w:rPr>
        <w:t>附表1：投标人资格审查表</w:t>
      </w:r>
      <w:r>
        <w:rPr>
          <w:rFonts w:ascii="宋体" w:hAnsi="宋体"/>
          <w:szCs w:val="24"/>
          <w:highlight w:val="none"/>
        </w:rPr>
        <w:tab/>
      </w:r>
      <w:r>
        <w:rPr>
          <w:rFonts w:ascii="宋体" w:hAnsi="宋体"/>
          <w:szCs w:val="24"/>
          <w:highlight w:val="none"/>
        </w:rPr>
        <w:fldChar w:fldCharType="begin"/>
      </w:r>
      <w:r>
        <w:rPr>
          <w:rFonts w:ascii="宋体" w:hAnsi="宋体"/>
          <w:szCs w:val="24"/>
          <w:highlight w:val="none"/>
        </w:rPr>
        <w:instrText xml:space="preserve"> PAGEREF _Toc24824 </w:instrText>
      </w:r>
      <w:r>
        <w:rPr>
          <w:rFonts w:ascii="宋体" w:hAnsi="宋体"/>
          <w:szCs w:val="24"/>
          <w:highlight w:val="none"/>
        </w:rPr>
        <w:fldChar w:fldCharType="separate"/>
      </w:r>
      <w:r>
        <w:rPr>
          <w:rFonts w:ascii="宋体" w:hAnsi="宋体"/>
          <w:szCs w:val="24"/>
          <w:highlight w:val="none"/>
        </w:rPr>
        <w:t>30</w:t>
      </w:r>
      <w:r>
        <w:rPr>
          <w:rFonts w:ascii="宋体" w:hAnsi="宋体"/>
          <w:szCs w:val="24"/>
          <w:highlight w:val="none"/>
        </w:rPr>
        <w:fldChar w:fldCharType="end"/>
      </w:r>
      <w:r>
        <w:rPr>
          <w:rFonts w:ascii="宋体" w:hAnsi="宋体"/>
          <w:szCs w:val="24"/>
          <w:highlight w:val="none"/>
        </w:rPr>
        <w:fldChar w:fldCharType="end"/>
      </w:r>
    </w:p>
    <w:p>
      <w:pPr>
        <w:pStyle w:val="33"/>
        <w:tabs>
          <w:tab w:val="right" w:leader="dot" w:pos="8958"/>
        </w:tabs>
        <w:rPr>
          <w:rFonts w:ascii="宋体" w:hAnsi="宋体"/>
          <w:szCs w:val="24"/>
          <w:highlight w:val="none"/>
        </w:rPr>
      </w:pPr>
      <w:r>
        <w:rPr>
          <w:rFonts w:ascii="宋体" w:hAnsi="宋体"/>
          <w:szCs w:val="24"/>
          <w:highlight w:val="none"/>
        </w:rPr>
        <w:fldChar w:fldCharType="begin"/>
      </w:r>
      <w:r>
        <w:rPr>
          <w:rFonts w:ascii="宋体" w:hAnsi="宋体"/>
          <w:szCs w:val="24"/>
          <w:highlight w:val="none"/>
        </w:rPr>
        <w:instrText xml:space="preserve">HYPERLINK \l "_Toc26961"</w:instrText>
      </w:r>
      <w:r>
        <w:rPr>
          <w:rFonts w:ascii="宋体" w:hAnsi="宋体"/>
          <w:szCs w:val="24"/>
          <w:highlight w:val="none"/>
        </w:rPr>
        <w:fldChar w:fldCharType="separate"/>
      </w:r>
      <w:r>
        <w:rPr>
          <w:rFonts w:hint="eastAsia" w:ascii="宋体" w:hAnsi="宋体"/>
          <w:szCs w:val="24"/>
          <w:highlight w:val="none"/>
        </w:rPr>
        <w:t>附表2：商务、技术投标文件有效性审查表</w:t>
      </w:r>
      <w:r>
        <w:rPr>
          <w:rFonts w:ascii="宋体" w:hAnsi="宋体"/>
          <w:szCs w:val="24"/>
          <w:highlight w:val="none"/>
        </w:rPr>
        <w:tab/>
      </w:r>
      <w:r>
        <w:rPr>
          <w:rFonts w:ascii="宋体" w:hAnsi="宋体"/>
          <w:szCs w:val="24"/>
          <w:highlight w:val="none"/>
        </w:rPr>
        <w:fldChar w:fldCharType="begin"/>
      </w:r>
      <w:r>
        <w:rPr>
          <w:rFonts w:ascii="宋体" w:hAnsi="宋体"/>
          <w:szCs w:val="24"/>
          <w:highlight w:val="none"/>
        </w:rPr>
        <w:instrText xml:space="preserve"> PAGEREF _Toc26961 </w:instrText>
      </w:r>
      <w:r>
        <w:rPr>
          <w:rFonts w:ascii="宋体" w:hAnsi="宋体"/>
          <w:szCs w:val="24"/>
          <w:highlight w:val="none"/>
        </w:rPr>
        <w:fldChar w:fldCharType="separate"/>
      </w:r>
      <w:r>
        <w:rPr>
          <w:rFonts w:ascii="宋体" w:hAnsi="宋体"/>
          <w:szCs w:val="24"/>
          <w:highlight w:val="none"/>
        </w:rPr>
        <w:t>31</w:t>
      </w:r>
      <w:r>
        <w:rPr>
          <w:rFonts w:ascii="宋体" w:hAnsi="宋体"/>
          <w:szCs w:val="24"/>
          <w:highlight w:val="none"/>
        </w:rPr>
        <w:fldChar w:fldCharType="end"/>
      </w:r>
      <w:r>
        <w:rPr>
          <w:rFonts w:ascii="宋体" w:hAnsi="宋体"/>
          <w:szCs w:val="24"/>
          <w:highlight w:val="none"/>
        </w:rPr>
        <w:fldChar w:fldCharType="end"/>
      </w:r>
    </w:p>
    <w:p>
      <w:pPr>
        <w:pStyle w:val="33"/>
        <w:tabs>
          <w:tab w:val="right" w:leader="dot" w:pos="8958"/>
        </w:tabs>
        <w:rPr>
          <w:rFonts w:ascii="宋体" w:hAnsi="宋体"/>
          <w:szCs w:val="24"/>
          <w:highlight w:val="none"/>
        </w:rPr>
      </w:pPr>
      <w:r>
        <w:rPr>
          <w:rFonts w:ascii="宋体" w:hAnsi="宋体"/>
          <w:szCs w:val="24"/>
          <w:highlight w:val="none"/>
        </w:rPr>
        <w:fldChar w:fldCharType="begin"/>
      </w:r>
      <w:r>
        <w:rPr>
          <w:rFonts w:ascii="宋体" w:hAnsi="宋体"/>
          <w:szCs w:val="24"/>
          <w:highlight w:val="none"/>
        </w:rPr>
        <w:instrText xml:space="preserve">HYPERLINK \l "_Toc1044"</w:instrText>
      </w:r>
      <w:r>
        <w:rPr>
          <w:rFonts w:ascii="宋体" w:hAnsi="宋体"/>
          <w:szCs w:val="24"/>
          <w:highlight w:val="none"/>
        </w:rPr>
        <w:fldChar w:fldCharType="separate"/>
      </w:r>
      <w:r>
        <w:rPr>
          <w:rFonts w:hint="eastAsia" w:ascii="宋体" w:hAnsi="宋体"/>
          <w:szCs w:val="24"/>
          <w:highlight w:val="none"/>
        </w:rPr>
        <w:t>附表3：价格投标文件有效性审查表</w:t>
      </w:r>
      <w:r>
        <w:rPr>
          <w:rFonts w:ascii="宋体" w:hAnsi="宋体"/>
          <w:szCs w:val="24"/>
          <w:highlight w:val="none"/>
        </w:rPr>
        <w:tab/>
      </w:r>
      <w:r>
        <w:rPr>
          <w:rFonts w:ascii="宋体" w:hAnsi="宋体"/>
          <w:szCs w:val="24"/>
          <w:highlight w:val="none"/>
        </w:rPr>
        <w:fldChar w:fldCharType="begin"/>
      </w:r>
      <w:r>
        <w:rPr>
          <w:rFonts w:ascii="宋体" w:hAnsi="宋体"/>
          <w:szCs w:val="24"/>
          <w:highlight w:val="none"/>
        </w:rPr>
        <w:instrText xml:space="preserve"> PAGEREF _Toc1044 </w:instrText>
      </w:r>
      <w:r>
        <w:rPr>
          <w:rFonts w:ascii="宋体" w:hAnsi="宋体"/>
          <w:szCs w:val="24"/>
          <w:highlight w:val="none"/>
        </w:rPr>
        <w:fldChar w:fldCharType="separate"/>
      </w:r>
      <w:r>
        <w:rPr>
          <w:rFonts w:ascii="宋体" w:hAnsi="宋体"/>
          <w:szCs w:val="24"/>
          <w:highlight w:val="none"/>
        </w:rPr>
        <w:t>32</w:t>
      </w:r>
      <w:r>
        <w:rPr>
          <w:rFonts w:ascii="宋体" w:hAnsi="宋体"/>
          <w:szCs w:val="24"/>
          <w:highlight w:val="none"/>
        </w:rPr>
        <w:fldChar w:fldCharType="end"/>
      </w:r>
      <w:r>
        <w:rPr>
          <w:rFonts w:ascii="宋体" w:hAnsi="宋体"/>
          <w:szCs w:val="24"/>
          <w:highlight w:val="none"/>
        </w:rPr>
        <w:fldChar w:fldCharType="end"/>
      </w:r>
    </w:p>
    <w:p>
      <w:pPr>
        <w:pStyle w:val="33"/>
        <w:tabs>
          <w:tab w:val="right" w:leader="dot" w:pos="8958"/>
        </w:tabs>
        <w:rPr>
          <w:rFonts w:ascii="宋体" w:hAnsi="宋体"/>
          <w:szCs w:val="24"/>
          <w:highlight w:val="none"/>
        </w:rPr>
      </w:pPr>
      <w:r>
        <w:rPr>
          <w:rFonts w:ascii="宋体" w:hAnsi="宋体"/>
          <w:szCs w:val="24"/>
          <w:highlight w:val="none"/>
        </w:rPr>
        <w:fldChar w:fldCharType="begin"/>
      </w:r>
      <w:r>
        <w:rPr>
          <w:rFonts w:ascii="宋体" w:hAnsi="宋体"/>
          <w:szCs w:val="24"/>
          <w:highlight w:val="none"/>
        </w:rPr>
        <w:instrText xml:space="preserve">HYPERLINK \l "_Toc11217"</w:instrText>
      </w:r>
      <w:r>
        <w:rPr>
          <w:rFonts w:ascii="宋体" w:hAnsi="宋体"/>
          <w:szCs w:val="24"/>
          <w:highlight w:val="none"/>
        </w:rPr>
        <w:fldChar w:fldCharType="separate"/>
      </w:r>
      <w:r>
        <w:rPr>
          <w:rFonts w:ascii="宋体" w:hAnsi="宋体"/>
          <w:szCs w:val="24"/>
          <w:highlight w:val="none"/>
        </w:rPr>
        <w:t>附</w:t>
      </w:r>
      <w:r>
        <w:rPr>
          <w:rFonts w:hint="eastAsia" w:ascii="宋体" w:hAnsi="宋体"/>
          <w:szCs w:val="24"/>
          <w:highlight w:val="none"/>
        </w:rPr>
        <w:t>表4</w:t>
      </w:r>
      <w:r>
        <w:rPr>
          <w:rFonts w:ascii="宋体" w:hAnsi="宋体"/>
          <w:szCs w:val="24"/>
          <w:highlight w:val="none"/>
        </w:rPr>
        <w:t>：</w:t>
      </w:r>
      <w:r>
        <w:rPr>
          <w:rFonts w:hint="eastAsia" w:ascii="宋体" w:hAnsi="宋体"/>
          <w:szCs w:val="24"/>
          <w:highlight w:val="none"/>
        </w:rPr>
        <w:t>商务技术标详细审查评分标准（权重占30%）</w:t>
      </w:r>
      <w:r>
        <w:rPr>
          <w:rFonts w:ascii="宋体" w:hAnsi="宋体"/>
          <w:szCs w:val="24"/>
          <w:highlight w:val="none"/>
        </w:rPr>
        <w:tab/>
      </w:r>
      <w:r>
        <w:rPr>
          <w:rFonts w:ascii="宋体" w:hAnsi="宋体"/>
          <w:szCs w:val="24"/>
          <w:highlight w:val="none"/>
        </w:rPr>
        <w:fldChar w:fldCharType="begin"/>
      </w:r>
      <w:r>
        <w:rPr>
          <w:rFonts w:ascii="宋体" w:hAnsi="宋体"/>
          <w:szCs w:val="24"/>
          <w:highlight w:val="none"/>
        </w:rPr>
        <w:instrText xml:space="preserve"> PAGEREF _Toc11217 </w:instrText>
      </w:r>
      <w:r>
        <w:rPr>
          <w:rFonts w:ascii="宋体" w:hAnsi="宋体"/>
          <w:szCs w:val="24"/>
          <w:highlight w:val="none"/>
        </w:rPr>
        <w:fldChar w:fldCharType="separate"/>
      </w:r>
      <w:r>
        <w:rPr>
          <w:rFonts w:ascii="宋体" w:hAnsi="宋体"/>
          <w:szCs w:val="24"/>
          <w:highlight w:val="none"/>
        </w:rPr>
        <w:t>33</w:t>
      </w:r>
      <w:r>
        <w:rPr>
          <w:rFonts w:ascii="宋体" w:hAnsi="宋体"/>
          <w:szCs w:val="24"/>
          <w:highlight w:val="none"/>
        </w:rPr>
        <w:fldChar w:fldCharType="end"/>
      </w:r>
      <w:r>
        <w:rPr>
          <w:rFonts w:ascii="宋体" w:hAnsi="宋体"/>
          <w:szCs w:val="24"/>
          <w:highlight w:val="none"/>
        </w:rPr>
        <w:fldChar w:fldCharType="end"/>
      </w:r>
    </w:p>
    <w:p>
      <w:pPr>
        <w:pStyle w:val="33"/>
        <w:tabs>
          <w:tab w:val="right" w:leader="dot" w:pos="8958"/>
        </w:tabs>
        <w:rPr>
          <w:rFonts w:ascii="宋体" w:hAnsi="宋体"/>
          <w:szCs w:val="24"/>
          <w:highlight w:val="none"/>
        </w:rPr>
      </w:pPr>
      <w:r>
        <w:rPr>
          <w:rFonts w:ascii="宋体" w:hAnsi="宋体"/>
          <w:szCs w:val="24"/>
          <w:highlight w:val="none"/>
        </w:rPr>
        <w:fldChar w:fldCharType="begin"/>
      </w:r>
      <w:r>
        <w:rPr>
          <w:rFonts w:ascii="宋体" w:hAnsi="宋体"/>
          <w:szCs w:val="24"/>
          <w:highlight w:val="none"/>
        </w:rPr>
        <w:instrText xml:space="preserve">HYPERLINK \l "_Toc21050"</w:instrText>
      </w:r>
      <w:r>
        <w:rPr>
          <w:rFonts w:ascii="宋体" w:hAnsi="宋体"/>
          <w:szCs w:val="24"/>
          <w:highlight w:val="none"/>
        </w:rPr>
        <w:fldChar w:fldCharType="separate"/>
      </w:r>
      <w:r>
        <w:rPr>
          <w:rFonts w:hint="eastAsia" w:ascii="宋体" w:hAnsi="宋体" w:eastAsia="宋体"/>
          <w:szCs w:val="24"/>
          <w:highlight w:val="none"/>
        </w:rPr>
        <w:t>附表5：经济标评分表（权重占70%）</w:t>
      </w:r>
      <w:r>
        <w:rPr>
          <w:rFonts w:ascii="宋体" w:hAnsi="宋体"/>
          <w:szCs w:val="24"/>
          <w:highlight w:val="none"/>
        </w:rPr>
        <w:tab/>
      </w:r>
      <w:r>
        <w:rPr>
          <w:rFonts w:ascii="宋体" w:hAnsi="宋体"/>
          <w:szCs w:val="24"/>
          <w:highlight w:val="none"/>
        </w:rPr>
        <w:fldChar w:fldCharType="begin"/>
      </w:r>
      <w:r>
        <w:rPr>
          <w:rFonts w:ascii="宋体" w:hAnsi="宋体"/>
          <w:szCs w:val="24"/>
          <w:highlight w:val="none"/>
        </w:rPr>
        <w:instrText xml:space="preserve"> PAGEREF _Toc21050 </w:instrText>
      </w:r>
      <w:r>
        <w:rPr>
          <w:rFonts w:ascii="宋体" w:hAnsi="宋体"/>
          <w:szCs w:val="24"/>
          <w:highlight w:val="none"/>
        </w:rPr>
        <w:fldChar w:fldCharType="separate"/>
      </w:r>
      <w:r>
        <w:rPr>
          <w:rFonts w:ascii="宋体" w:hAnsi="宋体"/>
          <w:szCs w:val="24"/>
          <w:highlight w:val="none"/>
        </w:rPr>
        <w:t>35</w:t>
      </w:r>
      <w:r>
        <w:rPr>
          <w:rFonts w:ascii="宋体" w:hAnsi="宋体"/>
          <w:szCs w:val="24"/>
          <w:highlight w:val="none"/>
        </w:rPr>
        <w:fldChar w:fldCharType="end"/>
      </w:r>
      <w:r>
        <w:rPr>
          <w:rFonts w:ascii="宋体" w:hAnsi="宋体"/>
          <w:szCs w:val="24"/>
          <w:highlight w:val="none"/>
        </w:rPr>
        <w:fldChar w:fldCharType="end"/>
      </w:r>
    </w:p>
    <w:p>
      <w:pPr>
        <w:pStyle w:val="33"/>
        <w:tabs>
          <w:tab w:val="right" w:leader="dot" w:pos="8958"/>
        </w:tabs>
        <w:rPr>
          <w:rFonts w:ascii="宋体" w:hAnsi="宋体"/>
          <w:szCs w:val="24"/>
          <w:highlight w:val="none"/>
        </w:rPr>
      </w:pPr>
      <w:r>
        <w:rPr>
          <w:rFonts w:ascii="宋体" w:hAnsi="宋体"/>
          <w:szCs w:val="24"/>
          <w:highlight w:val="none"/>
        </w:rPr>
        <w:fldChar w:fldCharType="begin"/>
      </w:r>
      <w:r>
        <w:rPr>
          <w:rFonts w:ascii="宋体" w:hAnsi="宋体"/>
          <w:szCs w:val="24"/>
          <w:highlight w:val="none"/>
        </w:rPr>
        <w:instrText xml:space="preserve">HYPERLINK \l "_Toc13585"</w:instrText>
      </w:r>
      <w:r>
        <w:rPr>
          <w:rFonts w:ascii="宋体" w:hAnsi="宋体"/>
          <w:szCs w:val="24"/>
          <w:highlight w:val="none"/>
        </w:rPr>
        <w:fldChar w:fldCharType="separate"/>
      </w:r>
      <w:r>
        <w:rPr>
          <w:rFonts w:ascii="宋体" w:hAnsi="宋体"/>
          <w:szCs w:val="24"/>
          <w:highlight w:val="none"/>
        </w:rPr>
        <w:t>附</w:t>
      </w:r>
      <w:r>
        <w:rPr>
          <w:rFonts w:hint="eastAsia" w:ascii="宋体" w:hAnsi="宋体"/>
          <w:szCs w:val="24"/>
          <w:highlight w:val="none"/>
        </w:rPr>
        <w:t>表6</w:t>
      </w:r>
      <w:r>
        <w:rPr>
          <w:rFonts w:ascii="宋体" w:hAnsi="宋体"/>
          <w:szCs w:val="24"/>
          <w:highlight w:val="none"/>
        </w:rPr>
        <w:t>：</w:t>
      </w:r>
      <w:r>
        <w:rPr>
          <w:rFonts w:hint="eastAsia" w:ascii="宋体" w:hAnsi="宋体"/>
          <w:szCs w:val="24"/>
          <w:highlight w:val="none"/>
        </w:rPr>
        <w:t>算术复核表</w:t>
      </w:r>
      <w:r>
        <w:rPr>
          <w:rFonts w:ascii="宋体" w:hAnsi="宋体"/>
          <w:szCs w:val="24"/>
          <w:highlight w:val="none"/>
        </w:rPr>
        <w:tab/>
      </w:r>
      <w:r>
        <w:rPr>
          <w:rFonts w:ascii="宋体" w:hAnsi="宋体"/>
          <w:szCs w:val="24"/>
          <w:highlight w:val="none"/>
        </w:rPr>
        <w:fldChar w:fldCharType="begin"/>
      </w:r>
      <w:r>
        <w:rPr>
          <w:rFonts w:ascii="宋体" w:hAnsi="宋体"/>
          <w:szCs w:val="24"/>
          <w:highlight w:val="none"/>
        </w:rPr>
        <w:instrText xml:space="preserve"> PAGEREF _Toc13585 </w:instrText>
      </w:r>
      <w:r>
        <w:rPr>
          <w:rFonts w:ascii="宋体" w:hAnsi="宋体"/>
          <w:szCs w:val="24"/>
          <w:highlight w:val="none"/>
        </w:rPr>
        <w:fldChar w:fldCharType="separate"/>
      </w:r>
      <w:r>
        <w:rPr>
          <w:rFonts w:ascii="宋体" w:hAnsi="宋体"/>
          <w:szCs w:val="24"/>
          <w:highlight w:val="none"/>
        </w:rPr>
        <w:t>36</w:t>
      </w:r>
      <w:r>
        <w:rPr>
          <w:rFonts w:ascii="宋体" w:hAnsi="宋体"/>
          <w:szCs w:val="24"/>
          <w:highlight w:val="none"/>
        </w:rPr>
        <w:fldChar w:fldCharType="end"/>
      </w:r>
      <w:r>
        <w:rPr>
          <w:rFonts w:ascii="宋体" w:hAnsi="宋体"/>
          <w:szCs w:val="24"/>
          <w:highlight w:val="none"/>
        </w:rPr>
        <w:fldChar w:fldCharType="end"/>
      </w:r>
    </w:p>
    <w:p>
      <w:pPr>
        <w:pStyle w:val="28"/>
        <w:tabs>
          <w:tab w:val="right" w:leader="dot" w:pos="8958"/>
        </w:tabs>
        <w:rPr>
          <w:rFonts w:ascii="宋体" w:hAnsi="宋体"/>
          <w:b w:val="0"/>
          <w:bCs w:val="0"/>
          <w:caps w:val="0"/>
          <w:smallCaps/>
          <w:szCs w:val="24"/>
          <w:highlight w:val="none"/>
        </w:rPr>
      </w:pPr>
      <w:r>
        <w:rPr>
          <w:rFonts w:ascii="宋体" w:hAnsi="宋体"/>
          <w:b w:val="0"/>
          <w:bCs w:val="0"/>
          <w:caps w:val="0"/>
          <w:smallCaps/>
          <w:szCs w:val="24"/>
          <w:highlight w:val="none"/>
        </w:rPr>
        <w:fldChar w:fldCharType="begin"/>
      </w:r>
      <w:r>
        <w:rPr>
          <w:rFonts w:ascii="宋体" w:hAnsi="宋体"/>
          <w:b w:val="0"/>
          <w:bCs w:val="0"/>
          <w:caps w:val="0"/>
          <w:smallCaps/>
          <w:szCs w:val="24"/>
          <w:highlight w:val="none"/>
        </w:rPr>
        <w:instrText xml:space="preserve">HYPERLINK \l "_Toc15748"</w:instrText>
      </w:r>
      <w:r>
        <w:rPr>
          <w:rFonts w:ascii="宋体" w:hAnsi="宋体"/>
          <w:b w:val="0"/>
          <w:bCs w:val="0"/>
          <w:caps w:val="0"/>
          <w:smallCaps/>
          <w:szCs w:val="24"/>
          <w:highlight w:val="none"/>
        </w:rPr>
        <w:fldChar w:fldCharType="separate"/>
      </w:r>
      <w:r>
        <w:rPr>
          <w:rFonts w:hint="eastAsia" w:ascii="宋体" w:hAnsi="宋体"/>
          <w:b w:val="0"/>
          <w:bCs w:val="0"/>
          <w:caps w:val="0"/>
          <w:smallCaps/>
          <w:szCs w:val="24"/>
          <w:highlight w:val="none"/>
        </w:rPr>
        <w:t>第四章 用户需求书</w:t>
      </w:r>
      <w:r>
        <w:rPr>
          <w:rFonts w:ascii="宋体" w:hAnsi="宋体"/>
          <w:b w:val="0"/>
          <w:bCs w:val="0"/>
          <w:caps w:val="0"/>
          <w:smallCaps/>
          <w:szCs w:val="24"/>
          <w:highlight w:val="none"/>
        </w:rPr>
        <w:tab/>
      </w:r>
      <w:r>
        <w:rPr>
          <w:rFonts w:ascii="宋体" w:hAnsi="宋体"/>
          <w:b w:val="0"/>
          <w:bCs w:val="0"/>
          <w:caps w:val="0"/>
          <w:smallCaps/>
          <w:szCs w:val="24"/>
          <w:highlight w:val="none"/>
        </w:rPr>
        <w:fldChar w:fldCharType="begin"/>
      </w:r>
      <w:r>
        <w:rPr>
          <w:rFonts w:ascii="宋体" w:hAnsi="宋体"/>
          <w:b w:val="0"/>
          <w:bCs w:val="0"/>
          <w:caps w:val="0"/>
          <w:smallCaps/>
          <w:szCs w:val="24"/>
          <w:highlight w:val="none"/>
        </w:rPr>
        <w:instrText xml:space="preserve"> PAGEREF _Toc15748 </w:instrText>
      </w:r>
      <w:r>
        <w:rPr>
          <w:rFonts w:ascii="宋体" w:hAnsi="宋体"/>
          <w:b w:val="0"/>
          <w:bCs w:val="0"/>
          <w:caps w:val="0"/>
          <w:smallCaps/>
          <w:szCs w:val="24"/>
          <w:highlight w:val="none"/>
        </w:rPr>
        <w:fldChar w:fldCharType="separate"/>
      </w:r>
      <w:r>
        <w:rPr>
          <w:rFonts w:ascii="宋体" w:hAnsi="宋体"/>
          <w:b w:val="0"/>
          <w:bCs w:val="0"/>
          <w:caps w:val="0"/>
          <w:smallCaps/>
          <w:szCs w:val="24"/>
          <w:highlight w:val="none"/>
        </w:rPr>
        <w:t>38</w:t>
      </w:r>
      <w:r>
        <w:rPr>
          <w:rFonts w:ascii="宋体" w:hAnsi="宋体"/>
          <w:b w:val="0"/>
          <w:bCs w:val="0"/>
          <w:caps w:val="0"/>
          <w:smallCaps/>
          <w:szCs w:val="24"/>
          <w:highlight w:val="none"/>
        </w:rPr>
        <w:fldChar w:fldCharType="end"/>
      </w:r>
      <w:r>
        <w:rPr>
          <w:rFonts w:ascii="宋体" w:hAnsi="宋体"/>
          <w:b w:val="0"/>
          <w:bCs w:val="0"/>
          <w:caps w:val="0"/>
          <w:smallCaps/>
          <w:szCs w:val="24"/>
          <w:highlight w:val="none"/>
        </w:rPr>
        <w:fldChar w:fldCharType="end"/>
      </w:r>
    </w:p>
    <w:p>
      <w:pPr>
        <w:pStyle w:val="28"/>
        <w:tabs>
          <w:tab w:val="right" w:leader="dot" w:pos="8958"/>
        </w:tabs>
        <w:rPr>
          <w:rFonts w:ascii="宋体" w:hAnsi="宋体"/>
          <w:b w:val="0"/>
          <w:bCs w:val="0"/>
          <w:caps w:val="0"/>
          <w:smallCaps/>
          <w:szCs w:val="24"/>
          <w:highlight w:val="none"/>
        </w:rPr>
      </w:pPr>
      <w:r>
        <w:rPr>
          <w:rFonts w:ascii="宋体" w:hAnsi="宋体"/>
          <w:b w:val="0"/>
          <w:bCs w:val="0"/>
          <w:caps w:val="0"/>
          <w:smallCaps/>
          <w:szCs w:val="24"/>
          <w:highlight w:val="none"/>
        </w:rPr>
        <w:fldChar w:fldCharType="begin"/>
      </w:r>
      <w:r>
        <w:rPr>
          <w:rFonts w:ascii="宋体" w:hAnsi="宋体"/>
          <w:b w:val="0"/>
          <w:bCs w:val="0"/>
          <w:caps w:val="0"/>
          <w:smallCaps/>
          <w:szCs w:val="24"/>
          <w:highlight w:val="none"/>
        </w:rPr>
        <w:instrText xml:space="preserve">HYPERLINK \l "_Toc14263"</w:instrText>
      </w:r>
      <w:r>
        <w:rPr>
          <w:rFonts w:ascii="宋体" w:hAnsi="宋体"/>
          <w:b w:val="0"/>
          <w:bCs w:val="0"/>
          <w:caps w:val="0"/>
          <w:smallCaps/>
          <w:szCs w:val="24"/>
          <w:highlight w:val="none"/>
        </w:rPr>
        <w:fldChar w:fldCharType="separate"/>
      </w:r>
      <w:r>
        <w:rPr>
          <w:rFonts w:hint="eastAsia" w:ascii="宋体" w:hAnsi="宋体" w:eastAsia="宋体"/>
          <w:b w:val="0"/>
          <w:bCs w:val="0"/>
          <w:caps w:val="0"/>
          <w:smallCaps/>
          <w:szCs w:val="24"/>
          <w:highlight w:val="none"/>
        </w:rPr>
        <w:t>第五章 合同条款</w:t>
      </w:r>
      <w:r>
        <w:rPr>
          <w:rFonts w:ascii="宋体" w:hAnsi="宋体"/>
          <w:b w:val="0"/>
          <w:bCs w:val="0"/>
          <w:caps w:val="0"/>
          <w:smallCaps/>
          <w:szCs w:val="24"/>
          <w:highlight w:val="none"/>
        </w:rPr>
        <w:tab/>
      </w:r>
      <w:r>
        <w:rPr>
          <w:rFonts w:ascii="宋体" w:hAnsi="宋体"/>
          <w:b w:val="0"/>
          <w:bCs w:val="0"/>
          <w:caps w:val="0"/>
          <w:smallCaps/>
          <w:szCs w:val="24"/>
          <w:highlight w:val="none"/>
        </w:rPr>
        <w:fldChar w:fldCharType="begin"/>
      </w:r>
      <w:r>
        <w:rPr>
          <w:rFonts w:ascii="宋体" w:hAnsi="宋体"/>
          <w:b w:val="0"/>
          <w:bCs w:val="0"/>
          <w:caps w:val="0"/>
          <w:smallCaps/>
          <w:szCs w:val="24"/>
          <w:highlight w:val="none"/>
        </w:rPr>
        <w:instrText xml:space="preserve"> PAGEREF _Toc14263 </w:instrText>
      </w:r>
      <w:r>
        <w:rPr>
          <w:rFonts w:ascii="宋体" w:hAnsi="宋体"/>
          <w:b w:val="0"/>
          <w:bCs w:val="0"/>
          <w:caps w:val="0"/>
          <w:smallCaps/>
          <w:szCs w:val="24"/>
          <w:highlight w:val="none"/>
        </w:rPr>
        <w:fldChar w:fldCharType="separate"/>
      </w:r>
      <w:r>
        <w:rPr>
          <w:rFonts w:ascii="宋体" w:hAnsi="宋体"/>
          <w:b w:val="0"/>
          <w:bCs w:val="0"/>
          <w:caps w:val="0"/>
          <w:smallCaps/>
          <w:szCs w:val="24"/>
          <w:highlight w:val="none"/>
        </w:rPr>
        <w:t>49</w:t>
      </w:r>
      <w:r>
        <w:rPr>
          <w:rFonts w:ascii="宋体" w:hAnsi="宋体"/>
          <w:b w:val="0"/>
          <w:bCs w:val="0"/>
          <w:caps w:val="0"/>
          <w:smallCaps/>
          <w:szCs w:val="24"/>
          <w:highlight w:val="none"/>
        </w:rPr>
        <w:fldChar w:fldCharType="end"/>
      </w:r>
      <w:r>
        <w:rPr>
          <w:rFonts w:ascii="宋体" w:hAnsi="宋体"/>
          <w:b w:val="0"/>
          <w:bCs w:val="0"/>
          <w:caps w:val="0"/>
          <w:smallCaps/>
          <w:szCs w:val="24"/>
          <w:highlight w:val="none"/>
        </w:rPr>
        <w:fldChar w:fldCharType="end"/>
      </w:r>
    </w:p>
    <w:p>
      <w:pPr>
        <w:pStyle w:val="28"/>
        <w:tabs>
          <w:tab w:val="right" w:leader="dot" w:pos="8958"/>
        </w:tabs>
        <w:rPr>
          <w:rFonts w:ascii="宋体" w:hAnsi="宋体"/>
          <w:b w:val="0"/>
          <w:bCs w:val="0"/>
          <w:caps w:val="0"/>
          <w:smallCaps/>
          <w:szCs w:val="24"/>
          <w:highlight w:val="none"/>
        </w:rPr>
      </w:pPr>
      <w:r>
        <w:rPr>
          <w:rFonts w:ascii="宋体" w:hAnsi="宋体"/>
          <w:b w:val="0"/>
          <w:bCs w:val="0"/>
          <w:caps w:val="0"/>
          <w:smallCaps/>
          <w:szCs w:val="24"/>
          <w:highlight w:val="none"/>
        </w:rPr>
        <w:fldChar w:fldCharType="begin"/>
      </w:r>
      <w:r>
        <w:rPr>
          <w:rFonts w:ascii="宋体" w:hAnsi="宋体"/>
          <w:b w:val="0"/>
          <w:bCs w:val="0"/>
          <w:caps w:val="0"/>
          <w:smallCaps/>
          <w:szCs w:val="24"/>
          <w:highlight w:val="none"/>
        </w:rPr>
        <w:instrText xml:space="preserve">HYPERLINK \l "_Toc13377"</w:instrText>
      </w:r>
      <w:r>
        <w:rPr>
          <w:rFonts w:ascii="宋体" w:hAnsi="宋体"/>
          <w:b w:val="0"/>
          <w:bCs w:val="0"/>
          <w:caps w:val="0"/>
          <w:smallCaps/>
          <w:szCs w:val="24"/>
          <w:highlight w:val="none"/>
        </w:rPr>
        <w:fldChar w:fldCharType="separate"/>
      </w:r>
      <w:r>
        <w:rPr>
          <w:rFonts w:ascii="宋体" w:hAnsi="宋体"/>
          <w:b w:val="0"/>
          <w:bCs w:val="0"/>
          <w:caps w:val="0"/>
          <w:smallCaps/>
          <w:szCs w:val="24"/>
          <w:highlight w:val="none"/>
        </w:rPr>
        <w:t>第</w:t>
      </w:r>
      <w:r>
        <w:rPr>
          <w:rFonts w:hint="eastAsia" w:ascii="宋体" w:hAnsi="宋体"/>
          <w:b w:val="0"/>
          <w:bCs w:val="0"/>
          <w:caps w:val="0"/>
          <w:smallCaps/>
          <w:kern w:val="2"/>
          <w:szCs w:val="24"/>
          <w:highlight w:val="none"/>
        </w:rPr>
        <w:t>六章  投标文件格式</w:t>
      </w:r>
      <w:r>
        <w:rPr>
          <w:rFonts w:ascii="宋体" w:hAnsi="宋体"/>
          <w:b w:val="0"/>
          <w:bCs w:val="0"/>
          <w:caps w:val="0"/>
          <w:smallCaps/>
          <w:szCs w:val="24"/>
          <w:highlight w:val="none"/>
        </w:rPr>
        <w:tab/>
      </w:r>
      <w:r>
        <w:rPr>
          <w:rFonts w:ascii="宋体" w:hAnsi="宋体"/>
          <w:b w:val="0"/>
          <w:bCs w:val="0"/>
          <w:caps w:val="0"/>
          <w:smallCaps/>
          <w:szCs w:val="24"/>
          <w:highlight w:val="none"/>
        </w:rPr>
        <w:fldChar w:fldCharType="begin"/>
      </w:r>
      <w:r>
        <w:rPr>
          <w:rFonts w:ascii="宋体" w:hAnsi="宋体"/>
          <w:b w:val="0"/>
          <w:bCs w:val="0"/>
          <w:caps w:val="0"/>
          <w:smallCaps/>
          <w:szCs w:val="24"/>
          <w:highlight w:val="none"/>
        </w:rPr>
        <w:instrText xml:space="preserve"> PAGEREF _Toc13377 </w:instrText>
      </w:r>
      <w:r>
        <w:rPr>
          <w:rFonts w:ascii="宋体" w:hAnsi="宋体"/>
          <w:b w:val="0"/>
          <w:bCs w:val="0"/>
          <w:caps w:val="0"/>
          <w:smallCaps/>
          <w:szCs w:val="24"/>
          <w:highlight w:val="none"/>
        </w:rPr>
        <w:fldChar w:fldCharType="separate"/>
      </w:r>
      <w:r>
        <w:rPr>
          <w:rFonts w:ascii="宋体" w:hAnsi="宋体"/>
          <w:b w:val="0"/>
          <w:bCs w:val="0"/>
          <w:caps w:val="0"/>
          <w:smallCaps/>
          <w:szCs w:val="24"/>
          <w:highlight w:val="none"/>
        </w:rPr>
        <w:t>82</w:t>
      </w:r>
      <w:r>
        <w:rPr>
          <w:rFonts w:ascii="宋体" w:hAnsi="宋体"/>
          <w:b w:val="0"/>
          <w:bCs w:val="0"/>
          <w:caps w:val="0"/>
          <w:smallCaps/>
          <w:szCs w:val="24"/>
          <w:highlight w:val="none"/>
        </w:rPr>
        <w:fldChar w:fldCharType="end"/>
      </w:r>
      <w:r>
        <w:rPr>
          <w:rFonts w:ascii="宋体" w:hAnsi="宋体"/>
          <w:b w:val="0"/>
          <w:bCs w:val="0"/>
          <w:caps w:val="0"/>
          <w:smallCaps/>
          <w:szCs w:val="24"/>
          <w:highlight w:val="none"/>
        </w:rPr>
        <w:fldChar w:fldCharType="end"/>
      </w:r>
    </w:p>
    <w:p>
      <w:pPr>
        <w:adjustRightInd w:val="0"/>
        <w:ind w:left="540" w:leftChars="257" w:firstLine="2180" w:firstLineChars="1090"/>
        <w:rPr>
          <w:rFonts w:ascii="宋体" w:hAnsi="宋体"/>
          <w:b/>
          <w:smallCaps/>
          <w:sz w:val="20"/>
          <w:szCs w:val="32"/>
          <w:highlight w:val="none"/>
        </w:rPr>
        <w:sectPr>
          <w:footerReference r:id="rId4" w:type="default"/>
          <w:pgSz w:w="11906" w:h="16838"/>
          <w:pgMar w:top="1474" w:right="1474" w:bottom="1474" w:left="1474" w:header="113" w:footer="851" w:gutter="0"/>
          <w:pgNumType w:start="1"/>
          <w:cols w:space="720" w:num="1"/>
          <w:docGrid w:type="lines" w:linePitch="312" w:charSpace="0"/>
        </w:sectPr>
      </w:pPr>
      <w:r>
        <w:rPr>
          <w:rFonts w:ascii="宋体" w:hAnsi="宋体"/>
          <w:smallCaps/>
          <w:sz w:val="20"/>
          <w:szCs w:val="24"/>
          <w:highlight w:val="none"/>
        </w:rPr>
        <w:fldChar w:fldCharType="end"/>
      </w:r>
    </w:p>
    <w:p>
      <w:pPr>
        <w:rPr>
          <w:rFonts w:ascii="宋体" w:hAnsi="宋体"/>
          <w:highlight w:val="none"/>
        </w:rPr>
      </w:pPr>
      <w:bookmarkStart w:id="0" w:name="_Toc292434255"/>
      <w:bookmarkStart w:id="1" w:name="_Toc177140850"/>
      <w:bookmarkStart w:id="2" w:name="_Toc38039608"/>
      <w:bookmarkStart w:id="3" w:name="_Toc35957188"/>
      <w:bookmarkStart w:id="4" w:name="_Toc35770876"/>
      <w:bookmarkStart w:id="5" w:name="_Toc103673603"/>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pStyle w:val="2"/>
        <w:spacing w:before="480" w:after="480" w:line="400" w:lineRule="exact"/>
        <w:jc w:val="center"/>
        <w:rPr>
          <w:rFonts w:ascii="宋体" w:hAnsi="宋体" w:cs="Arial"/>
          <w:highlight w:val="none"/>
        </w:rPr>
      </w:pPr>
      <w:bookmarkStart w:id="6" w:name="_Toc1763"/>
      <w:bookmarkStart w:id="7" w:name="_Toc13453"/>
      <w:bookmarkStart w:id="8" w:name="_Toc3971"/>
      <w:bookmarkStart w:id="9" w:name="_Toc5491"/>
      <w:bookmarkStart w:id="10" w:name="_Toc13024"/>
      <w:r>
        <w:rPr>
          <w:rFonts w:hint="eastAsia" w:ascii="宋体" w:hAnsi="宋体" w:cs="Arial"/>
          <w:highlight w:val="none"/>
        </w:rPr>
        <w:t xml:space="preserve">第一章  </w:t>
      </w:r>
      <w:bookmarkEnd w:id="0"/>
      <w:r>
        <w:rPr>
          <w:rFonts w:hint="eastAsia" w:ascii="宋体" w:hAnsi="宋体" w:cs="Arial"/>
          <w:highlight w:val="none"/>
        </w:rPr>
        <w:t>招标公告</w:t>
      </w:r>
      <w:bookmarkEnd w:id="6"/>
      <w:bookmarkEnd w:id="7"/>
      <w:bookmarkEnd w:id="8"/>
      <w:bookmarkEnd w:id="9"/>
      <w:bookmarkEnd w:id="10"/>
    </w:p>
    <w:p>
      <w:pPr>
        <w:widowControl/>
        <w:jc w:val="left"/>
        <w:rPr>
          <w:rFonts w:ascii="宋体" w:hAnsi="宋体" w:cs="Arial"/>
          <w:b/>
          <w:bCs/>
          <w:kern w:val="44"/>
          <w:sz w:val="44"/>
          <w:szCs w:val="44"/>
          <w:highlight w:val="none"/>
        </w:rPr>
        <w:sectPr>
          <w:type w:val="nextColumn"/>
          <w:pgSz w:w="11906" w:h="16838"/>
          <w:pgMar w:top="1134" w:right="1797" w:bottom="1134" w:left="1797" w:header="851" w:footer="992" w:gutter="0"/>
          <w:cols w:space="720" w:num="1"/>
          <w:docGrid w:type="linesAndChars" w:linePitch="312" w:charSpace="0"/>
        </w:sectPr>
      </w:pPr>
    </w:p>
    <w:p>
      <w:pPr>
        <w:spacing w:line="360" w:lineRule="auto"/>
        <w:ind w:firstLine="703" w:firstLineChars="250"/>
        <w:jc w:val="center"/>
        <w:rPr>
          <w:rFonts w:ascii="宋体" w:hAnsi="宋体"/>
          <w:szCs w:val="21"/>
          <w:highlight w:val="none"/>
        </w:rPr>
      </w:pPr>
      <w:r>
        <w:rPr>
          <w:rFonts w:hint="eastAsia" w:ascii="宋体" w:hAnsi="宋体"/>
          <w:b/>
          <w:bCs/>
          <w:sz w:val="28"/>
          <w:szCs w:val="28"/>
          <w:highlight w:val="none"/>
        </w:rPr>
        <w:t>招标公告</w:t>
      </w:r>
    </w:p>
    <w:p>
      <w:pPr>
        <w:spacing w:line="360" w:lineRule="auto"/>
        <w:ind w:firstLine="525" w:firstLineChars="250"/>
        <w:rPr>
          <w:rFonts w:ascii="宋体" w:hAnsi="宋体"/>
          <w:szCs w:val="21"/>
          <w:highlight w:val="none"/>
        </w:rPr>
      </w:pPr>
      <w:r>
        <w:rPr>
          <w:rFonts w:hint="eastAsia" w:ascii="宋体" w:hAnsi="宋体"/>
          <w:color w:val="auto"/>
          <w:szCs w:val="21"/>
          <w:highlight w:val="none"/>
        </w:rPr>
        <w:t>佛山市恒益环保建材有限公司根据有关规定</w:t>
      </w:r>
      <w:r>
        <w:rPr>
          <w:rFonts w:hint="eastAsia" w:ascii="宋体" w:hAnsi="宋体"/>
          <w:color w:val="auto"/>
          <w:szCs w:val="21"/>
          <w:highlight w:val="none"/>
          <w:lang w:eastAsia="zh-CN"/>
        </w:rPr>
        <w:t>，</w:t>
      </w:r>
      <w:r>
        <w:rPr>
          <w:rFonts w:hint="eastAsia" w:ascii="宋体" w:hAnsi="宋体"/>
          <w:szCs w:val="21"/>
          <w:highlight w:val="none"/>
        </w:rPr>
        <w:t>对佛山市恒益环保建材有限公司加气砌块生产辅助业务外委采购项目进行公开招标，欢迎符合资格的投标人参加投标。有关招标事项公告如下：</w:t>
      </w:r>
    </w:p>
    <w:p>
      <w:pPr>
        <w:numPr>
          <w:ilvl w:val="0"/>
          <w:numId w:val="2"/>
        </w:numPr>
        <w:adjustRightInd w:val="0"/>
        <w:spacing w:line="360" w:lineRule="auto"/>
        <w:ind w:firstLine="420" w:firstLineChars="200"/>
        <w:rPr>
          <w:rFonts w:ascii="宋体" w:hAnsi="宋体"/>
          <w:szCs w:val="21"/>
          <w:highlight w:val="none"/>
        </w:rPr>
      </w:pPr>
      <w:r>
        <w:rPr>
          <w:rFonts w:hint="eastAsia" w:ascii="宋体" w:hAnsi="宋体"/>
          <w:szCs w:val="21"/>
          <w:highlight w:val="none"/>
        </w:rPr>
        <w:t>项目名称：佛山市恒益环保建材有限公司加气砌块生产辅助业务外委采购项目</w:t>
      </w:r>
    </w:p>
    <w:p>
      <w:pPr>
        <w:tabs>
          <w:tab w:val="left" w:pos="2939"/>
        </w:tabs>
        <w:adjustRightInd w:val="0"/>
        <w:spacing w:line="360" w:lineRule="auto"/>
        <w:ind w:firstLine="420" w:firstLineChars="200"/>
        <w:rPr>
          <w:rFonts w:ascii="宋体" w:hAnsi="宋体"/>
          <w:szCs w:val="21"/>
          <w:highlight w:val="none"/>
        </w:rPr>
      </w:pPr>
      <w:r>
        <w:rPr>
          <w:rFonts w:hint="eastAsia" w:ascii="宋体" w:hAnsi="宋体"/>
          <w:szCs w:val="21"/>
          <w:highlight w:val="none"/>
        </w:rPr>
        <w:t>2、本次招标内容：</w:t>
      </w:r>
      <w:r>
        <w:rPr>
          <w:rFonts w:hint="eastAsia" w:ascii="宋体" w:hAnsi="宋体"/>
          <w:szCs w:val="21"/>
          <w:highlight w:val="none"/>
        </w:rPr>
        <w:tab/>
      </w:r>
    </w:p>
    <w:p>
      <w:pPr>
        <w:spacing w:line="360" w:lineRule="auto"/>
        <w:ind w:firstLine="420" w:firstLineChars="200"/>
        <w:rPr>
          <w:szCs w:val="21"/>
          <w:highlight w:val="none"/>
        </w:rPr>
      </w:pPr>
      <w:r>
        <w:rPr>
          <w:rFonts w:hint="eastAsia" w:ascii="宋体" w:hAnsi="宋体"/>
          <w:highlight w:val="none"/>
        </w:rPr>
        <w:t>2.1服务的范围:</w:t>
      </w:r>
      <w:r>
        <w:rPr>
          <w:rFonts w:hint="eastAsia"/>
          <w:szCs w:val="21"/>
          <w:highlight w:val="none"/>
        </w:rPr>
        <w:t>佛山市恒益</w:t>
      </w:r>
      <w:r>
        <w:rPr>
          <w:rFonts w:hint="eastAsia" w:ascii="宋体" w:hAnsi="宋体"/>
          <w:szCs w:val="21"/>
          <w:highlight w:val="none"/>
        </w:rPr>
        <w:t>环保建材有限公司加气砌块生产辅助业务。详细内容见招标文件第四章《用户需求书》</w:t>
      </w:r>
      <w:r>
        <w:rPr>
          <w:rFonts w:hint="eastAsia" w:ascii="宋体" w:hAnsi="宋体"/>
          <w:highlight w:val="none"/>
        </w:rPr>
        <w:t>。</w:t>
      </w:r>
    </w:p>
    <w:p>
      <w:pPr>
        <w:adjustRightInd w:val="0"/>
        <w:spacing w:line="360" w:lineRule="auto"/>
        <w:ind w:firstLine="420" w:firstLineChars="200"/>
        <w:rPr>
          <w:rFonts w:ascii="宋体" w:hAnsi="宋体"/>
          <w:szCs w:val="21"/>
          <w:highlight w:val="none"/>
        </w:rPr>
      </w:pPr>
      <w:r>
        <w:rPr>
          <w:rFonts w:ascii="宋体" w:hAnsi="宋体"/>
          <w:szCs w:val="21"/>
          <w:highlight w:val="none"/>
        </w:rPr>
        <w:t>2.2资金来源：招标人自筹，已落实。</w:t>
      </w:r>
    </w:p>
    <w:p>
      <w:pPr>
        <w:adjustRightInd w:val="0"/>
        <w:spacing w:line="360" w:lineRule="auto"/>
        <w:ind w:firstLine="420" w:firstLineChars="200"/>
        <w:rPr>
          <w:rFonts w:ascii="宋体" w:hAnsi="宋体"/>
          <w:szCs w:val="21"/>
          <w:highlight w:val="none"/>
        </w:rPr>
      </w:pPr>
      <w:r>
        <w:rPr>
          <w:rFonts w:hint="eastAsia" w:ascii="宋体" w:hAnsi="宋体"/>
          <w:szCs w:val="21"/>
          <w:highlight w:val="none"/>
        </w:rPr>
        <w:t>2.3项目地点：佛山市三水区白坭镇白金大道临江工业城2号。</w:t>
      </w:r>
    </w:p>
    <w:p>
      <w:pPr>
        <w:spacing w:line="360" w:lineRule="auto"/>
        <w:ind w:firstLine="420" w:firstLineChars="200"/>
        <w:rPr>
          <w:szCs w:val="21"/>
          <w:highlight w:val="none"/>
        </w:rPr>
      </w:pPr>
      <w:r>
        <w:rPr>
          <w:rFonts w:hint="eastAsia" w:ascii="宋体" w:hAnsi="宋体"/>
          <w:szCs w:val="21"/>
          <w:highlight w:val="none"/>
        </w:rPr>
        <w:t>2.4提供服务的时间要求：按招标人生产需要提供服务,服务期限2年(2019年12月1日起</w:t>
      </w:r>
      <w:r>
        <w:rPr>
          <w:rFonts w:hint="eastAsia" w:asciiTheme="minorEastAsia" w:hAnsiTheme="minorEastAsia" w:eastAsiaTheme="minorEastAsia"/>
          <w:szCs w:val="21"/>
          <w:highlight w:val="none"/>
        </w:rPr>
        <w:t>至</w:t>
      </w:r>
      <w:r>
        <w:rPr>
          <w:rFonts w:asciiTheme="minorEastAsia" w:hAnsiTheme="minorEastAsia" w:eastAsiaTheme="minorEastAsia"/>
          <w:szCs w:val="21"/>
          <w:highlight w:val="none"/>
        </w:rPr>
        <w:t>202</w:t>
      </w:r>
      <w:r>
        <w:rPr>
          <w:rFonts w:hint="eastAsia" w:asciiTheme="minorEastAsia" w:hAnsiTheme="minorEastAsia" w:eastAsiaTheme="minorEastAsia"/>
          <w:szCs w:val="21"/>
          <w:highlight w:val="none"/>
        </w:rPr>
        <w:t>1</w:t>
      </w:r>
      <w:r>
        <w:rPr>
          <w:rFonts w:asciiTheme="minorEastAsia" w:hAnsiTheme="minorEastAsia" w:eastAsiaTheme="minorEastAsia"/>
          <w:szCs w:val="21"/>
          <w:highlight w:val="none"/>
        </w:rPr>
        <w:t>年11月30日止</w:t>
      </w:r>
      <w:r>
        <w:rPr>
          <w:rFonts w:hint="eastAsia" w:asciiTheme="minorEastAsia" w:hAnsiTheme="minorEastAsia" w:eastAsiaTheme="minorEastAsia"/>
          <w:szCs w:val="21"/>
          <w:highlight w:val="none"/>
        </w:rPr>
        <w:t>)</w:t>
      </w:r>
      <w:r>
        <w:rPr>
          <w:rFonts w:hint="eastAsia" w:ascii="宋体" w:hAnsi="宋体"/>
          <w:szCs w:val="21"/>
          <w:highlight w:val="none"/>
        </w:rPr>
        <w:t>。</w:t>
      </w:r>
    </w:p>
    <w:p>
      <w:pPr>
        <w:adjustRightInd w:val="0"/>
        <w:spacing w:line="360" w:lineRule="auto"/>
        <w:ind w:firstLine="420" w:firstLineChars="200"/>
        <w:rPr>
          <w:rFonts w:ascii="宋体" w:hAnsi="宋体"/>
          <w:szCs w:val="21"/>
          <w:highlight w:val="none"/>
        </w:rPr>
      </w:pPr>
      <w:r>
        <w:rPr>
          <w:rFonts w:hint="eastAsia" w:ascii="宋体" w:hAnsi="宋体"/>
          <w:szCs w:val="21"/>
          <w:highlight w:val="none"/>
        </w:rPr>
        <w:t>3、</w:t>
      </w:r>
      <w:r>
        <w:rPr>
          <w:rFonts w:hint="eastAsia" w:ascii="宋体" w:hAnsi="宋体"/>
          <w:b/>
          <w:bCs/>
          <w:szCs w:val="21"/>
          <w:highlight w:val="none"/>
        </w:rPr>
        <w:t>合格的投标人条件：</w:t>
      </w:r>
    </w:p>
    <w:p>
      <w:pPr>
        <w:adjustRightIn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投标人应同时满足下述条件：</w:t>
      </w:r>
    </w:p>
    <w:p>
      <w:pPr>
        <w:widowControl/>
        <w:spacing w:line="360" w:lineRule="auto"/>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3.1</w:t>
      </w:r>
      <w:r>
        <w:rPr>
          <w:rFonts w:hint="eastAsia" w:ascii="宋体" w:hAnsi="宋体"/>
          <w:szCs w:val="21"/>
          <w:highlight w:val="none"/>
        </w:rPr>
        <w:t>投标人必须是在中华人民共和国范围内注册的独立法人或其他组织。企业法人应持有工商行政管理部门核发的有效营业执照，且持有有效的组织机构代码证和税务登记证（含国税和地税）(若投标人持有工商行政管理部门颁发的“一照一码”版本营业执照，则无需提交组织机构代码证及税务登记证）</w:t>
      </w:r>
      <w:r>
        <w:rPr>
          <w:rFonts w:hint="eastAsia" w:ascii="宋体" w:hAnsi="宋体"/>
          <w:color w:val="auto"/>
          <w:szCs w:val="21"/>
          <w:highlight w:val="none"/>
        </w:rPr>
        <w:t>；事业法人应持有事业单位法人证书</w:t>
      </w:r>
      <w:r>
        <w:rPr>
          <w:rFonts w:hint="eastAsia" w:ascii="宋体" w:hAnsi="宋体"/>
          <w:szCs w:val="21"/>
          <w:highlight w:val="none"/>
        </w:rPr>
        <w:t>。单位负责人为同一人或者存在控股、管理关系的不同单位，不得同时参加本招标项目投标，否则相关投标均无效；前述资料提供复印件。</w:t>
      </w:r>
    </w:p>
    <w:p>
      <w:pPr>
        <w:widowControl/>
        <w:spacing w:line="360" w:lineRule="auto"/>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3.2 按招标文件第六章“投标文件格式2”的内容和格式提供投标人声明。</w:t>
      </w:r>
    </w:p>
    <w:p>
      <w:pPr>
        <w:widowControl/>
        <w:spacing w:line="360" w:lineRule="auto"/>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3.3</w:t>
      </w:r>
      <w:r>
        <w:rPr>
          <w:rFonts w:hint="eastAsia" w:ascii="宋体" w:hAnsi="宋体"/>
          <w:szCs w:val="21"/>
          <w:highlight w:val="none"/>
        </w:rPr>
        <w:t>投标人业绩要求：2016年1月1日至投标文件递交截止日期止须具有至少1个工矿企业生产辅助服务业绩，并且须在投标文件中提供上述项目的服务合同（提供合同关键页复印件，合同关键页应包括封面、签字盖章页及主要内容页，否则视同未提供该业绩，业绩有效时间以合同签订时间为准）</w:t>
      </w:r>
      <w:r>
        <w:rPr>
          <w:rFonts w:hint="eastAsia" w:cs="宋体" w:asciiTheme="minorEastAsia" w:hAnsiTheme="minorEastAsia" w:eastAsiaTheme="minorEastAsia"/>
          <w:kern w:val="0"/>
          <w:szCs w:val="21"/>
          <w:highlight w:val="none"/>
        </w:rPr>
        <w:t>；</w:t>
      </w:r>
    </w:p>
    <w:p>
      <w:pPr>
        <w:widowControl/>
        <w:spacing w:line="360" w:lineRule="auto"/>
        <w:ind w:firstLine="420" w:firstLineChars="200"/>
        <w:jc w:val="left"/>
        <w:rPr>
          <w:rFonts w:ascii="宋体" w:hAnsi="宋体"/>
          <w:szCs w:val="21"/>
          <w:highlight w:val="none"/>
        </w:rPr>
      </w:pPr>
      <w:r>
        <w:rPr>
          <w:rFonts w:hint="eastAsia" w:ascii="宋体" w:hAnsi="宋体" w:cs="宋体"/>
          <w:kern w:val="0"/>
          <w:szCs w:val="21"/>
          <w:highlight w:val="none"/>
        </w:rPr>
        <w:t>3.4投标人拟负责本</w:t>
      </w:r>
      <w:r>
        <w:rPr>
          <w:rFonts w:hint="eastAsia" w:ascii="宋体" w:hAnsi="宋体"/>
          <w:szCs w:val="21"/>
          <w:highlight w:val="none"/>
        </w:rPr>
        <w:t>项目的负责人必须具有“生产经营单位安全生产管理人员安全培训合格证”或“生产经营单位负责人安全培训合格证”或“注册安全工程师证”其中之一；前述证书须提供复印件。</w:t>
      </w:r>
    </w:p>
    <w:p>
      <w:pPr>
        <w:widowControl/>
        <w:spacing w:line="360" w:lineRule="auto"/>
        <w:ind w:firstLine="420" w:firstLineChars="200"/>
        <w:jc w:val="left"/>
        <w:rPr>
          <w:rFonts w:asciiTheme="minorEastAsia" w:hAnsiTheme="minorEastAsia" w:eastAsiaTheme="minorEastAsia"/>
          <w:spacing w:val="-6"/>
          <w:szCs w:val="21"/>
          <w:highlight w:val="none"/>
        </w:rPr>
      </w:pPr>
      <w:r>
        <w:rPr>
          <w:rFonts w:hint="eastAsia" w:asciiTheme="minorEastAsia" w:hAnsiTheme="minorEastAsia" w:eastAsiaTheme="minorEastAsia"/>
          <w:szCs w:val="21"/>
          <w:highlight w:val="none"/>
        </w:rPr>
        <w:t>3.5</w:t>
      </w:r>
      <w:r>
        <w:rPr>
          <w:rFonts w:hint="eastAsia" w:ascii="宋体" w:hAnsi="宋体"/>
          <w:szCs w:val="21"/>
          <w:highlight w:val="none"/>
        </w:rPr>
        <w:t>本项目不接受联合体投标</w:t>
      </w:r>
      <w:r>
        <w:rPr>
          <w:rFonts w:hint="eastAsia" w:asciiTheme="minorEastAsia" w:hAnsiTheme="minorEastAsia" w:eastAsiaTheme="minorEastAsia"/>
          <w:szCs w:val="21"/>
          <w:highlight w:val="none"/>
        </w:rPr>
        <w:t>。</w:t>
      </w:r>
    </w:p>
    <w:p>
      <w:pPr>
        <w:adjustRightInd w:val="0"/>
        <w:spacing w:line="360" w:lineRule="auto"/>
        <w:ind w:firstLine="420" w:firstLineChars="200"/>
        <w:rPr>
          <w:rFonts w:ascii="宋体" w:hAnsi="宋体"/>
          <w:szCs w:val="21"/>
          <w:highlight w:val="none"/>
        </w:rPr>
      </w:pPr>
      <w:r>
        <w:rPr>
          <w:rFonts w:hint="eastAsia" w:ascii="宋体" w:hAnsi="宋体"/>
          <w:szCs w:val="21"/>
          <w:highlight w:val="none"/>
        </w:rPr>
        <w:t>4</w:t>
      </w:r>
      <w:r>
        <w:rPr>
          <w:rFonts w:ascii="宋体" w:hAnsi="宋体"/>
          <w:szCs w:val="21"/>
          <w:highlight w:val="none"/>
        </w:rPr>
        <w:t>、</w:t>
      </w:r>
      <w:r>
        <w:rPr>
          <w:rFonts w:hint="eastAsia" w:ascii="宋体" w:hAnsi="宋体"/>
          <w:szCs w:val="21"/>
          <w:highlight w:val="none"/>
        </w:rPr>
        <w:t>投标</w:t>
      </w:r>
      <w:r>
        <w:rPr>
          <w:rFonts w:ascii="宋体" w:hAnsi="宋体"/>
          <w:szCs w:val="21"/>
          <w:highlight w:val="none"/>
        </w:rPr>
        <w:t>报名登记</w:t>
      </w:r>
      <w:r>
        <w:rPr>
          <w:rFonts w:hint="eastAsia" w:ascii="宋体" w:hAnsi="宋体"/>
          <w:szCs w:val="21"/>
          <w:highlight w:val="none"/>
        </w:rPr>
        <w:t>：</w:t>
      </w:r>
    </w:p>
    <w:p>
      <w:pPr>
        <w:adjustRightInd w:val="0"/>
        <w:spacing w:line="360" w:lineRule="auto"/>
        <w:ind w:firstLine="420" w:firstLineChars="200"/>
        <w:rPr>
          <w:rFonts w:ascii="宋体" w:hAnsi="宋体"/>
          <w:szCs w:val="21"/>
          <w:highlight w:val="none"/>
        </w:rPr>
      </w:pPr>
      <w:r>
        <w:rPr>
          <w:rFonts w:hint="eastAsia" w:ascii="宋体" w:hAnsi="宋体"/>
          <w:szCs w:val="21"/>
          <w:highlight w:val="none"/>
        </w:rPr>
        <w:t>报名时须提交以下资料（以下资料均须加盖投标人公章）:</w:t>
      </w:r>
    </w:p>
    <w:p>
      <w:pPr>
        <w:adjustRightInd w:val="0"/>
        <w:spacing w:line="360" w:lineRule="auto"/>
        <w:ind w:firstLine="420" w:firstLineChars="200"/>
        <w:rPr>
          <w:rFonts w:ascii="宋体" w:hAnsi="宋体"/>
          <w:szCs w:val="21"/>
          <w:highlight w:val="none"/>
        </w:rPr>
      </w:pPr>
      <w:r>
        <w:rPr>
          <w:rFonts w:hint="eastAsia" w:ascii="宋体" w:hAnsi="宋体"/>
          <w:szCs w:val="21"/>
          <w:highlight w:val="none"/>
        </w:rPr>
        <w:t>4.1工商营业执照副本的复印件。</w:t>
      </w:r>
    </w:p>
    <w:p>
      <w:pPr>
        <w:adjustRightInd w:val="0"/>
        <w:spacing w:line="360" w:lineRule="auto"/>
        <w:ind w:firstLine="420" w:firstLineChars="200"/>
        <w:rPr>
          <w:rFonts w:ascii="宋体" w:hAnsi="宋体"/>
          <w:szCs w:val="21"/>
          <w:highlight w:val="none"/>
        </w:rPr>
      </w:pPr>
      <w:r>
        <w:rPr>
          <w:rFonts w:hint="eastAsia" w:ascii="宋体" w:hAnsi="宋体"/>
          <w:szCs w:val="21"/>
          <w:highlight w:val="none"/>
        </w:rPr>
        <w:t>4.2组织机构代码证及国税、地税税务登记证复印件。</w:t>
      </w:r>
      <w:r>
        <w:rPr>
          <w:rFonts w:hint="eastAsia" w:ascii="宋体" w:hAnsi="宋体"/>
          <w:bCs/>
          <w:szCs w:val="21"/>
          <w:highlight w:val="none"/>
        </w:rPr>
        <w:t>若投标人持有工商行政管理部门颁发的“一照一码”版本营业执照，则无需提交组织机构代码证及税务登记证</w:t>
      </w:r>
      <w:r>
        <w:rPr>
          <w:rFonts w:hint="eastAsia" w:ascii="宋体" w:hAnsi="宋体"/>
          <w:szCs w:val="21"/>
          <w:highlight w:val="none"/>
        </w:rPr>
        <w:t>。</w:t>
      </w:r>
    </w:p>
    <w:p>
      <w:pPr>
        <w:adjustRightInd w:val="0"/>
        <w:spacing w:line="360" w:lineRule="auto"/>
        <w:ind w:firstLine="420" w:firstLineChars="200"/>
        <w:jc w:val="left"/>
        <w:rPr>
          <w:rFonts w:ascii="宋体" w:hAnsi="宋体"/>
          <w:szCs w:val="21"/>
          <w:highlight w:val="none"/>
        </w:rPr>
      </w:pPr>
      <w:r>
        <w:rPr>
          <w:rFonts w:hint="eastAsia" w:ascii="宋体" w:hAnsi="宋体"/>
          <w:szCs w:val="21"/>
          <w:highlight w:val="none"/>
        </w:rPr>
        <w:t>4.3</w:t>
      </w:r>
      <w:r>
        <w:rPr>
          <w:rFonts w:hint="eastAsia" w:ascii="宋体" w:hAnsi="宋体"/>
          <w:bCs/>
          <w:szCs w:val="21"/>
          <w:highlight w:val="none"/>
        </w:rPr>
        <w:t>法定代表人证明书原件及法定代表人身份证复印件；非法定代表人前来购买的，提供法定代表人授权委托书原件及授权代表身份证复印件</w:t>
      </w:r>
      <w:r>
        <w:rPr>
          <w:rFonts w:hint="eastAsia" w:ascii="宋体" w:hAnsi="宋体"/>
          <w:szCs w:val="21"/>
          <w:highlight w:val="none"/>
        </w:rPr>
        <w:t>。</w:t>
      </w:r>
    </w:p>
    <w:p>
      <w:pPr>
        <w:adjustRightInd w:val="0"/>
        <w:spacing w:line="360" w:lineRule="auto"/>
        <w:ind w:firstLine="422" w:firstLineChars="200"/>
        <w:jc w:val="left"/>
        <w:rPr>
          <w:rFonts w:ascii="宋体" w:hAnsi="宋体"/>
          <w:b/>
          <w:bCs/>
          <w:szCs w:val="21"/>
          <w:highlight w:val="none"/>
        </w:rPr>
      </w:pPr>
      <w:r>
        <w:rPr>
          <w:rFonts w:hint="eastAsia" w:ascii="宋体" w:hAnsi="宋体"/>
          <w:b/>
          <w:bCs/>
          <w:szCs w:val="21"/>
          <w:highlight w:val="none"/>
        </w:rPr>
        <w:t>备注：招标代理机构对投标人提交的报名资料核对，不代表其投标资格的确认。投标人的投标资格最终以评标委员会根据其投标文件中提交的相关资料作出的评审结论为准。</w:t>
      </w:r>
    </w:p>
    <w:p>
      <w:pPr>
        <w:numPr>
          <w:ilvl w:val="0"/>
          <w:numId w:val="3"/>
        </w:numPr>
        <w:adjustRightInd w:val="0"/>
        <w:spacing w:line="360" w:lineRule="auto"/>
        <w:ind w:firstLine="420" w:firstLineChars="200"/>
        <w:rPr>
          <w:rFonts w:ascii="宋体" w:hAnsi="宋体"/>
          <w:szCs w:val="21"/>
          <w:highlight w:val="none"/>
        </w:rPr>
      </w:pPr>
      <w:r>
        <w:rPr>
          <w:rFonts w:hint="eastAsia" w:ascii="宋体" w:hAnsi="宋体"/>
          <w:szCs w:val="21"/>
          <w:highlight w:val="none"/>
        </w:rPr>
        <w:t>招标文件的获取：</w:t>
      </w:r>
    </w:p>
    <w:p>
      <w:pPr>
        <w:adjustRightInd w:val="0"/>
        <w:spacing w:line="360" w:lineRule="auto"/>
        <w:ind w:firstLine="420" w:firstLineChars="200"/>
        <w:rPr>
          <w:rFonts w:ascii="宋体" w:hAnsi="宋体"/>
          <w:szCs w:val="21"/>
          <w:highlight w:val="none"/>
        </w:rPr>
      </w:pPr>
      <w:r>
        <w:rPr>
          <w:rFonts w:ascii="宋体" w:hAnsi="宋体"/>
          <w:szCs w:val="21"/>
          <w:highlight w:val="none"/>
        </w:rPr>
        <w:t>5.1</w:t>
      </w:r>
      <w:r>
        <w:rPr>
          <w:rFonts w:hint="eastAsia" w:ascii="宋体" w:hAnsi="宋体"/>
          <w:szCs w:val="21"/>
          <w:highlight w:val="none"/>
        </w:rPr>
        <w:t>投标人应持上述资料于</w:t>
      </w:r>
      <w:r>
        <w:rPr>
          <w:rFonts w:ascii="宋体" w:hAnsi="宋体"/>
          <w:szCs w:val="21"/>
          <w:highlight w:val="none"/>
        </w:rPr>
        <w:t>：201</w:t>
      </w:r>
      <w:r>
        <w:rPr>
          <w:rFonts w:hint="eastAsia" w:ascii="宋体" w:hAnsi="宋体"/>
          <w:szCs w:val="21"/>
          <w:highlight w:val="none"/>
        </w:rPr>
        <w:t>9年</w:t>
      </w:r>
      <w:r>
        <w:rPr>
          <w:rFonts w:hint="eastAsia" w:ascii="宋体" w:hAnsi="宋体"/>
          <w:szCs w:val="21"/>
          <w:highlight w:val="none"/>
          <w:lang w:val="en-US" w:eastAsia="zh-CN"/>
        </w:rPr>
        <w:t>10</w:t>
      </w:r>
      <w:r>
        <w:rPr>
          <w:rFonts w:hint="eastAsia" w:ascii="宋体" w:hAnsi="宋体"/>
          <w:szCs w:val="21"/>
          <w:highlight w:val="none"/>
        </w:rPr>
        <w:t>月</w:t>
      </w:r>
      <w:r>
        <w:rPr>
          <w:rFonts w:hint="eastAsia" w:ascii="宋体" w:hAnsi="宋体"/>
          <w:szCs w:val="21"/>
          <w:highlight w:val="none"/>
          <w:lang w:val="en-US" w:eastAsia="zh-CN"/>
        </w:rPr>
        <w:t>15</w:t>
      </w:r>
      <w:r>
        <w:rPr>
          <w:rFonts w:hint="eastAsia" w:ascii="宋体" w:hAnsi="宋体"/>
          <w:szCs w:val="21"/>
          <w:highlight w:val="none"/>
        </w:rPr>
        <w:t>日至</w:t>
      </w:r>
      <w:r>
        <w:rPr>
          <w:rFonts w:ascii="宋体" w:hAnsi="宋体"/>
          <w:szCs w:val="21"/>
          <w:highlight w:val="none"/>
        </w:rPr>
        <w:t>201</w:t>
      </w:r>
      <w:r>
        <w:rPr>
          <w:rFonts w:hint="eastAsia" w:ascii="宋体" w:hAnsi="宋体"/>
          <w:szCs w:val="21"/>
          <w:highlight w:val="none"/>
        </w:rPr>
        <w:t>9年</w:t>
      </w:r>
      <w:r>
        <w:rPr>
          <w:rFonts w:hint="eastAsia" w:ascii="宋体" w:hAnsi="宋体"/>
          <w:szCs w:val="21"/>
          <w:highlight w:val="none"/>
          <w:lang w:val="en-US" w:eastAsia="zh-CN"/>
        </w:rPr>
        <w:t>10</w:t>
      </w:r>
      <w:r>
        <w:rPr>
          <w:rFonts w:hint="eastAsia" w:ascii="宋体" w:hAnsi="宋体"/>
          <w:szCs w:val="21"/>
          <w:highlight w:val="none"/>
        </w:rPr>
        <w:t>月</w:t>
      </w:r>
      <w:r>
        <w:rPr>
          <w:rFonts w:hint="eastAsia" w:ascii="宋体" w:hAnsi="宋体"/>
          <w:szCs w:val="21"/>
          <w:highlight w:val="none"/>
          <w:lang w:val="en-US" w:eastAsia="zh-CN"/>
        </w:rPr>
        <w:t>29</w:t>
      </w:r>
      <w:r>
        <w:rPr>
          <w:rFonts w:hint="eastAsia" w:ascii="宋体" w:hAnsi="宋体"/>
          <w:szCs w:val="21"/>
          <w:highlight w:val="none"/>
        </w:rPr>
        <w:t>日（</w:t>
      </w:r>
      <w:r>
        <w:rPr>
          <w:rFonts w:ascii="宋体" w:hAnsi="宋体"/>
          <w:szCs w:val="21"/>
          <w:highlight w:val="none"/>
        </w:rPr>
        <w:t>9:00－12:00</w:t>
      </w:r>
      <w:r>
        <w:rPr>
          <w:rFonts w:hint="eastAsia" w:ascii="宋体" w:hAnsi="宋体"/>
          <w:szCs w:val="21"/>
          <w:highlight w:val="none"/>
        </w:rPr>
        <w:t>，下午2:00－5:30，法定节假日及工休时间除外）报名，购买招标文件。</w:t>
      </w:r>
    </w:p>
    <w:p>
      <w:pPr>
        <w:adjustRightInd w:val="0"/>
        <w:spacing w:line="360" w:lineRule="auto"/>
        <w:ind w:firstLine="420" w:firstLineChars="200"/>
        <w:jc w:val="left"/>
        <w:rPr>
          <w:rFonts w:ascii="宋体" w:hAnsi="宋体"/>
          <w:szCs w:val="21"/>
          <w:highlight w:val="none"/>
        </w:rPr>
      </w:pPr>
      <w:r>
        <w:rPr>
          <w:rFonts w:hint="eastAsia" w:ascii="宋体" w:hAnsi="宋体"/>
          <w:szCs w:val="21"/>
          <w:highlight w:val="none"/>
        </w:rPr>
        <w:t>5.2发售地点：</w:t>
      </w:r>
      <w:r>
        <w:rPr>
          <w:rFonts w:hint="eastAsia" w:cs="宋体"/>
          <w:bCs/>
          <w:szCs w:val="21"/>
          <w:highlight w:val="none"/>
        </w:rPr>
        <w:t>佛山市禅城区文华北路223号文华荟产业园1号楼5层527号广东中采招标有限公司</w:t>
      </w:r>
      <w:r>
        <w:rPr>
          <w:rFonts w:hint="eastAsia" w:ascii="宋体" w:hAnsi="宋体" w:cs="宋体"/>
          <w:b/>
          <w:bCs/>
          <w:kern w:val="0"/>
          <w:szCs w:val="21"/>
          <w:highlight w:val="none"/>
        </w:rPr>
        <w:t>或可进行网上报名（具体请联系采购代理机构0757-81993027）。</w:t>
      </w:r>
    </w:p>
    <w:p>
      <w:pPr>
        <w:adjustRightInd w:val="0"/>
        <w:spacing w:line="360" w:lineRule="auto"/>
        <w:ind w:firstLine="420" w:firstLineChars="200"/>
        <w:jc w:val="left"/>
        <w:rPr>
          <w:rFonts w:ascii="宋体" w:hAnsi="宋体"/>
          <w:szCs w:val="21"/>
          <w:highlight w:val="none"/>
        </w:rPr>
      </w:pPr>
      <w:r>
        <w:rPr>
          <w:rFonts w:hint="eastAsia" w:ascii="宋体" w:hAnsi="宋体"/>
          <w:szCs w:val="21"/>
          <w:highlight w:val="none"/>
        </w:rPr>
        <w:t>5.3文件售价：人民币500元/套，售后不退。</w:t>
      </w:r>
    </w:p>
    <w:p>
      <w:pPr>
        <w:adjustRightInd w:val="0"/>
        <w:spacing w:line="360" w:lineRule="auto"/>
        <w:ind w:firstLine="420" w:firstLineChars="200"/>
        <w:jc w:val="left"/>
        <w:rPr>
          <w:rFonts w:ascii="宋体" w:hAnsi="宋体"/>
          <w:szCs w:val="21"/>
          <w:highlight w:val="none"/>
        </w:rPr>
      </w:pPr>
      <w:r>
        <w:rPr>
          <w:rFonts w:hint="eastAsia" w:ascii="宋体" w:hAnsi="宋体"/>
          <w:szCs w:val="21"/>
          <w:highlight w:val="none"/>
        </w:rPr>
        <w:t>6、本项目投标保证金为人民币</w:t>
      </w:r>
      <w:r>
        <w:rPr>
          <w:rFonts w:hint="eastAsia" w:ascii="宋体" w:hAnsi="宋体"/>
          <w:szCs w:val="21"/>
          <w:highlight w:val="none"/>
          <w:u w:val="single"/>
        </w:rPr>
        <w:t>10万</w:t>
      </w:r>
      <w:r>
        <w:rPr>
          <w:rFonts w:hint="eastAsia" w:ascii="宋体" w:hAnsi="宋体"/>
          <w:szCs w:val="21"/>
          <w:highlight w:val="none"/>
        </w:rPr>
        <w:t>元（壹拾万元整），投标保证金必须在</w:t>
      </w:r>
      <w:r>
        <w:rPr>
          <w:rFonts w:hint="eastAsia" w:ascii="仿宋_GB2312" w:hAnsi="宋体" w:cs="Arial"/>
          <w:szCs w:val="21"/>
          <w:highlight w:val="none"/>
        </w:rPr>
        <w:t>投标截止日前以电汇方式存入招标人规定账</w:t>
      </w:r>
      <w:r>
        <w:rPr>
          <w:rFonts w:hint="eastAsia" w:ascii="宋体" w:hAnsi="宋体"/>
          <w:bCs/>
          <w:szCs w:val="21"/>
          <w:highlight w:val="none"/>
        </w:rPr>
        <w:t>户，投标保证金必须以投标人的名义转账，否则将被视为非响应性投标予以拒绝。</w:t>
      </w:r>
    </w:p>
    <w:p>
      <w:pPr>
        <w:adjustRightInd w:val="0"/>
        <w:spacing w:line="360" w:lineRule="auto"/>
        <w:ind w:firstLine="420" w:firstLineChars="200"/>
        <w:jc w:val="left"/>
        <w:rPr>
          <w:rFonts w:ascii="宋体" w:hAnsi="宋体"/>
          <w:szCs w:val="21"/>
          <w:highlight w:val="none"/>
        </w:rPr>
      </w:pPr>
      <w:r>
        <w:rPr>
          <w:rFonts w:hint="eastAsia" w:ascii="宋体" w:hAnsi="宋体"/>
          <w:szCs w:val="21"/>
          <w:highlight w:val="none"/>
        </w:rPr>
        <w:t>7、投标文件递交及开标事宜：</w:t>
      </w:r>
    </w:p>
    <w:p>
      <w:pPr>
        <w:adjustRightInd w:val="0"/>
        <w:spacing w:line="360" w:lineRule="auto"/>
        <w:ind w:firstLine="420" w:firstLineChars="200"/>
        <w:jc w:val="left"/>
        <w:rPr>
          <w:rFonts w:ascii="宋体" w:hAnsi="宋体"/>
          <w:szCs w:val="21"/>
          <w:highlight w:val="none"/>
        </w:rPr>
      </w:pPr>
      <w:r>
        <w:rPr>
          <w:rFonts w:hint="eastAsia" w:ascii="宋体" w:hAnsi="宋体"/>
          <w:szCs w:val="21"/>
          <w:highlight w:val="none"/>
        </w:rPr>
        <w:t>7.1</w:t>
      </w:r>
      <w:r>
        <w:rPr>
          <w:rFonts w:ascii="宋体" w:hAnsi="宋体"/>
          <w:szCs w:val="21"/>
          <w:highlight w:val="none"/>
        </w:rPr>
        <w:t>递交投标文件时间：201</w:t>
      </w:r>
      <w:r>
        <w:rPr>
          <w:rFonts w:hint="eastAsia" w:ascii="宋体" w:hAnsi="宋体"/>
          <w:szCs w:val="21"/>
          <w:highlight w:val="none"/>
        </w:rPr>
        <w:t>9年</w:t>
      </w:r>
      <w:r>
        <w:rPr>
          <w:rFonts w:hint="eastAsia" w:ascii="宋体" w:hAnsi="宋体"/>
          <w:szCs w:val="21"/>
          <w:highlight w:val="none"/>
          <w:lang w:val="en-US" w:eastAsia="zh-CN"/>
        </w:rPr>
        <w:t>11</w:t>
      </w:r>
      <w:r>
        <w:rPr>
          <w:rFonts w:hint="eastAsia" w:ascii="宋体" w:hAnsi="宋体"/>
          <w:szCs w:val="21"/>
          <w:highlight w:val="none"/>
        </w:rPr>
        <w:t>月</w:t>
      </w:r>
      <w:r>
        <w:rPr>
          <w:rFonts w:hint="eastAsia" w:ascii="宋体" w:hAnsi="宋体"/>
          <w:szCs w:val="21"/>
          <w:highlight w:val="none"/>
          <w:lang w:val="en-US" w:eastAsia="zh-CN"/>
        </w:rPr>
        <w:t>5</w:t>
      </w:r>
      <w:r>
        <w:rPr>
          <w:rFonts w:hint="eastAsia" w:ascii="宋体" w:hAnsi="宋体"/>
          <w:szCs w:val="21"/>
          <w:highlight w:val="none"/>
        </w:rPr>
        <w:t>日</w:t>
      </w:r>
      <w:r>
        <w:rPr>
          <w:rFonts w:ascii="宋体" w:hAnsi="宋体"/>
          <w:szCs w:val="21"/>
          <w:highlight w:val="none"/>
        </w:rPr>
        <w:t>9时00分至9时30分止（北京时间）。</w:t>
      </w:r>
    </w:p>
    <w:p>
      <w:pPr>
        <w:adjustRightInd w:val="0"/>
        <w:spacing w:line="360" w:lineRule="auto"/>
        <w:ind w:firstLine="420" w:firstLineChars="200"/>
        <w:jc w:val="left"/>
        <w:rPr>
          <w:rFonts w:ascii="宋体" w:hAnsi="宋体"/>
          <w:szCs w:val="21"/>
          <w:highlight w:val="none"/>
        </w:rPr>
      </w:pPr>
      <w:r>
        <w:rPr>
          <w:rFonts w:hint="eastAsia" w:ascii="宋体" w:hAnsi="宋体"/>
          <w:szCs w:val="21"/>
          <w:highlight w:val="none"/>
        </w:rPr>
        <w:t>7.2投标截止时间及开标时间：</w:t>
      </w:r>
      <w:r>
        <w:rPr>
          <w:rFonts w:ascii="宋体" w:hAnsi="宋体"/>
          <w:szCs w:val="21"/>
          <w:highlight w:val="none"/>
        </w:rPr>
        <w:t>201</w:t>
      </w:r>
      <w:r>
        <w:rPr>
          <w:rFonts w:hint="eastAsia" w:ascii="宋体" w:hAnsi="宋体"/>
          <w:szCs w:val="21"/>
          <w:highlight w:val="none"/>
        </w:rPr>
        <w:t>9年</w:t>
      </w:r>
      <w:r>
        <w:rPr>
          <w:rFonts w:hint="eastAsia" w:ascii="宋体" w:hAnsi="宋体"/>
          <w:szCs w:val="21"/>
          <w:highlight w:val="none"/>
          <w:lang w:val="en-US" w:eastAsia="zh-CN"/>
        </w:rPr>
        <w:t>11</w:t>
      </w:r>
      <w:r>
        <w:rPr>
          <w:rFonts w:hint="eastAsia" w:ascii="宋体" w:hAnsi="宋体"/>
          <w:szCs w:val="21"/>
          <w:highlight w:val="none"/>
        </w:rPr>
        <w:t>月</w:t>
      </w:r>
      <w:r>
        <w:rPr>
          <w:rFonts w:hint="eastAsia" w:ascii="宋体" w:hAnsi="宋体"/>
          <w:szCs w:val="21"/>
          <w:highlight w:val="none"/>
          <w:lang w:val="en-US" w:eastAsia="zh-CN"/>
        </w:rPr>
        <w:t>5</w:t>
      </w:r>
      <w:r>
        <w:rPr>
          <w:rFonts w:hint="eastAsia" w:ascii="宋体" w:hAnsi="宋体"/>
          <w:szCs w:val="21"/>
          <w:highlight w:val="none"/>
        </w:rPr>
        <w:t>日</w:t>
      </w:r>
      <w:r>
        <w:rPr>
          <w:rFonts w:ascii="宋体" w:hAnsi="宋体"/>
          <w:szCs w:val="21"/>
          <w:highlight w:val="none"/>
        </w:rPr>
        <w:t>9时30分（北京时间）。</w:t>
      </w:r>
    </w:p>
    <w:p>
      <w:pPr>
        <w:adjustRightInd w:val="0"/>
        <w:spacing w:line="360" w:lineRule="auto"/>
        <w:ind w:firstLine="420" w:firstLineChars="200"/>
        <w:jc w:val="left"/>
        <w:rPr>
          <w:rFonts w:ascii="宋体" w:hAnsi="宋体"/>
          <w:szCs w:val="21"/>
          <w:highlight w:val="none"/>
        </w:rPr>
      </w:pPr>
      <w:r>
        <w:rPr>
          <w:rFonts w:hint="eastAsia" w:ascii="宋体" w:hAnsi="宋体"/>
          <w:szCs w:val="21"/>
          <w:highlight w:val="none"/>
        </w:rPr>
        <w:t>7.3</w:t>
      </w:r>
      <w:r>
        <w:rPr>
          <w:rFonts w:ascii="宋体" w:hAnsi="宋体"/>
          <w:szCs w:val="21"/>
          <w:highlight w:val="none"/>
        </w:rPr>
        <w:t>投标文件</w:t>
      </w:r>
      <w:r>
        <w:rPr>
          <w:rFonts w:hint="eastAsia" w:ascii="宋体" w:hAnsi="宋体"/>
          <w:szCs w:val="21"/>
          <w:highlight w:val="none"/>
        </w:rPr>
        <w:t>递交及开标地点</w:t>
      </w:r>
      <w:r>
        <w:rPr>
          <w:rFonts w:ascii="宋体" w:hAnsi="宋体"/>
          <w:szCs w:val="21"/>
          <w:highlight w:val="none"/>
        </w:rPr>
        <w:t>：</w:t>
      </w:r>
      <w:r>
        <w:rPr>
          <w:rFonts w:hint="eastAsia" w:cs="宋体"/>
          <w:bCs/>
          <w:szCs w:val="21"/>
          <w:highlight w:val="none"/>
        </w:rPr>
        <w:t>佛山市禅城区文华北路223号文华荟产业园1号楼5层527号广东中采招标有限公司会议室</w:t>
      </w:r>
    </w:p>
    <w:p>
      <w:pPr>
        <w:adjustRightInd w:val="0"/>
        <w:spacing w:line="360" w:lineRule="auto"/>
        <w:ind w:firstLine="420" w:firstLineChars="200"/>
        <w:jc w:val="left"/>
        <w:rPr>
          <w:rFonts w:cs="宋体"/>
          <w:bCs/>
          <w:szCs w:val="21"/>
          <w:highlight w:val="none"/>
        </w:rPr>
      </w:pPr>
      <w:r>
        <w:rPr>
          <w:rFonts w:hint="eastAsia" w:ascii="宋体" w:hAnsi="宋体"/>
          <w:szCs w:val="21"/>
          <w:highlight w:val="none"/>
        </w:rPr>
        <w:t>8、资格审查</w:t>
      </w:r>
      <w:r>
        <w:rPr>
          <w:rFonts w:hint="eastAsia" w:cs="宋体"/>
          <w:bCs/>
          <w:szCs w:val="21"/>
          <w:highlight w:val="none"/>
        </w:rPr>
        <w:t>：</w:t>
      </w:r>
    </w:p>
    <w:p>
      <w:pPr>
        <w:adjustRightInd w:val="0"/>
        <w:spacing w:line="360" w:lineRule="auto"/>
        <w:ind w:firstLine="420" w:firstLineChars="200"/>
        <w:jc w:val="left"/>
        <w:rPr>
          <w:rFonts w:ascii="宋体" w:hAnsi="宋体"/>
          <w:szCs w:val="21"/>
          <w:highlight w:val="none"/>
        </w:rPr>
      </w:pPr>
      <w:r>
        <w:rPr>
          <w:rFonts w:hint="eastAsia" w:ascii="宋体" w:hAnsi="宋体"/>
          <w:szCs w:val="21"/>
          <w:highlight w:val="none"/>
        </w:rPr>
        <w:t>8</w:t>
      </w:r>
      <w:r>
        <w:rPr>
          <w:rFonts w:ascii="宋体" w:hAnsi="宋体"/>
          <w:szCs w:val="21"/>
          <w:highlight w:val="none"/>
        </w:rPr>
        <w:t>.</w:t>
      </w:r>
      <w:r>
        <w:rPr>
          <w:rFonts w:hint="eastAsia" w:ascii="宋体" w:hAnsi="宋体"/>
          <w:szCs w:val="21"/>
          <w:highlight w:val="none"/>
        </w:rPr>
        <w:t>1</w:t>
      </w:r>
      <w:r>
        <w:rPr>
          <w:rFonts w:ascii="宋体" w:hAnsi="宋体"/>
          <w:szCs w:val="21"/>
          <w:highlight w:val="none"/>
        </w:rPr>
        <w:t>本次招标采用资格后审。</w:t>
      </w:r>
    </w:p>
    <w:p>
      <w:pPr>
        <w:adjustRightInd w:val="0"/>
        <w:spacing w:line="360" w:lineRule="auto"/>
        <w:ind w:firstLine="420" w:firstLineChars="200"/>
        <w:jc w:val="left"/>
        <w:rPr>
          <w:rFonts w:ascii="宋体" w:hAnsi="宋体"/>
          <w:szCs w:val="21"/>
          <w:highlight w:val="none"/>
        </w:rPr>
      </w:pPr>
      <w:r>
        <w:rPr>
          <w:rFonts w:hint="eastAsia" w:ascii="宋体" w:hAnsi="宋体"/>
          <w:szCs w:val="21"/>
          <w:highlight w:val="none"/>
        </w:rPr>
        <w:t>8</w:t>
      </w:r>
      <w:r>
        <w:rPr>
          <w:rFonts w:ascii="宋体" w:hAnsi="宋体"/>
          <w:szCs w:val="21"/>
          <w:highlight w:val="none"/>
        </w:rPr>
        <w:t>.</w:t>
      </w:r>
      <w:r>
        <w:rPr>
          <w:rFonts w:hint="eastAsia" w:ascii="宋体" w:hAnsi="宋体"/>
          <w:szCs w:val="21"/>
          <w:highlight w:val="none"/>
        </w:rPr>
        <w:t>2</w:t>
      </w:r>
      <w:r>
        <w:rPr>
          <w:rFonts w:ascii="宋体" w:hAnsi="宋体"/>
          <w:szCs w:val="21"/>
          <w:highlight w:val="none"/>
        </w:rPr>
        <w:t>满足资格审查合格条件的投标申请人多于等于</w:t>
      </w:r>
      <w:r>
        <w:rPr>
          <w:rFonts w:ascii="宋体" w:hAnsi="宋体"/>
          <w:szCs w:val="21"/>
          <w:highlight w:val="none"/>
          <w:u w:val="single"/>
        </w:rPr>
        <w:t>3名时</w:t>
      </w:r>
      <w:r>
        <w:rPr>
          <w:rFonts w:ascii="宋体" w:hAnsi="宋体"/>
          <w:szCs w:val="21"/>
          <w:highlight w:val="none"/>
        </w:rPr>
        <w:t>，取全部满足资格审查合格条件的投标申请人为正式投标人。</w:t>
      </w:r>
    </w:p>
    <w:p>
      <w:pPr>
        <w:adjustRightInd w:val="0"/>
        <w:spacing w:line="360" w:lineRule="auto"/>
        <w:ind w:firstLine="420" w:firstLineChars="200"/>
        <w:rPr>
          <w:rFonts w:ascii="宋体" w:hAnsi="宋体"/>
          <w:szCs w:val="21"/>
          <w:highlight w:val="none"/>
        </w:rPr>
      </w:pPr>
      <w:r>
        <w:rPr>
          <w:rFonts w:hint="eastAsia" w:ascii="宋体" w:hAnsi="宋体"/>
          <w:szCs w:val="21"/>
          <w:highlight w:val="none"/>
        </w:rPr>
        <w:t>8</w:t>
      </w:r>
      <w:r>
        <w:rPr>
          <w:rFonts w:ascii="宋体" w:hAnsi="宋体"/>
          <w:szCs w:val="21"/>
          <w:highlight w:val="none"/>
        </w:rPr>
        <w:t>.</w:t>
      </w:r>
      <w:r>
        <w:rPr>
          <w:rFonts w:hint="eastAsia" w:ascii="宋体" w:hAnsi="宋体"/>
          <w:szCs w:val="21"/>
          <w:highlight w:val="none"/>
        </w:rPr>
        <w:t>3</w:t>
      </w:r>
      <w:r>
        <w:rPr>
          <w:rFonts w:ascii="宋体" w:hAnsi="宋体"/>
          <w:szCs w:val="21"/>
          <w:highlight w:val="none"/>
        </w:rPr>
        <w:t>满足资格审查合格条件的投标申请人</w:t>
      </w:r>
      <w:r>
        <w:rPr>
          <w:rFonts w:ascii="宋体" w:hAnsi="宋体"/>
          <w:szCs w:val="21"/>
          <w:highlight w:val="none"/>
          <w:u w:val="single"/>
        </w:rPr>
        <w:t>不足3名</w:t>
      </w:r>
      <w:r>
        <w:rPr>
          <w:rFonts w:ascii="宋体" w:hAnsi="宋体"/>
          <w:szCs w:val="21"/>
          <w:highlight w:val="none"/>
        </w:rPr>
        <w:t>时为招标失败。招标人分析招标失败原因，修正招标方案，报有关管理部门核准后，重新组织招标。</w:t>
      </w:r>
    </w:p>
    <w:p>
      <w:pPr>
        <w:adjustRightInd w:val="0"/>
        <w:spacing w:line="360" w:lineRule="auto"/>
        <w:ind w:firstLine="420" w:firstLineChars="200"/>
        <w:jc w:val="left"/>
        <w:rPr>
          <w:rFonts w:ascii="宋体" w:hAnsi="宋体"/>
          <w:szCs w:val="21"/>
          <w:highlight w:val="none"/>
        </w:rPr>
      </w:pPr>
      <w:r>
        <w:rPr>
          <w:rFonts w:hint="eastAsia" w:ascii="宋体" w:hAnsi="宋体"/>
          <w:szCs w:val="21"/>
          <w:highlight w:val="none"/>
        </w:rPr>
        <w:t>9、招标信息公告网址：佛山市公共资源交易网（http://www.fsggzy.cn/）</w:t>
      </w:r>
    </w:p>
    <w:p>
      <w:pPr>
        <w:adjustRightInd w:val="0"/>
        <w:spacing w:line="360" w:lineRule="auto"/>
        <w:ind w:firstLine="2730" w:firstLineChars="1300"/>
        <w:jc w:val="left"/>
        <w:rPr>
          <w:rFonts w:ascii="宋体" w:hAnsi="宋体"/>
          <w:szCs w:val="21"/>
          <w:highlight w:val="none"/>
        </w:rPr>
      </w:pPr>
      <w:r>
        <w:rPr>
          <w:rFonts w:hint="eastAsia" w:ascii="宋体" w:hAnsi="宋体"/>
          <w:szCs w:val="21"/>
          <w:highlight w:val="none"/>
        </w:rPr>
        <w:t>中国采购与招标网（https://www.chinabidding.com.cn/index.html）</w:t>
      </w:r>
    </w:p>
    <w:p>
      <w:pPr>
        <w:adjustRightInd w:val="0"/>
        <w:spacing w:line="360" w:lineRule="auto"/>
        <w:ind w:firstLine="2730" w:firstLineChars="1300"/>
        <w:jc w:val="left"/>
        <w:rPr>
          <w:rFonts w:ascii="宋体" w:hAnsi="宋体"/>
          <w:szCs w:val="21"/>
          <w:highlight w:val="none"/>
        </w:rPr>
      </w:pPr>
      <w:r>
        <w:rPr>
          <w:rFonts w:hint="eastAsia" w:ascii="宋体" w:hAnsi="宋体"/>
          <w:szCs w:val="21"/>
          <w:highlight w:val="none"/>
        </w:rPr>
        <w:t>招标代理机构网站（http://www.gdzczb.com/）</w:t>
      </w:r>
    </w:p>
    <w:p>
      <w:pPr>
        <w:adjustRightInd w:val="0"/>
        <w:spacing w:line="360" w:lineRule="auto"/>
        <w:ind w:firstLine="2730" w:firstLineChars="1300"/>
        <w:jc w:val="left"/>
        <w:rPr>
          <w:rFonts w:ascii="宋体" w:hAnsi="宋体"/>
          <w:szCs w:val="21"/>
          <w:highlight w:val="none"/>
        </w:rPr>
      </w:pPr>
      <w:r>
        <w:rPr>
          <w:rFonts w:hint="eastAsia" w:ascii="宋体" w:hAnsi="宋体"/>
          <w:szCs w:val="21"/>
          <w:highlight w:val="none"/>
        </w:rPr>
        <w:t>广州发展电子采购平台（</w:t>
      </w:r>
      <w:r>
        <w:rPr>
          <w:rFonts w:ascii="宋体" w:hAnsi="宋体"/>
          <w:szCs w:val="21"/>
          <w:highlight w:val="none"/>
        </w:rPr>
        <w:t>https://eps.gdg.com.cn/</w:t>
      </w:r>
      <w:r>
        <w:rPr>
          <w:rFonts w:hint="eastAsia" w:ascii="宋体" w:hAnsi="宋体"/>
          <w:szCs w:val="21"/>
          <w:highlight w:val="none"/>
        </w:rPr>
        <w:t xml:space="preserve">）  </w:t>
      </w:r>
    </w:p>
    <w:p>
      <w:pPr>
        <w:adjustRightInd w:val="0"/>
        <w:spacing w:line="360" w:lineRule="auto"/>
        <w:ind w:firstLine="420" w:firstLineChars="200"/>
        <w:jc w:val="left"/>
        <w:rPr>
          <w:rFonts w:ascii="宋体" w:hAnsi="宋体"/>
          <w:szCs w:val="21"/>
          <w:highlight w:val="none"/>
        </w:rPr>
      </w:pPr>
      <w:r>
        <w:rPr>
          <w:rFonts w:hint="eastAsia" w:ascii="宋体" w:hAnsi="宋体"/>
          <w:szCs w:val="21"/>
          <w:highlight w:val="none"/>
        </w:rPr>
        <w:t>10、联系方式</w:t>
      </w:r>
    </w:p>
    <w:p>
      <w:pPr>
        <w:adjustRightInd w:val="0"/>
        <w:spacing w:line="360" w:lineRule="auto"/>
        <w:ind w:firstLine="420" w:firstLineChars="200"/>
        <w:jc w:val="left"/>
        <w:rPr>
          <w:rFonts w:ascii="宋体" w:hAnsi="宋体"/>
          <w:szCs w:val="21"/>
          <w:highlight w:val="none"/>
        </w:rPr>
      </w:pPr>
      <w:r>
        <w:rPr>
          <w:rFonts w:hint="eastAsia" w:ascii="宋体" w:hAnsi="宋体"/>
          <w:szCs w:val="21"/>
          <w:highlight w:val="none"/>
        </w:rPr>
        <w:t>招标人：佛山市恒益环保建材有限公司           招标代理机构：广东中采招标有限公司</w:t>
      </w:r>
    </w:p>
    <w:p>
      <w:pPr>
        <w:adjustRightInd w:val="0"/>
        <w:spacing w:line="360" w:lineRule="auto"/>
        <w:ind w:firstLine="420" w:firstLineChars="200"/>
        <w:jc w:val="left"/>
        <w:rPr>
          <w:rFonts w:ascii="宋体" w:hAnsi="宋体"/>
          <w:szCs w:val="21"/>
          <w:highlight w:val="none"/>
        </w:rPr>
      </w:pPr>
      <w:r>
        <w:rPr>
          <w:rFonts w:hint="eastAsia" w:ascii="宋体" w:hAnsi="宋体"/>
          <w:szCs w:val="21"/>
          <w:highlight w:val="none"/>
        </w:rPr>
        <w:t>联系人：唐小姐　                             联系人：吴小姐</w:t>
      </w:r>
    </w:p>
    <w:p>
      <w:pPr>
        <w:adjustRightInd w:val="0"/>
        <w:spacing w:line="360" w:lineRule="auto"/>
        <w:ind w:firstLine="420" w:firstLineChars="200"/>
        <w:jc w:val="left"/>
        <w:rPr>
          <w:rFonts w:ascii="宋体" w:hAnsi="宋体"/>
          <w:szCs w:val="21"/>
          <w:highlight w:val="none"/>
        </w:rPr>
      </w:pPr>
      <w:r>
        <w:rPr>
          <w:rFonts w:hint="eastAsia" w:ascii="宋体" w:hAnsi="宋体"/>
          <w:szCs w:val="21"/>
          <w:highlight w:val="none"/>
        </w:rPr>
        <w:t>联系电话：0757-87655532                      电话/传真：0757-81993027</w:t>
      </w:r>
    </w:p>
    <w:p>
      <w:pPr>
        <w:adjustRightInd w:val="0"/>
        <w:spacing w:line="360" w:lineRule="auto"/>
        <w:ind w:left="5145" w:leftChars="200" w:hanging="4725" w:hangingChars="2250"/>
        <w:jc w:val="left"/>
        <w:rPr>
          <w:rFonts w:hint="eastAsia" w:cs="宋体"/>
          <w:bCs/>
          <w:szCs w:val="21"/>
          <w:highlight w:val="none"/>
        </w:rPr>
      </w:pPr>
      <w:r>
        <w:rPr>
          <w:rFonts w:hint="eastAsia" w:ascii="宋体" w:hAnsi="宋体"/>
          <w:szCs w:val="21"/>
          <w:highlight w:val="none"/>
        </w:rPr>
        <w:t>联系地址：</w:t>
      </w:r>
      <w:r>
        <w:rPr>
          <w:rFonts w:hint="eastAsia" w:ascii="宋体" w:hAnsi="宋体"/>
          <w:bCs/>
          <w:szCs w:val="21"/>
          <w:highlight w:val="none"/>
        </w:rPr>
        <w:t>佛山市三水区白坭镇临江工业城2号</w:t>
      </w:r>
      <w:r>
        <w:rPr>
          <w:rFonts w:hint="eastAsia" w:ascii="宋体" w:hAnsi="宋体"/>
          <w:szCs w:val="21"/>
          <w:highlight w:val="none"/>
        </w:rPr>
        <w:t xml:space="preserve">   联系地址：</w:t>
      </w:r>
      <w:r>
        <w:rPr>
          <w:rFonts w:hint="eastAsia" w:cs="宋体"/>
          <w:bCs/>
          <w:szCs w:val="21"/>
          <w:highlight w:val="none"/>
        </w:rPr>
        <w:t>佛山市禅城区文华北路223号文华荟产业园1号楼5层527号</w:t>
      </w:r>
      <w:bookmarkStart w:id="567" w:name="_GoBack"/>
      <w:bookmarkEnd w:id="567"/>
    </w:p>
    <w:p>
      <w:pPr>
        <w:adjustRightInd w:val="0"/>
        <w:spacing w:line="360" w:lineRule="auto"/>
        <w:ind w:firstLine="6720" w:firstLineChars="3200"/>
        <w:jc w:val="left"/>
        <w:rPr>
          <w:rFonts w:ascii="宋体" w:hAnsi="宋体"/>
          <w:szCs w:val="21"/>
          <w:highlight w:val="none"/>
        </w:rPr>
      </w:pPr>
      <w:r>
        <w:rPr>
          <w:rFonts w:hint="eastAsia" w:cs="宋体"/>
          <w:bCs/>
          <w:szCs w:val="21"/>
          <w:highlight w:val="none"/>
        </w:rPr>
        <w:t>广东中采招标有限公司</w:t>
      </w:r>
    </w:p>
    <w:p>
      <w:pPr>
        <w:adjustRightInd w:val="0"/>
        <w:spacing w:line="360" w:lineRule="auto"/>
        <w:jc w:val="right"/>
        <w:rPr>
          <w:rFonts w:ascii="宋体" w:hAnsi="宋体"/>
          <w:szCs w:val="21"/>
          <w:highlight w:val="none"/>
        </w:rPr>
      </w:pPr>
      <w:r>
        <w:rPr>
          <w:rFonts w:hint="eastAsia" w:ascii="宋体" w:hAnsi="宋体"/>
          <w:szCs w:val="21"/>
          <w:highlight w:val="none"/>
        </w:rPr>
        <w:t xml:space="preserve">                                                      二〇一九年</w:t>
      </w:r>
      <w:r>
        <w:rPr>
          <w:rFonts w:hint="eastAsia" w:ascii="宋体" w:hAnsi="宋体"/>
          <w:szCs w:val="21"/>
          <w:highlight w:val="none"/>
          <w:lang w:eastAsia="zh-CN"/>
        </w:rPr>
        <w:t>十</w:t>
      </w:r>
      <w:r>
        <w:rPr>
          <w:rFonts w:hint="eastAsia" w:ascii="宋体" w:hAnsi="宋体"/>
          <w:szCs w:val="21"/>
          <w:highlight w:val="none"/>
        </w:rPr>
        <w:t>月</w:t>
      </w:r>
      <w:r>
        <w:rPr>
          <w:rFonts w:hint="eastAsia" w:ascii="宋体" w:hAnsi="宋体"/>
          <w:szCs w:val="21"/>
          <w:highlight w:val="none"/>
          <w:lang w:eastAsia="zh-CN"/>
        </w:rPr>
        <w:t>十五</w:t>
      </w:r>
      <w:r>
        <w:rPr>
          <w:rFonts w:hint="eastAsia" w:ascii="宋体" w:hAnsi="宋体"/>
          <w:szCs w:val="21"/>
          <w:highlight w:val="none"/>
        </w:rPr>
        <w:t>日</w:t>
      </w:r>
    </w:p>
    <w:p>
      <w:pPr>
        <w:rPr>
          <w:rFonts w:ascii="宋体" w:hAnsi="宋体" w:cs="Arial"/>
          <w:sz w:val="30"/>
          <w:szCs w:val="30"/>
          <w:highlight w:val="none"/>
        </w:rPr>
      </w:pPr>
    </w:p>
    <w:p>
      <w:pPr>
        <w:pStyle w:val="2"/>
        <w:keepNext w:val="0"/>
        <w:keepLines w:val="0"/>
        <w:spacing w:before="480" w:after="480" w:line="400" w:lineRule="exact"/>
        <w:rPr>
          <w:rFonts w:ascii="宋体" w:hAnsi="宋体" w:cs="Arial"/>
          <w:highlight w:val="none"/>
        </w:rPr>
      </w:pPr>
    </w:p>
    <w:p>
      <w:pPr>
        <w:pStyle w:val="2"/>
        <w:keepNext w:val="0"/>
        <w:keepLines w:val="0"/>
        <w:spacing w:before="480" w:after="480" w:line="400" w:lineRule="exact"/>
        <w:rPr>
          <w:rFonts w:ascii="宋体" w:hAnsi="宋体" w:cs="Arial"/>
          <w:highlight w:val="none"/>
        </w:rPr>
      </w:pPr>
      <w:r>
        <w:rPr>
          <w:rFonts w:ascii="宋体" w:hAnsi="宋体" w:cs="Arial"/>
          <w:highlight w:val="none"/>
        </w:rPr>
        <w:br w:type="page"/>
      </w:r>
    </w:p>
    <w:p>
      <w:pPr>
        <w:pStyle w:val="2"/>
        <w:keepNext w:val="0"/>
        <w:keepLines w:val="0"/>
        <w:spacing w:before="480" w:after="480" w:line="400" w:lineRule="exact"/>
        <w:jc w:val="center"/>
        <w:rPr>
          <w:highlight w:val="none"/>
        </w:rPr>
      </w:pPr>
      <w:bookmarkStart w:id="11" w:name="_Toc14770"/>
      <w:bookmarkStart w:id="12" w:name="_Toc292434256"/>
      <w:bookmarkStart w:id="13" w:name="_Toc26254"/>
      <w:bookmarkStart w:id="14" w:name="_Toc23278"/>
      <w:bookmarkStart w:id="15" w:name="_Toc30585"/>
      <w:bookmarkStart w:id="16" w:name="_Toc26103"/>
      <w:r>
        <w:rPr>
          <w:rFonts w:hint="eastAsia" w:ascii="宋体" w:hAnsi="宋体" w:cs="Arial"/>
          <w:highlight w:val="none"/>
        </w:rPr>
        <w:t>第二章  投标人须知</w:t>
      </w:r>
      <w:bookmarkEnd w:id="1"/>
      <w:bookmarkEnd w:id="11"/>
      <w:bookmarkEnd w:id="12"/>
      <w:bookmarkEnd w:id="13"/>
      <w:bookmarkEnd w:id="14"/>
      <w:bookmarkEnd w:id="15"/>
      <w:bookmarkEnd w:id="16"/>
      <w:bookmarkStart w:id="17" w:name="_1．_前附表"/>
      <w:bookmarkEnd w:id="17"/>
    </w:p>
    <w:p>
      <w:pPr>
        <w:spacing w:line="400" w:lineRule="exact"/>
        <w:jc w:val="center"/>
        <w:outlineLvl w:val="1"/>
        <w:rPr>
          <w:rFonts w:ascii="宋体" w:hAnsi="宋体"/>
          <w:b/>
          <w:sz w:val="24"/>
          <w:highlight w:val="none"/>
        </w:rPr>
      </w:pPr>
      <w:bookmarkStart w:id="18" w:name="_Toc1323"/>
      <w:bookmarkStart w:id="19" w:name="_Toc20039"/>
      <w:bookmarkStart w:id="20" w:name="_Toc27501"/>
      <w:bookmarkStart w:id="21" w:name="_Toc44350282"/>
      <w:bookmarkStart w:id="22" w:name="_Toc177140851"/>
      <w:bookmarkStart w:id="23" w:name="_Toc73526185"/>
      <w:bookmarkStart w:id="24" w:name="_Toc4898"/>
      <w:bookmarkStart w:id="25" w:name="_Toc31307"/>
      <w:bookmarkStart w:id="26" w:name="_Toc108435087"/>
      <w:r>
        <w:rPr>
          <w:rFonts w:hint="eastAsia" w:ascii="宋体" w:hAnsi="宋体"/>
          <w:b/>
          <w:sz w:val="24"/>
          <w:highlight w:val="none"/>
        </w:rPr>
        <w:t>一、投标人须知前附表</w:t>
      </w:r>
      <w:bookmarkEnd w:id="18"/>
      <w:bookmarkEnd w:id="19"/>
      <w:bookmarkEnd w:id="20"/>
      <w:bookmarkEnd w:id="21"/>
      <w:bookmarkEnd w:id="22"/>
      <w:bookmarkEnd w:id="23"/>
      <w:bookmarkEnd w:id="24"/>
      <w:bookmarkEnd w:id="25"/>
      <w:bookmarkEnd w:id="26"/>
    </w:p>
    <w:p>
      <w:pPr>
        <w:spacing w:line="400" w:lineRule="exact"/>
        <w:jc w:val="center"/>
        <w:rPr>
          <w:rFonts w:ascii="宋体" w:hAnsi="宋体"/>
          <w:b/>
          <w:sz w:val="24"/>
          <w:highlight w:val="none"/>
        </w:rPr>
      </w:pPr>
    </w:p>
    <w:tbl>
      <w:tblPr>
        <w:tblStyle w:val="42"/>
        <w:tblW w:w="9291"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17"/>
        <w:gridCol w:w="6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blHeader/>
        </w:trPr>
        <w:tc>
          <w:tcPr>
            <w:tcW w:w="720" w:type="dxa"/>
            <w:tcBorders>
              <w:top w:val="single" w:color="auto" w:sz="4" w:space="0"/>
              <w:left w:val="single" w:color="auto" w:sz="4" w:space="0"/>
              <w:bottom w:val="single" w:color="auto" w:sz="4" w:space="0"/>
              <w:right w:val="single" w:color="auto" w:sz="4" w:space="0"/>
            </w:tcBorders>
            <w:vAlign w:val="center"/>
          </w:tcPr>
          <w:p>
            <w:pPr>
              <w:pStyle w:val="23"/>
              <w:widowControl/>
              <w:snapToGrid w:val="0"/>
              <w:spacing w:line="320" w:lineRule="exact"/>
              <w:ind w:left="0"/>
              <w:jc w:val="center"/>
              <w:rPr>
                <w:rFonts w:cs="Arial"/>
                <w:b/>
                <w:bCs/>
                <w:highlight w:val="none"/>
              </w:rPr>
            </w:pPr>
            <w:r>
              <w:rPr>
                <w:rFonts w:hint="eastAsia" w:cs="Arial"/>
                <w:b/>
                <w:bCs/>
                <w:highlight w:val="none"/>
              </w:rPr>
              <w:t>序号</w:t>
            </w:r>
          </w:p>
        </w:tc>
        <w:tc>
          <w:tcPr>
            <w:tcW w:w="1617" w:type="dxa"/>
            <w:tcBorders>
              <w:top w:val="single" w:color="auto" w:sz="4" w:space="0"/>
              <w:left w:val="single" w:color="auto" w:sz="4" w:space="0"/>
              <w:bottom w:val="single" w:color="auto" w:sz="4" w:space="0"/>
              <w:right w:val="single" w:color="auto" w:sz="4" w:space="0"/>
            </w:tcBorders>
            <w:vAlign w:val="center"/>
          </w:tcPr>
          <w:p>
            <w:pPr>
              <w:pStyle w:val="23"/>
              <w:widowControl/>
              <w:snapToGrid w:val="0"/>
              <w:spacing w:line="320" w:lineRule="exact"/>
              <w:jc w:val="center"/>
              <w:rPr>
                <w:rFonts w:cs="Arial"/>
                <w:b/>
                <w:bCs/>
                <w:highlight w:val="none"/>
              </w:rPr>
            </w:pPr>
            <w:r>
              <w:rPr>
                <w:rFonts w:hint="eastAsia" w:cs="Arial"/>
                <w:b/>
                <w:bCs/>
                <w:highlight w:val="none"/>
              </w:rPr>
              <w:t>项目</w:t>
            </w:r>
          </w:p>
        </w:tc>
        <w:tc>
          <w:tcPr>
            <w:tcW w:w="69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宋体" w:hAnsi="宋体" w:cs="Arial"/>
                <w:b/>
                <w:bCs/>
                <w:highlight w:val="none"/>
              </w:rPr>
            </w:pPr>
            <w:r>
              <w:rPr>
                <w:rFonts w:hint="eastAsia" w:ascii="宋体" w:hAnsi="宋体" w:cs="Arial"/>
                <w:b/>
                <w:bCs/>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Arial"/>
                <w:highlight w:val="none"/>
              </w:rPr>
            </w:pPr>
            <w:r>
              <w:rPr>
                <w:rFonts w:hint="eastAsia" w:ascii="宋体" w:hAnsi="宋体" w:cs="Arial"/>
                <w:highlight w:val="none"/>
              </w:rPr>
              <w:t>1</w:t>
            </w:r>
          </w:p>
        </w:tc>
        <w:tc>
          <w:tcPr>
            <w:tcW w:w="16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Arial"/>
                <w:highlight w:val="none"/>
              </w:rPr>
            </w:pPr>
            <w:r>
              <w:rPr>
                <w:rFonts w:hint="eastAsia" w:ascii="宋体" w:hAnsi="宋体" w:cs="Arial"/>
                <w:highlight w:val="none"/>
              </w:rPr>
              <w:t>采购项目概况</w:t>
            </w:r>
          </w:p>
        </w:tc>
        <w:tc>
          <w:tcPr>
            <w:tcW w:w="6954"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szCs w:val="21"/>
                <w:highlight w:val="none"/>
              </w:rPr>
            </w:pPr>
            <w:r>
              <w:rPr>
                <w:rFonts w:hint="eastAsia" w:asciiTheme="minorEastAsia" w:hAnsiTheme="minorEastAsia" w:eastAsiaTheme="minorEastAsia"/>
                <w:szCs w:val="21"/>
                <w:highlight w:val="none"/>
              </w:rPr>
              <w:t>负责</w:t>
            </w:r>
            <w:r>
              <w:rPr>
                <w:rFonts w:hint="eastAsia"/>
                <w:highlight w:val="none"/>
              </w:rPr>
              <w:t>佛山市恒益环保建材有限公司2019年12月1日至2021年11月30日加气砌块生产辅助业务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Arial"/>
                <w:highlight w:val="none"/>
              </w:rPr>
            </w:pPr>
            <w:r>
              <w:rPr>
                <w:rFonts w:hint="eastAsia" w:ascii="宋体" w:hAnsi="宋体" w:cs="Arial"/>
                <w:highlight w:val="none"/>
              </w:rPr>
              <w:t>2</w:t>
            </w:r>
          </w:p>
        </w:tc>
        <w:tc>
          <w:tcPr>
            <w:tcW w:w="16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Arial"/>
                <w:highlight w:val="none"/>
              </w:rPr>
            </w:pPr>
            <w:r>
              <w:rPr>
                <w:rFonts w:hint="eastAsia" w:ascii="宋体" w:hAnsi="宋体" w:cs="Arial"/>
                <w:highlight w:val="none"/>
              </w:rPr>
              <w:t>项目名称</w:t>
            </w:r>
          </w:p>
        </w:tc>
        <w:tc>
          <w:tcPr>
            <w:tcW w:w="6954"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b/>
                <w:sz w:val="18"/>
                <w:szCs w:val="18"/>
                <w:highlight w:val="none"/>
              </w:rPr>
            </w:pPr>
            <w:r>
              <w:rPr>
                <w:rFonts w:hint="eastAsia"/>
                <w:highlight w:val="none"/>
              </w:rPr>
              <w:t>佛山市恒益环保建材有限公司加气砌块生产辅助业务外委项目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Arial"/>
                <w:highlight w:val="none"/>
              </w:rPr>
            </w:pPr>
            <w:r>
              <w:rPr>
                <w:rFonts w:hint="eastAsia" w:ascii="宋体" w:hAnsi="宋体" w:cs="Arial"/>
                <w:highlight w:val="none"/>
              </w:rPr>
              <w:t>3</w:t>
            </w:r>
          </w:p>
        </w:tc>
        <w:tc>
          <w:tcPr>
            <w:tcW w:w="16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Arial"/>
                <w:highlight w:val="none"/>
              </w:rPr>
            </w:pPr>
            <w:r>
              <w:rPr>
                <w:rFonts w:hint="eastAsia" w:ascii="宋体" w:hAnsi="宋体" w:cs="Arial"/>
                <w:highlight w:val="none"/>
              </w:rPr>
              <w:t>招标范围</w:t>
            </w:r>
          </w:p>
        </w:tc>
        <w:tc>
          <w:tcPr>
            <w:tcW w:w="695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Arial"/>
                <w:highlight w:val="none"/>
              </w:rPr>
            </w:pPr>
            <w:r>
              <w:rPr>
                <w:rFonts w:hint="eastAsia" w:ascii="宋体" w:hAnsi="宋体"/>
                <w:szCs w:val="21"/>
                <w:highlight w:val="none"/>
              </w:rPr>
              <w:t>佛山市恒益环保建材有限公司加气砌块生产线辅助业务、发货辅助业务、叉运辅助业务、</w:t>
            </w:r>
            <w:r>
              <w:rPr>
                <w:rFonts w:hint="eastAsia" w:ascii="宋体" w:hAnsi="宋体" w:cs="宋体"/>
                <w:color w:val="000000"/>
                <w:kern w:val="0"/>
                <w:szCs w:val="21"/>
                <w:highlight w:val="none"/>
              </w:rPr>
              <w:t>质检辅助业务、锯场辅助业务、设备检修辅助业务</w:t>
            </w:r>
            <w:r>
              <w:rPr>
                <w:rFonts w:hint="eastAsia" w:ascii="宋体" w:hAnsi="宋体"/>
                <w:szCs w:val="21"/>
                <w:highlight w:val="none"/>
              </w:rPr>
              <w:t>等。详细内容见招标文件第四章《用户需求书》。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Arial"/>
                <w:highlight w:val="none"/>
              </w:rPr>
            </w:pPr>
            <w:r>
              <w:rPr>
                <w:rFonts w:hint="eastAsia" w:ascii="宋体" w:hAnsi="宋体" w:cs="Arial"/>
                <w:highlight w:val="none"/>
              </w:rPr>
              <w:t>4</w:t>
            </w:r>
          </w:p>
        </w:tc>
        <w:tc>
          <w:tcPr>
            <w:tcW w:w="16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Arial"/>
                <w:szCs w:val="21"/>
                <w:highlight w:val="none"/>
              </w:rPr>
            </w:pPr>
            <w:r>
              <w:rPr>
                <w:rFonts w:hint="eastAsia"/>
                <w:szCs w:val="21"/>
                <w:highlight w:val="none"/>
              </w:rPr>
              <w:t>服务要求</w:t>
            </w:r>
          </w:p>
        </w:tc>
        <w:tc>
          <w:tcPr>
            <w:tcW w:w="695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Cs w:val="21"/>
                <w:highlight w:val="none"/>
              </w:rPr>
            </w:pPr>
            <w:r>
              <w:rPr>
                <w:rFonts w:hint="eastAsia" w:ascii="宋体" w:hAnsi="宋体"/>
                <w:szCs w:val="21"/>
                <w:highlight w:val="none"/>
              </w:rPr>
              <w:t>详见第四章《用户需求》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Arial"/>
                <w:highlight w:val="none"/>
              </w:rPr>
            </w:pPr>
            <w:r>
              <w:rPr>
                <w:rFonts w:hint="eastAsia" w:ascii="宋体" w:hAnsi="宋体" w:cs="Arial"/>
                <w:highlight w:val="none"/>
              </w:rPr>
              <w:t>5</w:t>
            </w:r>
          </w:p>
        </w:tc>
        <w:tc>
          <w:tcPr>
            <w:tcW w:w="16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szCs w:val="21"/>
                <w:highlight w:val="none"/>
              </w:rPr>
            </w:pPr>
            <w:r>
              <w:rPr>
                <w:rFonts w:hint="eastAsia" w:ascii="宋体" w:hAnsi="宋体"/>
                <w:szCs w:val="21"/>
                <w:highlight w:val="none"/>
              </w:rPr>
              <w:t>报价方式</w:t>
            </w:r>
          </w:p>
        </w:tc>
        <w:tc>
          <w:tcPr>
            <w:tcW w:w="6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ascii="宋体" w:hAnsi="宋体"/>
                <w:szCs w:val="21"/>
                <w:highlight w:val="none"/>
              </w:rPr>
            </w:pPr>
            <w:r>
              <w:rPr>
                <w:rFonts w:cs="Arial" w:asciiTheme="minorEastAsia" w:hAnsiTheme="minorEastAsia" w:eastAsiaTheme="minorEastAsia"/>
                <w:szCs w:val="21"/>
                <w:highlight w:val="none"/>
              </w:rPr>
              <w:t>本项目采用固定报价方式</w:t>
            </w:r>
            <w:r>
              <w:rPr>
                <w:rFonts w:ascii="宋体" w:hAnsi="宋体"/>
                <w:szCs w:val="21"/>
                <w:highlight w:val="none"/>
              </w:rPr>
              <w:t>。</w:t>
            </w:r>
            <w:r>
              <w:rPr>
                <w:rFonts w:asciiTheme="minorEastAsia" w:hAnsiTheme="minorEastAsia" w:eastAsiaTheme="minorEastAsia"/>
                <w:szCs w:val="21"/>
                <w:highlight w:val="none"/>
              </w:rPr>
              <w:t>参照</w:t>
            </w:r>
            <w:r>
              <w:rPr>
                <w:rFonts w:hint="eastAsia" w:asciiTheme="minorEastAsia" w:hAnsiTheme="minorEastAsia" w:eastAsiaTheme="minorEastAsia"/>
                <w:szCs w:val="21"/>
                <w:highlight w:val="none"/>
              </w:rPr>
              <w:t>格式12：报价单格式。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Arial"/>
                <w:highlight w:val="none"/>
              </w:rPr>
            </w:pPr>
            <w:r>
              <w:rPr>
                <w:rFonts w:hint="eastAsia" w:ascii="宋体" w:hAnsi="宋体" w:cs="Arial"/>
                <w:highlight w:val="none"/>
              </w:rPr>
              <w:t>6</w:t>
            </w:r>
          </w:p>
        </w:tc>
        <w:tc>
          <w:tcPr>
            <w:tcW w:w="16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szCs w:val="21"/>
                <w:highlight w:val="none"/>
              </w:rPr>
            </w:pPr>
            <w:r>
              <w:rPr>
                <w:rFonts w:hint="eastAsia" w:ascii="宋体" w:hAnsi="宋体" w:cs="Arial"/>
                <w:highlight w:val="none"/>
              </w:rPr>
              <w:t>资金来源</w:t>
            </w:r>
          </w:p>
        </w:tc>
        <w:tc>
          <w:tcPr>
            <w:tcW w:w="6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ascii="宋体" w:hAnsi="宋体"/>
                <w:szCs w:val="21"/>
                <w:highlight w:val="none"/>
              </w:rPr>
            </w:pPr>
            <w:r>
              <w:rPr>
                <w:rFonts w:hint="eastAsia" w:ascii="宋体" w:hAnsi="宋体" w:cs="Arial"/>
                <w:szCs w:val="21"/>
                <w:highlight w:val="none"/>
              </w:rPr>
              <w:t>招标人自筹，已落实。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Arial"/>
                <w:highlight w:val="none"/>
              </w:rPr>
            </w:pPr>
            <w:r>
              <w:rPr>
                <w:rFonts w:hint="eastAsia" w:ascii="宋体" w:hAnsi="宋体" w:cs="Arial"/>
                <w:highlight w:val="none"/>
              </w:rPr>
              <w:t>7</w:t>
            </w:r>
          </w:p>
        </w:tc>
        <w:tc>
          <w:tcPr>
            <w:tcW w:w="16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Arial"/>
                <w:highlight w:val="none"/>
              </w:rPr>
            </w:pPr>
            <w:r>
              <w:rPr>
                <w:rFonts w:hint="eastAsia" w:ascii="宋体" w:hAnsi="宋体" w:cs="Arial"/>
                <w:highlight w:val="none"/>
              </w:rPr>
              <w:t>招标人</w:t>
            </w:r>
          </w:p>
        </w:tc>
        <w:tc>
          <w:tcPr>
            <w:tcW w:w="695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Arial"/>
                <w:highlight w:val="none"/>
              </w:rPr>
            </w:pPr>
            <w:r>
              <w:rPr>
                <w:rFonts w:hint="eastAsia" w:ascii="宋体" w:hAnsi="宋体"/>
                <w:bCs/>
                <w:szCs w:val="21"/>
                <w:highlight w:val="none"/>
              </w:rPr>
              <w:t>佛山市恒益环保建材有限公司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Arial"/>
                <w:highlight w:val="none"/>
              </w:rPr>
            </w:pPr>
            <w:r>
              <w:rPr>
                <w:rFonts w:hint="eastAsia" w:ascii="宋体" w:hAnsi="宋体" w:cs="Arial"/>
                <w:highlight w:val="none"/>
              </w:rPr>
              <w:t>8</w:t>
            </w:r>
          </w:p>
        </w:tc>
        <w:tc>
          <w:tcPr>
            <w:tcW w:w="16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Arial"/>
                <w:highlight w:val="none"/>
              </w:rPr>
            </w:pPr>
            <w:r>
              <w:rPr>
                <w:rFonts w:hint="eastAsia" w:ascii="宋体" w:hAnsi="宋体"/>
                <w:szCs w:val="21"/>
                <w:highlight w:val="none"/>
              </w:rPr>
              <w:t>投标人提交疑问截止时间</w:t>
            </w:r>
          </w:p>
        </w:tc>
        <w:tc>
          <w:tcPr>
            <w:tcW w:w="6954" w:type="dxa"/>
            <w:vMerge w:val="restart"/>
            <w:tcBorders>
              <w:top w:val="single" w:color="auto" w:sz="4" w:space="0"/>
              <w:left w:val="single" w:color="auto" w:sz="4" w:space="0"/>
              <w:right w:val="single" w:color="auto" w:sz="4" w:space="0"/>
            </w:tcBorders>
            <w:vAlign w:val="center"/>
          </w:tcPr>
          <w:p>
            <w:pPr>
              <w:snapToGrid w:val="0"/>
              <w:spacing w:line="300" w:lineRule="exact"/>
              <w:ind w:hanging="2"/>
              <w:rPr>
                <w:rFonts w:ascii="宋体" w:hAnsi="宋体"/>
                <w:bCs/>
                <w:szCs w:val="21"/>
                <w:highlight w:val="none"/>
              </w:rPr>
            </w:pPr>
            <w:r>
              <w:rPr>
                <w:rFonts w:hint="eastAsia" w:ascii="宋体" w:hAnsi="宋体"/>
                <w:bCs/>
                <w:szCs w:val="21"/>
                <w:highlight w:val="none"/>
              </w:rPr>
              <w:t>本项目不集中召开澄清会，投标人如对招标文件及本项目相关内容有疑问，请以书面的形式提出（加盖公章后以扫描件的形式通过电子邮件发送至招标代理机构处，邮箱：</w:t>
            </w:r>
            <w:r>
              <w:rPr>
                <w:highlight w:val="none"/>
              </w:rPr>
              <w:fldChar w:fldCharType="begin"/>
            </w:r>
            <w:r>
              <w:rPr>
                <w:highlight w:val="none"/>
              </w:rPr>
              <w:instrText xml:space="preserve"> HYPERLINK "mailto:gdzczb@126.com" </w:instrText>
            </w:r>
            <w:r>
              <w:rPr>
                <w:highlight w:val="none"/>
              </w:rPr>
              <w:fldChar w:fldCharType="separate"/>
            </w:r>
            <w:r>
              <w:rPr>
                <w:rFonts w:ascii="宋体" w:hAnsi="宋体"/>
                <w:highlight w:val="none"/>
              </w:rPr>
              <w:t>gdzczb@126.com</w:t>
            </w:r>
            <w:r>
              <w:rPr>
                <w:rFonts w:ascii="宋体" w:hAnsi="宋体"/>
                <w:highlight w:val="none"/>
              </w:rPr>
              <w:fldChar w:fldCharType="end"/>
            </w:r>
            <w:r>
              <w:rPr>
                <w:rFonts w:hint="eastAsia" w:ascii="宋体" w:hAnsi="宋体"/>
                <w:highlight w:val="none"/>
              </w:rPr>
              <w:t>）</w:t>
            </w:r>
            <w:r>
              <w:rPr>
                <w:rFonts w:hint="eastAsia" w:ascii="宋体" w:hAnsi="宋体"/>
                <w:bCs/>
                <w:szCs w:val="21"/>
                <w:highlight w:val="none"/>
              </w:rPr>
              <w:t>。</w:t>
            </w:r>
          </w:p>
          <w:p>
            <w:pPr>
              <w:snapToGrid w:val="0"/>
              <w:spacing w:line="300" w:lineRule="exact"/>
              <w:ind w:hanging="2"/>
              <w:rPr>
                <w:rFonts w:ascii="宋体" w:hAnsi="宋体"/>
                <w:bCs/>
                <w:szCs w:val="21"/>
                <w:highlight w:val="none"/>
              </w:rPr>
            </w:pPr>
            <w:r>
              <w:rPr>
                <w:rFonts w:hint="eastAsia" w:ascii="宋体" w:hAnsi="宋体"/>
                <w:szCs w:val="21"/>
                <w:highlight w:val="none"/>
              </w:rPr>
              <w:t>投标人提交</w:t>
            </w:r>
            <w:r>
              <w:rPr>
                <w:rFonts w:hint="eastAsia" w:ascii="宋体" w:hAnsi="宋体"/>
                <w:bCs/>
                <w:szCs w:val="21"/>
                <w:highlight w:val="none"/>
              </w:rPr>
              <w:t>疑问截止时间：投标截止日期的</w:t>
            </w:r>
            <w:r>
              <w:rPr>
                <w:rFonts w:ascii="宋体" w:hAnsi="宋体"/>
                <w:bCs/>
                <w:szCs w:val="21"/>
                <w:highlight w:val="none"/>
              </w:rPr>
              <w:t>18日前</w:t>
            </w:r>
            <w:r>
              <w:rPr>
                <w:rFonts w:hint="eastAsia" w:ascii="宋体" w:hAnsi="宋体"/>
                <w:bCs/>
                <w:szCs w:val="21"/>
                <w:highlight w:val="none"/>
              </w:rPr>
              <w:t>；</w:t>
            </w:r>
          </w:p>
          <w:p>
            <w:pPr>
              <w:snapToGrid w:val="0"/>
              <w:spacing w:line="300" w:lineRule="exact"/>
              <w:ind w:hanging="2"/>
              <w:rPr>
                <w:rFonts w:ascii="宋体" w:hAnsi="宋体" w:cs="Arial"/>
                <w:highlight w:val="none"/>
              </w:rPr>
            </w:pPr>
            <w:r>
              <w:rPr>
                <w:rFonts w:hint="eastAsia" w:ascii="宋体" w:hAnsi="宋体"/>
                <w:bCs/>
                <w:szCs w:val="21"/>
                <w:highlight w:val="none"/>
              </w:rPr>
              <w:t>招标人答疑时间：投标截止日期的</w:t>
            </w:r>
            <w:r>
              <w:rPr>
                <w:rFonts w:ascii="宋体" w:hAnsi="宋体"/>
                <w:bCs/>
                <w:szCs w:val="21"/>
                <w:highlight w:val="none"/>
              </w:rPr>
              <w:t>15</w:t>
            </w:r>
            <w:r>
              <w:rPr>
                <w:rFonts w:hint="eastAsia" w:ascii="宋体" w:hAnsi="宋体"/>
                <w:bCs/>
                <w:szCs w:val="21"/>
                <w:highlight w:val="none"/>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Arial"/>
                <w:highlight w:val="none"/>
              </w:rPr>
            </w:pPr>
            <w:r>
              <w:rPr>
                <w:rFonts w:hint="eastAsia" w:ascii="宋体" w:hAnsi="宋体" w:cs="Arial"/>
                <w:highlight w:val="none"/>
              </w:rPr>
              <w:t>9</w:t>
            </w:r>
          </w:p>
        </w:tc>
        <w:tc>
          <w:tcPr>
            <w:tcW w:w="16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Arial"/>
                <w:highlight w:val="none"/>
              </w:rPr>
            </w:pPr>
            <w:r>
              <w:rPr>
                <w:rFonts w:hint="eastAsia" w:ascii="宋体" w:hAnsi="宋体"/>
                <w:bCs/>
                <w:szCs w:val="21"/>
                <w:highlight w:val="none"/>
              </w:rPr>
              <w:t>招标人答疑时间</w:t>
            </w:r>
          </w:p>
        </w:tc>
        <w:tc>
          <w:tcPr>
            <w:tcW w:w="6954" w:type="dxa"/>
            <w:vMerge w:val="continue"/>
            <w:tcBorders>
              <w:left w:val="single" w:color="auto" w:sz="4" w:space="0"/>
              <w:bottom w:val="single" w:color="auto" w:sz="4" w:space="0"/>
              <w:right w:val="single" w:color="auto" w:sz="4" w:space="0"/>
            </w:tcBorders>
            <w:vAlign w:val="center"/>
          </w:tcPr>
          <w:p>
            <w:pPr>
              <w:spacing w:line="320" w:lineRule="exact"/>
              <w:rPr>
                <w:rFonts w:ascii="宋体" w:hAnsi="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Arial"/>
                <w:highlight w:val="none"/>
              </w:rPr>
            </w:pPr>
            <w:r>
              <w:rPr>
                <w:rFonts w:hint="eastAsia" w:ascii="宋体" w:hAnsi="宋体" w:cs="Arial"/>
                <w:highlight w:val="none"/>
              </w:rPr>
              <w:t>10</w:t>
            </w:r>
          </w:p>
        </w:tc>
        <w:tc>
          <w:tcPr>
            <w:tcW w:w="16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Arial"/>
                <w:highlight w:val="none"/>
              </w:rPr>
            </w:pPr>
            <w:r>
              <w:rPr>
                <w:rFonts w:hint="eastAsia" w:ascii="宋体" w:hAnsi="宋体"/>
                <w:szCs w:val="21"/>
                <w:highlight w:val="none"/>
              </w:rPr>
              <w:t>投标人备选方案</w:t>
            </w:r>
          </w:p>
        </w:tc>
        <w:tc>
          <w:tcPr>
            <w:tcW w:w="695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Arial"/>
                <w:highlight w:val="none"/>
              </w:rPr>
            </w:pPr>
            <w:r>
              <w:rPr>
                <w:rFonts w:hint="eastAsia" w:ascii="宋体" w:hAnsi="宋体"/>
                <w:bCs/>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Arial"/>
                <w:highlight w:val="none"/>
              </w:rPr>
            </w:pPr>
            <w:r>
              <w:rPr>
                <w:rFonts w:hint="eastAsia" w:ascii="宋体" w:hAnsi="宋体" w:cs="Arial"/>
                <w:highlight w:val="none"/>
              </w:rPr>
              <w:t>11</w:t>
            </w:r>
          </w:p>
        </w:tc>
        <w:tc>
          <w:tcPr>
            <w:tcW w:w="16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Arial"/>
                <w:highlight w:val="none"/>
              </w:rPr>
            </w:pPr>
            <w:r>
              <w:rPr>
                <w:rFonts w:hint="eastAsia" w:ascii="宋体" w:hAnsi="宋体"/>
                <w:szCs w:val="21"/>
                <w:highlight w:val="none"/>
              </w:rPr>
              <w:t>合格投标人条件</w:t>
            </w:r>
          </w:p>
        </w:tc>
        <w:tc>
          <w:tcPr>
            <w:tcW w:w="695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hanging="2"/>
              <w:rPr>
                <w:rFonts w:ascii="宋体" w:hAnsi="宋体"/>
                <w:bCs/>
                <w:szCs w:val="21"/>
                <w:highlight w:val="none"/>
              </w:rPr>
            </w:pPr>
            <w:r>
              <w:rPr>
                <w:rFonts w:hint="eastAsia" w:ascii="宋体" w:hAnsi="宋体"/>
                <w:bCs/>
                <w:szCs w:val="21"/>
                <w:highlight w:val="none"/>
              </w:rPr>
              <w:t>详见《招标公告》第</w:t>
            </w:r>
            <w:r>
              <w:rPr>
                <w:rFonts w:ascii="宋体" w:hAnsi="宋体"/>
                <w:bCs/>
                <w:szCs w:val="21"/>
                <w:highlight w:val="none"/>
              </w:rPr>
              <w:t>3</w:t>
            </w:r>
            <w:r>
              <w:rPr>
                <w:rFonts w:hint="eastAsia" w:ascii="宋体" w:hAnsi="宋体"/>
                <w:bCs/>
                <w:szCs w:val="21"/>
                <w:highlight w:val="none"/>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Arial"/>
                <w:highlight w:val="none"/>
              </w:rPr>
            </w:pPr>
            <w:r>
              <w:rPr>
                <w:rFonts w:hint="eastAsia" w:ascii="宋体" w:hAnsi="宋体" w:cs="Arial"/>
                <w:highlight w:val="none"/>
              </w:rPr>
              <w:t>12</w:t>
            </w:r>
          </w:p>
        </w:tc>
        <w:tc>
          <w:tcPr>
            <w:tcW w:w="16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Arial"/>
                <w:highlight w:val="none"/>
              </w:rPr>
            </w:pPr>
            <w:r>
              <w:rPr>
                <w:rFonts w:hint="eastAsia" w:ascii="宋体" w:hAnsi="宋体"/>
                <w:szCs w:val="21"/>
                <w:highlight w:val="none"/>
              </w:rPr>
              <w:t>证明投标人资格的文件</w:t>
            </w:r>
          </w:p>
        </w:tc>
        <w:tc>
          <w:tcPr>
            <w:tcW w:w="695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hanging="2"/>
              <w:rPr>
                <w:rFonts w:ascii="宋体" w:hAnsi="宋体"/>
                <w:bCs/>
                <w:szCs w:val="21"/>
                <w:highlight w:val="none"/>
              </w:rPr>
            </w:pPr>
            <w:r>
              <w:rPr>
                <w:rFonts w:hint="eastAsia" w:ascii="宋体" w:hAnsi="宋体"/>
                <w:bCs/>
                <w:szCs w:val="21"/>
                <w:highlight w:val="none"/>
              </w:rPr>
              <w:t>投标人根据招标公告“</w:t>
            </w:r>
            <w:r>
              <w:rPr>
                <w:rFonts w:ascii="宋体" w:hAnsi="宋体"/>
                <w:bCs/>
                <w:szCs w:val="21"/>
                <w:highlight w:val="none"/>
              </w:rPr>
              <w:t>3、</w:t>
            </w:r>
            <w:r>
              <w:rPr>
                <w:rFonts w:hint="eastAsia" w:ascii="宋体" w:hAnsi="宋体"/>
                <w:bCs/>
                <w:szCs w:val="21"/>
                <w:highlight w:val="none"/>
              </w:rPr>
              <w:t>合格的投标人条件”中的要求提供相应的佐证资料（须加盖投标人单位公章）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trPr>
        <w:tc>
          <w:tcPr>
            <w:tcW w:w="720" w:type="dxa"/>
            <w:vAlign w:val="center"/>
          </w:tcPr>
          <w:p>
            <w:pPr>
              <w:spacing w:line="320" w:lineRule="exact"/>
              <w:jc w:val="center"/>
              <w:rPr>
                <w:rFonts w:ascii="宋体" w:hAnsi="宋体" w:cs="Arial"/>
                <w:highlight w:val="none"/>
              </w:rPr>
            </w:pPr>
            <w:r>
              <w:rPr>
                <w:rFonts w:hint="eastAsia" w:ascii="宋体" w:hAnsi="宋体" w:cs="Arial"/>
                <w:highlight w:val="none"/>
              </w:rPr>
              <w:t>13</w:t>
            </w:r>
          </w:p>
        </w:tc>
        <w:tc>
          <w:tcPr>
            <w:tcW w:w="1617" w:type="dxa"/>
            <w:vAlign w:val="center"/>
          </w:tcPr>
          <w:p>
            <w:pPr>
              <w:widowControl/>
              <w:spacing w:line="320" w:lineRule="exact"/>
              <w:jc w:val="center"/>
              <w:rPr>
                <w:rFonts w:ascii="宋体" w:hAnsi="宋体" w:cs="Arial"/>
                <w:highlight w:val="none"/>
              </w:rPr>
            </w:pPr>
            <w:r>
              <w:rPr>
                <w:rFonts w:hint="eastAsia" w:ascii="宋体" w:hAnsi="宋体" w:cs="Arial"/>
                <w:highlight w:val="none"/>
              </w:rPr>
              <w:t>投标保证金</w:t>
            </w:r>
          </w:p>
        </w:tc>
        <w:tc>
          <w:tcPr>
            <w:tcW w:w="6954" w:type="dxa"/>
          </w:tcPr>
          <w:p>
            <w:pPr>
              <w:snapToGrid w:val="0"/>
              <w:spacing w:line="300" w:lineRule="exact"/>
              <w:ind w:hanging="2"/>
              <w:rPr>
                <w:rFonts w:ascii="宋体" w:hAnsi="宋体"/>
                <w:bCs/>
                <w:szCs w:val="21"/>
                <w:highlight w:val="none"/>
              </w:rPr>
            </w:pPr>
            <w:r>
              <w:rPr>
                <w:rFonts w:hint="eastAsia" w:ascii="宋体" w:hAnsi="宋体"/>
                <w:bCs/>
                <w:szCs w:val="21"/>
                <w:highlight w:val="none"/>
              </w:rPr>
              <w:t>投标保证金：人民币10万元</w:t>
            </w:r>
            <w:r>
              <w:rPr>
                <w:rFonts w:hint="eastAsia" w:ascii="宋体" w:hAnsi="宋体"/>
                <w:szCs w:val="21"/>
                <w:highlight w:val="none"/>
              </w:rPr>
              <w:t>（壹拾万元整）</w:t>
            </w:r>
            <w:r>
              <w:rPr>
                <w:rFonts w:hint="eastAsia" w:ascii="宋体" w:hAnsi="宋体"/>
                <w:bCs/>
                <w:szCs w:val="21"/>
                <w:highlight w:val="none"/>
              </w:rPr>
              <w:t>。</w:t>
            </w:r>
          </w:p>
          <w:p>
            <w:pPr>
              <w:snapToGrid w:val="0"/>
              <w:spacing w:line="300" w:lineRule="exact"/>
              <w:ind w:hanging="2"/>
              <w:rPr>
                <w:rFonts w:ascii="宋体" w:hAnsi="宋体"/>
                <w:bCs/>
                <w:szCs w:val="21"/>
                <w:highlight w:val="none"/>
              </w:rPr>
            </w:pPr>
            <w:r>
              <w:rPr>
                <w:rFonts w:hint="eastAsia" w:ascii="宋体" w:hAnsi="宋体"/>
                <w:bCs/>
                <w:szCs w:val="21"/>
                <w:highlight w:val="none"/>
              </w:rPr>
              <w:t>投标保证金以转账方式提交到</w:t>
            </w:r>
            <w:r>
              <w:rPr>
                <w:rFonts w:ascii="宋体" w:hAnsi="宋体"/>
                <w:bCs/>
                <w:szCs w:val="21"/>
                <w:highlight w:val="none"/>
              </w:rPr>
              <w:t>:</w:t>
            </w:r>
          </w:p>
          <w:p>
            <w:pPr>
              <w:widowControl/>
              <w:numPr>
                <w:ilvl w:val="2"/>
                <w:numId w:val="4"/>
              </w:numPr>
              <w:tabs>
                <w:tab w:val="left" w:pos="-9463"/>
                <w:tab w:val="clear" w:pos="1560"/>
              </w:tabs>
              <w:snapToGrid w:val="0"/>
              <w:spacing w:line="300" w:lineRule="exact"/>
              <w:ind w:left="0" w:hanging="2"/>
              <w:rPr>
                <w:rFonts w:ascii="宋体" w:hAnsi="宋体"/>
                <w:bCs/>
                <w:szCs w:val="21"/>
                <w:highlight w:val="none"/>
              </w:rPr>
            </w:pPr>
            <w:r>
              <w:rPr>
                <w:rFonts w:hint="eastAsia" w:ascii="宋体" w:hAnsi="宋体"/>
                <w:bCs/>
                <w:szCs w:val="21"/>
                <w:highlight w:val="none"/>
              </w:rPr>
              <w:t>收款人：佛山市恒益环保建材有限公司</w:t>
            </w:r>
          </w:p>
          <w:p>
            <w:pPr>
              <w:widowControl/>
              <w:tabs>
                <w:tab w:val="left" w:pos="-9463"/>
                <w:tab w:val="left" w:pos="720"/>
              </w:tabs>
              <w:snapToGrid w:val="0"/>
              <w:spacing w:line="300" w:lineRule="exact"/>
              <w:rPr>
                <w:rFonts w:ascii="宋体" w:hAnsi="宋体"/>
                <w:b/>
                <w:bCs/>
                <w:color w:val="FF0000"/>
                <w:spacing w:val="-18"/>
                <w:szCs w:val="21"/>
                <w:highlight w:val="none"/>
              </w:rPr>
            </w:pPr>
            <w:r>
              <w:rPr>
                <w:rFonts w:ascii="宋体" w:hAnsi="宋体"/>
                <w:bCs/>
                <w:szCs w:val="21"/>
                <w:highlight w:val="none"/>
              </w:rPr>
              <w:t xml:space="preserve">b.  </w:t>
            </w:r>
            <w:r>
              <w:rPr>
                <w:rFonts w:hint="eastAsia" w:ascii="宋体" w:hAnsi="宋体"/>
                <w:bCs/>
                <w:szCs w:val="21"/>
                <w:highlight w:val="none"/>
              </w:rPr>
              <w:t>开户银行：工行佛山南海丹灶支行</w:t>
            </w:r>
          </w:p>
          <w:p>
            <w:pPr>
              <w:widowControl/>
              <w:numPr>
                <w:ilvl w:val="2"/>
                <w:numId w:val="4"/>
              </w:numPr>
              <w:tabs>
                <w:tab w:val="left" w:pos="-9463"/>
                <w:tab w:val="clear" w:pos="1560"/>
              </w:tabs>
              <w:snapToGrid w:val="0"/>
              <w:spacing w:line="300" w:lineRule="exact"/>
              <w:ind w:left="0" w:hanging="2"/>
              <w:rPr>
                <w:rFonts w:ascii="宋体" w:hAnsi="宋体"/>
                <w:bCs/>
                <w:szCs w:val="21"/>
                <w:highlight w:val="none"/>
              </w:rPr>
            </w:pPr>
            <w:r>
              <w:rPr>
                <w:rFonts w:hint="eastAsia" w:ascii="宋体" w:hAnsi="宋体"/>
                <w:bCs/>
                <w:szCs w:val="21"/>
                <w:highlight w:val="none"/>
              </w:rPr>
              <w:t>账号：</w:t>
            </w:r>
            <w:r>
              <w:rPr>
                <w:rFonts w:ascii="宋体" w:hAnsi="宋体"/>
                <w:bCs/>
                <w:szCs w:val="21"/>
                <w:highlight w:val="none"/>
              </w:rPr>
              <w:t xml:space="preserve"> 2013024409200036018</w:t>
            </w:r>
          </w:p>
          <w:p>
            <w:pPr>
              <w:spacing w:line="320" w:lineRule="exact"/>
              <w:rPr>
                <w:rFonts w:ascii="宋体" w:hAnsi="宋体" w:cs="Arial"/>
                <w:highlight w:val="none"/>
              </w:rPr>
            </w:pPr>
            <w:r>
              <w:rPr>
                <w:rFonts w:hint="eastAsia" w:ascii="宋体" w:hAnsi="宋体"/>
                <w:bCs/>
                <w:szCs w:val="21"/>
                <w:highlight w:val="none"/>
              </w:rPr>
              <w:t>在</w:t>
            </w:r>
            <w:r>
              <w:rPr>
                <w:rFonts w:hint="eastAsia" w:ascii="仿宋_GB2312" w:hAnsi="宋体" w:cs="Arial"/>
                <w:szCs w:val="21"/>
                <w:highlight w:val="none"/>
              </w:rPr>
              <w:t>投标截止日前</w:t>
            </w:r>
            <w:r>
              <w:rPr>
                <w:rFonts w:hint="eastAsia" w:ascii="宋体" w:hAnsi="宋体"/>
                <w:bCs/>
                <w:szCs w:val="21"/>
                <w:highlight w:val="none"/>
              </w:rPr>
              <w:t>汇入并到达招标人账户上，以招标人财务部开具的收据凭证或银行收款凭证为准。限定从投标人基本账户转出，转账凭单请标注项目名称，招标人不接受个人名义提交的投标保证金。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Arial"/>
                <w:highlight w:val="none"/>
              </w:rPr>
            </w:pPr>
            <w:r>
              <w:rPr>
                <w:rFonts w:hint="eastAsia" w:ascii="宋体" w:hAnsi="宋体" w:cs="Arial"/>
                <w:highlight w:val="none"/>
              </w:rPr>
              <w:t>14</w:t>
            </w:r>
          </w:p>
        </w:tc>
        <w:tc>
          <w:tcPr>
            <w:tcW w:w="16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Arial"/>
                <w:highlight w:val="none"/>
              </w:rPr>
            </w:pPr>
            <w:r>
              <w:rPr>
                <w:rFonts w:hint="eastAsia" w:ascii="宋体" w:hAnsi="宋体"/>
                <w:szCs w:val="21"/>
                <w:highlight w:val="none"/>
              </w:rPr>
              <w:t>投标有效期</w:t>
            </w:r>
          </w:p>
        </w:tc>
        <w:tc>
          <w:tcPr>
            <w:tcW w:w="695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Arial"/>
                <w:highlight w:val="none"/>
              </w:rPr>
            </w:pPr>
            <w:r>
              <w:rPr>
                <w:rFonts w:ascii="宋体" w:hAnsi="宋体"/>
                <w:bCs/>
                <w:szCs w:val="21"/>
                <w:highlight w:val="none"/>
              </w:rPr>
              <w:t>120</w:t>
            </w:r>
            <w:r>
              <w:rPr>
                <w:rFonts w:hint="eastAsia" w:ascii="宋体" w:hAnsi="宋体"/>
                <w:bCs/>
                <w:szCs w:val="21"/>
                <w:highlight w:val="none"/>
              </w:rPr>
              <w:t>日历天（从投标截止之日计起）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Arial"/>
                <w:highlight w:val="none"/>
              </w:rPr>
            </w:pPr>
            <w:r>
              <w:rPr>
                <w:rFonts w:hint="eastAsia" w:ascii="宋体" w:hAnsi="宋体" w:cs="Arial"/>
                <w:highlight w:val="none"/>
              </w:rPr>
              <w:t>15</w:t>
            </w:r>
          </w:p>
        </w:tc>
        <w:tc>
          <w:tcPr>
            <w:tcW w:w="16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szCs w:val="21"/>
                <w:highlight w:val="none"/>
              </w:rPr>
            </w:pPr>
            <w:r>
              <w:rPr>
                <w:rFonts w:hint="eastAsia" w:ascii="宋体" w:hAnsi="宋体"/>
                <w:szCs w:val="21"/>
                <w:highlight w:val="none"/>
              </w:rPr>
              <w:t>投标文件份数</w:t>
            </w:r>
          </w:p>
        </w:tc>
        <w:tc>
          <w:tcPr>
            <w:tcW w:w="6954" w:type="dxa"/>
            <w:tcBorders>
              <w:top w:val="single" w:color="auto" w:sz="4" w:space="0"/>
              <w:left w:val="single" w:color="auto" w:sz="4" w:space="0"/>
              <w:bottom w:val="single" w:color="auto" w:sz="4" w:space="0"/>
              <w:right w:val="single" w:color="auto" w:sz="4" w:space="0"/>
            </w:tcBorders>
          </w:tcPr>
          <w:p>
            <w:pPr>
              <w:snapToGrid w:val="0"/>
              <w:spacing w:line="300" w:lineRule="exact"/>
              <w:ind w:hanging="2"/>
              <w:rPr>
                <w:rFonts w:ascii="宋体" w:hAnsi="宋体"/>
                <w:bCs/>
                <w:szCs w:val="21"/>
                <w:highlight w:val="none"/>
              </w:rPr>
            </w:pPr>
            <w:r>
              <w:rPr>
                <w:rFonts w:ascii="宋体" w:hAnsi="宋体"/>
                <w:bCs/>
                <w:szCs w:val="21"/>
                <w:highlight w:val="none"/>
              </w:rPr>
              <w:t>1、</w:t>
            </w:r>
            <w:r>
              <w:rPr>
                <w:rFonts w:hint="eastAsia" w:ascii="宋体" w:hAnsi="宋体"/>
                <w:bCs/>
                <w:szCs w:val="21"/>
                <w:highlight w:val="none"/>
              </w:rPr>
              <w:t>书面投标文件一式</w:t>
            </w:r>
            <w:r>
              <w:rPr>
                <w:rFonts w:ascii="宋体" w:hAnsi="宋体"/>
                <w:bCs/>
                <w:szCs w:val="21"/>
                <w:highlight w:val="none"/>
              </w:rPr>
              <w:t>5份(</w:t>
            </w:r>
            <w:r>
              <w:rPr>
                <w:rFonts w:hint="eastAsia" w:ascii="宋体" w:hAnsi="宋体"/>
                <w:bCs/>
                <w:szCs w:val="21"/>
                <w:highlight w:val="none"/>
              </w:rPr>
              <w:t>正本</w:t>
            </w:r>
            <w:r>
              <w:rPr>
                <w:rFonts w:ascii="宋体" w:hAnsi="宋体"/>
                <w:bCs/>
                <w:szCs w:val="21"/>
                <w:highlight w:val="none"/>
              </w:rPr>
              <w:t>1份，副本4份)</w:t>
            </w:r>
            <w:r>
              <w:rPr>
                <w:rFonts w:hint="eastAsia" w:ascii="宋体" w:hAnsi="宋体"/>
                <w:bCs/>
                <w:szCs w:val="21"/>
                <w:highlight w:val="none"/>
              </w:rPr>
              <w:t>；商务技术文件、价格文件分别密封装订。</w:t>
            </w:r>
          </w:p>
          <w:p>
            <w:pPr>
              <w:tabs>
                <w:tab w:val="left" w:pos="315"/>
                <w:tab w:val="left" w:pos="1785"/>
                <w:tab w:val="left" w:pos="2310"/>
                <w:tab w:val="left" w:pos="8640"/>
              </w:tabs>
              <w:snapToGrid w:val="0"/>
              <w:spacing w:line="300" w:lineRule="exact"/>
              <w:ind w:hanging="2"/>
              <w:rPr>
                <w:rFonts w:ascii="宋体" w:hAnsi="宋体"/>
                <w:bCs/>
                <w:szCs w:val="21"/>
                <w:highlight w:val="none"/>
              </w:rPr>
            </w:pPr>
            <w:r>
              <w:rPr>
                <w:rFonts w:ascii="宋体" w:hAnsi="宋体"/>
                <w:bCs/>
                <w:szCs w:val="21"/>
                <w:highlight w:val="none"/>
              </w:rPr>
              <w:t>2、唱标信封一份；</w:t>
            </w:r>
          </w:p>
          <w:p>
            <w:pPr>
              <w:snapToGrid w:val="0"/>
              <w:spacing w:line="300" w:lineRule="exact"/>
              <w:ind w:hanging="2"/>
              <w:rPr>
                <w:rFonts w:ascii="宋体" w:hAnsi="宋体"/>
                <w:bCs/>
                <w:szCs w:val="21"/>
                <w:highlight w:val="none"/>
              </w:rPr>
            </w:pPr>
            <w:r>
              <w:rPr>
                <w:rFonts w:ascii="宋体" w:hAnsi="宋体"/>
                <w:bCs/>
                <w:szCs w:val="21"/>
                <w:highlight w:val="none"/>
              </w:rPr>
              <w:t>3、投标文件电子版2份（U盘2份）：包括①《商务技术投标文件》的电子版存入U盘（一式1份）</w:t>
            </w:r>
            <w:r>
              <w:rPr>
                <w:rFonts w:hint="eastAsia" w:ascii="宋体" w:hAnsi="宋体"/>
                <w:bCs/>
                <w:szCs w:val="21"/>
                <w:highlight w:val="none"/>
              </w:rPr>
              <w:t>，与书面商务技术投标文件一起密封</w:t>
            </w:r>
            <w:r>
              <w:rPr>
                <w:rFonts w:ascii="宋体" w:hAnsi="宋体"/>
                <w:bCs/>
                <w:szCs w:val="21"/>
                <w:highlight w:val="none"/>
              </w:rPr>
              <w:t>；②《价格投标文件》电子版存入U盘（一式1份）</w:t>
            </w:r>
            <w:r>
              <w:rPr>
                <w:rFonts w:hint="eastAsia" w:ascii="宋体" w:hAnsi="宋体"/>
                <w:bCs/>
                <w:szCs w:val="21"/>
                <w:highlight w:val="none"/>
              </w:rPr>
              <w:t>，与书面价格投标文件一起密封</w:t>
            </w:r>
            <w:r>
              <w:rPr>
                <w:rFonts w:ascii="宋体" w:hAnsi="宋体"/>
                <w:bCs/>
                <w:szCs w:val="21"/>
                <w:highlight w:val="none"/>
              </w:rPr>
              <w:t>；</w:t>
            </w:r>
          </w:p>
          <w:p>
            <w:pPr>
              <w:spacing w:line="320" w:lineRule="exact"/>
              <w:rPr>
                <w:rFonts w:ascii="宋体" w:hAnsi="宋体"/>
                <w:bCs/>
                <w:szCs w:val="21"/>
                <w:highlight w:val="none"/>
              </w:rPr>
            </w:pPr>
            <w:r>
              <w:rPr>
                <w:rFonts w:ascii="宋体" w:hAnsi="宋体"/>
                <w:bCs/>
                <w:szCs w:val="21"/>
                <w:highlight w:val="none"/>
              </w:rPr>
              <w:t xml:space="preserve">4、所有文字说明文件应采用 MS WORD </w:t>
            </w:r>
            <w:r>
              <w:rPr>
                <w:rFonts w:hint="eastAsia" w:ascii="宋体" w:hAnsi="宋体"/>
                <w:bCs/>
                <w:szCs w:val="21"/>
                <w:highlight w:val="none"/>
              </w:rPr>
              <w:t>格式和</w:t>
            </w:r>
            <w:r>
              <w:rPr>
                <w:rFonts w:ascii="宋体" w:hAnsi="宋体"/>
                <w:bCs/>
                <w:szCs w:val="21"/>
                <w:highlight w:val="none"/>
              </w:rPr>
              <w:t xml:space="preserve">PDF格式存储，电子版价格表文件应采用 MS EXCEL </w:t>
            </w:r>
            <w:r>
              <w:rPr>
                <w:rFonts w:hint="eastAsia" w:ascii="宋体" w:hAnsi="宋体"/>
                <w:bCs/>
                <w:szCs w:val="21"/>
                <w:highlight w:val="none"/>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Arial"/>
                <w:highlight w:val="none"/>
              </w:rPr>
            </w:pPr>
            <w:r>
              <w:rPr>
                <w:rFonts w:hint="eastAsia" w:ascii="宋体" w:hAnsi="宋体" w:cs="Arial"/>
                <w:highlight w:val="none"/>
              </w:rPr>
              <w:t>16</w:t>
            </w:r>
          </w:p>
        </w:tc>
        <w:tc>
          <w:tcPr>
            <w:tcW w:w="16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Arial"/>
                <w:highlight w:val="none"/>
              </w:rPr>
            </w:pPr>
            <w:r>
              <w:rPr>
                <w:rFonts w:hint="eastAsia" w:ascii="宋体" w:hAnsi="宋体"/>
                <w:szCs w:val="21"/>
                <w:highlight w:val="none"/>
              </w:rPr>
              <w:t>唱标信封</w:t>
            </w:r>
          </w:p>
        </w:tc>
        <w:tc>
          <w:tcPr>
            <w:tcW w:w="6954" w:type="dxa"/>
            <w:tcBorders>
              <w:top w:val="single" w:color="auto" w:sz="4" w:space="0"/>
              <w:left w:val="single" w:color="auto" w:sz="4" w:space="0"/>
              <w:bottom w:val="single" w:color="auto" w:sz="4" w:space="0"/>
              <w:right w:val="single" w:color="auto" w:sz="4" w:space="0"/>
            </w:tcBorders>
            <w:vAlign w:val="center"/>
          </w:tcPr>
          <w:p>
            <w:pPr>
              <w:spacing w:line="320" w:lineRule="exact"/>
              <w:rPr>
                <w:highlight w:val="none"/>
              </w:rPr>
            </w:pPr>
            <w:r>
              <w:rPr>
                <w:rFonts w:hint="eastAsia"/>
                <w:highlight w:val="none"/>
              </w:rPr>
              <w:t>见投标人须知25.5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Arial"/>
                <w:highlight w:val="none"/>
              </w:rPr>
            </w:pPr>
            <w:r>
              <w:rPr>
                <w:rFonts w:hint="eastAsia" w:ascii="宋体" w:hAnsi="宋体" w:cs="Arial"/>
                <w:highlight w:val="none"/>
              </w:rPr>
              <w:t>17</w:t>
            </w:r>
          </w:p>
        </w:tc>
        <w:tc>
          <w:tcPr>
            <w:tcW w:w="16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eastAsia="宋体"/>
                <w:szCs w:val="21"/>
                <w:highlight w:val="none"/>
                <w:lang w:eastAsia="zh-CN"/>
              </w:rPr>
            </w:pPr>
            <w:r>
              <w:rPr>
                <w:rFonts w:hint="eastAsia" w:ascii="宋体" w:hAnsi="宋体"/>
                <w:szCs w:val="21"/>
                <w:highlight w:val="none"/>
              </w:rPr>
              <w:t>履约</w:t>
            </w:r>
            <w:r>
              <w:rPr>
                <w:rFonts w:hint="eastAsia" w:ascii="宋体" w:hAnsi="宋体"/>
                <w:szCs w:val="21"/>
                <w:highlight w:val="none"/>
                <w:lang w:eastAsia="zh-CN"/>
              </w:rPr>
              <w:t>保证金</w:t>
            </w:r>
          </w:p>
        </w:tc>
        <w:tc>
          <w:tcPr>
            <w:tcW w:w="695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b/>
                <w:bCs/>
                <w:color w:val="FF0000"/>
                <w:spacing w:val="-18"/>
                <w:szCs w:val="21"/>
                <w:highlight w:val="none"/>
              </w:rPr>
            </w:pPr>
            <w:r>
              <w:rPr>
                <w:rFonts w:hint="eastAsia" w:ascii="宋体" w:hAnsi="宋体"/>
                <w:highlight w:val="none"/>
              </w:rPr>
              <w:t>中标人应在合同签订后</w:t>
            </w:r>
            <w:r>
              <w:rPr>
                <w:rFonts w:ascii="宋体" w:hAnsi="宋体"/>
                <w:highlight w:val="none"/>
              </w:rPr>
              <w:t>5个工作日内</w:t>
            </w:r>
            <w:r>
              <w:rPr>
                <w:rFonts w:hint="eastAsia" w:ascii="宋体" w:hAnsi="宋体"/>
                <w:highlight w:val="none"/>
              </w:rPr>
              <w:t>通过转账方式向招标人提供人民币65万元（大写：陆拾伍万元整）作为履约保证金。履约保证缴纳方式为银行转账，</w:t>
            </w:r>
            <w:r>
              <w:rPr>
                <w:rFonts w:hint="eastAsia" w:ascii="宋体" w:hAnsi="宋体"/>
                <w:bCs/>
                <w:szCs w:val="21"/>
                <w:highlight w:val="none"/>
              </w:rPr>
              <w:t>（履约保证金的银行账户信息见前附表13条）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Arial"/>
                <w:highlight w:val="none"/>
              </w:rPr>
            </w:pPr>
            <w:r>
              <w:rPr>
                <w:rFonts w:hint="eastAsia" w:ascii="宋体" w:hAnsi="宋体" w:cs="Arial"/>
                <w:highlight w:val="none"/>
              </w:rPr>
              <w:t>18</w:t>
            </w:r>
          </w:p>
        </w:tc>
        <w:tc>
          <w:tcPr>
            <w:tcW w:w="16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szCs w:val="21"/>
                <w:highlight w:val="none"/>
              </w:rPr>
            </w:pPr>
            <w:r>
              <w:rPr>
                <w:rFonts w:hint="eastAsia" w:ascii="宋体" w:hAnsi="宋体" w:cs="宋体"/>
                <w:szCs w:val="21"/>
                <w:highlight w:val="none"/>
              </w:rPr>
              <w:t>招标控制价或其计算方法</w:t>
            </w:r>
          </w:p>
        </w:tc>
        <w:tc>
          <w:tcPr>
            <w:tcW w:w="6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color w:val="000000"/>
                <w:szCs w:val="21"/>
                <w:highlight w:val="none"/>
                <w:shd w:val="clear" w:color="auto" w:fill="FFFFFF"/>
              </w:rPr>
            </w:pPr>
            <w:r>
              <w:rPr>
                <w:rFonts w:hint="eastAsia" w:ascii="宋体" w:hAnsi="宋体" w:cs="宋体"/>
                <w:color w:val="000000"/>
                <w:szCs w:val="21"/>
                <w:highlight w:val="none"/>
                <w:shd w:val="clear" w:color="auto" w:fill="FFFFFF"/>
              </w:rPr>
              <w:t>本项目最高投标限价：</w:t>
            </w:r>
            <w:r>
              <w:rPr>
                <w:rFonts w:hint="eastAsia" w:ascii="宋体" w:hAnsi="宋体" w:cs="宋体"/>
                <w:color w:val="000000"/>
                <w:szCs w:val="21"/>
                <w:highlight w:val="none"/>
                <w:shd w:val="clear" w:color="auto" w:fill="FFFFFF"/>
              </w:rPr>
              <w:br w:type="textWrapping"/>
            </w:r>
            <w:r>
              <w:rPr>
                <w:rFonts w:hint="eastAsia" w:ascii="宋体" w:hAnsi="宋体" w:cs="宋体"/>
                <w:color w:val="000000"/>
                <w:szCs w:val="21"/>
                <w:highlight w:val="none"/>
                <w:shd w:val="clear" w:color="auto" w:fill="FFFFFF"/>
              </w:rPr>
              <w:t>1.物料转运：        元/吨（含税）；</w:t>
            </w:r>
            <w:r>
              <w:rPr>
                <w:rFonts w:hint="eastAsia" w:ascii="宋体" w:hAnsi="宋体" w:cs="宋体"/>
                <w:color w:val="000000"/>
                <w:szCs w:val="21"/>
                <w:highlight w:val="none"/>
                <w:shd w:val="clear" w:color="auto" w:fill="FFFFFF"/>
              </w:rPr>
              <w:br w:type="textWrapping"/>
            </w:r>
            <w:r>
              <w:rPr>
                <w:rFonts w:hint="eastAsia" w:ascii="宋体" w:hAnsi="宋体" w:cs="宋体"/>
                <w:color w:val="000000"/>
                <w:szCs w:val="21"/>
                <w:highlight w:val="none"/>
                <w:shd w:val="clear" w:color="auto" w:fill="FFFFFF"/>
              </w:rPr>
              <w:t>2.业务外委：       元/立方米（含税）；</w:t>
            </w:r>
            <w:r>
              <w:rPr>
                <w:rFonts w:hint="eastAsia" w:ascii="宋体" w:hAnsi="宋体" w:cs="宋体"/>
                <w:color w:val="000000"/>
                <w:szCs w:val="21"/>
                <w:highlight w:val="none"/>
                <w:shd w:val="clear" w:color="auto" w:fill="FFFFFF"/>
              </w:rPr>
              <w:br w:type="textWrapping"/>
            </w:r>
            <w:r>
              <w:rPr>
                <w:rFonts w:hint="eastAsia" w:ascii="宋体" w:hAnsi="宋体" w:cs="宋体"/>
                <w:color w:val="000000"/>
                <w:szCs w:val="21"/>
                <w:highlight w:val="none"/>
                <w:shd w:val="clear" w:color="auto" w:fill="FFFFFF"/>
              </w:rPr>
              <w:t>3.投标人提供的物料转运含税单价或业务外委含税单价高于最高投标限价的投标文件将被否决。</w:t>
            </w:r>
          </w:p>
          <w:p>
            <w:pPr>
              <w:autoSpaceDE w:val="0"/>
              <w:autoSpaceDN w:val="0"/>
              <w:adjustRightInd w:val="0"/>
              <w:rPr>
                <w:rFonts w:ascii="宋体" w:hAnsi="宋体"/>
                <w:bCs/>
                <w:szCs w:val="21"/>
                <w:highlight w:val="none"/>
                <w:lang w:val="zh-CN"/>
              </w:rPr>
            </w:pPr>
            <w:r>
              <w:rPr>
                <w:rFonts w:hint="eastAsia" w:ascii="宋体" w:hAnsi="宋体" w:cs="宋体"/>
                <w:color w:val="000000"/>
                <w:szCs w:val="21"/>
                <w:highlight w:val="none"/>
                <w:shd w:val="clear" w:color="auto" w:fill="FFFFFF"/>
              </w:rPr>
              <w:t>（说明：最高限价在开标前</w:t>
            </w:r>
            <w:r>
              <w:rPr>
                <w:rFonts w:ascii="宋体" w:hAnsi="宋体" w:cs="宋体"/>
                <w:color w:val="000000"/>
                <w:szCs w:val="21"/>
                <w:highlight w:val="none"/>
                <w:shd w:val="clear" w:color="auto" w:fill="FFFFFF"/>
              </w:rPr>
              <w:t>3个工作日向购买标书的投标人公布）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Arial"/>
                <w:highlight w:val="none"/>
              </w:rPr>
            </w:pPr>
            <w:r>
              <w:rPr>
                <w:rFonts w:hint="eastAsia" w:ascii="宋体" w:hAnsi="宋体" w:cs="Arial"/>
                <w:highlight w:val="none"/>
              </w:rPr>
              <w:t>19</w:t>
            </w:r>
          </w:p>
        </w:tc>
        <w:tc>
          <w:tcPr>
            <w:tcW w:w="16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szCs w:val="21"/>
                <w:highlight w:val="none"/>
              </w:rPr>
            </w:pPr>
            <w:r>
              <w:rPr>
                <w:rFonts w:hint="eastAsia" w:ascii="宋体" w:hAnsi="宋体"/>
                <w:szCs w:val="21"/>
                <w:highlight w:val="none"/>
              </w:rPr>
              <w:t>商务、技术技术、经济标权重分配</w:t>
            </w:r>
          </w:p>
        </w:tc>
        <w:tc>
          <w:tcPr>
            <w:tcW w:w="695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bCs/>
                <w:szCs w:val="21"/>
                <w:highlight w:val="none"/>
              </w:rPr>
            </w:pPr>
            <w:r>
              <w:rPr>
                <w:rFonts w:hint="eastAsia" w:ascii="宋体" w:hAnsi="宋体"/>
                <w:szCs w:val="21"/>
                <w:highlight w:val="none"/>
              </w:rPr>
              <w:t>本项目采用综合评分法，</w:t>
            </w:r>
            <w:r>
              <w:rPr>
                <w:rFonts w:hint="eastAsia" w:ascii="宋体" w:hAnsi="宋体"/>
                <w:b/>
                <w:szCs w:val="21"/>
                <w:highlight w:val="none"/>
              </w:rPr>
              <w:t>（总分</w:t>
            </w:r>
            <w:r>
              <w:rPr>
                <w:rFonts w:ascii="宋体" w:hAnsi="宋体"/>
                <w:b/>
                <w:szCs w:val="21"/>
                <w:highlight w:val="none"/>
              </w:rPr>
              <w:t>100分，其中商务、技术权重</w:t>
            </w:r>
            <w:r>
              <w:rPr>
                <w:rFonts w:hint="eastAsia" w:ascii="宋体" w:hAnsi="宋体"/>
                <w:b/>
                <w:szCs w:val="21"/>
                <w:highlight w:val="none"/>
              </w:rPr>
              <w:t>3</w:t>
            </w:r>
            <w:r>
              <w:rPr>
                <w:rFonts w:ascii="宋体" w:hAnsi="宋体"/>
                <w:b/>
                <w:szCs w:val="21"/>
                <w:highlight w:val="none"/>
              </w:rPr>
              <w:t>0%，价格权重</w:t>
            </w:r>
            <w:r>
              <w:rPr>
                <w:rFonts w:hint="eastAsia" w:ascii="宋体" w:hAnsi="宋体"/>
                <w:b/>
                <w:szCs w:val="21"/>
                <w:highlight w:val="none"/>
              </w:rPr>
              <w:t>7</w:t>
            </w:r>
            <w:r>
              <w:rPr>
                <w:rFonts w:ascii="宋体" w:hAnsi="宋体"/>
                <w:b/>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Arial"/>
                <w:highlight w:val="none"/>
              </w:rPr>
            </w:pPr>
            <w:r>
              <w:rPr>
                <w:rFonts w:hint="eastAsia" w:ascii="宋体" w:hAnsi="宋体" w:cs="Arial"/>
                <w:highlight w:val="none"/>
              </w:rPr>
              <w:t>20</w:t>
            </w:r>
          </w:p>
        </w:tc>
        <w:tc>
          <w:tcPr>
            <w:tcW w:w="16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Arial"/>
                <w:highlight w:val="none"/>
              </w:rPr>
            </w:pPr>
            <w:r>
              <w:rPr>
                <w:rFonts w:hint="eastAsia" w:ascii="宋体" w:hAnsi="宋体"/>
                <w:szCs w:val="21"/>
                <w:highlight w:val="none"/>
              </w:rPr>
              <w:t>评委人数</w:t>
            </w:r>
          </w:p>
        </w:tc>
        <w:tc>
          <w:tcPr>
            <w:tcW w:w="6954" w:type="dxa"/>
            <w:tcBorders>
              <w:top w:val="single" w:color="auto" w:sz="4" w:space="0"/>
              <w:left w:val="single" w:color="auto" w:sz="4" w:space="0"/>
              <w:bottom w:val="single" w:color="auto" w:sz="4" w:space="0"/>
              <w:right w:val="single" w:color="auto" w:sz="4" w:space="0"/>
            </w:tcBorders>
            <w:vAlign w:val="center"/>
          </w:tcPr>
          <w:p>
            <w:pPr>
              <w:spacing w:line="320" w:lineRule="exact"/>
              <w:rPr>
                <w:highlight w:val="none"/>
              </w:rPr>
            </w:pPr>
            <w:r>
              <w:rPr>
                <w:rFonts w:hint="eastAsia" w:ascii="宋体" w:hAnsi="宋体"/>
                <w:bCs/>
                <w:szCs w:val="21"/>
                <w:highlight w:val="none"/>
              </w:rPr>
              <w:t>本项目设置评委</w:t>
            </w:r>
            <w:r>
              <w:rPr>
                <w:rFonts w:ascii="宋体" w:hAnsi="宋体"/>
                <w:bCs/>
                <w:szCs w:val="21"/>
                <w:highlight w:val="none"/>
              </w:rPr>
              <w:t xml:space="preserve"> 5</w:t>
            </w:r>
            <w:r>
              <w:rPr>
                <w:rFonts w:hint="eastAsia" w:ascii="宋体" w:hAnsi="宋体"/>
                <w:bCs/>
                <w:szCs w:val="21"/>
                <w:highlight w:val="none"/>
              </w:rPr>
              <w:t>名，由1名业主评委和4名专家组成。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0"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Arial"/>
                <w:highlight w:val="none"/>
              </w:rPr>
            </w:pPr>
            <w:r>
              <w:rPr>
                <w:rFonts w:hint="eastAsia" w:ascii="宋体" w:hAnsi="宋体" w:cs="Arial"/>
                <w:highlight w:val="none"/>
              </w:rPr>
              <w:t>21</w:t>
            </w:r>
          </w:p>
        </w:tc>
        <w:tc>
          <w:tcPr>
            <w:tcW w:w="16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szCs w:val="21"/>
                <w:highlight w:val="none"/>
              </w:rPr>
            </w:pPr>
            <w:r>
              <w:rPr>
                <w:rFonts w:hint="eastAsia" w:ascii="宋体" w:hAnsi="宋体" w:cs="宋体"/>
                <w:szCs w:val="21"/>
                <w:highlight w:val="none"/>
              </w:rPr>
              <w:t>集中载明否决投标条款</w:t>
            </w:r>
          </w:p>
        </w:tc>
        <w:tc>
          <w:tcPr>
            <w:tcW w:w="69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szCs w:val="21"/>
                <w:highlight w:val="none"/>
              </w:rPr>
            </w:pPr>
            <w:r>
              <w:rPr>
                <w:rFonts w:ascii="宋体" w:hAnsi="宋体" w:cs="宋体"/>
                <w:szCs w:val="21"/>
                <w:highlight w:val="none"/>
              </w:rPr>
              <w:t>1、开标时，投标文件出现下列情况之一的，招标人将按废标处理：</w:t>
            </w:r>
          </w:p>
          <w:p>
            <w:pPr>
              <w:widowControl/>
              <w:spacing w:line="320" w:lineRule="exact"/>
              <w:jc w:val="left"/>
              <w:rPr>
                <w:rFonts w:ascii="宋体" w:hAnsi="宋体" w:cs="宋体"/>
                <w:szCs w:val="21"/>
                <w:highlight w:val="none"/>
              </w:rPr>
            </w:pPr>
            <w:r>
              <w:rPr>
                <w:rFonts w:ascii="宋体" w:hAnsi="宋体" w:cs="宋体"/>
                <w:szCs w:val="21"/>
                <w:highlight w:val="none"/>
              </w:rPr>
              <w:t>A</w:t>
            </w:r>
            <w:r>
              <w:rPr>
                <w:rFonts w:hint="eastAsia" w:ascii="宋体" w:hAnsi="宋体" w:cs="宋体"/>
                <w:szCs w:val="21"/>
                <w:highlight w:val="none"/>
              </w:rPr>
              <w:t>、投标人未在投标截止时间前递交投标文件的。</w:t>
            </w:r>
          </w:p>
          <w:p>
            <w:pPr>
              <w:widowControl/>
              <w:spacing w:line="320" w:lineRule="exact"/>
              <w:jc w:val="left"/>
              <w:rPr>
                <w:rFonts w:ascii="宋体" w:hAnsi="宋体" w:cs="宋体"/>
                <w:szCs w:val="21"/>
                <w:highlight w:val="none"/>
              </w:rPr>
            </w:pPr>
            <w:r>
              <w:rPr>
                <w:rFonts w:ascii="宋体" w:hAnsi="宋体" w:cs="宋体"/>
                <w:szCs w:val="21"/>
                <w:highlight w:val="none"/>
              </w:rPr>
              <w:t>B</w:t>
            </w:r>
            <w:r>
              <w:rPr>
                <w:rFonts w:hint="eastAsia" w:ascii="宋体" w:hAnsi="宋体" w:cs="宋体"/>
                <w:szCs w:val="21"/>
                <w:highlight w:val="none"/>
              </w:rPr>
              <w:t>、未按招标文件要求提供投标担保的。</w:t>
            </w:r>
          </w:p>
          <w:p>
            <w:pPr>
              <w:widowControl/>
              <w:spacing w:line="320" w:lineRule="exact"/>
              <w:jc w:val="left"/>
              <w:rPr>
                <w:rFonts w:ascii="宋体" w:hAnsi="宋体" w:cs="宋体"/>
                <w:szCs w:val="21"/>
                <w:highlight w:val="none"/>
              </w:rPr>
            </w:pPr>
            <w:r>
              <w:rPr>
                <w:rFonts w:ascii="宋体" w:hAnsi="宋体" w:cs="宋体"/>
                <w:szCs w:val="21"/>
                <w:highlight w:val="none"/>
              </w:rPr>
              <w:t>C</w:t>
            </w:r>
            <w:r>
              <w:rPr>
                <w:rFonts w:hint="eastAsia" w:ascii="宋体" w:hAnsi="宋体" w:cs="宋体"/>
                <w:szCs w:val="21"/>
                <w:highlight w:val="none"/>
              </w:rPr>
              <w:t>、投标人应保证所提交给招标人的投标文件（含相关资料和数据）资料和数据是真实的，并承担相应的法律责任。如有作假，一经发现立即拒绝其投标。</w:t>
            </w:r>
          </w:p>
          <w:p>
            <w:pPr>
              <w:widowControl/>
              <w:spacing w:line="320" w:lineRule="exact"/>
              <w:jc w:val="left"/>
              <w:rPr>
                <w:rFonts w:ascii="宋体" w:hAnsi="宋体" w:cs="宋体"/>
                <w:szCs w:val="21"/>
                <w:highlight w:val="none"/>
              </w:rPr>
            </w:pPr>
            <w:r>
              <w:rPr>
                <w:rFonts w:ascii="宋体" w:hAnsi="宋体" w:cs="宋体"/>
                <w:szCs w:val="21"/>
                <w:highlight w:val="none"/>
              </w:rPr>
              <w:t>D</w:t>
            </w:r>
            <w:r>
              <w:rPr>
                <w:rFonts w:hint="eastAsia" w:ascii="宋体" w:hAnsi="宋体" w:cs="宋体"/>
                <w:szCs w:val="21"/>
                <w:highlight w:val="none"/>
              </w:rPr>
              <w:t>、投标文件应根据《投标人须知前附表》第</w:t>
            </w:r>
            <w:r>
              <w:rPr>
                <w:rFonts w:ascii="宋体" w:hAnsi="宋体" w:cs="宋体"/>
                <w:szCs w:val="21"/>
                <w:highlight w:val="none"/>
              </w:rPr>
              <w:t>14项规定的时间内保持有效。投标有效期比规定期限短的将被视为非响应投标而予以拒绝。</w:t>
            </w:r>
          </w:p>
          <w:p>
            <w:pPr>
              <w:widowControl/>
              <w:spacing w:line="320" w:lineRule="exact"/>
              <w:jc w:val="left"/>
              <w:rPr>
                <w:rFonts w:ascii="宋体" w:hAnsi="宋体" w:cs="宋体"/>
                <w:szCs w:val="21"/>
                <w:highlight w:val="none"/>
              </w:rPr>
            </w:pPr>
            <w:r>
              <w:rPr>
                <w:rFonts w:ascii="宋体" w:hAnsi="宋体" w:cs="宋体"/>
                <w:szCs w:val="21"/>
                <w:highlight w:val="none"/>
              </w:rPr>
              <w:t>2、资格审查有一项不符合</w:t>
            </w:r>
            <w:r>
              <w:rPr>
                <w:rFonts w:hint="eastAsia" w:ascii="宋体" w:hAnsi="宋体" w:cs="宋体"/>
                <w:szCs w:val="21"/>
                <w:highlight w:val="none"/>
              </w:rPr>
              <w:t>招标文件第三章</w:t>
            </w:r>
            <w:r>
              <w:rPr>
                <w:rFonts w:ascii="宋体" w:hAnsi="宋体" w:cs="宋体"/>
                <w:szCs w:val="21"/>
                <w:highlight w:val="none"/>
              </w:rPr>
              <w:t xml:space="preserve"> 开标、评标及定标办法 </w:t>
            </w:r>
            <w:r>
              <w:rPr>
                <w:rFonts w:hint="eastAsia" w:ascii="宋体" w:hAnsi="宋体" w:cs="宋体"/>
                <w:szCs w:val="21"/>
                <w:highlight w:val="none"/>
              </w:rPr>
              <w:t>《附表</w:t>
            </w:r>
            <w:r>
              <w:rPr>
                <w:rFonts w:ascii="宋体" w:hAnsi="宋体" w:cs="宋体"/>
                <w:szCs w:val="21"/>
                <w:highlight w:val="none"/>
              </w:rPr>
              <w:t>1：投标人资格审查表》中情形的，作废标处理。</w:t>
            </w:r>
          </w:p>
          <w:p>
            <w:pPr>
              <w:widowControl/>
              <w:spacing w:line="320" w:lineRule="exact"/>
              <w:jc w:val="left"/>
              <w:rPr>
                <w:rFonts w:ascii="宋体" w:hAnsi="宋体" w:cs="宋体"/>
                <w:szCs w:val="21"/>
                <w:highlight w:val="none"/>
              </w:rPr>
            </w:pPr>
            <w:r>
              <w:rPr>
                <w:rFonts w:ascii="宋体" w:hAnsi="宋体" w:cs="宋体"/>
                <w:szCs w:val="21"/>
                <w:highlight w:val="none"/>
              </w:rPr>
              <w:t>3、商务、技术标有效性审查有一项不符合《附表2：商务、技术标有效性审查表》中情形的，作废标处理。</w:t>
            </w:r>
          </w:p>
          <w:p>
            <w:pPr>
              <w:widowControl/>
              <w:spacing w:line="320" w:lineRule="exact"/>
              <w:jc w:val="left"/>
              <w:rPr>
                <w:rFonts w:ascii="宋体" w:hAnsi="宋体" w:cs="宋体"/>
                <w:szCs w:val="21"/>
                <w:highlight w:val="none"/>
              </w:rPr>
            </w:pPr>
            <w:r>
              <w:rPr>
                <w:rFonts w:ascii="宋体" w:hAnsi="宋体" w:cs="宋体"/>
                <w:szCs w:val="21"/>
                <w:highlight w:val="none"/>
              </w:rPr>
              <w:t>4、经济标有效性审查有一项不符合《附表3：经济标有效性审查表》中情形的，作废标处理。</w:t>
            </w:r>
          </w:p>
          <w:p>
            <w:pPr>
              <w:widowControl/>
              <w:numPr>
                <w:ilvl w:val="255"/>
                <w:numId w:val="0"/>
              </w:numPr>
              <w:spacing w:line="320" w:lineRule="exact"/>
              <w:jc w:val="left"/>
              <w:rPr>
                <w:rFonts w:ascii="宋体" w:hAnsi="宋体" w:cs="宋体"/>
                <w:szCs w:val="21"/>
                <w:highlight w:val="none"/>
              </w:rPr>
            </w:pPr>
            <w:r>
              <w:rPr>
                <w:rFonts w:ascii="宋体" w:hAnsi="宋体" w:cs="宋体"/>
                <w:szCs w:val="21"/>
                <w:highlight w:val="none"/>
              </w:rPr>
              <w:t>5、如果投标人不接受修正后的报价，则取消其投标资格，并且其投标担保也将不予退还。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0"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Arial"/>
                <w:highlight w:val="none"/>
              </w:rPr>
            </w:pPr>
            <w:r>
              <w:rPr>
                <w:rFonts w:hint="eastAsia" w:ascii="宋体" w:hAnsi="宋体" w:cs="Arial"/>
                <w:highlight w:val="none"/>
              </w:rPr>
              <w:t>22</w:t>
            </w:r>
          </w:p>
        </w:tc>
        <w:tc>
          <w:tcPr>
            <w:tcW w:w="16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Arial"/>
                <w:highlight w:val="none"/>
              </w:rPr>
            </w:pPr>
            <w:r>
              <w:rPr>
                <w:rFonts w:hint="eastAsia" w:ascii="宋体" w:hAnsi="宋体"/>
                <w:szCs w:val="21"/>
                <w:highlight w:val="none"/>
              </w:rPr>
              <w:t>中标候选人公示媒介及时间</w:t>
            </w:r>
          </w:p>
        </w:tc>
        <w:tc>
          <w:tcPr>
            <w:tcW w:w="6954" w:type="dxa"/>
            <w:tcBorders>
              <w:top w:val="single" w:color="auto" w:sz="4" w:space="0"/>
              <w:left w:val="single" w:color="auto" w:sz="4" w:space="0"/>
              <w:bottom w:val="single" w:color="auto" w:sz="4" w:space="0"/>
              <w:right w:val="single" w:color="auto" w:sz="4" w:space="0"/>
            </w:tcBorders>
            <w:vAlign w:val="center"/>
          </w:tcPr>
          <w:p>
            <w:pPr>
              <w:pStyle w:val="210"/>
              <w:numPr>
                <w:ilvl w:val="0"/>
                <w:numId w:val="5"/>
              </w:numPr>
              <w:spacing w:line="320" w:lineRule="exact"/>
              <w:ind w:firstLineChars="0"/>
              <w:rPr>
                <w:highlight w:val="none"/>
              </w:rPr>
            </w:pPr>
            <w:r>
              <w:rPr>
                <w:rFonts w:hint="eastAsia"/>
                <w:highlight w:val="none"/>
              </w:rPr>
              <w:t>公示媒介：</w:t>
            </w:r>
          </w:p>
          <w:p>
            <w:pPr>
              <w:pStyle w:val="210"/>
              <w:spacing w:line="320" w:lineRule="exact"/>
              <w:ind w:left="420" w:firstLine="46" w:firstLineChars="22"/>
              <w:rPr>
                <w:highlight w:val="none"/>
              </w:rPr>
            </w:pPr>
            <w:r>
              <w:rPr>
                <w:rFonts w:hint="eastAsia"/>
                <w:highlight w:val="none"/>
              </w:rPr>
              <w:t>佛山市公共资源交易网（http://www.fsggzy.cn/）</w:t>
            </w:r>
          </w:p>
          <w:p>
            <w:pPr>
              <w:pStyle w:val="210"/>
              <w:spacing w:line="320" w:lineRule="exact"/>
              <w:ind w:left="420" w:firstLine="46" w:firstLineChars="22"/>
              <w:rPr>
                <w:highlight w:val="none"/>
              </w:rPr>
            </w:pPr>
            <w:r>
              <w:rPr>
                <w:rFonts w:hint="eastAsia"/>
                <w:highlight w:val="none"/>
              </w:rPr>
              <w:t>中国采购与招标网（https://www.chinabidding.com.cn/index.html）</w:t>
            </w:r>
          </w:p>
          <w:p>
            <w:pPr>
              <w:pStyle w:val="210"/>
              <w:spacing w:line="320" w:lineRule="exact"/>
              <w:ind w:left="420" w:firstLine="46" w:firstLineChars="22"/>
              <w:rPr>
                <w:highlight w:val="none"/>
              </w:rPr>
            </w:pPr>
            <w:r>
              <w:rPr>
                <w:rFonts w:hint="eastAsia"/>
                <w:highlight w:val="none"/>
              </w:rPr>
              <w:t>招标代理机构网站（http://www.gdzczb.com/）</w:t>
            </w:r>
          </w:p>
          <w:p>
            <w:pPr>
              <w:pStyle w:val="210"/>
              <w:spacing w:line="320" w:lineRule="exact"/>
              <w:ind w:left="420" w:firstLine="46" w:firstLineChars="22"/>
              <w:rPr>
                <w:highlight w:val="none"/>
              </w:rPr>
            </w:pPr>
            <w:r>
              <w:rPr>
                <w:rFonts w:hint="eastAsia" w:ascii="宋体" w:hAnsi="宋体"/>
                <w:szCs w:val="21"/>
                <w:highlight w:val="none"/>
              </w:rPr>
              <w:t>广州发展电子采购平台</w:t>
            </w:r>
            <w:r>
              <w:rPr>
                <w:rFonts w:hint="eastAsia"/>
                <w:highlight w:val="none"/>
              </w:rPr>
              <w:t>·</w:t>
            </w:r>
          </w:p>
          <w:p>
            <w:pPr>
              <w:pStyle w:val="210"/>
              <w:numPr>
                <w:ilvl w:val="0"/>
                <w:numId w:val="5"/>
              </w:numPr>
              <w:spacing w:line="320" w:lineRule="exact"/>
              <w:ind w:firstLineChars="0"/>
              <w:rPr>
                <w:highlight w:val="none"/>
              </w:rPr>
            </w:pPr>
            <w:r>
              <w:rPr>
                <w:highlight w:val="none"/>
              </w:rPr>
              <w:fldChar w:fldCharType="begin"/>
            </w:r>
            <w:r>
              <w:rPr>
                <w:highlight w:val="none"/>
              </w:rPr>
              <w:instrText xml:space="preserve"> HYPERLINK "http://www.fsggzy.cn），公示3/" </w:instrText>
            </w:r>
            <w:r>
              <w:rPr>
                <w:highlight w:val="none"/>
              </w:rPr>
              <w:fldChar w:fldCharType="separate"/>
            </w:r>
            <w:r>
              <w:rPr>
                <w:rFonts w:hint="eastAsia"/>
                <w:highlight w:val="none"/>
              </w:rPr>
              <w:t>公示时间：</w:t>
            </w:r>
            <w:r>
              <w:rPr>
                <w:highlight w:val="none"/>
              </w:rPr>
              <w:t>3</w:t>
            </w:r>
            <w:r>
              <w:rPr>
                <w:highlight w:val="none"/>
              </w:rPr>
              <w:fldChar w:fldCharType="end"/>
            </w:r>
            <w:r>
              <w:rPr>
                <w:rFonts w:hint="eastAsia"/>
                <w:highlight w:val="none"/>
              </w:rPr>
              <w:t>个工作日。</w:t>
            </w:r>
          </w:p>
        </w:tc>
      </w:tr>
    </w:tbl>
    <w:p>
      <w:pPr>
        <w:pStyle w:val="3"/>
        <w:keepNext w:val="0"/>
        <w:keepLines w:val="0"/>
        <w:numPr>
          <w:ilvl w:val="0"/>
          <w:numId w:val="0"/>
        </w:numPr>
        <w:spacing w:before="0" w:afterLines="50" w:line="400" w:lineRule="exact"/>
        <w:rPr>
          <w:rFonts w:asciiTheme="minorEastAsia" w:hAnsiTheme="minorEastAsia" w:eastAsiaTheme="minorEastAsia"/>
          <w:sz w:val="21"/>
          <w:szCs w:val="21"/>
          <w:highlight w:val="none"/>
        </w:rPr>
      </w:pPr>
      <w:r>
        <w:rPr>
          <w:rFonts w:hint="eastAsia" w:ascii="宋体" w:hAnsi="宋体" w:eastAsia="宋体"/>
          <w:b w:val="0"/>
          <w:highlight w:val="none"/>
        </w:rPr>
        <w:br w:type="page"/>
      </w:r>
      <w:bookmarkStart w:id="27" w:name="_Toc27244"/>
      <w:bookmarkStart w:id="28" w:name="_Toc32202"/>
      <w:bookmarkStart w:id="29" w:name="_Toc18664"/>
      <w:bookmarkStart w:id="30" w:name="_Toc22802"/>
      <w:bookmarkStart w:id="31" w:name="_Toc9630"/>
      <w:r>
        <w:rPr>
          <w:rFonts w:hint="eastAsia" w:asciiTheme="minorEastAsia" w:hAnsiTheme="minorEastAsia" w:eastAsiaTheme="minorEastAsia"/>
          <w:sz w:val="21"/>
          <w:szCs w:val="21"/>
          <w:highlight w:val="none"/>
        </w:rPr>
        <w:t>二、投标人须知通用条款</w:t>
      </w:r>
      <w:bookmarkEnd w:id="27"/>
      <w:bookmarkEnd w:id="28"/>
      <w:bookmarkEnd w:id="29"/>
      <w:bookmarkEnd w:id="30"/>
      <w:bookmarkEnd w:id="31"/>
    </w:p>
    <w:p>
      <w:pPr>
        <w:spacing w:line="360" w:lineRule="auto"/>
        <w:jc w:val="center"/>
        <w:outlineLvl w:val="1"/>
        <w:rPr>
          <w:rFonts w:asciiTheme="minorEastAsia" w:hAnsiTheme="minorEastAsia" w:eastAsiaTheme="minorEastAsia"/>
          <w:b/>
          <w:szCs w:val="21"/>
          <w:highlight w:val="none"/>
        </w:rPr>
      </w:pPr>
      <w:bookmarkStart w:id="32" w:name="_Toc20014"/>
      <w:bookmarkStart w:id="33" w:name="_Toc30726"/>
      <w:bookmarkStart w:id="34" w:name="_Toc10287"/>
      <w:bookmarkStart w:id="35" w:name="_Toc15060"/>
      <w:bookmarkStart w:id="36" w:name="_Toc17244"/>
      <w:r>
        <w:rPr>
          <w:rFonts w:hint="eastAsia" w:asciiTheme="minorEastAsia" w:hAnsiTheme="minorEastAsia" w:eastAsiaTheme="minorEastAsia"/>
          <w:b/>
          <w:szCs w:val="21"/>
          <w:highlight w:val="none"/>
        </w:rPr>
        <w:t>（一）总则</w:t>
      </w:r>
      <w:bookmarkEnd w:id="32"/>
      <w:bookmarkEnd w:id="33"/>
      <w:bookmarkEnd w:id="34"/>
      <w:bookmarkEnd w:id="35"/>
      <w:bookmarkEnd w:id="36"/>
    </w:p>
    <w:p>
      <w:pPr>
        <w:pStyle w:val="4"/>
        <w:keepNext w:val="0"/>
        <w:keepLines w:val="0"/>
        <w:numPr>
          <w:ilvl w:val="0"/>
          <w:numId w:val="6"/>
        </w:numPr>
        <w:tabs>
          <w:tab w:val="left" w:pos="851"/>
        </w:tabs>
        <w:spacing w:before="0" w:after="0" w:line="360" w:lineRule="auto"/>
        <w:rPr>
          <w:rFonts w:asciiTheme="minorEastAsia" w:hAnsiTheme="minorEastAsia" w:eastAsiaTheme="minorEastAsia"/>
          <w:b w:val="0"/>
          <w:sz w:val="21"/>
          <w:szCs w:val="21"/>
          <w:highlight w:val="none"/>
        </w:rPr>
      </w:pPr>
      <w:bookmarkStart w:id="37" w:name="_Toc25300"/>
      <w:bookmarkStart w:id="38" w:name="_Toc28805"/>
      <w:bookmarkStart w:id="39" w:name="_Toc26805"/>
      <w:bookmarkStart w:id="40" w:name="_Toc32158"/>
      <w:bookmarkStart w:id="41" w:name="_Toc7652"/>
      <w:r>
        <w:rPr>
          <w:rFonts w:asciiTheme="minorEastAsia" w:hAnsiTheme="minorEastAsia" w:eastAsiaTheme="minorEastAsia"/>
          <w:sz w:val="21"/>
          <w:szCs w:val="21"/>
          <w:highlight w:val="none"/>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193675</wp:posOffset>
                </wp:positionV>
                <wp:extent cx="635" cy="0"/>
                <wp:effectExtent l="0" t="0" r="0" b="0"/>
                <wp:wrapNone/>
                <wp:docPr id="2" name="Line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Line 3" o:spid="_x0000_s1026" o:spt="20" style="position:absolute;left:0pt;margin-left:0pt;margin-top:15.25pt;height:0pt;width:0.05pt;z-index:251658240;mso-width-relative:page;mso-height-relative:page;" filled="f" stroked="t" coordsize="21600,21600" o:allowincell="f" o:gfxdata="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DR6&#10;BKDQAAAAAwEAAA8AAAAAAAAAAQAgAAAAIgAAAGRycy9kb3ducmV2LnhtbFBLAQIUABQAAAAIAIdO&#10;4kC7r7rwuQEAAIkDAAAOAAAAAAAAAAEAIAAAAB8BAABkcnMvZTJvRG9jLnhtbFBLBQYAAAAABgAG&#10;AFkBAABKBQAAAAA=&#10;">
                <v:fill on="f" focussize="0,0"/>
                <v:stroke color="#000000" joinstyle="round"/>
                <v:imagedata o:title=""/>
                <o:lock v:ext="edit" aspectratio="f"/>
              </v:line>
            </w:pict>
          </mc:Fallback>
        </mc:AlternateContent>
      </w:r>
      <w:bookmarkStart w:id="42" w:name="_2．概述"/>
      <w:bookmarkEnd w:id="42"/>
      <w:r>
        <w:rPr>
          <w:rFonts w:hint="eastAsia" w:asciiTheme="minorEastAsia" w:hAnsiTheme="minorEastAsia" w:eastAsiaTheme="minorEastAsia"/>
          <w:sz w:val="21"/>
          <w:szCs w:val="21"/>
          <w:highlight w:val="none"/>
        </w:rPr>
        <w:t>适用范围</w:t>
      </w:r>
      <w:bookmarkEnd w:id="37"/>
      <w:bookmarkEnd w:id="38"/>
      <w:bookmarkEnd w:id="39"/>
      <w:bookmarkEnd w:id="40"/>
      <w:bookmarkEnd w:id="41"/>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 </w:t>
      </w:r>
      <w:r>
        <w:rPr>
          <w:rFonts w:hint="eastAsia" w:asciiTheme="minorEastAsia" w:hAnsiTheme="minorEastAsia" w:eastAsiaTheme="minorEastAsia"/>
          <w:szCs w:val="21"/>
          <w:highlight w:val="none"/>
        </w:rPr>
        <w:t>本次招标文件仅适用于《投标人须知前附表》第</w:t>
      </w:r>
      <w:r>
        <w:rPr>
          <w:rFonts w:asciiTheme="minorEastAsia" w:hAnsiTheme="minorEastAsia" w:eastAsiaTheme="minorEastAsia"/>
          <w:szCs w:val="21"/>
          <w:highlight w:val="none"/>
        </w:rPr>
        <w:t>1项所叙述的采购项目相关采购。</w:t>
      </w:r>
    </w:p>
    <w:p>
      <w:pPr>
        <w:pStyle w:val="4"/>
        <w:keepNext w:val="0"/>
        <w:keepLines w:val="0"/>
        <w:numPr>
          <w:ilvl w:val="0"/>
          <w:numId w:val="6"/>
        </w:numPr>
        <w:tabs>
          <w:tab w:val="left" w:pos="851"/>
        </w:tabs>
        <w:spacing w:before="0" w:after="0" w:line="360" w:lineRule="auto"/>
        <w:rPr>
          <w:rFonts w:asciiTheme="minorEastAsia" w:hAnsiTheme="minorEastAsia" w:eastAsiaTheme="minorEastAsia"/>
          <w:b w:val="0"/>
          <w:sz w:val="21"/>
          <w:szCs w:val="21"/>
          <w:highlight w:val="none"/>
        </w:rPr>
      </w:pPr>
      <w:bookmarkStart w:id="43" w:name="_Toc18426"/>
      <w:bookmarkStart w:id="44" w:name="_Toc31294"/>
      <w:bookmarkStart w:id="45" w:name="_Toc28205"/>
      <w:bookmarkStart w:id="46" w:name="_Toc32681"/>
      <w:bookmarkStart w:id="47" w:name="_Toc15638"/>
      <w:r>
        <w:rPr>
          <w:rFonts w:hint="eastAsia" w:asciiTheme="minorEastAsia" w:hAnsiTheme="minorEastAsia" w:eastAsiaTheme="minorEastAsia"/>
          <w:sz w:val="21"/>
          <w:szCs w:val="21"/>
          <w:highlight w:val="none"/>
        </w:rPr>
        <w:t>项目说明</w:t>
      </w:r>
      <w:bookmarkEnd w:id="43"/>
      <w:bookmarkEnd w:id="44"/>
      <w:bookmarkEnd w:id="45"/>
      <w:bookmarkEnd w:id="46"/>
      <w:bookmarkEnd w:id="47"/>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2.1本招标项目按照《中华人民共和国招标投标法》等有关法律、行政法规、规章和规范性文件，通过招标方式选定承包人。</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2.2招标方式：本次招标采用</w:t>
      </w:r>
      <w:r>
        <w:rPr>
          <w:rFonts w:hint="eastAsia" w:asciiTheme="minorEastAsia" w:hAnsiTheme="minorEastAsia" w:eastAsiaTheme="minorEastAsia"/>
          <w:szCs w:val="21"/>
          <w:highlight w:val="none"/>
          <w:u w:val="single"/>
        </w:rPr>
        <w:t>公开招标的</w:t>
      </w:r>
      <w:r>
        <w:rPr>
          <w:rFonts w:hint="eastAsia" w:asciiTheme="minorEastAsia" w:hAnsiTheme="minorEastAsia" w:eastAsiaTheme="minorEastAsia"/>
          <w:szCs w:val="21"/>
          <w:highlight w:val="none"/>
        </w:rPr>
        <w:t>方式进行。</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2.3项目名称、招标范围、服务要求、报价方式等均在投标人须知前附表中列明。</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2.4设计说明：详见招标图纸（若有）。</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2.5资金来源：见《投标人须知前附表》。</w:t>
      </w:r>
    </w:p>
    <w:p>
      <w:pPr>
        <w:pStyle w:val="4"/>
        <w:keepNext w:val="0"/>
        <w:keepLines w:val="0"/>
        <w:numPr>
          <w:ilvl w:val="0"/>
          <w:numId w:val="6"/>
        </w:numPr>
        <w:tabs>
          <w:tab w:val="left" w:pos="851"/>
        </w:tabs>
        <w:spacing w:before="0" w:after="0" w:line="360" w:lineRule="auto"/>
        <w:rPr>
          <w:rFonts w:asciiTheme="minorEastAsia" w:hAnsiTheme="minorEastAsia" w:eastAsiaTheme="minorEastAsia"/>
          <w:b w:val="0"/>
          <w:sz w:val="21"/>
          <w:szCs w:val="21"/>
          <w:highlight w:val="none"/>
        </w:rPr>
      </w:pPr>
      <w:bookmarkStart w:id="48" w:name="_Toc24167"/>
      <w:bookmarkStart w:id="49" w:name="_Toc15810"/>
      <w:bookmarkStart w:id="50" w:name="_Toc6223"/>
      <w:bookmarkStart w:id="51" w:name="_Toc8035"/>
      <w:bookmarkStart w:id="52" w:name="_Toc26009"/>
      <w:r>
        <w:rPr>
          <w:rFonts w:hint="eastAsia" w:asciiTheme="minorEastAsia" w:hAnsiTheme="minorEastAsia" w:eastAsiaTheme="minorEastAsia"/>
          <w:sz w:val="21"/>
          <w:szCs w:val="21"/>
          <w:highlight w:val="none"/>
        </w:rPr>
        <w:t>定义及解释</w:t>
      </w:r>
      <w:bookmarkEnd w:id="48"/>
      <w:bookmarkEnd w:id="49"/>
      <w:bookmarkEnd w:id="50"/>
      <w:bookmarkEnd w:id="51"/>
      <w:bookmarkEnd w:id="52"/>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3.</w:t>
      </w:r>
      <w:r>
        <w:rPr>
          <w:rFonts w:hint="eastAsia" w:asciiTheme="minorEastAsia" w:hAnsiTheme="minorEastAsia" w:eastAsiaTheme="minorEastAsia"/>
          <w:szCs w:val="21"/>
          <w:highlight w:val="none"/>
        </w:rPr>
        <w:t>1服务：投标人提供的服务内容以及用户需求书中要求的服务相关内容。</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3.</w:t>
      </w:r>
      <w:r>
        <w:rPr>
          <w:rFonts w:hint="eastAsia" w:asciiTheme="minorEastAsia" w:hAnsiTheme="minorEastAsia" w:eastAsiaTheme="minorEastAsia"/>
          <w:szCs w:val="21"/>
          <w:highlight w:val="none"/>
        </w:rPr>
        <w:t>2招标人：见《投标人须知前附表》第</w:t>
      </w:r>
      <w:r>
        <w:rPr>
          <w:rFonts w:asciiTheme="minorEastAsia" w:hAnsiTheme="minorEastAsia" w:eastAsiaTheme="minorEastAsia"/>
          <w:szCs w:val="21"/>
          <w:highlight w:val="none"/>
        </w:rPr>
        <w:t>7项。</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3.</w:t>
      </w:r>
      <w:r>
        <w:rPr>
          <w:rFonts w:hint="eastAsia" w:asciiTheme="minorEastAsia" w:hAnsiTheme="minorEastAsia" w:eastAsiaTheme="minorEastAsia"/>
          <w:szCs w:val="21"/>
          <w:highlight w:val="none"/>
        </w:rPr>
        <w:t>3投标人：指响应招标符合资格条件并参加投标竞争的依法成立的中华人民共和国境内的法人、其他组织。</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3.</w:t>
      </w:r>
      <w:r>
        <w:rPr>
          <w:rFonts w:hint="eastAsia" w:asciiTheme="minorEastAsia" w:hAnsiTheme="minorEastAsia" w:eastAsiaTheme="minorEastAsia"/>
          <w:szCs w:val="21"/>
          <w:highlight w:val="none"/>
        </w:rPr>
        <w:t>4评标委员会：是指依《中华人民共和国招标投标法》等国家、地方法规和招标人制度组建的专门负责本次招标项目评审工作的临时性机构。</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3.</w:t>
      </w:r>
      <w:r>
        <w:rPr>
          <w:rFonts w:hint="eastAsia" w:asciiTheme="minorEastAsia" w:hAnsiTheme="minorEastAsia" w:eastAsiaTheme="minorEastAsia"/>
          <w:szCs w:val="21"/>
          <w:highlight w:val="none"/>
        </w:rPr>
        <w:t>5“招标文件”指招标人发出的本文件（包括全部章节、附件）及招标答疑会会议纪要和招标文件的澄清与修改文件。</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3.</w:t>
      </w:r>
      <w:r>
        <w:rPr>
          <w:rFonts w:hint="eastAsia" w:asciiTheme="minorEastAsia" w:hAnsiTheme="minorEastAsia" w:eastAsiaTheme="minorEastAsia"/>
          <w:szCs w:val="21"/>
          <w:highlight w:val="none"/>
        </w:rPr>
        <w:t>6</w:t>
      </w:r>
      <w:r>
        <w:rPr>
          <w:rFonts w:asciiTheme="minorEastAsia" w:hAnsiTheme="minorEastAsia" w:eastAsiaTheme="minorEastAsia"/>
          <w:szCs w:val="21"/>
          <w:highlight w:val="none"/>
        </w:rPr>
        <w:t>“投标文件”指投标人根据本项目招标文件向招标人提交的全部文件。</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3.</w:t>
      </w:r>
      <w:r>
        <w:rPr>
          <w:rFonts w:hint="eastAsia" w:asciiTheme="minorEastAsia" w:hAnsiTheme="minorEastAsia" w:eastAsiaTheme="minorEastAsia"/>
          <w:szCs w:val="21"/>
          <w:highlight w:val="none"/>
        </w:rPr>
        <w:t>7</w:t>
      </w:r>
      <w:r>
        <w:rPr>
          <w:rFonts w:asciiTheme="minorEastAsia" w:hAnsiTheme="minorEastAsia" w:eastAsiaTheme="minorEastAsia"/>
          <w:szCs w:val="21"/>
          <w:highlight w:val="none"/>
        </w:rPr>
        <w:t>日期：指公历日。</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3.</w:t>
      </w:r>
      <w:r>
        <w:rPr>
          <w:rFonts w:hint="eastAsia" w:asciiTheme="minorEastAsia" w:hAnsiTheme="minorEastAsia" w:eastAsiaTheme="minorEastAsia"/>
          <w:szCs w:val="21"/>
          <w:highlight w:val="none"/>
        </w:rPr>
        <w:t>8</w:t>
      </w:r>
      <w:r>
        <w:rPr>
          <w:rFonts w:asciiTheme="minorEastAsia" w:hAnsiTheme="minorEastAsia" w:eastAsiaTheme="minorEastAsia"/>
          <w:szCs w:val="21"/>
          <w:highlight w:val="none"/>
        </w:rPr>
        <w:t xml:space="preserve">合同: </w:t>
      </w:r>
      <w:r>
        <w:rPr>
          <w:rFonts w:hint="eastAsia" w:asciiTheme="minorEastAsia" w:hAnsiTheme="minorEastAsia" w:eastAsiaTheme="minorEastAsia"/>
          <w:szCs w:val="21"/>
          <w:highlight w:val="none"/>
        </w:rPr>
        <w:t>指依据本次服务采购招标结果签订的协议或合约文件。</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3.</w:t>
      </w:r>
      <w:r>
        <w:rPr>
          <w:rFonts w:hint="eastAsia" w:asciiTheme="minorEastAsia" w:hAnsiTheme="minorEastAsia" w:eastAsiaTheme="minorEastAsia"/>
          <w:szCs w:val="21"/>
          <w:highlight w:val="none"/>
        </w:rPr>
        <w:t>9</w:t>
      </w:r>
      <w:r>
        <w:rPr>
          <w:rFonts w:asciiTheme="minorEastAsia" w:hAnsiTheme="minorEastAsia" w:eastAsiaTheme="minorEastAsia"/>
          <w:szCs w:val="21"/>
          <w:highlight w:val="none"/>
        </w:rPr>
        <w:t>招标文件中的标题或题名仅起引导作用，而不应视为对招标文件内容的理解和解释。</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3.1</w:t>
      </w:r>
      <w:r>
        <w:rPr>
          <w:rFonts w:hint="eastAsia" w:asciiTheme="minorEastAsia" w:hAnsiTheme="minorEastAsia" w:eastAsiaTheme="minorEastAsia"/>
          <w:szCs w:val="21"/>
          <w:highlight w:val="none"/>
        </w:rPr>
        <w:t>0“招标人”、“投标人”等人或有关组织的用词均是指依法成立的公司或组织。</w:t>
      </w:r>
    </w:p>
    <w:p>
      <w:pPr>
        <w:pStyle w:val="4"/>
        <w:keepNext w:val="0"/>
        <w:keepLines w:val="0"/>
        <w:numPr>
          <w:ilvl w:val="0"/>
          <w:numId w:val="6"/>
        </w:numPr>
        <w:tabs>
          <w:tab w:val="left" w:pos="851"/>
        </w:tabs>
        <w:spacing w:before="0" w:after="0" w:line="360" w:lineRule="auto"/>
        <w:rPr>
          <w:rFonts w:asciiTheme="minorEastAsia" w:hAnsiTheme="minorEastAsia" w:eastAsiaTheme="minorEastAsia"/>
          <w:b w:val="0"/>
          <w:sz w:val="21"/>
          <w:szCs w:val="21"/>
          <w:highlight w:val="none"/>
        </w:rPr>
      </w:pPr>
      <w:bookmarkStart w:id="53" w:name="_Toc13881"/>
      <w:bookmarkStart w:id="54" w:name="_Toc32755"/>
      <w:bookmarkStart w:id="55" w:name="_Toc1178"/>
      <w:bookmarkStart w:id="56" w:name="_Toc30383"/>
      <w:bookmarkStart w:id="57" w:name="_Toc2530"/>
      <w:r>
        <w:rPr>
          <w:rFonts w:hint="eastAsia" w:asciiTheme="minorEastAsia" w:hAnsiTheme="minorEastAsia" w:eastAsiaTheme="minorEastAsia"/>
          <w:sz w:val="21"/>
          <w:szCs w:val="21"/>
          <w:highlight w:val="none"/>
        </w:rPr>
        <w:t>招标采购</w:t>
      </w:r>
      <w:bookmarkEnd w:id="53"/>
      <w:bookmarkEnd w:id="54"/>
      <w:bookmarkEnd w:id="55"/>
      <w:bookmarkEnd w:id="56"/>
      <w:bookmarkEnd w:id="57"/>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招标人接受合格的投标人就招标文件所述的服务采购项目进行投标。投标人必须响应全部内容。</w:t>
      </w:r>
    </w:p>
    <w:p>
      <w:pPr>
        <w:pStyle w:val="4"/>
        <w:keepNext w:val="0"/>
        <w:keepLines w:val="0"/>
        <w:numPr>
          <w:ilvl w:val="0"/>
          <w:numId w:val="6"/>
        </w:numPr>
        <w:tabs>
          <w:tab w:val="left" w:pos="851"/>
        </w:tabs>
        <w:spacing w:before="0" w:after="0" w:line="360" w:lineRule="auto"/>
        <w:rPr>
          <w:rFonts w:asciiTheme="minorEastAsia" w:hAnsiTheme="minorEastAsia" w:eastAsiaTheme="minorEastAsia"/>
          <w:b w:val="0"/>
          <w:sz w:val="21"/>
          <w:szCs w:val="21"/>
          <w:highlight w:val="none"/>
        </w:rPr>
      </w:pPr>
      <w:bookmarkStart w:id="58" w:name="_Toc10934"/>
      <w:bookmarkStart w:id="59" w:name="_Toc8015"/>
      <w:bookmarkStart w:id="60" w:name="_Toc12780"/>
      <w:bookmarkStart w:id="61" w:name="_Toc18197"/>
      <w:bookmarkStart w:id="62" w:name="_Toc21608"/>
      <w:r>
        <w:rPr>
          <w:rFonts w:hint="eastAsia" w:asciiTheme="minorEastAsia" w:hAnsiTheme="minorEastAsia" w:eastAsiaTheme="minorEastAsia"/>
          <w:sz w:val="21"/>
          <w:szCs w:val="21"/>
          <w:highlight w:val="none"/>
        </w:rPr>
        <w:t>合格的投标人条件</w:t>
      </w:r>
      <w:bookmarkEnd w:id="58"/>
      <w:bookmarkEnd w:id="59"/>
      <w:bookmarkEnd w:id="60"/>
      <w:bookmarkEnd w:id="61"/>
      <w:bookmarkEnd w:id="62"/>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见本项目招标公告。</w:t>
      </w:r>
    </w:p>
    <w:p>
      <w:pPr>
        <w:pStyle w:val="4"/>
        <w:keepNext w:val="0"/>
        <w:keepLines w:val="0"/>
        <w:numPr>
          <w:ilvl w:val="0"/>
          <w:numId w:val="6"/>
        </w:numPr>
        <w:tabs>
          <w:tab w:val="left" w:pos="851"/>
        </w:tabs>
        <w:spacing w:before="0" w:after="0" w:line="360" w:lineRule="auto"/>
        <w:rPr>
          <w:rFonts w:asciiTheme="minorEastAsia" w:hAnsiTheme="minorEastAsia" w:eastAsiaTheme="minorEastAsia"/>
          <w:b w:val="0"/>
          <w:sz w:val="21"/>
          <w:szCs w:val="21"/>
          <w:highlight w:val="none"/>
        </w:rPr>
      </w:pPr>
      <w:bookmarkStart w:id="63" w:name="_Toc1191"/>
      <w:bookmarkStart w:id="64" w:name="_Toc14609"/>
      <w:bookmarkStart w:id="65" w:name="_Toc15166"/>
      <w:bookmarkStart w:id="66" w:name="_Toc19548"/>
      <w:bookmarkStart w:id="67" w:name="_Toc5634"/>
      <w:r>
        <w:rPr>
          <w:rFonts w:hint="eastAsia" w:asciiTheme="minorEastAsia" w:hAnsiTheme="minorEastAsia" w:eastAsiaTheme="minorEastAsia"/>
          <w:sz w:val="21"/>
          <w:szCs w:val="21"/>
          <w:highlight w:val="none"/>
        </w:rPr>
        <w:t>合格的服务</w:t>
      </w:r>
      <w:bookmarkEnd w:id="63"/>
      <w:bookmarkEnd w:id="64"/>
      <w:bookmarkEnd w:id="65"/>
      <w:bookmarkEnd w:id="66"/>
      <w:bookmarkEnd w:id="67"/>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合同中提供的服务，其来源均应符合《中华人民共和国招标投标法》的有关规定。</w:t>
      </w:r>
    </w:p>
    <w:p>
      <w:pPr>
        <w:pStyle w:val="4"/>
        <w:keepNext w:val="0"/>
        <w:keepLines w:val="0"/>
        <w:numPr>
          <w:ilvl w:val="0"/>
          <w:numId w:val="6"/>
        </w:numPr>
        <w:tabs>
          <w:tab w:val="left" w:pos="851"/>
        </w:tabs>
        <w:spacing w:before="0" w:after="0" w:line="360" w:lineRule="auto"/>
        <w:rPr>
          <w:rFonts w:asciiTheme="minorEastAsia" w:hAnsiTheme="minorEastAsia" w:eastAsiaTheme="minorEastAsia"/>
          <w:b w:val="0"/>
          <w:sz w:val="21"/>
          <w:szCs w:val="21"/>
          <w:highlight w:val="none"/>
        </w:rPr>
      </w:pPr>
      <w:bookmarkStart w:id="68" w:name="_Toc11541"/>
      <w:bookmarkStart w:id="69" w:name="_Toc11753"/>
      <w:bookmarkStart w:id="70" w:name="_Toc27510"/>
      <w:bookmarkStart w:id="71" w:name="_Toc7601"/>
      <w:bookmarkStart w:id="72" w:name="_Toc27299"/>
      <w:r>
        <w:rPr>
          <w:rFonts w:hint="eastAsia" w:asciiTheme="minorEastAsia" w:hAnsiTheme="minorEastAsia" w:eastAsiaTheme="minorEastAsia"/>
          <w:sz w:val="21"/>
          <w:szCs w:val="21"/>
          <w:highlight w:val="none"/>
        </w:rPr>
        <w:t>纪律与保密事项</w:t>
      </w:r>
      <w:bookmarkEnd w:id="68"/>
      <w:bookmarkEnd w:id="69"/>
      <w:bookmarkEnd w:id="70"/>
      <w:bookmarkEnd w:id="71"/>
      <w:bookmarkEnd w:id="72"/>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7.1 </w:t>
      </w:r>
      <w:r>
        <w:rPr>
          <w:rFonts w:hint="eastAsia" w:asciiTheme="minorEastAsia" w:hAnsiTheme="minorEastAsia" w:eastAsiaTheme="minorEastAsia"/>
          <w:szCs w:val="21"/>
          <w:highlight w:val="none"/>
        </w:rPr>
        <w:t>凡参与招标工作的有关人员均应自觉接受有关主管部门的监督，不得向他人透露可能影响公平竞争的有关招标投标的情况。</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7.2除投标人被要求对投标文件进行澄清外，从开标之时起至授予合同期间，投标人不得就与其投标文件有关的事项主动与评标委员会、以及招标人联系。</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7.3 </w:t>
      </w:r>
      <w:r>
        <w:rPr>
          <w:rFonts w:hint="eastAsia" w:asciiTheme="minorEastAsia" w:hAnsiTheme="minorEastAsia" w:eastAsiaTheme="minorEastAsia"/>
          <w:szCs w:val="21"/>
          <w:highlight w:val="none"/>
        </w:rPr>
        <w:t>从开标之日起至授予合同期间</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投标人试图在投标文件审查、澄清、比较和评价时对评标委员会和招标人施加任何影响或对招标人的比较及授予合同的决定进行影响，都可能导致其投标文件被拒绝。</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7.4投标人不得串通作弊，以不正当的手段妨碍、排挤其他投标人，扰乱招标市场，破坏公平竞争原则。</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7.5获得本招标文件者，应对文件进行保密，不得用作本次投标以外的任何用途。若有要求，开标后，投标人应归还招标文件中的保密的文件和资料。</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7.6 </w:t>
      </w:r>
      <w:r>
        <w:rPr>
          <w:rFonts w:hint="eastAsia" w:asciiTheme="minorEastAsia" w:hAnsiTheme="minorEastAsia" w:eastAsiaTheme="minorEastAsia"/>
          <w:szCs w:val="21"/>
          <w:highlight w:val="none"/>
        </w:rPr>
        <w:t>由招标人向投标人提供的图纸、详细资料、样品、模型、模件和所有其他资料，被视为保密资料，仅被用于它所规定的用途，除非得到招标人的同意，不能向任何第三方透露。开标完成后，应招标人要求，投标人应归还所有从招标人处获得的保密资料。</w:t>
      </w:r>
    </w:p>
    <w:p>
      <w:pPr>
        <w:pStyle w:val="4"/>
        <w:keepNext w:val="0"/>
        <w:keepLines w:val="0"/>
        <w:numPr>
          <w:ilvl w:val="0"/>
          <w:numId w:val="6"/>
        </w:numPr>
        <w:tabs>
          <w:tab w:val="left" w:pos="851"/>
        </w:tabs>
        <w:spacing w:before="0" w:after="0" w:line="360" w:lineRule="auto"/>
        <w:rPr>
          <w:rFonts w:asciiTheme="minorEastAsia" w:hAnsiTheme="minorEastAsia" w:eastAsiaTheme="minorEastAsia"/>
          <w:b w:val="0"/>
          <w:sz w:val="21"/>
          <w:szCs w:val="21"/>
          <w:highlight w:val="none"/>
        </w:rPr>
      </w:pPr>
      <w:bookmarkStart w:id="73" w:name="_Toc940"/>
      <w:bookmarkStart w:id="74" w:name="_Toc8856"/>
      <w:bookmarkStart w:id="75" w:name="_Toc7059"/>
      <w:bookmarkStart w:id="76" w:name="_Toc17665"/>
      <w:bookmarkStart w:id="77" w:name="_Toc6423"/>
      <w:r>
        <w:rPr>
          <w:rFonts w:hint="eastAsia" w:asciiTheme="minorEastAsia" w:hAnsiTheme="minorEastAsia" w:eastAsiaTheme="minorEastAsia"/>
          <w:sz w:val="21"/>
          <w:szCs w:val="21"/>
          <w:highlight w:val="none"/>
        </w:rPr>
        <w:t>投标人知悉</w:t>
      </w:r>
      <w:bookmarkEnd w:id="73"/>
      <w:bookmarkEnd w:id="74"/>
      <w:bookmarkEnd w:id="75"/>
      <w:bookmarkEnd w:id="76"/>
      <w:bookmarkEnd w:id="77"/>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8</w:t>
      </w:r>
      <w:r>
        <w:rPr>
          <w:rFonts w:asciiTheme="minorEastAsia" w:hAnsiTheme="minorEastAsia" w:eastAsiaTheme="minorEastAsia"/>
          <w:szCs w:val="21"/>
          <w:highlight w:val="none"/>
        </w:rPr>
        <w:t>.1凡响应本次招标的投标人均被视为已充分认识和理解了任何与本项目有关的影响事项和困难等情况。</w:t>
      </w: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8</w:t>
      </w:r>
      <w:r>
        <w:rPr>
          <w:rFonts w:asciiTheme="minorEastAsia" w:hAnsiTheme="minorEastAsia" w:eastAsiaTheme="minorEastAsia"/>
          <w:szCs w:val="21"/>
          <w:highlight w:val="none"/>
        </w:rPr>
        <w:t>.2投标人应对所有的招标内容进行投标，不允许只对其中部分内容的投标。</w:t>
      </w:r>
    </w:p>
    <w:p>
      <w:pPr>
        <w:pStyle w:val="4"/>
        <w:keepNext w:val="0"/>
        <w:keepLines w:val="0"/>
        <w:numPr>
          <w:ilvl w:val="0"/>
          <w:numId w:val="6"/>
        </w:numPr>
        <w:tabs>
          <w:tab w:val="left" w:pos="851"/>
        </w:tabs>
        <w:spacing w:before="0" w:after="0" w:line="360" w:lineRule="auto"/>
        <w:rPr>
          <w:rFonts w:asciiTheme="minorEastAsia" w:hAnsiTheme="minorEastAsia" w:eastAsiaTheme="minorEastAsia"/>
          <w:b w:val="0"/>
          <w:sz w:val="21"/>
          <w:szCs w:val="21"/>
          <w:highlight w:val="none"/>
        </w:rPr>
      </w:pPr>
      <w:bookmarkStart w:id="78" w:name="_Toc27190"/>
      <w:bookmarkStart w:id="79" w:name="_Toc30294"/>
      <w:bookmarkStart w:id="80" w:name="_Toc12618"/>
      <w:bookmarkStart w:id="81" w:name="_Toc22507"/>
      <w:bookmarkStart w:id="82" w:name="_Toc17769"/>
      <w:r>
        <w:rPr>
          <w:rFonts w:hint="eastAsia" w:asciiTheme="minorEastAsia" w:hAnsiTheme="minorEastAsia" w:eastAsiaTheme="minorEastAsia"/>
          <w:sz w:val="21"/>
          <w:szCs w:val="21"/>
          <w:highlight w:val="none"/>
        </w:rPr>
        <w:t>投标费用</w:t>
      </w:r>
      <w:bookmarkEnd w:id="78"/>
      <w:bookmarkEnd w:id="79"/>
      <w:bookmarkEnd w:id="80"/>
      <w:bookmarkEnd w:id="81"/>
      <w:bookmarkEnd w:id="82"/>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投标人应承担所有与编写和提交投标文件以及参加投标有关的费用，不论投标的结果如何，招标人在任何情况下均无义务和责任承担这些费用。</w:t>
      </w:r>
    </w:p>
    <w:p>
      <w:pPr>
        <w:pStyle w:val="4"/>
        <w:keepNext w:val="0"/>
        <w:keepLines w:val="0"/>
        <w:numPr>
          <w:ilvl w:val="0"/>
          <w:numId w:val="6"/>
        </w:numPr>
        <w:tabs>
          <w:tab w:val="left" w:pos="851"/>
        </w:tabs>
        <w:spacing w:before="0" w:after="0" w:line="360" w:lineRule="auto"/>
        <w:rPr>
          <w:rFonts w:asciiTheme="minorEastAsia" w:hAnsiTheme="minorEastAsia" w:eastAsiaTheme="minorEastAsia"/>
          <w:b w:val="0"/>
          <w:sz w:val="21"/>
          <w:szCs w:val="21"/>
          <w:highlight w:val="none"/>
        </w:rPr>
      </w:pPr>
      <w:bookmarkStart w:id="83" w:name="_Toc17148"/>
      <w:bookmarkStart w:id="84" w:name="_Toc12163"/>
      <w:bookmarkStart w:id="85" w:name="_Toc20861"/>
      <w:bookmarkStart w:id="86" w:name="_Toc22780"/>
      <w:bookmarkStart w:id="87" w:name="_Toc3289"/>
      <w:r>
        <w:rPr>
          <w:rFonts w:hint="eastAsia" w:asciiTheme="minorEastAsia" w:hAnsiTheme="minorEastAsia" w:eastAsiaTheme="minorEastAsia"/>
          <w:sz w:val="21"/>
          <w:szCs w:val="21"/>
          <w:highlight w:val="none"/>
        </w:rPr>
        <w:t>保证</w:t>
      </w:r>
      <w:bookmarkEnd w:id="83"/>
      <w:bookmarkEnd w:id="84"/>
      <w:bookmarkEnd w:id="85"/>
      <w:bookmarkEnd w:id="86"/>
      <w:bookmarkEnd w:id="87"/>
    </w:p>
    <w:p>
      <w:pPr>
        <w:pStyle w:val="3"/>
        <w:keepNext w:val="0"/>
        <w:keepLines w:val="0"/>
        <w:numPr>
          <w:ilvl w:val="0"/>
          <w:numId w:val="0"/>
        </w:numPr>
        <w:spacing w:before="0" w:afterLines="50" w:line="400" w:lineRule="exact"/>
        <w:ind w:firstLine="420" w:firstLineChars="200"/>
        <w:jc w:val="both"/>
        <w:rPr>
          <w:rFonts w:asciiTheme="minorEastAsia" w:hAnsiTheme="minorEastAsia" w:eastAsiaTheme="minorEastAsia"/>
          <w:sz w:val="21"/>
          <w:szCs w:val="21"/>
          <w:highlight w:val="none"/>
        </w:rPr>
      </w:pPr>
      <w:bookmarkStart w:id="88" w:name="_Toc28690"/>
      <w:bookmarkStart w:id="89" w:name="_Toc8591"/>
      <w:bookmarkStart w:id="90" w:name="_Toc23827"/>
      <w:bookmarkStart w:id="91" w:name="_Toc26446"/>
      <w:bookmarkStart w:id="92" w:name="_Toc20593"/>
      <w:bookmarkStart w:id="93" w:name="_Toc10421"/>
      <w:bookmarkStart w:id="94" w:name="_Toc6522"/>
      <w:bookmarkStart w:id="95" w:name="_Toc28324"/>
      <w:bookmarkStart w:id="96" w:name="_Toc4387"/>
      <w:r>
        <w:rPr>
          <w:rFonts w:hint="eastAsia" w:asciiTheme="minorEastAsia" w:hAnsiTheme="minorEastAsia" w:eastAsiaTheme="minorEastAsia"/>
          <w:b w:val="0"/>
          <w:sz w:val="21"/>
          <w:szCs w:val="21"/>
          <w:highlight w:val="none"/>
        </w:rPr>
        <w:t>投标人应保证所提交给招标人的投标文件（含相关资料和数据）资料和数据是真实的，并承担相应的法律责任。如有作假，一经发现立即拒绝其投标。</w:t>
      </w:r>
      <w:bookmarkEnd w:id="88"/>
      <w:bookmarkEnd w:id="89"/>
      <w:bookmarkEnd w:id="90"/>
      <w:bookmarkEnd w:id="91"/>
      <w:bookmarkEnd w:id="92"/>
      <w:bookmarkEnd w:id="93"/>
      <w:bookmarkEnd w:id="94"/>
      <w:bookmarkEnd w:id="95"/>
      <w:bookmarkEnd w:id="96"/>
    </w:p>
    <w:p>
      <w:pPr>
        <w:spacing w:line="380" w:lineRule="exact"/>
        <w:jc w:val="center"/>
        <w:outlineLvl w:val="1"/>
        <w:rPr>
          <w:rFonts w:cs="Arial" w:asciiTheme="minorEastAsia" w:hAnsiTheme="minorEastAsia" w:eastAsiaTheme="minorEastAsia"/>
          <w:b/>
          <w:szCs w:val="21"/>
          <w:highlight w:val="none"/>
        </w:rPr>
      </w:pPr>
      <w:bookmarkStart w:id="97" w:name="_Toc21495"/>
      <w:bookmarkStart w:id="98" w:name="_Toc17058"/>
      <w:bookmarkStart w:id="99" w:name="_Toc9978"/>
      <w:bookmarkStart w:id="100" w:name="_Toc454"/>
      <w:bookmarkStart w:id="101" w:name="_Toc29246"/>
      <w:r>
        <w:rPr>
          <w:rFonts w:hint="eastAsia" w:cs="Arial" w:asciiTheme="minorEastAsia" w:hAnsiTheme="minorEastAsia" w:eastAsiaTheme="minorEastAsia"/>
          <w:b/>
          <w:szCs w:val="21"/>
          <w:highlight w:val="none"/>
        </w:rPr>
        <w:t>（二）招标文件</w:t>
      </w:r>
      <w:bookmarkEnd w:id="97"/>
      <w:bookmarkEnd w:id="98"/>
      <w:bookmarkEnd w:id="99"/>
      <w:bookmarkEnd w:id="100"/>
      <w:bookmarkEnd w:id="101"/>
    </w:p>
    <w:p>
      <w:pPr>
        <w:pStyle w:val="4"/>
        <w:keepNext w:val="0"/>
        <w:keepLines w:val="0"/>
        <w:numPr>
          <w:ilvl w:val="0"/>
          <w:numId w:val="6"/>
        </w:numPr>
        <w:tabs>
          <w:tab w:val="left" w:pos="851"/>
        </w:tabs>
        <w:spacing w:before="0" w:after="0" w:line="360" w:lineRule="auto"/>
        <w:rPr>
          <w:rFonts w:asciiTheme="minorEastAsia" w:hAnsiTheme="minorEastAsia" w:eastAsiaTheme="minorEastAsia"/>
          <w:b w:val="0"/>
          <w:sz w:val="21"/>
          <w:szCs w:val="21"/>
          <w:highlight w:val="none"/>
        </w:rPr>
      </w:pPr>
      <w:bookmarkStart w:id="102" w:name="_Toc2428"/>
      <w:bookmarkStart w:id="103" w:name="_Toc32671"/>
      <w:bookmarkStart w:id="104" w:name="_Toc10197"/>
      <w:bookmarkStart w:id="105" w:name="_Toc16319"/>
      <w:bookmarkStart w:id="106" w:name="_Toc25971"/>
      <w:r>
        <w:rPr>
          <w:rFonts w:hint="eastAsia" w:asciiTheme="minorEastAsia" w:hAnsiTheme="minorEastAsia" w:eastAsiaTheme="minorEastAsia"/>
          <w:sz w:val="21"/>
          <w:szCs w:val="21"/>
          <w:highlight w:val="none"/>
        </w:rPr>
        <w:t>招标文件构成</w:t>
      </w:r>
      <w:bookmarkEnd w:id="102"/>
      <w:bookmarkEnd w:id="103"/>
      <w:bookmarkEnd w:id="104"/>
      <w:bookmarkEnd w:id="105"/>
      <w:bookmarkEnd w:id="106"/>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11.1 </w:t>
      </w:r>
      <w:r>
        <w:rPr>
          <w:rFonts w:hint="eastAsia" w:asciiTheme="minorEastAsia" w:hAnsiTheme="minorEastAsia" w:eastAsiaTheme="minorEastAsia"/>
          <w:szCs w:val="21"/>
          <w:highlight w:val="none"/>
        </w:rPr>
        <w:t>本次招标的有关内容和要求在招标文件中均有说明。招标文件包括：</w:t>
      </w: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第一章招标公告</w:t>
      </w: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第二章  投标人须知</w:t>
      </w: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第三章  开标、评标办法</w:t>
      </w: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第四章  用户需求书</w:t>
      </w: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第五章  合同条款</w:t>
      </w: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第六章  投标文件格式</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11.2 </w:t>
      </w:r>
      <w:r>
        <w:rPr>
          <w:rFonts w:hint="eastAsia" w:asciiTheme="minorEastAsia" w:hAnsiTheme="minorEastAsia" w:eastAsiaTheme="minorEastAsia"/>
          <w:szCs w:val="21"/>
          <w:highlight w:val="none"/>
        </w:rPr>
        <w:t>投标人应认真阅读招标文件中所有的事项、格式、条款和规范等要求。投标人没有按照招标文件要求提交全部资料，或者投标文件没有对招标文件各方面都作出实质性响应是投标人的风险，没有实质性响应招标文件要求的投标将被拒绝。</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11.3 </w:t>
      </w:r>
      <w:r>
        <w:rPr>
          <w:rFonts w:hint="eastAsia" w:asciiTheme="minorEastAsia" w:hAnsiTheme="minorEastAsia" w:eastAsiaTheme="minorEastAsia"/>
          <w:szCs w:val="21"/>
          <w:highlight w:val="none"/>
        </w:rPr>
        <w:t>招标文件的澄清及修改</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11.3.1 </w:t>
      </w:r>
      <w:r>
        <w:rPr>
          <w:rFonts w:hint="eastAsia" w:asciiTheme="minorEastAsia" w:hAnsiTheme="minorEastAsia" w:eastAsiaTheme="minorEastAsia"/>
          <w:szCs w:val="21"/>
          <w:highlight w:val="none"/>
        </w:rPr>
        <w:t>任何要求对招标文件进行澄清的投标人，均应以书面形式通知招标人。招标人按《投标人须知前附表》第</w:t>
      </w:r>
      <w:r>
        <w:rPr>
          <w:rFonts w:asciiTheme="minorEastAsia" w:hAnsiTheme="minorEastAsia" w:eastAsiaTheme="minorEastAsia"/>
          <w:szCs w:val="21"/>
          <w:highlight w:val="none"/>
        </w:rPr>
        <w:t>8项规定的时间内对收到的投标人对招标文件的澄清要求以书面答复，答复将通知每个购买招标文件的投标人（答复中包括所有问题，但不包括问题的来源）。</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11.3.2 </w:t>
      </w:r>
      <w:r>
        <w:rPr>
          <w:rFonts w:hint="eastAsia" w:asciiTheme="minorEastAsia" w:hAnsiTheme="minorEastAsia" w:eastAsiaTheme="minorEastAsia"/>
          <w:szCs w:val="21"/>
          <w:highlight w:val="none"/>
        </w:rPr>
        <w:t>《投标人须知前附表》第</w:t>
      </w:r>
      <w:r>
        <w:rPr>
          <w:rFonts w:asciiTheme="minorEastAsia" w:hAnsiTheme="minorEastAsia" w:eastAsiaTheme="minorEastAsia"/>
          <w:szCs w:val="21"/>
          <w:highlight w:val="none"/>
        </w:rPr>
        <w:t>9项规定时间之前的任何时候，无论出于何种原因，招标人可主动地或在解答投标人提出的需澄清问题时向投标人发出修改文件对招标文件进行修改。</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11.3.3 </w:t>
      </w:r>
      <w:r>
        <w:rPr>
          <w:rFonts w:hint="eastAsia" w:asciiTheme="minorEastAsia" w:hAnsiTheme="minorEastAsia" w:eastAsiaTheme="minorEastAsia"/>
          <w:szCs w:val="21"/>
          <w:highlight w:val="none"/>
        </w:rPr>
        <w:t>招标文件的澄清和修改文件将以书面形式通知所有购买招标文件的投标人，该澄清和修改文件也是招标文件的组成部分，并对投标人具有约束力。</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11.3.4 </w:t>
      </w:r>
      <w:r>
        <w:rPr>
          <w:rFonts w:hint="eastAsia" w:asciiTheme="minorEastAsia" w:hAnsiTheme="minorEastAsia" w:eastAsiaTheme="minorEastAsia"/>
          <w:szCs w:val="21"/>
          <w:highlight w:val="none"/>
        </w:rPr>
        <w:t>投标人在收到招标人发给的任何澄清和修改文件时，都应在收到后立即以书面形式向招标人确认。</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11.3.5 </w:t>
      </w:r>
      <w:r>
        <w:rPr>
          <w:rFonts w:hint="eastAsia" w:asciiTheme="minorEastAsia" w:hAnsiTheme="minorEastAsia" w:eastAsiaTheme="minorEastAsia"/>
          <w:szCs w:val="21"/>
          <w:highlight w:val="none"/>
        </w:rPr>
        <w:t>招标人可视具体情况延长投标截止时间和开标时间，并将此变更通知所有招标文件收受人。在推迟了投标截止时间的情况下，招标人和投标人受投标截止时间制约的所有权利和义务均应延长至新的截止时间。</w:t>
      </w:r>
    </w:p>
    <w:p>
      <w:pPr>
        <w:pStyle w:val="4"/>
        <w:keepNext w:val="0"/>
        <w:keepLines w:val="0"/>
        <w:numPr>
          <w:ilvl w:val="0"/>
          <w:numId w:val="6"/>
        </w:numPr>
        <w:tabs>
          <w:tab w:val="left" w:pos="851"/>
        </w:tabs>
        <w:spacing w:before="0" w:after="0" w:line="360" w:lineRule="auto"/>
        <w:rPr>
          <w:rFonts w:asciiTheme="minorEastAsia" w:hAnsiTheme="minorEastAsia" w:eastAsiaTheme="minorEastAsia"/>
          <w:b w:val="0"/>
          <w:sz w:val="21"/>
          <w:szCs w:val="21"/>
          <w:highlight w:val="none"/>
        </w:rPr>
      </w:pPr>
      <w:bookmarkStart w:id="107" w:name="_Toc22263"/>
      <w:bookmarkStart w:id="108" w:name="_Toc32050"/>
      <w:bookmarkStart w:id="109" w:name="_Toc19261"/>
      <w:bookmarkStart w:id="110" w:name="_Toc26371"/>
      <w:bookmarkStart w:id="111" w:name="_Toc29933"/>
      <w:r>
        <w:rPr>
          <w:rFonts w:hint="eastAsia" w:asciiTheme="minorEastAsia" w:hAnsiTheme="minorEastAsia" w:eastAsiaTheme="minorEastAsia"/>
          <w:sz w:val="21"/>
          <w:szCs w:val="21"/>
          <w:highlight w:val="none"/>
        </w:rPr>
        <w:t>招标语言</w:t>
      </w:r>
      <w:bookmarkEnd w:id="107"/>
      <w:bookmarkEnd w:id="108"/>
      <w:bookmarkEnd w:id="109"/>
      <w:bookmarkEnd w:id="110"/>
      <w:bookmarkEnd w:id="111"/>
    </w:p>
    <w:p>
      <w:pPr>
        <w:spacing w:line="380" w:lineRule="exact"/>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招标文件的主导语言为中文。</w:t>
      </w:r>
    </w:p>
    <w:p>
      <w:pPr>
        <w:pStyle w:val="219"/>
        <w:adjustRightInd w:val="0"/>
        <w:spacing w:before="120" w:line="360" w:lineRule="auto"/>
        <w:ind w:firstLine="384"/>
        <w:rPr>
          <w:rFonts w:asciiTheme="minorEastAsia" w:hAnsiTheme="minorEastAsia" w:eastAsiaTheme="minorEastAsia"/>
          <w:b/>
          <w:sz w:val="21"/>
          <w:szCs w:val="21"/>
          <w:highlight w:val="none"/>
        </w:rPr>
      </w:pPr>
      <w:bookmarkStart w:id="112" w:name="_Toc31616"/>
      <w:bookmarkStart w:id="113" w:name="_Toc1357"/>
      <w:bookmarkStart w:id="114" w:name="_Toc4285"/>
      <w:bookmarkStart w:id="115" w:name="_Toc26528"/>
      <w:bookmarkStart w:id="116" w:name="_Toc16080"/>
      <w:r>
        <w:rPr>
          <w:rFonts w:hint="eastAsia" w:asciiTheme="minorEastAsia" w:hAnsiTheme="minorEastAsia" w:eastAsiaTheme="minorEastAsia"/>
          <w:b/>
          <w:sz w:val="21"/>
          <w:szCs w:val="21"/>
          <w:highlight w:val="none"/>
        </w:rPr>
        <w:t>（三）投标文件的编制</w:t>
      </w:r>
      <w:bookmarkEnd w:id="112"/>
      <w:bookmarkEnd w:id="113"/>
      <w:bookmarkEnd w:id="114"/>
      <w:bookmarkEnd w:id="115"/>
      <w:bookmarkEnd w:id="116"/>
    </w:p>
    <w:p>
      <w:pPr>
        <w:pStyle w:val="4"/>
        <w:keepNext w:val="0"/>
        <w:keepLines w:val="0"/>
        <w:numPr>
          <w:ilvl w:val="0"/>
          <w:numId w:val="6"/>
        </w:numPr>
        <w:tabs>
          <w:tab w:val="left" w:pos="851"/>
        </w:tabs>
        <w:spacing w:before="0" w:after="0" w:line="360" w:lineRule="auto"/>
        <w:rPr>
          <w:rFonts w:asciiTheme="minorEastAsia" w:hAnsiTheme="minorEastAsia" w:eastAsiaTheme="minorEastAsia"/>
          <w:b w:val="0"/>
          <w:sz w:val="21"/>
          <w:szCs w:val="21"/>
          <w:highlight w:val="none"/>
        </w:rPr>
      </w:pPr>
      <w:bookmarkStart w:id="117" w:name="_Toc29967"/>
      <w:bookmarkStart w:id="118" w:name="_Toc20265"/>
      <w:bookmarkStart w:id="119" w:name="_Toc5512"/>
      <w:bookmarkStart w:id="120" w:name="_Toc3006"/>
      <w:bookmarkStart w:id="121" w:name="_Toc1633"/>
      <w:r>
        <w:rPr>
          <w:rFonts w:hint="eastAsia" w:asciiTheme="minorEastAsia" w:hAnsiTheme="minorEastAsia" w:eastAsiaTheme="minorEastAsia"/>
          <w:sz w:val="21"/>
          <w:szCs w:val="21"/>
          <w:highlight w:val="none"/>
        </w:rPr>
        <w:t>投标语言及计量</w:t>
      </w:r>
      <w:bookmarkEnd w:id="117"/>
      <w:bookmarkEnd w:id="118"/>
      <w:bookmarkEnd w:id="119"/>
      <w:bookmarkEnd w:id="120"/>
      <w:bookmarkEnd w:id="121"/>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13.1 </w:t>
      </w:r>
      <w:r>
        <w:rPr>
          <w:rFonts w:hint="eastAsia" w:asciiTheme="minorEastAsia" w:hAnsiTheme="minorEastAsia" w:eastAsiaTheme="minorEastAsia"/>
          <w:szCs w:val="21"/>
          <w:highlight w:val="none"/>
        </w:rPr>
        <w:t>投标人提交的投标文件以及投标人与招标人就有关投标的所有往来函电均应使用中文。投标人提供的支持文件和印刷的文献可以用英文，但相应内容应附有中文翻译本，在解释时以中文翻译本为准。</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13.2 </w:t>
      </w:r>
      <w:r>
        <w:rPr>
          <w:rFonts w:hint="eastAsia" w:asciiTheme="minorEastAsia" w:hAnsiTheme="minorEastAsia" w:eastAsiaTheme="minorEastAsia"/>
          <w:szCs w:val="21"/>
          <w:highlight w:val="none"/>
        </w:rPr>
        <w:t>在投标文件中以及所有投标人与招标人往来文件中的所有计量单位为中华人民共和国的法定计量单位。</w:t>
      </w:r>
    </w:p>
    <w:p>
      <w:pPr>
        <w:pStyle w:val="4"/>
        <w:keepNext w:val="0"/>
        <w:keepLines w:val="0"/>
        <w:numPr>
          <w:ilvl w:val="0"/>
          <w:numId w:val="6"/>
        </w:numPr>
        <w:tabs>
          <w:tab w:val="left" w:pos="851"/>
        </w:tabs>
        <w:spacing w:before="0" w:after="0" w:line="360" w:lineRule="auto"/>
        <w:rPr>
          <w:rFonts w:asciiTheme="minorEastAsia" w:hAnsiTheme="minorEastAsia" w:eastAsiaTheme="minorEastAsia"/>
          <w:b w:val="0"/>
          <w:sz w:val="21"/>
          <w:szCs w:val="21"/>
          <w:highlight w:val="none"/>
        </w:rPr>
      </w:pPr>
      <w:bookmarkStart w:id="122" w:name="_Toc27954"/>
      <w:bookmarkStart w:id="123" w:name="_Toc18313"/>
      <w:bookmarkStart w:id="124" w:name="_Toc19090"/>
      <w:bookmarkStart w:id="125" w:name="_Toc6782"/>
      <w:bookmarkStart w:id="126" w:name="_Toc4445"/>
      <w:r>
        <w:rPr>
          <w:rFonts w:hint="eastAsia" w:asciiTheme="minorEastAsia" w:hAnsiTheme="minorEastAsia" w:eastAsiaTheme="minorEastAsia"/>
          <w:sz w:val="21"/>
          <w:szCs w:val="21"/>
          <w:highlight w:val="none"/>
        </w:rPr>
        <w:t>投标文件的构成</w:t>
      </w:r>
      <w:bookmarkEnd w:id="122"/>
      <w:bookmarkEnd w:id="123"/>
      <w:bookmarkEnd w:id="124"/>
      <w:bookmarkEnd w:id="125"/>
      <w:bookmarkEnd w:id="126"/>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14.1投标人编写的投标文件应包括下列部分：</w:t>
      </w: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1）按《投标人须知》的规定填写投标函、投标报价表。</w:t>
      </w: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2）按《投标人须知》的要求出具的资格证明文件，证明投标人是合格的，提供的货物是合格的，而且中标后有能力履行合同，格式按招标文件第</w:t>
      </w:r>
      <w:r>
        <w:rPr>
          <w:rFonts w:hint="eastAsia" w:asciiTheme="minorEastAsia" w:hAnsiTheme="minorEastAsia" w:eastAsiaTheme="minorEastAsia"/>
          <w:szCs w:val="21"/>
          <w:highlight w:val="none"/>
        </w:rPr>
        <w:t>六章要求的资格证明文件。</w:t>
      </w: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3）按《投标人须知》的规定提交的投标保证金。</w:t>
      </w: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4）按照招标文件的</w:t>
      </w:r>
      <w:r>
        <w:rPr>
          <w:rFonts w:hint="eastAsia" w:asciiTheme="minorEastAsia" w:hAnsiTheme="minorEastAsia" w:eastAsiaTheme="minorEastAsia"/>
          <w:szCs w:val="21"/>
          <w:highlight w:val="none"/>
        </w:rPr>
        <w:t>第六章格式对招标文件第四章用户需求书、第五章合同条款作出书面响应，包括但不限于服务描述、技术规范、技术参数等内容。</w:t>
      </w:r>
    </w:p>
    <w:p>
      <w:pPr>
        <w:pStyle w:val="4"/>
        <w:keepNext w:val="0"/>
        <w:keepLines w:val="0"/>
        <w:numPr>
          <w:ilvl w:val="0"/>
          <w:numId w:val="6"/>
        </w:numPr>
        <w:tabs>
          <w:tab w:val="left" w:pos="851"/>
        </w:tabs>
        <w:spacing w:before="0" w:after="0" w:line="360" w:lineRule="auto"/>
        <w:rPr>
          <w:rFonts w:asciiTheme="minorEastAsia" w:hAnsiTheme="minorEastAsia" w:eastAsiaTheme="minorEastAsia"/>
          <w:b w:val="0"/>
          <w:sz w:val="21"/>
          <w:szCs w:val="21"/>
          <w:highlight w:val="none"/>
        </w:rPr>
      </w:pPr>
      <w:bookmarkStart w:id="127" w:name="_Toc5090"/>
      <w:bookmarkStart w:id="128" w:name="_Toc5951"/>
      <w:bookmarkStart w:id="129" w:name="_Toc3957"/>
      <w:bookmarkStart w:id="130" w:name="_Toc29324"/>
      <w:bookmarkStart w:id="131" w:name="_Toc17916"/>
      <w:r>
        <w:rPr>
          <w:rFonts w:hint="eastAsia" w:asciiTheme="minorEastAsia" w:hAnsiTheme="minorEastAsia" w:eastAsiaTheme="minorEastAsia"/>
          <w:sz w:val="21"/>
          <w:szCs w:val="21"/>
          <w:highlight w:val="none"/>
        </w:rPr>
        <w:t>投标函</w:t>
      </w:r>
      <w:bookmarkEnd w:id="127"/>
      <w:bookmarkEnd w:id="128"/>
      <w:bookmarkEnd w:id="129"/>
      <w:bookmarkEnd w:id="130"/>
      <w:bookmarkEnd w:id="131"/>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15.1 </w:t>
      </w:r>
      <w:r>
        <w:rPr>
          <w:rFonts w:hint="eastAsia" w:asciiTheme="minorEastAsia" w:hAnsiTheme="minorEastAsia" w:eastAsiaTheme="minorEastAsia"/>
          <w:szCs w:val="21"/>
          <w:highlight w:val="none"/>
        </w:rPr>
        <w:t>投标人应完整地填写投标文件格式中规定的投标函。</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15.2 </w:t>
      </w:r>
      <w:r>
        <w:rPr>
          <w:rFonts w:hint="eastAsia" w:asciiTheme="minorEastAsia" w:hAnsiTheme="minorEastAsia" w:eastAsiaTheme="minorEastAsia"/>
          <w:szCs w:val="21"/>
          <w:highlight w:val="none"/>
        </w:rPr>
        <w:t>招标人不接受投标人备选方案见《投标人须知前附表》第</w:t>
      </w:r>
      <w:r>
        <w:rPr>
          <w:rFonts w:asciiTheme="minorEastAsia" w:hAnsiTheme="minorEastAsia" w:eastAsiaTheme="minorEastAsia"/>
          <w:szCs w:val="21"/>
          <w:highlight w:val="none"/>
        </w:rPr>
        <w:t>10项规定。</w:t>
      </w:r>
    </w:p>
    <w:p>
      <w:pPr>
        <w:pStyle w:val="4"/>
        <w:keepNext w:val="0"/>
        <w:keepLines w:val="0"/>
        <w:numPr>
          <w:ilvl w:val="0"/>
          <w:numId w:val="6"/>
        </w:numPr>
        <w:tabs>
          <w:tab w:val="left" w:pos="851"/>
        </w:tabs>
        <w:spacing w:before="0" w:after="0" w:line="360" w:lineRule="auto"/>
        <w:rPr>
          <w:rFonts w:asciiTheme="minorEastAsia" w:hAnsiTheme="minorEastAsia" w:eastAsiaTheme="minorEastAsia"/>
          <w:b w:val="0"/>
          <w:sz w:val="21"/>
          <w:szCs w:val="21"/>
          <w:highlight w:val="none"/>
        </w:rPr>
      </w:pPr>
      <w:bookmarkStart w:id="132" w:name="_Toc19565"/>
      <w:bookmarkStart w:id="133" w:name="_Toc20639"/>
      <w:bookmarkStart w:id="134" w:name="_Toc7692"/>
      <w:bookmarkStart w:id="135" w:name="_Toc21517"/>
      <w:bookmarkStart w:id="136" w:name="_Toc30365"/>
      <w:r>
        <w:rPr>
          <w:rFonts w:hint="eastAsia" w:asciiTheme="minorEastAsia" w:hAnsiTheme="minorEastAsia" w:eastAsiaTheme="minorEastAsia"/>
          <w:sz w:val="21"/>
          <w:szCs w:val="21"/>
          <w:highlight w:val="none"/>
        </w:rPr>
        <w:t>投标报价</w:t>
      </w:r>
      <w:bookmarkEnd w:id="132"/>
      <w:bookmarkEnd w:id="133"/>
      <w:bookmarkEnd w:id="134"/>
      <w:bookmarkEnd w:id="135"/>
      <w:bookmarkEnd w:id="136"/>
    </w:p>
    <w:p>
      <w:pPr>
        <w:spacing w:line="384" w:lineRule="auto"/>
        <w:ind w:firstLine="420" w:firstLineChars="200"/>
        <w:rPr>
          <w:rFonts w:cs="Arial" w:asciiTheme="minorEastAsia" w:hAnsiTheme="minorEastAsia" w:eastAsiaTheme="minorEastAsia"/>
          <w:szCs w:val="21"/>
          <w:highlight w:val="none"/>
        </w:rPr>
      </w:pPr>
      <w:r>
        <w:rPr>
          <w:rFonts w:cs="Arial" w:asciiTheme="minorEastAsia" w:hAnsiTheme="minorEastAsia" w:eastAsiaTheme="minorEastAsia"/>
          <w:szCs w:val="21"/>
          <w:highlight w:val="none"/>
        </w:rPr>
        <w:t>16.1 本项目采用固定报价方式，</w:t>
      </w:r>
      <w:r>
        <w:rPr>
          <w:rFonts w:hint="eastAsia" w:cs="Arial" w:asciiTheme="minorEastAsia" w:hAnsiTheme="minorEastAsia" w:eastAsiaTheme="minorEastAsia"/>
          <w:szCs w:val="21"/>
          <w:highlight w:val="none"/>
        </w:rPr>
        <w:t>投标人应按照本项目招标范围进行报价。投标人的投标价必须是包含本项目所有招标内容的全部费用，投标人报价表中如有缺漏项，将被视为已经包含在投标价中，合同单价不做调整，同时不免除承包人对报价表中所缺漏的内容的承包责任。报价原则为以工作成本、费用加合理利润及税金报价。对投标人提交滑动价格的投标文件或任何包含价格调整要求的投标，都将被视为实质性不响应招标文件而被拒绝。</w:t>
      </w:r>
    </w:p>
    <w:p>
      <w:pPr>
        <w:tabs>
          <w:tab w:val="left" w:pos="425"/>
        </w:tabs>
        <w:spacing w:line="360" w:lineRule="auto"/>
        <w:ind w:firstLine="420" w:firstLineChars="200"/>
        <w:rPr>
          <w:rFonts w:cs="Arial" w:asciiTheme="minorEastAsia" w:hAnsiTheme="minorEastAsia" w:eastAsiaTheme="minorEastAsia"/>
          <w:szCs w:val="21"/>
          <w:highlight w:val="none"/>
        </w:rPr>
      </w:pPr>
      <w:r>
        <w:rPr>
          <w:rFonts w:cs="Arial" w:asciiTheme="minorEastAsia" w:hAnsiTheme="minorEastAsia" w:eastAsiaTheme="minorEastAsia"/>
          <w:szCs w:val="21"/>
          <w:highlight w:val="none"/>
        </w:rPr>
        <w:t>16.2</w:t>
      </w:r>
      <w:r>
        <w:rPr>
          <w:rFonts w:hint="eastAsia" w:cs="Arial" w:asciiTheme="minorEastAsia" w:hAnsiTheme="minorEastAsia" w:eastAsiaTheme="minorEastAsia"/>
          <w:szCs w:val="21"/>
          <w:highlight w:val="none"/>
        </w:rPr>
        <w:t>投标报价应包括人工费用、福利费用、管理费用、机具费用、税金、利润等所有与本项目相关、完成本合同的一切费用，包括但不限于：管理费、成本、利润、风险和所有税费。</w:t>
      </w:r>
    </w:p>
    <w:p>
      <w:pPr>
        <w:tabs>
          <w:tab w:val="left" w:pos="425"/>
        </w:tabs>
        <w:spacing w:line="360" w:lineRule="auto"/>
        <w:ind w:firstLine="420" w:firstLineChars="200"/>
        <w:rPr>
          <w:rFonts w:cs="Arial" w:asciiTheme="minorEastAsia" w:hAnsiTheme="minorEastAsia" w:eastAsiaTheme="minorEastAsia"/>
          <w:szCs w:val="21"/>
          <w:highlight w:val="none"/>
        </w:rPr>
      </w:pPr>
      <w:r>
        <w:rPr>
          <w:rFonts w:cs="Arial" w:asciiTheme="minorEastAsia" w:hAnsiTheme="minorEastAsia" w:eastAsiaTheme="minorEastAsia"/>
          <w:szCs w:val="21"/>
          <w:highlight w:val="none"/>
        </w:rPr>
        <w:t xml:space="preserve">16.3 </w:t>
      </w:r>
      <w:r>
        <w:rPr>
          <w:rFonts w:hint="eastAsia" w:cs="Arial" w:asciiTheme="minorEastAsia" w:hAnsiTheme="minorEastAsia" w:eastAsiaTheme="minorEastAsia"/>
          <w:szCs w:val="21"/>
          <w:highlight w:val="none"/>
        </w:rPr>
        <w:t>投标总报价应包括本项目要求投标人所提供的全部责任和义务的费用。投标人未单独列明的分项价格将被视为该项目的费用已包含在其他分项中，合同执行中不另予支付，同时不免除承包人对未单独列明的分项的承包责任。</w:t>
      </w:r>
    </w:p>
    <w:p>
      <w:pPr>
        <w:tabs>
          <w:tab w:val="left" w:pos="425"/>
        </w:tabs>
        <w:spacing w:line="360" w:lineRule="auto"/>
        <w:ind w:firstLine="420" w:firstLineChars="200"/>
        <w:rPr>
          <w:rFonts w:cs="Arial" w:asciiTheme="minorEastAsia" w:hAnsiTheme="minorEastAsia" w:eastAsiaTheme="minorEastAsia"/>
          <w:szCs w:val="21"/>
          <w:highlight w:val="none"/>
        </w:rPr>
      </w:pPr>
      <w:r>
        <w:rPr>
          <w:rFonts w:cs="Arial" w:asciiTheme="minorEastAsia" w:hAnsiTheme="minorEastAsia" w:eastAsiaTheme="minorEastAsia"/>
          <w:szCs w:val="21"/>
          <w:highlight w:val="none"/>
        </w:rPr>
        <w:t>16.4投标人应按照招标文件规定的全部要求进行报价，如有偏差，投标人应在偏差表中单独列出。</w:t>
      </w:r>
    </w:p>
    <w:p>
      <w:pPr>
        <w:tabs>
          <w:tab w:val="left" w:pos="425"/>
        </w:tabs>
        <w:spacing w:line="360" w:lineRule="auto"/>
        <w:ind w:firstLine="420" w:firstLineChars="200"/>
        <w:rPr>
          <w:rFonts w:cs="Arial" w:asciiTheme="minorEastAsia" w:hAnsiTheme="minorEastAsia" w:eastAsiaTheme="minorEastAsia"/>
          <w:szCs w:val="21"/>
          <w:highlight w:val="none"/>
        </w:rPr>
      </w:pPr>
      <w:r>
        <w:rPr>
          <w:rFonts w:cs="Arial" w:asciiTheme="minorEastAsia" w:hAnsiTheme="minorEastAsia" w:eastAsiaTheme="minorEastAsia"/>
          <w:szCs w:val="21"/>
          <w:highlight w:val="none"/>
        </w:rPr>
        <w:t>16.5投标人应按投标价格表指定的格式，并根据招标文件招标内容以及投标人的实际情况对投标价格表格式进行完善和补充。</w:t>
      </w:r>
    </w:p>
    <w:p>
      <w:pPr>
        <w:tabs>
          <w:tab w:val="left" w:pos="425"/>
        </w:tabs>
        <w:spacing w:line="360" w:lineRule="auto"/>
        <w:ind w:firstLine="420" w:firstLineChars="200"/>
        <w:rPr>
          <w:rFonts w:cs="Arial" w:asciiTheme="minorEastAsia" w:hAnsiTheme="minorEastAsia" w:eastAsiaTheme="minorEastAsia"/>
          <w:szCs w:val="21"/>
          <w:highlight w:val="none"/>
        </w:rPr>
      </w:pPr>
      <w:r>
        <w:rPr>
          <w:rFonts w:cs="Arial" w:asciiTheme="minorEastAsia" w:hAnsiTheme="minorEastAsia" w:eastAsiaTheme="minorEastAsia"/>
          <w:szCs w:val="21"/>
          <w:highlight w:val="none"/>
        </w:rPr>
        <w:t>16.6投标报价应为人民币含税价格。</w:t>
      </w:r>
    </w:p>
    <w:p>
      <w:pPr>
        <w:tabs>
          <w:tab w:val="left" w:pos="425"/>
        </w:tabs>
        <w:spacing w:line="360" w:lineRule="auto"/>
        <w:ind w:firstLine="420" w:firstLineChars="200"/>
        <w:rPr>
          <w:rFonts w:cs="Arial" w:asciiTheme="minorEastAsia" w:hAnsiTheme="minorEastAsia" w:eastAsiaTheme="minorEastAsia"/>
          <w:szCs w:val="21"/>
          <w:highlight w:val="none"/>
        </w:rPr>
      </w:pPr>
      <w:r>
        <w:rPr>
          <w:rFonts w:cs="Arial" w:asciiTheme="minorEastAsia" w:hAnsiTheme="minorEastAsia" w:eastAsiaTheme="minorEastAsia"/>
          <w:szCs w:val="21"/>
          <w:highlight w:val="none"/>
        </w:rPr>
        <w:t>16.7投标价格表应按照本招标要求格式和顺序分别填写，招标文件提供的报价表格式供投标人参考，投标人须根据招标文件、用户需求书，对报价内容进一步完善和补充后进行报价，以确保投标人的投标报价可以包含本项目招标范围内的所有内容，否则如有缺漏项，按</w:t>
      </w:r>
      <w:r>
        <w:rPr>
          <w:rFonts w:hint="eastAsia" w:cs="Arial" w:asciiTheme="minorEastAsia" w:hAnsiTheme="minorEastAsia" w:eastAsiaTheme="minorEastAsia"/>
          <w:szCs w:val="21"/>
          <w:highlight w:val="none"/>
        </w:rPr>
        <w:t>1</w:t>
      </w:r>
      <w:r>
        <w:rPr>
          <w:rFonts w:cs="Arial" w:asciiTheme="minorEastAsia" w:hAnsiTheme="minorEastAsia" w:eastAsiaTheme="minorEastAsia"/>
          <w:szCs w:val="21"/>
          <w:highlight w:val="none"/>
        </w:rPr>
        <w:t>6.1和</w:t>
      </w:r>
      <w:r>
        <w:rPr>
          <w:rFonts w:hint="eastAsia" w:cs="Arial" w:asciiTheme="minorEastAsia" w:hAnsiTheme="minorEastAsia" w:eastAsiaTheme="minorEastAsia"/>
          <w:szCs w:val="21"/>
          <w:highlight w:val="none"/>
        </w:rPr>
        <w:t>1</w:t>
      </w:r>
      <w:r>
        <w:rPr>
          <w:rFonts w:cs="Arial" w:asciiTheme="minorEastAsia" w:hAnsiTheme="minorEastAsia" w:eastAsiaTheme="minorEastAsia"/>
          <w:szCs w:val="21"/>
          <w:highlight w:val="none"/>
        </w:rPr>
        <w:t>6.3规定处理。</w:t>
      </w:r>
    </w:p>
    <w:p>
      <w:pPr>
        <w:tabs>
          <w:tab w:val="left" w:pos="425"/>
        </w:tabs>
        <w:spacing w:line="360" w:lineRule="auto"/>
        <w:ind w:firstLine="420" w:firstLineChars="200"/>
        <w:rPr>
          <w:rFonts w:cs="Arial" w:asciiTheme="minorEastAsia" w:hAnsiTheme="minorEastAsia" w:eastAsiaTheme="minorEastAsia"/>
          <w:szCs w:val="21"/>
          <w:highlight w:val="none"/>
        </w:rPr>
      </w:pPr>
      <w:r>
        <w:rPr>
          <w:rFonts w:cs="Arial" w:asciiTheme="minorEastAsia" w:hAnsiTheme="minorEastAsia" w:eastAsiaTheme="minorEastAsia"/>
          <w:szCs w:val="21"/>
          <w:highlight w:val="none"/>
        </w:rPr>
        <w:t>16.8若在投标报价中</w:t>
      </w:r>
      <w:r>
        <w:rPr>
          <w:rFonts w:hint="eastAsia" w:cs="Arial" w:asciiTheme="minorEastAsia" w:hAnsiTheme="minorEastAsia" w:eastAsiaTheme="minorEastAsia"/>
          <w:szCs w:val="21"/>
          <w:highlight w:val="none"/>
        </w:rPr>
        <w:t>对同一内容提供两个以上的报价且未明确哪个报价有效，将被视为无效报价，其投标文件将被视为实质性不响应招标文件而被拒绝。</w:t>
      </w:r>
    </w:p>
    <w:p>
      <w:pPr>
        <w:pStyle w:val="210"/>
        <w:spacing w:line="360" w:lineRule="auto"/>
        <w:rPr>
          <w:rFonts w:asciiTheme="minorEastAsia" w:hAnsiTheme="minorEastAsia" w:eastAsiaTheme="minorEastAsia"/>
          <w:szCs w:val="21"/>
          <w:highlight w:val="none"/>
        </w:rPr>
      </w:pPr>
      <w:r>
        <w:rPr>
          <w:rFonts w:cs="Arial" w:asciiTheme="minorEastAsia" w:hAnsiTheme="minorEastAsia" w:eastAsiaTheme="minorEastAsia"/>
          <w:szCs w:val="21"/>
          <w:highlight w:val="none"/>
        </w:rPr>
        <w:t>16.9投标人应自行承担因其编制投标文件与递交投标文件等参加投标所涉及的一切投标费用。不管投标结果如何，招标人对上述费用不负任何责任。</w:t>
      </w:r>
    </w:p>
    <w:p>
      <w:pPr>
        <w:pStyle w:val="4"/>
        <w:keepNext w:val="0"/>
        <w:keepLines w:val="0"/>
        <w:numPr>
          <w:ilvl w:val="0"/>
          <w:numId w:val="6"/>
        </w:numPr>
        <w:tabs>
          <w:tab w:val="left" w:pos="851"/>
        </w:tabs>
        <w:spacing w:before="0" w:after="0" w:line="360" w:lineRule="auto"/>
        <w:rPr>
          <w:rFonts w:asciiTheme="minorEastAsia" w:hAnsiTheme="minorEastAsia" w:eastAsiaTheme="minorEastAsia"/>
          <w:b w:val="0"/>
          <w:sz w:val="21"/>
          <w:szCs w:val="21"/>
          <w:highlight w:val="none"/>
        </w:rPr>
      </w:pPr>
      <w:bookmarkStart w:id="137" w:name="_Toc18796"/>
      <w:bookmarkStart w:id="138" w:name="_Toc6800"/>
      <w:bookmarkStart w:id="139" w:name="_Toc32470"/>
      <w:bookmarkStart w:id="140" w:name="_Toc20010"/>
      <w:bookmarkStart w:id="141" w:name="_Toc10615"/>
      <w:r>
        <w:rPr>
          <w:rFonts w:hint="eastAsia" w:asciiTheme="minorEastAsia" w:hAnsiTheme="minorEastAsia" w:eastAsiaTheme="minorEastAsia"/>
          <w:sz w:val="21"/>
          <w:szCs w:val="21"/>
          <w:highlight w:val="none"/>
        </w:rPr>
        <w:t>投标货币</w:t>
      </w:r>
      <w:bookmarkEnd w:id="137"/>
      <w:bookmarkEnd w:id="138"/>
      <w:bookmarkEnd w:id="139"/>
      <w:bookmarkEnd w:id="140"/>
      <w:bookmarkEnd w:id="141"/>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投标文件中，全部投标内容的报价，必须用人民币报价。</w:t>
      </w:r>
    </w:p>
    <w:p>
      <w:pPr>
        <w:pStyle w:val="4"/>
        <w:keepNext w:val="0"/>
        <w:keepLines w:val="0"/>
        <w:numPr>
          <w:ilvl w:val="0"/>
          <w:numId w:val="6"/>
        </w:numPr>
        <w:tabs>
          <w:tab w:val="left" w:pos="851"/>
        </w:tabs>
        <w:spacing w:before="0" w:after="0" w:line="360" w:lineRule="auto"/>
        <w:rPr>
          <w:rFonts w:asciiTheme="minorEastAsia" w:hAnsiTheme="minorEastAsia" w:eastAsiaTheme="minorEastAsia"/>
          <w:b w:val="0"/>
          <w:sz w:val="21"/>
          <w:szCs w:val="21"/>
          <w:highlight w:val="none"/>
        </w:rPr>
      </w:pPr>
      <w:bookmarkStart w:id="142" w:name="_Toc17123"/>
      <w:bookmarkStart w:id="143" w:name="_Toc24620"/>
      <w:bookmarkStart w:id="144" w:name="_Toc8296"/>
      <w:bookmarkStart w:id="145" w:name="_Toc7599"/>
      <w:bookmarkStart w:id="146" w:name="_Toc12490"/>
      <w:r>
        <w:rPr>
          <w:rFonts w:hint="eastAsia" w:asciiTheme="minorEastAsia" w:hAnsiTheme="minorEastAsia" w:eastAsiaTheme="minorEastAsia"/>
          <w:sz w:val="21"/>
          <w:szCs w:val="21"/>
          <w:highlight w:val="none"/>
        </w:rPr>
        <w:t>证明投标人资格的文件</w:t>
      </w:r>
      <w:bookmarkEnd w:id="142"/>
      <w:bookmarkEnd w:id="143"/>
      <w:bookmarkEnd w:id="144"/>
      <w:bookmarkEnd w:id="145"/>
      <w:bookmarkEnd w:id="146"/>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18.1 </w:t>
      </w:r>
      <w:r>
        <w:rPr>
          <w:rFonts w:hint="eastAsia" w:asciiTheme="minorEastAsia" w:hAnsiTheme="minorEastAsia" w:eastAsiaTheme="minorEastAsia"/>
          <w:szCs w:val="21"/>
          <w:highlight w:val="none"/>
        </w:rPr>
        <w:t>按招标公告的规定，投标人应提交证明其有资格参加投标和中标后有能力履行合同的文件，并作为其投标文件的一部分。</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18.2 </w:t>
      </w:r>
      <w:r>
        <w:rPr>
          <w:rFonts w:hint="eastAsia" w:asciiTheme="minorEastAsia" w:hAnsiTheme="minorEastAsia" w:eastAsiaTheme="minorEastAsia"/>
          <w:szCs w:val="21"/>
          <w:highlight w:val="none"/>
        </w:rPr>
        <w:t>投标人须按《投标人须知前附表》第</w:t>
      </w:r>
      <w:r>
        <w:rPr>
          <w:rFonts w:asciiTheme="minorEastAsia" w:hAnsiTheme="minorEastAsia" w:eastAsiaTheme="minorEastAsia"/>
          <w:szCs w:val="21"/>
          <w:highlight w:val="none"/>
        </w:rPr>
        <w:t>12项规定提供资格性证明文件。</w:t>
      </w:r>
    </w:p>
    <w:p>
      <w:pPr>
        <w:pStyle w:val="4"/>
        <w:keepNext w:val="0"/>
        <w:keepLines w:val="0"/>
        <w:numPr>
          <w:ilvl w:val="0"/>
          <w:numId w:val="6"/>
        </w:numPr>
        <w:tabs>
          <w:tab w:val="left" w:pos="851"/>
        </w:tabs>
        <w:spacing w:before="0" w:after="0" w:line="360" w:lineRule="auto"/>
        <w:rPr>
          <w:rFonts w:asciiTheme="minorEastAsia" w:hAnsiTheme="minorEastAsia" w:eastAsiaTheme="minorEastAsia"/>
          <w:b w:val="0"/>
          <w:i/>
          <w:sz w:val="21"/>
          <w:szCs w:val="21"/>
          <w:highlight w:val="none"/>
        </w:rPr>
      </w:pPr>
      <w:bookmarkStart w:id="147" w:name="_Toc18400"/>
      <w:bookmarkStart w:id="148" w:name="_Toc25447"/>
      <w:bookmarkStart w:id="149" w:name="_Toc19277"/>
      <w:bookmarkStart w:id="150" w:name="_Toc3369"/>
      <w:bookmarkStart w:id="151" w:name="_Toc29885"/>
      <w:r>
        <w:rPr>
          <w:rFonts w:hint="eastAsia" w:asciiTheme="minorEastAsia" w:hAnsiTheme="minorEastAsia" w:eastAsiaTheme="minorEastAsia"/>
          <w:sz w:val="21"/>
          <w:szCs w:val="21"/>
          <w:highlight w:val="none"/>
        </w:rPr>
        <w:t>证明货物的合格和符合招标文件规定的文件</w:t>
      </w:r>
      <w:bookmarkEnd w:id="147"/>
      <w:bookmarkEnd w:id="148"/>
      <w:bookmarkEnd w:id="149"/>
      <w:bookmarkEnd w:id="150"/>
      <w:bookmarkEnd w:id="151"/>
    </w:p>
    <w:p>
      <w:pPr>
        <w:adjustRightInd w:val="0"/>
        <w:snapToGrid w:val="0"/>
        <w:spacing w:line="360" w:lineRule="auto"/>
        <w:ind w:firstLine="422" w:firstLineChars="200"/>
        <w:rPr>
          <w:rFonts w:asciiTheme="minorEastAsia" w:hAnsiTheme="minorEastAsia" w:eastAsiaTheme="minorEastAsia"/>
          <w:szCs w:val="21"/>
          <w:highlight w:val="none"/>
        </w:rPr>
      </w:pPr>
      <w:r>
        <w:rPr>
          <w:rFonts w:hint="eastAsia" w:asciiTheme="minorEastAsia" w:hAnsiTheme="minorEastAsia" w:eastAsiaTheme="minorEastAsia"/>
          <w:b/>
          <w:szCs w:val="21"/>
          <w:highlight w:val="none"/>
        </w:rPr>
        <w:t>无</w:t>
      </w:r>
      <w:r>
        <w:rPr>
          <w:rFonts w:hint="eastAsia" w:asciiTheme="minorEastAsia" w:hAnsiTheme="minorEastAsia" w:eastAsiaTheme="minorEastAsia"/>
          <w:b/>
          <w:i/>
          <w:szCs w:val="21"/>
          <w:highlight w:val="none"/>
        </w:rPr>
        <w:t>。</w:t>
      </w:r>
    </w:p>
    <w:p>
      <w:pPr>
        <w:pStyle w:val="4"/>
        <w:keepNext w:val="0"/>
        <w:keepLines w:val="0"/>
        <w:numPr>
          <w:ilvl w:val="0"/>
          <w:numId w:val="6"/>
        </w:numPr>
        <w:tabs>
          <w:tab w:val="left" w:pos="851"/>
        </w:tabs>
        <w:spacing w:before="0" w:after="0" w:line="360" w:lineRule="auto"/>
        <w:rPr>
          <w:rFonts w:asciiTheme="minorEastAsia" w:hAnsiTheme="minorEastAsia" w:eastAsiaTheme="minorEastAsia"/>
          <w:b w:val="0"/>
          <w:sz w:val="21"/>
          <w:szCs w:val="21"/>
          <w:highlight w:val="none"/>
        </w:rPr>
      </w:pPr>
      <w:bookmarkStart w:id="152" w:name="_Toc25046"/>
      <w:bookmarkStart w:id="153" w:name="_Toc6972"/>
      <w:bookmarkStart w:id="154" w:name="_Toc25166"/>
      <w:bookmarkStart w:id="155" w:name="_Toc13376"/>
      <w:bookmarkStart w:id="156" w:name="_Toc16680"/>
      <w:r>
        <w:rPr>
          <w:rFonts w:hint="eastAsia" w:asciiTheme="minorEastAsia" w:hAnsiTheme="minorEastAsia" w:eastAsiaTheme="minorEastAsia"/>
          <w:sz w:val="21"/>
          <w:szCs w:val="21"/>
          <w:highlight w:val="none"/>
        </w:rPr>
        <w:t>投标保证金</w:t>
      </w:r>
      <w:bookmarkEnd w:id="152"/>
      <w:bookmarkEnd w:id="153"/>
      <w:bookmarkEnd w:id="154"/>
      <w:bookmarkEnd w:id="155"/>
      <w:bookmarkEnd w:id="156"/>
    </w:p>
    <w:p>
      <w:pPr>
        <w:adjustRightInd w:val="0"/>
        <w:snapToGrid w:val="0"/>
        <w:spacing w:line="360" w:lineRule="auto"/>
        <w:ind w:firstLine="382" w:firstLineChars="182"/>
        <w:rPr>
          <w:rFonts w:asciiTheme="minorEastAsia" w:hAnsiTheme="minorEastAsia" w:eastAsiaTheme="minorEastAsia"/>
          <w:szCs w:val="21"/>
          <w:highlight w:val="none"/>
          <w:u w:val="single"/>
        </w:rPr>
      </w:pPr>
      <w:r>
        <w:rPr>
          <w:rFonts w:asciiTheme="minorEastAsia" w:hAnsiTheme="minorEastAsia" w:eastAsiaTheme="minorEastAsia"/>
          <w:szCs w:val="21"/>
          <w:highlight w:val="none"/>
        </w:rPr>
        <w:t xml:space="preserve">20.1 </w:t>
      </w:r>
      <w:r>
        <w:rPr>
          <w:rFonts w:hint="eastAsia" w:asciiTheme="minorEastAsia" w:hAnsiTheme="minorEastAsia" w:eastAsiaTheme="minorEastAsia"/>
          <w:szCs w:val="21"/>
          <w:highlight w:val="none"/>
        </w:rPr>
        <w:t>所有投标人都必须按《投标人须知前附表》第</w:t>
      </w:r>
      <w:r>
        <w:rPr>
          <w:rFonts w:asciiTheme="minorEastAsia" w:hAnsiTheme="minorEastAsia" w:eastAsiaTheme="minorEastAsia"/>
          <w:szCs w:val="21"/>
          <w:highlight w:val="none"/>
        </w:rPr>
        <w:t>13项的规定提交投标保证金。投标保证金是投标文件的组成部分。</w:t>
      </w:r>
    </w:p>
    <w:p>
      <w:pPr>
        <w:adjustRightInd w:val="0"/>
        <w:snapToGrid w:val="0"/>
        <w:spacing w:line="360" w:lineRule="auto"/>
        <w:ind w:firstLine="382" w:firstLineChars="182"/>
        <w:rPr>
          <w:rFonts w:asciiTheme="minorEastAsia" w:hAnsiTheme="minorEastAsia" w:eastAsiaTheme="minorEastAsia"/>
          <w:szCs w:val="21"/>
          <w:highlight w:val="none"/>
        </w:rPr>
      </w:pPr>
      <w:r>
        <w:rPr>
          <w:rFonts w:asciiTheme="minorEastAsia" w:hAnsiTheme="minorEastAsia" w:eastAsiaTheme="minorEastAsia"/>
          <w:szCs w:val="21"/>
          <w:highlight w:val="none"/>
        </w:rPr>
        <w:t>20.2投标保证金是为了保护招标人免遭因投标人的行为而蒙受损失，招标人在因投标人的行为受到损害时可以根据20.6</w:t>
      </w:r>
      <w:r>
        <w:rPr>
          <w:rFonts w:hint="eastAsia" w:asciiTheme="minorEastAsia" w:hAnsiTheme="minorEastAsia" w:eastAsiaTheme="minorEastAsia"/>
          <w:szCs w:val="21"/>
          <w:highlight w:val="none"/>
        </w:rPr>
        <w:t>规定不予退还投标人的投标保证金。</w:t>
      </w:r>
    </w:p>
    <w:p>
      <w:pPr>
        <w:adjustRightInd w:val="0"/>
        <w:snapToGrid w:val="0"/>
        <w:spacing w:line="360" w:lineRule="auto"/>
        <w:ind w:firstLine="382" w:firstLineChars="182"/>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20.3 </w:t>
      </w:r>
      <w:r>
        <w:rPr>
          <w:rFonts w:hint="eastAsia" w:asciiTheme="minorEastAsia" w:hAnsiTheme="minorEastAsia" w:eastAsiaTheme="minorEastAsia"/>
          <w:szCs w:val="21"/>
          <w:highlight w:val="none"/>
        </w:rPr>
        <w:t>凡没有根据投标人须知的规定提交投标保证金的投标，将被视为非响应性投标予以拒绝。</w:t>
      </w:r>
    </w:p>
    <w:p>
      <w:pPr>
        <w:adjustRightInd w:val="0"/>
        <w:snapToGrid w:val="0"/>
        <w:spacing w:line="360" w:lineRule="auto"/>
        <w:ind w:firstLine="382" w:firstLineChars="182"/>
        <w:rPr>
          <w:rFonts w:asciiTheme="minorEastAsia" w:hAnsiTheme="minorEastAsia" w:eastAsiaTheme="minorEastAsia"/>
          <w:szCs w:val="21"/>
          <w:highlight w:val="none"/>
        </w:rPr>
      </w:pPr>
      <w:r>
        <w:rPr>
          <w:rFonts w:asciiTheme="minorEastAsia" w:hAnsiTheme="minorEastAsia" w:eastAsiaTheme="minorEastAsia"/>
          <w:szCs w:val="21"/>
          <w:highlight w:val="none"/>
        </w:rPr>
        <w:t>20.4未中标人的投标保证金，招标人将在与中标人合同签订后5日内退还。</w:t>
      </w:r>
    </w:p>
    <w:p>
      <w:pPr>
        <w:adjustRightInd w:val="0"/>
        <w:snapToGrid w:val="0"/>
        <w:spacing w:line="360" w:lineRule="auto"/>
        <w:ind w:firstLine="382" w:firstLineChars="182"/>
        <w:rPr>
          <w:rFonts w:asciiTheme="minorEastAsia" w:hAnsiTheme="minorEastAsia" w:eastAsiaTheme="minorEastAsia"/>
          <w:szCs w:val="21"/>
          <w:highlight w:val="none"/>
        </w:rPr>
      </w:pPr>
      <w:r>
        <w:rPr>
          <w:rFonts w:asciiTheme="minorEastAsia" w:hAnsiTheme="minorEastAsia" w:eastAsiaTheme="minorEastAsia"/>
          <w:szCs w:val="21"/>
          <w:highlight w:val="none"/>
        </w:rPr>
        <w:t>20.5中标人的投标保证金的退还必须同时满足以下要求：</w:t>
      </w:r>
    </w:p>
    <w:p>
      <w:pPr>
        <w:adjustRightInd w:val="0"/>
        <w:snapToGrid w:val="0"/>
        <w:spacing w:line="360" w:lineRule="auto"/>
        <w:ind w:firstLine="382" w:firstLineChars="182"/>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1）</w:t>
      </w:r>
      <w:r>
        <w:rPr>
          <w:rFonts w:hint="eastAsia" w:asciiTheme="minorEastAsia" w:hAnsiTheme="minorEastAsia" w:eastAsiaTheme="minorEastAsia"/>
          <w:szCs w:val="21"/>
          <w:highlight w:val="none"/>
        </w:rPr>
        <w:t>中标人按《中标通知书》的规定签订合同，并按规定提交履约保证金。</w:t>
      </w:r>
    </w:p>
    <w:p>
      <w:pPr>
        <w:adjustRightInd w:val="0"/>
        <w:snapToGrid w:val="0"/>
        <w:spacing w:line="360" w:lineRule="auto"/>
        <w:ind w:firstLine="382" w:firstLineChars="182"/>
        <w:rPr>
          <w:rFonts w:asciiTheme="minorEastAsia" w:hAnsiTheme="minorEastAsia" w:eastAsiaTheme="minorEastAsia"/>
          <w:szCs w:val="21"/>
          <w:highlight w:val="none"/>
        </w:rPr>
      </w:pPr>
      <w:r>
        <w:rPr>
          <w:rFonts w:asciiTheme="minorEastAsia" w:hAnsiTheme="minorEastAsia" w:eastAsiaTheme="minorEastAsia"/>
          <w:szCs w:val="21"/>
          <w:highlight w:val="none"/>
        </w:rPr>
        <w:t>20.6下列任何一种情况发生时，投标保证金将不予退还：</w:t>
      </w:r>
    </w:p>
    <w:p>
      <w:pPr>
        <w:adjustRightInd w:val="0"/>
        <w:snapToGrid w:val="0"/>
        <w:spacing w:line="360" w:lineRule="auto"/>
        <w:ind w:firstLine="382" w:firstLineChars="182"/>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1）投标人在投标文件中响应的投标有效期内撤回其投标；</w:t>
      </w:r>
    </w:p>
    <w:p>
      <w:pPr>
        <w:adjustRightInd w:val="0"/>
        <w:snapToGrid w:val="0"/>
        <w:spacing w:line="360" w:lineRule="auto"/>
        <w:ind w:firstLine="382" w:firstLineChars="182"/>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2）投标人不接受评标委员会按规定对其投标报价错误的修正；</w:t>
      </w:r>
    </w:p>
    <w:p>
      <w:pPr>
        <w:adjustRightInd w:val="0"/>
        <w:snapToGrid w:val="0"/>
        <w:spacing w:line="360" w:lineRule="auto"/>
        <w:ind w:firstLine="382" w:firstLineChars="182"/>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3）中标人在规定期限内未能根据《中标通知书》的规定签订合同。</w:t>
      </w:r>
    </w:p>
    <w:p>
      <w:pPr>
        <w:adjustRightInd w:val="0"/>
        <w:snapToGrid w:val="0"/>
        <w:spacing w:line="360" w:lineRule="auto"/>
        <w:ind w:firstLine="382" w:firstLineChars="182"/>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4）违反国家有关法律法规的规定的。</w:t>
      </w:r>
    </w:p>
    <w:p>
      <w:pPr>
        <w:pStyle w:val="4"/>
        <w:keepNext w:val="0"/>
        <w:keepLines w:val="0"/>
        <w:numPr>
          <w:ilvl w:val="0"/>
          <w:numId w:val="6"/>
        </w:numPr>
        <w:tabs>
          <w:tab w:val="left" w:pos="851"/>
        </w:tabs>
        <w:spacing w:before="0" w:after="0" w:line="360" w:lineRule="auto"/>
        <w:rPr>
          <w:rFonts w:asciiTheme="minorEastAsia" w:hAnsiTheme="minorEastAsia" w:eastAsiaTheme="minorEastAsia"/>
          <w:b w:val="0"/>
          <w:sz w:val="21"/>
          <w:szCs w:val="21"/>
          <w:highlight w:val="none"/>
        </w:rPr>
      </w:pPr>
      <w:bookmarkStart w:id="157" w:name="_Toc13980"/>
      <w:bookmarkStart w:id="158" w:name="_Toc5283"/>
      <w:bookmarkStart w:id="159" w:name="_Toc5909"/>
      <w:bookmarkStart w:id="160" w:name="_Toc4355"/>
      <w:bookmarkStart w:id="161" w:name="_Toc14319"/>
      <w:r>
        <w:rPr>
          <w:rFonts w:hint="eastAsia" w:asciiTheme="minorEastAsia" w:hAnsiTheme="minorEastAsia" w:eastAsiaTheme="minorEastAsia"/>
          <w:sz w:val="21"/>
          <w:szCs w:val="21"/>
          <w:highlight w:val="none"/>
        </w:rPr>
        <w:t>知识产权</w:t>
      </w:r>
      <w:bookmarkEnd w:id="157"/>
      <w:bookmarkEnd w:id="158"/>
      <w:bookmarkEnd w:id="159"/>
      <w:bookmarkEnd w:id="160"/>
      <w:bookmarkEnd w:id="161"/>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21.1投标人应保证，招标人在中华人民共和国使用、销售货物或货物的任何一部分时，招标人免受第三方提出侵犯其专利权、商标权或其它知识产权的起诉。</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21.2投标价应包括所有应支付的对专利权和版权或其他知识产权而需要向其他方支付的费用。</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21.3 </w:t>
      </w:r>
      <w:r>
        <w:rPr>
          <w:rFonts w:hint="eastAsia" w:asciiTheme="minorEastAsia" w:hAnsiTheme="minorEastAsia" w:eastAsiaTheme="minorEastAsia"/>
          <w:szCs w:val="21"/>
          <w:highlight w:val="none"/>
        </w:rPr>
        <w:t>投标人应保证，投标人所提供产品的说明书或使用方法，或招标人使用该产品达到通常使用目的所必须的使用方法，应不侵犯第三方知识产权，否则，投标人应就此给招标人导致的损失承担赔偿责任。</w:t>
      </w:r>
    </w:p>
    <w:p>
      <w:pPr>
        <w:pStyle w:val="4"/>
        <w:keepNext w:val="0"/>
        <w:keepLines w:val="0"/>
        <w:numPr>
          <w:ilvl w:val="0"/>
          <w:numId w:val="6"/>
        </w:numPr>
        <w:tabs>
          <w:tab w:val="left" w:pos="851"/>
        </w:tabs>
        <w:spacing w:before="0" w:after="0" w:line="360" w:lineRule="auto"/>
        <w:rPr>
          <w:rFonts w:asciiTheme="minorEastAsia" w:hAnsiTheme="minorEastAsia" w:eastAsiaTheme="minorEastAsia"/>
          <w:b w:val="0"/>
          <w:sz w:val="21"/>
          <w:szCs w:val="21"/>
          <w:highlight w:val="none"/>
        </w:rPr>
      </w:pPr>
      <w:bookmarkStart w:id="162" w:name="_Toc3231"/>
      <w:bookmarkStart w:id="163" w:name="_Toc6490"/>
      <w:bookmarkStart w:id="164" w:name="_Toc15084"/>
      <w:bookmarkStart w:id="165" w:name="_Toc24351"/>
      <w:bookmarkStart w:id="166" w:name="_Toc5121"/>
      <w:r>
        <w:rPr>
          <w:rFonts w:hint="eastAsia" w:asciiTheme="minorEastAsia" w:hAnsiTheme="minorEastAsia" w:eastAsiaTheme="minorEastAsia"/>
          <w:sz w:val="21"/>
          <w:szCs w:val="21"/>
          <w:highlight w:val="none"/>
        </w:rPr>
        <w:t>投标有效期</w:t>
      </w:r>
      <w:bookmarkEnd w:id="162"/>
      <w:bookmarkEnd w:id="163"/>
      <w:bookmarkEnd w:id="164"/>
      <w:bookmarkEnd w:id="165"/>
      <w:bookmarkEnd w:id="166"/>
    </w:p>
    <w:p>
      <w:pPr>
        <w:widowControl/>
        <w:numPr>
          <w:ilvl w:val="1"/>
          <w:numId w:val="7"/>
        </w:numPr>
        <w:adjustRightInd w:val="0"/>
        <w:snapToGrid w:val="0"/>
        <w:spacing w:line="360" w:lineRule="auto"/>
        <w:ind w:left="0" w:firstLine="382" w:firstLineChars="182"/>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投标文件应根据</w:t>
      </w:r>
      <w:r>
        <w:rPr>
          <w:rFonts w:hint="eastAsia" w:asciiTheme="minorEastAsia" w:hAnsiTheme="minorEastAsia" w:eastAsiaTheme="minorEastAsia"/>
          <w:b/>
          <w:szCs w:val="21"/>
          <w:highlight w:val="none"/>
        </w:rPr>
        <w:t>《投标人须知前附表》第</w:t>
      </w:r>
      <w:r>
        <w:rPr>
          <w:rFonts w:asciiTheme="minorEastAsia" w:hAnsiTheme="minorEastAsia" w:eastAsiaTheme="minorEastAsia"/>
          <w:b/>
          <w:szCs w:val="21"/>
          <w:highlight w:val="none"/>
        </w:rPr>
        <w:t>14项</w:t>
      </w:r>
      <w:r>
        <w:rPr>
          <w:rFonts w:hint="eastAsia" w:asciiTheme="minorEastAsia" w:hAnsiTheme="minorEastAsia" w:eastAsiaTheme="minorEastAsia"/>
          <w:szCs w:val="21"/>
          <w:highlight w:val="none"/>
        </w:rPr>
        <w:t>规定的时间内保持有效。投标有效期比规定期限短的将被视为非响应投标而予以拒绝。</w:t>
      </w:r>
    </w:p>
    <w:p>
      <w:pPr>
        <w:widowControl/>
        <w:numPr>
          <w:ilvl w:val="1"/>
          <w:numId w:val="7"/>
        </w:numPr>
        <w:adjustRightInd w:val="0"/>
        <w:snapToGrid w:val="0"/>
        <w:spacing w:line="360" w:lineRule="auto"/>
        <w:ind w:left="0" w:firstLine="382" w:firstLineChars="182"/>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特殊情况下在原有投标有效期截止之前，招标人可征求投标人同意延长投标有效期。这种要求与答复均应以书面形式提交。投标人可以拒绝招标人的这种要求，其投标保证金将予以退还。接受投标有效期延长的投标人将不会被要求和允许修正其投标文件，而只会要求其相应地延长其投标保证金的有效期。在这种情况下，本须知有关投标保证金的退还与否的规定将在延长了的有效期内继续有效。</w:t>
      </w:r>
    </w:p>
    <w:p>
      <w:pPr>
        <w:pStyle w:val="4"/>
        <w:keepNext w:val="0"/>
        <w:keepLines w:val="0"/>
        <w:numPr>
          <w:ilvl w:val="0"/>
          <w:numId w:val="6"/>
        </w:numPr>
        <w:tabs>
          <w:tab w:val="left" w:pos="851"/>
        </w:tabs>
        <w:spacing w:before="0" w:after="0" w:line="360" w:lineRule="auto"/>
        <w:rPr>
          <w:rFonts w:asciiTheme="minorEastAsia" w:hAnsiTheme="minorEastAsia" w:eastAsiaTheme="minorEastAsia"/>
          <w:b w:val="0"/>
          <w:sz w:val="21"/>
          <w:szCs w:val="21"/>
          <w:highlight w:val="none"/>
        </w:rPr>
      </w:pPr>
      <w:bookmarkStart w:id="167" w:name="_Toc25561"/>
      <w:bookmarkStart w:id="168" w:name="_Toc13347"/>
      <w:bookmarkStart w:id="169" w:name="_Toc3683"/>
      <w:bookmarkStart w:id="170" w:name="_Toc20338"/>
      <w:bookmarkStart w:id="171" w:name="_Toc21509"/>
      <w:r>
        <w:rPr>
          <w:rFonts w:hint="eastAsia" w:asciiTheme="minorEastAsia" w:hAnsiTheme="minorEastAsia" w:eastAsiaTheme="minorEastAsia"/>
          <w:sz w:val="21"/>
          <w:szCs w:val="21"/>
          <w:highlight w:val="none"/>
        </w:rPr>
        <w:t>投标文件的组成、式样和签署</w:t>
      </w:r>
      <w:bookmarkEnd w:id="167"/>
      <w:bookmarkEnd w:id="168"/>
      <w:bookmarkEnd w:id="169"/>
      <w:bookmarkEnd w:id="170"/>
      <w:bookmarkEnd w:id="171"/>
    </w:p>
    <w:p>
      <w:pPr>
        <w:adjustRightInd w:val="0"/>
        <w:snapToGrid w:val="0"/>
        <w:spacing w:line="360" w:lineRule="auto"/>
        <w:ind w:firstLine="382" w:firstLineChars="182"/>
        <w:rPr>
          <w:rFonts w:asciiTheme="minorEastAsia" w:hAnsiTheme="minorEastAsia" w:eastAsiaTheme="minorEastAsia"/>
          <w:b/>
          <w:i/>
          <w:szCs w:val="21"/>
          <w:highlight w:val="none"/>
        </w:rPr>
      </w:pPr>
      <w:r>
        <w:rPr>
          <w:rFonts w:asciiTheme="minorEastAsia" w:hAnsiTheme="minorEastAsia" w:eastAsiaTheme="minorEastAsia"/>
          <w:szCs w:val="21"/>
          <w:highlight w:val="none"/>
        </w:rPr>
        <w:t>23.1投标人的投标文件由第一部分《商务</w:t>
      </w:r>
      <w:r>
        <w:rPr>
          <w:rFonts w:hint="eastAsia" w:asciiTheme="minorEastAsia" w:hAnsiTheme="minorEastAsia" w:eastAsiaTheme="minorEastAsia"/>
          <w:szCs w:val="21"/>
          <w:highlight w:val="none"/>
        </w:rPr>
        <w:t>技术</w:t>
      </w:r>
      <w:r>
        <w:rPr>
          <w:rFonts w:asciiTheme="minorEastAsia" w:hAnsiTheme="minorEastAsia" w:eastAsiaTheme="minorEastAsia"/>
          <w:szCs w:val="21"/>
          <w:highlight w:val="none"/>
        </w:rPr>
        <w:t>投标文件</w:t>
      </w:r>
      <w:r>
        <w:rPr>
          <w:rFonts w:hint="eastAsia" w:asciiTheme="minorEastAsia" w:hAnsiTheme="minorEastAsia" w:eastAsiaTheme="minorEastAsia"/>
          <w:szCs w:val="21"/>
          <w:highlight w:val="none"/>
        </w:rPr>
        <w:t>》（含电子文件</w:t>
      </w:r>
      <w:r>
        <w:rPr>
          <w:rFonts w:asciiTheme="minorEastAsia" w:hAnsiTheme="minorEastAsia" w:eastAsiaTheme="minorEastAsia"/>
          <w:szCs w:val="21"/>
          <w:highlight w:val="none"/>
        </w:rPr>
        <w:t>U盘1个）、第二部分《</w:t>
      </w:r>
      <w:r>
        <w:rPr>
          <w:rFonts w:hint="eastAsia" w:asciiTheme="minorEastAsia" w:hAnsiTheme="minorEastAsia" w:eastAsiaTheme="minorEastAsia"/>
          <w:szCs w:val="21"/>
          <w:highlight w:val="none"/>
        </w:rPr>
        <w:t>价格</w:t>
      </w:r>
      <w:r>
        <w:rPr>
          <w:rFonts w:asciiTheme="minorEastAsia" w:hAnsiTheme="minorEastAsia" w:eastAsiaTheme="minorEastAsia"/>
          <w:szCs w:val="21"/>
          <w:highlight w:val="none"/>
        </w:rPr>
        <w:t>投标</w:t>
      </w:r>
      <w:r>
        <w:rPr>
          <w:rFonts w:hint="eastAsia" w:asciiTheme="minorEastAsia" w:hAnsiTheme="minorEastAsia" w:eastAsiaTheme="minorEastAsia"/>
          <w:szCs w:val="21"/>
          <w:highlight w:val="none"/>
        </w:rPr>
        <w:t>文件》（含电子文件</w:t>
      </w:r>
      <w:r>
        <w:rPr>
          <w:rFonts w:asciiTheme="minorEastAsia" w:hAnsiTheme="minorEastAsia" w:eastAsiaTheme="minorEastAsia"/>
          <w:szCs w:val="21"/>
          <w:highlight w:val="none"/>
        </w:rPr>
        <w:t>U盘1个）、第三部分唱标信封组成。</w:t>
      </w:r>
    </w:p>
    <w:p>
      <w:pPr>
        <w:adjustRightInd w:val="0"/>
        <w:snapToGrid w:val="0"/>
        <w:spacing w:line="360" w:lineRule="auto"/>
        <w:ind w:firstLine="382" w:firstLineChars="182"/>
        <w:rPr>
          <w:rFonts w:asciiTheme="minorEastAsia" w:hAnsiTheme="minorEastAsia" w:eastAsiaTheme="minorEastAsia"/>
          <w:szCs w:val="21"/>
          <w:highlight w:val="none"/>
        </w:rPr>
      </w:pPr>
      <w:r>
        <w:rPr>
          <w:rFonts w:asciiTheme="minorEastAsia" w:hAnsiTheme="minorEastAsia" w:eastAsiaTheme="minorEastAsia"/>
          <w:szCs w:val="21"/>
          <w:highlight w:val="none"/>
        </w:rPr>
        <w:t>23.2 商务</w:t>
      </w:r>
      <w:r>
        <w:rPr>
          <w:rFonts w:hint="eastAsia" w:asciiTheme="minorEastAsia" w:hAnsiTheme="minorEastAsia" w:eastAsiaTheme="minorEastAsia"/>
          <w:szCs w:val="21"/>
          <w:highlight w:val="none"/>
        </w:rPr>
        <w:t>、技术</w:t>
      </w:r>
      <w:r>
        <w:rPr>
          <w:rFonts w:asciiTheme="minorEastAsia" w:hAnsiTheme="minorEastAsia" w:eastAsiaTheme="minorEastAsia"/>
          <w:szCs w:val="21"/>
          <w:highlight w:val="none"/>
        </w:rPr>
        <w:t>投标文件包括</w:t>
      </w:r>
      <w:r>
        <w:rPr>
          <w:rFonts w:hint="eastAsia" w:asciiTheme="minorEastAsia" w:hAnsiTheme="minorEastAsia" w:eastAsiaTheme="minorEastAsia"/>
          <w:szCs w:val="21"/>
          <w:highlight w:val="none"/>
        </w:rPr>
        <w:t>：</w:t>
      </w:r>
    </w:p>
    <w:p>
      <w:pPr>
        <w:adjustRightInd w:val="0"/>
        <w:snapToGrid w:val="0"/>
        <w:spacing w:line="360" w:lineRule="auto"/>
        <w:ind w:firstLine="382" w:firstLineChars="182"/>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投标函（详见第六章投标文件格式1）；</w:t>
      </w:r>
    </w:p>
    <w:p>
      <w:pPr>
        <w:adjustRightInd w:val="0"/>
        <w:snapToGrid w:val="0"/>
        <w:spacing w:line="360" w:lineRule="auto"/>
        <w:ind w:firstLine="382" w:firstLineChars="182"/>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投标人声明（详见第六章投标文件格式2）；</w:t>
      </w:r>
    </w:p>
    <w:p>
      <w:pPr>
        <w:adjustRightInd w:val="0"/>
        <w:snapToGrid w:val="0"/>
        <w:spacing w:line="360" w:lineRule="auto"/>
        <w:ind w:firstLine="382" w:firstLineChars="182"/>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（3）法定代表人资格证明书（详见第六章投标文件格式3）；</w:t>
      </w:r>
    </w:p>
    <w:p>
      <w:pPr>
        <w:adjustRightInd w:val="0"/>
        <w:snapToGrid w:val="0"/>
        <w:spacing w:line="360" w:lineRule="auto"/>
        <w:ind w:firstLine="382" w:firstLineChars="182"/>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（4）法定代表人授权委托书（详见第六章投标文件格式4）；</w:t>
      </w:r>
    </w:p>
    <w:p>
      <w:pPr>
        <w:adjustRightInd w:val="0"/>
        <w:snapToGrid w:val="0"/>
        <w:spacing w:line="360" w:lineRule="auto"/>
        <w:ind w:firstLine="382" w:firstLineChars="182"/>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（5）承诺书（详见第六章投标文件格式5）；</w:t>
      </w:r>
    </w:p>
    <w:p>
      <w:pPr>
        <w:adjustRightInd w:val="0"/>
        <w:snapToGrid w:val="0"/>
        <w:spacing w:line="360" w:lineRule="auto"/>
        <w:ind w:firstLine="382" w:firstLineChars="182"/>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（6）资格证明文件（详见第六章投标文件格式6）；</w:t>
      </w:r>
    </w:p>
    <w:p>
      <w:pPr>
        <w:adjustRightInd w:val="0"/>
        <w:snapToGrid w:val="0"/>
        <w:spacing w:line="360" w:lineRule="auto"/>
        <w:ind w:firstLine="382" w:firstLineChars="182"/>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（7</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合同条款响应表（详见第六章投标文件格式7）；</w:t>
      </w: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（8</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投标保证金汇款声明函（详见第六章投标文件格式8）；</w:t>
      </w: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（9）企业信誉（详见第六章投标文件格式9）；</w:t>
      </w: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（10）财务状况（详见第六章投标文件格式10）</w:t>
      </w: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（11）业绩一览表（详见第六章投标文件格式11）；</w:t>
      </w: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（12）技术力量（详见第六章投标文件格式12）；</w:t>
      </w: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（13</w:t>
      </w:r>
      <w:r>
        <w:rPr>
          <w:rFonts w:asciiTheme="minorEastAsia" w:hAnsiTheme="minorEastAsia" w:eastAsiaTheme="minorEastAsia"/>
          <w:szCs w:val="21"/>
          <w:highlight w:val="none"/>
        </w:rPr>
        <w:t>）用户需求书响应表</w:t>
      </w:r>
      <w:r>
        <w:rPr>
          <w:rFonts w:hint="eastAsia" w:asciiTheme="minorEastAsia" w:hAnsiTheme="minorEastAsia" w:eastAsiaTheme="minorEastAsia"/>
          <w:szCs w:val="21"/>
          <w:highlight w:val="none"/>
        </w:rPr>
        <w:t>（详见第六章投标文件格式13）</w:t>
      </w:r>
      <w:r>
        <w:rPr>
          <w:rFonts w:asciiTheme="minorEastAsia" w:hAnsiTheme="minorEastAsia" w:eastAsiaTheme="minorEastAsia"/>
          <w:szCs w:val="21"/>
          <w:highlight w:val="none"/>
        </w:rPr>
        <w:t>；</w:t>
      </w: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（14</w:t>
      </w:r>
      <w:r>
        <w:rPr>
          <w:rFonts w:asciiTheme="minorEastAsia" w:hAnsiTheme="minorEastAsia" w:eastAsiaTheme="minorEastAsia"/>
          <w:szCs w:val="21"/>
          <w:highlight w:val="none"/>
        </w:rPr>
        <w:t>）投标人</w:t>
      </w:r>
      <w:r>
        <w:rPr>
          <w:rFonts w:hint="eastAsia" w:asciiTheme="minorEastAsia" w:hAnsiTheme="minorEastAsia" w:eastAsiaTheme="minorEastAsia"/>
          <w:szCs w:val="21"/>
          <w:highlight w:val="none"/>
        </w:rPr>
        <w:t>简介（详见第六章投标文件格式14）</w:t>
      </w:r>
      <w:r>
        <w:rPr>
          <w:rFonts w:asciiTheme="minorEastAsia" w:hAnsiTheme="minorEastAsia" w:eastAsiaTheme="minorEastAsia"/>
          <w:szCs w:val="21"/>
          <w:highlight w:val="none"/>
        </w:rPr>
        <w:t>；</w:t>
      </w: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（15）项目人员配置（详见第六章投标文件格式15）；</w:t>
      </w: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（16</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其</w:t>
      </w:r>
      <w:r>
        <w:rPr>
          <w:rFonts w:asciiTheme="minorEastAsia" w:hAnsiTheme="minorEastAsia" w:eastAsiaTheme="minorEastAsia"/>
          <w:szCs w:val="21"/>
          <w:highlight w:val="none"/>
        </w:rPr>
        <w:t>它资料。</w:t>
      </w:r>
    </w:p>
    <w:p>
      <w:pPr>
        <w:adjustRightInd w:val="0"/>
        <w:snapToGrid w:val="0"/>
        <w:spacing w:line="360" w:lineRule="auto"/>
        <w:ind w:firstLine="382" w:firstLineChars="182"/>
        <w:rPr>
          <w:rFonts w:asciiTheme="minorEastAsia" w:hAnsiTheme="minorEastAsia" w:eastAsiaTheme="minorEastAsia"/>
          <w:szCs w:val="21"/>
          <w:highlight w:val="none"/>
        </w:rPr>
      </w:pPr>
      <w:r>
        <w:rPr>
          <w:rFonts w:asciiTheme="minorEastAsia" w:hAnsiTheme="minorEastAsia" w:eastAsiaTheme="minorEastAsia"/>
          <w:szCs w:val="21"/>
          <w:highlight w:val="none"/>
        </w:rPr>
        <w:t>23.3</w:t>
      </w:r>
      <w:r>
        <w:rPr>
          <w:rFonts w:hint="eastAsia" w:asciiTheme="minorEastAsia" w:hAnsiTheme="minorEastAsia" w:eastAsiaTheme="minorEastAsia"/>
          <w:szCs w:val="21"/>
          <w:highlight w:val="none"/>
        </w:rPr>
        <w:t>价格</w:t>
      </w:r>
      <w:r>
        <w:rPr>
          <w:rFonts w:asciiTheme="minorEastAsia" w:hAnsiTheme="minorEastAsia" w:eastAsiaTheme="minorEastAsia"/>
          <w:szCs w:val="21"/>
          <w:highlight w:val="none"/>
        </w:rPr>
        <w:t>投标</w:t>
      </w:r>
      <w:r>
        <w:rPr>
          <w:rFonts w:hint="eastAsia" w:asciiTheme="minorEastAsia" w:hAnsiTheme="minorEastAsia" w:eastAsiaTheme="minorEastAsia"/>
          <w:szCs w:val="21"/>
          <w:highlight w:val="none"/>
        </w:rPr>
        <w:t>文件包括：</w:t>
      </w:r>
    </w:p>
    <w:p>
      <w:pPr>
        <w:adjustRightInd w:val="0"/>
        <w:snapToGrid w:val="0"/>
        <w:spacing w:line="360" w:lineRule="auto"/>
        <w:ind w:firstLine="382" w:firstLineChars="182"/>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详见招标文件第六章《投标文件格式》中的“第二部分《价格投标文件》”。</w:t>
      </w:r>
    </w:p>
    <w:p>
      <w:pPr>
        <w:adjustRightInd w:val="0"/>
        <w:snapToGrid w:val="0"/>
        <w:spacing w:line="360" w:lineRule="auto"/>
        <w:ind w:firstLine="382" w:firstLineChars="182"/>
        <w:rPr>
          <w:rFonts w:asciiTheme="minorEastAsia" w:hAnsiTheme="minorEastAsia" w:eastAsiaTheme="minorEastAsia"/>
          <w:b/>
          <w:szCs w:val="21"/>
          <w:highlight w:val="none"/>
        </w:rPr>
      </w:pPr>
      <w:r>
        <w:rPr>
          <w:rFonts w:asciiTheme="minorEastAsia" w:hAnsiTheme="minorEastAsia" w:eastAsiaTheme="minorEastAsia"/>
          <w:szCs w:val="21"/>
          <w:highlight w:val="none"/>
        </w:rPr>
        <w:t>23.4唱标信封内容见本须知第25.5项。</w:t>
      </w:r>
    </w:p>
    <w:p>
      <w:pPr>
        <w:adjustRightInd w:val="0"/>
        <w:snapToGrid w:val="0"/>
        <w:spacing w:line="360" w:lineRule="auto"/>
        <w:ind w:firstLine="382" w:firstLineChars="182"/>
        <w:rPr>
          <w:rFonts w:asciiTheme="minorEastAsia" w:hAnsiTheme="minorEastAsia" w:eastAsiaTheme="minorEastAsia"/>
          <w:szCs w:val="21"/>
          <w:highlight w:val="none"/>
        </w:rPr>
      </w:pPr>
      <w:r>
        <w:rPr>
          <w:rFonts w:asciiTheme="minorEastAsia" w:hAnsiTheme="minorEastAsia" w:eastAsiaTheme="minorEastAsia"/>
          <w:szCs w:val="21"/>
          <w:highlight w:val="none"/>
        </w:rPr>
        <w:t>23.5投标人按照投标人须知前附表第15</w:t>
      </w:r>
      <w:r>
        <w:rPr>
          <w:rFonts w:hint="eastAsia" w:asciiTheme="minorEastAsia" w:hAnsiTheme="minorEastAsia" w:eastAsiaTheme="minorEastAsia"/>
          <w:szCs w:val="21"/>
          <w:highlight w:val="none"/>
        </w:rPr>
        <w:t>项规定提交投标文件。在每份投标文件封面上注明“正本”或“副本”、“商务技术投标文件”或“价格投标文件”。</w:t>
      </w:r>
    </w:p>
    <w:p>
      <w:pPr>
        <w:adjustRightInd w:val="0"/>
        <w:snapToGrid w:val="0"/>
        <w:spacing w:line="360" w:lineRule="auto"/>
        <w:ind w:firstLine="382" w:firstLineChars="182"/>
        <w:rPr>
          <w:rFonts w:asciiTheme="minorEastAsia" w:hAnsiTheme="minorEastAsia" w:eastAsiaTheme="minorEastAsia"/>
          <w:szCs w:val="21"/>
          <w:highlight w:val="none"/>
        </w:rPr>
      </w:pPr>
      <w:r>
        <w:rPr>
          <w:rFonts w:asciiTheme="minorEastAsia" w:hAnsiTheme="minorEastAsia" w:eastAsiaTheme="minorEastAsia"/>
          <w:szCs w:val="21"/>
          <w:highlight w:val="none"/>
        </w:rPr>
        <w:t>23.6投标文件的任何行间插字、涂改和增删，须经法定代表人（或其授权代理人）签名或加盖单位章才有效。</w:t>
      </w:r>
    </w:p>
    <w:p>
      <w:pPr>
        <w:adjustRightInd w:val="0"/>
        <w:snapToGrid w:val="0"/>
        <w:spacing w:line="360" w:lineRule="auto"/>
        <w:ind w:firstLine="382" w:firstLineChars="182"/>
        <w:rPr>
          <w:rFonts w:asciiTheme="minorEastAsia" w:hAnsiTheme="minorEastAsia" w:eastAsiaTheme="minorEastAsia"/>
          <w:szCs w:val="21"/>
          <w:highlight w:val="none"/>
        </w:rPr>
      </w:pPr>
      <w:r>
        <w:rPr>
          <w:rFonts w:asciiTheme="minorEastAsia" w:hAnsiTheme="minorEastAsia" w:eastAsiaTheme="minorEastAsia"/>
          <w:szCs w:val="21"/>
          <w:highlight w:val="none"/>
        </w:rPr>
        <w:t>23.7投标文件[副本]</w:t>
      </w:r>
      <w:r>
        <w:rPr>
          <w:rFonts w:hint="eastAsia" w:asciiTheme="minorEastAsia" w:hAnsiTheme="minorEastAsia" w:eastAsiaTheme="minorEastAsia"/>
          <w:szCs w:val="21"/>
          <w:highlight w:val="none"/>
        </w:rPr>
        <w:t>的所有资料都可以用投标文件的</w:t>
      </w:r>
      <w:r>
        <w:rPr>
          <w:rFonts w:asciiTheme="minorEastAsia" w:hAnsiTheme="minorEastAsia" w:eastAsiaTheme="minorEastAsia"/>
          <w:szCs w:val="21"/>
          <w:highlight w:val="none"/>
        </w:rPr>
        <w:t>[正本]复印而成。如果正本与副本不符，应以正本为准。</w:t>
      </w:r>
    </w:p>
    <w:p>
      <w:pPr>
        <w:adjustRightInd w:val="0"/>
        <w:snapToGrid w:val="0"/>
        <w:spacing w:line="360" w:lineRule="auto"/>
        <w:ind w:firstLine="382" w:firstLineChars="182"/>
        <w:rPr>
          <w:rFonts w:asciiTheme="minorEastAsia" w:hAnsiTheme="minorEastAsia" w:eastAsiaTheme="minorEastAsia"/>
          <w:szCs w:val="21"/>
          <w:highlight w:val="none"/>
        </w:rPr>
      </w:pPr>
      <w:r>
        <w:rPr>
          <w:rFonts w:asciiTheme="minorEastAsia" w:hAnsiTheme="minorEastAsia" w:eastAsiaTheme="minorEastAsia"/>
          <w:szCs w:val="21"/>
          <w:highlight w:val="none"/>
        </w:rPr>
        <w:t>23.8投标文件的[正本]及所有[副本]的封面均须加盖投标人法人公章，并经法定代表人或其授权代理人签名或盖章。</w:t>
      </w:r>
    </w:p>
    <w:p>
      <w:pPr>
        <w:adjustRightInd w:val="0"/>
        <w:snapToGrid w:val="0"/>
        <w:spacing w:line="360" w:lineRule="auto"/>
        <w:ind w:firstLine="382" w:firstLineChars="182"/>
        <w:rPr>
          <w:rFonts w:asciiTheme="minorEastAsia" w:hAnsiTheme="minorEastAsia" w:eastAsiaTheme="minorEastAsia"/>
          <w:szCs w:val="21"/>
          <w:highlight w:val="none"/>
        </w:rPr>
      </w:pPr>
      <w:r>
        <w:rPr>
          <w:rFonts w:asciiTheme="minorEastAsia" w:hAnsiTheme="minorEastAsia" w:eastAsiaTheme="minorEastAsia"/>
          <w:szCs w:val="21"/>
          <w:highlight w:val="none"/>
        </w:rPr>
        <w:t>23.9传真、邮寄和电传的投标文件将被拒绝。</w:t>
      </w:r>
    </w:p>
    <w:p>
      <w:pPr>
        <w:adjustRightInd w:val="0"/>
        <w:snapToGrid w:val="0"/>
        <w:spacing w:line="360" w:lineRule="auto"/>
        <w:ind w:firstLine="382" w:firstLineChars="182"/>
        <w:rPr>
          <w:rFonts w:asciiTheme="minorEastAsia" w:hAnsiTheme="minorEastAsia" w:eastAsiaTheme="minorEastAsia"/>
          <w:szCs w:val="21"/>
          <w:highlight w:val="none"/>
        </w:rPr>
      </w:pPr>
    </w:p>
    <w:p>
      <w:pPr>
        <w:pStyle w:val="219"/>
        <w:adjustRightInd w:val="0"/>
        <w:spacing w:before="120" w:line="360" w:lineRule="auto"/>
        <w:ind w:firstLine="384"/>
        <w:rPr>
          <w:rFonts w:asciiTheme="minorEastAsia" w:hAnsiTheme="minorEastAsia" w:eastAsiaTheme="minorEastAsia"/>
          <w:b/>
          <w:sz w:val="21"/>
          <w:szCs w:val="21"/>
          <w:highlight w:val="none"/>
        </w:rPr>
      </w:pPr>
      <w:bookmarkStart w:id="172" w:name="_Toc6248"/>
      <w:bookmarkStart w:id="173" w:name="_Toc26070"/>
      <w:bookmarkStart w:id="174" w:name="_Toc22857"/>
      <w:bookmarkStart w:id="175" w:name="_Toc6899"/>
      <w:bookmarkStart w:id="176" w:name="_Toc1958"/>
      <w:r>
        <w:rPr>
          <w:rFonts w:hint="eastAsia" w:asciiTheme="minorEastAsia" w:hAnsiTheme="minorEastAsia" w:eastAsiaTheme="minorEastAsia"/>
          <w:b/>
          <w:sz w:val="21"/>
          <w:szCs w:val="21"/>
          <w:highlight w:val="none"/>
        </w:rPr>
        <w:t>（四）投标文件的递交</w:t>
      </w:r>
      <w:bookmarkEnd w:id="172"/>
      <w:bookmarkEnd w:id="173"/>
      <w:bookmarkEnd w:id="174"/>
      <w:bookmarkEnd w:id="175"/>
      <w:bookmarkEnd w:id="176"/>
    </w:p>
    <w:p>
      <w:pPr>
        <w:pStyle w:val="4"/>
        <w:keepNext w:val="0"/>
        <w:keepLines w:val="0"/>
        <w:numPr>
          <w:ilvl w:val="0"/>
          <w:numId w:val="6"/>
        </w:numPr>
        <w:tabs>
          <w:tab w:val="left" w:pos="851"/>
        </w:tabs>
        <w:spacing w:before="0" w:after="0" w:line="360" w:lineRule="auto"/>
        <w:rPr>
          <w:rFonts w:asciiTheme="minorEastAsia" w:hAnsiTheme="minorEastAsia" w:eastAsiaTheme="minorEastAsia"/>
          <w:b w:val="0"/>
          <w:sz w:val="21"/>
          <w:szCs w:val="21"/>
          <w:highlight w:val="none"/>
        </w:rPr>
      </w:pPr>
      <w:bookmarkStart w:id="177" w:name="_Toc26276"/>
      <w:bookmarkStart w:id="178" w:name="_Toc17015"/>
      <w:bookmarkStart w:id="179" w:name="_Toc26134"/>
      <w:bookmarkStart w:id="180" w:name="_Toc10367"/>
      <w:bookmarkStart w:id="181" w:name="_Toc5765"/>
      <w:r>
        <w:rPr>
          <w:rFonts w:hint="eastAsia" w:asciiTheme="minorEastAsia" w:hAnsiTheme="minorEastAsia" w:eastAsiaTheme="minorEastAsia"/>
          <w:sz w:val="21"/>
          <w:szCs w:val="21"/>
          <w:highlight w:val="none"/>
        </w:rPr>
        <w:t>投标文件递交要求</w:t>
      </w:r>
      <w:bookmarkEnd w:id="177"/>
      <w:bookmarkEnd w:id="178"/>
      <w:bookmarkEnd w:id="179"/>
      <w:bookmarkEnd w:id="180"/>
      <w:bookmarkEnd w:id="181"/>
    </w:p>
    <w:p>
      <w:pPr>
        <w:adjustRightInd w:val="0"/>
        <w:snapToGrid w:val="0"/>
        <w:spacing w:line="360" w:lineRule="auto"/>
        <w:ind w:firstLine="382" w:firstLineChars="182"/>
        <w:rPr>
          <w:rFonts w:asciiTheme="minorEastAsia" w:hAnsiTheme="minorEastAsia" w:eastAsiaTheme="minorEastAsia"/>
          <w:b/>
          <w:szCs w:val="21"/>
          <w:highlight w:val="none"/>
        </w:rPr>
      </w:pPr>
      <w:r>
        <w:rPr>
          <w:rFonts w:asciiTheme="minorEastAsia" w:hAnsiTheme="minorEastAsia" w:eastAsiaTheme="minorEastAsia"/>
          <w:szCs w:val="21"/>
          <w:highlight w:val="none"/>
        </w:rPr>
        <w:t>24.1到规定截止时间，未在现场递交投标文件，视为放弃投标。</w:t>
      </w:r>
    </w:p>
    <w:p>
      <w:pPr>
        <w:pStyle w:val="4"/>
        <w:keepNext w:val="0"/>
        <w:keepLines w:val="0"/>
        <w:numPr>
          <w:ilvl w:val="0"/>
          <w:numId w:val="6"/>
        </w:numPr>
        <w:tabs>
          <w:tab w:val="left" w:pos="851"/>
        </w:tabs>
        <w:spacing w:before="0" w:after="0" w:line="360" w:lineRule="auto"/>
        <w:rPr>
          <w:rFonts w:asciiTheme="minorEastAsia" w:hAnsiTheme="minorEastAsia" w:eastAsiaTheme="minorEastAsia"/>
          <w:b w:val="0"/>
          <w:sz w:val="21"/>
          <w:szCs w:val="21"/>
          <w:highlight w:val="none"/>
        </w:rPr>
      </w:pPr>
      <w:bookmarkStart w:id="182" w:name="_Toc23348"/>
      <w:bookmarkStart w:id="183" w:name="_Toc28990"/>
      <w:bookmarkStart w:id="184" w:name="_Toc7156"/>
      <w:bookmarkStart w:id="185" w:name="_Toc15498"/>
      <w:bookmarkStart w:id="186" w:name="_Toc28585"/>
      <w:r>
        <w:rPr>
          <w:rFonts w:hint="eastAsia" w:asciiTheme="minorEastAsia" w:hAnsiTheme="minorEastAsia" w:eastAsiaTheme="minorEastAsia"/>
          <w:sz w:val="21"/>
          <w:szCs w:val="21"/>
          <w:highlight w:val="none"/>
        </w:rPr>
        <w:t>投标文件的密封和标记</w:t>
      </w:r>
      <w:bookmarkEnd w:id="182"/>
      <w:bookmarkEnd w:id="183"/>
      <w:bookmarkEnd w:id="184"/>
      <w:bookmarkEnd w:id="185"/>
      <w:bookmarkEnd w:id="186"/>
    </w:p>
    <w:p>
      <w:pPr>
        <w:adjustRightInd w:val="0"/>
        <w:snapToGrid w:val="0"/>
        <w:spacing w:line="360" w:lineRule="auto"/>
        <w:rPr>
          <w:rFonts w:asciiTheme="minorEastAsia" w:hAnsiTheme="minorEastAsia" w:eastAsiaTheme="minorEastAsia"/>
          <w:b/>
          <w:bCs/>
          <w:szCs w:val="21"/>
          <w:highlight w:val="none"/>
        </w:rPr>
      </w:pPr>
      <w:r>
        <w:rPr>
          <w:rFonts w:asciiTheme="minorEastAsia" w:hAnsiTheme="minorEastAsia" w:eastAsiaTheme="minorEastAsia"/>
          <w:szCs w:val="21"/>
          <w:highlight w:val="none"/>
        </w:rPr>
        <w:t xml:space="preserve">    25.1</w:t>
      </w:r>
      <w:r>
        <w:rPr>
          <w:rFonts w:cs="Arial" w:asciiTheme="minorEastAsia" w:hAnsiTheme="minorEastAsia" w:eastAsiaTheme="minorEastAsia"/>
          <w:szCs w:val="21"/>
          <w:highlight w:val="none"/>
        </w:rPr>
        <w:t>投标文件的正本、副本上应注明“正本”“副本”字样，</w:t>
      </w:r>
      <w:r>
        <w:rPr>
          <w:rFonts w:hint="eastAsia" w:cs="Arial" w:asciiTheme="minorEastAsia" w:hAnsiTheme="minorEastAsia" w:eastAsiaTheme="minorEastAsia"/>
          <w:szCs w:val="21"/>
          <w:highlight w:val="none"/>
        </w:rPr>
        <w:t>并与相应的电子</w:t>
      </w:r>
      <w:r>
        <w:rPr>
          <w:rFonts w:hint="eastAsia" w:ascii="宋体" w:hAnsi="宋体"/>
          <w:bCs/>
          <w:szCs w:val="21"/>
          <w:highlight w:val="none"/>
        </w:rPr>
        <w:t>投标文件（U盘）</w:t>
      </w:r>
      <w:r>
        <w:rPr>
          <w:rFonts w:cs="Arial" w:asciiTheme="minorEastAsia" w:hAnsiTheme="minorEastAsia" w:eastAsiaTheme="minorEastAsia"/>
          <w:szCs w:val="21"/>
          <w:highlight w:val="none"/>
        </w:rPr>
        <w:t>一同装入一个包封中。包装上均应</w:t>
      </w:r>
      <w:r>
        <w:rPr>
          <w:rFonts w:cs="Arial" w:asciiTheme="minorEastAsia" w:hAnsiTheme="minorEastAsia" w:eastAsiaTheme="minorEastAsia"/>
          <w:b/>
          <w:bCs/>
          <w:szCs w:val="21"/>
          <w:highlight w:val="none"/>
        </w:rPr>
        <w:t>注明</w:t>
      </w:r>
      <w:r>
        <w:rPr>
          <w:rFonts w:hint="eastAsia" w:cs="Arial" w:asciiTheme="minorEastAsia" w:hAnsiTheme="minorEastAsia" w:eastAsiaTheme="minorEastAsia"/>
          <w:b/>
          <w:bCs/>
          <w:szCs w:val="21"/>
          <w:highlight w:val="none"/>
        </w:rPr>
        <w:t>项目</w:t>
      </w:r>
      <w:r>
        <w:rPr>
          <w:rFonts w:cs="Arial" w:asciiTheme="minorEastAsia" w:hAnsiTheme="minorEastAsia" w:eastAsiaTheme="minorEastAsia"/>
          <w:b/>
          <w:bCs/>
          <w:szCs w:val="21"/>
          <w:highlight w:val="none"/>
        </w:rPr>
        <w:t>名称</w:t>
      </w:r>
      <w:r>
        <w:rPr>
          <w:rFonts w:hint="eastAsia" w:cs="Arial" w:asciiTheme="minorEastAsia" w:hAnsiTheme="minorEastAsia" w:eastAsiaTheme="minorEastAsia"/>
          <w:b/>
          <w:bCs/>
          <w:szCs w:val="21"/>
          <w:highlight w:val="none"/>
        </w:rPr>
        <w:t>、</w:t>
      </w:r>
      <w:r>
        <w:rPr>
          <w:rFonts w:cs="Arial" w:asciiTheme="minorEastAsia" w:hAnsiTheme="minorEastAsia" w:eastAsiaTheme="minorEastAsia"/>
          <w:b/>
          <w:bCs/>
          <w:szCs w:val="21"/>
          <w:highlight w:val="none"/>
        </w:rPr>
        <w:t>投标人名称、地址及“投标截止时间前不准启封”字样，并经投标人法定代表人或其授权代表签字和加盖投标人公章。</w:t>
      </w:r>
    </w:p>
    <w:p>
      <w:pPr>
        <w:adjustRightInd w:val="0"/>
        <w:snapToGrid w:val="0"/>
        <w:spacing w:line="360" w:lineRule="auto"/>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    25.2封套均应按以下要求标记：</w:t>
      </w:r>
    </w:p>
    <w:p>
      <w:pPr>
        <w:adjustRightInd w:val="0"/>
        <w:spacing w:line="360" w:lineRule="auto"/>
        <w:ind w:left="420" w:firstLine="147" w:firstLineChars="7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收件人：</w:t>
      </w:r>
    </w:p>
    <w:p>
      <w:pPr>
        <w:adjustRightInd w:val="0"/>
        <w:spacing w:line="360" w:lineRule="auto"/>
        <w:ind w:left="420" w:firstLine="147" w:firstLineChars="7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项目名称：</w:t>
      </w:r>
    </w:p>
    <w:p>
      <w:pPr>
        <w:adjustRightInd w:val="0"/>
        <w:spacing w:line="360" w:lineRule="auto"/>
        <w:ind w:left="420" w:firstLine="147" w:firstLineChars="70"/>
        <w:rPr>
          <w:rFonts w:asciiTheme="minorEastAsia" w:hAnsiTheme="minorEastAsia" w:eastAsiaTheme="minorEastAsia"/>
          <w:szCs w:val="21"/>
          <w:highlight w:val="none"/>
          <w:u w:val="single"/>
        </w:rPr>
      </w:pPr>
      <w:r>
        <w:rPr>
          <w:rFonts w:hint="eastAsia" w:asciiTheme="minorEastAsia" w:hAnsiTheme="minorEastAsia" w:eastAsiaTheme="minorEastAsia"/>
          <w:szCs w:val="21"/>
          <w:highlight w:val="none"/>
          <w:u w:val="single"/>
        </w:rPr>
        <w:t>“投标文件”</w:t>
      </w:r>
    </w:p>
    <w:p>
      <w:pPr>
        <w:adjustRightInd w:val="0"/>
        <w:spacing w:line="360" w:lineRule="auto"/>
        <w:ind w:left="420" w:firstLine="147" w:firstLineChars="7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在规定的开标时间（年月日 时分）之前不得启封</w:t>
      </w:r>
    </w:p>
    <w:p>
      <w:pPr>
        <w:adjustRightInd w:val="0"/>
        <w:spacing w:line="360" w:lineRule="auto"/>
        <w:ind w:left="420" w:firstLine="147" w:firstLineChars="70"/>
        <w:rPr>
          <w:rFonts w:asciiTheme="minorEastAsia" w:hAnsiTheme="minorEastAsia" w:eastAsiaTheme="minorEastAsia"/>
          <w:szCs w:val="21"/>
          <w:highlight w:val="none"/>
          <w:u w:val="single"/>
        </w:rPr>
      </w:pPr>
      <w:r>
        <w:rPr>
          <w:rFonts w:hint="eastAsia" w:asciiTheme="minorEastAsia" w:hAnsiTheme="minorEastAsia" w:eastAsiaTheme="minorEastAsia"/>
          <w:szCs w:val="21"/>
          <w:highlight w:val="none"/>
        </w:rPr>
        <w:t>投标人名称、地址：</w:t>
      </w:r>
      <w:r>
        <w:rPr>
          <w:rFonts w:asciiTheme="minorEastAsia" w:hAnsiTheme="minorEastAsia" w:eastAsiaTheme="minorEastAsia"/>
          <w:szCs w:val="21"/>
          <w:highlight w:val="none"/>
          <w:u w:val="single"/>
        </w:rPr>
        <w:t xml:space="preserve">                             （加盖公章）</w:t>
      </w:r>
    </w:p>
    <w:p>
      <w:pPr>
        <w:adjustRightInd w:val="0"/>
        <w:snapToGrid w:val="0"/>
        <w:spacing w:line="360" w:lineRule="auto"/>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    25.3封套均应写明投标人名称和地址，以便如果其投标被宣布为“迟到”投标时，能原封退回。</w:t>
      </w:r>
    </w:p>
    <w:p>
      <w:pPr>
        <w:adjustRightInd w:val="0"/>
        <w:snapToGrid w:val="0"/>
        <w:spacing w:line="360" w:lineRule="auto"/>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    25.4如果封套未按本须知的要求密封和加写标记，招标人对误投或过早启封，概不负责。</w:t>
      </w:r>
    </w:p>
    <w:p>
      <w:pPr>
        <w:adjustRightInd w:val="0"/>
        <w:snapToGrid w:val="0"/>
        <w:spacing w:line="360" w:lineRule="auto"/>
        <w:rPr>
          <w:rFonts w:asciiTheme="minorEastAsia" w:hAnsiTheme="minorEastAsia" w:eastAsiaTheme="minorEastAsia"/>
          <w:b/>
          <w:szCs w:val="21"/>
          <w:highlight w:val="none"/>
        </w:rPr>
      </w:pPr>
      <w:r>
        <w:rPr>
          <w:rFonts w:asciiTheme="minorEastAsia" w:hAnsiTheme="minorEastAsia" w:eastAsiaTheme="minorEastAsia"/>
          <w:szCs w:val="21"/>
          <w:highlight w:val="none"/>
        </w:rPr>
        <w:t xml:space="preserve">    25.5唱标信封密封方式：</w:t>
      </w:r>
    </w:p>
    <w:p>
      <w:pPr>
        <w:adjustRightInd w:val="0"/>
        <w:snapToGrid w:val="0"/>
        <w:spacing w:line="360" w:lineRule="auto"/>
        <w:ind w:firstLine="382" w:firstLineChars="182"/>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为方便开标唱标，投标人提交投标文件时应备有一个“唱标信封”，下列内容密封入此信封，然后再将此“唱标信封”与正、副本分开密封。</w:t>
      </w:r>
    </w:p>
    <w:p>
      <w:pPr>
        <w:adjustRightInd w:val="0"/>
        <w:snapToGrid w:val="0"/>
        <w:spacing w:line="360" w:lineRule="auto"/>
        <w:ind w:firstLine="382" w:firstLineChars="182"/>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唱标信封内装：</w:t>
      </w:r>
    </w:p>
    <w:p>
      <w:pPr>
        <w:adjustRightInd w:val="0"/>
        <w:snapToGrid w:val="0"/>
        <w:spacing w:line="360" w:lineRule="auto"/>
        <w:ind w:firstLine="382" w:firstLineChars="182"/>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1）投标函（从投标文件正本中复印）；</w:t>
      </w:r>
    </w:p>
    <w:p>
      <w:pPr>
        <w:adjustRightInd w:val="0"/>
        <w:snapToGrid w:val="0"/>
        <w:spacing w:line="360" w:lineRule="auto"/>
        <w:ind w:firstLine="382" w:firstLineChars="182"/>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2）投标保证金交付收据复印件；</w:t>
      </w:r>
    </w:p>
    <w:p>
      <w:pPr>
        <w:adjustRightInd w:val="0"/>
        <w:snapToGrid w:val="0"/>
        <w:spacing w:line="360" w:lineRule="auto"/>
        <w:ind w:firstLine="382" w:firstLineChars="182"/>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3）退投标保证金说明</w:t>
      </w:r>
      <w:r>
        <w:rPr>
          <w:rFonts w:hint="eastAsia" w:asciiTheme="minorEastAsia" w:hAnsiTheme="minorEastAsia" w:eastAsiaTheme="minorEastAsia"/>
          <w:szCs w:val="21"/>
          <w:highlight w:val="none"/>
        </w:rPr>
        <w:t>；</w:t>
      </w:r>
    </w:p>
    <w:p>
      <w:pPr>
        <w:adjustRightInd w:val="0"/>
        <w:snapToGrid w:val="0"/>
        <w:spacing w:line="360" w:lineRule="auto"/>
        <w:ind w:firstLine="382" w:firstLineChars="182"/>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4）报价单（从投标文件正本中复印）。</w:t>
      </w:r>
    </w:p>
    <w:p>
      <w:pPr>
        <w:pStyle w:val="4"/>
        <w:keepNext w:val="0"/>
        <w:keepLines w:val="0"/>
        <w:numPr>
          <w:ilvl w:val="0"/>
          <w:numId w:val="6"/>
        </w:numPr>
        <w:tabs>
          <w:tab w:val="left" w:pos="851"/>
        </w:tabs>
        <w:spacing w:before="0" w:after="0" w:line="360" w:lineRule="auto"/>
        <w:rPr>
          <w:rFonts w:asciiTheme="minorEastAsia" w:hAnsiTheme="minorEastAsia" w:eastAsiaTheme="minorEastAsia"/>
          <w:b w:val="0"/>
          <w:sz w:val="21"/>
          <w:szCs w:val="21"/>
          <w:highlight w:val="none"/>
        </w:rPr>
      </w:pPr>
      <w:bookmarkStart w:id="187" w:name="_Toc12946"/>
      <w:bookmarkStart w:id="188" w:name="_Toc4890"/>
      <w:bookmarkStart w:id="189" w:name="_Toc8311"/>
      <w:bookmarkStart w:id="190" w:name="_Toc4238"/>
      <w:bookmarkStart w:id="191" w:name="_Toc28279"/>
      <w:r>
        <w:rPr>
          <w:rFonts w:hint="eastAsia" w:asciiTheme="minorEastAsia" w:hAnsiTheme="minorEastAsia" w:eastAsiaTheme="minorEastAsia"/>
          <w:sz w:val="21"/>
          <w:szCs w:val="21"/>
          <w:highlight w:val="none"/>
        </w:rPr>
        <w:t>投标截止时间</w:t>
      </w:r>
      <w:bookmarkEnd w:id="187"/>
      <w:bookmarkEnd w:id="188"/>
      <w:bookmarkEnd w:id="189"/>
      <w:bookmarkEnd w:id="190"/>
      <w:bookmarkEnd w:id="191"/>
    </w:p>
    <w:p>
      <w:pPr>
        <w:adjustRightInd w:val="0"/>
        <w:snapToGrid w:val="0"/>
        <w:spacing w:line="360" w:lineRule="auto"/>
        <w:ind w:left="437"/>
        <w:rPr>
          <w:rFonts w:asciiTheme="minorEastAsia" w:hAnsiTheme="minorEastAsia" w:eastAsiaTheme="minorEastAsia"/>
          <w:szCs w:val="21"/>
          <w:highlight w:val="none"/>
        </w:rPr>
      </w:pPr>
      <w:r>
        <w:rPr>
          <w:rFonts w:asciiTheme="minorEastAsia" w:hAnsiTheme="minorEastAsia" w:eastAsiaTheme="minorEastAsia"/>
          <w:szCs w:val="21"/>
          <w:highlight w:val="none"/>
        </w:rPr>
        <w:t>26.1本次招标的投标截止时间按第一章“招标公告”的规定；</w:t>
      </w:r>
    </w:p>
    <w:p>
      <w:pPr>
        <w:adjustRightInd w:val="0"/>
        <w:snapToGrid w:val="0"/>
        <w:spacing w:line="360" w:lineRule="auto"/>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    26.2本次招标的投标文件收取时间按第一章“招标公告”的规定，招标人收到投标文件的时间不得迟于上款规定的截止时间。</w:t>
      </w:r>
    </w:p>
    <w:p>
      <w:pPr>
        <w:adjustRightInd w:val="0"/>
        <w:snapToGrid w:val="0"/>
        <w:spacing w:line="360" w:lineRule="auto"/>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    26.3投标人务必于投标截止时间前，派代表将投标文件的[正本]和所有[副本]按要求送达于收件人。</w:t>
      </w:r>
    </w:p>
    <w:p>
      <w:pPr>
        <w:adjustRightInd w:val="0"/>
        <w:snapToGrid w:val="0"/>
        <w:spacing w:line="360" w:lineRule="auto"/>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    26.4在推迟了投标截止时间的情况下，招标人和投标人受投标截止时间制约的所有权利和义务均应延长至新的截止时间。</w:t>
      </w:r>
    </w:p>
    <w:p>
      <w:pPr>
        <w:pStyle w:val="4"/>
        <w:keepNext w:val="0"/>
        <w:keepLines w:val="0"/>
        <w:numPr>
          <w:ilvl w:val="0"/>
          <w:numId w:val="6"/>
        </w:numPr>
        <w:tabs>
          <w:tab w:val="left" w:pos="851"/>
        </w:tabs>
        <w:spacing w:before="0" w:after="0" w:line="360" w:lineRule="auto"/>
        <w:rPr>
          <w:rFonts w:asciiTheme="minorEastAsia" w:hAnsiTheme="minorEastAsia" w:eastAsiaTheme="minorEastAsia"/>
          <w:b w:val="0"/>
          <w:sz w:val="21"/>
          <w:szCs w:val="21"/>
          <w:highlight w:val="none"/>
        </w:rPr>
      </w:pPr>
      <w:bookmarkStart w:id="192" w:name="_Toc12426"/>
      <w:bookmarkStart w:id="193" w:name="_Toc7168"/>
      <w:bookmarkStart w:id="194" w:name="_Toc14398"/>
      <w:bookmarkStart w:id="195" w:name="_Toc24633"/>
      <w:bookmarkStart w:id="196" w:name="_Toc8254"/>
      <w:r>
        <w:rPr>
          <w:rFonts w:hint="eastAsia" w:asciiTheme="minorEastAsia" w:hAnsiTheme="minorEastAsia" w:eastAsiaTheme="minorEastAsia"/>
          <w:sz w:val="21"/>
          <w:szCs w:val="21"/>
          <w:highlight w:val="none"/>
        </w:rPr>
        <w:t>迟交的投标文件</w:t>
      </w:r>
      <w:bookmarkEnd w:id="192"/>
      <w:bookmarkEnd w:id="193"/>
      <w:bookmarkEnd w:id="194"/>
      <w:bookmarkEnd w:id="195"/>
      <w:bookmarkEnd w:id="196"/>
    </w:p>
    <w:p>
      <w:pPr>
        <w:adjustRightInd w:val="0"/>
        <w:snapToGrid w:val="0"/>
        <w:spacing w:line="360" w:lineRule="auto"/>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    按照投标人须知规定，招标人将拒绝并原封退回在其规定的投标截止时刻后收到的任何投标文件。</w:t>
      </w:r>
    </w:p>
    <w:p>
      <w:pPr>
        <w:pStyle w:val="4"/>
        <w:keepNext w:val="0"/>
        <w:keepLines w:val="0"/>
        <w:numPr>
          <w:ilvl w:val="0"/>
          <w:numId w:val="6"/>
        </w:numPr>
        <w:tabs>
          <w:tab w:val="left" w:pos="851"/>
        </w:tabs>
        <w:spacing w:before="0" w:after="0" w:line="360" w:lineRule="auto"/>
        <w:rPr>
          <w:rFonts w:asciiTheme="minorEastAsia" w:hAnsiTheme="minorEastAsia" w:eastAsiaTheme="minorEastAsia"/>
          <w:b w:val="0"/>
          <w:sz w:val="21"/>
          <w:szCs w:val="21"/>
          <w:highlight w:val="none"/>
        </w:rPr>
      </w:pPr>
      <w:bookmarkStart w:id="197" w:name="_Toc14492"/>
      <w:bookmarkStart w:id="198" w:name="_Toc14778"/>
      <w:bookmarkStart w:id="199" w:name="_Toc16166"/>
      <w:bookmarkStart w:id="200" w:name="_Toc21322"/>
      <w:bookmarkStart w:id="201" w:name="_Toc13343"/>
      <w:r>
        <w:rPr>
          <w:rFonts w:hint="eastAsia" w:asciiTheme="minorEastAsia" w:hAnsiTheme="minorEastAsia" w:eastAsiaTheme="minorEastAsia"/>
          <w:sz w:val="21"/>
          <w:szCs w:val="21"/>
          <w:highlight w:val="none"/>
        </w:rPr>
        <w:t>投标文件的修改与撤回</w:t>
      </w:r>
      <w:bookmarkEnd w:id="197"/>
      <w:bookmarkEnd w:id="198"/>
      <w:bookmarkEnd w:id="199"/>
      <w:bookmarkEnd w:id="200"/>
      <w:bookmarkEnd w:id="201"/>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28.1投标人在递交投标文件后，在投标截止时间之前，可以对所递交的投标文件进行补充、修改或撤回。</w:t>
      </w:r>
    </w:p>
    <w:p>
      <w:pPr>
        <w:tabs>
          <w:tab w:val="left" w:pos="0"/>
        </w:tabs>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28.2投标人对投标文件的补充、修改内容应按本须知的规定编制、密封、标记和递交。撤回通知书不得迟于投标截止时间。</w:t>
      </w:r>
    </w:p>
    <w:p>
      <w:pPr>
        <w:tabs>
          <w:tab w:val="left" w:pos="0"/>
        </w:tabs>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28.3在投标截止时间之后，投标人不得对其投标文件做任何补充修改。</w:t>
      </w:r>
    </w:p>
    <w:p>
      <w:pPr>
        <w:tabs>
          <w:tab w:val="left" w:pos="0"/>
        </w:tabs>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28.4从投标截止时间至投标有效期之间的这段时间内，投标人不得撤回其投标，否则其投标保证金将按规定不予退还。</w:t>
      </w:r>
    </w:p>
    <w:p>
      <w:pPr>
        <w:pStyle w:val="219"/>
        <w:adjustRightInd w:val="0"/>
        <w:spacing w:before="120" w:line="360" w:lineRule="auto"/>
        <w:ind w:firstLine="384"/>
        <w:rPr>
          <w:rFonts w:asciiTheme="minorEastAsia" w:hAnsiTheme="minorEastAsia" w:eastAsiaTheme="minorEastAsia"/>
          <w:b/>
          <w:sz w:val="21"/>
          <w:szCs w:val="21"/>
          <w:highlight w:val="none"/>
        </w:rPr>
      </w:pPr>
      <w:bookmarkStart w:id="202" w:name="_Toc11666"/>
      <w:bookmarkStart w:id="203" w:name="_Toc8422"/>
      <w:bookmarkStart w:id="204" w:name="_Toc29960"/>
      <w:bookmarkStart w:id="205" w:name="_Toc3386"/>
      <w:bookmarkStart w:id="206" w:name="_Toc30174"/>
      <w:r>
        <w:rPr>
          <w:rFonts w:hint="eastAsia" w:asciiTheme="minorEastAsia" w:hAnsiTheme="minorEastAsia" w:eastAsiaTheme="minorEastAsia"/>
          <w:b/>
          <w:sz w:val="21"/>
          <w:szCs w:val="21"/>
          <w:highlight w:val="none"/>
        </w:rPr>
        <w:t>（五）开标与评标</w:t>
      </w:r>
      <w:bookmarkEnd w:id="202"/>
      <w:bookmarkEnd w:id="203"/>
      <w:bookmarkEnd w:id="204"/>
      <w:bookmarkEnd w:id="205"/>
      <w:bookmarkEnd w:id="206"/>
    </w:p>
    <w:p>
      <w:pPr>
        <w:pStyle w:val="4"/>
        <w:keepNext w:val="0"/>
        <w:keepLines w:val="0"/>
        <w:numPr>
          <w:ilvl w:val="0"/>
          <w:numId w:val="6"/>
        </w:numPr>
        <w:tabs>
          <w:tab w:val="left" w:pos="851"/>
        </w:tabs>
        <w:spacing w:before="0" w:after="0" w:line="360" w:lineRule="auto"/>
        <w:rPr>
          <w:rFonts w:asciiTheme="minorEastAsia" w:hAnsiTheme="minorEastAsia" w:eastAsiaTheme="minorEastAsia"/>
          <w:b w:val="0"/>
          <w:sz w:val="21"/>
          <w:szCs w:val="21"/>
          <w:highlight w:val="none"/>
        </w:rPr>
      </w:pPr>
      <w:bookmarkStart w:id="207" w:name="_Toc28331"/>
      <w:bookmarkStart w:id="208" w:name="_Toc3166"/>
      <w:bookmarkStart w:id="209" w:name="_Toc21767"/>
      <w:bookmarkStart w:id="210" w:name="_Toc25810"/>
      <w:bookmarkStart w:id="211" w:name="_Toc352"/>
      <w:r>
        <w:rPr>
          <w:rFonts w:hint="eastAsia" w:asciiTheme="minorEastAsia" w:hAnsiTheme="minorEastAsia" w:eastAsiaTheme="minorEastAsia"/>
          <w:sz w:val="21"/>
          <w:szCs w:val="21"/>
          <w:highlight w:val="none"/>
        </w:rPr>
        <w:t>开标</w:t>
      </w:r>
      <w:bookmarkEnd w:id="207"/>
      <w:bookmarkEnd w:id="208"/>
      <w:bookmarkEnd w:id="209"/>
      <w:bookmarkEnd w:id="210"/>
      <w:bookmarkEnd w:id="211"/>
    </w:p>
    <w:p>
      <w:pPr>
        <w:adjustRightIn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详见第三章“开标、评标及定标办法”。</w:t>
      </w:r>
    </w:p>
    <w:p>
      <w:pPr>
        <w:pStyle w:val="4"/>
        <w:keepNext w:val="0"/>
        <w:keepLines w:val="0"/>
        <w:numPr>
          <w:ilvl w:val="0"/>
          <w:numId w:val="6"/>
        </w:numPr>
        <w:tabs>
          <w:tab w:val="left" w:pos="851"/>
        </w:tabs>
        <w:spacing w:before="0" w:after="0" w:line="360" w:lineRule="auto"/>
        <w:rPr>
          <w:rFonts w:asciiTheme="minorEastAsia" w:hAnsiTheme="minorEastAsia" w:eastAsiaTheme="minorEastAsia"/>
          <w:b w:val="0"/>
          <w:sz w:val="21"/>
          <w:szCs w:val="21"/>
          <w:highlight w:val="none"/>
        </w:rPr>
      </w:pPr>
      <w:bookmarkStart w:id="212" w:name="_Toc16948"/>
      <w:bookmarkStart w:id="213" w:name="_Toc18574"/>
      <w:bookmarkStart w:id="214" w:name="_Toc951"/>
      <w:bookmarkStart w:id="215" w:name="_Toc24829"/>
      <w:bookmarkStart w:id="216" w:name="_Toc13690"/>
      <w:r>
        <w:rPr>
          <w:rFonts w:hint="eastAsia" w:asciiTheme="minorEastAsia" w:hAnsiTheme="minorEastAsia" w:eastAsiaTheme="minorEastAsia"/>
          <w:sz w:val="21"/>
          <w:szCs w:val="21"/>
          <w:highlight w:val="none"/>
        </w:rPr>
        <w:t>投标文件的评审、评价和比较</w:t>
      </w:r>
      <w:bookmarkEnd w:id="212"/>
      <w:bookmarkEnd w:id="213"/>
      <w:bookmarkEnd w:id="214"/>
      <w:bookmarkEnd w:id="215"/>
      <w:bookmarkEnd w:id="216"/>
    </w:p>
    <w:p>
      <w:pPr>
        <w:adjustRightIn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详见本招标文件第三章“开标、评标及定标办法”。</w:t>
      </w:r>
    </w:p>
    <w:p>
      <w:pPr>
        <w:pStyle w:val="4"/>
        <w:keepNext w:val="0"/>
        <w:keepLines w:val="0"/>
        <w:numPr>
          <w:ilvl w:val="0"/>
          <w:numId w:val="6"/>
        </w:numPr>
        <w:tabs>
          <w:tab w:val="left" w:pos="851"/>
        </w:tabs>
        <w:spacing w:before="0" w:after="0" w:line="360" w:lineRule="auto"/>
        <w:rPr>
          <w:rFonts w:asciiTheme="minorEastAsia" w:hAnsiTheme="minorEastAsia" w:eastAsiaTheme="minorEastAsia"/>
          <w:b w:val="0"/>
          <w:sz w:val="21"/>
          <w:szCs w:val="21"/>
          <w:highlight w:val="none"/>
        </w:rPr>
      </w:pPr>
      <w:bookmarkStart w:id="217" w:name="_Toc6424"/>
      <w:bookmarkStart w:id="218" w:name="_Toc11364"/>
      <w:bookmarkStart w:id="219" w:name="_Toc31419"/>
      <w:bookmarkStart w:id="220" w:name="_Toc21576"/>
      <w:bookmarkStart w:id="221" w:name="_Toc13202"/>
      <w:r>
        <w:rPr>
          <w:rFonts w:hint="eastAsia" w:asciiTheme="minorEastAsia" w:hAnsiTheme="minorEastAsia" w:eastAsiaTheme="minorEastAsia"/>
          <w:sz w:val="21"/>
          <w:szCs w:val="21"/>
          <w:highlight w:val="none"/>
        </w:rPr>
        <w:t>评标原则和评标办法</w:t>
      </w:r>
      <w:bookmarkEnd w:id="217"/>
      <w:bookmarkEnd w:id="218"/>
      <w:bookmarkEnd w:id="219"/>
      <w:bookmarkEnd w:id="220"/>
      <w:bookmarkEnd w:id="221"/>
    </w:p>
    <w:p>
      <w:pPr>
        <w:adjustRightIn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详见本招标文件第三章“开标、评标及定标办法”。</w:t>
      </w:r>
    </w:p>
    <w:p>
      <w:pPr>
        <w:pStyle w:val="4"/>
        <w:keepNext w:val="0"/>
        <w:keepLines w:val="0"/>
        <w:numPr>
          <w:ilvl w:val="0"/>
          <w:numId w:val="6"/>
        </w:numPr>
        <w:tabs>
          <w:tab w:val="left" w:pos="851"/>
        </w:tabs>
        <w:spacing w:before="0" w:after="0" w:line="360" w:lineRule="auto"/>
        <w:rPr>
          <w:rFonts w:asciiTheme="minorEastAsia" w:hAnsiTheme="minorEastAsia" w:eastAsiaTheme="minorEastAsia"/>
          <w:b w:val="0"/>
          <w:sz w:val="21"/>
          <w:szCs w:val="21"/>
          <w:highlight w:val="none"/>
        </w:rPr>
      </w:pPr>
      <w:bookmarkStart w:id="222" w:name="_Toc7621"/>
      <w:bookmarkStart w:id="223" w:name="_Toc24889"/>
      <w:bookmarkStart w:id="224" w:name="_Toc9121"/>
      <w:bookmarkStart w:id="225" w:name="_Toc3260"/>
      <w:bookmarkStart w:id="226" w:name="_Toc10563"/>
      <w:r>
        <w:rPr>
          <w:rFonts w:hint="eastAsia" w:asciiTheme="minorEastAsia" w:hAnsiTheme="minorEastAsia" w:eastAsiaTheme="minorEastAsia"/>
          <w:bCs/>
          <w:sz w:val="21"/>
          <w:szCs w:val="21"/>
          <w:highlight w:val="none"/>
        </w:rPr>
        <w:t>投标文件的澄清，计算错误的修正</w:t>
      </w:r>
      <w:bookmarkEnd w:id="222"/>
      <w:bookmarkEnd w:id="223"/>
      <w:bookmarkEnd w:id="224"/>
      <w:bookmarkEnd w:id="225"/>
      <w:bookmarkEnd w:id="226"/>
    </w:p>
    <w:p>
      <w:pPr>
        <w:adjustRightIn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详见本招标文件第三章“开标、评标及定标办法”。</w:t>
      </w:r>
    </w:p>
    <w:p>
      <w:pPr>
        <w:pStyle w:val="4"/>
        <w:keepNext w:val="0"/>
        <w:keepLines w:val="0"/>
        <w:numPr>
          <w:ilvl w:val="0"/>
          <w:numId w:val="6"/>
        </w:numPr>
        <w:tabs>
          <w:tab w:val="left" w:pos="851"/>
        </w:tabs>
        <w:spacing w:before="0" w:after="0" w:line="360" w:lineRule="auto"/>
        <w:rPr>
          <w:rFonts w:asciiTheme="minorEastAsia" w:hAnsiTheme="minorEastAsia" w:eastAsiaTheme="minorEastAsia"/>
          <w:b w:val="0"/>
          <w:sz w:val="21"/>
          <w:szCs w:val="21"/>
          <w:highlight w:val="none"/>
        </w:rPr>
      </w:pPr>
      <w:bookmarkStart w:id="227" w:name="_Toc24095"/>
      <w:bookmarkStart w:id="228" w:name="_Toc25566"/>
      <w:bookmarkStart w:id="229" w:name="_Toc31662"/>
      <w:bookmarkStart w:id="230" w:name="_Toc11004"/>
      <w:bookmarkStart w:id="231" w:name="_Toc14899"/>
      <w:r>
        <w:rPr>
          <w:rFonts w:hint="eastAsia" w:asciiTheme="minorEastAsia" w:hAnsiTheme="minorEastAsia" w:eastAsiaTheme="minorEastAsia"/>
          <w:sz w:val="21"/>
          <w:szCs w:val="21"/>
          <w:highlight w:val="none"/>
        </w:rPr>
        <w:t>评标过程的保密</w:t>
      </w:r>
      <w:bookmarkEnd w:id="227"/>
      <w:bookmarkEnd w:id="228"/>
      <w:bookmarkEnd w:id="229"/>
      <w:bookmarkEnd w:id="230"/>
      <w:bookmarkEnd w:id="231"/>
    </w:p>
    <w:p>
      <w:pPr>
        <w:tabs>
          <w:tab w:val="left" w:pos="0"/>
        </w:tabs>
        <w:adjustRightInd w:val="0"/>
        <w:snapToGrid w:val="0"/>
        <w:spacing w:line="360" w:lineRule="auto"/>
        <w:ind w:firstLine="382" w:firstLineChars="182"/>
        <w:rPr>
          <w:rFonts w:asciiTheme="minorEastAsia" w:hAnsiTheme="minorEastAsia" w:eastAsiaTheme="minorEastAsia"/>
          <w:szCs w:val="21"/>
          <w:highlight w:val="none"/>
        </w:rPr>
      </w:pPr>
      <w:r>
        <w:rPr>
          <w:rFonts w:asciiTheme="minorEastAsia" w:hAnsiTheme="minorEastAsia" w:eastAsiaTheme="minorEastAsia"/>
          <w:szCs w:val="21"/>
          <w:highlight w:val="none"/>
        </w:rPr>
        <w:t>33.1开标后，直至中标公示为止，凡属于对投标文件的审查、澄清、评价和比较有关的资料、中标候选人的推荐情况及与评标有关的其他任何情况均严格保密。</w:t>
      </w:r>
    </w:p>
    <w:p>
      <w:pPr>
        <w:tabs>
          <w:tab w:val="left" w:pos="0"/>
        </w:tabs>
        <w:adjustRightInd w:val="0"/>
        <w:snapToGrid w:val="0"/>
        <w:spacing w:line="360" w:lineRule="auto"/>
        <w:ind w:firstLine="382" w:firstLineChars="182"/>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33.2在投标文件的评审和比较、中标候选人推荐以及授予合同的过程中，投标人向招标人和评标委员会施加不公正影响的任何行为，都将会导致其投标被拒绝。 </w:t>
      </w:r>
    </w:p>
    <w:p>
      <w:pPr>
        <w:pStyle w:val="4"/>
        <w:keepNext w:val="0"/>
        <w:keepLines w:val="0"/>
        <w:numPr>
          <w:ilvl w:val="0"/>
          <w:numId w:val="6"/>
        </w:numPr>
        <w:tabs>
          <w:tab w:val="left" w:pos="851"/>
        </w:tabs>
        <w:spacing w:before="0" w:after="0" w:line="360" w:lineRule="auto"/>
        <w:rPr>
          <w:rFonts w:asciiTheme="minorEastAsia" w:hAnsiTheme="minorEastAsia" w:eastAsiaTheme="minorEastAsia"/>
          <w:b w:val="0"/>
          <w:sz w:val="21"/>
          <w:szCs w:val="21"/>
          <w:highlight w:val="none"/>
        </w:rPr>
      </w:pPr>
      <w:bookmarkStart w:id="232" w:name="_Toc4406"/>
      <w:bookmarkStart w:id="233" w:name="_Toc23718"/>
      <w:bookmarkStart w:id="234" w:name="_Toc3508"/>
      <w:bookmarkStart w:id="235" w:name="_Toc29202"/>
      <w:bookmarkStart w:id="236" w:name="_Toc26057"/>
      <w:r>
        <w:rPr>
          <w:rFonts w:hint="eastAsia" w:asciiTheme="minorEastAsia" w:hAnsiTheme="minorEastAsia" w:eastAsiaTheme="minorEastAsia"/>
          <w:sz w:val="21"/>
          <w:szCs w:val="21"/>
          <w:highlight w:val="none"/>
        </w:rPr>
        <w:t>拒绝任何或所有投标的权利</w:t>
      </w:r>
      <w:bookmarkEnd w:id="232"/>
      <w:bookmarkEnd w:id="233"/>
      <w:bookmarkEnd w:id="234"/>
      <w:bookmarkEnd w:id="235"/>
      <w:bookmarkEnd w:id="236"/>
    </w:p>
    <w:p>
      <w:pPr>
        <w:tabs>
          <w:tab w:val="left" w:pos="0"/>
        </w:tabs>
        <w:adjustRightInd w:val="0"/>
        <w:snapToGrid w:val="0"/>
        <w:spacing w:line="360" w:lineRule="auto"/>
        <w:ind w:firstLine="382" w:firstLineChars="182"/>
        <w:rPr>
          <w:rFonts w:asciiTheme="minorEastAsia" w:hAnsiTheme="minorEastAsia" w:eastAsiaTheme="minorEastAsia"/>
          <w:szCs w:val="21"/>
          <w:highlight w:val="none"/>
        </w:rPr>
      </w:pPr>
      <w:r>
        <w:rPr>
          <w:rFonts w:asciiTheme="minorEastAsia" w:hAnsiTheme="minorEastAsia" w:eastAsiaTheme="minorEastAsia"/>
          <w:szCs w:val="21"/>
          <w:highlight w:val="none"/>
        </w:rPr>
        <w:t>34.1评标委员会经评审，认为所有投标都不符合招标文件要求的，可以否决所有投标。</w:t>
      </w:r>
    </w:p>
    <w:p>
      <w:pPr>
        <w:tabs>
          <w:tab w:val="left" w:pos="0"/>
        </w:tabs>
        <w:adjustRightInd w:val="0"/>
        <w:snapToGrid w:val="0"/>
        <w:spacing w:line="360" w:lineRule="auto"/>
        <w:ind w:firstLine="382" w:firstLineChars="182"/>
        <w:rPr>
          <w:rFonts w:asciiTheme="minorEastAsia" w:hAnsiTheme="minorEastAsia" w:eastAsiaTheme="minorEastAsia"/>
          <w:szCs w:val="21"/>
          <w:highlight w:val="none"/>
        </w:rPr>
      </w:pPr>
      <w:r>
        <w:rPr>
          <w:rFonts w:asciiTheme="minorEastAsia" w:hAnsiTheme="minorEastAsia" w:eastAsiaTheme="minorEastAsia"/>
          <w:szCs w:val="21"/>
          <w:highlight w:val="none"/>
        </w:rPr>
        <w:t>34.2招标人通过法定或规定的程序，有权在授标之前任何时候接受或拒绝任何投标，以及宣布招标程序无效，对受影响的投标人不承担任何责任，也无义务向受影响的投标人解释采取这一行动的理由。</w:t>
      </w:r>
    </w:p>
    <w:p>
      <w:pPr>
        <w:pStyle w:val="219"/>
        <w:adjustRightInd w:val="0"/>
        <w:spacing w:before="120" w:line="360" w:lineRule="auto"/>
        <w:ind w:firstLine="384"/>
        <w:rPr>
          <w:rFonts w:asciiTheme="minorEastAsia" w:hAnsiTheme="minorEastAsia" w:eastAsiaTheme="minorEastAsia"/>
          <w:b/>
          <w:sz w:val="21"/>
          <w:szCs w:val="21"/>
          <w:highlight w:val="none"/>
        </w:rPr>
      </w:pPr>
      <w:bookmarkStart w:id="237" w:name="_Toc9706"/>
      <w:bookmarkStart w:id="238" w:name="_Toc22292"/>
      <w:bookmarkStart w:id="239" w:name="_Toc28583"/>
      <w:bookmarkStart w:id="240" w:name="_Toc6716"/>
      <w:bookmarkStart w:id="241" w:name="_Toc17470"/>
      <w:r>
        <w:rPr>
          <w:rFonts w:hint="eastAsia" w:asciiTheme="minorEastAsia" w:hAnsiTheme="minorEastAsia" w:eastAsiaTheme="minorEastAsia"/>
          <w:b/>
          <w:sz w:val="21"/>
          <w:szCs w:val="21"/>
          <w:highlight w:val="none"/>
        </w:rPr>
        <w:t>（六）授予合同</w:t>
      </w:r>
      <w:bookmarkEnd w:id="237"/>
      <w:bookmarkEnd w:id="238"/>
      <w:bookmarkEnd w:id="239"/>
      <w:bookmarkEnd w:id="240"/>
      <w:bookmarkEnd w:id="241"/>
    </w:p>
    <w:p>
      <w:pPr>
        <w:pStyle w:val="4"/>
        <w:keepNext w:val="0"/>
        <w:keepLines w:val="0"/>
        <w:numPr>
          <w:ilvl w:val="0"/>
          <w:numId w:val="6"/>
        </w:numPr>
        <w:tabs>
          <w:tab w:val="left" w:pos="851"/>
        </w:tabs>
        <w:spacing w:before="0" w:after="0" w:line="360" w:lineRule="auto"/>
        <w:rPr>
          <w:rFonts w:asciiTheme="minorEastAsia" w:hAnsiTheme="minorEastAsia" w:eastAsiaTheme="minorEastAsia"/>
          <w:b w:val="0"/>
          <w:sz w:val="21"/>
          <w:szCs w:val="21"/>
          <w:highlight w:val="none"/>
        </w:rPr>
      </w:pPr>
      <w:bookmarkStart w:id="242" w:name="_Toc10718"/>
      <w:bookmarkStart w:id="243" w:name="_Toc3108"/>
      <w:bookmarkStart w:id="244" w:name="_Toc17851"/>
      <w:bookmarkStart w:id="245" w:name="_Toc29868"/>
      <w:bookmarkStart w:id="246" w:name="_Toc29149"/>
      <w:r>
        <w:rPr>
          <w:rFonts w:hint="eastAsia" w:asciiTheme="minorEastAsia" w:hAnsiTheme="minorEastAsia" w:eastAsiaTheme="minorEastAsia"/>
          <w:sz w:val="21"/>
          <w:szCs w:val="21"/>
          <w:highlight w:val="none"/>
        </w:rPr>
        <w:t>中标人的确定</w:t>
      </w:r>
      <w:bookmarkEnd w:id="242"/>
      <w:bookmarkEnd w:id="243"/>
      <w:bookmarkEnd w:id="244"/>
      <w:bookmarkEnd w:id="245"/>
      <w:bookmarkEnd w:id="246"/>
    </w:p>
    <w:p>
      <w:pPr>
        <w:adjustRightIn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招标人将依法确定中标人，并将合同授予之。</w:t>
      </w: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确定中标候选人后，招标人在投标人须知前附表规定的媒介公示</w:t>
      </w:r>
      <w:r>
        <w:rPr>
          <w:rFonts w:asciiTheme="minorEastAsia" w:hAnsiTheme="minorEastAsia" w:eastAsiaTheme="minorEastAsia"/>
          <w:szCs w:val="21"/>
          <w:highlight w:val="none"/>
        </w:rPr>
        <w:t>3</w:t>
      </w:r>
      <w:r>
        <w:rPr>
          <w:rFonts w:hint="eastAsia" w:asciiTheme="minorEastAsia" w:hAnsiTheme="minorEastAsia" w:eastAsiaTheme="minorEastAsia"/>
          <w:szCs w:val="21"/>
          <w:highlight w:val="none"/>
        </w:rPr>
        <w:t>个工作日。</w:t>
      </w:r>
    </w:p>
    <w:p>
      <w:pPr>
        <w:pStyle w:val="4"/>
        <w:keepNext w:val="0"/>
        <w:keepLines w:val="0"/>
        <w:numPr>
          <w:ilvl w:val="0"/>
          <w:numId w:val="6"/>
        </w:numPr>
        <w:tabs>
          <w:tab w:val="left" w:pos="851"/>
        </w:tabs>
        <w:spacing w:before="0" w:after="0" w:line="360" w:lineRule="auto"/>
        <w:rPr>
          <w:rFonts w:asciiTheme="minorEastAsia" w:hAnsiTheme="minorEastAsia" w:eastAsiaTheme="minorEastAsia"/>
          <w:b w:val="0"/>
          <w:sz w:val="21"/>
          <w:szCs w:val="21"/>
          <w:highlight w:val="none"/>
        </w:rPr>
      </w:pPr>
      <w:bookmarkStart w:id="247" w:name="_Toc18798"/>
      <w:bookmarkStart w:id="248" w:name="_Toc13798"/>
      <w:bookmarkStart w:id="249" w:name="_Toc8519"/>
      <w:bookmarkStart w:id="250" w:name="_Toc29683"/>
      <w:bookmarkStart w:id="251" w:name="_Toc32289"/>
      <w:r>
        <w:rPr>
          <w:rFonts w:hint="eastAsia" w:asciiTheme="minorEastAsia" w:hAnsiTheme="minorEastAsia" w:eastAsiaTheme="minorEastAsia"/>
          <w:sz w:val="21"/>
          <w:szCs w:val="21"/>
          <w:highlight w:val="none"/>
        </w:rPr>
        <w:t>中标及中标结果通知</w:t>
      </w:r>
      <w:bookmarkEnd w:id="247"/>
      <w:bookmarkEnd w:id="248"/>
      <w:bookmarkEnd w:id="249"/>
      <w:bookmarkEnd w:id="250"/>
      <w:bookmarkEnd w:id="251"/>
    </w:p>
    <w:p>
      <w:pPr>
        <w:adjustRightIn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招标人向中标人发出《中标通知书》的同时，向所有非中标人发出《中标结果通知书》。</w:t>
      </w:r>
    </w:p>
    <w:p>
      <w:pPr>
        <w:pStyle w:val="4"/>
        <w:keepNext w:val="0"/>
        <w:keepLines w:val="0"/>
        <w:numPr>
          <w:ilvl w:val="0"/>
          <w:numId w:val="6"/>
        </w:numPr>
        <w:tabs>
          <w:tab w:val="left" w:pos="851"/>
        </w:tabs>
        <w:spacing w:before="0" w:after="0" w:line="360" w:lineRule="auto"/>
        <w:rPr>
          <w:rFonts w:asciiTheme="minorEastAsia" w:hAnsiTheme="minorEastAsia" w:eastAsiaTheme="minorEastAsia"/>
          <w:b w:val="0"/>
          <w:sz w:val="21"/>
          <w:szCs w:val="21"/>
          <w:highlight w:val="none"/>
        </w:rPr>
      </w:pPr>
      <w:bookmarkStart w:id="252" w:name="_Toc1776"/>
      <w:bookmarkStart w:id="253" w:name="_Toc11598"/>
      <w:bookmarkStart w:id="254" w:name="_Toc4303"/>
      <w:bookmarkStart w:id="255" w:name="_Toc19468"/>
      <w:bookmarkStart w:id="256" w:name="_Toc31905"/>
      <w:r>
        <w:rPr>
          <w:rFonts w:hint="eastAsia" w:asciiTheme="minorEastAsia" w:hAnsiTheme="minorEastAsia" w:eastAsiaTheme="minorEastAsia"/>
          <w:sz w:val="21"/>
          <w:szCs w:val="21"/>
          <w:highlight w:val="none"/>
        </w:rPr>
        <w:t>中标通知书</w:t>
      </w:r>
      <w:bookmarkEnd w:id="252"/>
      <w:bookmarkEnd w:id="253"/>
      <w:bookmarkEnd w:id="254"/>
      <w:bookmarkEnd w:id="255"/>
      <w:bookmarkEnd w:id="256"/>
    </w:p>
    <w:p>
      <w:pPr>
        <w:adjustRightIn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37.1在投标有效期期满之前，招标人将根据评标结果，依法确定中标人。《中标通知书》由招标人盖章确认后发给中标人。中标人收到《中标通知书》后及时以书面形式向招标人确认。</w:t>
      </w:r>
    </w:p>
    <w:p>
      <w:pPr>
        <w:adjustRightIn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37.2《中标通知书》将是合同的一个组成部分。 </w:t>
      </w:r>
    </w:p>
    <w:p>
      <w:pPr>
        <w:pStyle w:val="4"/>
        <w:keepNext w:val="0"/>
        <w:keepLines w:val="0"/>
        <w:numPr>
          <w:ilvl w:val="0"/>
          <w:numId w:val="6"/>
        </w:numPr>
        <w:tabs>
          <w:tab w:val="left" w:pos="851"/>
        </w:tabs>
        <w:spacing w:before="0" w:after="0" w:line="360" w:lineRule="auto"/>
        <w:rPr>
          <w:rFonts w:asciiTheme="minorEastAsia" w:hAnsiTheme="minorEastAsia" w:eastAsiaTheme="minorEastAsia"/>
          <w:b w:val="0"/>
          <w:sz w:val="21"/>
          <w:szCs w:val="21"/>
          <w:highlight w:val="none"/>
        </w:rPr>
      </w:pPr>
      <w:bookmarkStart w:id="257" w:name="_Toc4624"/>
      <w:bookmarkStart w:id="258" w:name="_Toc19695"/>
      <w:bookmarkStart w:id="259" w:name="_Toc30672"/>
      <w:bookmarkStart w:id="260" w:name="_Toc28879"/>
      <w:bookmarkStart w:id="261" w:name="_Toc9815"/>
      <w:r>
        <w:rPr>
          <w:rFonts w:hint="eastAsia" w:asciiTheme="minorEastAsia" w:hAnsiTheme="minorEastAsia" w:eastAsiaTheme="minorEastAsia"/>
          <w:sz w:val="21"/>
          <w:szCs w:val="21"/>
          <w:highlight w:val="none"/>
        </w:rPr>
        <w:t>签订合同</w:t>
      </w:r>
      <w:bookmarkEnd w:id="257"/>
      <w:bookmarkEnd w:id="258"/>
      <w:bookmarkEnd w:id="259"/>
      <w:bookmarkEnd w:id="260"/>
      <w:bookmarkEnd w:id="261"/>
    </w:p>
    <w:p>
      <w:pPr>
        <w:adjustRightIn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38.1 </w:t>
      </w:r>
      <w:r>
        <w:rPr>
          <w:rFonts w:hint="eastAsia" w:asciiTheme="minorEastAsia" w:hAnsiTheme="minorEastAsia" w:eastAsiaTheme="minorEastAsia"/>
          <w:szCs w:val="21"/>
          <w:highlight w:val="none"/>
        </w:rPr>
        <w:t>招标人与中标人将于中标通知书发出之日起</w:t>
      </w:r>
      <w:r>
        <w:rPr>
          <w:rFonts w:asciiTheme="minorEastAsia" w:hAnsiTheme="minorEastAsia" w:eastAsiaTheme="minorEastAsia"/>
          <w:szCs w:val="21"/>
          <w:highlight w:val="none"/>
        </w:rPr>
        <w:t>5个工作日内，按照招标文件和中标人的投标文件商定和签订合同，招标人和中标人不得再行订立背离合同实质性内容的其他协议。</w:t>
      </w:r>
    </w:p>
    <w:p>
      <w:pPr>
        <w:adjustRightIn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38.2中标通知书发出之日起5个工作日</w:t>
      </w:r>
      <w:r>
        <w:rPr>
          <w:rFonts w:hint="eastAsia" w:asciiTheme="minorEastAsia" w:hAnsiTheme="minorEastAsia" w:eastAsiaTheme="minorEastAsia"/>
          <w:szCs w:val="21"/>
          <w:highlight w:val="none"/>
        </w:rPr>
        <w:t>后</w:t>
      </w:r>
      <w:r>
        <w:rPr>
          <w:rFonts w:asciiTheme="minorEastAsia" w:hAnsiTheme="minorEastAsia" w:eastAsiaTheme="minorEastAsia"/>
          <w:szCs w:val="21"/>
          <w:highlight w:val="none"/>
        </w:rPr>
        <w:t>，中标人未按上款的规定与招标人订立合同，招标人将解除中标通知书，原中标人的投标保证金不予退还，且原中标人依法承担相应法律责任。原中标人给招标人造成的损失超过投标保证金数额的，还应当对超过部分予以赔偿。</w:t>
      </w:r>
    </w:p>
    <w:p>
      <w:pPr>
        <w:adjustRightIn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38.3非经招标人同意，中标人在投标过程中使用的银行名称及</w:t>
      </w:r>
      <w:r>
        <w:rPr>
          <w:rFonts w:hint="eastAsia" w:asciiTheme="minorEastAsia" w:hAnsiTheme="minorEastAsia" w:eastAsiaTheme="minorEastAsia"/>
          <w:szCs w:val="21"/>
          <w:highlight w:val="none"/>
        </w:rPr>
        <w:t>账号至完成本项目结算不得变更，否则招标人有权停止款项的拨付及至解除合同，由此造成的一切责任由中标人承担。</w:t>
      </w:r>
    </w:p>
    <w:p>
      <w:pPr>
        <w:adjustRightIn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38.4在合同签订前，中标人须提供营业执照、税务登记证和在投标文件中提供的资质证明文件、业绩合同等主要证明文件（如授权其分支机构进行项目实施或提供售后服务的，亦应提供其与分支机构关系的法律证明材料）的原件给招标人进行核对。如投标文件中复印件与原件不符，招标人有权取消其中标资格。</w:t>
      </w:r>
    </w:p>
    <w:p>
      <w:pPr>
        <w:adjustRightIn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在此情况下，招标人可按本须知规定将合同授予下一个中标候选人或重新招标。</w:t>
      </w:r>
      <w:bookmarkStart w:id="262" w:name="_Toc24415"/>
    </w:p>
    <w:p>
      <w:pPr>
        <w:adjustRightIn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 xml:space="preserve">38.5 </w:t>
      </w:r>
      <w:r>
        <w:rPr>
          <w:rFonts w:asciiTheme="minorEastAsia" w:hAnsiTheme="minorEastAsia" w:eastAsiaTheme="minorEastAsia"/>
          <w:szCs w:val="21"/>
          <w:highlight w:val="none"/>
        </w:rPr>
        <w:t>合同服务期限为2年。自2019年12月1日起至2021年11月30日止</w:t>
      </w: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服务</w:t>
      </w:r>
      <w:r>
        <w:rPr>
          <w:rFonts w:hint="eastAsia" w:asciiTheme="minorEastAsia" w:hAnsiTheme="minorEastAsia" w:eastAsiaTheme="minorEastAsia"/>
          <w:szCs w:val="21"/>
          <w:highlight w:val="none"/>
        </w:rPr>
        <w:t>期</w:t>
      </w:r>
      <w:r>
        <w:rPr>
          <w:rFonts w:asciiTheme="minorEastAsia" w:hAnsiTheme="minorEastAsia" w:eastAsiaTheme="minorEastAsia"/>
          <w:szCs w:val="21"/>
          <w:highlight w:val="none"/>
        </w:rPr>
        <w:t>内合同价为</w:t>
      </w:r>
      <w:r>
        <w:rPr>
          <w:rFonts w:hint="eastAsia" w:asciiTheme="minorEastAsia" w:hAnsiTheme="minorEastAsia" w:eastAsiaTheme="minorEastAsia"/>
          <w:szCs w:val="21"/>
          <w:highlight w:val="none"/>
        </w:rPr>
        <w:t>固定</w:t>
      </w:r>
      <w:r>
        <w:rPr>
          <w:rFonts w:asciiTheme="minorEastAsia" w:hAnsiTheme="minorEastAsia" w:eastAsiaTheme="minorEastAsia"/>
          <w:szCs w:val="21"/>
          <w:highlight w:val="none"/>
        </w:rPr>
        <w:t>不变价。在服务期限内,</w:t>
      </w:r>
      <w:r>
        <w:rPr>
          <w:rFonts w:hint="eastAsia" w:asciiTheme="minorEastAsia" w:hAnsiTheme="minorEastAsia" w:eastAsiaTheme="minorEastAsia"/>
          <w:szCs w:val="21"/>
          <w:highlight w:val="none"/>
        </w:rPr>
        <w:t>招标人</w:t>
      </w:r>
      <w:r>
        <w:rPr>
          <w:rFonts w:asciiTheme="minorEastAsia" w:hAnsiTheme="minorEastAsia" w:eastAsiaTheme="minorEastAsia"/>
          <w:szCs w:val="21"/>
          <w:highlight w:val="none"/>
        </w:rPr>
        <w:t>会不定期对</w:t>
      </w:r>
      <w:r>
        <w:rPr>
          <w:rFonts w:hint="eastAsia" w:asciiTheme="minorEastAsia" w:hAnsiTheme="minorEastAsia" w:eastAsiaTheme="minorEastAsia"/>
          <w:szCs w:val="21"/>
          <w:highlight w:val="none"/>
        </w:rPr>
        <w:t>中标人</w:t>
      </w:r>
      <w:r>
        <w:rPr>
          <w:rFonts w:asciiTheme="minorEastAsia" w:hAnsiTheme="minorEastAsia" w:eastAsiaTheme="minorEastAsia"/>
          <w:szCs w:val="21"/>
          <w:highlight w:val="none"/>
        </w:rPr>
        <w:t>根据合同条款进行综合评估考核,若考核不合格的,限期整改,如不整改或者整改仍不合格,</w:t>
      </w:r>
      <w:r>
        <w:rPr>
          <w:rFonts w:hint="eastAsia" w:asciiTheme="minorEastAsia" w:hAnsiTheme="minorEastAsia" w:eastAsiaTheme="minorEastAsia"/>
          <w:szCs w:val="21"/>
          <w:highlight w:val="none"/>
        </w:rPr>
        <w:t>招标人</w:t>
      </w:r>
      <w:r>
        <w:rPr>
          <w:rFonts w:asciiTheme="minorEastAsia" w:hAnsiTheme="minorEastAsia" w:eastAsiaTheme="minorEastAsia"/>
          <w:szCs w:val="21"/>
          <w:highlight w:val="none"/>
        </w:rPr>
        <w:t>有权以书面通知的形式单方提出终止合同,并不就提前终止合同向</w:t>
      </w:r>
      <w:r>
        <w:rPr>
          <w:rFonts w:hint="eastAsia" w:asciiTheme="minorEastAsia" w:hAnsiTheme="minorEastAsia" w:eastAsiaTheme="minorEastAsia"/>
          <w:szCs w:val="21"/>
          <w:highlight w:val="none"/>
        </w:rPr>
        <w:t>中标人</w:t>
      </w:r>
      <w:r>
        <w:rPr>
          <w:rFonts w:asciiTheme="minorEastAsia" w:hAnsiTheme="minorEastAsia" w:eastAsiaTheme="minorEastAsia"/>
          <w:szCs w:val="21"/>
          <w:highlight w:val="none"/>
        </w:rPr>
        <w:t>承担任何责任,</w:t>
      </w:r>
      <w:r>
        <w:rPr>
          <w:rFonts w:hint="eastAsia" w:asciiTheme="minorEastAsia" w:hAnsiTheme="minorEastAsia" w:eastAsiaTheme="minorEastAsia"/>
          <w:szCs w:val="21"/>
          <w:highlight w:val="none"/>
        </w:rPr>
        <w:t>中标人</w:t>
      </w:r>
      <w:r>
        <w:rPr>
          <w:rFonts w:asciiTheme="minorEastAsia" w:hAnsiTheme="minorEastAsia" w:eastAsiaTheme="minorEastAsia"/>
          <w:szCs w:val="21"/>
          <w:highlight w:val="none"/>
        </w:rPr>
        <w:t>亦同意不就此向</w:t>
      </w:r>
      <w:r>
        <w:rPr>
          <w:rFonts w:hint="eastAsia" w:asciiTheme="minorEastAsia" w:hAnsiTheme="minorEastAsia" w:eastAsiaTheme="minorEastAsia"/>
          <w:szCs w:val="21"/>
          <w:highlight w:val="none"/>
        </w:rPr>
        <w:t>招标人</w:t>
      </w:r>
      <w:r>
        <w:rPr>
          <w:rFonts w:asciiTheme="minorEastAsia" w:hAnsiTheme="minorEastAsia" w:eastAsiaTheme="minorEastAsia"/>
          <w:szCs w:val="21"/>
          <w:highlight w:val="none"/>
        </w:rPr>
        <w:t>主张任何权利,同时</w:t>
      </w:r>
      <w:r>
        <w:rPr>
          <w:rFonts w:hint="eastAsia" w:asciiTheme="minorEastAsia" w:hAnsiTheme="minorEastAsia" w:eastAsiaTheme="minorEastAsia"/>
          <w:szCs w:val="21"/>
          <w:highlight w:val="none"/>
        </w:rPr>
        <w:t>招标人</w:t>
      </w:r>
      <w:r>
        <w:rPr>
          <w:rFonts w:asciiTheme="minorEastAsia" w:hAnsiTheme="minorEastAsia" w:eastAsiaTheme="minorEastAsia"/>
          <w:szCs w:val="21"/>
          <w:highlight w:val="none"/>
        </w:rPr>
        <w:t>有权与第二或第三中标候选人签订合同(在报价有效期内)或组织重新招标。</w:t>
      </w:r>
    </w:p>
    <w:p>
      <w:pPr>
        <w:numPr>
          <w:ilvl w:val="0"/>
          <w:numId w:val="6"/>
        </w:numPr>
        <w:adjustRightInd w:val="0"/>
        <w:spacing w:line="360" w:lineRule="auto"/>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lang w:eastAsia="zh-CN"/>
        </w:rPr>
        <w:t>履约保证金</w:t>
      </w:r>
    </w:p>
    <w:p>
      <w:pPr>
        <w:adjustRightIn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39.1 </w:t>
      </w:r>
      <w:r>
        <w:rPr>
          <w:rFonts w:hint="eastAsia" w:asciiTheme="minorEastAsia" w:hAnsiTheme="minorEastAsia" w:eastAsiaTheme="minorEastAsia"/>
          <w:szCs w:val="21"/>
          <w:highlight w:val="none"/>
        </w:rPr>
        <w:t>在合同签订后</w:t>
      </w:r>
      <w:r>
        <w:rPr>
          <w:rFonts w:asciiTheme="minorEastAsia" w:hAnsiTheme="minorEastAsia" w:eastAsiaTheme="minorEastAsia"/>
          <w:szCs w:val="21"/>
          <w:highlight w:val="none"/>
        </w:rPr>
        <w:t>5</w:t>
      </w:r>
      <w:r>
        <w:rPr>
          <w:rFonts w:hint="eastAsia" w:asciiTheme="minorEastAsia" w:hAnsiTheme="minorEastAsia" w:eastAsiaTheme="minorEastAsia"/>
          <w:szCs w:val="21"/>
          <w:highlight w:val="none"/>
        </w:rPr>
        <w:t>个工作日内，中标人应按本须知前附表第</w:t>
      </w:r>
      <w:r>
        <w:rPr>
          <w:rFonts w:asciiTheme="minorEastAsia" w:hAnsiTheme="minorEastAsia" w:eastAsiaTheme="minorEastAsia"/>
          <w:szCs w:val="21"/>
          <w:highlight w:val="none"/>
        </w:rPr>
        <w:t>17项规定的担保形式和招标文件第五章“合同条款”规定的或者事先经过招标人书面认可的</w:t>
      </w:r>
      <w:r>
        <w:rPr>
          <w:rFonts w:hint="eastAsia" w:asciiTheme="minorEastAsia" w:hAnsiTheme="minorEastAsia" w:eastAsiaTheme="minorEastAsia"/>
          <w:szCs w:val="21"/>
          <w:highlight w:val="none"/>
          <w:lang w:eastAsia="zh-CN"/>
        </w:rPr>
        <w:t>履约保证金</w:t>
      </w:r>
      <w:r>
        <w:rPr>
          <w:rFonts w:asciiTheme="minorEastAsia" w:hAnsiTheme="minorEastAsia" w:eastAsiaTheme="minorEastAsia"/>
          <w:szCs w:val="21"/>
          <w:highlight w:val="none"/>
        </w:rPr>
        <w:t>格式向招标人提交</w:t>
      </w:r>
      <w:r>
        <w:rPr>
          <w:rFonts w:hint="eastAsia" w:asciiTheme="minorEastAsia" w:hAnsiTheme="minorEastAsia" w:eastAsiaTheme="minorEastAsia"/>
          <w:szCs w:val="21"/>
          <w:highlight w:val="none"/>
          <w:lang w:eastAsia="zh-CN"/>
        </w:rPr>
        <w:t>履约保证金</w:t>
      </w:r>
      <w:r>
        <w:rPr>
          <w:rFonts w:asciiTheme="minorEastAsia" w:hAnsiTheme="minorEastAsia" w:eastAsiaTheme="minorEastAsia"/>
          <w:szCs w:val="21"/>
          <w:highlight w:val="none"/>
        </w:rPr>
        <w:t>。</w:t>
      </w:r>
    </w:p>
    <w:p>
      <w:pPr>
        <w:adjustRightIn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39.2 </w:t>
      </w:r>
      <w:r>
        <w:rPr>
          <w:rFonts w:hint="eastAsia" w:asciiTheme="minorEastAsia" w:hAnsiTheme="minorEastAsia" w:eastAsiaTheme="minorEastAsia"/>
          <w:szCs w:val="21"/>
          <w:highlight w:val="none"/>
        </w:rPr>
        <w:t>合同签订</w:t>
      </w:r>
      <w:r>
        <w:rPr>
          <w:rFonts w:asciiTheme="minorEastAsia" w:hAnsiTheme="minorEastAsia" w:eastAsiaTheme="minorEastAsia"/>
          <w:szCs w:val="21"/>
          <w:highlight w:val="none"/>
        </w:rPr>
        <w:t>5个工作日</w:t>
      </w:r>
      <w:r>
        <w:rPr>
          <w:rFonts w:hint="eastAsia" w:asciiTheme="minorEastAsia" w:hAnsiTheme="minorEastAsia" w:eastAsiaTheme="minorEastAsia"/>
          <w:szCs w:val="21"/>
          <w:highlight w:val="none"/>
        </w:rPr>
        <w:t>后</w:t>
      </w:r>
      <w:r>
        <w:rPr>
          <w:rFonts w:asciiTheme="minorEastAsia" w:hAnsiTheme="minorEastAsia" w:eastAsiaTheme="minorEastAsia"/>
          <w:szCs w:val="21"/>
          <w:highlight w:val="none"/>
        </w:rPr>
        <w:t>，中标人未按上款的规定提交</w:t>
      </w:r>
      <w:r>
        <w:rPr>
          <w:rFonts w:hint="eastAsia" w:asciiTheme="minorEastAsia" w:hAnsiTheme="minorEastAsia" w:eastAsiaTheme="minorEastAsia"/>
          <w:szCs w:val="21"/>
          <w:highlight w:val="none"/>
          <w:lang w:eastAsia="zh-CN"/>
        </w:rPr>
        <w:t>履约保证金</w:t>
      </w:r>
      <w:r>
        <w:rPr>
          <w:rFonts w:asciiTheme="minorEastAsia" w:hAnsiTheme="minorEastAsia" w:eastAsiaTheme="minorEastAsia"/>
          <w:szCs w:val="21"/>
          <w:highlight w:val="none"/>
        </w:rPr>
        <w:t>，招标人将解除</w:t>
      </w:r>
      <w:r>
        <w:rPr>
          <w:rFonts w:hint="eastAsia" w:asciiTheme="minorEastAsia" w:hAnsiTheme="minorEastAsia" w:eastAsiaTheme="minorEastAsia"/>
          <w:szCs w:val="21"/>
          <w:highlight w:val="none"/>
        </w:rPr>
        <w:t>合同</w:t>
      </w:r>
      <w:r>
        <w:rPr>
          <w:rFonts w:asciiTheme="minorEastAsia" w:hAnsiTheme="minorEastAsia" w:eastAsiaTheme="minorEastAsia"/>
          <w:szCs w:val="21"/>
          <w:highlight w:val="none"/>
        </w:rPr>
        <w:t>，原中标人的投标</w:t>
      </w:r>
      <w:r>
        <w:rPr>
          <w:rFonts w:hint="eastAsia" w:asciiTheme="minorEastAsia" w:hAnsiTheme="minorEastAsia" w:eastAsiaTheme="minorEastAsia"/>
          <w:szCs w:val="21"/>
          <w:highlight w:val="none"/>
        </w:rPr>
        <w:t>保证金不予退还，且</w:t>
      </w:r>
      <w:r>
        <w:rPr>
          <w:rFonts w:asciiTheme="minorEastAsia" w:hAnsiTheme="minorEastAsia" w:eastAsiaTheme="minorEastAsia"/>
          <w:szCs w:val="21"/>
          <w:highlight w:val="none"/>
        </w:rPr>
        <w:t>原中标人</w:t>
      </w:r>
      <w:r>
        <w:rPr>
          <w:rFonts w:hint="eastAsia" w:asciiTheme="minorEastAsia" w:hAnsiTheme="minorEastAsia" w:eastAsiaTheme="minorEastAsia"/>
          <w:szCs w:val="21"/>
          <w:highlight w:val="none"/>
        </w:rPr>
        <w:t>依法承担相应法律责任。原中标人给招标人造成的损失超过投标保证金数额的，还应当对超过部分予以赔偿。</w:t>
      </w:r>
    </w:p>
    <w:p>
      <w:pPr>
        <w:pStyle w:val="4"/>
        <w:keepNext w:val="0"/>
        <w:keepLines w:val="0"/>
        <w:numPr>
          <w:ilvl w:val="0"/>
          <w:numId w:val="0"/>
        </w:numPr>
        <w:tabs>
          <w:tab w:val="left" w:pos="425"/>
          <w:tab w:val="left" w:pos="851"/>
        </w:tabs>
        <w:spacing w:before="0" w:after="0" w:line="360" w:lineRule="auto"/>
        <w:rPr>
          <w:rFonts w:asciiTheme="minorEastAsia" w:hAnsiTheme="minorEastAsia" w:eastAsiaTheme="minorEastAsia"/>
          <w:b w:val="0"/>
          <w:sz w:val="21"/>
          <w:szCs w:val="21"/>
          <w:highlight w:val="none"/>
        </w:rPr>
      </w:pPr>
      <w:bookmarkStart w:id="263" w:name="_Toc3167"/>
      <w:bookmarkStart w:id="264" w:name="_Toc1132"/>
      <w:bookmarkStart w:id="265" w:name="_Toc832"/>
      <w:r>
        <w:rPr>
          <w:rFonts w:hint="eastAsia" w:asciiTheme="minorEastAsia" w:hAnsiTheme="minorEastAsia" w:eastAsiaTheme="minorEastAsia"/>
          <w:sz w:val="21"/>
          <w:szCs w:val="21"/>
          <w:highlight w:val="none"/>
        </w:rPr>
        <w:t>40. 合同生效</w:t>
      </w:r>
      <w:bookmarkEnd w:id="263"/>
      <w:bookmarkEnd w:id="264"/>
      <w:bookmarkEnd w:id="265"/>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在合同双方法定代表人或授权代表在合同协议书上签字，并分别加盖双方单位的公章后，合同正式生效。</w:t>
      </w:r>
    </w:p>
    <w:p>
      <w:pPr>
        <w:adjustRightInd w:val="0"/>
        <w:snapToGrid w:val="0"/>
        <w:spacing w:line="360" w:lineRule="auto"/>
        <w:rPr>
          <w:b/>
          <w:highlight w:val="none"/>
        </w:rPr>
      </w:pPr>
      <w:r>
        <w:rPr>
          <w:rFonts w:hint="eastAsia"/>
          <w:b/>
          <w:highlight w:val="none"/>
        </w:rPr>
        <w:t>41.腐败与欺诈行为</w:t>
      </w: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在招标和合同实施期间，业主要求投标人和承包人遵守最高的道德标准。</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41.1对本条款的规定，特定义如下词汇：</w:t>
      </w: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1）“腐败行为”是指在招标或合同执行期间，通过提供、给予、接受或索要任何有价值的东西，从而影响</w:t>
      </w:r>
      <w:r>
        <w:rPr>
          <w:rFonts w:hint="eastAsia" w:cs="宋体" w:asciiTheme="minorEastAsia" w:hAnsiTheme="minorEastAsia" w:eastAsiaTheme="minorEastAsia"/>
          <w:szCs w:val="21"/>
          <w:highlight w:val="none"/>
        </w:rPr>
        <w:t>招标人</w:t>
      </w:r>
      <w:r>
        <w:rPr>
          <w:rFonts w:hint="eastAsia" w:asciiTheme="minorEastAsia" w:hAnsiTheme="minorEastAsia" w:eastAsiaTheme="minorEastAsia"/>
          <w:szCs w:val="21"/>
          <w:highlight w:val="none"/>
        </w:rPr>
        <w:t>有关人员工作的行为；</w:t>
      </w: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2）“欺诈行为”是指通过提供伪证影响招标或合同执行，从而损害</w:t>
      </w:r>
      <w:r>
        <w:rPr>
          <w:rFonts w:hint="eastAsia" w:cs="宋体" w:asciiTheme="minorEastAsia" w:hAnsiTheme="minorEastAsia" w:eastAsiaTheme="minorEastAsia"/>
          <w:szCs w:val="21"/>
          <w:highlight w:val="none"/>
        </w:rPr>
        <w:t>招标人</w:t>
      </w:r>
      <w:r>
        <w:rPr>
          <w:rFonts w:hint="eastAsia" w:asciiTheme="minorEastAsia" w:hAnsiTheme="minorEastAsia" w:eastAsiaTheme="minorEastAsia"/>
          <w:szCs w:val="21"/>
          <w:highlight w:val="none"/>
        </w:rPr>
        <w:t>利益的行为；也包括投标人之间串通（在提交投标书之前或之后），人为地使招标过程失去竞争性，从而使业主无法从公开的自由竞争中获得利益的行为。</w:t>
      </w:r>
    </w:p>
    <w:p>
      <w:pPr>
        <w:spacing w:before="120" w:after="120" w:line="360" w:lineRule="auto"/>
        <w:ind w:firstLine="420" w:firstLineChars="200"/>
        <w:jc w:val="left"/>
        <w:rPr>
          <w:sz w:val="24"/>
          <w:highlight w:val="none"/>
        </w:rPr>
      </w:pPr>
      <w:r>
        <w:rPr>
          <w:rFonts w:asciiTheme="minorEastAsia" w:hAnsiTheme="minorEastAsia" w:eastAsiaTheme="minorEastAsia"/>
          <w:szCs w:val="21"/>
          <w:highlight w:val="none"/>
        </w:rPr>
        <w:t>41.2如果投标人被认定在本招标的竞争中有腐败或欺诈行为，则会被取消投标资格。</w:t>
      </w:r>
      <w:bookmarkEnd w:id="262"/>
      <w:r>
        <w:rPr>
          <w:rFonts w:ascii="宋体" w:hAnsi="宋体"/>
          <w:sz w:val="24"/>
          <w:highlight w:val="none"/>
        </w:rPr>
        <w:br w:type="page"/>
      </w:r>
      <w:bookmarkStart w:id="266" w:name="_Toc24249"/>
      <w:bookmarkStart w:id="267" w:name="_Toc6001"/>
      <w:bookmarkStart w:id="268" w:name="_Toc2224"/>
      <w:bookmarkStart w:id="269" w:name="_Toc27137"/>
      <w:r>
        <w:rPr>
          <w:b/>
          <w:kern w:val="0"/>
          <w:sz w:val="24"/>
          <w:highlight w:val="none"/>
        </w:rPr>
        <w:t>附件一：开标记录表</w:t>
      </w:r>
      <w:bookmarkEnd w:id="266"/>
      <w:bookmarkEnd w:id="267"/>
      <w:bookmarkEnd w:id="268"/>
      <w:bookmarkEnd w:id="269"/>
    </w:p>
    <w:p>
      <w:pPr>
        <w:spacing w:line="400" w:lineRule="exact"/>
        <w:rPr>
          <w:highlight w:val="none"/>
        </w:rPr>
      </w:pPr>
    </w:p>
    <w:p>
      <w:pPr>
        <w:spacing w:line="400" w:lineRule="exact"/>
        <w:jc w:val="center"/>
        <w:rPr>
          <w:rFonts w:hint="eastAsia" w:ascii="黑体" w:eastAsia="黑体"/>
          <w:sz w:val="28"/>
          <w:szCs w:val="28"/>
          <w:highlight w:val="none"/>
        </w:rPr>
      </w:pPr>
      <w:r>
        <w:rPr>
          <w:rFonts w:hint="eastAsia" w:ascii="黑体" w:eastAsia="黑体"/>
          <w:sz w:val="28"/>
          <w:szCs w:val="28"/>
          <w:highlight w:val="none"/>
        </w:rPr>
        <w:t>佛山市恒益环保建材有限公司加气砌块生产辅助业务外委采购项目</w:t>
      </w:r>
    </w:p>
    <w:p>
      <w:pPr>
        <w:spacing w:line="400" w:lineRule="exact"/>
        <w:jc w:val="center"/>
        <w:rPr>
          <w:rFonts w:ascii="黑体" w:eastAsia="黑体"/>
          <w:sz w:val="28"/>
          <w:szCs w:val="28"/>
          <w:highlight w:val="none"/>
        </w:rPr>
      </w:pPr>
      <w:r>
        <w:rPr>
          <w:rFonts w:hint="eastAsia" w:ascii="黑体" w:eastAsia="黑体"/>
          <w:sz w:val="28"/>
          <w:szCs w:val="28"/>
          <w:highlight w:val="none"/>
        </w:rPr>
        <w:t>开标记录表</w:t>
      </w:r>
    </w:p>
    <w:p>
      <w:pPr>
        <w:spacing w:line="400" w:lineRule="exact"/>
        <w:rPr>
          <w:highlight w:val="none"/>
        </w:rPr>
      </w:pPr>
    </w:p>
    <w:tbl>
      <w:tblPr>
        <w:tblStyle w:val="42"/>
        <w:tblW w:w="8330" w:type="dxa"/>
        <w:tblInd w:w="0" w:type="dxa"/>
        <w:tblLayout w:type="fixed"/>
        <w:tblCellMar>
          <w:top w:w="0" w:type="dxa"/>
          <w:left w:w="108" w:type="dxa"/>
          <w:bottom w:w="0" w:type="dxa"/>
          <w:right w:w="108" w:type="dxa"/>
        </w:tblCellMar>
      </w:tblPr>
      <w:tblGrid>
        <w:gridCol w:w="534"/>
        <w:gridCol w:w="708"/>
        <w:gridCol w:w="647"/>
        <w:gridCol w:w="823"/>
        <w:gridCol w:w="823"/>
        <w:gridCol w:w="823"/>
        <w:gridCol w:w="823"/>
        <w:gridCol w:w="865"/>
        <w:gridCol w:w="866"/>
        <w:gridCol w:w="567"/>
        <w:gridCol w:w="851"/>
      </w:tblGrid>
      <w:tr>
        <w:tblPrEx>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sz w:val="18"/>
                <w:szCs w:val="18"/>
                <w:highlight w:val="none"/>
              </w:rPr>
              <w:t>序号</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sz w:val="18"/>
                <w:szCs w:val="18"/>
                <w:highlight w:val="none"/>
              </w:rPr>
              <w:t>投标人</w:t>
            </w:r>
          </w:p>
        </w:tc>
        <w:tc>
          <w:tcPr>
            <w:tcW w:w="647"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sz w:val="18"/>
                <w:szCs w:val="18"/>
                <w:highlight w:val="none"/>
              </w:rPr>
              <w:t>密封</w:t>
            </w:r>
          </w:p>
          <w:p>
            <w:pPr>
              <w:jc w:val="center"/>
              <w:rPr>
                <w:sz w:val="18"/>
                <w:szCs w:val="18"/>
                <w:highlight w:val="none"/>
              </w:rPr>
            </w:pPr>
            <w:r>
              <w:rPr>
                <w:sz w:val="18"/>
                <w:szCs w:val="18"/>
                <w:highlight w:val="none"/>
              </w:rPr>
              <w:t>情况</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rFonts w:hint="eastAsia"/>
                <w:sz w:val="18"/>
                <w:szCs w:val="18"/>
                <w:highlight w:val="none"/>
              </w:rPr>
              <w:t>文件数量（一正四副两电子版）</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sz w:val="18"/>
                <w:szCs w:val="18"/>
                <w:highlight w:val="none"/>
              </w:rPr>
              <w:t>投标保证金</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rFonts w:hint="eastAsia" w:ascii="宋体" w:hAnsi="宋体" w:cs="Arial"/>
                <w:sz w:val="18"/>
                <w:szCs w:val="18"/>
                <w:highlight w:val="none"/>
              </w:rPr>
              <w:t>法定代表人资格证明书</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rFonts w:hint="eastAsia" w:ascii="宋体" w:hAnsi="宋体" w:cs="Arial"/>
                <w:sz w:val="18"/>
                <w:szCs w:val="18"/>
                <w:highlight w:val="none"/>
              </w:rPr>
              <w:t>法定代表人授权委托书</w:t>
            </w:r>
          </w:p>
        </w:tc>
        <w:tc>
          <w:tcPr>
            <w:tcW w:w="865"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rFonts w:hint="eastAsia"/>
                <w:sz w:val="18"/>
                <w:szCs w:val="18"/>
                <w:highlight w:val="none"/>
              </w:rPr>
              <w:t>投标报价：万元（含税）</w:t>
            </w:r>
          </w:p>
        </w:tc>
        <w:tc>
          <w:tcPr>
            <w:tcW w:w="866"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rFonts w:hint="eastAsia"/>
                <w:sz w:val="18"/>
                <w:szCs w:val="18"/>
                <w:highlight w:val="none"/>
              </w:rPr>
              <w:t>投标报价：万元（不含税）</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rFonts w:hint="eastAsia"/>
                <w:sz w:val="18"/>
                <w:szCs w:val="18"/>
                <w:highlight w:val="none"/>
              </w:rPr>
              <w:t>税率</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sz w:val="18"/>
                <w:szCs w:val="18"/>
                <w:highlight w:val="none"/>
              </w:rPr>
              <w:t>签名</w:t>
            </w:r>
          </w:p>
        </w:tc>
      </w:tr>
      <w:tr>
        <w:tblPrEx>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708"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647"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65"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66"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Cs w:val="21"/>
                <w:highlight w:val="none"/>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r>
      <w:tr>
        <w:tblPrEx>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708"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647"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65"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66"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567"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r>
      <w:tr>
        <w:tblPrEx>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708"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647"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65"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66"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567"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r>
      <w:tr>
        <w:tblPrEx>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708"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647"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65"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66"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567"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r>
      <w:tr>
        <w:tblPrEx>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708"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647"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65"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66"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567"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r>
      <w:tr>
        <w:tblPrEx>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708"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647"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65"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66"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567"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r>
      <w:tr>
        <w:tblPrEx>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708"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647"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65"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66"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567"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r>
      <w:tr>
        <w:tblPrEx>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708"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647"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65"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66"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567"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r>
      <w:tr>
        <w:tblPrEx>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708"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647"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65"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66"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567"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r>
      <w:tr>
        <w:tblPrEx>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708"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647"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65"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66"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567"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r>
      <w:tr>
        <w:tblPrEx>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708"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647"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65"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66"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567"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r>
      <w:tr>
        <w:tblPrEx>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708"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647"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23"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65"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66"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567"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p>
        </w:tc>
      </w:tr>
      <w:tr>
        <w:tblPrEx>
          <w:tblLayout w:type="fixed"/>
          <w:tblCellMar>
            <w:top w:w="0" w:type="dxa"/>
            <w:left w:w="108" w:type="dxa"/>
            <w:bottom w:w="0" w:type="dxa"/>
            <w:right w:w="108" w:type="dxa"/>
          </w:tblCellMar>
        </w:tblPrEx>
        <w:tc>
          <w:tcPr>
            <w:tcW w:w="8330" w:type="dxa"/>
            <w:gridSpan w:val="11"/>
            <w:tcBorders>
              <w:top w:val="single" w:color="auto" w:sz="4" w:space="0"/>
              <w:left w:val="single" w:color="auto" w:sz="4" w:space="0"/>
              <w:bottom w:val="single" w:color="auto" w:sz="4" w:space="0"/>
              <w:right w:val="single" w:color="auto" w:sz="4" w:space="0"/>
            </w:tcBorders>
          </w:tcPr>
          <w:p>
            <w:pPr>
              <w:spacing w:line="500" w:lineRule="exact"/>
              <w:rPr>
                <w:szCs w:val="21"/>
                <w:highlight w:val="none"/>
              </w:rPr>
            </w:pPr>
            <w:r>
              <w:rPr>
                <w:szCs w:val="21"/>
                <w:highlight w:val="none"/>
              </w:rPr>
              <w:t>招标人编制的</w:t>
            </w:r>
            <w:r>
              <w:rPr>
                <w:rFonts w:hint="eastAsia"/>
                <w:szCs w:val="21"/>
                <w:highlight w:val="none"/>
              </w:rPr>
              <w:t>限价：</w:t>
            </w:r>
          </w:p>
        </w:tc>
      </w:tr>
    </w:tbl>
    <w:p>
      <w:pPr>
        <w:spacing w:line="440" w:lineRule="exact"/>
        <w:rPr>
          <w:szCs w:val="21"/>
          <w:highlight w:val="none"/>
        </w:rPr>
      </w:pPr>
      <w:r>
        <w:rPr>
          <w:rFonts w:hint="eastAsia"/>
          <w:highlight w:val="none"/>
        </w:rPr>
        <w:t>　　</w:t>
      </w:r>
      <w:r>
        <w:rPr>
          <w:rFonts w:hint="eastAsia"/>
          <w:szCs w:val="21"/>
          <w:highlight w:val="none"/>
        </w:rPr>
        <w:t>　</w:t>
      </w:r>
    </w:p>
    <w:p>
      <w:pPr>
        <w:spacing w:line="620" w:lineRule="exact"/>
        <w:rPr>
          <w:szCs w:val="21"/>
          <w:highlight w:val="none"/>
        </w:rPr>
      </w:pPr>
      <w:r>
        <w:rPr>
          <w:szCs w:val="21"/>
          <w:highlight w:val="none"/>
        </w:rPr>
        <w:t>招标人代表：</w:t>
      </w:r>
      <w:r>
        <w:rPr>
          <w:rFonts w:hint="eastAsia"/>
          <w:szCs w:val="21"/>
          <w:highlight w:val="none"/>
        </w:rPr>
        <w:t xml:space="preserve">             </w:t>
      </w:r>
      <w:r>
        <w:rPr>
          <w:szCs w:val="21"/>
          <w:highlight w:val="none"/>
        </w:rPr>
        <w:t xml:space="preserve"> 记录人： </w:t>
      </w:r>
      <w:r>
        <w:rPr>
          <w:rFonts w:hint="eastAsia"/>
          <w:szCs w:val="21"/>
          <w:highlight w:val="none"/>
        </w:rPr>
        <w:t xml:space="preserve">                </w:t>
      </w:r>
      <w:r>
        <w:rPr>
          <w:szCs w:val="21"/>
          <w:highlight w:val="none"/>
        </w:rPr>
        <w:t>监标人：</w:t>
      </w:r>
    </w:p>
    <w:p>
      <w:pPr>
        <w:spacing w:line="620" w:lineRule="exact"/>
        <w:rPr>
          <w:sz w:val="20"/>
          <w:highlight w:val="none"/>
        </w:rPr>
      </w:pPr>
      <w:r>
        <w:rPr>
          <w:szCs w:val="21"/>
          <w:highlight w:val="none"/>
        </w:rPr>
        <w:t>年月日</w:t>
      </w:r>
    </w:p>
    <w:p>
      <w:pPr>
        <w:spacing w:line="620" w:lineRule="exact"/>
        <w:rPr>
          <w:szCs w:val="21"/>
          <w:highlight w:val="none"/>
        </w:rPr>
      </w:pPr>
    </w:p>
    <w:p>
      <w:pPr>
        <w:spacing w:line="620" w:lineRule="exact"/>
        <w:rPr>
          <w:szCs w:val="21"/>
          <w:highlight w:val="none"/>
        </w:rPr>
      </w:pPr>
    </w:p>
    <w:p>
      <w:pPr>
        <w:pStyle w:val="4"/>
        <w:numPr>
          <w:ilvl w:val="0"/>
          <w:numId w:val="0"/>
        </w:numPr>
        <w:spacing w:before="120" w:after="120"/>
        <w:jc w:val="left"/>
        <w:rPr>
          <w:b w:val="0"/>
          <w:sz w:val="24"/>
          <w:szCs w:val="24"/>
          <w:highlight w:val="none"/>
        </w:rPr>
      </w:pPr>
      <w:bookmarkStart w:id="270" w:name="_Toc21192"/>
      <w:bookmarkStart w:id="271" w:name="_Toc23893"/>
      <w:bookmarkStart w:id="272" w:name="_Toc26844"/>
      <w:bookmarkStart w:id="273" w:name="_Toc7047"/>
      <w:bookmarkStart w:id="274" w:name="_Toc12042"/>
      <w:bookmarkStart w:id="275" w:name="_Toc24336"/>
      <w:bookmarkStart w:id="276" w:name="_Toc2438"/>
      <w:r>
        <w:rPr>
          <w:sz w:val="24"/>
          <w:szCs w:val="24"/>
          <w:highlight w:val="none"/>
        </w:rPr>
        <w:t>附</w:t>
      </w:r>
      <w:r>
        <w:rPr>
          <w:rFonts w:hint="eastAsia"/>
          <w:sz w:val="24"/>
          <w:szCs w:val="24"/>
          <w:highlight w:val="none"/>
        </w:rPr>
        <w:t>件</w:t>
      </w:r>
      <w:r>
        <w:rPr>
          <w:sz w:val="24"/>
          <w:szCs w:val="24"/>
          <w:highlight w:val="none"/>
        </w:rPr>
        <w:t>二：问题澄清通知</w:t>
      </w:r>
      <w:bookmarkEnd w:id="270"/>
      <w:bookmarkEnd w:id="271"/>
      <w:bookmarkEnd w:id="272"/>
      <w:bookmarkEnd w:id="273"/>
      <w:bookmarkEnd w:id="274"/>
      <w:bookmarkEnd w:id="275"/>
      <w:bookmarkEnd w:id="276"/>
    </w:p>
    <w:p>
      <w:pPr>
        <w:spacing w:line="440" w:lineRule="exact"/>
        <w:jc w:val="center"/>
        <w:rPr>
          <w:szCs w:val="21"/>
          <w:highlight w:val="none"/>
        </w:rPr>
      </w:pPr>
    </w:p>
    <w:p>
      <w:pPr>
        <w:spacing w:line="440" w:lineRule="exact"/>
        <w:jc w:val="center"/>
        <w:rPr>
          <w:rFonts w:eastAsia="黑体"/>
          <w:sz w:val="28"/>
          <w:szCs w:val="28"/>
          <w:highlight w:val="none"/>
        </w:rPr>
      </w:pPr>
      <w:r>
        <w:rPr>
          <w:rFonts w:eastAsia="黑体"/>
          <w:sz w:val="28"/>
          <w:szCs w:val="28"/>
          <w:highlight w:val="none"/>
        </w:rPr>
        <w:t>问题澄清通知</w:t>
      </w:r>
    </w:p>
    <w:p>
      <w:pPr>
        <w:spacing w:line="440" w:lineRule="exact"/>
        <w:rPr>
          <w:szCs w:val="21"/>
          <w:highlight w:val="none"/>
        </w:rPr>
      </w:pPr>
      <w:r>
        <w:rPr>
          <w:szCs w:val="21"/>
          <w:highlight w:val="none"/>
        </w:rPr>
        <w:t xml:space="preserve">                               编号：</w:t>
      </w:r>
    </w:p>
    <w:p>
      <w:pPr>
        <w:spacing w:line="440" w:lineRule="exact"/>
        <w:rPr>
          <w:szCs w:val="21"/>
          <w:highlight w:val="none"/>
        </w:rPr>
      </w:pPr>
    </w:p>
    <w:p>
      <w:pPr>
        <w:spacing w:line="440" w:lineRule="exact"/>
        <w:rPr>
          <w:szCs w:val="21"/>
          <w:highlight w:val="none"/>
        </w:rPr>
      </w:pPr>
      <w:r>
        <w:rPr>
          <w:szCs w:val="21"/>
          <w:highlight w:val="none"/>
        </w:rPr>
        <w:t>（投标人名称）：</w:t>
      </w:r>
    </w:p>
    <w:p>
      <w:pPr>
        <w:spacing w:line="440" w:lineRule="exact"/>
        <w:rPr>
          <w:szCs w:val="21"/>
          <w:highlight w:val="none"/>
        </w:rPr>
      </w:pPr>
    </w:p>
    <w:p>
      <w:pPr>
        <w:spacing w:line="440" w:lineRule="exact"/>
        <w:rPr>
          <w:szCs w:val="21"/>
          <w:highlight w:val="none"/>
        </w:rPr>
      </w:pPr>
      <w:r>
        <w:rPr>
          <w:szCs w:val="21"/>
          <w:highlight w:val="none"/>
        </w:rPr>
        <w:t xml:space="preserve">　　  </w:t>
      </w:r>
      <w:r>
        <w:rPr>
          <w:szCs w:val="21"/>
          <w:highlight w:val="none"/>
          <w:u w:val="single"/>
        </w:rPr>
        <w:t xml:space="preserve">　             </w:t>
      </w:r>
      <w:r>
        <w:rPr>
          <w:szCs w:val="21"/>
          <w:highlight w:val="none"/>
        </w:rPr>
        <w:t>（项目名称）招标的评标委员会，对你方的投标文件进行了仔细的审查，现需你方对下列问题以书面形式予以澄清：</w:t>
      </w:r>
    </w:p>
    <w:p>
      <w:pPr>
        <w:spacing w:line="440" w:lineRule="exact"/>
        <w:rPr>
          <w:szCs w:val="21"/>
          <w:highlight w:val="none"/>
        </w:rPr>
      </w:pPr>
      <w:r>
        <w:rPr>
          <w:szCs w:val="21"/>
          <w:highlight w:val="none"/>
        </w:rPr>
        <w:t>　　</w:t>
      </w:r>
    </w:p>
    <w:p>
      <w:pPr>
        <w:spacing w:line="440" w:lineRule="exact"/>
        <w:rPr>
          <w:szCs w:val="21"/>
          <w:highlight w:val="none"/>
        </w:rPr>
      </w:pPr>
      <w:r>
        <w:rPr>
          <w:szCs w:val="21"/>
          <w:highlight w:val="none"/>
        </w:rPr>
        <w:t xml:space="preserve">    1.</w:t>
      </w:r>
    </w:p>
    <w:p>
      <w:pPr>
        <w:spacing w:line="440" w:lineRule="exact"/>
        <w:rPr>
          <w:szCs w:val="21"/>
          <w:highlight w:val="none"/>
        </w:rPr>
      </w:pPr>
      <w:r>
        <w:rPr>
          <w:szCs w:val="21"/>
          <w:highlight w:val="none"/>
        </w:rPr>
        <w:t xml:space="preserve">    2.</w:t>
      </w:r>
    </w:p>
    <w:p>
      <w:pPr>
        <w:spacing w:line="440" w:lineRule="exact"/>
        <w:rPr>
          <w:szCs w:val="21"/>
          <w:highlight w:val="none"/>
        </w:rPr>
      </w:pPr>
      <w:r>
        <w:rPr>
          <w:szCs w:val="21"/>
          <w:highlight w:val="none"/>
        </w:rPr>
        <w:t xml:space="preserve">     ......   </w:t>
      </w:r>
    </w:p>
    <w:p>
      <w:pPr>
        <w:spacing w:line="440" w:lineRule="exact"/>
        <w:rPr>
          <w:szCs w:val="21"/>
          <w:highlight w:val="none"/>
        </w:rPr>
      </w:pPr>
      <w:r>
        <w:rPr>
          <w:szCs w:val="21"/>
          <w:highlight w:val="none"/>
        </w:rPr>
        <w:t>　　　</w:t>
      </w:r>
    </w:p>
    <w:p>
      <w:pPr>
        <w:spacing w:line="440" w:lineRule="exact"/>
        <w:rPr>
          <w:szCs w:val="21"/>
          <w:highlight w:val="none"/>
        </w:rPr>
      </w:pPr>
      <w:r>
        <w:rPr>
          <w:szCs w:val="21"/>
          <w:highlight w:val="none"/>
        </w:rPr>
        <w:t>　　请将上述问题的澄清于年月日时前递交至（详细地址）</w:t>
      </w:r>
      <w:r>
        <w:rPr>
          <w:rFonts w:hint="eastAsia"/>
          <w:szCs w:val="21"/>
          <w:highlight w:val="none"/>
        </w:rPr>
        <w:t>或</w:t>
      </w:r>
      <w:r>
        <w:rPr>
          <w:rFonts w:hint="eastAsia" w:ascii="宋体" w:hAnsi="宋体"/>
          <w:szCs w:val="21"/>
          <w:highlight w:val="none"/>
        </w:rPr>
        <w:t>传真至（传真号码）。采用传真方式的，应在</w:t>
      </w:r>
      <w:r>
        <w:rPr>
          <w:rFonts w:ascii="宋体" w:hAnsi="宋体"/>
          <w:szCs w:val="21"/>
          <w:highlight w:val="none"/>
        </w:rPr>
        <w:t>年月日</w:t>
      </w:r>
      <w:r>
        <w:rPr>
          <w:rFonts w:hint="eastAsia" w:ascii="宋体" w:hAnsi="宋体"/>
          <w:szCs w:val="21"/>
          <w:highlight w:val="none"/>
        </w:rPr>
        <w:t>时前将原件递交至</w:t>
      </w:r>
      <w:r>
        <w:rPr>
          <w:szCs w:val="21"/>
          <w:highlight w:val="none"/>
        </w:rPr>
        <w:t>（详细地址）。</w:t>
      </w:r>
    </w:p>
    <w:p>
      <w:pPr>
        <w:spacing w:line="440" w:lineRule="exact"/>
        <w:rPr>
          <w:szCs w:val="21"/>
          <w:highlight w:val="none"/>
        </w:rPr>
      </w:pPr>
    </w:p>
    <w:p>
      <w:pPr>
        <w:spacing w:line="440" w:lineRule="exact"/>
        <w:rPr>
          <w:szCs w:val="21"/>
          <w:highlight w:val="none"/>
        </w:rPr>
      </w:pPr>
    </w:p>
    <w:p>
      <w:pPr>
        <w:spacing w:line="440" w:lineRule="exact"/>
        <w:rPr>
          <w:szCs w:val="21"/>
          <w:highlight w:val="none"/>
        </w:rPr>
      </w:pPr>
      <w:r>
        <w:rPr>
          <w:szCs w:val="21"/>
          <w:highlight w:val="none"/>
        </w:rPr>
        <w:t xml:space="preserve">                         评标</w:t>
      </w:r>
      <w:r>
        <w:rPr>
          <w:rFonts w:hint="eastAsia"/>
          <w:szCs w:val="21"/>
          <w:highlight w:val="none"/>
        </w:rPr>
        <w:t>委员会授权的招标人或招标代理机构</w:t>
      </w:r>
      <w:r>
        <w:rPr>
          <w:szCs w:val="21"/>
          <w:highlight w:val="none"/>
        </w:rPr>
        <w:t>：（签字</w:t>
      </w:r>
      <w:r>
        <w:rPr>
          <w:rFonts w:hint="eastAsia"/>
          <w:szCs w:val="21"/>
          <w:highlight w:val="none"/>
        </w:rPr>
        <w:t>或盖章</w:t>
      </w:r>
      <w:r>
        <w:rPr>
          <w:szCs w:val="21"/>
          <w:highlight w:val="none"/>
        </w:rPr>
        <w:t>）</w:t>
      </w:r>
    </w:p>
    <w:p>
      <w:pPr>
        <w:spacing w:line="440" w:lineRule="exact"/>
        <w:rPr>
          <w:szCs w:val="21"/>
          <w:highlight w:val="none"/>
        </w:rPr>
      </w:pPr>
    </w:p>
    <w:p>
      <w:pPr>
        <w:spacing w:line="440" w:lineRule="exact"/>
        <w:rPr>
          <w:szCs w:val="21"/>
          <w:highlight w:val="none"/>
        </w:rPr>
      </w:pPr>
      <w:r>
        <w:rPr>
          <w:szCs w:val="21"/>
          <w:highlight w:val="none"/>
        </w:rPr>
        <w:t>年月日</w:t>
      </w:r>
    </w:p>
    <w:p>
      <w:pPr>
        <w:spacing w:line="400" w:lineRule="exact"/>
        <w:rPr>
          <w:highlight w:val="none"/>
        </w:rPr>
      </w:pPr>
    </w:p>
    <w:p>
      <w:pPr>
        <w:spacing w:line="400" w:lineRule="exact"/>
        <w:rPr>
          <w:highlight w:val="none"/>
        </w:rPr>
      </w:pPr>
      <w:r>
        <w:rPr>
          <w:highlight w:val="none"/>
        </w:rPr>
        <w:br w:type="page"/>
      </w:r>
    </w:p>
    <w:p>
      <w:pPr>
        <w:pStyle w:val="4"/>
        <w:numPr>
          <w:ilvl w:val="0"/>
          <w:numId w:val="0"/>
        </w:numPr>
        <w:spacing w:before="120" w:after="120"/>
        <w:jc w:val="left"/>
        <w:rPr>
          <w:b w:val="0"/>
          <w:sz w:val="24"/>
          <w:szCs w:val="24"/>
          <w:highlight w:val="none"/>
        </w:rPr>
      </w:pPr>
      <w:bookmarkStart w:id="277" w:name="_Toc16655"/>
      <w:bookmarkStart w:id="278" w:name="_Toc1181"/>
      <w:bookmarkStart w:id="279" w:name="_Toc3566"/>
      <w:bookmarkStart w:id="280" w:name="_Toc28445"/>
      <w:bookmarkStart w:id="281" w:name="_Toc29856"/>
      <w:bookmarkStart w:id="282" w:name="_Toc1182"/>
      <w:bookmarkStart w:id="283" w:name="_Toc3819"/>
      <w:r>
        <w:rPr>
          <w:rFonts w:hint="eastAsia"/>
          <w:sz w:val="24"/>
          <w:szCs w:val="24"/>
          <w:highlight w:val="none"/>
        </w:rPr>
        <w:t>附件三：问题的澄清</w:t>
      </w:r>
      <w:bookmarkEnd w:id="277"/>
      <w:bookmarkEnd w:id="278"/>
      <w:bookmarkEnd w:id="279"/>
      <w:bookmarkEnd w:id="280"/>
      <w:bookmarkEnd w:id="281"/>
      <w:bookmarkEnd w:id="282"/>
      <w:bookmarkEnd w:id="283"/>
    </w:p>
    <w:p>
      <w:pPr>
        <w:spacing w:line="400" w:lineRule="exact"/>
        <w:jc w:val="center"/>
        <w:rPr>
          <w:rFonts w:ascii="黑体" w:eastAsia="黑体"/>
          <w:sz w:val="28"/>
          <w:szCs w:val="28"/>
          <w:highlight w:val="none"/>
        </w:rPr>
      </w:pPr>
    </w:p>
    <w:p>
      <w:pPr>
        <w:spacing w:line="400" w:lineRule="exact"/>
        <w:jc w:val="center"/>
        <w:rPr>
          <w:rFonts w:ascii="黑体" w:eastAsia="黑体"/>
          <w:sz w:val="28"/>
          <w:szCs w:val="28"/>
          <w:highlight w:val="none"/>
        </w:rPr>
      </w:pPr>
      <w:r>
        <w:rPr>
          <w:rFonts w:hint="eastAsia" w:ascii="黑体" w:eastAsia="黑体"/>
          <w:sz w:val="28"/>
          <w:szCs w:val="28"/>
          <w:highlight w:val="none"/>
        </w:rPr>
        <w:t>问题的澄清</w:t>
      </w:r>
    </w:p>
    <w:p>
      <w:pPr>
        <w:spacing w:line="400" w:lineRule="exact"/>
        <w:ind w:firstLine="3465" w:firstLineChars="1650"/>
        <w:rPr>
          <w:highlight w:val="none"/>
        </w:rPr>
      </w:pPr>
      <w:r>
        <w:rPr>
          <w:rFonts w:hint="eastAsia"/>
          <w:highlight w:val="none"/>
        </w:rPr>
        <w:t xml:space="preserve">编号： </w:t>
      </w:r>
    </w:p>
    <w:p>
      <w:pPr>
        <w:spacing w:line="400" w:lineRule="exact"/>
        <w:rPr>
          <w:szCs w:val="21"/>
          <w:highlight w:val="none"/>
        </w:rPr>
      </w:pPr>
    </w:p>
    <w:p>
      <w:pPr>
        <w:spacing w:line="440" w:lineRule="exact"/>
        <w:rPr>
          <w:szCs w:val="21"/>
          <w:highlight w:val="none"/>
        </w:rPr>
      </w:pPr>
      <w:r>
        <w:rPr>
          <w:rFonts w:hint="eastAsia"/>
          <w:color w:val="000000"/>
          <w:highlight w:val="none"/>
        </w:rPr>
        <w:t>佛山市恒益环保建材有限公司加气砌块生产辅助业务外委采购项目</w:t>
      </w:r>
      <w:r>
        <w:rPr>
          <w:szCs w:val="21"/>
          <w:highlight w:val="none"/>
        </w:rPr>
        <w:t>招标评标委员会：</w:t>
      </w:r>
    </w:p>
    <w:p>
      <w:pPr>
        <w:spacing w:line="440" w:lineRule="exact"/>
        <w:rPr>
          <w:szCs w:val="21"/>
          <w:highlight w:val="none"/>
        </w:rPr>
      </w:pPr>
    </w:p>
    <w:p>
      <w:pPr>
        <w:spacing w:line="440" w:lineRule="exact"/>
        <w:rPr>
          <w:szCs w:val="21"/>
          <w:highlight w:val="none"/>
        </w:rPr>
      </w:pPr>
      <w:r>
        <w:rPr>
          <w:szCs w:val="21"/>
          <w:highlight w:val="none"/>
        </w:rPr>
        <w:t>　　问题澄清通知（编号：）已收悉，现澄清如下：</w:t>
      </w:r>
    </w:p>
    <w:p>
      <w:pPr>
        <w:spacing w:line="440" w:lineRule="exact"/>
        <w:rPr>
          <w:szCs w:val="21"/>
          <w:highlight w:val="none"/>
        </w:rPr>
      </w:pPr>
      <w:r>
        <w:rPr>
          <w:szCs w:val="21"/>
          <w:highlight w:val="none"/>
        </w:rPr>
        <w:t>　     1.</w:t>
      </w:r>
    </w:p>
    <w:p>
      <w:pPr>
        <w:spacing w:line="440" w:lineRule="exact"/>
        <w:rPr>
          <w:szCs w:val="21"/>
          <w:highlight w:val="none"/>
        </w:rPr>
      </w:pPr>
      <w:r>
        <w:rPr>
          <w:szCs w:val="21"/>
          <w:highlight w:val="none"/>
        </w:rPr>
        <w:t>　     2.</w:t>
      </w:r>
    </w:p>
    <w:p>
      <w:pPr>
        <w:spacing w:line="440" w:lineRule="exact"/>
        <w:rPr>
          <w:szCs w:val="21"/>
          <w:highlight w:val="none"/>
        </w:rPr>
      </w:pPr>
      <w:r>
        <w:rPr>
          <w:szCs w:val="21"/>
          <w:highlight w:val="none"/>
        </w:rPr>
        <w:t>　    .....</w:t>
      </w:r>
    </w:p>
    <w:p>
      <w:pPr>
        <w:spacing w:line="440" w:lineRule="exact"/>
        <w:rPr>
          <w:szCs w:val="21"/>
          <w:highlight w:val="none"/>
        </w:rPr>
      </w:pPr>
    </w:p>
    <w:p>
      <w:pPr>
        <w:spacing w:line="440" w:lineRule="exact"/>
        <w:rPr>
          <w:szCs w:val="21"/>
          <w:highlight w:val="none"/>
        </w:rPr>
      </w:pPr>
      <w:r>
        <w:rPr>
          <w:szCs w:val="21"/>
          <w:highlight w:val="none"/>
        </w:rPr>
        <w:t xml:space="preserve">　 </w:t>
      </w:r>
    </w:p>
    <w:p>
      <w:pPr>
        <w:spacing w:line="440" w:lineRule="exact"/>
        <w:rPr>
          <w:szCs w:val="21"/>
          <w:highlight w:val="none"/>
        </w:rPr>
      </w:pPr>
    </w:p>
    <w:p>
      <w:pPr>
        <w:spacing w:line="440" w:lineRule="exact"/>
        <w:rPr>
          <w:szCs w:val="21"/>
          <w:highlight w:val="none"/>
        </w:rPr>
      </w:pPr>
    </w:p>
    <w:p>
      <w:pPr>
        <w:spacing w:line="440" w:lineRule="exact"/>
        <w:rPr>
          <w:szCs w:val="21"/>
          <w:highlight w:val="none"/>
        </w:rPr>
      </w:pPr>
    </w:p>
    <w:p>
      <w:pPr>
        <w:spacing w:line="440" w:lineRule="exact"/>
        <w:rPr>
          <w:szCs w:val="21"/>
          <w:highlight w:val="none"/>
        </w:rPr>
      </w:pPr>
    </w:p>
    <w:p>
      <w:pPr>
        <w:spacing w:line="440" w:lineRule="exact"/>
        <w:rPr>
          <w:szCs w:val="21"/>
          <w:highlight w:val="none"/>
        </w:rPr>
      </w:pPr>
      <w:r>
        <w:rPr>
          <w:szCs w:val="21"/>
          <w:highlight w:val="none"/>
        </w:rPr>
        <w:t>　　　　　　　　　　　　　　　投标人：（盖单位章）</w:t>
      </w:r>
    </w:p>
    <w:p>
      <w:pPr>
        <w:spacing w:line="440" w:lineRule="exact"/>
        <w:rPr>
          <w:szCs w:val="21"/>
          <w:highlight w:val="none"/>
        </w:rPr>
      </w:pPr>
      <w:r>
        <w:rPr>
          <w:szCs w:val="21"/>
          <w:highlight w:val="none"/>
        </w:rPr>
        <w:t>　　　　　　　　　　　　　　　</w:t>
      </w:r>
    </w:p>
    <w:p>
      <w:pPr>
        <w:spacing w:line="440" w:lineRule="exact"/>
        <w:rPr>
          <w:szCs w:val="21"/>
          <w:highlight w:val="none"/>
        </w:rPr>
      </w:pPr>
      <w:r>
        <w:rPr>
          <w:szCs w:val="21"/>
          <w:highlight w:val="none"/>
        </w:rPr>
        <w:t>　　　　　　　　　　　　　　　法定代表人</w:t>
      </w:r>
      <w:r>
        <w:rPr>
          <w:rFonts w:hint="eastAsia"/>
          <w:szCs w:val="21"/>
          <w:highlight w:val="none"/>
        </w:rPr>
        <w:t>（</w:t>
      </w:r>
      <w:r>
        <w:rPr>
          <w:szCs w:val="21"/>
          <w:highlight w:val="none"/>
        </w:rPr>
        <w:t>或其委托代理人</w:t>
      </w:r>
      <w:r>
        <w:rPr>
          <w:rFonts w:hint="eastAsia"/>
          <w:szCs w:val="21"/>
          <w:highlight w:val="none"/>
        </w:rPr>
        <w:t>）</w:t>
      </w:r>
      <w:r>
        <w:rPr>
          <w:szCs w:val="21"/>
          <w:highlight w:val="none"/>
        </w:rPr>
        <w:t>：（签字）</w:t>
      </w:r>
    </w:p>
    <w:p>
      <w:pPr>
        <w:spacing w:line="440" w:lineRule="exact"/>
        <w:rPr>
          <w:szCs w:val="21"/>
          <w:highlight w:val="none"/>
        </w:rPr>
      </w:pPr>
      <w:r>
        <w:rPr>
          <w:szCs w:val="21"/>
          <w:highlight w:val="none"/>
        </w:rPr>
        <w:t>　　　　　　　　　　　　　　　</w:t>
      </w:r>
    </w:p>
    <w:p>
      <w:pPr>
        <w:spacing w:line="440" w:lineRule="exact"/>
        <w:rPr>
          <w:szCs w:val="21"/>
          <w:highlight w:val="none"/>
        </w:rPr>
      </w:pPr>
      <w:r>
        <w:rPr>
          <w:szCs w:val="21"/>
          <w:highlight w:val="none"/>
        </w:rPr>
        <w:t>　　　　　　　　　　　　　　　        年月日</w:t>
      </w:r>
    </w:p>
    <w:p>
      <w:pPr>
        <w:spacing w:line="400" w:lineRule="exact"/>
        <w:rPr>
          <w:highlight w:val="none"/>
        </w:rPr>
      </w:pPr>
    </w:p>
    <w:p>
      <w:pPr>
        <w:spacing w:line="400" w:lineRule="exact"/>
        <w:rPr>
          <w:highlight w:val="none"/>
        </w:rPr>
      </w:pPr>
      <w:r>
        <w:rPr>
          <w:highlight w:val="none"/>
        </w:rPr>
        <w:br w:type="page"/>
      </w:r>
    </w:p>
    <w:p>
      <w:pPr>
        <w:pStyle w:val="4"/>
        <w:numPr>
          <w:ilvl w:val="0"/>
          <w:numId w:val="0"/>
        </w:numPr>
        <w:spacing w:before="120" w:after="120"/>
        <w:jc w:val="left"/>
        <w:rPr>
          <w:b w:val="0"/>
          <w:sz w:val="24"/>
          <w:szCs w:val="24"/>
          <w:highlight w:val="none"/>
        </w:rPr>
      </w:pPr>
      <w:bookmarkStart w:id="284" w:name="_Toc12299"/>
      <w:bookmarkStart w:id="285" w:name="_Toc3445"/>
      <w:bookmarkStart w:id="286" w:name="_Toc8433"/>
      <w:bookmarkStart w:id="287" w:name="_Toc27648"/>
      <w:bookmarkStart w:id="288" w:name="_Toc9415"/>
      <w:bookmarkStart w:id="289" w:name="_Toc2039"/>
      <w:bookmarkStart w:id="290" w:name="_Toc16203"/>
      <w:r>
        <w:rPr>
          <w:rFonts w:hint="eastAsia"/>
          <w:sz w:val="24"/>
          <w:szCs w:val="24"/>
          <w:highlight w:val="none"/>
        </w:rPr>
        <w:t>附件四：中标通知书</w:t>
      </w:r>
      <w:bookmarkEnd w:id="284"/>
      <w:bookmarkEnd w:id="285"/>
      <w:bookmarkEnd w:id="286"/>
      <w:bookmarkEnd w:id="287"/>
      <w:bookmarkEnd w:id="288"/>
      <w:bookmarkEnd w:id="289"/>
      <w:bookmarkEnd w:id="290"/>
    </w:p>
    <w:p>
      <w:pPr>
        <w:spacing w:line="400" w:lineRule="exact"/>
        <w:rPr>
          <w:highlight w:val="none"/>
        </w:rPr>
      </w:pPr>
    </w:p>
    <w:p>
      <w:pPr>
        <w:spacing w:line="400" w:lineRule="exact"/>
        <w:jc w:val="center"/>
        <w:rPr>
          <w:rFonts w:ascii="黑体" w:eastAsia="黑体"/>
          <w:sz w:val="28"/>
          <w:szCs w:val="28"/>
          <w:highlight w:val="none"/>
        </w:rPr>
      </w:pPr>
      <w:r>
        <w:rPr>
          <w:rFonts w:hint="eastAsia" w:ascii="黑体" w:eastAsia="黑体"/>
          <w:sz w:val="28"/>
          <w:szCs w:val="28"/>
          <w:highlight w:val="none"/>
        </w:rPr>
        <w:t>中标通知书</w:t>
      </w:r>
    </w:p>
    <w:p>
      <w:pPr>
        <w:spacing w:line="400" w:lineRule="exact"/>
        <w:rPr>
          <w:highlight w:val="none"/>
        </w:rPr>
      </w:pPr>
    </w:p>
    <w:p>
      <w:pPr>
        <w:spacing w:line="440" w:lineRule="exact"/>
        <w:rPr>
          <w:szCs w:val="21"/>
          <w:highlight w:val="none"/>
        </w:rPr>
      </w:pPr>
      <w:r>
        <w:rPr>
          <w:szCs w:val="21"/>
          <w:highlight w:val="none"/>
        </w:rPr>
        <w:t>（中标人名称）：</w:t>
      </w:r>
    </w:p>
    <w:p>
      <w:pPr>
        <w:spacing w:line="440" w:lineRule="exact"/>
        <w:rPr>
          <w:szCs w:val="21"/>
          <w:highlight w:val="none"/>
        </w:rPr>
      </w:pPr>
    </w:p>
    <w:p>
      <w:pPr>
        <w:spacing w:line="440" w:lineRule="exact"/>
        <w:rPr>
          <w:szCs w:val="21"/>
          <w:highlight w:val="none"/>
        </w:rPr>
      </w:pPr>
      <w:r>
        <w:rPr>
          <w:szCs w:val="21"/>
          <w:highlight w:val="none"/>
        </w:rPr>
        <w:t>　　你方于（投标日期）所递交的</w:t>
      </w:r>
      <w:r>
        <w:rPr>
          <w:rFonts w:hint="eastAsia"/>
          <w:color w:val="000000"/>
          <w:highlight w:val="none"/>
        </w:rPr>
        <w:t>佛山市恒益环保建材有限公司加气砌块生产辅助业务外委采购项目</w:t>
      </w:r>
      <w:r>
        <w:rPr>
          <w:rFonts w:hint="eastAsia"/>
          <w:szCs w:val="21"/>
          <w:highlight w:val="none"/>
        </w:rPr>
        <w:t>招标的</w:t>
      </w:r>
      <w:r>
        <w:rPr>
          <w:szCs w:val="21"/>
          <w:highlight w:val="none"/>
        </w:rPr>
        <w:t>投标文件已被我方接受，被确定为中标人。</w:t>
      </w:r>
    </w:p>
    <w:p>
      <w:pPr>
        <w:spacing w:line="440" w:lineRule="exact"/>
        <w:rPr>
          <w:szCs w:val="21"/>
          <w:highlight w:val="none"/>
        </w:rPr>
      </w:pPr>
      <w:r>
        <w:rPr>
          <w:rFonts w:hint="eastAsia"/>
          <w:szCs w:val="21"/>
          <w:highlight w:val="none"/>
        </w:rPr>
        <w:t xml:space="preserve">    中标价：（大写）    万  仟   佰   拾   元整（￥  元／立方米）</w:t>
      </w:r>
    </w:p>
    <w:p>
      <w:pPr>
        <w:spacing w:line="440" w:lineRule="exact"/>
        <w:ind w:firstLine="420" w:firstLineChars="200"/>
        <w:rPr>
          <w:szCs w:val="21"/>
          <w:highlight w:val="none"/>
        </w:rPr>
      </w:pPr>
    </w:p>
    <w:p>
      <w:pPr>
        <w:spacing w:line="440" w:lineRule="exact"/>
        <w:ind w:firstLine="420"/>
        <w:rPr>
          <w:szCs w:val="21"/>
          <w:highlight w:val="none"/>
        </w:rPr>
      </w:pPr>
      <w:r>
        <w:rPr>
          <w:szCs w:val="21"/>
          <w:highlight w:val="none"/>
        </w:rPr>
        <w:t>请你方在本通知书</w:t>
      </w:r>
      <w:r>
        <w:rPr>
          <w:rFonts w:hint="eastAsia"/>
          <w:szCs w:val="21"/>
          <w:highlight w:val="none"/>
        </w:rPr>
        <w:t>发出</w:t>
      </w:r>
      <w:r>
        <w:rPr>
          <w:szCs w:val="21"/>
          <w:highlight w:val="none"/>
        </w:rPr>
        <w:t>后的</w:t>
      </w:r>
      <w:r>
        <w:rPr>
          <w:rFonts w:hint="eastAsia"/>
          <w:szCs w:val="21"/>
          <w:highlight w:val="none"/>
          <w:u w:val="single"/>
        </w:rPr>
        <w:t>5个工作</w:t>
      </w:r>
      <w:r>
        <w:rPr>
          <w:szCs w:val="21"/>
          <w:highlight w:val="none"/>
        </w:rPr>
        <w:t>日内到</w:t>
      </w:r>
      <w:r>
        <w:rPr>
          <w:rFonts w:hint="eastAsia"/>
          <w:szCs w:val="21"/>
          <w:highlight w:val="none"/>
          <w:u w:val="single"/>
        </w:rPr>
        <w:t>佛山市恒益环保建材有限公司</w:t>
      </w:r>
      <w:r>
        <w:rPr>
          <w:szCs w:val="21"/>
          <w:highlight w:val="none"/>
        </w:rPr>
        <w:t>（指定地点）与我方</w:t>
      </w:r>
      <w:r>
        <w:rPr>
          <w:rFonts w:hint="eastAsia"/>
          <w:szCs w:val="21"/>
          <w:highlight w:val="none"/>
        </w:rPr>
        <w:t>签订合同，</w:t>
      </w:r>
      <w:r>
        <w:rPr>
          <w:rFonts w:hint="eastAsia" w:asciiTheme="minorEastAsia" w:hAnsiTheme="minorEastAsia" w:eastAsiaTheme="minorEastAsia"/>
          <w:szCs w:val="21"/>
          <w:highlight w:val="none"/>
        </w:rPr>
        <w:t>并于</w:t>
      </w:r>
      <w:r>
        <w:rPr>
          <w:rFonts w:hint="eastAsia"/>
          <w:szCs w:val="21"/>
          <w:highlight w:val="none"/>
        </w:rPr>
        <w:t>合同签订后5个工作日内</w:t>
      </w:r>
      <w:r>
        <w:rPr>
          <w:rFonts w:hint="eastAsia" w:asciiTheme="minorEastAsia" w:hAnsiTheme="minorEastAsia" w:eastAsiaTheme="minorEastAsia"/>
          <w:szCs w:val="21"/>
          <w:highlight w:val="none"/>
        </w:rPr>
        <w:t>将履约保证金</w:t>
      </w:r>
      <w:r>
        <w:rPr>
          <w:rFonts w:hint="eastAsia" w:ascii="宋体" w:hAnsi="宋体"/>
          <w:bCs/>
          <w:szCs w:val="21"/>
          <w:highlight w:val="none"/>
        </w:rPr>
        <w:t>以转账的方式汇入指定账户。</w:t>
      </w:r>
    </w:p>
    <w:p>
      <w:pPr>
        <w:spacing w:line="440" w:lineRule="exact"/>
        <w:ind w:firstLine="420"/>
        <w:rPr>
          <w:szCs w:val="21"/>
          <w:highlight w:val="none"/>
        </w:rPr>
      </w:pPr>
      <w:r>
        <w:rPr>
          <w:rFonts w:hint="eastAsia"/>
          <w:szCs w:val="21"/>
          <w:highlight w:val="none"/>
        </w:rPr>
        <w:t>随附的澄清、说明、补正事项纪要，是本中标通知书的组成部分。</w:t>
      </w:r>
    </w:p>
    <w:p>
      <w:pPr>
        <w:spacing w:line="440" w:lineRule="exact"/>
        <w:rPr>
          <w:szCs w:val="21"/>
          <w:highlight w:val="none"/>
        </w:rPr>
      </w:pPr>
      <w:r>
        <w:rPr>
          <w:szCs w:val="21"/>
          <w:highlight w:val="none"/>
        </w:rPr>
        <w:t>　　特此通知。</w:t>
      </w:r>
    </w:p>
    <w:p>
      <w:pPr>
        <w:spacing w:line="440" w:lineRule="exact"/>
        <w:ind w:firstLine="420" w:firstLineChars="200"/>
        <w:rPr>
          <w:szCs w:val="21"/>
          <w:highlight w:val="none"/>
        </w:rPr>
      </w:pPr>
      <w:r>
        <w:rPr>
          <w:rFonts w:hint="eastAsia"/>
          <w:szCs w:val="21"/>
          <w:highlight w:val="none"/>
        </w:rPr>
        <w:t>附：澄清、说明、补正事项纪要</w:t>
      </w:r>
    </w:p>
    <w:p>
      <w:pPr>
        <w:spacing w:line="440" w:lineRule="exact"/>
        <w:rPr>
          <w:szCs w:val="21"/>
          <w:highlight w:val="none"/>
        </w:rPr>
      </w:pPr>
    </w:p>
    <w:p>
      <w:pPr>
        <w:spacing w:line="440" w:lineRule="exact"/>
        <w:rPr>
          <w:szCs w:val="21"/>
          <w:highlight w:val="none"/>
        </w:rPr>
      </w:pPr>
    </w:p>
    <w:p>
      <w:pPr>
        <w:spacing w:line="540" w:lineRule="exact"/>
        <w:ind w:firstLine="3238" w:firstLineChars="1542"/>
        <w:rPr>
          <w:szCs w:val="21"/>
          <w:highlight w:val="none"/>
        </w:rPr>
      </w:pPr>
      <w:r>
        <w:rPr>
          <w:szCs w:val="21"/>
          <w:highlight w:val="none"/>
        </w:rPr>
        <w:t xml:space="preserve">招标人：（盖单位章）            </w:t>
      </w:r>
    </w:p>
    <w:p>
      <w:pPr>
        <w:spacing w:line="540" w:lineRule="exact"/>
        <w:ind w:firstLine="3238" w:firstLineChars="1542"/>
        <w:rPr>
          <w:szCs w:val="21"/>
          <w:highlight w:val="none"/>
        </w:rPr>
      </w:pPr>
      <w:r>
        <w:rPr>
          <w:szCs w:val="21"/>
          <w:highlight w:val="none"/>
        </w:rPr>
        <w:t>法定代表人</w:t>
      </w:r>
      <w:r>
        <w:rPr>
          <w:rFonts w:hint="eastAsia"/>
          <w:szCs w:val="21"/>
          <w:highlight w:val="none"/>
        </w:rPr>
        <w:t>（或其授权委托人）</w:t>
      </w:r>
      <w:r>
        <w:rPr>
          <w:szCs w:val="21"/>
          <w:highlight w:val="none"/>
        </w:rPr>
        <w:t>：（签字）</w:t>
      </w:r>
    </w:p>
    <w:p>
      <w:pPr>
        <w:spacing w:line="540" w:lineRule="exact"/>
        <w:ind w:firstLine="3863" w:firstLineChars="1840"/>
        <w:rPr>
          <w:szCs w:val="21"/>
          <w:highlight w:val="none"/>
        </w:rPr>
      </w:pPr>
      <w:r>
        <w:rPr>
          <w:szCs w:val="21"/>
          <w:highlight w:val="none"/>
        </w:rPr>
        <w:t>年月日</w:t>
      </w:r>
    </w:p>
    <w:p>
      <w:pPr>
        <w:spacing w:line="400" w:lineRule="exact"/>
        <w:rPr>
          <w:highlight w:val="none"/>
        </w:rPr>
      </w:pPr>
    </w:p>
    <w:p>
      <w:pPr>
        <w:spacing w:line="400" w:lineRule="exact"/>
        <w:rPr>
          <w:highlight w:val="none"/>
        </w:rPr>
      </w:pPr>
      <w:r>
        <w:rPr>
          <w:highlight w:val="none"/>
        </w:rPr>
        <w:br w:type="page"/>
      </w:r>
    </w:p>
    <w:p>
      <w:pPr>
        <w:pStyle w:val="4"/>
        <w:numPr>
          <w:ilvl w:val="0"/>
          <w:numId w:val="0"/>
        </w:numPr>
        <w:spacing w:before="120" w:after="120"/>
        <w:jc w:val="left"/>
        <w:rPr>
          <w:b w:val="0"/>
          <w:sz w:val="24"/>
          <w:szCs w:val="24"/>
          <w:highlight w:val="none"/>
        </w:rPr>
      </w:pPr>
      <w:bookmarkStart w:id="291" w:name="_Toc28624"/>
      <w:bookmarkStart w:id="292" w:name="_Toc19806"/>
      <w:bookmarkStart w:id="293" w:name="_Toc27939"/>
      <w:bookmarkStart w:id="294" w:name="_Toc14518"/>
      <w:bookmarkStart w:id="295" w:name="_Toc27161"/>
      <w:bookmarkStart w:id="296" w:name="_Toc19577"/>
      <w:bookmarkStart w:id="297" w:name="_Toc23385"/>
      <w:r>
        <w:rPr>
          <w:rFonts w:hint="eastAsia"/>
          <w:sz w:val="24"/>
          <w:szCs w:val="24"/>
          <w:highlight w:val="none"/>
        </w:rPr>
        <w:t>附件五：确认通知</w:t>
      </w:r>
      <w:bookmarkEnd w:id="291"/>
      <w:bookmarkEnd w:id="292"/>
      <w:bookmarkEnd w:id="293"/>
      <w:bookmarkEnd w:id="294"/>
      <w:bookmarkEnd w:id="295"/>
      <w:bookmarkEnd w:id="296"/>
      <w:bookmarkEnd w:id="297"/>
    </w:p>
    <w:p>
      <w:pPr>
        <w:spacing w:line="400" w:lineRule="exact"/>
        <w:rPr>
          <w:highlight w:val="none"/>
        </w:rPr>
      </w:pPr>
    </w:p>
    <w:p>
      <w:pPr>
        <w:spacing w:line="400" w:lineRule="exact"/>
        <w:jc w:val="center"/>
        <w:rPr>
          <w:rFonts w:ascii="黑体" w:eastAsia="黑体"/>
          <w:sz w:val="28"/>
          <w:szCs w:val="28"/>
          <w:highlight w:val="none"/>
        </w:rPr>
      </w:pPr>
      <w:r>
        <w:rPr>
          <w:rFonts w:hint="eastAsia" w:ascii="黑体" w:eastAsia="黑体"/>
          <w:sz w:val="28"/>
          <w:szCs w:val="28"/>
          <w:highlight w:val="none"/>
        </w:rPr>
        <w:t>确认通知</w:t>
      </w:r>
    </w:p>
    <w:p>
      <w:pPr>
        <w:spacing w:line="400" w:lineRule="exact"/>
        <w:rPr>
          <w:highlight w:val="none"/>
        </w:rPr>
      </w:pPr>
    </w:p>
    <w:p>
      <w:pPr>
        <w:spacing w:line="440" w:lineRule="exact"/>
        <w:ind w:firstLine="420" w:firstLineChars="200"/>
        <w:rPr>
          <w:szCs w:val="21"/>
          <w:highlight w:val="none"/>
        </w:rPr>
      </w:pPr>
      <w:r>
        <w:rPr>
          <w:rFonts w:hint="eastAsia"/>
          <w:szCs w:val="21"/>
          <w:highlight w:val="none"/>
        </w:rPr>
        <w:t>佛山市恒益环保建材有限公司：</w:t>
      </w:r>
    </w:p>
    <w:p>
      <w:pPr>
        <w:spacing w:line="440" w:lineRule="exact"/>
        <w:rPr>
          <w:szCs w:val="21"/>
          <w:highlight w:val="none"/>
        </w:rPr>
      </w:pPr>
      <w:r>
        <w:rPr>
          <w:szCs w:val="21"/>
          <w:highlight w:val="none"/>
        </w:rPr>
        <w:t>　　</w:t>
      </w:r>
    </w:p>
    <w:p>
      <w:pPr>
        <w:spacing w:line="440" w:lineRule="exact"/>
        <w:ind w:firstLine="840" w:firstLineChars="400"/>
        <w:rPr>
          <w:szCs w:val="21"/>
          <w:highlight w:val="none"/>
        </w:rPr>
      </w:pPr>
      <w:r>
        <w:rPr>
          <w:szCs w:val="21"/>
          <w:highlight w:val="none"/>
        </w:rPr>
        <w:t>你方</w:t>
      </w:r>
      <w:r>
        <w:rPr>
          <w:rFonts w:hint="eastAsia"/>
          <w:szCs w:val="21"/>
          <w:highlight w:val="none"/>
        </w:rPr>
        <w:t>于</w:t>
      </w:r>
      <w:r>
        <w:rPr>
          <w:szCs w:val="21"/>
          <w:highlight w:val="none"/>
        </w:rPr>
        <w:t>年 月日发出的</w:t>
      </w:r>
      <w:r>
        <w:rPr>
          <w:rFonts w:hint="eastAsia"/>
          <w:color w:val="000000"/>
          <w:highlight w:val="none"/>
        </w:rPr>
        <w:t>佛山市恒益环保建材有限公司加气砌块生产辅助业务外委采购项目</w:t>
      </w:r>
      <w:r>
        <w:rPr>
          <w:szCs w:val="21"/>
          <w:highlight w:val="none"/>
        </w:rPr>
        <w:t>关于的通知，我方已于年月日收到。</w:t>
      </w:r>
    </w:p>
    <w:p>
      <w:pPr>
        <w:spacing w:line="440" w:lineRule="exact"/>
        <w:rPr>
          <w:szCs w:val="21"/>
          <w:highlight w:val="none"/>
        </w:rPr>
      </w:pPr>
      <w:r>
        <w:rPr>
          <w:szCs w:val="21"/>
          <w:highlight w:val="none"/>
        </w:rPr>
        <w:t>　　特此确认。</w:t>
      </w:r>
    </w:p>
    <w:p>
      <w:pPr>
        <w:spacing w:line="440" w:lineRule="exact"/>
        <w:rPr>
          <w:szCs w:val="21"/>
          <w:highlight w:val="none"/>
        </w:rPr>
      </w:pPr>
    </w:p>
    <w:p>
      <w:pPr>
        <w:spacing w:line="440" w:lineRule="exact"/>
        <w:rPr>
          <w:szCs w:val="21"/>
          <w:highlight w:val="none"/>
        </w:rPr>
      </w:pPr>
    </w:p>
    <w:p>
      <w:pPr>
        <w:spacing w:line="440" w:lineRule="exact"/>
        <w:rPr>
          <w:szCs w:val="21"/>
          <w:highlight w:val="none"/>
        </w:rPr>
      </w:pPr>
      <w:r>
        <w:rPr>
          <w:szCs w:val="21"/>
          <w:highlight w:val="none"/>
        </w:rPr>
        <w:t xml:space="preserve">                              投标人： （盖单位章）</w:t>
      </w:r>
    </w:p>
    <w:p>
      <w:pPr>
        <w:spacing w:line="440" w:lineRule="exact"/>
        <w:rPr>
          <w:szCs w:val="21"/>
          <w:highlight w:val="none"/>
        </w:rPr>
      </w:pPr>
    </w:p>
    <w:p>
      <w:pPr>
        <w:spacing w:line="440" w:lineRule="exact"/>
        <w:rPr>
          <w:highlight w:val="none"/>
        </w:rPr>
      </w:pPr>
      <w:r>
        <w:rPr>
          <w:highlight w:val="none"/>
        </w:rPr>
        <w:t>年月日</w:t>
      </w:r>
    </w:p>
    <w:p>
      <w:pPr>
        <w:spacing w:line="440" w:lineRule="exact"/>
        <w:rPr>
          <w:highlight w:val="none"/>
        </w:rPr>
      </w:pPr>
    </w:p>
    <w:p>
      <w:pPr>
        <w:spacing w:line="440" w:lineRule="exact"/>
        <w:rPr>
          <w:highlight w:val="none"/>
        </w:rPr>
      </w:pPr>
    </w:p>
    <w:p>
      <w:pPr>
        <w:spacing w:line="440" w:lineRule="exact"/>
        <w:rPr>
          <w:highlight w:val="none"/>
        </w:rPr>
      </w:pPr>
    </w:p>
    <w:p>
      <w:pPr>
        <w:spacing w:line="440" w:lineRule="exact"/>
        <w:rPr>
          <w:highlight w:val="none"/>
        </w:rPr>
      </w:pPr>
    </w:p>
    <w:p>
      <w:pPr>
        <w:spacing w:line="440" w:lineRule="exact"/>
        <w:rPr>
          <w:highlight w:val="none"/>
        </w:rPr>
      </w:pPr>
    </w:p>
    <w:p>
      <w:pPr>
        <w:spacing w:line="440" w:lineRule="exact"/>
        <w:rPr>
          <w:highlight w:val="none"/>
        </w:rPr>
      </w:pPr>
    </w:p>
    <w:p>
      <w:pPr>
        <w:spacing w:line="440" w:lineRule="exact"/>
        <w:rPr>
          <w:highlight w:val="none"/>
        </w:rPr>
      </w:pPr>
    </w:p>
    <w:p>
      <w:pPr>
        <w:spacing w:line="440" w:lineRule="exact"/>
        <w:rPr>
          <w:highlight w:val="none"/>
        </w:rPr>
      </w:pPr>
    </w:p>
    <w:p>
      <w:pPr>
        <w:spacing w:line="440" w:lineRule="exact"/>
        <w:rPr>
          <w:highlight w:val="none"/>
        </w:rPr>
      </w:pPr>
    </w:p>
    <w:p>
      <w:pPr>
        <w:spacing w:line="440" w:lineRule="exact"/>
        <w:rPr>
          <w:highlight w:val="none"/>
        </w:rPr>
      </w:pPr>
    </w:p>
    <w:p>
      <w:pPr>
        <w:spacing w:line="440" w:lineRule="exact"/>
        <w:rPr>
          <w:highlight w:val="none"/>
        </w:rPr>
      </w:pPr>
    </w:p>
    <w:p>
      <w:pPr>
        <w:spacing w:line="440" w:lineRule="exact"/>
        <w:rPr>
          <w:highlight w:val="none"/>
        </w:rPr>
      </w:pPr>
    </w:p>
    <w:p>
      <w:pPr>
        <w:spacing w:line="440" w:lineRule="exact"/>
        <w:rPr>
          <w:highlight w:val="none"/>
        </w:rPr>
      </w:pPr>
    </w:p>
    <w:p>
      <w:pPr>
        <w:spacing w:line="440" w:lineRule="exact"/>
        <w:rPr>
          <w:highlight w:val="none"/>
        </w:rPr>
      </w:pPr>
    </w:p>
    <w:p>
      <w:pPr>
        <w:spacing w:line="440" w:lineRule="exact"/>
        <w:rPr>
          <w:highlight w:val="none"/>
        </w:rPr>
      </w:pPr>
    </w:p>
    <w:p>
      <w:pPr>
        <w:pStyle w:val="2"/>
        <w:keepNext w:val="0"/>
        <w:keepLines w:val="0"/>
        <w:adjustRightInd w:val="0"/>
        <w:snapToGrid w:val="0"/>
        <w:spacing w:before="0" w:after="0" w:line="360" w:lineRule="auto"/>
        <w:jc w:val="center"/>
        <w:rPr>
          <w:highlight w:val="none"/>
        </w:rPr>
      </w:pPr>
      <w:r>
        <w:rPr>
          <w:highlight w:val="none"/>
        </w:rPr>
        <w:br w:type="page"/>
      </w:r>
      <w:bookmarkStart w:id="298" w:name="_Toc488957705"/>
      <w:bookmarkStart w:id="299" w:name="_Toc423602830"/>
    </w:p>
    <w:p>
      <w:pPr>
        <w:pStyle w:val="2"/>
        <w:keepNext w:val="0"/>
        <w:keepLines w:val="0"/>
        <w:adjustRightInd w:val="0"/>
        <w:snapToGrid w:val="0"/>
        <w:spacing w:before="0" w:after="0" w:line="360" w:lineRule="auto"/>
        <w:jc w:val="cente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pStyle w:val="2"/>
        <w:keepNext w:val="0"/>
        <w:keepLines w:val="0"/>
        <w:adjustRightInd w:val="0"/>
        <w:snapToGrid w:val="0"/>
        <w:spacing w:before="0" w:after="0" w:line="360" w:lineRule="auto"/>
        <w:jc w:val="center"/>
        <w:rPr>
          <w:sz w:val="36"/>
          <w:szCs w:val="36"/>
          <w:highlight w:val="none"/>
        </w:rPr>
      </w:pPr>
      <w:bookmarkStart w:id="300" w:name="_Toc14090"/>
      <w:bookmarkStart w:id="301" w:name="_Toc32597"/>
      <w:bookmarkStart w:id="302" w:name="_Toc18686"/>
      <w:bookmarkStart w:id="303" w:name="_Toc24584"/>
      <w:bookmarkStart w:id="304" w:name="_Toc29102"/>
      <w:r>
        <w:rPr>
          <w:rFonts w:hint="eastAsia"/>
          <w:sz w:val="36"/>
          <w:szCs w:val="36"/>
          <w:highlight w:val="none"/>
        </w:rPr>
        <w:t>第三章 开标、评标及定标办法</w:t>
      </w:r>
      <w:bookmarkEnd w:id="298"/>
      <w:bookmarkEnd w:id="299"/>
      <w:bookmarkEnd w:id="300"/>
      <w:bookmarkEnd w:id="301"/>
      <w:bookmarkEnd w:id="302"/>
      <w:bookmarkEnd w:id="303"/>
      <w:bookmarkEnd w:id="304"/>
    </w:p>
    <w:p>
      <w:pPr>
        <w:pStyle w:val="3"/>
        <w:keepNext w:val="0"/>
        <w:keepLines w:val="0"/>
        <w:numPr>
          <w:ilvl w:val="0"/>
          <w:numId w:val="0"/>
        </w:numPr>
        <w:snapToGrid w:val="0"/>
        <w:spacing w:before="0" w:after="0" w:line="360" w:lineRule="auto"/>
        <w:ind w:firstLine="3233" w:firstLineChars="1150"/>
        <w:jc w:val="both"/>
        <w:rPr>
          <w:color w:val="000000"/>
          <w:sz w:val="28"/>
          <w:szCs w:val="28"/>
          <w:highlight w:val="none"/>
        </w:rPr>
      </w:pPr>
    </w:p>
    <w:p>
      <w:pPr>
        <w:pStyle w:val="3"/>
        <w:keepNext w:val="0"/>
        <w:keepLines w:val="0"/>
        <w:numPr>
          <w:ilvl w:val="0"/>
          <w:numId w:val="0"/>
        </w:numPr>
        <w:snapToGrid w:val="0"/>
        <w:spacing w:before="0" w:after="0" w:line="360" w:lineRule="auto"/>
        <w:ind w:firstLine="3233" w:firstLineChars="1150"/>
        <w:jc w:val="both"/>
        <w:rPr>
          <w:color w:val="000000"/>
          <w:sz w:val="28"/>
          <w:szCs w:val="28"/>
          <w:highlight w:val="none"/>
        </w:rPr>
      </w:pPr>
    </w:p>
    <w:p>
      <w:pPr>
        <w:pStyle w:val="3"/>
        <w:keepNext w:val="0"/>
        <w:keepLines w:val="0"/>
        <w:numPr>
          <w:ilvl w:val="0"/>
          <w:numId w:val="0"/>
        </w:numPr>
        <w:snapToGrid w:val="0"/>
        <w:spacing w:before="0" w:after="0" w:line="360" w:lineRule="auto"/>
        <w:ind w:firstLine="3233" w:firstLineChars="1150"/>
        <w:jc w:val="both"/>
        <w:rPr>
          <w:color w:val="000000"/>
          <w:sz w:val="28"/>
          <w:szCs w:val="28"/>
          <w:highlight w:val="none"/>
        </w:rPr>
      </w:pPr>
    </w:p>
    <w:p>
      <w:pPr>
        <w:pStyle w:val="3"/>
        <w:keepNext w:val="0"/>
        <w:keepLines w:val="0"/>
        <w:numPr>
          <w:ilvl w:val="0"/>
          <w:numId w:val="0"/>
        </w:numPr>
        <w:snapToGrid w:val="0"/>
        <w:spacing w:before="0" w:after="0" w:line="360" w:lineRule="auto"/>
        <w:ind w:firstLine="3233" w:firstLineChars="1150"/>
        <w:jc w:val="both"/>
        <w:rPr>
          <w:color w:val="000000"/>
          <w:sz w:val="28"/>
          <w:szCs w:val="28"/>
          <w:highlight w:val="none"/>
        </w:rPr>
      </w:pPr>
    </w:p>
    <w:p>
      <w:pPr>
        <w:pStyle w:val="3"/>
        <w:keepNext w:val="0"/>
        <w:keepLines w:val="0"/>
        <w:numPr>
          <w:ilvl w:val="0"/>
          <w:numId w:val="0"/>
        </w:numPr>
        <w:snapToGrid w:val="0"/>
        <w:spacing w:before="0" w:after="0" w:line="360" w:lineRule="auto"/>
        <w:ind w:firstLine="3233" w:firstLineChars="1150"/>
        <w:jc w:val="both"/>
        <w:rPr>
          <w:color w:val="000000"/>
          <w:sz w:val="28"/>
          <w:szCs w:val="28"/>
          <w:highlight w:val="none"/>
        </w:rPr>
      </w:pPr>
    </w:p>
    <w:p>
      <w:pPr>
        <w:pStyle w:val="3"/>
        <w:keepNext w:val="0"/>
        <w:keepLines w:val="0"/>
        <w:numPr>
          <w:ilvl w:val="0"/>
          <w:numId w:val="0"/>
        </w:numPr>
        <w:snapToGrid w:val="0"/>
        <w:spacing w:before="0" w:after="0" w:line="360" w:lineRule="auto"/>
        <w:ind w:firstLine="3233" w:firstLineChars="1150"/>
        <w:jc w:val="both"/>
        <w:rPr>
          <w:color w:val="000000"/>
          <w:sz w:val="28"/>
          <w:szCs w:val="28"/>
          <w:highlight w:val="none"/>
        </w:rPr>
      </w:pPr>
    </w:p>
    <w:p>
      <w:pPr>
        <w:pStyle w:val="3"/>
        <w:keepNext w:val="0"/>
        <w:keepLines w:val="0"/>
        <w:numPr>
          <w:ilvl w:val="0"/>
          <w:numId w:val="0"/>
        </w:numPr>
        <w:snapToGrid w:val="0"/>
        <w:spacing w:before="0" w:after="0" w:line="360" w:lineRule="auto"/>
        <w:ind w:firstLine="3233" w:firstLineChars="1150"/>
        <w:jc w:val="both"/>
        <w:rPr>
          <w:color w:val="000000"/>
          <w:sz w:val="28"/>
          <w:szCs w:val="28"/>
          <w:highlight w:val="none"/>
        </w:rPr>
      </w:pPr>
    </w:p>
    <w:p>
      <w:pPr>
        <w:pStyle w:val="3"/>
        <w:keepNext w:val="0"/>
        <w:keepLines w:val="0"/>
        <w:numPr>
          <w:ilvl w:val="0"/>
          <w:numId w:val="0"/>
        </w:numPr>
        <w:snapToGrid w:val="0"/>
        <w:spacing w:before="0" w:after="0" w:line="360" w:lineRule="auto"/>
        <w:ind w:firstLine="3233" w:firstLineChars="1150"/>
        <w:jc w:val="both"/>
        <w:rPr>
          <w:color w:val="000000"/>
          <w:sz w:val="28"/>
          <w:szCs w:val="28"/>
          <w:highlight w:val="none"/>
        </w:rPr>
      </w:pPr>
    </w:p>
    <w:p>
      <w:pPr>
        <w:pStyle w:val="3"/>
        <w:keepNext w:val="0"/>
        <w:keepLines w:val="0"/>
        <w:numPr>
          <w:ilvl w:val="0"/>
          <w:numId w:val="0"/>
        </w:numPr>
        <w:snapToGrid w:val="0"/>
        <w:spacing w:before="0" w:after="0" w:line="360" w:lineRule="auto"/>
        <w:ind w:firstLine="3233" w:firstLineChars="1150"/>
        <w:jc w:val="both"/>
        <w:rPr>
          <w:color w:val="000000"/>
          <w:sz w:val="28"/>
          <w:szCs w:val="28"/>
          <w:highlight w:val="none"/>
        </w:rPr>
      </w:pPr>
    </w:p>
    <w:p>
      <w:pPr>
        <w:pStyle w:val="3"/>
        <w:keepNext w:val="0"/>
        <w:keepLines w:val="0"/>
        <w:numPr>
          <w:ilvl w:val="0"/>
          <w:numId w:val="0"/>
        </w:numPr>
        <w:snapToGrid w:val="0"/>
        <w:spacing w:before="0" w:after="0" w:line="360" w:lineRule="auto"/>
        <w:ind w:firstLine="3233" w:firstLineChars="1150"/>
        <w:jc w:val="both"/>
        <w:rPr>
          <w:color w:val="000000"/>
          <w:sz w:val="28"/>
          <w:szCs w:val="28"/>
          <w:highlight w:val="none"/>
        </w:rPr>
      </w:pPr>
    </w:p>
    <w:p>
      <w:pPr>
        <w:pStyle w:val="3"/>
        <w:keepNext w:val="0"/>
        <w:keepLines w:val="0"/>
        <w:numPr>
          <w:ilvl w:val="0"/>
          <w:numId w:val="0"/>
        </w:numPr>
        <w:snapToGrid w:val="0"/>
        <w:spacing w:before="0" w:after="0" w:line="360" w:lineRule="auto"/>
        <w:ind w:firstLine="3233" w:firstLineChars="1150"/>
        <w:jc w:val="both"/>
        <w:rPr>
          <w:color w:val="000000"/>
          <w:sz w:val="28"/>
          <w:szCs w:val="28"/>
          <w:highlight w:val="none"/>
        </w:rPr>
      </w:pPr>
    </w:p>
    <w:p>
      <w:pPr>
        <w:pStyle w:val="3"/>
        <w:keepNext w:val="0"/>
        <w:keepLines w:val="0"/>
        <w:numPr>
          <w:ilvl w:val="0"/>
          <w:numId w:val="0"/>
        </w:numPr>
        <w:snapToGrid w:val="0"/>
        <w:spacing w:before="0" w:after="0" w:line="360" w:lineRule="auto"/>
        <w:ind w:firstLine="3233" w:firstLineChars="1150"/>
        <w:jc w:val="both"/>
        <w:rPr>
          <w:color w:val="000000"/>
          <w:sz w:val="28"/>
          <w:szCs w:val="28"/>
          <w:highlight w:val="none"/>
        </w:rPr>
      </w:pPr>
    </w:p>
    <w:p>
      <w:pPr>
        <w:pStyle w:val="3"/>
        <w:keepNext w:val="0"/>
        <w:keepLines w:val="0"/>
        <w:numPr>
          <w:ilvl w:val="0"/>
          <w:numId w:val="0"/>
        </w:numPr>
        <w:snapToGrid w:val="0"/>
        <w:spacing w:before="0" w:after="0" w:line="360" w:lineRule="auto"/>
        <w:ind w:firstLine="3233" w:firstLineChars="1150"/>
        <w:jc w:val="both"/>
        <w:rPr>
          <w:color w:val="000000"/>
          <w:sz w:val="28"/>
          <w:szCs w:val="28"/>
          <w:highlight w:val="none"/>
        </w:rPr>
      </w:pPr>
    </w:p>
    <w:p>
      <w:pPr>
        <w:pStyle w:val="3"/>
        <w:keepNext w:val="0"/>
        <w:keepLines w:val="0"/>
        <w:numPr>
          <w:ilvl w:val="0"/>
          <w:numId w:val="0"/>
        </w:numPr>
        <w:snapToGrid w:val="0"/>
        <w:spacing w:before="0" w:after="0" w:line="360" w:lineRule="auto"/>
        <w:ind w:firstLine="3233" w:firstLineChars="1150"/>
        <w:jc w:val="both"/>
        <w:rPr>
          <w:color w:val="000000"/>
          <w:sz w:val="28"/>
          <w:szCs w:val="28"/>
          <w:highlight w:val="none"/>
        </w:rPr>
      </w:pPr>
    </w:p>
    <w:p>
      <w:pPr>
        <w:pStyle w:val="3"/>
        <w:keepNext w:val="0"/>
        <w:keepLines w:val="0"/>
        <w:numPr>
          <w:ilvl w:val="0"/>
          <w:numId w:val="0"/>
        </w:numPr>
        <w:snapToGrid w:val="0"/>
        <w:spacing w:before="0" w:after="0" w:line="360" w:lineRule="auto"/>
        <w:ind w:firstLine="3233" w:firstLineChars="1150"/>
        <w:jc w:val="both"/>
        <w:rPr>
          <w:color w:val="000000"/>
          <w:sz w:val="28"/>
          <w:szCs w:val="28"/>
          <w:highlight w:val="none"/>
        </w:rPr>
      </w:pPr>
    </w:p>
    <w:p>
      <w:pPr>
        <w:pStyle w:val="3"/>
        <w:keepNext w:val="0"/>
        <w:keepLines w:val="0"/>
        <w:numPr>
          <w:ilvl w:val="0"/>
          <w:numId w:val="0"/>
        </w:numPr>
        <w:snapToGrid w:val="0"/>
        <w:spacing w:before="0" w:after="0" w:line="360" w:lineRule="auto"/>
        <w:ind w:firstLine="3233" w:firstLineChars="1150"/>
        <w:jc w:val="both"/>
        <w:rPr>
          <w:color w:val="000000"/>
          <w:sz w:val="28"/>
          <w:szCs w:val="28"/>
          <w:highlight w:val="none"/>
        </w:rPr>
      </w:pPr>
    </w:p>
    <w:p>
      <w:pPr>
        <w:pStyle w:val="3"/>
        <w:keepNext w:val="0"/>
        <w:keepLines w:val="0"/>
        <w:numPr>
          <w:ilvl w:val="0"/>
          <w:numId w:val="0"/>
        </w:numPr>
        <w:snapToGrid w:val="0"/>
        <w:spacing w:before="0" w:after="0" w:line="360" w:lineRule="auto"/>
        <w:ind w:firstLine="3233" w:firstLineChars="1150"/>
        <w:jc w:val="both"/>
        <w:rPr>
          <w:color w:val="000000"/>
          <w:sz w:val="28"/>
          <w:szCs w:val="28"/>
          <w:highlight w:val="none"/>
        </w:rPr>
      </w:pPr>
    </w:p>
    <w:p>
      <w:pPr>
        <w:pStyle w:val="3"/>
        <w:keepNext w:val="0"/>
        <w:keepLines w:val="0"/>
        <w:numPr>
          <w:ilvl w:val="0"/>
          <w:numId w:val="0"/>
        </w:numPr>
        <w:snapToGrid w:val="0"/>
        <w:spacing w:before="0" w:after="0" w:line="360" w:lineRule="auto"/>
        <w:rPr>
          <w:bCs/>
          <w:color w:val="000000"/>
          <w:sz w:val="28"/>
          <w:szCs w:val="28"/>
          <w:highlight w:val="none"/>
        </w:rPr>
      </w:pPr>
      <w:bookmarkStart w:id="305" w:name="_Toc21328"/>
      <w:bookmarkStart w:id="306" w:name="_Toc16256"/>
      <w:bookmarkStart w:id="307" w:name="_Toc30618"/>
      <w:bookmarkStart w:id="308" w:name="_Toc8915"/>
      <w:bookmarkStart w:id="309" w:name="_Toc8067"/>
      <w:r>
        <w:rPr>
          <w:rFonts w:hint="eastAsia"/>
          <w:color w:val="000000"/>
          <w:sz w:val="28"/>
          <w:szCs w:val="28"/>
          <w:highlight w:val="none"/>
        </w:rPr>
        <w:t>一、总则</w:t>
      </w:r>
      <w:bookmarkEnd w:id="305"/>
      <w:bookmarkEnd w:id="306"/>
      <w:bookmarkEnd w:id="307"/>
      <w:bookmarkEnd w:id="308"/>
      <w:bookmarkEnd w:id="309"/>
    </w:p>
    <w:p>
      <w:pPr>
        <w:pStyle w:val="3"/>
        <w:keepNext w:val="0"/>
        <w:keepLines w:val="0"/>
        <w:numPr>
          <w:ilvl w:val="0"/>
          <w:numId w:val="0"/>
        </w:numPr>
        <w:snapToGrid w:val="0"/>
        <w:spacing w:after="120" w:line="360" w:lineRule="auto"/>
        <w:ind w:left="840" w:hanging="420"/>
        <w:jc w:val="left"/>
        <w:rPr>
          <w:rFonts w:asciiTheme="minorEastAsia" w:hAnsiTheme="minorEastAsia" w:eastAsiaTheme="minorEastAsia"/>
          <w:bCs/>
          <w:color w:val="000000"/>
          <w:sz w:val="21"/>
          <w:szCs w:val="21"/>
          <w:highlight w:val="none"/>
        </w:rPr>
      </w:pPr>
      <w:bookmarkStart w:id="310" w:name="_Toc20228"/>
      <w:bookmarkStart w:id="311" w:name="_Toc9364"/>
      <w:bookmarkStart w:id="312" w:name="_Toc10170"/>
      <w:bookmarkStart w:id="313" w:name="_Toc29488"/>
      <w:bookmarkStart w:id="314" w:name="_Toc28332"/>
      <w:r>
        <w:rPr>
          <w:rFonts w:hint="eastAsia" w:asciiTheme="minorEastAsia" w:hAnsiTheme="minorEastAsia" w:eastAsiaTheme="minorEastAsia"/>
          <w:color w:val="000000"/>
          <w:sz w:val="21"/>
          <w:szCs w:val="21"/>
          <w:highlight w:val="none"/>
        </w:rPr>
        <w:t>1.开标、评标及定标所依据的规则</w:t>
      </w:r>
      <w:bookmarkEnd w:id="310"/>
      <w:bookmarkEnd w:id="311"/>
      <w:bookmarkEnd w:id="312"/>
      <w:bookmarkEnd w:id="313"/>
      <w:bookmarkEnd w:id="314"/>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 </w:t>
      </w:r>
      <w:r>
        <w:rPr>
          <w:rFonts w:hint="eastAsia" w:asciiTheme="minorEastAsia" w:hAnsiTheme="minorEastAsia" w:eastAsiaTheme="minorEastAsia"/>
          <w:szCs w:val="21"/>
          <w:highlight w:val="none"/>
        </w:rPr>
        <w:t>《中华人民共和国招标投标法》；</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1.2《中华人民共和国招标投标法实施条例》；</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1.3《评标委员会和评标方法暂行规定》（七部委第12号令）；</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1.4《广东省实施〈中华人民共和国招标投标法〉办法》；</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1.5《工程建设项目货物招标投标办法</w:t>
      </w:r>
      <w:r>
        <w:rPr>
          <w:rFonts w:hint="eastAsia" w:asciiTheme="minorEastAsia" w:hAnsiTheme="minorEastAsia" w:eastAsiaTheme="minorEastAsia"/>
          <w:szCs w:val="21"/>
          <w:highlight w:val="none"/>
        </w:rPr>
        <w:t>》（七部委第</w:t>
      </w:r>
      <w:r>
        <w:rPr>
          <w:rFonts w:asciiTheme="minorEastAsia" w:hAnsiTheme="minorEastAsia" w:eastAsiaTheme="minorEastAsia"/>
          <w:szCs w:val="21"/>
          <w:highlight w:val="none"/>
        </w:rPr>
        <w:t>27号令）；</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1.6《广东省加强建设工程招标投标监督管理的若干规定》；</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1.7本项目招标文件。 </w:t>
      </w:r>
    </w:p>
    <w:p>
      <w:pPr>
        <w:pStyle w:val="3"/>
        <w:numPr>
          <w:ilvl w:val="0"/>
          <w:numId w:val="0"/>
        </w:numPr>
        <w:snapToGrid w:val="0"/>
        <w:spacing w:after="120" w:line="360" w:lineRule="auto"/>
        <w:ind w:left="454"/>
        <w:jc w:val="left"/>
        <w:rPr>
          <w:rFonts w:asciiTheme="minorEastAsia" w:hAnsiTheme="minorEastAsia" w:eastAsiaTheme="minorEastAsia"/>
          <w:bCs/>
          <w:color w:val="000000"/>
          <w:sz w:val="21"/>
          <w:szCs w:val="21"/>
          <w:highlight w:val="none"/>
        </w:rPr>
      </w:pPr>
      <w:bookmarkStart w:id="315" w:name="_Toc31180"/>
      <w:bookmarkStart w:id="316" w:name="_Toc20078"/>
      <w:bookmarkStart w:id="317" w:name="_Toc3736"/>
      <w:bookmarkStart w:id="318" w:name="_Toc10553"/>
      <w:bookmarkStart w:id="319" w:name="_Toc29550"/>
      <w:r>
        <w:rPr>
          <w:rFonts w:hint="eastAsia" w:asciiTheme="minorEastAsia" w:hAnsiTheme="minorEastAsia" w:eastAsiaTheme="minorEastAsia"/>
          <w:color w:val="000000"/>
          <w:sz w:val="21"/>
          <w:szCs w:val="21"/>
          <w:highlight w:val="none"/>
        </w:rPr>
        <w:t>2.开标</w:t>
      </w:r>
      <w:bookmarkEnd w:id="315"/>
      <w:bookmarkEnd w:id="316"/>
      <w:bookmarkEnd w:id="317"/>
      <w:bookmarkEnd w:id="318"/>
      <w:bookmarkEnd w:id="319"/>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2.1 </w:t>
      </w:r>
      <w:r>
        <w:rPr>
          <w:rFonts w:hint="eastAsia" w:asciiTheme="minorEastAsia" w:hAnsiTheme="minorEastAsia" w:eastAsiaTheme="minorEastAsia"/>
          <w:szCs w:val="21"/>
          <w:highlight w:val="none"/>
        </w:rPr>
        <w:t>招标代理在规定的时间和地点公开开标，并邀请所有投标人参加。</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2.2 </w:t>
      </w:r>
      <w:r>
        <w:rPr>
          <w:rFonts w:hint="eastAsia" w:asciiTheme="minorEastAsia" w:hAnsiTheme="minorEastAsia" w:eastAsiaTheme="minorEastAsia"/>
          <w:szCs w:val="21"/>
          <w:highlight w:val="none"/>
        </w:rPr>
        <w:t>按规定提交合格的撤回通知的投标文件不予开封，并退回给投标人；</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2.3 </w:t>
      </w:r>
      <w:r>
        <w:rPr>
          <w:rFonts w:hint="eastAsia" w:asciiTheme="minorEastAsia" w:hAnsiTheme="minorEastAsia" w:eastAsiaTheme="minorEastAsia"/>
          <w:szCs w:val="21"/>
          <w:highlight w:val="none"/>
        </w:rPr>
        <w:t>招标代理在招标文件要求提交投标文件的截止时间前收到的所有投标文件，开标时都当众予以拆封、宣读。</w:t>
      </w:r>
    </w:p>
    <w:p>
      <w:pPr>
        <w:pStyle w:val="3"/>
        <w:numPr>
          <w:ilvl w:val="0"/>
          <w:numId w:val="0"/>
        </w:numPr>
        <w:snapToGrid w:val="0"/>
        <w:spacing w:after="120" w:line="360" w:lineRule="auto"/>
        <w:ind w:left="840" w:hanging="420"/>
        <w:jc w:val="left"/>
        <w:rPr>
          <w:rFonts w:asciiTheme="minorEastAsia" w:hAnsiTheme="minorEastAsia" w:eastAsiaTheme="minorEastAsia"/>
          <w:bCs/>
          <w:color w:val="000000"/>
          <w:sz w:val="21"/>
          <w:szCs w:val="21"/>
          <w:highlight w:val="none"/>
        </w:rPr>
      </w:pPr>
      <w:bookmarkStart w:id="320" w:name="_Toc5677"/>
      <w:bookmarkStart w:id="321" w:name="_Toc9227"/>
      <w:bookmarkStart w:id="322" w:name="_Toc3964"/>
      <w:bookmarkStart w:id="323" w:name="_Toc31031"/>
      <w:bookmarkStart w:id="324" w:name="_Toc8483"/>
      <w:r>
        <w:rPr>
          <w:rFonts w:hint="eastAsia" w:asciiTheme="minorEastAsia" w:hAnsiTheme="minorEastAsia" w:eastAsiaTheme="minorEastAsia"/>
          <w:color w:val="000000"/>
          <w:sz w:val="21"/>
          <w:szCs w:val="21"/>
          <w:highlight w:val="none"/>
        </w:rPr>
        <w:t>3.评标</w:t>
      </w:r>
      <w:bookmarkEnd w:id="320"/>
      <w:bookmarkEnd w:id="321"/>
      <w:bookmarkEnd w:id="322"/>
      <w:bookmarkEnd w:id="323"/>
      <w:bookmarkEnd w:id="324"/>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3.1评标委员会由</w:t>
      </w:r>
      <w:r>
        <w:rPr>
          <w:rFonts w:hint="eastAsia" w:asciiTheme="minorEastAsia" w:hAnsiTheme="minorEastAsia" w:eastAsiaTheme="minorEastAsia"/>
          <w:szCs w:val="21"/>
          <w:highlight w:val="none"/>
        </w:rPr>
        <w:t>招标代理</w:t>
      </w:r>
      <w:r>
        <w:rPr>
          <w:rFonts w:asciiTheme="minorEastAsia" w:hAnsiTheme="minorEastAsia" w:eastAsiaTheme="minorEastAsia"/>
          <w:szCs w:val="21"/>
          <w:highlight w:val="none"/>
        </w:rPr>
        <w:t>依法组建，负责评标活动</w:t>
      </w:r>
      <w:r>
        <w:rPr>
          <w:rFonts w:hint="eastAsia" w:asciiTheme="minorEastAsia" w:hAnsiTheme="minorEastAsia" w:eastAsiaTheme="minorEastAsia"/>
          <w:szCs w:val="21"/>
          <w:highlight w:val="none"/>
        </w:rPr>
        <w:t>。</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3.2评标委员会的职责及守则：</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3.2.1根据评标细则，对投标文件进行认真评审，完成评审报告。</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3.2.2向招标人报告评审意见，推荐合格的中标候选人。</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3.2.3 </w:t>
      </w:r>
      <w:r>
        <w:rPr>
          <w:rFonts w:hint="eastAsia" w:asciiTheme="minorEastAsia" w:hAnsiTheme="minorEastAsia" w:eastAsiaTheme="minorEastAsia"/>
          <w:szCs w:val="21"/>
          <w:highlight w:val="none"/>
        </w:rPr>
        <w:t>所有评标人员必须遵守国家、地方工程招标投标法律法规，遵守有关工程招标投标的保密制度；如有违反者，给予行政处分；情节严重，构成犯罪的，由司法机关依法追究其刑事责任。</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3.2.4全体参与评标人员：</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3.2.4.1 </w:t>
      </w:r>
      <w:r>
        <w:rPr>
          <w:rFonts w:hint="eastAsia" w:asciiTheme="minorEastAsia" w:hAnsiTheme="minorEastAsia" w:eastAsiaTheme="minorEastAsia"/>
          <w:szCs w:val="21"/>
          <w:highlight w:val="none"/>
        </w:rPr>
        <w:t>必须遵守评标纪律、不得泄密；</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3.2.4.2 </w:t>
      </w:r>
      <w:r>
        <w:rPr>
          <w:rFonts w:hint="eastAsia" w:asciiTheme="minorEastAsia" w:hAnsiTheme="minorEastAsia" w:eastAsiaTheme="minorEastAsia"/>
          <w:szCs w:val="21"/>
          <w:highlight w:val="none"/>
        </w:rPr>
        <w:t>必须公正、不得循私；</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3.2.4.3 </w:t>
      </w:r>
      <w:r>
        <w:rPr>
          <w:rFonts w:hint="eastAsia" w:asciiTheme="minorEastAsia" w:hAnsiTheme="minorEastAsia" w:eastAsiaTheme="minorEastAsia"/>
          <w:szCs w:val="21"/>
          <w:highlight w:val="none"/>
        </w:rPr>
        <w:t>必须科学、不得草率；</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3.2.4.4 </w:t>
      </w:r>
      <w:r>
        <w:rPr>
          <w:rFonts w:hint="eastAsia" w:asciiTheme="minorEastAsia" w:hAnsiTheme="minorEastAsia" w:eastAsiaTheme="minorEastAsia"/>
          <w:szCs w:val="21"/>
          <w:highlight w:val="none"/>
        </w:rPr>
        <w:t>必须客观、不得带有成见；</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3.2.4.5 </w:t>
      </w:r>
      <w:r>
        <w:rPr>
          <w:rFonts w:hint="eastAsia" w:asciiTheme="minorEastAsia" w:hAnsiTheme="minorEastAsia" w:eastAsiaTheme="minorEastAsia"/>
          <w:szCs w:val="21"/>
          <w:highlight w:val="none"/>
        </w:rPr>
        <w:t>必须平等、不得强加于人；</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3.2.4.6 </w:t>
      </w:r>
      <w:r>
        <w:rPr>
          <w:rFonts w:hint="eastAsia" w:asciiTheme="minorEastAsia" w:hAnsiTheme="minorEastAsia" w:eastAsiaTheme="minorEastAsia"/>
          <w:szCs w:val="21"/>
          <w:highlight w:val="none"/>
        </w:rPr>
        <w:t>必须严谨、不得随意马虎。</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3.3 评标结束后，评标委员会递交评标报告并依法推荐中标候选人。 </w:t>
      </w:r>
    </w:p>
    <w:p>
      <w:pPr>
        <w:pStyle w:val="3"/>
        <w:numPr>
          <w:ilvl w:val="0"/>
          <w:numId w:val="0"/>
        </w:numPr>
        <w:snapToGrid w:val="0"/>
        <w:spacing w:after="120" w:line="360" w:lineRule="auto"/>
        <w:ind w:left="454"/>
        <w:jc w:val="left"/>
        <w:rPr>
          <w:rFonts w:asciiTheme="minorEastAsia" w:hAnsiTheme="minorEastAsia" w:eastAsiaTheme="minorEastAsia"/>
          <w:bCs/>
          <w:color w:val="000000"/>
          <w:sz w:val="21"/>
          <w:szCs w:val="21"/>
          <w:highlight w:val="none"/>
        </w:rPr>
      </w:pPr>
      <w:bookmarkStart w:id="325" w:name="_Toc27583"/>
      <w:bookmarkStart w:id="326" w:name="_Toc21170"/>
      <w:bookmarkStart w:id="327" w:name="_Toc20588"/>
      <w:bookmarkStart w:id="328" w:name="_Toc22974"/>
      <w:bookmarkStart w:id="329" w:name="_Toc12496"/>
      <w:r>
        <w:rPr>
          <w:rFonts w:hint="eastAsia" w:asciiTheme="minorEastAsia" w:hAnsiTheme="minorEastAsia" w:eastAsiaTheme="minorEastAsia"/>
          <w:color w:val="000000"/>
          <w:sz w:val="21"/>
          <w:szCs w:val="21"/>
          <w:highlight w:val="none"/>
        </w:rPr>
        <w:t>4.投标文件的澄清</w:t>
      </w:r>
      <w:bookmarkEnd w:id="325"/>
      <w:bookmarkEnd w:id="326"/>
      <w:bookmarkEnd w:id="327"/>
      <w:bookmarkEnd w:id="328"/>
      <w:bookmarkEnd w:id="329"/>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4.1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4.2投标人应以书面形式进行澄清，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评审的依据。</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4.3评标委员会或评标委员会专业评审组成员均应当阅读投标人的澄清，但应独立参考澄清对投标文件进行评审，整个澄清的过程不得存在排斥潜在投标人的现象。</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4.4如果投标文件实质上不响应招标文件的各项要求，评标委员会将按照有效性审查标准予以拒绝，不接受投标人通过修改或撤销其不符合要求的差异或保留，使之成为具有响应性的投标。</w:t>
      </w:r>
    </w:p>
    <w:p>
      <w:pPr>
        <w:pStyle w:val="3"/>
        <w:numPr>
          <w:ilvl w:val="0"/>
          <w:numId w:val="0"/>
        </w:numPr>
        <w:snapToGrid w:val="0"/>
        <w:spacing w:after="120" w:line="360" w:lineRule="auto"/>
        <w:ind w:left="840" w:hanging="420"/>
        <w:jc w:val="left"/>
        <w:rPr>
          <w:rFonts w:asciiTheme="minorEastAsia" w:hAnsiTheme="minorEastAsia" w:eastAsiaTheme="minorEastAsia"/>
          <w:bCs/>
          <w:color w:val="000000"/>
          <w:sz w:val="21"/>
          <w:szCs w:val="21"/>
          <w:highlight w:val="none"/>
        </w:rPr>
      </w:pPr>
      <w:bookmarkStart w:id="330" w:name="_Toc1387"/>
      <w:bookmarkStart w:id="331" w:name="_Toc7386"/>
      <w:bookmarkStart w:id="332" w:name="_Toc28512"/>
      <w:bookmarkStart w:id="333" w:name="_Toc32708"/>
      <w:bookmarkStart w:id="334" w:name="_Toc3657"/>
      <w:r>
        <w:rPr>
          <w:rFonts w:hint="eastAsia" w:asciiTheme="minorEastAsia" w:hAnsiTheme="minorEastAsia" w:eastAsiaTheme="minorEastAsia"/>
          <w:color w:val="000000"/>
          <w:sz w:val="21"/>
          <w:szCs w:val="21"/>
          <w:highlight w:val="none"/>
        </w:rPr>
        <w:t>5.定标</w:t>
      </w:r>
      <w:bookmarkEnd w:id="330"/>
      <w:bookmarkEnd w:id="331"/>
      <w:bookmarkEnd w:id="332"/>
      <w:bookmarkEnd w:id="333"/>
      <w:bookmarkEnd w:id="334"/>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5.1根据评标委员会评选结果，招标人依法确定中标人。</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5.2 </w:t>
      </w:r>
      <w:r>
        <w:rPr>
          <w:rFonts w:hint="eastAsia" w:asciiTheme="minorEastAsia" w:hAnsiTheme="minorEastAsia" w:eastAsiaTheme="minorEastAsia"/>
          <w:szCs w:val="21"/>
          <w:highlight w:val="none"/>
        </w:rPr>
        <w:t>依法必须进行公开招标的项目，招标人应当根据综合评分从高到低的顺序取前三名投标人作为依次为第一中标候选人至第三中标候选人。</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5.3排名第一的中标候选人放弃中标、或因不可抗力提出不能履行合同，或者招标文件规定应当提交</w:t>
      </w:r>
      <w:r>
        <w:rPr>
          <w:rFonts w:hint="eastAsia" w:asciiTheme="minorEastAsia" w:hAnsiTheme="minorEastAsia" w:eastAsiaTheme="minorEastAsia"/>
          <w:szCs w:val="21"/>
          <w:highlight w:val="none"/>
          <w:lang w:eastAsia="zh-CN"/>
        </w:rPr>
        <w:t>履约保证金</w:t>
      </w:r>
      <w:r>
        <w:rPr>
          <w:rFonts w:asciiTheme="minorEastAsia" w:hAnsiTheme="minorEastAsia" w:eastAsiaTheme="minorEastAsia"/>
          <w:szCs w:val="21"/>
          <w:highlight w:val="none"/>
        </w:rPr>
        <w:t>而在规定的期限内未能提交的，招标人可以确定排名第二的中标候选人为中标人。</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5.4排名第二的中标候选人出现前款所列的情形的，招标人可以确定排名第三的中标候选人为中标人。以此类推，如所有中标候选人均出现前款所列的情形，为招标失败，招标人依法重新招标。</w:t>
      </w:r>
    </w:p>
    <w:p>
      <w:pPr>
        <w:pStyle w:val="3"/>
        <w:numPr>
          <w:ilvl w:val="0"/>
          <w:numId w:val="0"/>
        </w:numPr>
        <w:snapToGrid w:val="0"/>
        <w:spacing w:after="120" w:line="360" w:lineRule="auto"/>
        <w:ind w:left="454"/>
        <w:rPr>
          <w:rFonts w:asciiTheme="minorEastAsia" w:hAnsiTheme="minorEastAsia" w:eastAsiaTheme="minorEastAsia"/>
          <w:bCs/>
          <w:color w:val="000000"/>
          <w:sz w:val="21"/>
          <w:szCs w:val="21"/>
          <w:highlight w:val="none"/>
        </w:rPr>
      </w:pPr>
      <w:bookmarkStart w:id="335" w:name="_Toc11197"/>
      <w:bookmarkStart w:id="336" w:name="_Toc27575"/>
      <w:bookmarkStart w:id="337" w:name="_Toc2878"/>
      <w:bookmarkStart w:id="338" w:name="_Toc8472"/>
      <w:bookmarkStart w:id="339" w:name="_Toc25316"/>
      <w:r>
        <w:rPr>
          <w:rFonts w:hint="eastAsia" w:asciiTheme="minorEastAsia" w:hAnsiTheme="minorEastAsia" w:eastAsiaTheme="minorEastAsia"/>
          <w:color w:val="000000"/>
          <w:sz w:val="21"/>
          <w:szCs w:val="21"/>
          <w:highlight w:val="none"/>
        </w:rPr>
        <w:t>二、开标评标办法程序和细则</w:t>
      </w:r>
      <w:bookmarkEnd w:id="335"/>
      <w:bookmarkEnd w:id="336"/>
      <w:bookmarkEnd w:id="337"/>
      <w:bookmarkEnd w:id="338"/>
      <w:bookmarkEnd w:id="339"/>
    </w:p>
    <w:p>
      <w:pPr>
        <w:pStyle w:val="3"/>
        <w:numPr>
          <w:ilvl w:val="0"/>
          <w:numId w:val="0"/>
        </w:numPr>
        <w:snapToGrid w:val="0"/>
        <w:spacing w:after="120" w:line="360" w:lineRule="auto"/>
        <w:ind w:firstLine="422" w:firstLineChars="200"/>
        <w:jc w:val="left"/>
        <w:rPr>
          <w:rFonts w:asciiTheme="minorEastAsia" w:hAnsiTheme="minorEastAsia" w:eastAsiaTheme="minorEastAsia"/>
          <w:bCs/>
          <w:color w:val="000000"/>
          <w:sz w:val="21"/>
          <w:szCs w:val="21"/>
          <w:highlight w:val="none"/>
        </w:rPr>
      </w:pPr>
      <w:bookmarkStart w:id="340" w:name="_Toc20906"/>
      <w:bookmarkStart w:id="341" w:name="_Toc27227"/>
      <w:bookmarkStart w:id="342" w:name="_Toc15623"/>
      <w:bookmarkStart w:id="343" w:name="_Toc489230092"/>
      <w:bookmarkStart w:id="344" w:name="_Toc1173"/>
      <w:bookmarkStart w:id="345" w:name="_Toc24526"/>
      <w:r>
        <w:rPr>
          <w:rFonts w:asciiTheme="minorEastAsia" w:hAnsiTheme="minorEastAsia" w:eastAsiaTheme="minorEastAsia"/>
          <w:color w:val="000000"/>
          <w:sz w:val="21"/>
          <w:szCs w:val="21"/>
          <w:highlight w:val="none"/>
        </w:rPr>
        <w:t xml:space="preserve">6. </w:t>
      </w:r>
      <w:r>
        <w:rPr>
          <w:rFonts w:hint="eastAsia" w:asciiTheme="minorEastAsia" w:hAnsiTheme="minorEastAsia" w:eastAsiaTheme="minorEastAsia"/>
          <w:color w:val="000000"/>
          <w:sz w:val="21"/>
          <w:szCs w:val="21"/>
          <w:highlight w:val="none"/>
        </w:rPr>
        <w:t>开标和评标程序</w:t>
      </w:r>
      <w:bookmarkEnd w:id="340"/>
      <w:bookmarkEnd w:id="341"/>
      <w:bookmarkEnd w:id="342"/>
      <w:bookmarkEnd w:id="343"/>
      <w:bookmarkEnd w:id="344"/>
      <w:bookmarkEnd w:id="345"/>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6.1投标人递交商务标、技术标和经济标投标文件；</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6.2商务、技术标、经济标投标文件公开开标；</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6.3商务、技术标有效性审查，并对经济标投标报价进行算术校核和有效性审查；</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6.4商务标、技术标分别进行详细审查评分；</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6.5对通过经济标有效性审查的经济标投标报价进行算术校核，并计算经济标得分；</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6.6 评标委员会汇总得分，计算出各有效投标文件的总分（总分=商务技术分×商务技术分权重+价格分×价格分权重），并按照总分从高到低排序；</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6.7 评标委员会向招标人推荐中标候选人，编写评标报告。</w:t>
      </w:r>
    </w:p>
    <w:p>
      <w:pPr>
        <w:pStyle w:val="3"/>
        <w:numPr>
          <w:ilvl w:val="0"/>
          <w:numId w:val="0"/>
        </w:numPr>
        <w:snapToGrid w:val="0"/>
        <w:spacing w:after="120" w:line="360" w:lineRule="auto"/>
        <w:ind w:firstLine="422" w:firstLineChars="200"/>
        <w:jc w:val="left"/>
        <w:rPr>
          <w:rFonts w:asciiTheme="minorEastAsia" w:hAnsiTheme="minorEastAsia" w:eastAsiaTheme="minorEastAsia"/>
          <w:sz w:val="21"/>
          <w:szCs w:val="21"/>
          <w:highlight w:val="none"/>
        </w:rPr>
      </w:pPr>
      <w:bookmarkStart w:id="346" w:name="_Toc92"/>
      <w:bookmarkStart w:id="347" w:name="_Toc28709"/>
      <w:bookmarkStart w:id="348" w:name="_Toc27261"/>
      <w:bookmarkStart w:id="349" w:name="_Toc10779"/>
      <w:bookmarkStart w:id="350" w:name="_Toc17772"/>
      <w:bookmarkStart w:id="351" w:name="_Toc489230093"/>
      <w:r>
        <w:rPr>
          <w:rFonts w:asciiTheme="minorEastAsia" w:hAnsiTheme="minorEastAsia" w:eastAsiaTheme="minorEastAsia"/>
          <w:color w:val="000000"/>
          <w:sz w:val="21"/>
          <w:szCs w:val="21"/>
          <w:highlight w:val="none"/>
        </w:rPr>
        <w:t xml:space="preserve">7. </w:t>
      </w:r>
      <w:r>
        <w:rPr>
          <w:rFonts w:hint="eastAsia" w:asciiTheme="minorEastAsia" w:hAnsiTheme="minorEastAsia" w:eastAsiaTheme="minorEastAsia"/>
          <w:color w:val="000000"/>
          <w:sz w:val="21"/>
          <w:szCs w:val="21"/>
          <w:highlight w:val="none"/>
        </w:rPr>
        <w:t>开标细则</w:t>
      </w:r>
      <w:bookmarkEnd w:id="346"/>
      <w:bookmarkEnd w:id="347"/>
      <w:bookmarkEnd w:id="348"/>
      <w:bookmarkEnd w:id="349"/>
      <w:bookmarkEnd w:id="350"/>
      <w:bookmarkEnd w:id="351"/>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7.1开标由招标代理主持；开标时，投标人代表有权出席开标会，也可以自主决定不参加开标会，若投标人代表对开标过程提出异议，该投标人代表须同时出示本人身份证原件及证明本人被授权身份的法人代表授权书。</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7.2 </w:t>
      </w:r>
      <w:r>
        <w:rPr>
          <w:rFonts w:hint="eastAsia" w:asciiTheme="minorEastAsia" w:hAnsiTheme="minorEastAsia" w:eastAsiaTheme="minorEastAsia"/>
          <w:szCs w:val="21"/>
          <w:highlight w:val="none"/>
        </w:rPr>
        <w:t>由投标人或其推选的代表检查投标文件的密封情况，也可以由招标人委托的监督部门人员检查并公证；</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7.3 </w:t>
      </w:r>
      <w:r>
        <w:rPr>
          <w:rFonts w:hint="eastAsia" w:asciiTheme="minorEastAsia" w:hAnsiTheme="minorEastAsia" w:eastAsiaTheme="minorEastAsia"/>
          <w:szCs w:val="21"/>
          <w:highlight w:val="none"/>
        </w:rPr>
        <w:t>细则</w:t>
      </w:r>
    </w:p>
    <w:p>
      <w:pPr>
        <w:adjustRightInd w:val="0"/>
        <w:snapToGrid w:val="0"/>
        <w:spacing w:line="360" w:lineRule="auto"/>
        <w:ind w:firstLine="457" w:firstLineChars="218"/>
        <w:rPr>
          <w:rFonts w:asciiTheme="minorEastAsia" w:hAnsiTheme="minorEastAsia" w:eastAsiaTheme="minorEastAsia"/>
          <w:szCs w:val="21"/>
          <w:highlight w:val="none"/>
        </w:rPr>
      </w:pPr>
      <w:r>
        <w:rPr>
          <w:rFonts w:asciiTheme="minorEastAsia" w:hAnsiTheme="minorEastAsia" w:eastAsiaTheme="minorEastAsia"/>
          <w:szCs w:val="21"/>
          <w:highlight w:val="none"/>
        </w:rPr>
        <w:t>7.3.1投标截止期前，各投标人递交投标文件（包括商务</w:t>
      </w:r>
      <w:r>
        <w:rPr>
          <w:rFonts w:hint="eastAsia" w:asciiTheme="minorEastAsia" w:hAnsiTheme="minorEastAsia" w:eastAsiaTheme="minorEastAsia"/>
          <w:szCs w:val="21"/>
          <w:highlight w:val="none"/>
        </w:rPr>
        <w:t>、技术</w:t>
      </w:r>
      <w:r>
        <w:rPr>
          <w:rFonts w:asciiTheme="minorEastAsia" w:hAnsiTheme="minorEastAsia" w:eastAsiaTheme="minorEastAsia"/>
          <w:szCs w:val="21"/>
          <w:highlight w:val="none"/>
        </w:rPr>
        <w:t>投标文件、</w:t>
      </w:r>
      <w:r>
        <w:rPr>
          <w:rFonts w:hint="eastAsia" w:asciiTheme="minorEastAsia" w:hAnsiTheme="minorEastAsia" w:eastAsiaTheme="minorEastAsia"/>
          <w:szCs w:val="21"/>
          <w:highlight w:val="none"/>
        </w:rPr>
        <w:t>价格投标文件）及唱标信封至招标文件规定的投标地点。</w:t>
      </w:r>
    </w:p>
    <w:p>
      <w:pPr>
        <w:pStyle w:val="40"/>
        <w:adjustRightInd w:val="0"/>
        <w:snapToGrid w:val="0"/>
        <w:spacing w:after="0" w:line="360" w:lineRule="auto"/>
        <w:ind w:firstLine="457" w:firstLineChars="218"/>
        <w:rPr>
          <w:rFonts w:asciiTheme="minorEastAsia" w:hAnsiTheme="minorEastAsia" w:eastAsiaTheme="minorEastAsia"/>
          <w:b w:val="0"/>
          <w:color w:val="auto"/>
          <w:spacing w:val="0"/>
          <w:szCs w:val="21"/>
          <w:highlight w:val="none"/>
        </w:rPr>
      </w:pPr>
      <w:r>
        <w:rPr>
          <w:rFonts w:asciiTheme="minorEastAsia" w:hAnsiTheme="minorEastAsia" w:eastAsiaTheme="minorEastAsia"/>
          <w:b w:val="0"/>
          <w:color w:val="000000"/>
          <w:spacing w:val="0"/>
          <w:szCs w:val="21"/>
          <w:highlight w:val="none"/>
        </w:rPr>
        <w:t>7.3.2</w:t>
      </w:r>
      <w:r>
        <w:rPr>
          <w:rFonts w:hint="eastAsia" w:asciiTheme="minorEastAsia" w:hAnsiTheme="minorEastAsia" w:eastAsiaTheme="minorEastAsia"/>
          <w:b w:val="0"/>
          <w:color w:val="000000"/>
          <w:spacing w:val="0"/>
          <w:szCs w:val="21"/>
          <w:highlight w:val="none"/>
        </w:rPr>
        <w:t>经确认无误后，由招标代理在监督部门人员见证下当众拆封，宣读：</w:t>
      </w:r>
      <w:r>
        <w:rPr>
          <w:rFonts w:asciiTheme="minorEastAsia" w:hAnsiTheme="minorEastAsia" w:eastAsiaTheme="minorEastAsia"/>
          <w:b w:val="0"/>
          <w:color w:val="000000"/>
          <w:spacing w:val="0"/>
          <w:szCs w:val="21"/>
          <w:highlight w:val="none"/>
        </w:rPr>
        <w:t>a、投标人名称；b、投标文件密封情况；c、投标文件数量；d、投标保证金； e、法定代表人证明及授权委托</w:t>
      </w:r>
      <w:r>
        <w:rPr>
          <w:rFonts w:hint="eastAsia" w:asciiTheme="minorEastAsia" w:hAnsiTheme="minorEastAsia" w:eastAsiaTheme="minorEastAsia"/>
          <w:b w:val="0"/>
          <w:color w:val="000000"/>
          <w:spacing w:val="0"/>
          <w:szCs w:val="21"/>
          <w:highlight w:val="none"/>
        </w:rPr>
        <w:t>；</w:t>
      </w:r>
      <w:r>
        <w:rPr>
          <w:rFonts w:asciiTheme="minorEastAsia" w:hAnsiTheme="minorEastAsia" w:eastAsiaTheme="minorEastAsia"/>
          <w:b w:val="0"/>
          <w:color w:val="000000"/>
          <w:spacing w:val="0"/>
          <w:szCs w:val="21"/>
          <w:highlight w:val="none"/>
        </w:rPr>
        <w:t>f</w:t>
      </w:r>
      <w:r>
        <w:rPr>
          <w:rFonts w:hint="eastAsia" w:asciiTheme="minorEastAsia" w:hAnsiTheme="minorEastAsia" w:eastAsiaTheme="minorEastAsia"/>
          <w:b w:val="0"/>
          <w:color w:val="000000"/>
          <w:spacing w:val="0"/>
          <w:szCs w:val="21"/>
          <w:highlight w:val="none"/>
        </w:rPr>
        <w:t>、投标报价等主要内容及开标记录表中的其他必要内容。如</w:t>
      </w:r>
      <w:r>
        <w:rPr>
          <w:rFonts w:hint="eastAsia"/>
          <w:b w:val="0"/>
          <w:color w:val="auto"/>
          <w:spacing w:val="0"/>
          <w:szCs w:val="21"/>
          <w:highlight w:val="none"/>
        </w:rPr>
        <w:t>投标报价以数字和文字两种方式表述的，应宣读文字表述的投标报价。</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7.4招标代理对开标过程进行记录，并存档备查，投标人在开标记录上签字。未参加开标会议的投标人视为其认可开标程序和结果。</w:t>
      </w:r>
    </w:p>
    <w:p>
      <w:pPr>
        <w:adjustRightInd w:val="0"/>
        <w:snapToGrid w:val="0"/>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7.5招标代理将上述符合要求的投标文件，送至评标委员会进行评审。</w:t>
      </w:r>
    </w:p>
    <w:p>
      <w:pPr>
        <w:pStyle w:val="3"/>
        <w:numPr>
          <w:ilvl w:val="0"/>
          <w:numId w:val="0"/>
        </w:numPr>
        <w:snapToGrid w:val="0"/>
        <w:spacing w:after="120" w:line="360" w:lineRule="auto"/>
        <w:ind w:left="454"/>
        <w:jc w:val="left"/>
        <w:rPr>
          <w:rFonts w:asciiTheme="minorEastAsia" w:hAnsiTheme="minorEastAsia" w:eastAsiaTheme="minorEastAsia"/>
          <w:bCs/>
          <w:color w:val="000000"/>
          <w:sz w:val="21"/>
          <w:szCs w:val="21"/>
          <w:highlight w:val="none"/>
        </w:rPr>
      </w:pPr>
      <w:bookmarkStart w:id="352" w:name="_Toc489230094"/>
      <w:bookmarkStart w:id="353" w:name="_Toc13420"/>
      <w:bookmarkStart w:id="354" w:name="_Toc26887"/>
      <w:bookmarkStart w:id="355" w:name="_Toc20329"/>
      <w:bookmarkStart w:id="356" w:name="_Toc6985"/>
      <w:bookmarkStart w:id="357" w:name="_Toc10689"/>
      <w:r>
        <w:rPr>
          <w:rFonts w:asciiTheme="minorEastAsia" w:hAnsiTheme="minorEastAsia" w:eastAsiaTheme="minorEastAsia"/>
          <w:color w:val="000000"/>
          <w:sz w:val="21"/>
          <w:szCs w:val="21"/>
          <w:highlight w:val="none"/>
        </w:rPr>
        <w:t xml:space="preserve">8. </w:t>
      </w:r>
      <w:r>
        <w:rPr>
          <w:rFonts w:hint="eastAsia" w:asciiTheme="minorEastAsia" w:hAnsiTheme="minorEastAsia" w:eastAsiaTheme="minorEastAsia"/>
          <w:color w:val="000000"/>
          <w:sz w:val="21"/>
          <w:szCs w:val="21"/>
          <w:highlight w:val="none"/>
        </w:rPr>
        <w:t>评标细则</w:t>
      </w:r>
      <w:bookmarkEnd w:id="352"/>
      <w:bookmarkEnd w:id="353"/>
      <w:bookmarkEnd w:id="354"/>
      <w:bookmarkEnd w:id="355"/>
      <w:bookmarkEnd w:id="356"/>
      <w:bookmarkEnd w:id="357"/>
    </w:p>
    <w:p>
      <w:pPr>
        <w:adjustRightInd w:val="0"/>
        <w:snapToGrid w:val="0"/>
        <w:spacing w:line="360" w:lineRule="auto"/>
        <w:ind w:firstLine="457" w:firstLineChars="218"/>
        <w:rPr>
          <w:szCs w:val="21"/>
          <w:highlight w:val="none"/>
        </w:rPr>
      </w:pPr>
      <w:r>
        <w:rPr>
          <w:rFonts w:ascii="宋体" w:hAnsi="宋体"/>
          <w:szCs w:val="21"/>
          <w:highlight w:val="none"/>
        </w:rPr>
        <w:t>8.1</w:t>
      </w:r>
      <w:r>
        <w:rPr>
          <w:rFonts w:hint="eastAsia"/>
          <w:szCs w:val="21"/>
          <w:highlight w:val="none"/>
        </w:rPr>
        <w:t>评标委员会的组成，由招标代理依法组建。</w:t>
      </w:r>
    </w:p>
    <w:p>
      <w:pPr>
        <w:adjustRightInd w:val="0"/>
        <w:snapToGrid w:val="0"/>
        <w:spacing w:line="360" w:lineRule="auto"/>
        <w:ind w:firstLine="457" w:firstLineChars="218"/>
        <w:rPr>
          <w:rFonts w:ascii="宋体" w:hAnsi="宋体"/>
          <w:szCs w:val="21"/>
          <w:highlight w:val="none"/>
        </w:rPr>
      </w:pPr>
      <w:r>
        <w:rPr>
          <w:rFonts w:ascii="宋体" w:hAnsi="宋体"/>
          <w:szCs w:val="21"/>
          <w:highlight w:val="none"/>
        </w:rPr>
        <w:t>8.2权重分配：本项目具体的</w:t>
      </w:r>
      <w:r>
        <w:rPr>
          <w:rFonts w:hint="eastAsia" w:ascii="宋体" w:hAnsi="宋体"/>
          <w:szCs w:val="21"/>
          <w:highlight w:val="none"/>
        </w:rPr>
        <w:t>商务技术标、经济标权重由招标人在《投标人须知前附表》中明确。</w:t>
      </w:r>
    </w:p>
    <w:p>
      <w:pPr>
        <w:adjustRightInd w:val="0"/>
        <w:snapToGrid w:val="0"/>
        <w:spacing w:line="360" w:lineRule="auto"/>
        <w:ind w:firstLine="457" w:firstLineChars="218"/>
        <w:rPr>
          <w:rFonts w:ascii="宋体" w:hAnsi="宋体"/>
          <w:szCs w:val="21"/>
          <w:highlight w:val="none"/>
        </w:rPr>
      </w:pPr>
      <w:r>
        <w:rPr>
          <w:rFonts w:ascii="宋体" w:hAnsi="宋体"/>
          <w:szCs w:val="21"/>
          <w:highlight w:val="none"/>
        </w:rPr>
        <w:t>8.3</w:t>
      </w:r>
      <w:r>
        <w:rPr>
          <w:rFonts w:hint="eastAsia" w:ascii="宋体" w:hAnsi="宋体"/>
          <w:szCs w:val="21"/>
          <w:highlight w:val="none"/>
        </w:rPr>
        <w:t>资格审查：商务标书中的资格审查申请文件完全满足本办法附表1《资格审查表》中情形的，通过资格审查，否则不通过资格审查，未通过资格审查的投标人的投标文件将不能参与后续评审。如评标委员会的评审意见不一致时，以评标委员会过半数成员的意见作为评标委员会对该情形的认定结论。资格审查结束，评标委员会应编写资格审查报告。通过资格审查的投标人少于3名时，招标人应依法重新招标。</w:t>
      </w:r>
    </w:p>
    <w:p>
      <w:pPr>
        <w:adjustRightInd w:val="0"/>
        <w:snapToGrid w:val="0"/>
        <w:spacing w:line="360" w:lineRule="auto"/>
        <w:ind w:firstLine="457" w:firstLineChars="218"/>
        <w:rPr>
          <w:rFonts w:ascii="宋体" w:hAnsi="宋体"/>
          <w:szCs w:val="21"/>
          <w:highlight w:val="none"/>
        </w:rPr>
      </w:pPr>
      <w:r>
        <w:rPr>
          <w:rFonts w:ascii="宋体" w:hAnsi="宋体"/>
          <w:szCs w:val="21"/>
          <w:highlight w:val="none"/>
        </w:rPr>
        <w:t>8.4</w:t>
      </w:r>
      <w:r>
        <w:rPr>
          <w:rFonts w:hint="eastAsia" w:ascii="宋体" w:hAnsi="宋体"/>
          <w:szCs w:val="21"/>
          <w:highlight w:val="none"/>
        </w:rPr>
        <w:t>商务、技术标有效性审查：商务、技术标投标文件完全满足本办法附表</w:t>
      </w:r>
      <w:r>
        <w:rPr>
          <w:rFonts w:ascii="宋体" w:hAnsi="宋体"/>
          <w:szCs w:val="21"/>
          <w:highlight w:val="none"/>
        </w:rPr>
        <w:t>2《</w:t>
      </w:r>
      <w:r>
        <w:rPr>
          <w:rFonts w:hint="eastAsia" w:ascii="宋体" w:hAnsi="宋体"/>
          <w:szCs w:val="21"/>
          <w:highlight w:val="none"/>
        </w:rPr>
        <w:t>商务、技术标有效性审查表》中情形的，为有效标书。否则为无效标书，经评标委员会认定后，其投标文件将被拒绝。如评标委员会成员的评审意见不一致时，以评标委员会过半数成员的意见作为评标委员会对该情形的认定结论。通过商务、技术标有效性审查的投标人少于</w:t>
      </w:r>
      <w:r>
        <w:rPr>
          <w:rFonts w:ascii="宋体" w:hAnsi="宋体"/>
          <w:szCs w:val="21"/>
          <w:highlight w:val="none"/>
        </w:rPr>
        <w:t>3名时，招标人应依法重新招标。</w:t>
      </w:r>
    </w:p>
    <w:p>
      <w:pPr>
        <w:spacing w:line="360" w:lineRule="auto"/>
        <w:ind w:firstLine="420" w:firstLineChars="200"/>
        <w:rPr>
          <w:rFonts w:ascii="宋体" w:hAnsi="宋体"/>
          <w:szCs w:val="21"/>
          <w:highlight w:val="none"/>
        </w:rPr>
      </w:pPr>
      <w:r>
        <w:rPr>
          <w:rFonts w:ascii="宋体" w:hAnsi="宋体"/>
          <w:szCs w:val="21"/>
          <w:highlight w:val="none"/>
        </w:rPr>
        <w:t>8.5经济标的有效性审查：通过</w:t>
      </w:r>
      <w:r>
        <w:rPr>
          <w:rFonts w:hint="eastAsia" w:ascii="宋体" w:hAnsi="宋体"/>
          <w:szCs w:val="21"/>
          <w:highlight w:val="none"/>
        </w:rPr>
        <w:t>商务、技术标有效性审查的经济标投标文件完全满足本办法附表</w:t>
      </w:r>
      <w:r>
        <w:rPr>
          <w:rFonts w:ascii="宋体" w:hAnsi="宋体"/>
          <w:szCs w:val="21"/>
          <w:highlight w:val="none"/>
        </w:rPr>
        <w:t>3《经济标有效性审查表》中情形的，为有效标书。否则为无效标书，经评标委员会认定后，其投标文件将不能参与后续评审。如评标委员会成员的评审意见不一致时，以评标委员会过半数成员的意见作为评标委员会对该情形的认定结论。通过经济标有效性审查的投标人少于3名时，招标人应依法重新招标。</w:t>
      </w:r>
    </w:p>
    <w:p>
      <w:pPr>
        <w:spacing w:line="360" w:lineRule="auto"/>
        <w:ind w:firstLine="420" w:firstLineChars="200"/>
        <w:rPr>
          <w:rFonts w:ascii="宋体" w:hAnsi="宋体"/>
          <w:szCs w:val="21"/>
          <w:highlight w:val="none"/>
        </w:rPr>
      </w:pPr>
      <w:r>
        <w:rPr>
          <w:rFonts w:ascii="宋体" w:hAnsi="宋体"/>
          <w:szCs w:val="21"/>
          <w:highlight w:val="none"/>
        </w:rPr>
        <w:t>8.6</w:t>
      </w:r>
      <w:r>
        <w:rPr>
          <w:rFonts w:hint="eastAsia" w:ascii="宋体" w:hAnsi="宋体"/>
          <w:szCs w:val="21"/>
          <w:highlight w:val="none"/>
        </w:rPr>
        <w:t>商务、技术标详细审查评分：评标委员会按照本办法附表</w:t>
      </w:r>
      <w:r>
        <w:rPr>
          <w:rFonts w:ascii="宋体" w:hAnsi="宋体"/>
          <w:szCs w:val="21"/>
          <w:highlight w:val="none"/>
        </w:rPr>
        <w:t>4《</w:t>
      </w:r>
      <w:r>
        <w:rPr>
          <w:rFonts w:hint="eastAsia" w:ascii="宋体" w:hAnsi="宋体"/>
          <w:szCs w:val="21"/>
          <w:highlight w:val="none"/>
        </w:rPr>
        <w:t>商务、技术标详细审查评分标准》对通过有效性审查的投标文件商务、技术标进行详细审查，评出商务、技术分；投标人商务、技术得分为所有评委的总评分的算术平均分。</w:t>
      </w:r>
    </w:p>
    <w:p>
      <w:pPr>
        <w:adjustRightInd w:val="0"/>
        <w:snapToGrid w:val="0"/>
        <w:spacing w:line="360" w:lineRule="auto"/>
        <w:ind w:firstLine="457" w:firstLineChars="218"/>
        <w:rPr>
          <w:rFonts w:ascii="宋体" w:hAnsi="宋体"/>
          <w:szCs w:val="21"/>
          <w:highlight w:val="none"/>
        </w:rPr>
      </w:pPr>
      <w:r>
        <w:rPr>
          <w:rFonts w:ascii="宋体" w:hAnsi="宋体"/>
          <w:szCs w:val="21"/>
          <w:highlight w:val="none"/>
        </w:rPr>
        <w:t>8.7经济标的算术校核：评标委员会对进行经济标有效性审查的投标文件投标报价按照就低不就高的原则进行算术校核，具体标准如下：</w:t>
      </w:r>
    </w:p>
    <w:p>
      <w:pPr>
        <w:spacing w:line="360" w:lineRule="auto"/>
        <w:ind w:firstLine="420" w:firstLineChars="200"/>
        <w:rPr>
          <w:rFonts w:ascii="宋体" w:hAnsi="宋体"/>
          <w:szCs w:val="21"/>
          <w:highlight w:val="none"/>
        </w:rPr>
      </w:pPr>
      <w:r>
        <w:rPr>
          <w:rFonts w:hint="eastAsia" w:ascii="宋体" w:hAnsi="宋体"/>
          <w:szCs w:val="21"/>
          <w:highlight w:val="none"/>
        </w:rPr>
        <w:t>（</w:t>
      </w:r>
      <w:r>
        <w:rPr>
          <w:rFonts w:ascii="宋体" w:hAnsi="宋体"/>
          <w:szCs w:val="21"/>
          <w:highlight w:val="none"/>
        </w:rPr>
        <w:t>1）如果数字表示的金额和用文字表示的金额不一致时，应以文字表示的金额为准；</w:t>
      </w:r>
    </w:p>
    <w:p>
      <w:pPr>
        <w:spacing w:line="360" w:lineRule="auto"/>
        <w:ind w:firstLine="420" w:firstLineChars="200"/>
        <w:rPr>
          <w:rFonts w:ascii="宋体" w:hAnsi="宋体"/>
          <w:szCs w:val="21"/>
          <w:highlight w:val="none"/>
        </w:rPr>
      </w:pPr>
      <w:r>
        <w:rPr>
          <w:rFonts w:hint="eastAsia" w:ascii="宋体" w:hAnsi="宋体"/>
          <w:szCs w:val="21"/>
          <w:highlight w:val="none"/>
        </w:rPr>
        <w:t>（</w:t>
      </w:r>
      <w:r>
        <w:rPr>
          <w:rFonts w:ascii="宋体" w:hAnsi="宋体"/>
          <w:szCs w:val="21"/>
          <w:highlight w:val="none"/>
        </w:rPr>
        <w:t>2）经算术复核的中标候选人报价与其投标报价不一致时，按就低不就高原则确定其最终报价；</w:t>
      </w:r>
    </w:p>
    <w:p>
      <w:pPr>
        <w:spacing w:line="360" w:lineRule="auto"/>
        <w:ind w:firstLine="420" w:firstLineChars="200"/>
        <w:rPr>
          <w:rFonts w:ascii="宋体" w:hAnsi="宋体"/>
          <w:szCs w:val="21"/>
          <w:highlight w:val="none"/>
        </w:rPr>
      </w:pPr>
      <w:r>
        <w:rPr>
          <w:rFonts w:hint="eastAsia" w:ascii="宋体" w:hAnsi="宋体"/>
          <w:szCs w:val="21"/>
          <w:highlight w:val="none"/>
        </w:rPr>
        <w:t>（</w:t>
      </w:r>
      <w:r>
        <w:rPr>
          <w:rFonts w:ascii="宋体" w:hAnsi="宋体"/>
          <w:szCs w:val="21"/>
          <w:highlight w:val="none"/>
        </w:rPr>
        <w:t>3）按就低不就高原则，当修正后报价小于原报价，按修正后报价；当修正后报价大于原报价，按原报价，并在签订合同时载明在结算价中扣除修正报价与原报价的差额；</w:t>
      </w:r>
    </w:p>
    <w:p>
      <w:pPr>
        <w:spacing w:line="360" w:lineRule="auto"/>
        <w:ind w:firstLine="420" w:firstLineChars="200"/>
        <w:rPr>
          <w:rFonts w:ascii="宋体" w:hAnsi="宋体"/>
          <w:szCs w:val="21"/>
          <w:highlight w:val="none"/>
        </w:rPr>
      </w:pPr>
      <w:r>
        <w:rPr>
          <w:rFonts w:hint="eastAsia" w:ascii="宋体" w:hAnsi="宋体"/>
          <w:szCs w:val="21"/>
          <w:highlight w:val="none"/>
        </w:rPr>
        <w:t>（</w:t>
      </w:r>
      <w:r>
        <w:rPr>
          <w:rFonts w:ascii="宋体" w:hAnsi="宋体"/>
          <w:szCs w:val="21"/>
          <w:highlight w:val="none"/>
        </w:rPr>
        <w:t>4）按上述修正错误的原则及方法调整或修正投标文件的投标报价，调整后的投标报价对投标人起约束作用。如果投标人不接受修正后的报价，则取消其投标资格，并且其投标担保也将不予退还。</w:t>
      </w:r>
    </w:p>
    <w:p>
      <w:pPr>
        <w:spacing w:line="360" w:lineRule="auto"/>
        <w:ind w:firstLine="420" w:firstLineChars="200"/>
        <w:rPr>
          <w:rFonts w:ascii="宋体" w:hAnsi="宋体"/>
          <w:szCs w:val="21"/>
          <w:highlight w:val="none"/>
        </w:rPr>
      </w:pPr>
      <w:r>
        <w:rPr>
          <w:rFonts w:ascii="宋体" w:hAnsi="宋体"/>
          <w:szCs w:val="21"/>
          <w:highlight w:val="none"/>
        </w:rPr>
        <w:t xml:space="preserve">8.8 </w:t>
      </w:r>
      <w:r>
        <w:rPr>
          <w:rFonts w:hint="eastAsia" w:ascii="宋体" w:hAnsi="宋体"/>
          <w:szCs w:val="21"/>
          <w:highlight w:val="none"/>
        </w:rPr>
        <w:t>经济标的评标参考价及评审价：</w:t>
      </w:r>
    </w:p>
    <w:p>
      <w:pPr>
        <w:spacing w:line="360" w:lineRule="auto"/>
        <w:ind w:firstLine="420" w:firstLineChars="200"/>
        <w:rPr>
          <w:rFonts w:ascii="宋体" w:hAnsi="宋体"/>
          <w:szCs w:val="21"/>
          <w:highlight w:val="none"/>
        </w:rPr>
      </w:pPr>
      <w:r>
        <w:rPr>
          <w:rFonts w:ascii="宋体" w:hAnsi="宋体"/>
          <w:szCs w:val="21"/>
          <w:highlight w:val="none"/>
        </w:rPr>
        <w:t>8.8.1</w:t>
      </w:r>
      <w:r>
        <w:rPr>
          <w:rFonts w:hint="eastAsia" w:ascii="宋体" w:hAnsi="宋体"/>
          <w:szCs w:val="21"/>
          <w:highlight w:val="none"/>
        </w:rPr>
        <w:t>评标参考价：以通过资格及有效性评审的各投标人的</w:t>
      </w:r>
      <w:r>
        <w:rPr>
          <w:rFonts w:hint="eastAsia" w:ascii="宋体" w:hAnsi="宋体"/>
          <w:b/>
          <w:bCs/>
          <w:szCs w:val="21"/>
          <w:highlight w:val="none"/>
        </w:rPr>
        <w:t>评审价的最低价</w:t>
      </w:r>
      <w:r>
        <w:rPr>
          <w:rFonts w:hint="eastAsia" w:ascii="宋体" w:hAnsi="宋体"/>
          <w:szCs w:val="21"/>
          <w:highlight w:val="none"/>
        </w:rPr>
        <w:t>为评标参考价。</w:t>
      </w:r>
    </w:p>
    <w:p>
      <w:pPr>
        <w:spacing w:line="360" w:lineRule="auto"/>
        <w:ind w:firstLine="420" w:firstLineChars="200"/>
        <w:rPr>
          <w:rFonts w:ascii="宋体" w:hAnsi="宋体"/>
          <w:szCs w:val="21"/>
          <w:highlight w:val="none"/>
        </w:rPr>
      </w:pPr>
      <w:r>
        <w:rPr>
          <w:rFonts w:ascii="宋体" w:hAnsi="宋体"/>
          <w:szCs w:val="21"/>
          <w:highlight w:val="none"/>
        </w:rPr>
        <w:t>8.8.2</w:t>
      </w:r>
      <w:r>
        <w:rPr>
          <w:rFonts w:hint="eastAsia" w:ascii="宋体" w:hAnsi="宋体"/>
          <w:szCs w:val="21"/>
          <w:highlight w:val="none"/>
        </w:rPr>
        <w:t>评审价：</w:t>
      </w:r>
      <w:r>
        <w:rPr>
          <w:rFonts w:hint="eastAsia" w:ascii="宋体" w:hAnsi="宋体" w:cs="宋体"/>
          <w:color w:val="000000"/>
          <w:szCs w:val="21"/>
          <w:highlight w:val="none"/>
          <w:shd w:val="clear" w:color="auto" w:fill="FFFFFF"/>
        </w:rPr>
        <w:t>可开具增值税专用发票的报价按不含税投标总报价作为评审价，开具其他类型发票的报价按含税投标总报价作为评审价。</w:t>
      </w:r>
    </w:p>
    <w:p>
      <w:pPr>
        <w:spacing w:line="360" w:lineRule="auto"/>
        <w:ind w:firstLine="420" w:firstLineChars="200"/>
        <w:rPr>
          <w:rFonts w:ascii="宋体" w:hAnsi="宋体"/>
          <w:szCs w:val="21"/>
          <w:highlight w:val="none"/>
        </w:rPr>
      </w:pPr>
      <w:r>
        <w:rPr>
          <w:rFonts w:ascii="宋体" w:hAnsi="宋体"/>
          <w:szCs w:val="21"/>
          <w:highlight w:val="none"/>
        </w:rPr>
        <w:t>8.9经济标的评分：</w:t>
      </w:r>
      <w:r>
        <w:rPr>
          <w:rFonts w:hint="eastAsia" w:ascii="宋体" w:hAnsi="宋体"/>
          <w:szCs w:val="21"/>
          <w:highlight w:val="none"/>
        </w:rPr>
        <w:t>通过资格及有效性评审的各投标人的评审价的最低价为评标参考价，其价格评审得分为</w:t>
      </w:r>
      <w:r>
        <w:rPr>
          <w:rFonts w:ascii="宋体" w:hAnsi="宋体"/>
          <w:szCs w:val="21"/>
          <w:highlight w:val="none"/>
        </w:rPr>
        <w:t>100分；</w:t>
      </w:r>
      <w:r>
        <w:rPr>
          <w:rFonts w:hint="eastAsia" w:ascii="宋体" w:hAnsi="宋体"/>
          <w:szCs w:val="21"/>
          <w:highlight w:val="none"/>
        </w:rPr>
        <w:t>其</w:t>
      </w:r>
      <w:r>
        <w:rPr>
          <w:rFonts w:ascii="宋体" w:hAnsi="宋体"/>
          <w:szCs w:val="21"/>
          <w:highlight w:val="none"/>
        </w:rPr>
        <w:t>余投标人的价格评审得分为：（</w:t>
      </w:r>
      <w:r>
        <w:rPr>
          <w:rFonts w:hint="eastAsia" w:ascii="宋体" w:hAnsi="宋体"/>
          <w:szCs w:val="21"/>
          <w:highlight w:val="none"/>
        </w:rPr>
        <w:t>评标参考价</w:t>
      </w:r>
      <w:r>
        <w:rPr>
          <w:rFonts w:ascii="宋体" w:hAnsi="宋体"/>
          <w:szCs w:val="21"/>
          <w:highlight w:val="none"/>
        </w:rPr>
        <w:t>÷</w:t>
      </w:r>
      <w:r>
        <w:rPr>
          <w:rFonts w:hint="eastAsia" w:ascii="宋体" w:hAnsi="宋体"/>
          <w:szCs w:val="21"/>
          <w:highlight w:val="none"/>
        </w:rPr>
        <w:t>相应投标人的评审价）×100</w:t>
      </w:r>
      <w:r>
        <w:rPr>
          <w:rFonts w:ascii="宋体" w:hAnsi="宋体"/>
          <w:szCs w:val="21"/>
          <w:highlight w:val="none"/>
        </w:rPr>
        <w:t>。</w:t>
      </w:r>
    </w:p>
    <w:p>
      <w:pPr>
        <w:spacing w:line="360" w:lineRule="auto"/>
        <w:ind w:firstLine="420" w:firstLineChars="200"/>
        <w:rPr>
          <w:rFonts w:ascii="宋体" w:hAnsi="宋体"/>
          <w:szCs w:val="21"/>
          <w:highlight w:val="none"/>
        </w:rPr>
      </w:pPr>
      <w:bookmarkStart w:id="358" w:name="_Toc17853"/>
      <w:bookmarkStart w:id="359" w:name="_Toc1479"/>
      <w:bookmarkStart w:id="360" w:name="_Toc20520"/>
      <w:r>
        <w:rPr>
          <w:rFonts w:ascii="宋体" w:hAnsi="宋体"/>
          <w:szCs w:val="21"/>
          <w:highlight w:val="none"/>
        </w:rPr>
        <w:t xml:space="preserve">8.10 </w:t>
      </w:r>
      <w:r>
        <w:rPr>
          <w:rFonts w:hint="eastAsia" w:ascii="宋体" w:hAnsi="宋体"/>
          <w:szCs w:val="21"/>
          <w:highlight w:val="none"/>
        </w:rPr>
        <w:t>评标委员会按照“总分</w:t>
      </w:r>
      <w:r>
        <w:rPr>
          <w:rFonts w:ascii="宋体" w:hAnsi="宋体"/>
          <w:szCs w:val="21"/>
          <w:highlight w:val="none"/>
        </w:rPr>
        <w:t>=</w:t>
      </w:r>
      <w:r>
        <w:rPr>
          <w:rFonts w:hint="eastAsia" w:ascii="宋体" w:hAnsi="宋体"/>
          <w:szCs w:val="21"/>
          <w:highlight w:val="none"/>
        </w:rPr>
        <w:t>商务技术分×商务技术分权重</w:t>
      </w:r>
      <w:r>
        <w:rPr>
          <w:rFonts w:ascii="宋体" w:hAnsi="宋体"/>
          <w:szCs w:val="21"/>
          <w:highlight w:val="none"/>
        </w:rPr>
        <w:t>+</w:t>
      </w:r>
      <w:r>
        <w:rPr>
          <w:rFonts w:hint="eastAsia" w:ascii="宋体" w:hAnsi="宋体"/>
          <w:szCs w:val="21"/>
          <w:highlight w:val="none"/>
        </w:rPr>
        <w:t>价格分×价格分权重”的公式计算上述</w:t>
      </w:r>
      <w:r>
        <w:rPr>
          <w:rFonts w:ascii="宋体" w:hAnsi="宋体"/>
          <w:szCs w:val="21"/>
          <w:highlight w:val="none"/>
        </w:rPr>
        <w:t>8.9款所述的有效投标文件的总分，</w:t>
      </w:r>
      <w:r>
        <w:rPr>
          <w:rFonts w:hint="eastAsia" w:ascii="宋体" w:hAnsi="宋体"/>
          <w:szCs w:val="21"/>
          <w:highlight w:val="none"/>
        </w:rPr>
        <w:t>并按照总分从高到低排列先后次序，向招标人推荐前</w:t>
      </w:r>
      <w:r>
        <w:rPr>
          <w:rFonts w:ascii="宋体" w:hAnsi="宋体"/>
          <w:szCs w:val="21"/>
          <w:highlight w:val="none"/>
        </w:rPr>
        <w:t>3</w:t>
      </w:r>
      <w:r>
        <w:rPr>
          <w:rFonts w:hint="eastAsia" w:ascii="宋体" w:hAnsi="宋体"/>
          <w:szCs w:val="21"/>
          <w:highlight w:val="none"/>
        </w:rPr>
        <w:t>名投标人依次为第一中标候选人至第三中标候选人</w:t>
      </w:r>
      <w:r>
        <w:rPr>
          <w:rFonts w:ascii="宋体" w:hAnsi="宋体"/>
          <w:szCs w:val="21"/>
          <w:highlight w:val="none"/>
        </w:rPr>
        <w:t>,</w:t>
      </w:r>
      <w:r>
        <w:rPr>
          <w:rFonts w:hint="eastAsia" w:ascii="宋体" w:hAnsi="宋体"/>
          <w:szCs w:val="21"/>
          <w:highlight w:val="none"/>
        </w:rPr>
        <w:t>并编写评标报告。总分相同的</w:t>
      </w:r>
      <w:r>
        <w:rPr>
          <w:rFonts w:ascii="宋体" w:hAnsi="宋体"/>
          <w:szCs w:val="21"/>
          <w:highlight w:val="none"/>
        </w:rPr>
        <w:t>,</w:t>
      </w:r>
      <w:r>
        <w:rPr>
          <w:rFonts w:hint="eastAsia" w:ascii="宋体" w:hAnsi="宋体"/>
          <w:szCs w:val="21"/>
          <w:highlight w:val="none"/>
        </w:rPr>
        <w:t>价格得分高的排先</w:t>
      </w:r>
      <w:r>
        <w:rPr>
          <w:rFonts w:ascii="宋体" w:hAnsi="宋体"/>
          <w:szCs w:val="21"/>
          <w:highlight w:val="none"/>
        </w:rPr>
        <w:t>,</w:t>
      </w:r>
      <w:r>
        <w:rPr>
          <w:rFonts w:hint="eastAsia" w:ascii="宋体" w:hAnsi="宋体"/>
          <w:szCs w:val="21"/>
          <w:highlight w:val="none"/>
        </w:rPr>
        <w:t>总分和价格分都相同的</w:t>
      </w:r>
      <w:r>
        <w:rPr>
          <w:rFonts w:ascii="宋体" w:hAnsi="宋体"/>
          <w:szCs w:val="21"/>
          <w:highlight w:val="none"/>
        </w:rPr>
        <w:t>,</w:t>
      </w:r>
      <w:r>
        <w:rPr>
          <w:rFonts w:hint="eastAsia" w:ascii="宋体" w:hAnsi="宋体"/>
          <w:szCs w:val="21"/>
          <w:highlight w:val="none"/>
        </w:rPr>
        <w:t>由评标委员会采用少数服从多数方式确定排序的先后。</w:t>
      </w:r>
      <w:bookmarkEnd w:id="358"/>
      <w:bookmarkEnd w:id="359"/>
      <w:bookmarkEnd w:id="360"/>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pStyle w:val="3"/>
        <w:numPr>
          <w:ilvl w:val="0"/>
          <w:numId w:val="0"/>
        </w:numPr>
        <w:snapToGrid w:val="0"/>
        <w:spacing w:before="120" w:after="120"/>
        <w:jc w:val="left"/>
        <w:rPr>
          <w:sz w:val="24"/>
          <w:szCs w:val="24"/>
          <w:highlight w:val="none"/>
        </w:rPr>
      </w:pPr>
      <w:bookmarkStart w:id="361" w:name="_Toc24824"/>
      <w:bookmarkStart w:id="362" w:name="_Toc20322"/>
      <w:bookmarkStart w:id="363" w:name="_Toc26904"/>
      <w:bookmarkStart w:id="364" w:name="_Toc766"/>
      <w:bookmarkStart w:id="365" w:name="_Toc19576"/>
      <w:bookmarkStart w:id="366" w:name="_Toc5720"/>
      <w:r>
        <w:rPr>
          <w:rFonts w:hint="eastAsia"/>
          <w:sz w:val="24"/>
          <w:szCs w:val="24"/>
          <w:highlight w:val="none"/>
        </w:rPr>
        <w:t>附表1：投标人资格审查表</w:t>
      </w:r>
      <w:bookmarkEnd w:id="361"/>
      <w:bookmarkEnd w:id="362"/>
      <w:bookmarkEnd w:id="363"/>
      <w:bookmarkEnd w:id="364"/>
      <w:bookmarkEnd w:id="365"/>
      <w:bookmarkEnd w:id="366"/>
    </w:p>
    <w:p>
      <w:pPr>
        <w:snapToGrid w:val="0"/>
        <w:spacing w:line="360" w:lineRule="auto"/>
        <w:rPr>
          <w:rFonts w:ascii="宋体" w:hAnsi="宋体"/>
          <w:szCs w:val="21"/>
          <w:highlight w:val="none"/>
        </w:rPr>
      </w:pPr>
      <w:r>
        <w:rPr>
          <w:rFonts w:hint="eastAsia" w:ascii="宋体" w:hAnsi="宋体"/>
          <w:szCs w:val="21"/>
          <w:highlight w:val="none"/>
        </w:rPr>
        <w:t>项目名称：</w:t>
      </w:r>
      <w:r>
        <w:rPr>
          <w:rFonts w:hint="eastAsia"/>
          <w:color w:val="000000"/>
          <w:highlight w:val="none"/>
        </w:rPr>
        <w:t>佛山市恒益环保建材有限公司加气砌块生产辅助业务外委采购项目</w:t>
      </w:r>
    </w:p>
    <w:tbl>
      <w:tblPr>
        <w:tblStyle w:val="42"/>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
        <w:gridCol w:w="6469"/>
        <w:gridCol w:w="628"/>
        <w:gridCol w:w="612"/>
        <w:gridCol w:w="612"/>
        <w:gridCol w:w="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blHeader/>
        </w:trPr>
        <w:tc>
          <w:tcPr>
            <w:tcW w:w="398" w:type="dxa"/>
            <w:vAlign w:val="center"/>
          </w:tcPr>
          <w:p>
            <w:pPr>
              <w:tabs>
                <w:tab w:val="left" w:pos="720"/>
              </w:tabs>
              <w:autoSpaceDE w:val="0"/>
              <w:autoSpaceDN w:val="0"/>
              <w:adjustRightInd w:val="0"/>
              <w:snapToGrid w:val="0"/>
              <w:spacing w:line="360" w:lineRule="auto"/>
              <w:jc w:val="center"/>
              <w:rPr>
                <w:rFonts w:ascii="宋体" w:hAnsi="宋体"/>
                <w:szCs w:val="21"/>
                <w:highlight w:val="none"/>
              </w:rPr>
            </w:pPr>
            <w:r>
              <w:rPr>
                <w:rFonts w:hint="eastAsia" w:ascii="宋体" w:hAnsi="宋体"/>
                <w:szCs w:val="21"/>
                <w:highlight w:val="none"/>
              </w:rPr>
              <w:t>序号</w:t>
            </w:r>
          </w:p>
        </w:tc>
        <w:tc>
          <w:tcPr>
            <w:tcW w:w="6469" w:type="dxa"/>
            <w:tcBorders>
              <w:tl2br w:val="single" w:color="auto" w:sz="4" w:space="0"/>
            </w:tcBorders>
          </w:tcPr>
          <w:p>
            <w:pPr>
              <w:tabs>
                <w:tab w:val="left" w:pos="720"/>
              </w:tabs>
              <w:autoSpaceDE w:val="0"/>
              <w:autoSpaceDN w:val="0"/>
              <w:adjustRightInd w:val="0"/>
              <w:snapToGrid w:val="0"/>
              <w:spacing w:line="360" w:lineRule="auto"/>
              <w:ind w:firstLine="840" w:firstLineChars="400"/>
              <w:jc w:val="center"/>
              <w:rPr>
                <w:rFonts w:ascii="宋体" w:hAnsi="宋体"/>
                <w:szCs w:val="21"/>
                <w:highlight w:val="none"/>
              </w:rPr>
            </w:pPr>
            <w:r>
              <w:rPr>
                <w:rFonts w:hint="eastAsia" w:ascii="宋体" w:hAnsi="宋体"/>
                <w:szCs w:val="21"/>
                <w:highlight w:val="none"/>
              </w:rPr>
              <w:t>投标单位</w:t>
            </w:r>
          </w:p>
          <w:p>
            <w:pPr>
              <w:tabs>
                <w:tab w:val="left" w:pos="720"/>
              </w:tabs>
              <w:autoSpaceDE w:val="0"/>
              <w:autoSpaceDN w:val="0"/>
              <w:adjustRightInd w:val="0"/>
              <w:snapToGrid w:val="0"/>
              <w:spacing w:line="360" w:lineRule="auto"/>
              <w:rPr>
                <w:rFonts w:ascii="宋体" w:hAnsi="宋体"/>
                <w:szCs w:val="21"/>
                <w:highlight w:val="none"/>
              </w:rPr>
            </w:pPr>
            <w:r>
              <w:rPr>
                <w:rFonts w:hint="eastAsia" w:ascii="宋体" w:hAnsi="宋体"/>
                <w:szCs w:val="21"/>
                <w:highlight w:val="none"/>
              </w:rPr>
              <w:t>评审内容</w:t>
            </w:r>
          </w:p>
        </w:tc>
        <w:tc>
          <w:tcPr>
            <w:tcW w:w="628" w:type="dxa"/>
          </w:tcPr>
          <w:p>
            <w:pPr>
              <w:tabs>
                <w:tab w:val="left" w:pos="720"/>
              </w:tabs>
              <w:autoSpaceDE w:val="0"/>
              <w:autoSpaceDN w:val="0"/>
              <w:adjustRightInd w:val="0"/>
              <w:snapToGrid w:val="0"/>
              <w:spacing w:line="360" w:lineRule="auto"/>
              <w:rPr>
                <w:rFonts w:ascii="宋体" w:hAnsi="宋体"/>
                <w:b/>
                <w:szCs w:val="21"/>
                <w:highlight w:val="none"/>
              </w:rPr>
            </w:pPr>
          </w:p>
        </w:tc>
        <w:tc>
          <w:tcPr>
            <w:tcW w:w="612" w:type="dxa"/>
          </w:tcPr>
          <w:p>
            <w:pPr>
              <w:tabs>
                <w:tab w:val="left" w:pos="720"/>
              </w:tabs>
              <w:autoSpaceDE w:val="0"/>
              <w:autoSpaceDN w:val="0"/>
              <w:adjustRightInd w:val="0"/>
              <w:snapToGrid w:val="0"/>
              <w:spacing w:line="360" w:lineRule="auto"/>
              <w:rPr>
                <w:rFonts w:ascii="宋体" w:hAnsi="宋体"/>
                <w:b/>
                <w:szCs w:val="21"/>
                <w:highlight w:val="none"/>
              </w:rPr>
            </w:pPr>
          </w:p>
        </w:tc>
        <w:tc>
          <w:tcPr>
            <w:tcW w:w="612" w:type="dxa"/>
          </w:tcPr>
          <w:p>
            <w:pPr>
              <w:tabs>
                <w:tab w:val="left" w:pos="720"/>
              </w:tabs>
              <w:autoSpaceDE w:val="0"/>
              <w:autoSpaceDN w:val="0"/>
              <w:adjustRightInd w:val="0"/>
              <w:snapToGrid w:val="0"/>
              <w:spacing w:line="360" w:lineRule="auto"/>
              <w:rPr>
                <w:rFonts w:ascii="宋体" w:hAnsi="宋体"/>
                <w:b/>
                <w:szCs w:val="21"/>
                <w:highlight w:val="none"/>
              </w:rPr>
            </w:pPr>
          </w:p>
        </w:tc>
        <w:tc>
          <w:tcPr>
            <w:tcW w:w="523" w:type="dxa"/>
          </w:tcPr>
          <w:p>
            <w:pPr>
              <w:spacing w:line="360" w:lineRule="auto"/>
              <w:rPr>
                <w:rFonts w:ascii="宋体" w:hAnsi="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8" w:type="dxa"/>
            <w:vAlign w:val="center"/>
          </w:tcPr>
          <w:p>
            <w:pPr>
              <w:tabs>
                <w:tab w:val="left" w:pos="720"/>
              </w:tabs>
              <w:autoSpaceDE w:val="0"/>
              <w:autoSpaceDN w:val="0"/>
              <w:adjustRightInd w:val="0"/>
              <w:snapToGrid w:val="0"/>
              <w:spacing w:line="360" w:lineRule="auto"/>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w:t>
            </w:r>
          </w:p>
        </w:tc>
        <w:tc>
          <w:tcPr>
            <w:tcW w:w="6469" w:type="dxa"/>
            <w:vAlign w:val="center"/>
          </w:tcPr>
          <w:p>
            <w:pPr>
              <w:autoSpaceDE w:val="0"/>
              <w:autoSpaceDN w:val="0"/>
              <w:adjustRightInd w:val="0"/>
              <w:spacing w:line="276" w:lineRule="auto"/>
              <w:rPr>
                <w:rFonts w:cs="宋体" w:asciiTheme="minorEastAsia" w:hAnsiTheme="minorEastAsia" w:eastAsiaTheme="minorEastAsia"/>
                <w:szCs w:val="21"/>
                <w:highlight w:val="none"/>
              </w:rPr>
            </w:pPr>
            <w:r>
              <w:rPr>
                <w:rFonts w:hint="eastAsia" w:asciiTheme="minorEastAsia" w:hAnsiTheme="minorEastAsia" w:eastAsiaTheme="minorEastAsia"/>
                <w:szCs w:val="21"/>
                <w:highlight w:val="none"/>
              </w:rPr>
              <w:t>投标人必须是在中华人民共和国范围内注册的独立法人，持有工商行政管理部门核发的有效营业执照，持有有效的组织机构代码证和税务登记证（含国税和地税），若投标人持有工商行政管理部门颁发的“一照一码”版本营业执照，则无需提交组织机构代码证及税务登记证；法定代表人</w:t>
            </w:r>
            <w:r>
              <w:rPr>
                <w:rFonts w:asciiTheme="minorEastAsia" w:hAnsiTheme="minorEastAsia" w:eastAsiaTheme="minorEastAsia"/>
                <w:szCs w:val="21"/>
                <w:highlight w:val="none"/>
              </w:rPr>
              <w:t>(或单位负责人）为同一人或者存在控股、管理关系的不同单位，不得同时参加本招标项目投标，否则相关投标均无效</w:t>
            </w:r>
            <w:r>
              <w:rPr>
                <w:rFonts w:hint="eastAsia" w:asciiTheme="minorEastAsia" w:hAnsiTheme="minorEastAsia" w:eastAsiaTheme="minorEastAsia"/>
                <w:szCs w:val="21"/>
                <w:highlight w:val="none"/>
              </w:rPr>
              <w:t>；前述资料须提供复印。</w:t>
            </w:r>
          </w:p>
        </w:tc>
        <w:tc>
          <w:tcPr>
            <w:tcW w:w="628" w:type="dxa"/>
          </w:tcPr>
          <w:p>
            <w:pPr>
              <w:tabs>
                <w:tab w:val="left" w:pos="720"/>
              </w:tabs>
              <w:autoSpaceDE w:val="0"/>
              <w:autoSpaceDN w:val="0"/>
              <w:adjustRightInd w:val="0"/>
              <w:snapToGrid w:val="0"/>
              <w:spacing w:line="360" w:lineRule="auto"/>
              <w:rPr>
                <w:rFonts w:asciiTheme="minorEastAsia" w:hAnsiTheme="minorEastAsia" w:eastAsiaTheme="minorEastAsia"/>
                <w:szCs w:val="21"/>
                <w:highlight w:val="none"/>
              </w:rPr>
            </w:pPr>
          </w:p>
        </w:tc>
        <w:tc>
          <w:tcPr>
            <w:tcW w:w="612" w:type="dxa"/>
          </w:tcPr>
          <w:p>
            <w:pPr>
              <w:tabs>
                <w:tab w:val="left" w:pos="720"/>
              </w:tabs>
              <w:autoSpaceDE w:val="0"/>
              <w:autoSpaceDN w:val="0"/>
              <w:adjustRightInd w:val="0"/>
              <w:snapToGrid w:val="0"/>
              <w:spacing w:line="360" w:lineRule="auto"/>
              <w:rPr>
                <w:rFonts w:asciiTheme="minorEastAsia" w:hAnsiTheme="minorEastAsia" w:eastAsiaTheme="minorEastAsia"/>
                <w:szCs w:val="21"/>
                <w:highlight w:val="none"/>
              </w:rPr>
            </w:pPr>
          </w:p>
        </w:tc>
        <w:tc>
          <w:tcPr>
            <w:tcW w:w="612" w:type="dxa"/>
          </w:tcPr>
          <w:p>
            <w:pPr>
              <w:tabs>
                <w:tab w:val="left" w:pos="720"/>
              </w:tabs>
              <w:autoSpaceDE w:val="0"/>
              <w:autoSpaceDN w:val="0"/>
              <w:adjustRightInd w:val="0"/>
              <w:snapToGrid w:val="0"/>
              <w:spacing w:line="360" w:lineRule="auto"/>
              <w:rPr>
                <w:rFonts w:asciiTheme="minorEastAsia" w:hAnsiTheme="minorEastAsia" w:eastAsiaTheme="minorEastAsia"/>
                <w:szCs w:val="21"/>
                <w:highlight w:val="none"/>
              </w:rPr>
            </w:pPr>
          </w:p>
        </w:tc>
        <w:tc>
          <w:tcPr>
            <w:tcW w:w="523" w:type="dxa"/>
          </w:tcPr>
          <w:p>
            <w:pPr>
              <w:spacing w:line="360" w:lineRule="auto"/>
              <w:rPr>
                <w:rFonts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8" w:type="dxa"/>
            <w:vAlign w:val="center"/>
          </w:tcPr>
          <w:p>
            <w:pPr>
              <w:tabs>
                <w:tab w:val="left" w:pos="720"/>
              </w:tabs>
              <w:autoSpaceDE w:val="0"/>
              <w:autoSpaceDN w:val="0"/>
              <w:adjustRightInd w:val="0"/>
              <w:snapToGrid w:val="0"/>
              <w:spacing w:line="360" w:lineRule="auto"/>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w:t>
            </w:r>
          </w:p>
        </w:tc>
        <w:tc>
          <w:tcPr>
            <w:tcW w:w="6469" w:type="dxa"/>
            <w:vAlign w:val="center"/>
          </w:tcPr>
          <w:p>
            <w:pPr>
              <w:tabs>
                <w:tab w:val="left" w:pos="720"/>
              </w:tabs>
              <w:autoSpaceDE w:val="0"/>
              <w:autoSpaceDN w:val="0"/>
              <w:adjustRightInd w:val="0"/>
              <w:snapToGrid w:val="0"/>
              <w:spacing w:line="276" w:lineRule="auto"/>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按招标文件第六章“投标文件格式2”的内容和格式提供投标人声明。</w:t>
            </w:r>
          </w:p>
        </w:tc>
        <w:tc>
          <w:tcPr>
            <w:tcW w:w="628" w:type="dxa"/>
          </w:tcPr>
          <w:p>
            <w:pPr>
              <w:tabs>
                <w:tab w:val="left" w:pos="720"/>
              </w:tabs>
              <w:autoSpaceDE w:val="0"/>
              <w:autoSpaceDN w:val="0"/>
              <w:adjustRightInd w:val="0"/>
              <w:snapToGrid w:val="0"/>
              <w:spacing w:line="360" w:lineRule="auto"/>
              <w:rPr>
                <w:rFonts w:asciiTheme="minorEastAsia" w:hAnsiTheme="minorEastAsia" w:eastAsiaTheme="minorEastAsia"/>
                <w:szCs w:val="21"/>
                <w:highlight w:val="none"/>
              </w:rPr>
            </w:pPr>
          </w:p>
        </w:tc>
        <w:tc>
          <w:tcPr>
            <w:tcW w:w="612" w:type="dxa"/>
          </w:tcPr>
          <w:p>
            <w:pPr>
              <w:tabs>
                <w:tab w:val="left" w:pos="720"/>
              </w:tabs>
              <w:autoSpaceDE w:val="0"/>
              <w:autoSpaceDN w:val="0"/>
              <w:adjustRightInd w:val="0"/>
              <w:snapToGrid w:val="0"/>
              <w:spacing w:line="360" w:lineRule="auto"/>
              <w:rPr>
                <w:rFonts w:asciiTheme="minorEastAsia" w:hAnsiTheme="minorEastAsia" w:eastAsiaTheme="minorEastAsia"/>
                <w:szCs w:val="21"/>
                <w:highlight w:val="none"/>
              </w:rPr>
            </w:pPr>
          </w:p>
        </w:tc>
        <w:tc>
          <w:tcPr>
            <w:tcW w:w="612" w:type="dxa"/>
          </w:tcPr>
          <w:p>
            <w:pPr>
              <w:tabs>
                <w:tab w:val="left" w:pos="720"/>
              </w:tabs>
              <w:autoSpaceDE w:val="0"/>
              <w:autoSpaceDN w:val="0"/>
              <w:adjustRightInd w:val="0"/>
              <w:snapToGrid w:val="0"/>
              <w:spacing w:line="360" w:lineRule="auto"/>
              <w:rPr>
                <w:rFonts w:asciiTheme="minorEastAsia" w:hAnsiTheme="minorEastAsia" w:eastAsiaTheme="minorEastAsia"/>
                <w:szCs w:val="21"/>
                <w:highlight w:val="none"/>
              </w:rPr>
            </w:pPr>
          </w:p>
        </w:tc>
        <w:tc>
          <w:tcPr>
            <w:tcW w:w="523" w:type="dxa"/>
          </w:tcPr>
          <w:p>
            <w:pPr>
              <w:spacing w:line="360" w:lineRule="auto"/>
              <w:rPr>
                <w:rFonts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98" w:type="dxa"/>
            <w:vAlign w:val="center"/>
          </w:tcPr>
          <w:p>
            <w:pPr>
              <w:tabs>
                <w:tab w:val="left" w:pos="720"/>
              </w:tabs>
              <w:autoSpaceDE w:val="0"/>
              <w:autoSpaceDN w:val="0"/>
              <w:adjustRightInd w:val="0"/>
              <w:snapToGrid w:val="0"/>
              <w:spacing w:line="360" w:lineRule="auto"/>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w:t>
            </w:r>
          </w:p>
        </w:tc>
        <w:tc>
          <w:tcPr>
            <w:tcW w:w="6469" w:type="dxa"/>
            <w:vAlign w:val="center"/>
          </w:tcPr>
          <w:p>
            <w:pPr>
              <w:autoSpaceDE w:val="0"/>
              <w:autoSpaceDN w:val="0"/>
              <w:adjustRightInd w:val="0"/>
              <w:spacing w:line="276" w:lineRule="auto"/>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投标人自2016年1月1日至投标文件递交截止日期止必须具有至少1个工矿企业生产辅助服务业绩，并且须在投标文件中提供上述项目的服务合同（提供合同关键页复印件，合同关键页应包括封面、签字盖章页及主要内容页，否则视同未提供该业绩，业绩有效时间以合同签订时间为准）；</w:t>
            </w:r>
          </w:p>
        </w:tc>
        <w:tc>
          <w:tcPr>
            <w:tcW w:w="628" w:type="dxa"/>
          </w:tcPr>
          <w:p>
            <w:pPr>
              <w:tabs>
                <w:tab w:val="left" w:pos="720"/>
              </w:tabs>
              <w:autoSpaceDE w:val="0"/>
              <w:autoSpaceDN w:val="0"/>
              <w:adjustRightInd w:val="0"/>
              <w:snapToGrid w:val="0"/>
              <w:spacing w:line="360" w:lineRule="auto"/>
              <w:rPr>
                <w:rFonts w:asciiTheme="minorEastAsia" w:hAnsiTheme="minorEastAsia" w:eastAsiaTheme="minorEastAsia"/>
                <w:szCs w:val="21"/>
                <w:highlight w:val="none"/>
              </w:rPr>
            </w:pPr>
          </w:p>
        </w:tc>
        <w:tc>
          <w:tcPr>
            <w:tcW w:w="612" w:type="dxa"/>
          </w:tcPr>
          <w:p>
            <w:pPr>
              <w:tabs>
                <w:tab w:val="left" w:pos="720"/>
              </w:tabs>
              <w:autoSpaceDE w:val="0"/>
              <w:autoSpaceDN w:val="0"/>
              <w:adjustRightInd w:val="0"/>
              <w:snapToGrid w:val="0"/>
              <w:spacing w:line="360" w:lineRule="auto"/>
              <w:rPr>
                <w:rFonts w:asciiTheme="minorEastAsia" w:hAnsiTheme="minorEastAsia" w:eastAsiaTheme="minorEastAsia"/>
                <w:szCs w:val="21"/>
                <w:highlight w:val="none"/>
              </w:rPr>
            </w:pPr>
          </w:p>
        </w:tc>
        <w:tc>
          <w:tcPr>
            <w:tcW w:w="612" w:type="dxa"/>
          </w:tcPr>
          <w:p>
            <w:pPr>
              <w:tabs>
                <w:tab w:val="left" w:pos="720"/>
              </w:tabs>
              <w:autoSpaceDE w:val="0"/>
              <w:autoSpaceDN w:val="0"/>
              <w:adjustRightInd w:val="0"/>
              <w:snapToGrid w:val="0"/>
              <w:spacing w:line="360" w:lineRule="auto"/>
              <w:rPr>
                <w:rFonts w:asciiTheme="minorEastAsia" w:hAnsiTheme="minorEastAsia" w:eastAsiaTheme="minorEastAsia"/>
                <w:szCs w:val="21"/>
                <w:highlight w:val="none"/>
              </w:rPr>
            </w:pPr>
          </w:p>
        </w:tc>
        <w:tc>
          <w:tcPr>
            <w:tcW w:w="523" w:type="dxa"/>
          </w:tcPr>
          <w:p>
            <w:pPr>
              <w:spacing w:line="360" w:lineRule="auto"/>
              <w:rPr>
                <w:rFonts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8" w:type="dxa"/>
            <w:vAlign w:val="center"/>
          </w:tcPr>
          <w:p>
            <w:pPr>
              <w:tabs>
                <w:tab w:val="left" w:pos="720"/>
              </w:tabs>
              <w:autoSpaceDE w:val="0"/>
              <w:autoSpaceDN w:val="0"/>
              <w:adjustRightInd w:val="0"/>
              <w:snapToGrid w:val="0"/>
              <w:spacing w:line="360" w:lineRule="auto"/>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4</w:t>
            </w:r>
          </w:p>
        </w:tc>
        <w:tc>
          <w:tcPr>
            <w:tcW w:w="6469" w:type="dxa"/>
            <w:tcBorders>
              <w:bottom w:val="single" w:color="auto" w:sz="4" w:space="0"/>
            </w:tcBorders>
            <w:vAlign w:val="center"/>
          </w:tcPr>
          <w:p>
            <w:pPr>
              <w:tabs>
                <w:tab w:val="left" w:pos="720"/>
              </w:tabs>
              <w:autoSpaceDE w:val="0"/>
              <w:autoSpaceDN w:val="0"/>
              <w:adjustRightInd w:val="0"/>
              <w:snapToGrid w:val="0"/>
              <w:spacing w:line="276" w:lineRule="auto"/>
              <w:rPr>
                <w:rFonts w:asciiTheme="minorEastAsia" w:hAnsiTheme="minorEastAsia" w:eastAsiaTheme="minorEastAsia"/>
                <w:szCs w:val="21"/>
                <w:highlight w:val="none"/>
              </w:rPr>
            </w:pPr>
            <w:r>
              <w:rPr>
                <w:rFonts w:hint="eastAsia" w:ascii="宋体" w:hAnsi="宋体" w:cs="宋体"/>
                <w:kern w:val="0"/>
                <w:szCs w:val="21"/>
                <w:highlight w:val="none"/>
              </w:rPr>
              <w:t>投标人拟负责本</w:t>
            </w:r>
            <w:r>
              <w:rPr>
                <w:rFonts w:hint="eastAsia" w:ascii="宋体" w:hAnsi="宋体"/>
                <w:szCs w:val="21"/>
                <w:highlight w:val="none"/>
              </w:rPr>
              <w:t>项目的负责人</w:t>
            </w:r>
            <w:r>
              <w:rPr>
                <w:rFonts w:hint="eastAsia" w:asciiTheme="minorEastAsia" w:hAnsiTheme="minorEastAsia" w:eastAsiaTheme="minorEastAsia"/>
                <w:szCs w:val="21"/>
                <w:highlight w:val="none"/>
              </w:rPr>
              <w:t>必须具有</w:t>
            </w:r>
            <w:r>
              <w:rPr>
                <w:rFonts w:asciiTheme="minorEastAsia" w:hAnsiTheme="minorEastAsia" w:eastAsiaTheme="minorEastAsia"/>
                <w:szCs w:val="21"/>
                <w:highlight w:val="none"/>
              </w:rPr>
              <w:t>“安全管理人员培训合格证”或“生产经营单位负责人安全生产管理培训合格证”或“注册安全工程师证”其中之一；</w:t>
            </w:r>
            <w:r>
              <w:rPr>
                <w:rFonts w:hint="eastAsia" w:asciiTheme="minorEastAsia" w:hAnsiTheme="minorEastAsia" w:eastAsiaTheme="minorEastAsia"/>
                <w:szCs w:val="21"/>
                <w:highlight w:val="none"/>
              </w:rPr>
              <w:t>前述证书提供复印件。</w:t>
            </w:r>
          </w:p>
        </w:tc>
        <w:tc>
          <w:tcPr>
            <w:tcW w:w="628" w:type="dxa"/>
          </w:tcPr>
          <w:p>
            <w:pPr>
              <w:tabs>
                <w:tab w:val="left" w:pos="720"/>
              </w:tabs>
              <w:autoSpaceDE w:val="0"/>
              <w:autoSpaceDN w:val="0"/>
              <w:adjustRightInd w:val="0"/>
              <w:snapToGrid w:val="0"/>
              <w:spacing w:line="360" w:lineRule="auto"/>
              <w:rPr>
                <w:rFonts w:asciiTheme="minorEastAsia" w:hAnsiTheme="minorEastAsia" w:eastAsiaTheme="minorEastAsia"/>
                <w:szCs w:val="21"/>
                <w:highlight w:val="none"/>
              </w:rPr>
            </w:pPr>
          </w:p>
        </w:tc>
        <w:tc>
          <w:tcPr>
            <w:tcW w:w="612" w:type="dxa"/>
          </w:tcPr>
          <w:p>
            <w:pPr>
              <w:tabs>
                <w:tab w:val="left" w:pos="720"/>
              </w:tabs>
              <w:autoSpaceDE w:val="0"/>
              <w:autoSpaceDN w:val="0"/>
              <w:adjustRightInd w:val="0"/>
              <w:snapToGrid w:val="0"/>
              <w:spacing w:line="360" w:lineRule="auto"/>
              <w:rPr>
                <w:rFonts w:asciiTheme="minorEastAsia" w:hAnsiTheme="minorEastAsia" w:eastAsiaTheme="minorEastAsia"/>
                <w:szCs w:val="21"/>
                <w:highlight w:val="none"/>
              </w:rPr>
            </w:pPr>
          </w:p>
        </w:tc>
        <w:tc>
          <w:tcPr>
            <w:tcW w:w="612" w:type="dxa"/>
          </w:tcPr>
          <w:p>
            <w:pPr>
              <w:tabs>
                <w:tab w:val="left" w:pos="720"/>
              </w:tabs>
              <w:autoSpaceDE w:val="0"/>
              <w:autoSpaceDN w:val="0"/>
              <w:adjustRightInd w:val="0"/>
              <w:snapToGrid w:val="0"/>
              <w:spacing w:line="360" w:lineRule="auto"/>
              <w:rPr>
                <w:rFonts w:asciiTheme="minorEastAsia" w:hAnsiTheme="minorEastAsia" w:eastAsiaTheme="minorEastAsia"/>
                <w:szCs w:val="21"/>
                <w:highlight w:val="none"/>
              </w:rPr>
            </w:pPr>
          </w:p>
        </w:tc>
        <w:tc>
          <w:tcPr>
            <w:tcW w:w="523" w:type="dxa"/>
          </w:tcPr>
          <w:p>
            <w:pPr>
              <w:spacing w:line="360" w:lineRule="auto"/>
              <w:rPr>
                <w:rFonts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8" w:type="dxa"/>
            <w:vAlign w:val="center"/>
          </w:tcPr>
          <w:p>
            <w:pPr>
              <w:tabs>
                <w:tab w:val="left" w:pos="720"/>
              </w:tabs>
              <w:autoSpaceDE w:val="0"/>
              <w:autoSpaceDN w:val="0"/>
              <w:adjustRightInd w:val="0"/>
              <w:snapToGrid w:val="0"/>
              <w:spacing w:line="360" w:lineRule="auto"/>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5</w:t>
            </w:r>
          </w:p>
        </w:tc>
        <w:tc>
          <w:tcPr>
            <w:tcW w:w="6469" w:type="dxa"/>
            <w:tcBorders>
              <w:bottom w:val="single" w:color="auto" w:sz="4" w:space="0"/>
            </w:tcBorders>
            <w:vAlign w:val="center"/>
          </w:tcPr>
          <w:p>
            <w:pPr>
              <w:tabs>
                <w:tab w:val="left" w:pos="720"/>
              </w:tabs>
              <w:autoSpaceDE w:val="0"/>
              <w:autoSpaceDN w:val="0"/>
              <w:adjustRightInd w:val="0"/>
              <w:snapToGrid w:val="0"/>
              <w:spacing w:line="276" w:lineRule="auto"/>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本项目不接受联合体投标。</w:t>
            </w:r>
          </w:p>
        </w:tc>
        <w:tc>
          <w:tcPr>
            <w:tcW w:w="628" w:type="dxa"/>
          </w:tcPr>
          <w:p>
            <w:pPr>
              <w:tabs>
                <w:tab w:val="left" w:pos="720"/>
              </w:tabs>
              <w:autoSpaceDE w:val="0"/>
              <w:autoSpaceDN w:val="0"/>
              <w:adjustRightInd w:val="0"/>
              <w:snapToGrid w:val="0"/>
              <w:spacing w:line="360" w:lineRule="auto"/>
              <w:rPr>
                <w:rFonts w:asciiTheme="minorEastAsia" w:hAnsiTheme="minorEastAsia" w:eastAsiaTheme="minorEastAsia"/>
                <w:szCs w:val="21"/>
                <w:highlight w:val="none"/>
              </w:rPr>
            </w:pPr>
          </w:p>
        </w:tc>
        <w:tc>
          <w:tcPr>
            <w:tcW w:w="612" w:type="dxa"/>
          </w:tcPr>
          <w:p>
            <w:pPr>
              <w:tabs>
                <w:tab w:val="left" w:pos="720"/>
              </w:tabs>
              <w:autoSpaceDE w:val="0"/>
              <w:autoSpaceDN w:val="0"/>
              <w:adjustRightInd w:val="0"/>
              <w:snapToGrid w:val="0"/>
              <w:spacing w:line="360" w:lineRule="auto"/>
              <w:rPr>
                <w:rFonts w:asciiTheme="minorEastAsia" w:hAnsiTheme="minorEastAsia" w:eastAsiaTheme="minorEastAsia"/>
                <w:szCs w:val="21"/>
                <w:highlight w:val="none"/>
              </w:rPr>
            </w:pPr>
          </w:p>
        </w:tc>
        <w:tc>
          <w:tcPr>
            <w:tcW w:w="612" w:type="dxa"/>
          </w:tcPr>
          <w:p>
            <w:pPr>
              <w:tabs>
                <w:tab w:val="left" w:pos="720"/>
              </w:tabs>
              <w:autoSpaceDE w:val="0"/>
              <w:autoSpaceDN w:val="0"/>
              <w:adjustRightInd w:val="0"/>
              <w:snapToGrid w:val="0"/>
              <w:spacing w:line="360" w:lineRule="auto"/>
              <w:rPr>
                <w:rFonts w:asciiTheme="minorEastAsia" w:hAnsiTheme="minorEastAsia" w:eastAsiaTheme="minorEastAsia"/>
                <w:szCs w:val="21"/>
                <w:highlight w:val="none"/>
              </w:rPr>
            </w:pPr>
          </w:p>
        </w:tc>
        <w:tc>
          <w:tcPr>
            <w:tcW w:w="523" w:type="dxa"/>
          </w:tcPr>
          <w:p>
            <w:pPr>
              <w:spacing w:line="360" w:lineRule="auto"/>
              <w:rPr>
                <w:rFonts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8" w:type="dxa"/>
            <w:vAlign w:val="center"/>
          </w:tcPr>
          <w:p>
            <w:pPr>
              <w:tabs>
                <w:tab w:val="left" w:pos="720"/>
              </w:tabs>
              <w:autoSpaceDE w:val="0"/>
              <w:autoSpaceDN w:val="0"/>
              <w:adjustRightInd w:val="0"/>
              <w:snapToGrid w:val="0"/>
              <w:spacing w:line="360" w:lineRule="auto"/>
              <w:jc w:val="center"/>
              <w:rPr>
                <w:rFonts w:asciiTheme="minorEastAsia" w:hAnsiTheme="minorEastAsia" w:eastAsiaTheme="minorEastAsia"/>
                <w:szCs w:val="21"/>
                <w:highlight w:val="none"/>
              </w:rPr>
            </w:pPr>
          </w:p>
        </w:tc>
        <w:tc>
          <w:tcPr>
            <w:tcW w:w="6469" w:type="dxa"/>
            <w:tcBorders>
              <w:bottom w:val="single" w:color="auto" w:sz="4" w:space="0"/>
            </w:tcBorders>
            <w:vAlign w:val="center"/>
          </w:tcPr>
          <w:p>
            <w:pPr>
              <w:tabs>
                <w:tab w:val="left" w:pos="720"/>
              </w:tabs>
              <w:autoSpaceDE w:val="0"/>
              <w:autoSpaceDN w:val="0"/>
              <w:adjustRightInd w:val="0"/>
              <w:snapToGrid w:val="0"/>
              <w:spacing w:line="276" w:lineRule="auto"/>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结论</w:t>
            </w:r>
          </w:p>
        </w:tc>
        <w:tc>
          <w:tcPr>
            <w:tcW w:w="628" w:type="dxa"/>
          </w:tcPr>
          <w:p>
            <w:pPr>
              <w:tabs>
                <w:tab w:val="left" w:pos="720"/>
              </w:tabs>
              <w:autoSpaceDE w:val="0"/>
              <w:autoSpaceDN w:val="0"/>
              <w:adjustRightInd w:val="0"/>
              <w:snapToGrid w:val="0"/>
              <w:spacing w:line="360" w:lineRule="auto"/>
              <w:rPr>
                <w:rFonts w:asciiTheme="minorEastAsia" w:hAnsiTheme="minorEastAsia" w:eastAsiaTheme="minorEastAsia"/>
                <w:szCs w:val="21"/>
                <w:highlight w:val="none"/>
              </w:rPr>
            </w:pPr>
          </w:p>
        </w:tc>
        <w:tc>
          <w:tcPr>
            <w:tcW w:w="612" w:type="dxa"/>
          </w:tcPr>
          <w:p>
            <w:pPr>
              <w:tabs>
                <w:tab w:val="left" w:pos="720"/>
              </w:tabs>
              <w:autoSpaceDE w:val="0"/>
              <w:autoSpaceDN w:val="0"/>
              <w:adjustRightInd w:val="0"/>
              <w:snapToGrid w:val="0"/>
              <w:spacing w:line="360" w:lineRule="auto"/>
              <w:rPr>
                <w:rFonts w:asciiTheme="minorEastAsia" w:hAnsiTheme="minorEastAsia" w:eastAsiaTheme="minorEastAsia"/>
                <w:szCs w:val="21"/>
                <w:highlight w:val="none"/>
              </w:rPr>
            </w:pPr>
          </w:p>
        </w:tc>
        <w:tc>
          <w:tcPr>
            <w:tcW w:w="612" w:type="dxa"/>
          </w:tcPr>
          <w:p>
            <w:pPr>
              <w:tabs>
                <w:tab w:val="left" w:pos="720"/>
              </w:tabs>
              <w:autoSpaceDE w:val="0"/>
              <w:autoSpaceDN w:val="0"/>
              <w:adjustRightInd w:val="0"/>
              <w:snapToGrid w:val="0"/>
              <w:spacing w:line="360" w:lineRule="auto"/>
              <w:rPr>
                <w:rFonts w:asciiTheme="minorEastAsia" w:hAnsiTheme="minorEastAsia" w:eastAsiaTheme="minorEastAsia"/>
                <w:szCs w:val="21"/>
                <w:highlight w:val="none"/>
              </w:rPr>
            </w:pPr>
          </w:p>
        </w:tc>
        <w:tc>
          <w:tcPr>
            <w:tcW w:w="523" w:type="dxa"/>
          </w:tcPr>
          <w:p>
            <w:pPr>
              <w:spacing w:line="360" w:lineRule="auto"/>
              <w:rPr>
                <w:rFonts w:asciiTheme="minorEastAsia" w:hAnsiTheme="minorEastAsia" w:eastAsiaTheme="minorEastAsia"/>
                <w:szCs w:val="21"/>
                <w:highlight w:val="none"/>
              </w:rPr>
            </w:pPr>
          </w:p>
        </w:tc>
      </w:tr>
    </w:tbl>
    <w:p>
      <w:pPr>
        <w:spacing w:line="360" w:lineRule="auto"/>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注：1. 凡符合以上任何一项情形，在相应方框内打“○”，否则打“X”，只要出现一个“X”，结论均为“不通过”，否则为“通过”。</w:t>
      </w:r>
    </w:p>
    <w:p>
      <w:pPr>
        <w:spacing w:line="360" w:lineRule="auto"/>
        <w:ind w:firstLine="420" w:firstLineChars="200"/>
        <w:rPr>
          <w:rFonts w:ascii="宋体" w:hAnsi="宋体"/>
          <w:szCs w:val="21"/>
          <w:highlight w:val="none"/>
        </w:rPr>
      </w:pPr>
      <w:r>
        <w:rPr>
          <w:rFonts w:hint="eastAsia" w:asciiTheme="minorEastAsia" w:hAnsiTheme="minorEastAsia" w:eastAsiaTheme="minorEastAsia"/>
          <w:szCs w:val="21"/>
          <w:highlight w:val="none"/>
        </w:rPr>
        <w:t>2.如对本表中某种情形的评审意见不一致时，以评标委员会过半数成员的意见作为评标</w:t>
      </w:r>
      <w:r>
        <w:rPr>
          <w:rFonts w:hint="eastAsia" w:ascii="宋体" w:hAnsi="宋体"/>
          <w:szCs w:val="21"/>
          <w:highlight w:val="none"/>
        </w:rPr>
        <w:t xml:space="preserve">委员会对该情形的认定结论。     </w:t>
      </w:r>
    </w:p>
    <w:p>
      <w:pPr>
        <w:spacing w:line="360" w:lineRule="auto"/>
        <w:ind w:firstLine="420" w:firstLineChars="200"/>
        <w:rPr>
          <w:rFonts w:ascii="宋体" w:hAnsi="宋体"/>
          <w:szCs w:val="21"/>
          <w:highlight w:val="none"/>
        </w:rPr>
      </w:pPr>
      <w:r>
        <w:rPr>
          <w:rFonts w:hint="eastAsia" w:ascii="宋体" w:hAnsi="宋体"/>
          <w:szCs w:val="21"/>
          <w:highlight w:val="none"/>
        </w:rPr>
        <w:t xml:space="preserve">评委签名：                                                          </w:t>
      </w:r>
    </w:p>
    <w:p>
      <w:pPr>
        <w:spacing w:line="360" w:lineRule="auto"/>
        <w:ind w:firstLine="420" w:firstLineChars="200"/>
        <w:rPr>
          <w:rFonts w:ascii="宋体" w:hAnsi="宋体"/>
          <w:szCs w:val="21"/>
          <w:highlight w:val="none"/>
        </w:rPr>
      </w:pPr>
      <w:r>
        <w:rPr>
          <w:rFonts w:hint="eastAsia" w:ascii="宋体" w:hAnsi="宋体"/>
          <w:szCs w:val="21"/>
          <w:highlight w:val="none"/>
        </w:rPr>
        <w:t xml:space="preserve">监督人员签名：                                         </w:t>
      </w:r>
    </w:p>
    <w:p>
      <w:pPr>
        <w:spacing w:line="360" w:lineRule="auto"/>
        <w:ind w:firstLine="420" w:firstLineChars="200"/>
        <w:rPr>
          <w:b/>
          <w:highlight w:val="none"/>
        </w:rPr>
      </w:pPr>
      <w:r>
        <w:rPr>
          <w:rFonts w:hint="eastAsia" w:ascii="宋体" w:hAnsi="宋体"/>
          <w:szCs w:val="21"/>
          <w:highlight w:val="none"/>
        </w:rPr>
        <w:t xml:space="preserve"> 日期：</w:t>
      </w:r>
    </w:p>
    <w:p>
      <w:pPr>
        <w:spacing w:line="360" w:lineRule="auto"/>
        <w:rPr>
          <w:b/>
          <w:highlight w:val="none"/>
        </w:rPr>
      </w:pPr>
    </w:p>
    <w:p>
      <w:pPr>
        <w:spacing w:line="360" w:lineRule="auto"/>
        <w:rPr>
          <w:b/>
          <w:highlight w:val="none"/>
        </w:rPr>
      </w:pPr>
    </w:p>
    <w:p>
      <w:pPr>
        <w:spacing w:line="360" w:lineRule="auto"/>
        <w:rPr>
          <w:b/>
          <w:highlight w:val="none"/>
        </w:rPr>
      </w:pPr>
    </w:p>
    <w:p>
      <w:pPr>
        <w:spacing w:line="360" w:lineRule="auto"/>
        <w:rPr>
          <w:b/>
          <w:highlight w:val="none"/>
        </w:rPr>
      </w:pPr>
    </w:p>
    <w:p>
      <w:pPr>
        <w:spacing w:line="360" w:lineRule="auto"/>
        <w:rPr>
          <w:b/>
          <w:highlight w:val="none"/>
        </w:rPr>
      </w:pPr>
    </w:p>
    <w:p>
      <w:pPr>
        <w:spacing w:line="360" w:lineRule="auto"/>
        <w:rPr>
          <w:b/>
          <w:highlight w:val="none"/>
        </w:rPr>
      </w:pPr>
    </w:p>
    <w:p>
      <w:pPr>
        <w:spacing w:line="360" w:lineRule="auto"/>
        <w:rPr>
          <w:b/>
          <w:highlight w:val="none"/>
        </w:rPr>
      </w:pPr>
    </w:p>
    <w:p>
      <w:pPr>
        <w:pStyle w:val="3"/>
        <w:numPr>
          <w:ilvl w:val="255"/>
          <w:numId w:val="0"/>
        </w:numPr>
        <w:snapToGrid w:val="0"/>
        <w:spacing w:before="120" w:after="120" w:line="360" w:lineRule="auto"/>
        <w:ind w:left="426"/>
        <w:jc w:val="left"/>
        <w:rPr>
          <w:sz w:val="24"/>
          <w:szCs w:val="24"/>
          <w:highlight w:val="none"/>
        </w:rPr>
      </w:pPr>
      <w:bookmarkStart w:id="367" w:name="_Toc24694"/>
      <w:bookmarkStart w:id="368" w:name="_Toc26961"/>
      <w:r>
        <w:rPr>
          <w:rFonts w:hint="eastAsia"/>
          <w:sz w:val="24"/>
          <w:szCs w:val="24"/>
          <w:highlight w:val="none"/>
        </w:rPr>
        <w:t>附表2：商务、技术投标文件有效性审查表</w:t>
      </w:r>
      <w:bookmarkEnd w:id="367"/>
      <w:bookmarkEnd w:id="368"/>
    </w:p>
    <w:p>
      <w:pPr>
        <w:spacing w:line="400" w:lineRule="exact"/>
        <w:rPr>
          <w:b/>
          <w:sz w:val="24"/>
          <w:highlight w:val="none"/>
        </w:rPr>
      </w:pPr>
    </w:p>
    <w:p>
      <w:pPr>
        <w:ind w:firstLine="120" w:firstLineChars="50"/>
        <w:rPr>
          <w:rFonts w:ascii="宋体" w:hAnsi="宋体"/>
          <w:szCs w:val="21"/>
          <w:highlight w:val="none"/>
        </w:rPr>
      </w:pPr>
      <w:r>
        <w:rPr>
          <w:rFonts w:hint="eastAsia" w:ascii="宋体" w:hAnsi="宋体"/>
          <w:vanish/>
          <w:sz w:val="24"/>
          <w:highlight w:val="none"/>
        </w:rPr>
        <w:cr/>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szCs w:val="21"/>
          <w:highlight w:val="none"/>
        </w:rPr>
        <w:t>项目名称：</w:t>
      </w:r>
      <w:r>
        <w:rPr>
          <w:rFonts w:hint="eastAsia"/>
          <w:color w:val="000000"/>
          <w:highlight w:val="none"/>
        </w:rPr>
        <w:t>佛山市恒益环保建材有限公司加气砌块生产辅助业务外委采购项目</w:t>
      </w:r>
    </w:p>
    <w:tbl>
      <w:tblPr>
        <w:tblStyle w:val="42"/>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962"/>
        <w:gridCol w:w="1283"/>
        <w:gridCol w:w="700"/>
        <w:gridCol w:w="717"/>
        <w:gridCol w:w="717"/>
        <w:gridCol w:w="766"/>
        <w:gridCol w:w="784"/>
        <w:gridCol w:w="1270"/>
        <w:gridCol w:w="765"/>
        <w:gridCol w:w="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96" w:hRule="atLeast"/>
        </w:trPr>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Cs w:val="21"/>
                <w:highlight w:val="none"/>
              </w:rPr>
            </w:pPr>
            <w:r>
              <w:rPr>
                <w:rFonts w:hint="eastAsia"/>
                <w:szCs w:val="21"/>
                <w:highlight w:val="none"/>
              </w:rPr>
              <w:t>序号</w:t>
            </w:r>
          </w:p>
        </w:tc>
        <w:tc>
          <w:tcPr>
            <w:tcW w:w="9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Cs w:val="21"/>
                <w:highlight w:val="none"/>
              </w:rPr>
            </w:pPr>
            <w:r>
              <w:rPr>
                <w:rFonts w:hint="eastAsia"/>
                <w:szCs w:val="21"/>
                <w:highlight w:val="none"/>
              </w:rPr>
              <w:t>投标人</w:t>
            </w:r>
          </w:p>
        </w:tc>
        <w:tc>
          <w:tcPr>
            <w:tcW w:w="12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宋体" w:hAnsi="宋体"/>
                <w:szCs w:val="21"/>
                <w:highlight w:val="none"/>
              </w:rPr>
            </w:pPr>
            <w:r>
              <w:rPr>
                <w:rFonts w:hint="eastAsia" w:ascii="宋体" w:hAnsi="宋体"/>
                <w:szCs w:val="21"/>
                <w:highlight w:val="none"/>
              </w:rPr>
              <w:t>投标文件中有法定代表人证明书，如投标文件为委托代理人签署应同时附上法定代表人证明书和法定代表人授权书</w:t>
            </w:r>
          </w:p>
        </w:tc>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szCs w:val="21"/>
                <w:highlight w:val="none"/>
              </w:rPr>
            </w:pPr>
            <w:r>
              <w:rPr>
                <w:rFonts w:hint="eastAsia" w:ascii="宋体" w:hAnsi="宋体"/>
                <w:szCs w:val="21"/>
                <w:highlight w:val="none"/>
              </w:rPr>
              <w:t>按招标文件要求密封</w:t>
            </w:r>
          </w:p>
        </w:tc>
        <w:tc>
          <w:tcPr>
            <w:tcW w:w="7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szCs w:val="21"/>
                <w:highlight w:val="none"/>
              </w:rPr>
            </w:pPr>
            <w:r>
              <w:rPr>
                <w:rFonts w:hint="eastAsia"/>
                <w:szCs w:val="21"/>
                <w:highlight w:val="none"/>
              </w:rPr>
              <w:t>投标保证金已交</w:t>
            </w:r>
          </w:p>
        </w:tc>
        <w:tc>
          <w:tcPr>
            <w:tcW w:w="7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szCs w:val="21"/>
                <w:highlight w:val="none"/>
              </w:rPr>
            </w:pPr>
            <w:r>
              <w:rPr>
                <w:rFonts w:hint="eastAsia"/>
                <w:szCs w:val="21"/>
                <w:highlight w:val="none"/>
              </w:rPr>
              <w:t>投标</w:t>
            </w:r>
          </w:p>
          <w:p>
            <w:pPr>
              <w:adjustRightInd w:val="0"/>
              <w:snapToGrid w:val="0"/>
              <w:spacing w:line="300" w:lineRule="exact"/>
              <w:jc w:val="center"/>
              <w:rPr>
                <w:szCs w:val="21"/>
                <w:highlight w:val="none"/>
              </w:rPr>
            </w:pPr>
            <w:r>
              <w:rPr>
                <w:rFonts w:hint="eastAsia"/>
                <w:szCs w:val="21"/>
                <w:highlight w:val="none"/>
              </w:rPr>
              <w:t>有效期符合规定</w:t>
            </w: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szCs w:val="21"/>
                <w:highlight w:val="none"/>
              </w:rPr>
            </w:pPr>
            <w:r>
              <w:rPr>
                <w:rFonts w:hint="eastAsia"/>
                <w:szCs w:val="21"/>
                <w:highlight w:val="none"/>
              </w:rPr>
              <w:t>投标文件主要资料齐全</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szCs w:val="21"/>
                <w:highlight w:val="none"/>
              </w:rPr>
            </w:pPr>
            <w:r>
              <w:rPr>
                <w:rFonts w:hint="eastAsia"/>
                <w:szCs w:val="21"/>
                <w:highlight w:val="none"/>
              </w:rPr>
              <w:t>投标文件签署合格</w:t>
            </w:r>
          </w:p>
        </w:tc>
        <w:tc>
          <w:tcPr>
            <w:tcW w:w="12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szCs w:val="21"/>
                <w:highlight w:val="none"/>
              </w:rPr>
            </w:pPr>
            <w:r>
              <w:rPr>
                <w:rFonts w:hint="eastAsia"/>
                <w:szCs w:val="21"/>
                <w:highlight w:val="none"/>
              </w:rPr>
              <w:t>商务无重大偏离或保留，且完全响应用户需求书中的实质性条款</w:t>
            </w:r>
          </w:p>
        </w:tc>
        <w:tc>
          <w:tcPr>
            <w:tcW w:w="7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szCs w:val="21"/>
                <w:highlight w:val="none"/>
              </w:rPr>
            </w:pPr>
            <w:r>
              <w:rPr>
                <w:rFonts w:hint="eastAsia"/>
                <w:szCs w:val="21"/>
                <w:highlight w:val="none"/>
              </w:rPr>
              <w:t>无招标文件或法规明确规定可以废标的其他情形</w:t>
            </w:r>
          </w:p>
        </w:tc>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szCs w:val="21"/>
                <w:highlight w:val="none"/>
              </w:rPr>
            </w:pPr>
            <w:r>
              <w:rPr>
                <w:rFonts w:hint="eastAsia"/>
                <w:szCs w:val="21"/>
                <w:highlight w:val="none"/>
              </w:rPr>
              <w:t>评审</w:t>
            </w:r>
          </w:p>
          <w:p>
            <w:pPr>
              <w:adjustRightInd w:val="0"/>
              <w:snapToGrid w:val="0"/>
              <w:spacing w:line="300" w:lineRule="exact"/>
              <w:jc w:val="center"/>
              <w:rPr>
                <w:szCs w:val="21"/>
                <w:highlight w:val="none"/>
              </w:rPr>
            </w:pPr>
            <w:r>
              <w:rPr>
                <w:rFonts w:hint="eastAsia"/>
                <w:szCs w:val="21"/>
                <w:highlight w:val="none"/>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Cs w:val="21"/>
                <w:highlight w:val="none"/>
              </w:rPr>
            </w:pPr>
            <w:r>
              <w:rPr>
                <w:szCs w:val="21"/>
                <w:highlight w:val="none"/>
              </w:rPr>
              <w:t>1</w:t>
            </w:r>
          </w:p>
        </w:tc>
        <w:tc>
          <w:tcPr>
            <w:tcW w:w="96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Cs w:val="21"/>
                <w:highlight w:val="none"/>
              </w:rPr>
            </w:pPr>
          </w:p>
        </w:tc>
        <w:tc>
          <w:tcPr>
            <w:tcW w:w="128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Cs w:val="21"/>
                <w:highlight w:val="none"/>
              </w:rPr>
            </w:pPr>
          </w:p>
        </w:tc>
        <w:tc>
          <w:tcPr>
            <w:tcW w:w="7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Cs w:val="21"/>
                <w:highlight w:val="none"/>
              </w:rPr>
            </w:pPr>
          </w:p>
        </w:tc>
        <w:tc>
          <w:tcPr>
            <w:tcW w:w="7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Cs w:val="21"/>
                <w:highlight w:val="none"/>
              </w:rPr>
            </w:pPr>
          </w:p>
        </w:tc>
        <w:tc>
          <w:tcPr>
            <w:tcW w:w="7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Cs w:val="21"/>
                <w:highlight w:val="none"/>
              </w:rPr>
            </w:pPr>
          </w:p>
        </w:tc>
        <w:tc>
          <w:tcPr>
            <w:tcW w:w="76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Cs w:val="21"/>
                <w:highlight w:val="none"/>
              </w:rPr>
            </w:pPr>
          </w:p>
        </w:tc>
        <w:tc>
          <w:tcPr>
            <w:tcW w:w="7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Cs w:val="21"/>
                <w:highlight w:val="none"/>
              </w:rPr>
            </w:pPr>
          </w:p>
        </w:tc>
        <w:tc>
          <w:tcPr>
            <w:tcW w:w="12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szCs w:val="21"/>
                <w:highlight w:val="none"/>
              </w:rPr>
            </w:pPr>
          </w:p>
        </w:tc>
        <w:tc>
          <w:tcPr>
            <w:tcW w:w="76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Cs w:val="21"/>
                <w:highlight w:val="none"/>
              </w:rPr>
            </w:pPr>
          </w:p>
        </w:tc>
        <w:tc>
          <w:tcPr>
            <w:tcW w:w="73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trPr>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Cs w:val="21"/>
                <w:highlight w:val="none"/>
              </w:rPr>
            </w:pPr>
            <w:r>
              <w:rPr>
                <w:szCs w:val="21"/>
                <w:highlight w:val="none"/>
              </w:rPr>
              <w:t>2</w:t>
            </w:r>
          </w:p>
        </w:tc>
        <w:tc>
          <w:tcPr>
            <w:tcW w:w="96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Cs w:val="21"/>
                <w:highlight w:val="none"/>
              </w:rPr>
            </w:pPr>
          </w:p>
        </w:tc>
        <w:tc>
          <w:tcPr>
            <w:tcW w:w="128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Cs w:val="21"/>
                <w:highlight w:val="none"/>
              </w:rPr>
            </w:pPr>
          </w:p>
        </w:tc>
        <w:tc>
          <w:tcPr>
            <w:tcW w:w="7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Cs w:val="21"/>
                <w:highlight w:val="none"/>
              </w:rPr>
            </w:pPr>
          </w:p>
        </w:tc>
        <w:tc>
          <w:tcPr>
            <w:tcW w:w="7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Cs w:val="21"/>
                <w:highlight w:val="none"/>
              </w:rPr>
            </w:pPr>
          </w:p>
        </w:tc>
        <w:tc>
          <w:tcPr>
            <w:tcW w:w="7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Cs w:val="21"/>
                <w:highlight w:val="none"/>
              </w:rPr>
            </w:pPr>
          </w:p>
        </w:tc>
        <w:tc>
          <w:tcPr>
            <w:tcW w:w="76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Cs w:val="21"/>
                <w:highlight w:val="none"/>
              </w:rPr>
            </w:pPr>
          </w:p>
        </w:tc>
        <w:tc>
          <w:tcPr>
            <w:tcW w:w="7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Cs w:val="21"/>
                <w:highlight w:val="none"/>
              </w:rPr>
            </w:pPr>
          </w:p>
        </w:tc>
        <w:tc>
          <w:tcPr>
            <w:tcW w:w="127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Cs w:val="21"/>
                <w:highlight w:val="none"/>
              </w:rPr>
            </w:pPr>
          </w:p>
        </w:tc>
        <w:tc>
          <w:tcPr>
            <w:tcW w:w="76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Cs w:val="21"/>
                <w:highlight w:val="none"/>
              </w:rPr>
            </w:pPr>
          </w:p>
        </w:tc>
        <w:tc>
          <w:tcPr>
            <w:tcW w:w="73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trPr>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Cs w:val="21"/>
                <w:highlight w:val="none"/>
              </w:rPr>
            </w:pPr>
            <w:r>
              <w:rPr>
                <w:szCs w:val="21"/>
                <w:highlight w:val="none"/>
              </w:rPr>
              <w:t>3</w:t>
            </w:r>
          </w:p>
        </w:tc>
        <w:tc>
          <w:tcPr>
            <w:tcW w:w="96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Cs w:val="21"/>
                <w:highlight w:val="none"/>
              </w:rPr>
            </w:pPr>
          </w:p>
        </w:tc>
        <w:tc>
          <w:tcPr>
            <w:tcW w:w="128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Cs w:val="21"/>
                <w:highlight w:val="none"/>
              </w:rPr>
            </w:pPr>
          </w:p>
        </w:tc>
        <w:tc>
          <w:tcPr>
            <w:tcW w:w="7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Cs w:val="21"/>
                <w:highlight w:val="none"/>
              </w:rPr>
            </w:pPr>
          </w:p>
        </w:tc>
        <w:tc>
          <w:tcPr>
            <w:tcW w:w="7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Cs w:val="21"/>
                <w:highlight w:val="none"/>
              </w:rPr>
            </w:pPr>
          </w:p>
        </w:tc>
        <w:tc>
          <w:tcPr>
            <w:tcW w:w="7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Cs w:val="21"/>
                <w:highlight w:val="none"/>
              </w:rPr>
            </w:pPr>
          </w:p>
        </w:tc>
        <w:tc>
          <w:tcPr>
            <w:tcW w:w="76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Cs w:val="21"/>
                <w:highlight w:val="none"/>
              </w:rPr>
            </w:pPr>
          </w:p>
        </w:tc>
        <w:tc>
          <w:tcPr>
            <w:tcW w:w="7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Cs w:val="21"/>
                <w:highlight w:val="none"/>
              </w:rPr>
            </w:pPr>
          </w:p>
        </w:tc>
        <w:tc>
          <w:tcPr>
            <w:tcW w:w="127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Cs w:val="21"/>
                <w:highlight w:val="none"/>
              </w:rPr>
            </w:pPr>
          </w:p>
        </w:tc>
        <w:tc>
          <w:tcPr>
            <w:tcW w:w="76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Cs w:val="21"/>
                <w:highlight w:val="none"/>
              </w:rPr>
            </w:pPr>
          </w:p>
        </w:tc>
        <w:tc>
          <w:tcPr>
            <w:tcW w:w="73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trPr>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Cs w:val="21"/>
                <w:highlight w:val="none"/>
              </w:rPr>
            </w:pPr>
            <w:r>
              <w:rPr>
                <w:szCs w:val="21"/>
                <w:highlight w:val="none"/>
              </w:rPr>
              <w:t>4</w:t>
            </w:r>
          </w:p>
        </w:tc>
        <w:tc>
          <w:tcPr>
            <w:tcW w:w="96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Cs w:val="21"/>
                <w:highlight w:val="none"/>
              </w:rPr>
            </w:pPr>
          </w:p>
        </w:tc>
        <w:tc>
          <w:tcPr>
            <w:tcW w:w="128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Cs w:val="21"/>
                <w:highlight w:val="none"/>
              </w:rPr>
            </w:pPr>
          </w:p>
        </w:tc>
        <w:tc>
          <w:tcPr>
            <w:tcW w:w="7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Cs w:val="21"/>
                <w:highlight w:val="none"/>
              </w:rPr>
            </w:pPr>
          </w:p>
        </w:tc>
        <w:tc>
          <w:tcPr>
            <w:tcW w:w="7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Cs w:val="21"/>
                <w:highlight w:val="none"/>
              </w:rPr>
            </w:pPr>
          </w:p>
        </w:tc>
        <w:tc>
          <w:tcPr>
            <w:tcW w:w="7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Cs w:val="21"/>
                <w:highlight w:val="none"/>
              </w:rPr>
            </w:pPr>
          </w:p>
        </w:tc>
        <w:tc>
          <w:tcPr>
            <w:tcW w:w="76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Cs w:val="21"/>
                <w:highlight w:val="none"/>
              </w:rPr>
            </w:pPr>
          </w:p>
        </w:tc>
        <w:tc>
          <w:tcPr>
            <w:tcW w:w="7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Cs w:val="21"/>
                <w:highlight w:val="none"/>
              </w:rPr>
            </w:pPr>
          </w:p>
        </w:tc>
        <w:tc>
          <w:tcPr>
            <w:tcW w:w="127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Cs w:val="21"/>
                <w:highlight w:val="none"/>
              </w:rPr>
            </w:pPr>
          </w:p>
        </w:tc>
        <w:tc>
          <w:tcPr>
            <w:tcW w:w="76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Cs w:val="21"/>
                <w:highlight w:val="none"/>
              </w:rPr>
            </w:pPr>
          </w:p>
        </w:tc>
        <w:tc>
          <w:tcPr>
            <w:tcW w:w="73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Cs w:val="21"/>
                <w:highlight w:val="none"/>
              </w:rPr>
            </w:pPr>
          </w:p>
        </w:tc>
      </w:tr>
    </w:tbl>
    <w:p>
      <w:pPr>
        <w:rPr>
          <w:rFonts w:ascii="宋体" w:hAnsi="宋体"/>
          <w:szCs w:val="21"/>
          <w:highlight w:val="none"/>
        </w:rPr>
      </w:pPr>
    </w:p>
    <w:p>
      <w:pPr>
        <w:rPr>
          <w:rFonts w:ascii="宋体" w:hAnsi="宋体"/>
          <w:szCs w:val="21"/>
          <w:highlight w:val="none"/>
        </w:rPr>
      </w:pPr>
      <w:r>
        <w:rPr>
          <w:rFonts w:hint="eastAsia" w:ascii="宋体" w:hAnsi="宋体"/>
          <w:szCs w:val="21"/>
          <w:highlight w:val="none"/>
        </w:rPr>
        <w:t>注：1．评审时评委对投标人是否满足要求逐条标注评审意见，“符合要求”标记为“○”，“不符合要求”标记为“×”；</w:t>
      </w:r>
    </w:p>
    <w:p>
      <w:pPr>
        <w:ind w:firstLine="420" w:firstLineChars="200"/>
        <w:rPr>
          <w:rFonts w:ascii="宋体" w:hAnsi="宋体"/>
          <w:szCs w:val="21"/>
          <w:highlight w:val="none"/>
        </w:rPr>
      </w:pPr>
      <w:r>
        <w:rPr>
          <w:rFonts w:hint="eastAsia" w:ascii="宋体" w:hAnsi="宋体"/>
          <w:szCs w:val="21"/>
          <w:highlight w:val="none"/>
        </w:rPr>
        <w:t>2．评审结论栏统一填写为“通过”或“不通过”，其中有一项或以上“不符合要求”的结论为“不通过”；</w:t>
      </w:r>
    </w:p>
    <w:p>
      <w:pPr>
        <w:ind w:firstLine="420" w:firstLineChars="200"/>
        <w:rPr>
          <w:rFonts w:ascii="宋体" w:hAnsi="宋体"/>
          <w:szCs w:val="21"/>
          <w:highlight w:val="none"/>
        </w:rPr>
      </w:pPr>
      <w:r>
        <w:rPr>
          <w:rFonts w:hint="eastAsia" w:ascii="宋体" w:hAnsi="宋体"/>
          <w:szCs w:val="21"/>
          <w:highlight w:val="none"/>
        </w:rPr>
        <w:t>3．对结论为“不通过”的投标，要说明原因。</w:t>
      </w:r>
    </w:p>
    <w:p>
      <w:pPr>
        <w:rPr>
          <w:rFonts w:ascii="宋体" w:hAnsi="宋体"/>
          <w:szCs w:val="21"/>
          <w:highlight w:val="none"/>
        </w:rPr>
      </w:pPr>
    </w:p>
    <w:p>
      <w:pPr>
        <w:spacing w:line="360" w:lineRule="auto"/>
        <w:ind w:firstLine="420" w:firstLineChars="200"/>
        <w:rPr>
          <w:rFonts w:ascii="宋体" w:hAnsi="宋体"/>
          <w:szCs w:val="21"/>
          <w:highlight w:val="none"/>
        </w:rPr>
      </w:pPr>
      <w:r>
        <w:rPr>
          <w:rFonts w:hint="eastAsia" w:ascii="宋体" w:hAnsi="宋体"/>
          <w:szCs w:val="21"/>
          <w:highlight w:val="none"/>
        </w:rPr>
        <w:t xml:space="preserve">评委签名：                                                                        </w:t>
      </w:r>
    </w:p>
    <w:p>
      <w:pPr>
        <w:spacing w:line="360" w:lineRule="auto"/>
        <w:ind w:firstLine="420" w:firstLineChars="200"/>
        <w:rPr>
          <w:rFonts w:ascii="宋体" w:hAnsi="宋体"/>
          <w:szCs w:val="21"/>
          <w:highlight w:val="none"/>
        </w:rPr>
      </w:pPr>
      <w:r>
        <w:rPr>
          <w:rFonts w:hint="eastAsia" w:ascii="宋体" w:hAnsi="宋体"/>
          <w:szCs w:val="21"/>
          <w:highlight w:val="none"/>
        </w:rPr>
        <w:t>监督人员签名：</w:t>
      </w:r>
    </w:p>
    <w:p>
      <w:pPr>
        <w:rPr>
          <w:rFonts w:ascii="宋体" w:hAnsi="Arial"/>
          <w:b/>
          <w:bCs/>
          <w:sz w:val="24"/>
          <w:highlight w:val="none"/>
        </w:rPr>
      </w:pPr>
      <w:r>
        <w:rPr>
          <w:rFonts w:hint="eastAsia" w:ascii="宋体" w:hAnsi="宋体"/>
          <w:szCs w:val="21"/>
          <w:highlight w:val="none"/>
        </w:rPr>
        <w:t xml:space="preserve">    日期：</w:t>
      </w:r>
      <w:r>
        <w:rPr>
          <w:sz w:val="24"/>
          <w:highlight w:val="none"/>
        </w:rPr>
        <w:br w:type="page"/>
      </w:r>
    </w:p>
    <w:p>
      <w:pPr>
        <w:pStyle w:val="3"/>
        <w:numPr>
          <w:ilvl w:val="0"/>
          <w:numId w:val="0"/>
        </w:numPr>
        <w:snapToGrid w:val="0"/>
        <w:spacing w:before="120" w:after="120"/>
        <w:jc w:val="left"/>
        <w:rPr>
          <w:rFonts w:hAnsi="宋体"/>
          <w:b w:val="0"/>
          <w:sz w:val="24"/>
          <w:szCs w:val="24"/>
          <w:highlight w:val="none"/>
        </w:rPr>
      </w:pPr>
      <w:bookmarkStart w:id="369" w:name="_Toc11685"/>
      <w:bookmarkStart w:id="370" w:name="_Toc1044"/>
      <w:bookmarkStart w:id="371" w:name="_Toc2778"/>
      <w:bookmarkStart w:id="372" w:name="_Toc4902"/>
      <w:bookmarkStart w:id="373" w:name="_Toc880"/>
      <w:bookmarkStart w:id="374" w:name="_Toc18271"/>
      <w:r>
        <w:rPr>
          <w:rFonts w:hint="eastAsia"/>
          <w:sz w:val="24"/>
          <w:szCs w:val="24"/>
          <w:highlight w:val="none"/>
        </w:rPr>
        <w:t>附表3：价格投标文件有效性审查表</w:t>
      </w:r>
      <w:bookmarkEnd w:id="369"/>
      <w:bookmarkEnd w:id="370"/>
      <w:bookmarkEnd w:id="371"/>
      <w:bookmarkEnd w:id="372"/>
      <w:bookmarkEnd w:id="373"/>
      <w:bookmarkEnd w:id="374"/>
    </w:p>
    <w:p>
      <w:pPr>
        <w:spacing w:line="400" w:lineRule="exact"/>
        <w:rPr>
          <w:rFonts w:ascii="宋体" w:hAnsi="宋体"/>
          <w:b/>
          <w:sz w:val="24"/>
          <w:highlight w:val="none"/>
        </w:rPr>
      </w:pPr>
    </w:p>
    <w:p>
      <w:pPr>
        <w:rPr>
          <w:rFonts w:ascii="宋体" w:hAnsi="宋体"/>
          <w:szCs w:val="21"/>
          <w:highlight w:val="none"/>
        </w:rPr>
      </w:pPr>
      <w:r>
        <w:rPr>
          <w:rFonts w:hint="eastAsia" w:ascii="宋体" w:hAnsi="宋体"/>
          <w:szCs w:val="21"/>
          <w:highlight w:val="none"/>
        </w:rPr>
        <w:t>项目</w:t>
      </w:r>
      <w:r>
        <w:rPr>
          <w:rFonts w:ascii="宋体" w:hAnsi="宋体"/>
          <w:vanish/>
          <w:szCs w:val="21"/>
          <w:highlight w:val="none"/>
        </w:rPr>
        <w:cr/>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ascii="宋体" w:hAnsi="宋体"/>
          <w:vanish/>
          <w:szCs w:val="21"/>
          <w:highlight w:val="none"/>
        </w:rPr>
        <w:pgNum/>
      </w:r>
      <w:r>
        <w:rPr>
          <w:rFonts w:hint="eastAsia" w:ascii="宋体" w:hAnsi="宋体"/>
          <w:vanish/>
          <w:szCs w:val="21"/>
          <w:highlight w:val="none"/>
        </w:rPr>
        <w:t>项目项目</w:t>
      </w:r>
      <w:r>
        <w:rPr>
          <w:rFonts w:hint="eastAsia" w:ascii="宋体" w:hAnsi="宋体"/>
          <w:szCs w:val="21"/>
          <w:highlight w:val="none"/>
        </w:rPr>
        <w:t>名称：</w:t>
      </w:r>
      <w:r>
        <w:rPr>
          <w:rFonts w:hint="eastAsia"/>
          <w:color w:val="000000"/>
          <w:highlight w:val="none"/>
        </w:rPr>
        <w:t>佛山市恒益环保建材有限公司加气砌块生产辅助业务外委采购项目</w:t>
      </w:r>
    </w:p>
    <w:tbl>
      <w:tblPr>
        <w:tblStyle w:val="42"/>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
        <w:gridCol w:w="5822"/>
        <w:gridCol w:w="503"/>
        <w:gridCol w:w="503"/>
        <w:gridCol w:w="503"/>
        <w:gridCol w:w="503"/>
        <w:gridCol w:w="503"/>
        <w:gridCol w:w="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blHeader/>
        </w:trPr>
        <w:tc>
          <w:tcPr>
            <w:tcW w:w="402" w:type="dxa"/>
            <w:vAlign w:val="center"/>
          </w:tcPr>
          <w:p>
            <w:pPr>
              <w:tabs>
                <w:tab w:val="left" w:pos="720"/>
              </w:tabs>
              <w:autoSpaceDE w:val="0"/>
              <w:autoSpaceDN w:val="0"/>
              <w:adjustRightInd w:val="0"/>
              <w:snapToGrid w:val="0"/>
              <w:jc w:val="center"/>
              <w:rPr>
                <w:rFonts w:ascii="宋体" w:hAnsi="宋体"/>
                <w:szCs w:val="21"/>
                <w:highlight w:val="none"/>
              </w:rPr>
            </w:pPr>
            <w:r>
              <w:rPr>
                <w:rFonts w:hint="eastAsia" w:ascii="宋体" w:hAnsi="宋体"/>
                <w:szCs w:val="21"/>
                <w:highlight w:val="none"/>
              </w:rPr>
              <w:t>序号</w:t>
            </w:r>
          </w:p>
        </w:tc>
        <w:tc>
          <w:tcPr>
            <w:tcW w:w="5822" w:type="dxa"/>
            <w:tcBorders>
              <w:tl2br w:val="single" w:color="auto" w:sz="4" w:space="0"/>
            </w:tcBorders>
          </w:tcPr>
          <w:p>
            <w:pPr>
              <w:tabs>
                <w:tab w:val="left" w:pos="720"/>
              </w:tabs>
              <w:autoSpaceDE w:val="0"/>
              <w:autoSpaceDN w:val="0"/>
              <w:adjustRightInd w:val="0"/>
              <w:snapToGrid w:val="0"/>
              <w:ind w:firstLine="840" w:firstLineChars="400"/>
              <w:jc w:val="center"/>
              <w:rPr>
                <w:rFonts w:ascii="宋体" w:hAnsi="宋体"/>
                <w:szCs w:val="21"/>
                <w:highlight w:val="none"/>
              </w:rPr>
            </w:pPr>
            <w:r>
              <w:rPr>
                <w:rFonts w:hint="eastAsia" w:ascii="宋体" w:hAnsi="宋体"/>
                <w:szCs w:val="21"/>
                <w:highlight w:val="none"/>
              </w:rPr>
              <w:t>投标单位</w:t>
            </w:r>
          </w:p>
          <w:p>
            <w:pPr>
              <w:tabs>
                <w:tab w:val="left" w:pos="720"/>
              </w:tabs>
              <w:autoSpaceDE w:val="0"/>
              <w:autoSpaceDN w:val="0"/>
              <w:adjustRightInd w:val="0"/>
              <w:snapToGrid w:val="0"/>
              <w:rPr>
                <w:rFonts w:ascii="宋体" w:hAnsi="宋体"/>
                <w:szCs w:val="21"/>
                <w:highlight w:val="none"/>
              </w:rPr>
            </w:pPr>
            <w:r>
              <w:rPr>
                <w:rFonts w:hint="eastAsia" w:ascii="宋体" w:hAnsi="宋体"/>
                <w:szCs w:val="21"/>
                <w:highlight w:val="none"/>
              </w:rPr>
              <w:t>评审内容</w:t>
            </w:r>
          </w:p>
        </w:tc>
        <w:tc>
          <w:tcPr>
            <w:tcW w:w="503" w:type="dxa"/>
          </w:tcPr>
          <w:p>
            <w:pPr>
              <w:tabs>
                <w:tab w:val="left" w:pos="720"/>
              </w:tabs>
              <w:autoSpaceDE w:val="0"/>
              <w:autoSpaceDN w:val="0"/>
              <w:adjustRightInd w:val="0"/>
              <w:snapToGrid w:val="0"/>
              <w:rPr>
                <w:rFonts w:ascii="宋体" w:hAnsi="宋体"/>
                <w:b/>
                <w:szCs w:val="21"/>
                <w:highlight w:val="none"/>
              </w:rPr>
            </w:pPr>
          </w:p>
        </w:tc>
        <w:tc>
          <w:tcPr>
            <w:tcW w:w="503" w:type="dxa"/>
          </w:tcPr>
          <w:p>
            <w:pPr>
              <w:tabs>
                <w:tab w:val="left" w:pos="720"/>
              </w:tabs>
              <w:autoSpaceDE w:val="0"/>
              <w:autoSpaceDN w:val="0"/>
              <w:adjustRightInd w:val="0"/>
              <w:snapToGrid w:val="0"/>
              <w:rPr>
                <w:rFonts w:ascii="宋体" w:hAnsi="宋体"/>
                <w:b/>
                <w:szCs w:val="21"/>
                <w:highlight w:val="none"/>
              </w:rPr>
            </w:pPr>
          </w:p>
        </w:tc>
        <w:tc>
          <w:tcPr>
            <w:tcW w:w="503" w:type="dxa"/>
          </w:tcPr>
          <w:p>
            <w:pPr>
              <w:tabs>
                <w:tab w:val="left" w:pos="720"/>
              </w:tabs>
              <w:autoSpaceDE w:val="0"/>
              <w:autoSpaceDN w:val="0"/>
              <w:adjustRightInd w:val="0"/>
              <w:snapToGrid w:val="0"/>
              <w:rPr>
                <w:rFonts w:ascii="宋体" w:hAnsi="宋体"/>
                <w:b/>
                <w:szCs w:val="21"/>
                <w:highlight w:val="none"/>
              </w:rPr>
            </w:pPr>
          </w:p>
        </w:tc>
        <w:tc>
          <w:tcPr>
            <w:tcW w:w="503" w:type="dxa"/>
          </w:tcPr>
          <w:p>
            <w:pPr>
              <w:rPr>
                <w:rFonts w:ascii="宋体" w:hAnsi="宋体"/>
                <w:b/>
                <w:szCs w:val="21"/>
                <w:highlight w:val="none"/>
              </w:rPr>
            </w:pPr>
          </w:p>
        </w:tc>
        <w:tc>
          <w:tcPr>
            <w:tcW w:w="503" w:type="dxa"/>
          </w:tcPr>
          <w:p>
            <w:pPr>
              <w:rPr>
                <w:rFonts w:ascii="宋体" w:hAnsi="宋体"/>
                <w:b/>
                <w:szCs w:val="21"/>
                <w:highlight w:val="none"/>
              </w:rPr>
            </w:pPr>
          </w:p>
        </w:tc>
        <w:tc>
          <w:tcPr>
            <w:tcW w:w="503" w:type="dxa"/>
          </w:tcPr>
          <w:p>
            <w:pPr>
              <w:rPr>
                <w:rFonts w:ascii="宋体" w:hAnsi="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402" w:type="dxa"/>
            <w:vAlign w:val="center"/>
          </w:tcPr>
          <w:p>
            <w:pPr>
              <w:tabs>
                <w:tab w:val="left" w:pos="720"/>
              </w:tabs>
              <w:autoSpaceDE w:val="0"/>
              <w:autoSpaceDN w:val="0"/>
              <w:adjustRightInd w:val="0"/>
              <w:snapToGrid w:val="0"/>
              <w:jc w:val="center"/>
              <w:rPr>
                <w:rFonts w:ascii="宋体" w:hAnsi="宋体"/>
                <w:szCs w:val="21"/>
                <w:highlight w:val="none"/>
              </w:rPr>
            </w:pPr>
            <w:r>
              <w:rPr>
                <w:rFonts w:hint="eastAsia" w:ascii="宋体" w:hAnsi="宋体"/>
                <w:szCs w:val="21"/>
                <w:highlight w:val="none"/>
              </w:rPr>
              <w:t>1</w:t>
            </w:r>
          </w:p>
        </w:tc>
        <w:tc>
          <w:tcPr>
            <w:tcW w:w="5822" w:type="dxa"/>
            <w:vAlign w:val="center"/>
          </w:tcPr>
          <w:p>
            <w:pPr>
              <w:autoSpaceDE w:val="0"/>
              <w:autoSpaceDN w:val="0"/>
              <w:adjustRightInd w:val="0"/>
              <w:rPr>
                <w:rFonts w:ascii="宋体" w:hAnsi="宋体" w:cs="宋体"/>
                <w:szCs w:val="21"/>
                <w:highlight w:val="none"/>
              </w:rPr>
            </w:pPr>
            <w:r>
              <w:rPr>
                <w:rFonts w:hint="eastAsia" w:ascii="宋体" w:hAnsi="宋体" w:cs="Arial"/>
                <w:szCs w:val="21"/>
                <w:highlight w:val="none"/>
              </w:rPr>
              <w:t>投标文件按招标文件的要求加盖投标单位公章，经法定代表人或授权委托人签署；</w:t>
            </w:r>
          </w:p>
        </w:tc>
        <w:tc>
          <w:tcPr>
            <w:tcW w:w="503" w:type="dxa"/>
          </w:tcPr>
          <w:p>
            <w:pPr>
              <w:tabs>
                <w:tab w:val="left" w:pos="720"/>
              </w:tabs>
              <w:autoSpaceDE w:val="0"/>
              <w:autoSpaceDN w:val="0"/>
              <w:adjustRightInd w:val="0"/>
              <w:snapToGrid w:val="0"/>
              <w:rPr>
                <w:rFonts w:ascii="宋体" w:hAnsi="宋体"/>
                <w:szCs w:val="21"/>
                <w:highlight w:val="none"/>
              </w:rPr>
            </w:pPr>
          </w:p>
        </w:tc>
        <w:tc>
          <w:tcPr>
            <w:tcW w:w="503" w:type="dxa"/>
          </w:tcPr>
          <w:p>
            <w:pPr>
              <w:tabs>
                <w:tab w:val="left" w:pos="720"/>
              </w:tabs>
              <w:autoSpaceDE w:val="0"/>
              <w:autoSpaceDN w:val="0"/>
              <w:adjustRightInd w:val="0"/>
              <w:snapToGrid w:val="0"/>
              <w:rPr>
                <w:rFonts w:ascii="宋体" w:hAnsi="宋体"/>
                <w:szCs w:val="21"/>
                <w:highlight w:val="none"/>
              </w:rPr>
            </w:pPr>
          </w:p>
        </w:tc>
        <w:tc>
          <w:tcPr>
            <w:tcW w:w="503" w:type="dxa"/>
          </w:tcPr>
          <w:p>
            <w:pPr>
              <w:tabs>
                <w:tab w:val="left" w:pos="720"/>
              </w:tabs>
              <w:autoSpaceDE w:val="0"/>
              <w:autoSpaceDN w:val="0"/>
              <w:adjustRightInd w:val="0"/>
              <w:snapToGrid w:val="0"/>
              <w:rPr>
                <w:rFonts w:ascii="宋体" w:hAnsi="宋体"/>
                <w:szCs w:val="21"/>
                <w:highlight w:val="none"/>
              </w:rPr>
            </w:pPr>
          </w:p>
        </w:tc>
        <w:tc>
          <w:tcPr>
            <w:tcW w:w="503" w:type="dxa"/>
          </w:tcPr>
          <w:p>
            <w:pPr>
              <w:rPr>
                <w:rFonts w:ascii="宋体" w:hAnsi="宋体"/>
                <w:szCs w:val="21"/>
                <w:highlight w:val="none"/>
              </w:rPr>
            </w:pPr>
          </w:p>
        </w:tc>
        <w:tc>
          <w:tcPr>
            <w:tcW w:w="503" w:type="dxa"/>
          </w:tcPr>
          <w:p>
            <w:pPr>
              <w:rPr>
                <w:rFonts w:ascii="宋体" w:hAnsi="宋体"/>
                <w:szCs w:val="21"/>
                <w:highlight w:val="none"/>
              </w:rPr>
            </w:pPr>
          </w:p>
        </w:tc>
        <w:tc>
          <w:tcPr>
            <w:tcW w:w="503" w:type="dxa"/>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 w:type="dxa"/>
            <w:vAlign w:val="center"/>
          </w:tcPr>
          <w:p>
            <w:pPr>
              <w:tabs>
                <w:tab w:val="left" w:pos="720"/>
              </w:tabs>
              <w:autoSpaceDE w:val="0"/>
              <w:autoSpaceDN w:val="0"/>
              <w:adjustRightInd w:val="0"/>
              <w:snapToGrid w:val="0"/>
              <w:jc w:val="center"/>
              <w:rPr>
                <w:rFonts w:ascii="宋体" w:hAnsi="宋体"/>
                <w:szCs w:val="21"/>
                <w:highlight w:val="none"/>
              </w:rPr>
            </w:pPr>
            <w:r>
              <w:rPr>
                <w:rFonts w:hint="eastAsia" w:ascii="宋体" w:hAnsi="宋体"/>
                <w:szCs w:val="21"/>
                <w:highlight w:val="none"/>
              </w:rPr>
              <w:t>2</w:t>
            </w:r>
          </w:p>
        </w:tc>
        <w:tc>
          <w:tcPr>
            <w:tcW w:w="5822" w:type="dxa"/>
            <w:vAlign w:val="center"/>
          </w:tcPr>
          <w:p>
            <w:pPr>
              <w:autoSpaceDE w:val="0"/>
              <w:autoSpaceDN w:val="0"/>
              <w:adjustRightInd w:val="0"/>
              <w:rPr>
                <w:rFonts w:ascii="宋体" w:hAnsi="宋体" w:cs="宋体"/>
                <w:szCs w:val="21"/>
                <w:highlight w:val="none"/>
              </w:rPr>
            </w:pPr>
            <w:r>
              <w:rPr>
                <w:rFonts w:hint="eastAsia" w:ascii="宋体" w:hAnsi="宋体" w:cs="Arial"/>
                <w:szCs w:val="21"/>
                <w:highlight w:val="none"/>
              </w:rPr>
              <w:t>没有出现对本次招标递交了两份或两份以上内容不同的投标文件或报价，且未明确哪份投标文件或报价有效情况</w:t>
            </w:r>
            <w:r>
              <w:rPr>
                <w:rFonts w:hint="eastAsia" w:ascii="宋体" w:hAnsi="宋体"/>
                <w:highlight w:val="none"/>
              </w:rPr>
              <w:t>；</w:t>
            </w:r>
          </w:p>
        </w:tc>
        <w:tc>
          <w:tcPr>
            <w:tcW w:w="503" w:type="dxa"/>
          </w:tcPr>
          <w:p>
            <w:pPr>
              <w:tabs>
                <w:tab w:val="left" w:pos="720"/>
              </w:tabs>
              <w:autoSpaceDE w:val="0"/>
              <w:autoSpaceDN w:val="0"/>
              <w:adjustRightInd w:val="0"/>
              <w:snapToGrid w:val="0"/>
              <w:rPr>
                <w:rFonts w:ascii="宋体" w:hAnsi="宋体"/>
                <w:szCs w:val="21"/>
                <w:highlight w:val="none"/>
              </w:rPr>
            </w:pPr>
          </w:p>
        </w:tc>
        <w:tc>
          <w:tcPr>
            <w:tcW w:w="503" w:type="dxa"/>
          </w:tcPr>
          <w:p>
            <w:pPr>
              <w:tabs>
                <w:tab w:val="left" w:pos="720"/>
              </w:tabs>
              <w:autoSpaceDE w:val="0"/>
              <w:autoSpaceDN w:val="0"/>
              <w:adjustRightInd w:val="0"/>
              <w:snapToGrid w:val="0"/>
              <w:rPr>
                <w:rFonts w:ascii="宋体" w:hAnsi="宋体"/>
                <w:szCs w:val="21"/>
                <w:highlight w:val="none"/>
              </w:rPr>
            </w:pPr>
          </w:p>
        </w:tc>
        <w:tc>
          <w:tcPr>
            <w:tcW w:w="503" w:type="dxa"/>
          </w:tcPr>
          <w:p>
            <w:pPr>
              <w:tabs>
                <w:tab w:val="left" w:pos="720"/>
              </w:tabs>
              <w:autoSpaceDE w:val="0"/>
              <w:autoSpaceDN w:val="0"/>
              <w:adjustRightInd w:val="0"/>
              <w:snapToGrid w:val="0"/>
              <w:rPr>
                <w:rFonts w:ascii="宋体" w:hAnsi="宋体"/>
                <w:szCs w:val="21"/>
                <w:highlight w:val="none"/>
              </w:rPr>
            </w:pPr>
          </w:p>
        </w:tc>
        <w:tc>
          <w:tcPr>
            <w:tcW w:w="503" w:type="dxa"/>
          </w:tcPr>
          <w:p>
            <w:pPr>
              <w:rPr>
                <w:rFonts w:ascii="宋体" w:hAnsi="宋体"/>
                <w:szCs w:val="21"/>
                <w:highlight w:val="none"/>
              </w:rPr>
            </w:pPr>
          </w:p>
        </w:tc>
        <w:tc>
          <w:tcPr>
            <w:tcW w:w="503" w:type="dxa"/>
          </w:tcPr>
          <w:p>
            <w:pPr>
              <w:rPr>
                <w:rFonts w:ascii="宋体" w:hAnsi="宋体"/>
                <w:szCs w:val="21"/>
                <w:highlight w:val="none"/>
              </w:rPr>
            </w:pPr>
          </w:p>
        </w:tc>
        <w:tc>
          <w:tcPr>
            <w:tcW w:w="503" w:type="dxa"/>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402" w:type="dxa"/>
            <w:vAlign w:val="center"/>
          </w:tcPr>
          <w:p>
            <w:pPr>
              <w:tabs>
                <w:tab w:val="left" w:pos="720"/>
              </w:tabs>
              <w:autoSpaceDE w:val="0"/>
              <w:autoSpaceDN w:val="0"/>
              <w:adjustRightInd w:val="0"/>
              <w:snapToGrid w:val="0"/>
              <w:jc w:val="center"/>
              <w:rPr>
                <w:rFonts w:ascii="宋体" w:hAnsi="宋体"/>
                <w:szCs w:val="21"/>
                <w:highlight w:val="none"/>
              </w:rPr>
            </w:pPr>
            <w:r>
              <w:rPr>
                <w:rFonts w:hint="eastAsia" w:ascii="宋体" w:hAnsi="宋体"/>
                <w:szCs w:val="21"/>
                <w:highlight w:val="none"/>
              </w:rPr>
              <w:t>3</w:t>
            </w:r>
          </w:p>
        </w:tc>
        <w:tc>
          <w:tcPr>
            <w:tcW w:w="5822" w:type="dxa"/>
            <w:vAlign w:val="center"/>
          </w:tcPr>
          <w:p>
            <w:pPr>
              <w:autoSpaceDE w:val="0"/>
              <w:autoSpaceDN w:val="0"/>
              <w:adjustRightInd w:val="0"/>
              <w:rPr>
                <w:rFonts w:ascii="宋体" w:hAnsi="宋体" w:cs="宋体"/>
                <w:szCs w:val="21"/>
                <w:highlight w:val="none"/>
              </w:rPr>
            </w:pPr>
            <w:r>
              <w:rPr>
                <w:rFonts w:hint="eastAsia" w:ascii="宋体" w:hAnsi="宋体" w:cs="宋体"/>
                <w:szCs w:val="21"/>
                <w:highlight w:val="none"/>
              </w:rPr>
              <w:t>投标报价没有高于</w:t>
            </w:r>
            <w:r>
              <w:rPr>
                <w:rFonts w:hint="eastAsia" w:ascii="宋体" w:hAnsi="宋体"/>
                <w:szCs w:val="21"/>
                <w:highlight w:val="none"/>
              </w:rPr>
              <w:t>最高限价；</w:t>
            </w:r>
          </w:p>
        </w:tc>
        <w:tc>
          <w:tcPr>
            <w:tcW w:w="503" w:type="dxa"/>
          </w:tcPr>
          <w:p>
            <w:pPr>
              <w:tabs>
                <w:tab w:val="left" w:pos="720"/>
              </w:tabs>
              <w:autoSpaceDE w:val="0"/>
              <w:autoSpaceDN w:val="0"/>
              <w:adjustRightInd w:val="0"/>
              <w:snapToGrid w:val="0"/>
              <w:rPr>
                <w:rFonts w:ascii="宋体" w:hAnsi="宋体"/>
                <w:szCs w:val="21"/>
                <w:highlight w:val="none"/>
              </w:rPr>
            </w:pPr>
          </w:p>
        </w:tc>
        <w:tc>
          <w:tcPr>
            <w:tcW w:w="503" w:type="dxa"/>
          </w:tcPr>
          <w:p>
            <w:pPr>
              <w:tabs>
                <w:tab w:val="left" w:pos="720"/>
              </w:tabs>
              <w:autoSpaceDE w:val="0"/>
              <w:autoSpaceDN w:val="0"/>
              <w:adjustRightInd w:val="0"/>
              <w:snapToGrid w:val="0"/>
              <w:rPr>
                <w:rFonts w:ascii="宋体" w:hAnsi="宋体"/>
                <w:szCs w:val="21"/>
                <w:highlight w:val="none"/>
              </w:rPr>
            </w:pPr>
          </w:p>
        </w:tc>
        <w:tc>
          <w:tcPr>
            <w:tcW w:w="503" w:type="dxa"/>
          </w:tcPr>
          <w:p>
            <w:pPr>
              <w:tabs>
                <w:tab w:val="left" w:pos="720"/>
              </w:tabs>
              <w:autoSpaceDE w:val="0"/>
              <w:autoSpaceDN w:val="0"/>
              <w:adjustRightInd w:val="0"/>
              <w:snapToGrid w:val="0"/>
              <w:rPr>
                <w:rFonts w:ascii="宋体" w:hAnsi="宋体"/>
                <w:szCs w:val="21"/>
                <w:highlight w:val="none"/>
              </w:rPr>
            </w:pPr>
          </w:p>
        </w:tc>
        <w:tc>
          <w:tcPr>
            <w:tcW w:w="503" w:type="dxa"/>
          </w:tcPr>
          <w:p>
            <w:pPr>
              <w:rPr>
                <w:rFonts w:ascii="宋体" w:hAnsi="宋体"/>
                <w:szCs w:val="21"/>
                <w:highlight w:val="none"/>
              </w:rPr>
            </w:pPr>
          </w:p>
        </w:tc>
        <w:tc>
          <w:tcPr>
            <w:tcW w:w="503" w:type="dxa"/>
          </w:tcPr>
          <w:p>
            <w:pPr>
              <w:rPr>
                <w:rFonts w:ascii="宋体" w:hAnsi="宋体"/>
                <w:szCs w:val="21"/>
                <w:highlight w:val="none"/>
              </w:rPr>
            </w:pPr>
          </w:p>
        </w:tc>
        <w:tc>
          <w:tcPr>
            <w:tcW w:w="503" w:type="dxa"/>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 w:type="dxa"/>
            <w:vAlign w:val="center"/>
          </w:tcPr>
          <w:p>
            <w:pPr>
              <w:tabs>
                <w:tab w:val="left" w:pos="720"/>
              </w:tabs>
              <w:autoSpaceDE w:val="0"/>
              <w:autoSpaceDN w:val="0"/>
              <w:adjustRightInd w:val="0"/>
              <w:snapToGrid w:val="0"/>
              <w:jc w:val="center"/>
              <w:rPr>
                <w:rFonts w:ascii="宋体" w:hAnsi="宋体"/>
                <w:szCs w:val="21"/>
                <w:highlight w:val="none"/>
              </w:rPr>
            </w:pPr>
            <w:r>
              <w:rPr>
                <w:rFonts w:hint="eastAsia" w:ascii="宋体" w:hAnsi="宋体"/>
                <w:szCs w:val="21"/>
                <w:highlight w:val="none"/>
              </w:rPr>
              <w:t>4</w:t>
            </w:r>
          </w:p>
        </w:tc>
        <w:tc>
          <w:tcPr>
            <w:tcW w:w="5822" w:type="dxa"/>
            <w:vAlign w:val="center"/>
          </w:tcPr>
          <w:p>
            <w:pPr>
              <w:autoSpaceDE w:val="0"/>
              <w:autoSpaceDN w:val="0"/>
              <w:adjustRightInd w:val="0"/>
              <w:rPr>
                <w:rFonts w:ascii="宋体" w:hAnsi="宋体" w:cs="宋体"/>
                <w:szCs w:val="21"/>
                <w:highlight w:val="none"/>
              </w:rPr>
            </w:pPr>
            <w:r>
              <w:rPr>
                <w:rFonts w:hint="eastAsia" w:ascii="宋体" w:hAnsi="宋体" w:cs="宋体"/>
                <w:szCs w:val="21"/>
                <w:highlight w:val="none"/>
              </w:rPr>
              <w:t>投标报价没有低于企业成本（投标人的报价低于成本警戒价，使得其投标报价可能低于其个别成本，又不能合理说明或者不能提供相关证明材料，评标委员会认定该投标人低于成本报价的）；</w:t>
            </w:r>
          </w:p>
        </w:tc>
        <w:tc>
          <w:tcPr>
            <w:tcW w:w="503" w:type="dxa"/>
          </w:tcPr>
          <w:p>
            <w:pPr>
              <w:tabs>
                <w:tab w:val="left" w:pos="720"/>
              </w:tabs>
              <w:autoSpaceDE w:val="0"/>
              <w:autoSpaceDN w:val="0"/>
              <w:adjustRightInd w:val="0"/>
              <w:snapToGrid w:val="0"/>
              <w:rPr>
                <w:rFonts w:ascii="宋体" w:hAnsi="宋体"/>
                <w:szCs w:val="21"/>
                <w:highlight w:val="none"/>
              </w:rPr>
            </w:pPr>
          </w:p>
        </w:tc>
        <w:tc>
          <w:tcPr>
            <w:tcW w:w="503" w:type="dxa"/>
          </w:tcPr>
          <w:p>
            <w:pPr>
              <w:tabs>
                <w:tab w:val="left" w:pos="720"/>
              </w:tabs>
              <w:autoSpaceDE w:val="0"/>
              <w:autoSpaceDN w:val="0"/>
              <w:adjustRightInd w:val="0"/>
              <w:snapToGrid w:val="0"/>
              <w:rPr>
                <w:rFonts w:ascii="宋体" w:hAnsi="宋体"/>
                <w:szCs w:val="21"/>
                <w:highlight w:val="none"/>
              </w:rPr>
            </w:pPr>
          </w:p>
        </w:tc>
        <w:tc>
          <w:tcPr>
            <w:tcW w:w="503" w:type="dxa"/>
          </w:tcPr>
          <w:p>
            <w:pPr>
              <w:tabs>
                <w:tab w:val="left" w:pos="720"/>
              </w:tabs>
              <w:autoSpaceDE w:val="0"/>
              <w:autoSpaceDN w:val="0"/>
              <w:adjustRightInd w:val="0"/>
              <w:snapToGrid w:val="0"/>
              <w:rPr>
                <w:rFonts w:ascii="宋体" w:hAnsi="宋体"/>
                <w:szCs w:val="21"/>
                <w:highlight w:val="none"/>
              </w:rPr>
            </w:pPr>
          </w:p>
        </w:tc>
        <w:tc>
          <w:tcPr>
            <w:tcW w:w="503" w:type="dxa"/>
          </w:tcPr>
          <w:p>
            <w:pPr>
              <w:rPr>
                <w:rFonts w:ascii="宋体" w:hAnsi="宋体"/>
                <w:szCs w:val="21"/>
                <w:highlight w:val="none"/>
              </w:rPr>
            </w:pPr>
          </w:p>
        </w:tc>
        <w:tc>
          <w:tcPr>
            <w:tcW w:w="503" w:type="dxa"/>
          </w:tcPr>
          <w:p>
            <w:pPr>
              <w:rPr>
                <w:rFonts w:ascii="宋体" w:hAnsi="宋体"/>
                <w:szCs w:val="21"/>
                <w:highlight w:val="none"/>
              </w:rPr>
            </w:pPr>
          </w:p>
        </w:tc>
        <w:tc>
          <w:tcPr>
            <w:tcW w:w="503" w:type="dxa"/>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402" w:type="dxa"/>
            <w:vAlign w:val="center"/>
          </w:tcPr>
          <w:p>
            <w:pPr>
              <w:tabs>
                <w:tab w:val="left" w:pos="720"/>
              </w:tabs>
              <w:autoSpaceDE w:val="0"/>
              <w:autoSpaceDN w:val="0"/>
              <w:adjustRightInd w:val="0"/>
              <w:snapToGrid w:val="0"/>
              <w:jc w:val="center"/>
              <w:rPr>
                <w:rFonts w:ascii="宋体" w:hAnsi="宋体"/>
                <w:szCs w:val="21"/>
                <w:highlight w:val="none"/>
              </w:rPr>
            </w:pPr>
            <w:r>
              <w:rPr>
                <w:rFonts w:hint="eastAsia" w:ascii="宋体" w:hAnsi="宋体"/>
                <w:szCs w:val="21"/>
                <w:highlight w:val="none"/>
              </w:rPr>
              <w:t>5</w:t>
            </w:r>
          </w:p>
        </w:tc>
        <w:tc>
          <w:tcPr>
            <w:tcW w:w="5822" w:type="dxa"/>
            <w:vAlign w:val="center"/>
          </w:tcPr>
          <w:p>
            <w:pPr>
              <w:autoSpaceDE w:val="0"/>
              <w:autoSpaceDN w:val="0"/>
              <w:adjustRightInd w:val="0"/>
              <w:rPr>
                <w:rFonts w:ascii="宋体" w:hAnsi="宋体" w:cs="宋体"/>
                <w:szCs w:val="21"/>
                <w:highlight w:val="none"/>
              </w:rPr>
            </w:pPr>
            <w:r>
              <w:rPr>
                <w:rFonts w:hint="eastAsia" w:ascii="宋体" w:hAnsi="宋体"/>
                <w:highlight w:val="none"/>
              </w:rPr>
              <w:t>投标文件中未提交滑动价格，且无任何包含价格调整要求；</w:t>
            </w:r>
          </w:p>
        </w:tc>
        <w:tc>
          <w:tcPr>
            <w:tcW w:w="503" w:type="dxa"/>
          </w:tcPr>
          <w:p>
            <w:pPr>
              <w:tabs>
                <w:tab w:val="left" w:pos="720"/>
              </w:tabs>
              <w:autoSpaceDE w:val="0"/>
              <w:autoSpaceDN w:val="0"/>
              <w:adjustRightInd w:val="0"/>
              <w:snapToGrid w:val="0"/>
              <w:rPr>
                <w:rFonts w:ascii="宋体" w:hAnsi="宋体"/>
                <w:szCs w:val="21"/>
                <w:highlight w:val="none"/>
              </w:rPr>
            </w:pPr>
          </w:p>
        </w:tc>
        <w:tc>
          <w:tcPr>
            <w:tcW w:w="503" w:type="dxa"/>
          </w:tcPr>
          <w:p>
            <w:pPr>
              <w:tabs>
                <w:tab w:val="left" w:pos="720"/>
              </w:tabs>
              <w:autoSpaceDE w:val="0"/>
              <w:autoSpaceDN w:val="0"/>
              <w:adjustRightInd w:val="0"/>
              <w:snapToGrid w:val="0"/>
              <w:rPr>
                <w:rFonts w:ascii="宋体" w:hAnsi="宋体"/>
                <w:szCs w:val="21"/>
                <w:highlight w:val="none"/>
              </w:rPr>
            </w:pPr>
          </w:p>
        </w:tc>
        <w:tc>
          <w:tcPr>
            <w:tcW w:w="503" w:type="dxa"/>
          </w:tcPr>
          <w:p>
            <w:pPr>
              <w:tabs>
                <w:tab w:val="left" w:pos="720"/>
              </w:tabs>
              <w:autoSpaceDE w:val="0"/>
              <w:autoSpaceDN w:val="0"/>
              <w:adjustRightInd w:val="0"/>
              <w:snapToGrid w:val="0"/>
              <w:rPr>
                <w:rFonts w:ascii="宋体" w:hAnsi="宋体"/>
                <w:szCs w:val="21"/>
                <w:highlight w:val="none"/>
              </w:rPr>
            </w:pPr>
          </w:p>
        </w:tc>
        <w:tc>
          <w:tcPr>
            <w:tcW w:w="503" w:type="dxa"/>
          </w:tcPr>
          <w:p>
            <w:pPr>
              <w:rPr>
                <w:rFonts w:ascii="宋体" w:hAnsi="宋体"/>
                <w:szCs w:val="21"/>
                <w:highlight w:val="none"/>
              </w:rPr>
            </w:pPr>
          </w:p>
        </w:tc>
        <w:tc>
          <w:tcPr>
            <w:tcW w:w="503" w:type="dxa"/>
          </w:tcPr>
          <w:p>
            <w:pPr>
              <w:rPr>
                <w:rFonts w:ascii="宋体" w:hAnsi="宋体"/>
                <w:szCs w:val="21"/>
                <w:highlight w:val="none"/>
              </w:rPr>
            </w:pPr>
          </w:p>
        </w:tc>
        <w:tc>
          <w:tcPr>
            <w:tcW w:w="503" w:type="dxa"/>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402" w:type="dxa"/>
            <w:vAlign w:val="center"/>
          </w:tcPr>
          <w:p>
            <w:pPr>
              <w:tabs>
                <w:tab w:val="left" w:pos="720"/>
              </w:tabs>
              <w:autoSpaceDE w:val="0"/>
              <w:autoSpaceDN w:val="0"/>
              <w:adjustRightInd w:val="0"/>
              <w:snapToGrid w:val="0"/>
              <w:jc w:val="center"/>
              <w:rPr>
                <w:rFonts w:ascii="宋体" w:hAnsi="宋体"/>
                <w:szCs w:val="21"/>
                <w:highlight w:val="none"/>
              </w:rPr>
            </w:pPr>
            <w:r>
              <w:rPr>
                <w:rFonts w:hint="eastAsia" w:ascii="宋体" w:hAnsi="宋体"/>
                <w:szCs w:val="21"/>
                <w:highlight w:val="none"/>
              </w:rPr>
              <w:t>6</w:t>
            </w:r>
          </w:p>
        </w:tc>
        <w:tc>
          <w:tcPr>
            <w:tcW w:w="5822" w:type="dxa"/>
            <w:vAlign w:val="center"/>
          </w:tcPr>
          <w:p>
            <w:pPr>
              <w:autoSpaceDE w:val="0"/>
              <w:autoSpaceDN w:val="0"/>
              <w:adjustRightInd w:val="0"/>
              <w:rPr>
                <w:rFonts w:ascii="宋体" w:hAnsi="宋体"/>
                <w:highlight w:val="none"/>
              </w:rPr>
            </w:pPr>
            <w:r>
              <w:rPr>
                <w:rFonts w:hint="eastAsia" w:ascii="宋体" w:hAnsi="宋体"/>
                <w:highlight w:val="none"/>
              </w:rPr>
              <w:t>投标文件不存在：未按规定的格式填写，或主要内容不全，或关键字迹模糊、无法辨认的；</w:t>
            </w:r>
          </w:p>
        </w:tc>
        <w:tc>
          <w:tcPr>
            <w:tcW w:w="503" w:type="dxa"/>
          </w:tcPr>
          <w:p>
            <w:pPr>
              <w:tabs>
                <w:tab w:val="left" w:pos="720"/>
              </w:tabs>
              <w:autoSpaceDE w:val="0"/>
              <w:autoSpaceDN w:val="0"/>
              <w:adjustRightInd w:val="0"/>
              <w:snapToGrid w:val="0"/>
              <w:rPr>
                <w:rFonts w:ascii="宋体" w:hAnsi="宋体"/>
                <w:szCs w:val="21"/>
                <w:highlight w:val="none"/>
              </w:rPr>
            </w:pPr>
          </w:p>
        </w:tc>
        <w:tc>
          <w:tcPr>
            <w:tcW w:w="503" w:type="dxa"/>
          </w:tcPr>
          <w:p>
            <w:pPr>
              <w:tabs>
                <w:tab w:val="left" w:pos="720"/>
              </w:tabs>
              <w:autoSpaceDE w:val="0"/>
              <w:autoSpaceDN w:val="0"/>
              <w:adjustRightInd w:val="0"/>
              <w:snapToGrid w:val="0"/>
              <w:rPr>
                <w:rFonts w:ascii="宋体" w:hAnsi="宋体"/>
                <w:szCs w:val="21"/>
                <w:highlight w:val="none"/>
              </w:rPr>
            </w:pPr>
          </w:p>
        </w:tc>
        <w:tc>
          <w:tcPr>
            <w:tcW w:w="503" w:type="dxa"/>
          </w:tcPr>
          <w:p>
            <w:pPr>
              <w:tabs>
                <w:tab w:val="left" w:pos="720"/>
              </w:tabs>
              <w:autoSpaceDE w:val="0"/>
              <w:autoSpaceDN w:val="0"/>
              <w:adjustRightInd w:val="0"/>
              <w:snapToGrid w:val="0"/>
              <w:rPr>
                <w:rFonts w:ascii="宋体" w:hAnsi="宋体"/>
                <w:szCs w:val="21"/>
                <w:highlight w:val="none"/>
              </w:rPr>
            </w:pPr>
          </w:p>
        </w:tc>
        <w:tc>
          <w:tcPr>
            <w:tcW w:w="503" w:type="dxa"/>
          </w:tcPr>
          <w:p>
            <w:pPr>
              <w:rPr>
                <w:rFonts w:ascii="宋体" w:hAnsi="宋体"/>
                <w:szCs w:val="21"/>
                <w:highlight w:val="none"/>
              </w:rPr>
            </w:pPr>
          </w:p>
        </w:tc>
        <w:tc>
          <w:tcPr>
            <w:tcW w:w="503" w:type="dxa"/>
          </w:tcPr>
          <w:p>
            <w:pPr>
              <w:rPr>
                <w:rFonts w:ascii="宋体" w:hAnsi="宋体"/>
                <w:szCs w:val="21"/>
                <w:highlight w:val="none"/>
              </w:rPr>
            </w:pPr>
          </w:p>
        </w:tc>
        <w:tc>
          <w:tcPr>
            <w:tcW w:w="503" w:type="dxa"/>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 w:type="dxa"/>
            <w:vAlign w:val="center"/>
          </w:tcPr>
          <w:p>
            <w:pPr>
              <w:tabs>
                <w:tab w:val="left" w:pos="720"/>
              </w:tabs>
              <w:autoSpaceDE w:val="0"/>
              <w:autoSpaceDN w:val="0"/>
              <w:adjustRightInd w:val="0"/>
              <w:snapToGrid w:val="0"/>
              <w:jc w:val="center"/>
              <w:rPr>
                <w:rFonts w:ascii="宋体" w:hAnsi="宋体"/>
                <w:szCs w:val="21"/>
                <w:highlight w:val="none"/>
              </w:rPr>
            </w:pPr>
            <w:r>
              <w:rPr>
                <w:rFonts w:hint="eastAsia" w:ascii="宋体" w:hAnsi="宋体"/>
                <w:szCs w:val="21"/>
                <w:highlight w:val="none"/>
              </w:rPr>
              <w:t>7</w:t>
            </w:r>
          </w:p>
        </w:tc>
        <w:tc>
          <w:tcPr>
            <w:tcW w:w="5822" w:type="dxa"/>
            <w:vAlign w:val="center"/>
          </w:tcPr>
          <w:p>
            <w:pPr>
              <w:autoSpaceDE w:val="0"/>
              <w:autoSpaceDN w:val="0"/>
              <w:adjustRightInd w:val="0"/>
              <w:rPr>
                <w:rFonts w:ascii="宋体" w:hAnsi="宋体" w:cs="宋体"/>
                <w:szCs w:val="21"/>
                <w:highlight w:val="none"/>
              </w:rPr>
            </w:pPr>
            <w:r>
              <w:rPr>
                <w:rFonts w:hint="eastAsia" w:ascii="宋体" w:hAnsi="宋体" w:cs="宋体"/>
                <w:szCs w:val="21"/>
                <w:highlight w:val="none"/>
              </w:rPr>
              <w:t>不存在与其他投标人串通投标情形（串通投标情形以《中华人民共和国招标投标法实施条例》的规定为准）；</w:t>
            </w:r>
          </w:p>
        </w:tc>
        <w:tc>
          <w:tcPr>
            <w:tcW w:w="503" w:type="dxa"/>
          </w:tcPr>
          <w:p>
            <w:pPr>
              <w:tabs>
                <w:tab w:val="left" w:pos="720"/>
              </w:tabs>
              <w:autoSpaceDE w:val="0"/>
              <w:autoSpaceDN w:val="0"/>
              <w:adjustRightInd w:val="0"/>
              <w:snapToGrid w:val="0"/>
              <w:rPr>
                <w:rFonts w:ascii="宋体" w:hAnsi="宋体"/>
                <w:szCs w:val="21"/>
                <w:highlight w:val="none"/>
              </w:rPr>
            </w:pPr>
          </w:p>
        </w:tc>
        <w:tc>
          <w:tcPr>
            <w:tcW w:w="503" w:type="dxa"/>
          </w:tcPr>
          <w:p>
            <w:pPr>
              <w:tabs>
                <w:tab w:val="left" w:pos="720"/>
              </w:tabs>
              <w:autoSpaceDE w:val="0"/>
              <w:autoSpaceDN w:val="0"/>
              <w:adjustRightInd w:val="0"/>
              <w:snapToGrid w:val="0"/>
              <w:rPr>
                <w:rFonts w:ascii="宋体" w:hAnsi="宋体"/>
                <w:szCs w:val="21"/>
                <w:highlight w:val="none"/>
              </w:rPr>
            </w:pPr>
          </w:p>
        </w:tc>
        <w:tc>
          <w:tcPr>
            <w:tcW w:w="503" w:type="dxa"/>
          </w:tcPr>
          <w:p>
            <w:pPr>
              <w:tabs>
                <w:tab w:val="left" w:pos="720"/>
              </w:tabs>
              <w:autoSpaceDE w:val="0"/>
              <w:autoSpaceDN w:val="0"/>
              <w:adjustRightInd w:val="0"/>
              <w:snapToGrid w:val="0"/>
              <w:rPr>
                <w:rFonts w:ascii="宋体" w:hAnsi="宋体"/>
                <w:szCs w:val="21"/>
                <w:highlight w:val="none"/>
              </w:rPr>
            </w:pPr>
          </w:p>
        </w:tc>
        <w:tc>
          <w:tcPr>
            <w:tcW w:w="503" w:type="dxa"/>
          </w:tcPr>
          <w:p>
            <w:pPr>
              <w:rPr>
                <w:rFonts w:ascii="宋体" w:hAnsi="宋体"/>
                <w:szCs w:val="21"/>
                <w:highlight w:val="none"/>
              </w:rPr>
            </w:pPr>
          </w:p>
        </w:tc>
        <w:tc>
          <w:tcPr>
            <w:tcW w:w="503" w:type="dxa"/>
          </w:tcPr>
          <w:p>
            <w:pPr>
              <w:rPr>
                <w:rFonts w:ascii="宋体" w:hAnsi="宋体"/>
                <w:szCs w:val="21"/>
                <w:highlight w:val="none"/>
              </w:rPr>
            </w:pPr>
          </w:p>
        </w:tc>
        <w:tc>
          <w:tcPr>
            <w:tcW w:w="503" w:type="dxa"/>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402" w:type="dxa"/>
            <w:vAlign w:val="center"/>
          </w:tcPr>
          <w:p>
            <w:pPr>
              <w:tabs>
                <w:tab w:val="left" w:pos="720"/>
              </w:tabs>
              <w:autoSpaceDE w:val="0"/>
              <w:autoSpaceDN w:val="0"/>
              <w:adjustRightInd w:val="0"/>
              <w:snapToGrid w:val="0"/>
              <w:jc w:val="center"/>
              <w:rPr>
                <w:rFonts w:ascii="宋体" w:hAnsi="宋体"/>
                <w:szCs w:val="21"/>
                <w:highlight w:val="none"/>
              </w:rPr>
            </w:pPr>
          </w:p>
        </w:tc>
        <w:tc>
          <w:tcPr>
            <w:tcW w:w="5822" w:type="dxa"/>
            <w:vAlign w:val="center"/>
          </w:tcPr>
          <w:p>
            <w:pPr>
              <w:autoSpaceDE w:val="0"/>
              <w:autoSpaceDN w:val="0"/>
              <w:adjustRightInd w:val="0"/>
              <w:jc w:val="center"/>
              <w:rPr>
                <w:rFonts w:ascii="宋体" w:hAnsi="宋体"/>
                <w:szCs w:val="21"/>
                <w:highlight w:val="none"/>
              </w:rPr>
            </w:pPr>
            <w:r>
              <w:rPr>
                <w:rFonts w:hint="eastAsia" w:ascii="宋体" w:hAnsi="宋体"/>
                <w:szCs w:val="21"/>
                <w:highlight w:val="none"/>
              </w:rPr>
              <w:t>结  论</w:t>
            </w:r>
          </w:p>
        </w:tc>
        <w:tc>
          <w:tcPr>
            <w:tcW w:w="503" w:type="dxa"/>
          </w:tcPr>
          <w:p>
            <w:pPr>
              <w:tabs>
                <w:tab w:val="left" w:pos="720"/>
              </w:tabs>
              <w:autoSpaceDE w:val="0"/>
              <w:autoSpaceDN w:val="0"/>
              <w:adjustRightInd w:val="0"/>
              <w:snapToGrid w:val="0"/>
              <w:rPr>
                <w:rFonts w:ascii="宋体" w:hAnsi="宋体"/>
                <w:szCs w:val="21"/>
                <w:highlight w:val="none"/>
              </w:rPr>
            </w:pPr>
          </w:p>
        </w:tc>
        <w:tc>
          <w:tcPr>
            <w:tcW w:w="503" w:type="dxa"/>
          </w:tcPr>
          <w:p>
            <w:pPr>
              <w:tabs>
                <w:tab w:val="left" w:pos="720"/>
              </w:tabs>
              <w:autoSpaceDE w:val="0"/>
              <w:autoSpaceDN w:val="0"/>
              <w:adjustRightInd w:val="0"/>
              <w:snapToGrid w:val="0"/>
              <w:rPr>
                <w:rFonts w:ascii="宋体" w:hAnsi="宋体"/>
                <w:szCs w:val="21"/>
                <w:highlight w:val="none"/>
              </w:rPr>
            </w:pPr>
          </w:p>
        </w:tc>
        <w:tc>
          <w:tcPr>
            <w:tcW w:w="503" w:type="dxa"/>
          </w:tcPr>
          <w:p>
            <w:pPr>
              <w:tabs>
                <w:tab w:val="left" w:pos="720"/>
              </w:tabs>
              <w:autoSpaceDE w:val="0"/>
              <w:autoSpaceDN w:val="0"/>
              <w:adjustRightInd w:val="0"/>
              <w:snapToGrid w:val="0"/>
              <w:rPr>
                <w:rFonts w:ascii="宋体" w:hAnsi="宋体"/>
                <w:szCs w:val="21"/>
                <w:highlight w:val="none"/>
              </w:rPr>
            </w:pPr>
          </w:p>
        </w:tc>
        <w:tc>
          <w:tcPr>
            <w:tcW w:w="503" w:type="dxa"/>
          </w:tcPr>
          <w:p>
            <w:pPr>
              <w:rPr>
                <w:rFonts w:ascii="宋体" w:hAnsi="宋体"/>
                <w:szCs w:val="21"/>
                <w:highlight w:val="none"/>
              </w:rPr>
            </w:pPr>
          </w:p>
        </w:tc>
        <w:tc>
          <w:tcPr>
            <w:tcW w:w="503" w:type="dxa"/>
          </w:tcPr>
          <w:p>
            <w:pPr>
              <w:rPr>
                <w:rFonts w:ascii="宋体" w:hAnsi="宋体"/>
                <w:szCs w:val="21"/>
                <w:highlight w:val="none"/>
              </w:rPr>
            </w:pPr>
          </w:p>
        </w:tc>
        <w:tc>
          <w:tcPr>
            <w:tcW w:w="503" w:type="dxa"/>
          </w:tcPr>
          <w:p>
            <w:pPr>
              <w:rPr>
                <w:rFonts w:ascii="宋体" w:hAnsi="宋体"/>
                <w:szCs w:val="21"/>
                <w:highlight w:val="none"/>
              </w:rPr>
            </w:pPr>
          </w:p>
        </w:tc>
      </w:tr>
    </w:tbl>
    <w:p>
      <w:pPr>
        <w:rPr>
          <w:rFonts w:ascii="宋体" w:hAnsi="宋体"/>
          <w:szCs w:val="21"/>
          <w:highlight w:val="none"/>
        </w:rPr>
      </w:pPr>
    </w:p>
    <w:p>
      <w:pPr>
        <w:rPr>
          <w:rFonts w:ascii="宋体" w:hAnsi="宋体"/>
          <w:szCs w:val="21"/>
          <w:highlight w:val="none"/>
        </w:rPr>
      </w:pPr>
      <w:r>
        <w:rPr>
          <w:rFonts w:hint="eastAsia" w:ascii="宋体" w:hAnsi="宋体"/>
          <w:szCs w:val="21"/>
          <w:highlight w:val="none"/>
        </w:rPr>
        <w:t>注：1. 凡符合以上任何一项情形，在相应方框内打“○”，否则打“X”，只要出现一个“X”，结论均为“无效”，否则为“有效”。</w:t>
      </w:r>
    </w:p>
    <w:p>
      <w:pPr>
        <w:ind w:firstLine="420" w:firstLineChars="200"/>
        <w:rPr>
          <w:rFonts w:ascii="宋体" w:hAnsi="宋体"/>
          <w:szCs w:val="21"/>
          <w:highlight w:val="none"/>
        </w:rPr>
      </w:pPr>
      <w:r>
        <w:rPr>
          <w:rFonts w:hint="eastAsia" w:ascii="宋体" w:hAnsi="宋体"/>
          <w:szCs w:val="21"/>
          <w:highlight w:val="none"/>
        </w:rPr>
        <w:t xml:space="preserve">2. 如对本表中某种情形的评审意见不一致时，以评标委员会过半数成员的意见作为评标委员会对该情形的认定结论。       </w:t>
      </w:r>
    </w:p>
    <w:p>
      <w:pPr>
        <w:ind w:firstLine="420" w:firstLineChars="200"/>
        <w:rPr>
          <w:rFonts w:ascii="宋体" w:hAnsi="宋体"/>
          <w:szCs w:val="21"/>
          <w:highlight w:val="none"/>
        </w:rPr>
      </w:pPr>
    </w:p>
    <w:p>
      <w:pPr>
        <w:spacing w:line="360" w:lineRule="auto"/>
        <w:ind w:firstLine="420" w:firstLineChars="200"/>
        <w:rPr>
          <w:rFonts w:ascii="宋体" w:hAnsi="宋体"/>
          <w:szCs w:val="21"/>
          <w:highlight w:val="none"/>
        </w:rPr>
      </w:pPr>
      <w:r>
        <w:rPr>
          <w:rFonts w:hint="eastAsia" w:ascii="宋体" w:hAnsi="宋体"/>
          <w:szCs w:val="21"/>
          <w:highlight w:val="none"/>
        </w:rPr>
        <w:t xml:space="preserve">评委签名：                                                                        </w:t>
      </w:r>
    </w:p>
    <w:p>
      <w:pPr>
        <w:spacing w:line="360" w:lineRule="auto"/>
        <w:ind w:firstLine="420" w:firstLineChars="200"/>
        <w:rPr>
          <w:rFonts w:ascii="宋体" w:hAnsi="宋体"/>
          <w:szCs w:val="21"/>
          <w:highlight w:val="none"/>
        </w:rPr>
      </w:pPr>
      <w:r>
        <w:rPr>
          <w:rFonts w:hint="eastAsia" w:ascii="宋体" w:hAnsi="宋体"/>
          <w:szCs w:val="21"/>
          <w:highlight w:val="none"/>
        </w:rPr>
        <w:t>监督人员签名：</w:t>
      </w:r>
    </w:p>
    <w:p>
      <w:pPr>
        <w:ind w:firstLine="420" w:firstLineChars="200"/>
        <w:jc w:val="left"/>
        <w:rPr>
          <w:rFonts w:ascii="黑体" w:eastAsia="黑体"/>
          <w:b/>
          <w:sz w:val="44"/>
          <w:highlight w:val="none"/>
        </w:rPr>
        <w:sectPr>
          <w:footerReference r:id="rId5" w:type="default"/>
          <w:pgSz w:w="11906" w:h="16838"/>
          <w:pgMar w:top="1797" w:right="1440" w:bottom="1797" w:left="1440" w:header="794" w:footer="794" w:gutter="0"/>
          <w:cols w:space="0" w:num="1"/>
          <w:docGrid w:linePitch="286" w:charSpace="0"/>
        </w:sectPr>
      </w:pPr>
      <w:r>
        <w:rPr>
          <w:rFonts w:hint="eastAsia" w:ascii="宋体" w:hAnsi="宋体"/>
          <w:kern w:val="10"/>
          <w:szCs w:val="21"/>
          <w:highlight w:val="none"/>
        </w:rPr>
        <w:t>日</w:t>
      </w:r>
      <w:r>
        <w:rPr>
          <w:rFonts w:hint="eastAsia" w:ascii="宋体" w:hAnsi="宋体"/>
          <w:szCs w:val="21"/>
          <w:highlight w:val="none"/>
        </w:rPr>
        <w:t>期：</w:t>
      </w:r>
    </w:p>
    <w:p>
      <w:pPr>
        <w:pStyle w:val="3"/>
        <w:numPr>
          <w:ilvl w:val="0"/>
          <w:numId w:val="0"/>
        </w:numPr>
        <w:snapToGrid w:val="0"/>
        <w:spacing w:before="120" w:after="120"/>
        <w:jc w:val="left"/>
        <w:rPr>
          <w:sz w:val="24"/>
          <w:szCs w:val="24"/>
          <w:highlight w:val="none"/>
        </w:rPr>
      </w:pPr>
      <w:bookmarkStart w:id="375" w:name="_Toc488702049"/>
      <w:bookmarkStart w:id="376" w:name="_Toc488957724"/>
      <w:bookmarkStart w:id="377" w:name="_Toc14420"/>
      <w:bookmarkStart w:id="378" w:name="_Toc520971407"/>
      <w:bookmarkStart w:id="379" w:name="_Toc15594"/>
      <w:bookmarkStart w:id="380" w:name="_Toc489230102"/>
      <w:bookmarkStart w:id="381" w:name="_Toc11217"/>
      <w:r>
        <w:rPr>
          <w:sz w:val="24"/>
          <w:szCs w:val="24"/>
          <w:highlight w:val="none"/>
        </w:rPr>
        <w:t>附</w:t>
      </w:r>
      <w:r>
        <w:rPr>
          <w:rFonts w:hint="eastAsia"/>
          <w:sz w:val="24"/>
          <w:szCs w:val="24"/>
          <w:highlight w:val="none"/>
        </w:rPr>
        <w:t>表4</w:t>
      </w:r>
      <w:r>
        <w:rPr>
          <w:sz w:val="24"/>
          <w:szCs w:val="24"/>
          <w:highlight w:val="none"/>
        </w:rPr>
        <w:t>：</w:t>
      </w:r>
      <w:r>
        <w:rPr>
          <w:rFonts w:hint="eastAsia"/>
          <w:sz w:val="24"/>
          <w:szCs w:val="24"/>
          <w:highlight w:val="none"/>
        </w:rPr>
        <w:t>商务技术标详细审查评分标准</w:t>
      </w:r>
      <w:bookmarkEnd w:id="375"/>
      <w:bookmarkEnd w:id="376"/>
      <w:r>
        <w:rPr>
          <w:rFonts w:hint="eastAsia"/>
          <w:sz w:val="24"/>
          <w:szCs w:val="24"/>
          <w:highlight w:val="none"/>
        </w:rPr>
        <w:t>（权重占30%）</w:t>
      </w:r>
      <w:bookmarkEnd w:id="377"/>
      <w:bookmarkEnd w:id="378"/>
      <w:bookmarkEnd w:id="379"/>
      <w:bookmarkEnd w:id="380"/>
      <w:bookmarkEnd w:id="381"/>
    </w:p>
    <w:p>
      <w:pPr>
        <w:pStyle w:val="12"/>
        <w:rPr>
          <w:highlight w:val="none"/>
        </w:rPr>
      </w:pPr>
    </w:p>
    <w:p>
      <w:pP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项目名称：</w:t>
      </w:r>
      <w:r>
        <w:rPr>
          <w:rFonts w:hint="eastAsia" w:asciiTheme="minorEastAsia" w:hAnsiTheme="minorEastAsia" w:eastAsiaTheme="minorEastAsia"/>
          <w:color w:val="000000"/>
          <w:szCs w:val="21"/>
          <w:highlight w:val="none"/>
        </w:rPr>
        <w:t>佛山市恒益环保建材有限公司加气砌块生产辅助业务外委采购项目</w:t>
      </w:r>
    </w:p>
    <w:tbl>
      <w:tblPr>
        <w:tblStyle w:val="42"/>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130"/>
        <w:gridCol w:w="3686"/>
        <w:gridCol w:w="851"/>
        <w:gridCol w:w="851"/>
        <w:gridCol w:w="851"/>
        <w:gridCol w:w="708"/>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blHeader/>
        </w:trPr>
        <w:tc>
          <w:tcPr>
            <w:tcW w:w="678" w:type="dxa"/>
            <w:vAlign w:val="center"/>
          </w:tcPr>
          <w:p>
            <w:pPr>
              <w:spacing w:line="360" w:lineRule="auto"/>
              <w:jc w:val="center"/>
              <w:rPr>
                <w:rFonts w:cs="Arial" w:asciiTheme="minorEastAsia" w:hAnsiTheme="minorEastAsia" w:eastAsiaTheme="minorEastAsia"/>
                <w:b/>
                <w:szCs w:val="21"/>
                <w:highlight w:val="none"/>
              </w:rPr>
            </w:pPr>
            <w:r>
              <w:rPr>
                <w:rFonts w:hint="eastAsia" w:cs="Arial" w:asciiTheme="minorEastAsia" w:hAnsiTheme="minorEastAsia" w:eastAsiaTheme="minorEastAsia"/>
                <w:b/>
                <w:szCs w:val="21"/>
                <w:highlight w:val="none"/>
              </w:rPr>
              <w:t>序号</w:t>
            </w:r>
          </w:p>
        </w:tc>
        <w:tc>
          <w:tcPr>
            <w:tcW w:w="4816" w:type="dxa"/>
            <w:gridSpan w:val="2"/>
            <w:vAlign w:val="center"/>
          </w:tcPr>
          <w:p>
            <w:pPr>
              <w:spacing w:line="360" w:lineRule="auto"/>
              <w:jc w:val="center"/>
              <w:rPr>
                <w:rFonts w:cs="Arial" w:asciiTheme="minorEastAsia" w:hAnsiTheme="minorEastAsia" w:eastAsiaTheme="minorEastAsia"/>
                <w:b/>
                <w:szCs w:val="21"/>
                <w:highlight w:val="none"/>
              </w:rPr>
            </w:pPr>
            <w:r>
              <w:rPr>
                <w:rFonts w:hint="eastAsia" w:cs="Arial" w:asciiTheme="minorEastAsia" w:hAnsiTheme="minorEastAsia" w:eastAsiaTheme="minorEastAsia"/>
                <w:b/>
                <w:szCs w:val="21"/>
                <w:highlight w:val="none"/>
              </w:rPr>
              <w:t>评标因素</w:t>
            </w:r>
          </w:p>
        </w:tc>
        <w:tc>
          <w:tcPr>
            <w:tcW w:w="851" w:type="dxa"/>
            <w:vAlign w:val="center"/>
          </w:tcPr>
          <w:p>
            <w:pPr>
              <w:spacing w:line="360" w:lineRule="auto"/>
              <w:jc w:val="center"/>
              <w:rPr>
                <w:rFonts w:cs="Arial" w:asciiTheme="minorEastAsia" w:hAnsiTheme="minorEastAsia" w:eastAsiaTheme="minorEastAsia"/>
                <w:b/>
                <w:szCs w:val="21"/>
                <w:highlight w:val="none"/>
              </w:rPr>
            </w:pPr>
            <w:r>
              <w:rPr>
                <w:rFonts w:hint="eastAsia" w:cs="Arial" w:asciiTheme="minorEastAsia" w:hAnsiTheme="minorEastAsia" w:eastAsiaTheme="minorEastAsia"/>
                <w:b/>
                <w:szCs w:val="21"/>
                <w:highlight w:val="none"/>
              </w:rPr>
              <w:t>满分</w:t>
            </w:r>
          </w:p>
        </w:tc>
        <w:tc>
          <w:tcPr>
            <w:tcW w:w="851" w:type="dxa"/>
            <w:vAlign w:val="center"/>
          </w:tcPr>
          <w:p>
            <w:pPr>
              <w:spacing w:line="0" w:lineRule="atLeast"/>
              <w:jc w:val="center"/>
              <w:rPr>
                <w:rFonts w:cs="Arial" w:asciiTheme="minorEastAsia" w:hAnsiTheme="minorEastAsia" w:eastAsiaTheme="minorEastAsia"/>
                <w:b/>
                <w:szCs w:val="21"/>
                <w:highlight w:val="none"/>
              </w:rPr>
            </w:pPr>
            <w:r>
              <w:rPr>
                <w:rFonts w:hint="eastAsia" w:asciiTheme="minorEastAsia" w:hAnsiTheme="minorEastAsia" w:eastAsiaTheme="minorEastAsia"/>
                <w:szCs w:val="21"/>
                <w:highlight w:val="none"/>
              </w:rPr>
              <w:t>投标人</w:t>
            </w:r>
            <w:r>
              <w:rPr>
                <w:rFonts w:asciiTheme="minorEastAsia" w:hAnsiTheme="minorEastAsia" w:eastAsiaTheme="minorEastAsia"/>
                <w:szCs w:val="21"/>
                <w:highlight w:val="none"/>
              </w:rPr>
              <w:t>1</w:t>
            </w:r>
          </w:p>
        </w:tc>
        <w:tc>
          <w:tcPr>
            <w:tcW w:w="851" w:type="dxa"/>
            <w:vAlign w:val="center"/>
          </w:tcPr>
          <w:p>
            <w:pPr>
              <w:spacing w:line="0" w:lineRule="atLeast"/>
              <w:jc w:val="center"/>
              <w:rPr>
                <w:rFonts w:cs="Arial" w:asciiTheme="minorEastAsia" w:hAnsiTheme="minorEastAsia" w:eastAsiaTheme="minorEastAsia"/>
                <w:b/>
                <w:szCs w:val="21"/>
                <w:highlight w:val="none"/>
              </w:rPr>
            </w:pPr>
            <w:r>
              <w:rPr>
                <w:rFonts w:hint="eastAsia" w:asciiTheme="minorEastAsia" w:hAnsiTheme="minorEastAsia" w:eastAsiaTheme="minorEastAsia"/>
                <w:szCs w:val="21"/>
                <w:highlight w:val="none"/>
              </w:rPr>
              <w:t>投标人</w:t>
            </w:r>
            <w:r>
              <w:rPr>
                <w:rFonts w:asciiTheme="minorEastAsia" w:hAnsiTheme="minorEastAsia" w:eastAsiaTheme="minorEastAsia"/>
                <w:szCs w:val="21"/>
                <w:highlight w:val="none"/>
              </w:rPr>
              <w:t>2</w:t>
            </w:r>
          </w:p>
        </w:tc>
        <w:tc>
          <w:tcPr>
            <w:tcW w:w="708" w:type="dxa"/>
            <w:vAlign w:val="center"/>
          </w:tcPr>
          <w:p>
            <w:pPr>
              <w:spacing w:line="0" w:lineRule="atLeast"/>
              <w:jc w:val="center"/>
              <w:rPr>
                <w:rFonts w:cs="Arial" w:asciiTheme="minorEastAsia" w:hAnsiTheme="minorEastAsia" w:eastAsiaTheme="minorEastAsia"/>
                <w:b/>
                <w:szCs w:val="21"/>
                <w:highlight w:val="none"/>
              </w:rPr>
            </w:pPr>
            <w:r>
              <w:rPr>
                <w:rFonts w:hint="eastAsia" w:asciiTheme="minorEastAsia" w:hAnsiTheme="minorEastAsia" w:eastAsiaTheme="minorEastAsia"/>
                <w:szCs w:val="21"/>
                <w:highlight w:val="none"/>
              </w:rPr>
              <w:t>投标人</w:t>
            </w:r>
            <w:r>
              <w:rPr>
                <w:rFonts w:asciiTheme="minorEastAsia" w:hAnsiTheme="minorEastAsia" w:eastAsiaTheme="minorEastAsia"/>
                <w:szCs w:val="21"/>
                <w:highlight w:val="none"/>
              </w:rPr>
              <w:t>3</w:t>
            </w:r>
          </w:p>
        </w:tc>
        <w:tc>
          <w:tcPr>
            <w:tcW w:w="759" w:type="dxa"/>
          </w:tcPr>
          <w:p>
            <w:pPr>
              <w:spacing w:line="0" w:lineRule="atLeast"/>
              <w:jc w:val="center"/>
              <w:rPr>
                <w:rFonts w:asciiTheme="minorEastAsia" w:hAnsiTheme="minorEastAsia" w:eastAsiaTheme="minorEastAsia"/>
                <w:szCs w:val="21"/>
                <w:highlight w:val="none"/>
              </w:rPr>
            </w:pPr>
          </w:p>
          <w:p>
            <w:pPr>
              <w:spacing w:line="0" w:lineRule="atLeast"/>
              <w:jc w:val="center"/>
              <w:rPr>
                <w:rFonts w:cs="Arial" w:asciiTheme="minorEastAsia" w:hAnsiTheme="minorEastAsia" w:eastAsiaTheme="minorEastAsia"/>
                <w:b/>
                <w:szCs w:val="21"/>
                <w:highlight w:val="none"/>
              </w:rPr>
            </w:pPr>
            <w:r>
              <w:rPr>
                <w:rFonts w:hint="eastAsia" w:asciiTheme="minorEastAsia" w:hAnsiTheme="minorEastAsia" w:eastAsiaTheme="minorEastAsia"/>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678" w:type="dxa"/>
            <w:vMerge w:val="restart"/>
            <w:vAlign w:val="center"/>
          </w:tcPr>
          <w:p>
            <w:pPr>
              <w:spacing w:line="360" w:lineRule="auto"/>
              <w:jc w:val="center"/>
              <w:rPr>
                <w:rFonts w:cs="Arial" w:asciiTheme="minorEastAsia" w:hAnsiTheme="minorEastAsia" w:eastAsiaTheme="minorEastAsia"/>
                <w:szCs w:val="21"/>
                <w:highlight w:val="none"/>
              </w:rPr>
            </w:pPr>
            <w:r>
              <w:rPr>
                <w:rFonts w:cs="Arial" w:asciiTheme="minorEastAsia" w:hAnsiTheme="minorEastAsia" w:eastAsiaTheme="minorEastAsia"/>
                <w:szCs w:val="21"/>
                <w:highlight w:val="none"/>
              </w:rPr>
              <w:t>1</w:t>
            </w:r>
          </w:p>
        </w:tc>
        <w:tc>
          <w:tcPr>
            <w:tcW w:w="1130" w:type="dxa"/>
            <w:vMerge w:val="restart"/>
            <w:vAlign w:val="center"/>
          </w:tcPr>
          <w:p>
            <w:pPr>
              <w:autoSpaceDE w:val="0"/>
              <w:autoSpaceDN w:val="0"/>
              <w:spacing w:line="300" w:lineRule="exact"/>
              <w:jc w:val="center"/>
              <w:rPr>
                <w:rFonts w:cs="Arial" w:asciiTheme="minorEastAsia" w:hAnsiTheme="minorEastAsia" w:eastAsiaTheme="minorEastAsia"/>
                <w:b/>
                <w:szCs w:val="21"/>
                <w:highlight w:val="none"/>
              </w:rPr>
            </w:pPr>
            <w:r>
              <w:rPr>
                <w:rFonts w:hint="eastAsia" w:cs="Arial" w:asciiTheme="minorEastAsia" w:hAnsiTheme="minorEastAsia" w:eastAsiaTheme="minorEastAsia"/>
                <w:b/>
                <w:szCs w:val="21"/>
                <w:highlight w:val="none"/>
              </w:rPr>
              <w:t>企业信誉</w:t>
            </w:r>
          </w:p>
        </w:tc>
        <w:tc>
          <w:tcPr>
            <w:tcW w:w="3686" w:type="dxa"/>
            <w:vAlign w:val="center"/>
          </w:tcPr>
          <w:p>
            <w:pP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获得国家有关部门或行业协会颁发的资质等级</w:t>
            </w:r>
            <w:r>
              <w:rPr>
                <w:rFonts w:hint="eastAsia" w:asciiTheme="minorEastAsia" w:hAnsiTheme="minorEastAsia" w:eastAsiaTheme="minorEastAsia"/>
                <w:szCs w:val="21"/>
                <w:highlight w:val="none"/>
                <w:lang w:eastAsia="zh-CN"/>
              </w:rPr>
              <w:t>证书</w:t>
            </w:r>
            <w:r>
              <w:rPr>
                <w:rFonts w:hint="eastAsia" w:asciiTheme="minorEastAsia" w:hAnsiTheme="minorEastAsia" w:eastAsiaTheme="minorEastAsia"/>
                <w:szCs w:val="21"/>
                <w:highlight w:val="none"/>
              </w:rPr>
              <w:t>或奖项（有效期内）。每提供一个得</w:t>
            </w:r>
            <w:r>
              <w:rPr>
                <w:rFonts w:asciiTheme="minorEastAsia" w:hAnsiTheme="minorEastAsia" w:eastAsiaTheme="minorEastAsia"/>
                <w:szCs w:val="21"/>
                <w:highlight w:val="none"/>
              </w:rPr>
              <w:t>1分，最高得</w:t>
            </w:r>
            <w:r>
              <w:rPr>
                <w:rFonts w:hint="eastAsia" w:asciiTheme="minorEastAsia" w:hAnsiTheme="minorEastAsia" w:eastAsiaTheme="minorEastAsia"/>
                <w:szCs w:val="21"/>
                <w:highlight w:val="none"/>
              </w:rPr>
              <w:t>9</w:t>
            </w:r>
            <w:r>
              <w:rPr>
                <w:rFonts w:asciiTheme="minorEastAsia" w:hAnsiTheme="minorEastAsia" w:eastAsiaTheme="minorEastAsia"/>
                <w:szCs w:val="21"/>
                <w:highlight w:val="none"/>
              </w:rPr>
              <w:t>分。</w:t>
            </w:r>
          </w:p>
          <w:p>
            <w:pPr>
              <w:rPr>
                <w:rFonts w:cs="Calibri" w:asciiTheme="minorEastAsia" w:hAnsiTheme="minorEastAsia" w:eastAsiaTheme="minorEastAsia"/>
                <w:b/>
                <w:szCs w:val="21"/>
                <w:highlight w:val="none"/>
              </w:rPr>
            </w:pPr>
            <w:r>
              <w:rPr>
                <w:rFonts w:hint="eastAsia" w:asciiTheme="minorEastAsia" w:hAnsiTheme="minorEastAsia" w:eastAsiaTheme="minorEastAsia"/>
                <w:b/>
                <w:szCs w:val="21"/>
                <w:highlight w:val="none"/>
              </w:rPr>
              <w:t>说明：按招标文件第六章格式9中的（1）编制并提供有关证明材料复印件。</w:t>
            </w:r>
          </w:p>
        </w:tc>
        <w:tc>
          <w:tcPr>
            <w:tcW w:w="851" w:type="dxa"/>
            <w:vAlign w:val="center"/>
          </w:tcPr>
          <w:p>
            <w:pPr>
              <w:spacing w:line="360" w:lineRule="auto"/>
              <w:jc w:val="center"/>
              <w:rPr>
                <w:rFonts w:cs="Arial" w:asciiTheme="minorEastAsia" w:hAnsiTheme="minorEastAsia" w:eastAsiaTheme="minorEastAsia"/>
                <w:szCs w:val="21"/>
                <w:highlight w:val="none"/>
              </w:rPr>
            </w:pPr>
            <w:r>
              <w:rPr>
                <w:rFonts w:hint="eastAsia" w:cs="Arial" w:asciiTheme="minorEastAsia" w:hAnsiTheme="minorEastAsia" w:eastAsiaTheme="minorEastAsia"/>
                <w:szCs w:val="21"/>
                <w:highlight w:val="none"/>
              </w:rPr>
              <w:t>9</w:t>
            </w:r>
          </w:p>
        </w:tc>
        <w:tc>
          <w:tcPr>
            <w:tcW w:w="851" w:type="dxa"/>
            <w:vAlign w:val="center"/>
          </w:tcPr>
          <w:p>
            <w:pPr>
              <w:spacing w:line="360" w:lineRule="auto"/>
              <w:jc w:val="center"/>
              <w:rPr>
                <w:rFonts w:cs="Arial" w:asciiTheme="minorEastAsia" w:hAnsiTheme="minorEastAsia" w:eastAsiaTheme="minorEastAsia"/>
                <w:szCs w:val="21"/>
                <w:highlight w:val="none"/>
              </w:rPr>
            </w:pPr>
          </w:p>
        </w:tc>
        <w:tc>
          <w:tcPr>
            <w:tcW w:w="851" w:type="dxa"/>
            <w:vAlign w:val="center"/>
          </w:tcPr>
          <w:p>
            <w:pPr>
              <w:spacing w:line="360" w:lineRule="auto"/>
              <w:jc w:val="center"/>
              <w:rPr>
                <w:rFonts w:cs="Arial" w:asciiTheme="minorEastAsia" w:hAnsiTheme="minorEastAsia" w:eastAsiaTheme="minorEastAsia"/>
                <w:szCs w:val="21"/>
                <w:highlight w:val="none"/>
              </w:rPr>
            </w:pPr>
          </w:p>
        </w:tc>
        <w:tc>
          <w:tcPr>
            <w:tcW w:w="708" w:type="dxa"/>
            <w:vAlign w:val="center"/>
          </w:tcPr>
          <w:p>
            <w:pPr>
              <w:spacing w:line="360" w:lineRule="auto"/>
              <w:jc w:val="center"/>
              <w:rPr>
                <w:rFonts w:cs="Arial" w:asciiTheme="minorEastAsia" w:hAnsiTheme="minorEastAsia" w:eastAsiaTheme="minorEastAsia"/>
                <w:szCs w:val="21"/>
                <w:highlight w:val="none"/>
              </w:rPr>
            </w:pPr>
          </w:p>
        </w:tc>
        <w:tc>
          <w:tcPr>
            <w:tcW w:w="759" w:type="dxa"/>
            <w:vAlign w:val="center"/>
          </w:tcPr>
          <w:p>
            <w:pPr>
              <w:spacing w:line="360" w:lineRule="auto"/>
              <w:jc w:val="center"/>
              <w:rPr>
                <w:rFonts w:cs="Arial"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8" w:type="dxa"/>
            <w:vMerge w:val="continue"/>
            <w:vAlign w:val="center"/>
          </w:tcPr>
          <w:p>
            <w:pPr>
              <w:spacing w:line="360" w:lineRule="auto"/>
              <w:jc w:val="center"/>
              <w:rPr>
                <w:rFonts w:cs="Arial" w:asciiTheme="minorEastAsia" w:hAnsiTheme="minorEastAsia" w:eastAsiaTheme="minorEastAsia"/>
                <w:szCs w:val="21"/>
                <w:highlight w:val="none"/>
              </w:rPr>
            </w:pPr>
          </w:p>
        </w:tc>
        <w:tc>
          <w:tcPr>
            <w:tcW w:w="1130" w:type="dxa"/>
            <w:vMerge w:val="continue"/>
            <w:vAlign w:val="center"/>
          </w:tcPr>
          <w:p>
            <w:pPr>
              <w:autoSpaceDE w:val="0"/>
              <w:autoSpaceDN w:val="0"/>
              <w:spacing w:line="300" w:lineRule="exact"/>
              <w:jc w:val="center"/>
              <w:rPr>
                <w:rFonts w:cs="Arial" w:asciiTheme="minorEastAsia" w:hAnsiTheme="minorEastAsia" w:eastAsiaTheme="minorEastAsia"/>
                <w:b/>
                <w:szCs w:val="21"/>
                <w:highlight w:val="none"/>
              </w:rPr>
            </w:pPr>
          </w:p>
        </w:tc>
        <w:tc>
          <w:tcPr>
            <w:tcW w:w="3686" w:type="dxa"/>
            <w:vAlign w:val="center"/>
          </w:tcPr>
          <w:p>
            <w:pPr>
              <w:autoSpaceDE w:val="0"/>
              <w:autoSpaceDN w:val="0"/>
              <w:spacing w:line="30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具有</w:t>
            </w:r>
            <w:r>
              <w:rPr>
                <w:rFonts w:asciiTheme="minorEastAsia" w:hAnsiTheme="minorEastAsia" w:eastAsiaTheme="minorEastAsia"/>
                <w:szCs w:val="21"/>
                <w:highlight w:val="none"/>
              </w:rPr>
              <w:t>ISO 9001质量管理体系认证证书、OHSAS 18001职业健康和安全管理体系认证证书、ISO14001环境管理体系认证。每提供一个证书得2分，最高得6分。</w:t>
            </w:r>
          </w:p>
          <w:p>
            <w:pPr>
              <w:autoSpaceDE w:val="0"/>
              <w:autoSpaceDN w:val="0"/>
              <w:spacing w:line="300" w:lineRule="exact"/>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说明：按招标文件第六章格式9中的（2）编制，提供相关证书复印件。</w:t>
            </w:r>
          </w:p>
        </w:tc>
        <w:tc>
          <w:tcPr>
            <w:tcW w:w="851" w:type="dxa"/>
            <w:vAlign w:val="center"/>
          </w:tcPr>
          <w:p>
            <w:pPr>
              <w:spacing w:line="360" w:lineRule="auto"/>
              <w:jc w:val="center"/>
              <w:rPr>
                <w:rFonts w:cs="Arial" w:asciiTheme="minorEastAsia" w:hAnsiTheme="minorEastAsia" w:eastAsiaTheme="minorEastAsia"/>
                <w:szCs w:val="21"/>
                <w:highlight w:val="none"/>
              </w:rPr>
            </w:pPr>
            <w:r>
              <w:rPr>
                <w:rFonts w:cs="Arial" w:asciiTheme="minorEastAsia" w:hAnsiTheme="minorEastAsia" w:eastAsiaTheme="minorEastAsia"/>
                <w:szCs w:val="21"/>
                <w:highlight w:val="none"/>
              </w:rPr>
              <w:t>6</w:t>
            </w:r>
          </w:p>
        </w:tc>
        <w:tc>
          <w:tcPr>
            <w:tcW w:w="851" w:type="dxa"/>
            <w:vAlign w:val="center"/>
          </w:tcPr>
          <w:p>
            <w:pPr>
              <w:spacing w:line="360" w:lineRule="auto"/>
              <w:jc w:val="center"/>
              <w:rPr>
                <w:rFonts w:cs="Arial" w:asciiTheme="minorEastAsia" w:hAnsiTheme="minorEastAsia" w:eastAsiaTheme="minorEastAsia"/>
                <w:szCs w:val="21"/>
                <w:highlight w:val="none"/>
              </w:rPr>
            </w:pPr>
          </w:p>
        </w:tc>
        <w:tc>
          <w:tcPr>
            <w:tcW w:w="851" w:type="dxa"/>
            <w:vAlign w:val="center"/>
          </w:tcPr>
          <w:p>
            <w:pPr>
              <w:spacing w:line="360" w:lineRule="auto"/>
              <w:jc w:val="center"/>
              <w:rPr>
                <w:rFonts w:cs="Arial" w:asciiTheme="minorEastAsia" w:hAnsiTheme="minorEastAsia" w:eastAsiaTheme="minorEastAsia"/>
                <w:szCs w:val="21"/>
                <w:highlight w:val="none"/>
              </w:rPr>
            </w:pPr>
          </w:p>
        </w:tc>
        <w:tc>
          <w:tcPr>
            <w:tcW w:w="708" w:type="dxa"/>
            <w:vAlign w:val="center"/>
          </w:tcPr>
          <w:p>
            <w:pPr>
              <w:spacing w:line="360" w:lineRule="auto"/>
              <w:jc w:val="center"/>
              <w:rPr>
                <w:rFonts w:cs="Arial" w:asciiTheme="minorEastAsia" w:hAnsiTheme="minorEastAsia" w:eastAsiaTheme="minorEastAsia"/>
                <w:szCs w:val="21"/>
                <w:highlight w:val="none"/>
              </w:rPr>
            </w:pPr>
          </w:p>
        </w:tc>
        <w:tc>
          <w:tcPr>
            <w:tcW w:w="759" w:type="dxa"/>
            <w:vAlign w:val="center"/>
          </w:tcPr>
          <w:p>
            <w:pPr>
              <w:spacing w:line="360" w:lineRule="auto"/>
              <w:jc w:val="center"/>
              <w:rPr>
                <w:rFonts w:cs="Arial"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8" w:type="dxa"/>
            <w:vAlign w:val="center"/>
          </w:tcPr>
          <w:p>
            <w:pPr>
              <w:spacing w:line="360" w:lineRule="auto"/>
              <w:jc w:val="center"/>
              <w:rPr>
                <w:rFonts w:cs="Arial" w:asciiTheme="minorEastAsia" w:hAnsiTheme="minorEastAsia" w:eastAsiaTheme="minorEastAsia"/>
                <w:szCs w:val="21"/>
                <w:highlight w:val="none"/>
              </w:rPr>
            </w:pPr>
            <w:r>
              <w:rPr>
                <w:rFonts w:cs="Arial" w:asciiTheme="minorEastAsia" w:hAnsiTheme="minorEastAsia" w:eastAsiaTheme="minorEastAsia"/>
                <w:szCs w:val="21"/>
                <w:highlight w:val="none"/>
              </w:rPr>
              <w:t>2</w:t>
            </w:r>
          </w:p>
        </w:tc>
        <w:tc>
          <w:tcPr>
            <w:tcW w:w="1130" w:type="dxa"/>
            <w:vAlign w:val="center"/>
          </w:tcPr>
          <w:p>
            <w:pPr>
              <w:spacing w:line="300" w:lineRule="exact"/>
              <w:jc w:val="center"/>
              <w:rPr>
                <w:rFonts w:cs="Arial" w:asciiTheme="minorEastAsia" w:hAnsiTheme="minorEastAsia" w:eastAsiaTheme="minorEastAsia"/>
                <w:b/>
                <w:szCs w:val="21"/>
                <w:highlight w:val="none"/>
              </w:rPr>
            </w:pPr>
            <w:r>
              <w:rPr>
                <w:rFonts w:hint="eastAsia" w:cs="Arial" w:asciiTheme="minorEastAsia" w:hAnsiTheme="minorEastAsia" w:eastAsiaTheme="minorEastAsia"/>
                <w:b/>
                <w:szCs w:val="21"/>
                <w:highlight w:val="none"/>
              </w:rPr>
              <w:t>财务状况</w:t>
            </w:r>
          </w:p>
        </w:tc>
        <w:tc>
          <w:tcPr>
            <w:tcW w:w="3686" w:type="dxa"/>
            <w:vAlign w:val="center"/>
          </w:tcPr>
          <w:p>
            <w:pPr>
              <w:autoSpaceDE w:val="0"/>
              <w:autoSpaceDN w:val="0"/>
              <w:spacing w:line="300" w:lineRule="exact"/>
              <w:rPr>
                <w:rFonts w:cs="宋体" w:asciiTheme="minorEastAsia" w:hAnsiTheme="minorEastAsia" w:eastAsiaTheme="minorEastAsia"/>
                <w:szCs w:val="21"/>
                <w:highlight w:val="none"/>
              </w:rPr>
            </w:pPr>
            <w:r>
              <w:rPr>
                <w:rFonts w:hint="eastAsia" w:asciiTheme="minorEastAsia" w:hAnsiTheme="minorEastAsia" w:eastAsiaTheme="minorEastAsia"/>
                <w:szCs w:val="21"/>
                <w:highlight w:val="none"/>
              </w:rPr>
              <w:t>投标人</w:t>
            </w:r>
            <w:r>
              <w:rPr>
                <w:rFonts w:hint="eastAsia" w:cs="Arial" w:asciiTheme="minorEastAsia" w:hAnsiTheme="minorEastAsia" w:eastAsiaTheme="minorEastAsia"/>
                <w:szCs w:val="21"/>
                <w:highlight w:val="none"/>
              </w:rPr>
              <w:t>近三年</w:t>
            </w: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201</w:t>
            </w:r>
            <w:r>
              <w:rPr>
                <w:rFonts w:hint="eastAsia" w:asciiTheme="minorEastAsia" w:hAnsiTheme="minorEastAsia" w:eastAsiaTheme="minorEastAsia"/>
                <w:szCs w:val="21"/>
                <w:highlight w:val="none"/>
              </w:rPr>
              <w:t>6</w:t>
            </w:r>
            <w:r>
              <w:rPr>
                <w:rFonts w:asciiTheme="minorEastAsia" w:hAnsiTheme="minorEastAsia" w:eastAsiaTheme="minorEastAsia"/>
                <w:szCs w:val="21"/>
                <w:highlight w:val="none"/>
              </w:rPr>
              <w:t>-201</w:t>
            </w:r>
            <w:r>
              <w:rPr>
                <w:rFonts w:hint="eastAsia" w:asciiTheme="minorEastAsia" w:hAnsiTheme="minorEastAsia" w:eastAsiaTheme="minorEastAsia"/>
                <w:szCs w:val="21"/>
                <w:highlight w:val="none"/>
              </w:rPr>
              <w:t>8</w:t>
            </w:r>
            <w:r>
              <w:rPr>
                <w:rFonts w:asciiTheme="minorEastAsia" w:hAnsiTheme="minorEastAsia" w:eastAsiaTheme="minorEastAsia"/>
                <w:szCs w:val="21"/>
                <w:highlight w:val="none"/>
              </w:rPr>
              <w:t>）主营业务累计营业额（万元）</w:t>
            </w:r>
            <w:r>
              <w:rPr>
                <w:rFonts w:hint="eastAsia" w:asciiTheme="minorEastAsia" w:hAnsiTheme="minorEastAsia" w:eastAsiaTheme="minorEastAsia"/>
                <w:bCs/>
                <w:szCs w:val="21"/>
                <w:highlight w:val="none"/>
              </w:rPr>
              <w:t>从高到低排名，</w:t>
            </w:r>
            <w:r>
              <w:rPr>
                <w:rFonts w:hint="eastAsia" w:cs="宋体" w:asciiTheme="minorEastAsia" w:hAnsiTheme="minorEastAsia" w:eastAsiaTheme="minorEastAsia"/>
                <w:szCs w:val="21"/>
                <w:highlight w:val="none"/>
              </w:rPr>
              <w:t>第</w:t>
            </w:r>
            <w:r>
              <w:rPr>
                <w:rFonts w:cs="宋体" w:asciiTheme="minorEastAsia" w:hAnsiTheme="minorEastAsia" w:eastAsiaTheme="minorEastAsia"/>
                <w:szCs w:val="21"/>
                <w:highlight w:val="none"/>
              </w:rPr>
              <w:t>1名10分，第2名7分，第3名4分，第4名1分</w:t>
            </w:r>
            <w:r>
              <w:rPr>
                <w:rFonts w:hint="eastAsia" w:cs="宋体" w:asciiTheme="minorEastAsia" w:hAnsiTheme="minorEastAsia" w:eastAsiaTheme="minorEastAsia"/>
                <w:szCs w:val="21"/>
                <w:highlight w:val="none"/>
              </w:rPr>
              <w:t>，其余不得分</w:t>
            </w:r>
            <w:r>
              <w:rPr>
                <w:rFonts w:cs="宋体" w:asciiTheme="minorEastAsia" w:hAnsiTheme="minorEastAsia" w:eastAsiaTheme="minorEastAsia"/>
                <w:szCs w:val="21"/>
                <w:highlight w:val="none"/>
              </w:rPr>
              <w:t>。</w:t>
            </w:r>
          </w:p>
          <w:p>
            <w:pPr>
              <w:autoSpaceDE w:val="0"/>
              <w:autoSpaceDN w:val="0"/>
              <w:spacing w:line="300" w:lineRule="exact"/>
              <w:rPr>
                <w:rFonts w:cs="Arial" w:asciiTheme="minorEastAsia" w:hAnsiTheme="minorEastAsia" w:eastAsiaTheme="minorEastAsia"/>
                <w:b/>
                <w:szCs w:val="21"/>
                <w:highlight w:val="none"/>
              </w:rPr>
            </w:pPr>
            <w:r>
              <w:rPr>
                <w:rFonts w:hint="eastAsia" w:cs="宋体" w:asciiTheme="minorEastAsia" w:hAnsiTheme="minorEastAsia" w:eastAsiaTheme="minorEastAsia"/>
                <w:b/>
                <w:szCs w:val="21"/>
                <w:highlight w:val="none"/>
              </w:rPr>
              <w:t>说明：</w:t>
            </w:r>
            <w:r>
              <w:rPr>
                <w:rFonts w:hint="eastAsia" w:asciiTheme="minorEastAsia" w:hAnsiTheme="minorEastAsia" w:eastAsiaTheme="minorEastAsia"/>
                <w:b/>
                <w:szCs w:val="21"/>
                <w:highlight w:val="none"/>
              </w:rPr>
              <w:t>按招标文件第六章格式10中的（1）编制，并提供经第三方会计师事务所审计的财务报表的复印件。</w:t>
            </w:r>
          </w:p>
        </w:tc>
        <w:tc>
          <w:tcPr>
            <w:tcW w:w="851" w:type="dxa"/>
            <w:vAlign w:val="center"/>
          </w:tcPr>
          <w:p>
            <w:pPr>
              <w:spacing w:line="360" w:lineRule="auto"/>
              <w:jc w:val="center"/>
              <w:rPr>
                <w:rFonts w:cs="Arial" w:asciiTheme="minorEastAsia" w:hAnsiTheme="minorEastAsia" w:eastAsiaTheme="minorEastAsia"/>
                <w:szCs w:val="21"/>
                <w:highlight w:val="none"/>
              </w:rPr>
            </w:pPr>
            <w:r>
              <w:rPr>
                <w:rFonts w:cs="Arial" w:asciiTheme="minorEastAsia" w:hAnsiTheme="minorEastAsia" w:eastAsiaTheme="minorEastAsia"/>
                <w:szCs w:val="21"/>
                <w:highlight w:val="none"/>
              </w:rPr>
              <w:t>10</w:t>
            </w:r>
          </w:p>
        </w:tc>
        <w:tc>
          <w:tcPr>
            <w:tcW w:w="851" w:type="dxa"/>
            <w:vAlign w:val="center"/>
          </w:tcPr>
          <w:p>
            <w:pPr>
              <w:spacing w:line="360" w:lineRule="auto"/>
              <w:jc w:val="center"/>
              <w:rPr>
                <w:rFonts w:cs="Arial" w:asciiTheme="minorEastAsia" w:hAnsiTheme="minorEastAsia" w:eastAsiaTheme="minorEastAsia"/>
                <w:szCs w:val="21"/>
                <w:highlight w:val="none"/>
              </w:rPr>
            </w:pPr>
          </w:p>
        </w:tc>
        <w:tc>
          <w:tcPr>
            <w:tcW w:w="851" w:type="dxa"/>
            <w:vAlign w:val="center"/>
          </w:tcPr>
          <w:p>
            <w:pPr>
              <w:spacing w:line="360" w:lineRule="auto"/>
              <w:jc w:val="center"/>
              <w:rPr>
                <w:rFonts w:cs="Arial" w:asciiTheme="minorEastAsia" w:hAnsiTheme="minorEastAsia" w:eastAsiaTheme="minorEastAsia"/>
                <w:szCs w:val="21"/>
                <w:highlight w:val="none"/>
              </w:rPr>
            </w:pPr>
          </w:p>
        </w:tc>
        <w:tc>
          <w:tcPr>
            <w:tcW w:w="708" w:type="dxa"/>
            <w:vAlign w:val="center"/>
          </w:tcPr>
          <w:p>
            <w:pPr>
              <w:spacing w:line="360" w:lineRule="auto"/>
              <w:jc w:val="center"/>
              <w:rPr>
                <w:rFonts w:cs="Arial" w:asciiTheme="minorEastAsia" w:hAnsiTheme="minorEastAsia" w:eastAsiaTheme="minorEastAsia"/>
                <w:szCs w:val="21"/>
                <w:highlight w:val="none"/>
              </w:rPr>
            </w:pPr>
          </w:p>
        </w:tc>
        <w:tc>
          <w:tcPr>
            <w:tcW w:w="759" w:type="dxa"/>
            <w:vAlign w:val="center"/>
          </w:tcPr>
          <w:p>
            <w:pPr>
              <w:spacing w:line="360" w:lineRule="auto"/>
              <w:jc w:val="center"/>
              <w:rPr>
                <w:rFonts w:cs="Arial"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2" w:hRule="atLeast"/>
        </w:trPr>
        <w:tc>
          <w:tcPr>
            <w:tcW w:w="678" w:type="dxa"/>
            <w:vAlign w:val="center"/>
          </w:tcPr>
          <w:p>
            <w:pPr>
              <w:spacing w:line="360" w:lineRule="auto"/>
              <w:jc w:val="center"/>
              <w:rPr>
                <w:rFonts w:cs="Arial" w:asciiTheme="minorEastAsia" w:hAnsiTheme="minorEastAsia" w:eastAsiaTheme="minorEastAsia"/>
                <w:szCs w:val="21"/>
                <w:highlight w:val="none"/>
              </w:rPr>
            </w:pPr>
            <w:r>
              <w:rPr>
                <w:rFonts w:cs="Arial" w:asciiTheme="minorEastAsia" w:hAnsiTheme="minorEastAsia" w:eastAsiaTheme="minorEastAsia"/>
                <w:szCs w:val="21"/>
                <w:highlight w:val="none"/>
              </w:rPr>
              <w:t>3</w:t>
            </w:r>
          </w:p>
        </w:tc>
        <w:tc>
          <w:tcPr>
            <w:tcW w:w="1130" w:type="dxa"/>
            <w:vAlign w:val="center"/>
          </w:tcPr>
          <w:p>
            <w:pPr>
              <w:spacing w:line="300" w:lineRule="exact"/>
              <w:jc w:val="center"/>
              <w:rPr>
                <w:rFonts w:cs="Arial" w:asciiTheme="minorEastAsia" w:hAnsiTheme="minorEastAsia" w:eastAsiaTheme="minorEastAsia"/>
                <w:b/>
                <w:szCs w:val="21"/>
                <w:highlight w:val="none"/>
              </w:rPr>
            </w:pPr>
            <w:r>
              <w:rPr>
                <w:rFonts w:hint="eastAsia" w:cs="Arial" w:asciiTheme="minorEastAsia" w:hAnsiTheme="minorEastAsia" w:eastAsiaTheme="minorEastAsia"/>
                <w:b/>
                <w:szCs w:val="21"/>
                <w:highlight w:val="none"/>
              </w:rPr>
              <w:t>同类</w:t>
            </w:r>
          </w:p>
          <w:p>
            <w:pPr>
              <w:spacing w:line="300" w:lineRule="exact"/>
              <w:jc w:val="center"/>
              <w:rPr>
                <w:rFonts w:asciiTheme="minorEastAsia" w:hAnsiTheme="minorEastAsia" w:eastAsiaTheme="minorEastAsia"/>
                <w:szCs w:val="21"/>
                <w:highlight w:val="none"/>
              </w:rPr>
            </w:pPr>
            <w:r>
              <w:rPr>
                <w:rFonts w:hint="eastAsia" w:cs="Arial" w:asciiTheme="minorEastAsia" w:hAnsiTheme="minorEastAsia" w:eastAsiaTheme="minorEastAsia"/>
                <w:b/>
                <w:szCs w:val="21"/>
                <w:highlight w:val="none"/>
              </w:rPr>
              <w:t>业绩</w:t>
            </w:r>
          </w:p>
        </w:tc>
        <w:tc>
          <w:tcPr>
            <w:tcW w:w="3686" w:type="dxa"/>
          </w:tcPr>
          <w:p>
            <w:pPr>
              <w:autoSpaceDE w:val="0"/>
              <w:autoSpaceDN w:val="0"/>
              <w:spacing w:line="30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投标人自2</w:t>
            </w:r>
            <w:r>
              <w:rPr>
                <w:rFonts w:asciiTheme="minorEastAsia" w:hAnsiTheme="minorEastAsia" w:eastAsiaTheme="minorEastAsia"/>
                <w:szCs w:val="21"/>
                <w:highlight w:val="none"/>
              </w:rPr>
              <w:t>016</w:t>
            </w:r>
            <w:r>
              <w:rPr>
                <w:rFonts w:hint="eastAsia" w:asciiTheme="minorEastAsia" w:hAnsiTheme="minorEastAsia" w:eastAsiaTheme="minorEastAsia"/>
                <w:szCs w:val="21"/>
                <w:highlight w:val="none"/>
              </w:rPr>
              <w:t>年1月1日起至投标截止日期止工矿企业的生产辅助服务业绩，</w:t>
            </w:r>
            <w:r>
              <w:rPr>
                <w:rFonts w:hint="eastAsia" w:ascii="宋体" w:hAnsi="宋体"/>
                <w:szCs w:val="21"/>
                <w:highlight w:val="none"/>
              </w:rPr>
              <w:t>业绩有效时间以合同签订时间为准</w:t>
            </w:r>
            <w:r>
              <w:rPr>
                <w:rFonts w:hint="eastAsia" w:asciiTheme="minorEastAsia" w:hAnsiTheme="minorEastAsia" w:eastAsiaTheme="minorEastAsia"/>
                <w:szCs w:val="21"/>
                <w:highlight w:val="none"/>
              </w:rPr>
              <w:t>。</w:t>
            </w:r>
          </w:p>
          <w:p>
            <w:pPr>
              <w:autoSpaceDE w:val="0"/>
              <w:autoSpaceDN w:val="0"/>
              <w:spacing w:line="30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每提供一个业绩得</w:t>
            </w:r>
            <w:r>
              <w:rPr>
                <w:rFonts w:asciiTheme="minorEastAsia" w:hAnsiTheme="minorEastAsia" w:eastAsiaTheme="minorEastAsia"/>
                <w:szCs w:val="21"/>
                <w:highlight w:val="none"/>
              </w:rPr>
              <w:t>5分，最高得30</w:t>
            </w:r>
            <w:r>
              <w:rPr>
                <w:rFonts w:hint="eastAsia" w:asciiTheme="minorEastAsia" w:hAnsiTheme="minorEastAsia" w:eastAsiaTheme="minorEastAsia"/>
                <w:szCs w:val="21"/>
                <w:highlight w:val="none"/>
              </w:rPr>
              <w:t>分。</w:t>
            </w:r>
          </w:p>
          <w:p>
            <w:pPr>
              <w:autoSpaceDE w:val="0"/>
              <w:autoSpaceDN w:val="0"/>
              <w:spacing w:line="300" w:lineRule="exact"/>
              <w:rPr>
                <w:rFonts w:asciiTheme="minorEastAsia" w:hAnsiTheme="minorEastAsia" w:eastAsiaTheme="minorEastAsia"/>
                <w:szCs w:val="21"/>
                <w:highlight w:val="none"/>
              </w:rPr>
            </w:pPr>
            <w:r>
              <w:rPr>
                <w:rFonts w:hint="eastAsia" w:asciiTheme="minorEastAsia" w:hAnsiTheme="minorEastAsia" w:eastAsiaTheme="minorEastAsia"/>
                <w:b/>
                <w:szCs w:val="21"/>
                <w:highlight w:val="none"/>
              </w:rPr>
              <w:t>说明：按招标文件第六章格式11编制，并提供合同关键页复印件，关键页包括封面页、签字盖章页和主要内容页。</w:t>
            </w:r>
          </w:p>
        </w:tc>
        <w:tc>
          <w:tcPr>
            <w:tcW w:w="851" w:type="dxa"/>
            <w:vAlign w:val="center"/>
          </w:tcPr>
          <w:p>
            <w:pPr>
              <w:spacing w:line="360" w:lineRule="auto"/>
              <w:jc w:val="center"/>
              <w:rPr>
                <w:rFonts w:cs="Arial" w:asciiTheme="minorEastAsia" w:hAnsiTheme="minorEastAsia" w:eastAsiaTheme="minorEastAsia"/>
                <w:szCs w:val="21"/>
                <w:highlight w:val="none"/>
              </w:rPr>
            </w:pPr>
            <w:r>
              <w:rPr>
                <w:rFonts w:hint="eastAsia" w:cs="Arial" w:asciiTheme="minorEastAsia" w:hAnsiTheme="minorEastAsia" w:eastAsiaTheme="minorEastAsia"/>
                <w:szCs w:val="21"/>
                <w:highlight w:val="none"/>
              </w:rPr>
              <w:t>30</w:t>
            </w:r>
          </w:p>
        </w:tc>
        <w:tc>
          <w:tcPr>
            <w:tcW w:w="851" w:type="dxa"/>
            <w:vAlign w:val="center"/>
          </w:tcPr>
          <w:p>
            <w:pPr>
              <w:spacing w:line="360" w:lineRule="auto"/>
              <w:jc w:val="center"/>
              <w:rPr>
                <w:rFonts w:cs="Arial" w:asciiTheme="minorEastAsia" w:hAnsiTheme="minorEastAsia" w:eastAsiaTheme="minorEastAsia"/>
                <w:szCs w:val="21"/>
                <w:highlight w:val="none"/>
              </w:rPr>
            </w:pPr>
          </w:p>
        </w:tc>
        <w:tc>
          <w:tcPr>
            <w:tcW w:w="851" w:type="dxa"/>
            <w:vAlign w:val="center"/>
          </w:tcPr>
          <w:p>
            <w:pPr>
              <w:spacing w:line="360" w:lineRule="auto"/>
              <w:jc w:val="center"/>
              <w:rPr>
                <w:rFonts w:cs="Arial" w:asciiTheme="minorEastAsia" w:hAnsiTheme="minorEastAsia" w:eastAsiaTheme="minorEastAsia"/>
                <w:szCs w:val="21"/>
                <w:highlight w:val="none"/>
              </w:rPr>
            </w:pPr>
          </w:p>
        </w:tc>
        <w:tc>
          <w:tcPr>
            <w:tcW w:w="708" w:type="dxa"/>
            <w:vAlign w:val="center"/>
          </w:tcPr>
          <w:p>
            <w:pPr>
              <w:spacing w:line="360" w:lineRule="auto"/>
              <w:jc w:val="center"/>
              <w:rPr>
                <w:rFonts w:cs="Arial" w:asciiTheme="minorEastAsia" w:hAnsiTheme="minorEastAsia" w:eastAsiaTheme="minorEastAsia"/>
                <w:szCs w:val="21"/>
                <w:highlight w:val="none"/>
              </w:rPr>
            </w:pPr>
          </w:p>
        </w:tc>
        <w:tc>
          <w:tcPr>
            <w:tcW w:w="759" w:type="dxa"/>
            <w:vAlign w:val="center"/>
          </w:tcPr>
          <w:p>
            <w:pPr>
              <w:spacing w:line="360" w:lineRule="auto"/>
              <w:jc w:val="center"/>
              <w:rPr>
                <w:rFonts w:cs="Arial"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678" w:type="dxa"/>
            <w:vAlign w:val="center"/>
          </w:tcPr>
          <w:p>
            <w:pPr>
              <w:spacing w:line="360" w:lineRule="auto"/>
              <w:jc w:val="center"/>
              <w:rPr>
                <w:rFonts w:cs="Arial" w:asciiTheme="minorEastAsia" w:hAnsiTheme="minorEastAsia" w:eastAsiaTheme="minorEastAsia"/>
                <w:szCs w:val="21"/>
                <w:highlight w:val="none"/>
              </w:rPr>
            </w:pPr>
            <w:r>
              <w:rPr>
                <w:rFonts w:cs="Arial" w:asciiTheme="minorEastAsia" w:hAnsiTheme="minorEastAsia" w:eastAsiaTheme="minorEastAsia"/>
                <w:szCs w:val="21"/>
                <w:highlight w:val="none"/>
              </w:rPr>
              <w:t>4</w:t>
            </w:r>
          </w:p>
        </w:tc>
        <w:tc>
          <w:tcPr>
            <w:tcW w:w="1130" w:type="dxa"/>
            <w:vAlign w:val="center"/>
          </w:tcPr>
          <w:p>
            <w:pPr>
              <w:spacing w:line="300" w:lineRule="exact"/>
              <w:jc w:val="center"/>
              <w:rPr>
                <w:rFonts w:cs="Arial" w:asciiTheme="minorEastAsia" w:hAnsiTheme="minorEastAsia" w:eastAsiaTheme="minorEastAsia"/>
                <w:b/>
                <w:szCs w:val="21"/>
                <w:highlight w:val="none"/>
              </w:rPr>
            </w:pPr>
            <w:r>
              <w:rPr>
                <w:rFonts w:hint="eastAsia" w:cs="Arial" w:asciiTheme="minorEastAsia" w:hAnsiTheme="minorEastAsia" w:eastAsiaTheme="minorEastAsia"/>
                <w:b/>
                <w:szCs w:val="21"/>
                <w:highlight w:val="none"/>
              </w:rPr>
              <w:t>拟派管理本项目的管理人员的资质情况</w:t>
            </w:r>
          </w:p>
        </w:tc>
        <w:tc>
          <w:tcPr>
            <w:tcW w:w="3686" w:type="dxa"/>
            <w:vAlign w:val="center"/>
          </w:tcPr>
          <w:p>
            <w:pP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根据管理人员的职业介绍从业人员资格证、经验等资质情况进行比较，得出结论。</w:t>
            </w:r>
          </w:p>
          <w:p>
            <w:pP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结论为一般得</w:t>
            </w:r>
            <w:r>
              <w:rPr>
                <w:rFonts w:asciiTheme="minorEastAsia" w:hAnsiTheme="minorEastAsia" w:eastAsiaTheme="minorEastAsia"/>
                <w:szCs w:val="21"/>
                <w:highlight w:val="none"/>
              </w:rPr>
              <w:t>0～5分；良好得 6～10分；优秀得11～15分。</w:t>
            </w:r>
          </w:p>
          <w:p>
            <w:pPr>
              <w:rPr>
                <w:rFonts w:asciiTheme="minorEastAsia" w:hAnsiTheme="minorEastAsia" w:eastAsiaTheme="minorEastAsia"/>
                <w:szCs w:val="21"/>
                <w:highlight w:val="none"/>
              </w:rPr>
            </w:pPr>
            <w:r>
              <w:rPr>
                <w:rFonts w:hint="eastAsia" w:asciiTheme="minorEastAsia" w:hAnsiTheme="minorEastAsia" w:eastAsiaTheme="minorEastAsia"/>
                <w:b/>
                <w:szCs w:val="21"/>
                <w:highlight w:val="none"/>
              </w:rPr>
              <w:t>说明：按招标文件第六章格式15中的（1）编制。</w:t>
            </w:r>
          </w:p>
        </w:tc>
        <w:tc>
          <w:tcPr>
            <w:tcW w:w="851" w:type="dxa"/>
            <w:vAlign w:val="center"/>
          </w:tcPr>
          <w:p>
            <w:pPr>
              <w:spacing w:line="360" w:lineRule="auto"/>
              <w:jc w:val="center"/>
              <w:rPr>
                <w:rFonts w:cs="Arial" w:asciiTheme="minorEastAsia" w:hAnsiTheme="minorEastAsia" w:eastAsiaTheme="minorEastAsia"/>
                <w:szCs w:val="21"/>
                <w:highlight w:val="none"/>
              </w:rPr>
            </w:pPr>
            <w:r>
              <w:rPr>
                <w:rFonts w:cs="Arial" w:asciiTheme="minorEastAsia" w:hAnsiTheme="minorEastAsia" w:eastAsiaTheme="minorEastAsia"/>
                <w:szCs w:val="21"/>
                <w:highlight w:val="none"/>
              </w:rPr>
              <w:t>15</w:t>
            </w:r>
          </w:p>
        </w:tc>
        <w:tc>
          <w:tcPr>
            <w:tcW w:w="851" w:type="dxa"/>
            <w:vAlign w:val="center"/>
          </w:tcPr>
          <w:p>
            <w:pPr>
              <w:spacing w:line="360" w:lineRule="auto"/>
              <w:jc w:val="center"/>
              <w:rPr>
                <w:rFonts w:cs="Arial" w:asciiTheme="minorEastAsia" w:hAnsiTheme="minorEastAsia" w:eastAsiaTheme="minorEastAsia"/>
                <w:szCs w:val="21"/>
                <w:highlight w:val="none"/>
              </w:rPr>
            </w:pPr>
          </w:p>
        </w:tc>
        <w:tc>
          <w:tcPr>
            <w:tcW w:w="851" w:type="dxa"/>
            <w:vAlign w:val="center"/>
          </w:tcPr>
          <w:p>
            <w:pPr>
              <w:spacing w:line="360" w:lineRule="auto"/>
              <w:jc w:val="center"/>
              <w:rPr>
                <w:rFonts w:cs="Arial" w:asciiTheme="minorEastAsia" w:hAnsiTheme="minorEastAsia" w:eastAsiaTheme="minorEastAsia"/>
                <w:szCs w:val="21"/>
                <w:highlight w:val="none"/>
              </w:rPr>
            </w:pPr>
          </w:p>
        </w:tc>
        <w:tc>
          <w:tcPr>
            <w:tcW w:w="708" w:type="dxa"/>
            <w:vAlign w:val="center"/>
          </w:tcPr>
          <w:p>
            <w:pPr>
              <w:spacing w:line="360" w:lineRule="auto"/>
              <w:jc w:val="center"/>
              <w:rPr>
                <w:rFonts w:cs="Arial" w:asciiTheme="minorEastAsia" w:hAnsiTheme="minorEastAsia" w:eastAsiaTheme="minorEastAsia"/>
                <w:szCs w:val="21"/>
                <w:highlight w:val="none"/>
              </w:rPr>
            </w:pPr>
          </w:p>
        </w:tc>
        <w:tc>
          <w:tcPr>
            <w:tcW w:w="759" w:type="dxa"/>
            <w:vAlign w:val="center"/>
          </w:tcPr>
          <w:p>
            <w:pPr>
              <w:spacing w:line="360" w:lineRule="auto"/>
              <w:jc w:val="center"/>
              <w:rPr>
                <w:rFonts w:cs="Arial"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3" w:hRule="atLeast"/>
        </w:trPr>
        <w:tc>
          <w:tcPr>
            <w:tcW w:w="678" w:type="dxa"/>
            <w:vAlign w:val="center"/>
          </w:tcPr>
          <w:p>
            <w:pPr>
              <w:spacing w:line="360" w:lineRule="auto"/>
              <w:jc w:val="center"/>
              <w:rPr>
                <w:rFonts w:cs="Arial" w:asciiTheme="minorEastAsia" w:hAnsiTheme="minorEastAsia" w:eastAsiaTheme="minorEastAsia"/>
                <w:szCs w:val="21"/>
                <w:highlight w:val="none"/>
              </w:rPr>
            </w:pPr>
            <w:r>
              <w:rPr>
                <w:rFonts w:cs="Arial" w:asciiTheme="minorEastAsia" w:hAnsiTheme="minorEastAsia" w:eastAsiaTheme="minorEastAsia"/>
                <w:szCs w:val="21"/>
                <w:highlight w:val="none"/>
              </w:rPr>
              <w:t>5</w:t>
            </w:r>
          </w:p>
        </w:tc>
        <w:tc>
          <w:tcPr>
            <w:tcW w:w="1130" w:type="dxa"/>
            <w:vAlign w:val="center"/>
          </w:tcPr>
          <w:p>
            <w:pPr>
              <w:spacing w:line="300" w:lineRule="exact"/>
              <w:jc w:val="center"/>
              <w:rPr>
                <w:rFonts w:cs="Arial" w:asciiTheme="minorEastAsia" w:hAnsiTheme="minorEastAsia" w:eastAsiaTheme="minorEastAsia"/>
                <w:b/>
                <w:szCs w:val="21"/>
                <w:highlight w:val="none"/>
              </w:rPr>
            </w:pPr>
            <w:r>
              <w:rPr>
                <w:rFonts w:hint="eastAsia" w:cs="Arial" w:asciiTheme="minorEastAsia" w:hAnsiTheme="minorEastAsia" w:eastAsiaTheme="minorEastAsia"/>
                <w:b/>
                <w:szCs w:val="21"/>
                <w:highlight w:val="none"/>
              </w:rPr>
              <w:t>应急保障能力</w:t>
            </w:r>
          </w:p>
        </w:tc>
        <w:tc>
          <w:tcPr>
            <w:tcW w:w="3686" w:type="dxa"/>
            <w:vAlign w:val="center"/>
          </w:tcPr>
          <w:p>
            <w:pPr>
              <w:autoSpaceDE w:val="0"/>
              <w:autoSpaceDN w:val="0"/>
              <w:spacing w:line="30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根据投标</w:t>
            </w:r>
            <w:r>
              <w:rPr>
                <w:rFonts w:hint="eastAsia" w:asciiTheme="minorEastAsia" w:hAnsiTheme="minorEastAsia" w:eastAsiaTheme="minorEastAsia"/>
                <w:szCs w:val="21"/>
                <w:highlight w:val="none"/>
                <w:lang w:eastAsia="zh-CN"/>
              </w:rPr>
              <w:t>人</w:t>
            </w:r>
            <w:r>
              <w:rPr>
                <w:rFonts w:hint="eastAsia" w:asciiTheme="minorEastAsia" w:hAnsiTheme="minorEastAsia" w:eastAsiaTheme="minorEastAsia"/>
                <w:szCs w:val="21"/>
                <w:highlight w:val="none"/>
              </w:rPr>
              <w:t>提供应急保障方案进行审核，评定，得出结论：评定为一般</w:t>
            </w:r>
            <w:r>
              <w:rPr>
                <w:rFonts w:asciiTheme="minorEastAsia" w:hAnsiTheme="minorEastAsia" w:eastAsiaTheme="minorEastAsia"/>
                <w:szCs w:val="21"/>
                <w:highlight w:val="none"/>
              </w:rPr>
              <w:t xml:space="preserve"> 0～5分，良好 6～10分，优秀 11～15分。</w:t>
            </w:r>
          </w:p>
          <w:p>
            <w:pPr>
              <w:autoSpaceDE w:val="0"/>
              <w:autoSpaceDN w:val="0"/>
              <w:spacing w:line="300" w:lineRule="exact"/>
              <w:rPr>
                <w:rFonts w:asciiTheme="minorEastAsia" w:hAnsiTheme="minorEastAsia" w:eastAsiaTheme="minorEastAsia"/>
                <w:szCs w:val="21"/>
                <w:highlight w:val="none"/>
              </w:rPr>
            </w:pPr>
            <w:r>
              <w:rPr>
                <w:rFonts w:hint="eastAsia" w:asciiTheme="minorEastAsia" w:hAnsiTheme="minorEastAsia" w:eastAsiaTheme="minorEastAsia"/>
                <w:b/>
                <w:szCs w:val="21"/>
                <w:highlight w:val="none"/>
              </w:rPr>
              <w:t>说明：按招标文件第六章格式12中的（1）编制。</w:t>
            </w:r>
          </w:p>
        </w:tc>
        <w:tc>
          <w:tcPr>
            <w:tcW w:w="851" w:type="dxa"/>
            <w:vAlign w:val="center"/>
          </w:tcPr>
          <w:p>
            <w:pPr>
              <w:spacing w:line="360" w:lineRule="auto"/>
              <w:jc w:val="center"/>
              <w:rPr>
                <w:rFonts w:cs="Arial" w:asciiTheme="minorEastAsia" w:hAnsiTheme="minorEastAsia" w:eastAsiaTheme="minorEastAsia"/>
                <w:szCs w:val="21"/>
                <w:highlight w:val="none"/>
              </w:rPr>
            </w:pPr>
            <w:r>
              <w:rPr>
                <w:rFonts w:cs="Arial" w:asciiTheme="minorEastAsia" w:hAnsiTheme="minorEastAsia" w:eastAsiaTheme="minorEastAsia"/>
                <w:szCs w:val="21"/>
                <w:highlight w:val="none"/>
              </w:rPr>
              <w:t>15</w:t>
            </w:r>
          </w:p>
        </w:tc>
        <w:tc>
          <w:tcPr>
            <w:tcW w:w="851" w:type="dxa"/>
            <w:vAlign w:val="center"/>
          </w:tcPr>
          <w:p>
            <w:pPr>
              <w:spacing w:line="360" w:lineRule="auto"/>
              <w:jc w:val="center"/>
              <w:rPr>
                <w:rFonts w:cs="Arial" w:asciiTheme="minorEastAsia" w:hAnsiTheme="minorEastAsia" w:eastAsiaTheme="minorEastAsia"/>
                <w:szCs w:val="21"/>
                <w:highlight w:val="none"/>
              </w:rPr>
            </w:pPr>
          </w:p>
        </w:tc>
        <w:tc>
          <w:tcPr>
            <w:tcW w:w="851" w:type="dxa"/>
            <w:vAlign w:val="center"/>
          </w:tcPr>
          <w:p>
            <w:pPr>
              <w:spacing w:line="360" w:lineRule="auto"/>
              <w:jc w:val="center"/>
              <w:rPr>
                <w:rFonts w:cs="Arial" w:asciiTheme="minorEastAsia" w:hAnsiTheme="minorEastAsia" w:eastAsiaTheme="minorEastAsia"/>
                <w:szCs w:val="21"/>
                <w:highlight w:val="none"/>
              </w:rPr>
            </w:pPr>
          </w:p>
        </w:tc>
        <w:tc>
          <w:tcPr>
            <w:tcW w:w="708" w:type="dxa"/>
            <w:vAlign w:val="center"/>
          </w:tcPr>
          <w:p>
            <w:pPr>
              <w:spacing w:line="360" w:lineRule="auto"/>
              <w:jc w:val="center"/>
              <w:rPr>
                <w:rFonts w:cs="Arial" w:asciiTheme="minorEastAsia" w:hAnsiTheme="minorEastAsia" w:eastAsiaTheme="minorEastAsia"/>
                <w:szCs w:val="21"/>
                <w:highlight w:val="none"/>
              </w:rPr>
            </w:pPr>
          </w:p>
        </w:tc>
        <w:tc>
          <w:tcPr>
            <w:tcW w:w="759" w:type="dxa"/>
            <w:vAlign w:val="center"/>
          </w:tcPr>
          <w:p>
            <w:pPr>
              <w:spacing w:line="360" w:lineRule="auto"/>
              <w:jc w:val="center"/>
              <w:rPr>
                <w:rFonts w:cs="Arial"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8" w:hRule="atLeast"/>
        </w:trPr>
        <w:tc>
          <w:tcPr>
            <w:tcW w:w="678" w:type="dxa"/>
            <w:vAlign w:val="center"/>
          </w:tcPr>
          <w:p>
            <w:pPr>
              <w:spacing w:line="360" w:lineRule="auto"/>
              <w:jc w:val="center"/>
              <w:rPr>
                <w:rFonts w:cs="Arial" w:asciiTheme="minorEastAsia" w:hAnsiTheme="minorEastAsia" w:eastAsiaTheme="minorEastAsia"/>
                <w:szCs w:val="21"/>
                <w:highlight w:val="none"/>
              </w:rPr>
            </w:pPr>
            <w:r>
              <w:rPr>
                <w:rFonts w:cs="Arial" w:asciiTheme="minorEastAsia" w:hAnsiTheme="minorEastAsia" w:eastAsiaTheme="minorEastAsia"/>
                <w:szCs w:val="21"/>
                <w:highlight w:val="none"/>
              </w:rPr>
              <w:t>6</w:t>
            </w:r>
          </w:p>
        </w:tc>
        <w:tc>
          <w:tcPr>
            <w:tcW w:w="1130" w:type="dxa"/>
            <w:vAlign w:val="center"/>
          </w:tcPr>
          <w:p>
            <w:pPr>
              <w:spacing w:line="300" w:lineRule="exact"/>
              <w:jc w:val="center"/>
              <w:rPr>
                <w:rFonts w:cs="Arial" w:asciiTheme="minorEastAsia" w:hAnsiTheme="minorEastAsia" w:eastAsiaTheme="minorEastAsia"/>
                <w:b/>
                <w:szCs w:val="21"/>
                <w:highlight w:val="none"/>
              </w:rPr>
            </w:pPr>
            <w:r>
              <w:rPr>
                <w:rFonts w:hint="eastAsia" w:cs="Arial" w:asciiTheme="minorEastAsia" w:hAnsiTheme="minorEastAsia" w:eastAsiaTheme="minorEastAsia"/>
                <w:b/>
                <w:szCs w:val="21"/>
                <w:highlight w:val="none"/>
              </w:rPr>
              <w:t>人员配置及服务管理</w:t>
            </w:r>
          </w:p>
        </w:tc>
        <w:tc>
          <w:tcPr>
            <w:tcW w:w="3686" w:type="dxa"/>
            <w:vAlign w:val="center"/>
          </w:tcPr>
          <w:p>
            <w:pPr>
              <w:autoSpaceDE w:val="0"/>
              <w:autoSpaceDN w:val="0"/>
              <w:spacing w:line="300" w:lineRule="exact"/>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组织机构设置合理（具备</w:t>
            </w:r>
            <w:r>
              <w:rPr>
                <w:rFonts w:cs="宋体" w:asciiTheme="minorEastAsia" w:hAnsiTheme="minorEastAsia" w:eastAsiaTheme="minorEastAsia"/>
                <w:szCs w:val="21"/>
                <w:highlight w:val="none"/>
              </w:rPr>
              <w:t>24小时生产的人员配置）；服务管理方案(涉及到人员架构、驻场管理、安全文明生产管理）完整</w:t>
            </w:r>
            <w:r>
              <w:rPr>
                <w:rFonts w:hint="eastAsia" w:cs="宋体" w:asciiTheme="minorEastAsia" w:hAnsiTheme="minorEastAsia" w:eastAsiaTheme="minorEastAsia"/>
                <w:szCs w:val="21"/>
                <w:highlight w:val="none"/>
              </w:rPr>
              <w:t>且</w:t>
            </w:r>
            <w:r>
              <w:rPr>
                <w:rFonts w:cs="宋体" w:asciiTheme="minorEastAsia" w:hAnsiTheme="minorEastAsia" w:eastAsiaTheme="minorEastAsia"/>
                <w:szCs w:val="21"/>
                <w:highlight w:val="none"/>
              </w:rPr>
              <w:t>具有可操作性</w:t>
            </w:r>
            <w:r>
              <w:rPr>
                <w:rFonts w:hint="eastAsia" w:cs="宋体" w:asciiTheme="minorEastAsia" w:hAnsiTheme="minorEastAsia" w:eastAsiaTheme="minorEastAsia"/>
                <w:szCs w:val="21"/>
                <w:highlight w:val="none"/>
              </w:rPr>
              <w:t>；</w:t>
            </w:r>
          </w:p>
          <w:p>
            <w:pPr>
              <w:autoSpaceDE w:val="0"/>
              <w:autoSpaceDN w:val="0"/>
              <w:spacing w:line="30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总体评定为一般</w:t>
            </w:r>
            <w:r>
              <w:rPr>
                <w:rFonts w:asciiTheme="minorEastAsia" w:hAnsiTheme="minorEastAsia" w:eastAsiaTheme="minorEastAsia"/>
                <w:szCs w:val="21"/>
                <w:highlight w:val="none"/>
              </w:rPr>
              <w:t xml:space="preserve"> 0～3分，良好 4～6分，优秀 7～10分。</w:t>
            </w:r>
          </w:p>
          <w:p>
            <w:pPr>
              <w:autoSpaceDE w:val="0"/>
              <w:autoSpaceDN w:val="0"/>
              <w:spacing w:line="300" w:lineRule="exact"/>
              <w:rPr>
                <w:rFonts w:asciiTheme="minorEastAsia" w:hAnsiTheme="minorEastAsia" w:eastAsiaTheme="minorEastAsia"/>
                <w:szCs w:val="21"/>
                <w:highlight w:val="none"/>
              </w:rPr>
            </w:pPr>
            <w:r>
              <w:rPr>
                <w:rFonts w:hint="eastAsia" w:asciiTheme="minorEastAsia" w:hAnsiTheme="minorEastAsia" w:eastAsiaTheme="minorEastAsia"/>
                <w:b/>
                <w:szCs w:val="21"/>
                <w:highlight w:val="none"/>
              </w:rPr>
              <w:t>说明：按招标文件第六章格式12中的（2）与格式15编制。</w:t>
            </w:r>
          </w:p>
        </w:tc>
        <w:tc>
          <w:tcPr>
            <w:tcW w:w="851" w:type="dxa"/>
            <w:vAlign w:val="center"/>
          </w:tcPr>
          <w:p>
            <w:pPr>
              <w:spacing w:line="360" w:lineRule="auto"/>
              <w:jc w:val="center"/>
              <w:rPr>
                <w:rFonts w:cs="Arial" w:asciiTheme="minorEastAsia" w:hAnsiTheme="minorEastAsia" w:eastAsiaTheme="minorEastAsia"/>
                <w:szCs w:val="21"/>
                <w:highlight w:val="none"/>
              </w:rPr>
            </w:pPr>
            <w:r>
              <w:rPr>
                <w:rFonts w:cs="Arial" w:asciiTheme="minorEastAsia" w:hAnsiTheme="minorEastAsia" w:eastAsiaTheme="minorEastAsia"/>
                <w:szCs w:val="21"/>
                <w:highlight w:val="none"/>
              </w:rPr>
              <w:t>10</w:t>
            </w:r>
          </w:p>
        </w:tc>
        <w:tc>
          <w:tcPr>
            <w:tcW w:w="851" w:type="dxa"/>
            <w:vAlign w:val="center"/>
          </w:tcPr>
          <w:p>
            <w:pPr>
              <w:spacing w:line="360" w:lineRule="auto"/>
              <w:jc w:val="center"/>
              <w:rPr>
                <w:rFonts w:cs="Arial" w:asciiTheme="minorEastAsia" w:hAnsiTheme="minorEastAsia" w:eastAsiaTheme="minorEastAsia"/>
                <w:szCs w:val="21"/>
                <w:highlight w:val="none"/>
              </w:rPr>
            </w:pPr>
          </w:p>
        </w:tc>
        <w:tc>
          <w:tcPr>
            <w:tcW w:w="851" w:type="dxa"/>
            <w:vAlign w:val="center"/>
          </w:tcPr>
          <w:p>
            <w:pPr>
              <w:spacing w:line="360" w:lineRule="auto"/>
              <w:jc w:val="center"/>
              <w:rPr>
                <w:rFonts w:cs="Arial" w:asciiTheme="minorEastAsia" w:hAnsiTheme="minorEastAsia" w:eastAsiaTheme="minorEastAsia"/>
                <w:szCs w:val="21"/>
                <w:highlight w:val="none"/>
              </w:rPr>
            </w:pPr>
          </w:p>
        </w:tc>
        <w:tc>
          <w:tcPr>
            <w:tcW w:w="708" w:type="dxa"/>
            <w:vAlign w:val="center"/>
          </w:tcPr>
          <w:p>
            <w:pPr>
              <w:spacing w:line="360" w:lineRule="auto"/>
              <w:jc w:val="center"/>
              <w:rPr>
                <w:rFonts w:cs="Arial" w:asciiTheme="minorEastAsia" w:hAnsiTheme="minorEastAsia" w:eastAsiaTheme="minorEastAsia"/>
                <w:szCs w:val="21"/>
                <w:highlight w:val="none"/>
              </w:rPr>
            </w:pPr>
          </w:p>
        </w:tc>
        <w:tc>
          <w:tcPr>
            <w:tcW w:w="759" w:type="dxa"/>
            <w:vAlign w:val="center"/>
          </w:tcPr>
          <w:p>
            <w:pPr>
              <w:spacing w:line="360" w:lineRule="auto"/>
              <w:jc w:val="center"/>
              <w:rPr>
                <w:rFonts w:cs="Arial"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8" w:hRule="atLeast"/>
        </w:trPr>
        <w:tc>
          <w:tcPr>
            <w:tcW w:w="678" w:type="dxa"/>
            <w:vAlign w:val="center"/>
          </w:tcPr>
          <w:p>
            <w:pPr>
              <w:spacing w:line="360" w:lineRule="auto"/>
              <w:jc w:val="center"/>
              <w:rPr>
                <w:rFonts w:cs="Arial" w:asciiTheme="minorEastAsia" w:hAnsiTheme="minorEastAsia" w:eastAsiaTheme="minorEastAsia"/>
                <w:szCs w:val="21"/>
                <w:highlight w:val="none"/>
              </w:rPr>
            </w:pPr>
            <w:r>
              <w:rPr>
                <w:rFonts w:hint="eastAsia" w:cs="Arial" w:asciiTheme="minorEastAsia" w:hAnsiTheme="minorEastAsia" w:eastAsiaTheme="minorEastAsia"/>
                <w:szCs w:val="21"/>
                <w:highlight w:val="none"/>
              </w:rPr>
              <w:t>7</w:t>
            </w:r>
          </w:p>
        </w:tc>
        <w:tc>
          <w:tcPr>
            <w:tcW w:w="1130" w:type="dxa"/>
            <w:vAlign w:val="center"/>
          </w:tcPr>
          <w:p>
            <w:pPr>
              <w:spacing w:line="300" w:lineRule="exact"/>
              <w:jc w:val="center"/>
              <w:rPr>
                <w:rFonts w:cs="Arial" w:asciiTheme="minorEastAsia" w:hAnsiTheme="minorEastAsia" w:eastAsiaTheme="minorEastAsia"/>
                <w:b/>
                <w:szCs w:val="21"/>
                <w:highlight w:val="none"/>
              </w:rPr>
            </w:pPr>
            <w:r>
              <w:rPr>
                <w:rFonts w:hint="eastAsia" w:cs="Arial" w:asciiTheme="minorEastAsia" w:hAnsiTheme="minorEastAsia" w:eastAsiaTheme="minorEastAsia"/>
                <w:b/>
                <w:szCs w:val="21"/>
                <w:highlight w:val="none"/>
              </w:rPr>
              <w:t>实缴注册资金</w:t>
            </w:r>
          </w:p>
        </w:tc>
        <w:tc>
          <w:tcPr>
            <w:tcW w:w="3686" w:type="dxa"/>
            <w:vAlign w:val="center"/>
          </w:tcPr>
          <w:p>
            <w:pPr>
              <w:autoSpaceDE w:val="0"/>
              <w:autoSpaceDN w:val="0"/>
              <w:spacing w:line="30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实缴注册资金为：100万元（含）以下的得1分，100万元-300万元（含）得2分，300万元-500万元（含）得3分，500万-1000万元（含）得4分，1000万元以上得5分。</w:t>
            </w:r>
          </w:p>
          <w:p>
            <w:pPr>
              <w:autoSpaceDE w:val="0"/>
              <w:autoSpaceDN w:val="0"/>
              <w:spacing w:line="300" w:lineRule="exact"/>
              <w:rPr>
                <w:rFonts w:asciiTheme="minorEastAsia" w:hAnsiTheme="minorEastAsia" w:eastAsiaTheme="minorEastAsia"/>
                <w:szCs w:val="21"/>
                <w:highlight w:val="none"/>
              </w:rPr>
            </w:pPr>
            <w:r>
              <w:rPr>
                <w:rFonts w:hint="eastAsia" w:asciiTheme="minorEastAsia" w:hAnsiTheme="minorEastAsia" w:eastAsiaTheme="minorEastAsia"/>
                <w:b/>
                <w:szCs w:val="21"/>
                <w:highlight w:val="none"/>
              </w:rPr>
              <w:t>说明：按招标文件第六章格式10中的（2）编制。</w:t>
            </w:r>
          </w:p>
        </w:tc>
        <w:tc>
          <w:tcPr>
            <w:tcW w:w="851" w:type="dxa"/>
            <w:vAlign w:val="center"/>
          </w:tcPr>
          <w:p>
            <w:pPr>
              <w:spacing w:line="360" w:lineRule="auto"/>
              <w:jc w:val="center"/>
              <w:rPr>
                <w:rFonts w:cs="Arial" w:asciiTheme="minorEastAsia" w:hAnsiTheme="minorEastAsia" w:eastAsiaTheme="minorEastAsia"/>
                <w:szCs w:val="21"/>
                <w:highlight w:val="none"/>
              </w:rPr>
            </w:pPr>
            <w:r>
              <w:rPr>
                <w:rFonts w:hint="eastAsia" w:cs="Arial" w:asciiTheme="minorEastAsia" w:hAnsiTheme="minorEastAsia" w:eastAsiaTheme="minorEastAsia"/>
                <w:szCs w:val="21"/>
                <w:highlight w:val="none"/>
              </w:rPr>
              <w:t>5</w:t>
            </w:r>
          </w:p>
        </w:tc>
        <w:tc>
          <w:tcPr>
            <w:tcW w:w="851" w:type="dxa"/>
            <w:vAlign w:val="center"/>
          </w:tcPr>
          <w:p>
            <w:pPr>
              <w:spacing w:line="360" w:lineRule="auto"/>
              <w:jc w:val="center"/>
              <w:rPr>
                <w:rFonts w:cs="Arial" w:asciiTheme="minorEastAsia" w:hAnsiTheme="minorEastAsia" w:eastAsiaTheme="minorEastAsia"/>
                <w:szCs w:val="21"/>
                <w:highlight w:val="none"/>
              </w:rPr>
            </w:pPr>
          </w:p>
        </w:tc>
        <w:tc>
          <w:tcPr>
            <w:tcW w:w="851" w:type="dxa"/>
            <w:vAlign w:val="center"/>
          </w:tcPr>
          <w:p>
            <w:pPr>
              <w:spacing w:line="360" w:lineRule="auto"/>
              <w:jc w:val="center"/>
              <w:rPr>
                <w:rFonts w:cs="Arial" w:asciiTheme="minorEastAsia" w:hAnsiTheme="minorEastAsia" w:eastAsiaTheme="minorEastAsia"/>
                <w:szCs w:val="21"/>
                <w:highlight w:val="none"/>
              </w:rPr>
            </w:pPr>
          </w:p>
        </w:tc>
        <w:tc>
          <w:tcPr>
            <w:tcW w:w="708" w:type="dxa"/>
            <w:vAlign w:val="center"/>
          </w:tcPr>
          <w:p>
            <w:pPr>
              <w:spacing w:line="360" w:lineRule="auto"/>
              <w:jc w:val="center"/>
              <w:rPr>
                <w:rFonts w:cs="Arial" w:asciiTheme="minorEastAsia" w:hAnsiTheme="minorEastAsia" w:eastAsiaTheme="minorEastAsia"/>
                <w:szCs w:val="21"/>
                <w:highlight w:val="none"/>
              </w:rPr>
            </w:pPr>
          </w:p>
        </w:tc>
        <w:tc>
          <w:tcPr>
            <w:tcW w:w="759" w:type="dxa"/>
            <w:vAlign w:val="center"/>
          </w:tcPr>
          <w:p>
            <w:pPr>
              <w:spacing w:line="360" w:lineRule="auto"/>
              <w:jc w:val="center"/>
              <w:rPr>
                <w:rFonts w:cs="Arial"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trPr>
        <w:tc>
          <w:tcPr>
            <w:tcW w:w="1808" w:type="dxa"/>
            <w:gridSpan w:val="2"/>
            <w:vAlign w:val="bottom"/>
          </w:tcPr>
          <w:p>
            <w:pPr>
              <w:spacing w:line="360" w:lineRule="auto"/>
              <w:jc w:val="center"/>
              <w:rPr>
                <w:rFonts w:cs="Arial" w:asciiTheme="minorEastAsia" w:hAnsiTheme="minorEastAsia" w:eastAsiaTheme="minorEastAsia"/>
                <w:b/>
                <w:szCs w:val="21"/>
                <w:highlight w:val="none"/>
              </w:rPr>
            </w:pPr>
            <w:r>
              <w:rPr>
                <w:rFonts w:hint="eastAsia" w:cs="Arial" w:asciiTheme="minorEastAsia" w:hAnsiTheme="minorEastAsia" w:eastAsiaTheme="minorEastAsia"/>
                <w:b/>
                <w:szCs w:val="21"/>
                <w:highlight w:val="none"/>
              </w:rPr>
              <w:t>总分</w:t>
            </w:r>
          </w:p>
        </w:tc>
        <w:tc>
          <w:tcPr>
            <w:tcW w:w="4537" w:type="dxa"/>
            <w:gridSpan w:val="2"/>
            <w:vAlign w:val="bottom"/>
          </w:tcPr>
          <w:p>
            <w:pPr>
              <w:spacing w:line="360" w:lineRule="auto"/>
              <w:jc w:val="center"/>
              <w:rPr>
                <w:rFonts w:cs="Arial" w:asciiTheme="minorEastAsia" w:hAnsiTheme="minorEastAsia" w:eastAsiaTheme="minorEastAsia"/>
                <w:szCs w:val="21"/>
                <w:highlight w:val="none"/>
              </w:rPr>
            </w:pPr>
            <w:r>
              <w:rPr>
                <w:rFonts w:cs="Arial" w:asciiTheme="minorEastAsia" w:hAnsiTheme="minorEastAsia" w:eastAsiaTheme="minorEastAsia"/>
                <w:szCs w:val="21"/>
                <w:highlight w:val="none"/>
              </w:rPr>
              <w:t>100</w:t>
            </w:r>
          </w:p>
        </w:tc>
        <w:tc>
          <w:tcPr>
            <w:tcW w:w="851" w:type="dxa"/>
            <w:vAlign w:val="center"/>
          </w:tcPr>
          <w:p>
            <w:pPr>
              <w:spacing w:line="360" w:lineRule="auto"/>
              <w:jc w:val="center"/>
              <w:rPr>
                <w:rFonts w:cs="Arial" w:asciiTheme="minorEastAsia" w:hAnsiTheme="minorEastAsia" w:eastAsiaTheme="minorEastAsia"/>
                <w:szCs w:val="21"/>
                <w:highlight w:val="none"/>
              </w:rPr>
            </w:pPr>
          </w:p>
        </w:tc>
        <w:tc>
          <w:tcPr>
            <w:tcW w:w="851" w:type="dxa"/>
            <w:vAlign w:val="center"/>
          </w:tcPr>
          <w:p>
            <w:pPr>
              <w:spacing w:line="360" w:lineRule="auto"/>
              <w:jc w:val="center"/>
              <w:rPr>
                <w:rFonts w:cs="Arial" w:asciiTheme="minorEastAsia" w:hAnsiTheme="minorEastAsia" w:eastAsiaTheme="minorEastAsia"/>
                <w:szCs w:val="21"/>
                <w:highlight w:val="none"/>
              </w:rPr>
            </w:pPr>
          </w:p>
        </w:tc>
        <w:tc>
          <w:tcPr>
            <w:tcW w:w="708" w:type="dxa"/>
            <w:vAlign w:val="center"/>
          </w:tcPr>
          <w:p>
            <w:pPr>
              <w:spacing w:line="360" w:lineRule="auto"/>
              <w:jc w:val="center"/>
              <w:rPr>
                <w:rFonts w:cs="Arial" w:asciiTheme="minorEastAsia" w:hAnsiTheme="minorEastAsia" w:eastAsiaTheme="minorEastAsia"/>
                <w:szCs w:val="21"/>
                <w:highlight w:val="none"/>
              </w:rPr>
            </w:pPr>
          </w:p>
        </w:tc>
        <w:tc>
          <w:tcPr>
            <w:tcW w:w="759" w:type="dxa"/>
            <w:vAlign w:val="center"/>
          </w:tcPr>
          <w:p>
            <w:pPr>
              <w:spacing w:line="360" w:lineRule="auto"/>
              <w:jc w:val="center"/>
              <w:rPr>
                <w:rFonts w:cs="Arial" w:asciiTheme="minorEastAsia" w:hAnsiTheme="minorEastAsia" w:eastAsiaTheme="minorEastAsia"/>
                <w:szCs w:val="21"/>
                <w:highlight w:val="none"/>
              </w:rPr>
            </w:pPr>
          </w:p>
        </w:tc>
      </w:tr>
    </w:tbl>
    <w:p>
      <w:pP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注：</w:t>
      </w:r>
      <w:r>
        <w:rPr>
          <w:rFonts w:asciiTheme="minorEastAsia" w:hAnsiTheme="minorEastAsia" w:eastAsiaTheme="minorEastAsia"/>
          <w:szCs w:val="21"/>
          <w:highlight w:val="none"/>
        </w:rPr>
        <w:t>1、以上评审，投标人未提供证明材料的不得分。</w:t>
      </w:r>
    </w:p>
    <w:p>
      <w:pPr>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    2、业绩及相关奖励证书按第六章投标文件格式列出一览表。</w:t>
      </w:r>
    </w:p>
    <w:p>
      <w:pPr>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    3、投标人商务、技术分为各评委的总评分的算术平均值。</w:t>
      </w:r>
    </w:p>
    <w:p>
      <w:pPr>
        <w:pStyle w:val="12"/>
        <w:ind w:firstLine="0"/>
        <w:rPr>
          <w:rFonts w:asciiTheme="minorEastAsia" w:hAnsiTheme="minorEastAsia" w:eastAsiaTheme="minorEastAsia"/>
          <w:b/>
          <w:bCs/>
          <w:sz w:val="21"/>
          <w:szCs w:val="21"/>
          <w:highlight w:val="none"/>
        </w:rPr>
      </w:pPr>
    </w:p>
    <w:p>
      <w:pPr>
        <w:pStyle w:val="12"/>
        <w:ind w:firstLine="0"/>
        <w:rPr>
          <w:rFonts w:asciiTheme="minorEastAsia" w:hAnsiTheme="minorEastAsia" w:eastAsiaTheme="minorEastAsia"/>
          <w:b/>
          <w:bCs/>
          <w:sz w:val="21"/>
          <w:szCs w:val="21"/>
          <w:highlight w:val="none"/>
        </w:rPr>
      </w:pPr>
    </w:p>
    <w:p>
      <w:pPr>
        <w:spacing w:line="360" w:lineRule="auto"/>
        <w:ind w:firstLine="420" w:firstLineChars="200"/>
        <w:rPr>
          <w:rFonts w:ascii="宋体" w:hAnsi="宋体"/>
          <w:szCs w:val="21"/>
          <w:highlight w:val="none"/>
        </w:rPr>
      </w:pPr>
      <w:r>
        <w:rPr>
          <w:rFonts w:hint="eastAsia" w:ascii="宋体" w:hAnsi="宋体"/>
          <w:szCs w:val="21"/>
          <w:highlight w:val="none"/>
        </w:rPr>
        <w:t xml:space="preserve">评委签名：                                                                        </w:t>
      </w:r>
    </w:p>
    <w:p>
      <w:pPr>
        <w:spacing w:line="360" w:lineRule="auto"/>
        <w:ind w:firstLine="420" w:firstLineChars="200"/>
        <w:rPr>
          <w:rFonts w:ascii="宋体" w:hAnsi="宋体"/>
          <w:szCs w:val="21"/>
          <w:highlight w:val="none"/>
        </w:rPr>
      </w:pPr>
      <w:r>
        <w:rPr>
          <w:rFonts w:hint="eastAsia" w:ascii="宋体" w:hAnsi="宋体"/>
          <w:szCs w:val="21"/>
          <w:highlight w:val="none"/>
        </w:rPr>
        <w:t>监督人员签名：</w:t>
      </w:r>
    </w:p>
    <w:p>
      <w:pPr>
        <w:pStyle w:val="12"/>
        <w:ind w:firstLine="480" w:firstLineChars="200"/>
        <w:rPr>
          <w:rFonts w:asciiTheme="minorEastAsia" w:hAnsiTheme="minorEastAsia" w:eastAsiaTheme="minorEastAsia"/>
          <w:b/>
          <w:bCs/>
          <w:sz w:val="21"/>
          <w:szCs w:val="21"/>
          <w:highlight w:val="none"/>
        </w:rPr>
      </w:pPr>
      <w:r>
        <w:rPr>
          <w:rFonts w:hint="eastAsia"/>
          <w:kern w:val="10"/>
          <w:szCs w:val="21"/>
          <w:highlight w:val="none"/>
        </w:rPr>
        <w:t>日</w:t>
      </w:r>
      <w:r>
        <w:rPr>
          <w:rFonts w:hint="eastAsia"/>
          <w:szCs w:val="21"/>
          <w:highlight w:val="none"/>
        </w:rPr>
        <w:t>期：</w:t>
      </w:r>
    </w:p>
    <w:p>
      <w:pPr>
        <w:pStyle w:val="12"/>
        <w:ind w:firstLine="0"/>
        <w:rPr>
          <w:rFonts w:asciiTheme="minorEastAsia" w:hAnsiTheme="minorEastAsia" w:eastAsiaTheme="minorEastAsia"/>
          <w:b/>
          <w:bCs/>
          <w:sz w:val="21"/>
          <w:szCs w:val="21"/>
          <w:highlight w:val="none"/>
        </w:rPr>
      </w:pPr>
    </w:p>
    <w:p>
      <w:pPr>
        <w:pStyle w:val="12"/>
        <w:ind w:firstLine="0"/>
        <w:rPr>
          <w:rFonts w:asciiTheme="minorEastAsia" w:hAnsiTheme="minorEastAsia" w:eastAsiaTheme="minorEastAsia"/>
          <w:b/>
          <w:bCs/>
          <w:sz w:val="21"/>
          <w:szCs w:val="21"/>
          <w:highlight w:val="none"/>
        </w:rPr>
      </w:pPr>
    </w:p>
    <w:p>
      <w:pPr>
        <w:pStyle w:val="12"/>
        <w:ind w:firstLine="0"/>
        <w:rPr>
          <w:rFonts w:asciiTheme="minorEastAsia" w:hAnsiTheme="minorEastAsia" w:eastAsiaTheme="minorEastAsia"/>
          <w:b/>
          <w:bCs/>
          <w:sz w:val="21"/>
          <w:szCs w:val="21"/>
          <w:highlight w:val="none"/>
        </w:rPr>
      </w:pPr>
    </w:p>
    <w:p>
      <w:pPr>
        <w:pStyle w:val="12"/>
        <w:ind w:firstLine="0"/>
        <w:rPr>
          <w:rFonts w:asciiTheme="minorEastAsia" w:hAnsiTheme="minorEastAsia" w:eastAsiaTheme="minorEastAsia"/>
          <w:b/>
          <w:bCs/>
          <w:sz w:val="21"/>
          <w:szCs w:val="21"/>
          <w:highlight w:val="none"/>
        </w:rPr>
      </w:pPr>
    </w:p>
    <w:p>
      <w:pPr>
        <w:pStyle w:val="12"/>
        <w:ind w:firstLine="0"/>
        <w:rPr>
          <w:rFonts w:asciiTheme="minorEastAsia" w:hAnsiTheme="minorEastAsia" w:eastAsiaTheme="minorEastAsia"/>
          <w:b/>
          <w:bCs/>
          <w:sz w:val="21"/>
          <w:szCs w:val="21"/>
          <w:highlight w:val="none"/>
        </w:rPr>
      </w:pPr>
    </w:p>
    <w:p>
      <w:pPr>
        <w:pStyle w:val="12"/>
        <w:ind w:firstLine="0"/>
        <w:rPr>
          <w:rFonts w:asciiTheme="minorEastAsia" w:hAnsiTheme="minorEastAsia" w:eastAsiaTheme="minorEastAsia"/>
          <w:b/>
          <w:bCs/>
          <w:sz w:val="21"/>
          <w:szCs w:val="21"/>
          <w:highlight w:val="none"/>
        </w:rPr>
      </w:pPr>
    </w:p>
    <w:p>
      <w:pPr>
        <w:pStyle w:val="12"/>
        <w:ind w:firstLine="0"/>
        <w:rPr>
          <w:rFonts w:asciiTheme="minorEastAsia" w:hAnsiTheme="minorEastAsia" w:eastAsiaTheme="minorEastAsia"/>
          <w:b/>
          <w:bCs/>
          <w:sz w:val="21"/>
          <w:szCs w:val="21"/>
          <w:highlight w:val="none"/>
        </w:rPr>
      </w:pPr>
    </w:p>
    <w:p>
      <w:pPr>
        <w:pStyle w:val="12"/>
        <w:ind w:firstLine="0"/>
        <w:rPr>
          <w:rFonts w:asciiTheme="minorEastAsia" w:hAnsiTheme="minorEastAsia" w:eastAsiaTheme="minorEastAsia"/>
          <w:b/>
          <w:bCs/>
          <w:sz w:val="21"/>
          <w:szCs w:val="21"/>
          <w:highlight w:val="none"/>
        </w:rPr>
      </w:pPr>
    </w:p>
    <w:p>
      <w:pPr>
        <w:pStyle w:val="12"/>
        <w:ind w:firstLine="0"/>
        <w:rPr>
          <w:rFonts w:asciiTheme="minorEastAsia" w:hAnsiTheme="minorEastAsia" w:eastAsiaTheme="minorEastAsia"/>
          <w:b/>
          <w:bCs/>
          <w:sz w:val="21"/>
          <w:szCs w:val="21"/>
          <w:highlight w:val="none"/>
        </w:rPr>
      </w:pPr>
    </w:p>
    <w:p>
      <w:pPr>
        <w:pStyle w:val="12"/>
        <w:ind w:firstLine="0"/>
        <w:rPr>
          <w:rFonts w:asciiTheme="minorEastAsia" w:hAnsiTheme="minorEastAsia" w:eastAsiaTheme="minorEastAsia"/>
          <w:b/>
          <w:bCs/>
          <w:sz w:val="21"/>
          <w:szCs w:val="21"/>
          <w:highlight w:val="none"/>
        </w:rPr>
      </w:pPr>
    </w:p>
    <w:p>
      <w:pPr>
        <w:pStyle w:val="12"/>
        <w:ind w:firstLine="0"/>
        <w:rPr>
          <w:rFonts w:asciiTheme="minorEastAsia" w:hAnsiTheme="minorEastAsia" w:eastAsiaTheme="minorEastAsia"/>
          <w:b/>
          <w:bCs/>
          <w:sz w:val="21"/>
          <w:szCs w:val="21"/>
          <w:highlight w:val="none"/>
        </w:rPr>
      </w:pPr>
    </w:p>
    <w:p>
      <w:pPr>
        <w:pStyle w:val="12"/>
        <w:ind w:firstLine="0"/>
        <w:rPr>
          <w:rFonts w:asciiTheme="minorEastAsia" w:hAnsiTheme="minorEastAsia" w:eastAsiaTheme="minorEastAsia"/>
          <w:b/>
          <w:bCs/>
          <w:sz w:val="21"/>
          <w:szCs w:val="21"/>
          <w:highlight w:val="none"/>
        </w:rPr>
      </w:pPr>
    </w:p>
    <w:p>
      <w:pPr>
        <w:pStyle w:val="12"/>
        <w:ind w:firstLine="0"/>
        <w:rPr>
          <w:rFonts w:asciiTheme="minorEastAsia" w:hAnsiTheme="minorEastAsia" w:eastAsiaTheme="minorEastAsia"/>
          <w:b/>
          <w:bCs/>
          <w:sz w:val="21"/>
          <w:szCs w:val="21"/>
          <w:highlight w:val="none"/>
        </w:rPr>
      </w:pPr>
    </w:p>
    <w:p>
      <w:pPr>
        <w:pStyle w:val="3"/>
        <w:numPr>
          <w:ilvl w:val="255"/>
          <w:numId w:val="0"/>
        </w:numPr>
        <w:snapToGrid w:val="0"/>
        <w:spacing w:before="120" w:after="120"/>
        <w:ind w:left="426"/>
        <w:jc w:val="left"/>
        <w:rPr>
          <w:sz w:val="24"/>
          <w:szCs w:val="24"/>
          <w:highlight w:val="none"/>
        </w:rPr>
      </w:pPr>
      <w:bookmarkStart w:id="382" w:name="_Toc28855"/>
      <w:bookmarkStart w:id="383" w:name="_Toc21050"/>
      <w:r>
        <w:rPr>
          <w:rFonts w:hint="eastAsia"/>
          <w:sz w:val="24"/>
          <w:szCs w:val="24"/>
          <w:highlight w:val="none"/>
        </w:rPr>
        <w:t>附表5：经济标评分表（权重占70%）</w:t>
      </w:r>
      <w:bookmarkEnd w:id="382"/>
      <w:bookmarkEnd w:id="383"/>
    </w:p>
    <w:tbl>
      <w:tblPr>
        <w:tblStyle w:val="42"/>
        <w:tblW w:w="9371" w:type="dxa"/>
        <w:tblInd w:w="93" w:type="dxa"/>
        <w:tblLayout w:type="fixed"/>
        <w:tblCellMar>
          <w:top w:w="0" w:type="dxa"/>
          <w:left w:w="108" w:type="dxa"/>
          <w:bottom w:w="0" w:type="dxa"/>
          <w:right w:w="108" w:type="dxa"/>
        </w:tblCellMar>
      </w:tblPr>
      <w:tblGrid>
        <w:gridCol w:w="774"/>
        <w:gridCol w:w="2360"/>
        <w:gridCol w:w="992"/>
        <w:gridCol w:w="992"/>
        <w:gridCol w:w="1134"/>
        <w:gridCol w:w="851"/>
        <w:gridCol w:w="1134"/>
        <w:gridCol w:w="1134"/>
      </w:tblGrid>
      <w:tr>
        <w:tblPrEx>
          <w:tblLayout w:type="fixed"/>
          <w:tblCellMar>
            <w:top w:w="0" w:type="dxa"/>
            <w:left w:w="108" w:type="dxa"/>
            <w:bottom w:w="0" w:type="dxa"/>
            <w:right w:w="108" w:type="dxa"/>
          </w:tblCellMar>
        </w:tblPrEx>
        <w:trPr>
          <w:trHeight w:val="750" w:hRule="atLeast"/>
        </w:trPr>
        <w:tc>
          <w:tcPr>
            <w:tcW w:w="9371" w:type="dxa"/>
            <w:gridSpan w:val="8"/>
            <w:tcBorders>
              <w:top w:val="nil"/>
              <w:left w:val="nil"/>
              <w:bottom w:val="single" w:color="auto" w:sz="4" w:space="0"/>
              <w:right w:val="nil"/>
            </w:tcBorders>
            <w:shd w:val="clear" w:color="auto" w:fill="auto"/>
            <w:vAlign w:val="bottom"/>
          </w:tcPr>
          <w:p>
            <w:pP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项目名称：</w:t>
            </w:r>
            <w:r>
              <w:rPr>
                <w:rFonts w:hint="eastAsia" w:asciiTheme="minorEastAsia" w:hAnsiTheme="minorEastAsia" w:eastAsiaTheme="minorEastAsia"/>
                <w:color w:val="000000"/>
                <w:szCs w:val="21"/>
                <w:highlight w:val="none"/>
              </w:rPr>
              <w:t>佛山市恒益环保建材有限公司加气砌块生产辅助业务外委采购项目</w:t>
            </w:r>
          </w:p>
        </w:tc>
      </w:tr>
      <w:tr>
        <w:tblPrEx>
          <w:tblLayout w:type="fixed"/>
          <w:tblCellMar>
            <w:top w:w="0" w:type="dxa"/>
            <w:left w:w="108" w:type="dxa"/>
            <w:bottom w:w="0" w:type="dxa"/>
            <w:right w:w="108" w:type="dxa"/>
          </w:tblCellMar>
        </w:tblPrEx>
        <w:trPr>
          <w:trHeight w:val="1002" w:hRule="atLeast"/>
        </w:trPr>
        <w:tc>
          <w:tcPr>
            <w:tcW w:w="774"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序号</w:t>
            </w:r>
          </w:p>
        </w:tc>
        <w:tc>
          <w:tcPr>
            <w:tcW w:w="23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投标单位</w:t>
            </w:r>
          </w:p>
        </w:tc>
        <w:tc>
          <w:tcPr>
            <w:tcW w:w="992"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含税总价</w:t>
            </w:r>
            <w:r>
              <w:rPr>
                <w:rFonts w:cs="宋体" w:asciiTheme="minorEastAsia" w:hAnsiTheme="minorEastAsia" w:eastAsiaTheme="minorEastAsia"/>
                <w:szCs w:val="21"/>
                <w:highlight w:val="none"/>
              </w:rPr>
              <w:t>(</w:t>
            </w:r>
            <w:r>
              <w:rPr>
                <w:rFonts w:hint="eastAsia" w:cs="宋体" w:asciiTheme="minorEastAsia" w:hAnsiTheme="minorEastAsia" w:eastAsiaTheme="minorEastAsia"/>
                <w:szCs w:val="21"/>
                <w:highlight w:val="none"/>
              </w:rPr>
              <w:t>万元</w:t>
            </w:r>
            <w:r>
              <w:rPr>
                <w:rFonts w:cs="宋体" w:asciiTheme="minorEastAsia" w:hAnsiTheme="minorEastAsia" w:eastAsiaTheme="minorEastAsia"/>
                <w:szCs w:val="21"/>
                <w:highlight w:val="none"/>
              </w:rPr>
              <w:t>)</w:t>
            </w:r>
          </w:p>
        </w:tc>
        <w:tc>
          <w:tcPr>
            <w:tcW w:w="992"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highlight w:val="none"/>
              </w:rPr>
            </w:pPr>
            <w:r>
              <w:rPr>
                <w:rFonts w:hint="eastAsia" w:ascii="宋体" w:hAnsi="宋体"/>
                <w:szCs w:val="21"/>
                <w:highlight w:val="none"/>
              </w:rPr>
              <w:t>评审价（万元）</w:t>
            </w:r>
          </w:p>
        </w:tc>
        <w:tc>
          <w:tcPr>
            <w:tcW w:w="1134"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评标参考价（万元）</w:t>
            </w:r>
          </w:p>
        </w:tc>
        <w:tc>
          <w:tcPr>
            <w:tcW w:w="851"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偏差值</w:t>
            </w:r>
          </w:p>
        </w:tc>
        <w:tc>
          <w:tcPr>
            <w:tcW w:w="1134"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扣分</w:t>
            </w:r>
          </w:p>
        </w:tc>
        <w:tc>
          <w:tcPr>
            <w:tcW w:w="1134"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价格得分</w:t>
            </w:r>
          </w:p>
        </w:tc>
      </w:tr>
      <w:tr>
        <w:tblPrEx>
          <w:tblLayout w:type="fixed"/>
          <w:tblCellMar>
            <w:top w:w="0" w:type="dxa"/>
            <w:left w:w="108" w:type="dxa"/>
            <w:bottom w:w="0" w:type="dxa"/>
            <w:right w:w="108" w:type="dxa"/>
          </w:tblCellMar>
        </w:tblPrEx>
        <w:trPr>
          <w:trHeight w:val="705" w:hRule="atLeast"/>
        </w:trPr>
        <w:tc>
          <w:tcPr>
            <w:tcW w:w="774"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highlight w:val="none"/>
              </w:rPr>
            </w:pPr>
            <w:r>
              <w:rPr>
                <w:rFonts w:cs="宋体" w:asciiTheme="minorEastAsia" w:hAnsiTheme="minorEastAsia" w:eastAsiaTheme="minorEastAsia"/>
                <w:szCs w:val="21"/>
                <w:highlight w:val="none"/>
              </w:rPr>
              <w:t>1</w:t>
            </w:r>
          </w:p>
        </w:tc>
        <w:tc>
          <w:tcPr>
            <w:tcW w:w="2360" w:type="dxa"/>
            <w:tcBorders>
              <w:top w:val="nil"/>
              <w:left w:val="nil"/>
              <w:bottom w:val="single" w:color="000000" w:sz="4" w:space="0"/>
              <w:right w:val="nil"/>
            </w:tcBorders>
            <w:shd w:val="clear" w:color="000000" w:fill="FFFFFF"/>
            <w:vAlign w:val="center"/>
          </w:tcPr>
          <w:p>
            <w:pPr>
              <w:jc w:val="center"/>
              <w:rPr>
                <w:rFonts w:cs="宋体" w:asciiTheme="minorEastAsia" w:hAnsiTheme="minorEastAsia" w:eastAsiaTheme="minorEastAsia"/>
                <w:color w:val="000000"/>
                <w:szCs w:val="21"/>
                <w:highlight w:val="none"/>
              </w:rPr>
            </w:pPr>
          </w:p>
        </w:tc>
        <w:tc>
          <w:tcPr>
            <w:tcW w:w="992" w:type="dxa"/>
            <w:tcBorders>
              <w:top w:val="nil"/>
              <w:left w:val="single" w:color="auto" w:sz="4" w:space="0"/>
              <w:bottom w:val="nil"/>
              <w:right w:val="single" w:color="auto" w:sz="4" w:space="0"/>
            </w:tcBorders>
            <w:shd w:val="clear" w:color="auto" w:fill="auto"/>
            <w:vAlign w:val="center"/>
          </w:tcPr>
          <w:p>
            <w:pPr>
              <w:jc w:val="center"/>
              <w:rPr>
                <w:rFonts w:cs="宋体" w:asciiTheme="minorEastAsia" w:hAnsiTheme="minorEastAsia" w:eastAsiaTheme="minorEastAsia"/>
                <w:szCs w:val="21"/>
                <w:highlight w:val="none"/>
              </w:rPr>
            </w:pPr>
          </w:p>
        </w:tc>
        <w:tc>
          <w:tcPr>
            <w:tcW w:w="992" w:type="dxa"/>
            <w:tcBorders>
              <w:top w:val="nil"/>
              <w:left w:val="single" w:color="auto" w:sz="4" w:space="0"/>
              <w:bottom w:val="nil"/>
              <w:right w:val="single" w:color="auto" w:sz="4" w:space="0"/>
            </w:tcBorders>
            <w:shd w:val="clear" w:color="auto" w:fill="auto"/>
            <w:vAlign w:val="center"/>
          </w:tcPr>
          <w:p>
            <w:pPr>
              <w:jc w:val="center"/>
              <w:rPr>
                <w:rFonts w:cs="宋体" w:asciiTheme="minorEastAsia" w:hAnsiTheme="minorEastAsia" w:eastAsiaTheme="minorEastAsia"/>
                <w:szCs w:val="21"/>
                <w:highlight w:val="none"/>
              </w:rPr>
            </w:pPr>
          </w:p>
        </w:tc>
        <w:tc>
          <w:tcPr>
            <w:tcW w:w="1134" w:type="dxa"/>
            <w:vMerge w:val="restart"/>
            <w:tcBorders>
              <w:top w:val="nil"/>
              <w:left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highlight w:val="none"/>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highlight w:val="none"/>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highlight w:val="none"/>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highlight w:val="none"/>
              </w:rPr>
            </w:pPr>
          </w:p>
        </w:tc>
      </w:tr>
      <w:tr>
        <w:tblPrEx>
          <w:tblLayout w:type="fixed"/>
          <w:tblCellMar>
            <w:top w:w="0" w:type="dxa"/>
            <w:left w:w="108" w:type="dxa"/>
            <w:bottom w:w="0" w:type="dxa"/>
            <w:right w:w="108" w:type="dxa"/>
          </w:tblCellMar>
        </w:tblPrEx>
        <w:trPr>
          <w:trHeight w:val="765" w:hRule="atLeast"/>
        </w:trPr>
        <w:tc>
          <w:tcPr>
            <w:tcW w:w="774"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highlight w:val="none"/>
              </w:rPr>
            </w:pPr>
            <w:r>
              <w:rPr>
                <w:rFonts w:cs="宋体" w:asciiTheme="minorEastAsia" w:hAnsiTheme="minorEastAsia" w:eastAsiaTheme="minorEastAsia"/>
                <w:szCs w:val="21"/>
                <w:highlight w:val="none"/>
              </w:rPr>
              <w:t>2</w:t>
            </w:r>
          </w:p>
        </w:tc>
        <w:tc>
          <w:tcPr>
            <w:tcW w:w="2360" w:type="dxa"/>
            <w:tcBorders>
              <w:top w:val="nil"/>
              <w:left w:val="nil"/>
              <w:bottom w:val="single" w:color="000000" w:sz="4" w:space="0"/>
              <w:right w:val="nil"/>
            </w:tcBorders>
            <w:shd w:val="clear" w:color="000000" w:fill="FFFFFF"/>
            <w:vAlign w:val="center"/>
          </w:tcPr>
          <w:p>
            <w:pPr>
              <w:jc w:val="center"/>
              <w:rPr>
                <w:rFonts w:cs="宋体" w:asciiTheme="minorEastAsia" w:hAnsiTheme="minorEastAsia" w:eastAsiaTheme="minorEastAsia"/>
                <w:color w:val="000000"/>
                <w:szCs w:val="21"/>
                <w:highlight w:val="none"/>
              </w:rPr>
            </w:pPr>
          </w:p>
        </w:tc>
        <w:tc>
          <w:tcPr>
            <w:tcW w:w="992" w:type="dxa"/>
            <w:tcBorders>
              <w:top w:val="single" w:color="auto" w:sz="4" w:space="0"/>
              <w:left w:val="single" w:color="auto" w:sz="4" w:space="0"/>
              <w:bottom w:val="nil"/>
              <w:right w:val="single" w:color="auto" w:sz="4" w:space="0"/>
            </w:tcBorders>
            <w:shd w:val="clear" w:color="auto" w:fill="auto"/>
            <w:vAlign w:val="center"/>
          </w:tcPr>
          <w:p>
            <w:pPr>
              <w:jc w:val="center"/>
              <w:rPr>
                <w:rFonts w:cs="宋体" w:asciiTheme="minorEastAsia" w:hAnsiTheme="minorEastAsia" w:eastAsiaTheme="minorEastAsia"/>
                <w:szCs w:val="21"/>
                <w:highlight w:val="none"/>
              </w:rPr>
            </w:pPr>
          </w:p>
        </w:tc>
        <w:tc>
          <w:tcPr>
            <w:tcW w:w="992" w:type="dxa"/>
            <w:tcBorders>
              <w:top w:val="single" w:color="auto" w:sz="4" w:space="0"/>
              <w:left w:val="single" w:color="auto" w:sz="4" w:space="0"/>
              <w:bottom w:val="nil"/>
              <w:right w:val="single" w:color="auto" w:sz="4" w:space="0"/>
            </w:tcBorders>
            <w:shd w:val="clear" w:color="auto" w:fill="auto"/>
            <w:vAlign w:val="center"/>
          </w:tcPr>
          <w:p>
            <w:pPr>
              <w:jc w:val="center"/>
              <w:rPr>
                <w:rFonts w:cs="宋体" w:asciiTheme="minorEastAsia" w:hAnsiTheme="minorEastAsia" w:eastAsiaTheme="minorEastAsia"/>
                <w:szCs w:val="21"/>
                <w:highlight w:val="none"/>
              </w:rPr>
            </w:pPr>
          </w:p>
        </w:tc>
        <w:tc>
          <w:tcPr>
            <w:tcW w:w="1134" w:type="dxa"/>
            <w:vMerge w:val="continue"/>
            <w:tcBorders>
              <w:left w:val="single" w:color="auto" w:sz="4" w:space="0"/>
              <w:right w:val="single" w:color="auto" w:sz="4" w:space="0"/>
            </w:tcBorders>
            <w:vAlign w:val="center"/>
          </w:tcPr>
          <w:p>
            <w:pPr>
              <w:rPr>
                <w:rFonts w:cs="宋体" w:asciiTheme="minorEastAsia" w:hAnsiTheme="minorEastAsia" w:eastAsiaTheme="minorEastAsia"/>
                <w:szCs w:val="21"/>
                <w:highlight w:val="none"/>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highlight w:val="none"/>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highlight w:val="none"/>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highlight w:val="none"/>
              </w:rPr>
            </w:pPr>
          </w:p>
        </w:tc>
      </w:tr>
      <w:tr>
        <w:tblPrEx>
          <w:tblLayout w:type="fixed"/>
          <w:tblCellMar>
            <w:top w:w="0" w:type="dxa"/>
            <w:left w:w="108" w:type="dxa"/>
            <w:bottom w:w="0" w:type="dxa"/>
            <w:right w:w="108" w:type="dxa"/>
          </w:tblCellMar>
        </w:tblPrEx>
        <w:trPr>
          <w:trHeight w:val="825" w:hRule="atLeast"/>
        </w:trPr>
        <w:tc>
          <w:tcPr>
            <w:tcW w:w="774"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highlight w:val="none"/>
              </w:rPr>
            </w:pPr>
            <w:r>
              <w:rPr>
                <w:rFonts w:cs="宋体" w:asciiTheme="minorEastAsia" w:hAnsiTheme="minorEastAsia" w:eastAsiaTheme="minorEastAsia"/>
                <w:szCs w:val="21"/>
                <w:highlight w:val="none"/>
              </w:rPr>
              <w:t>3</w:t>
            </w:r>
          </w:p>
        </w:tc>
        <w:tc>
          <w:tcPr>
            <w:tcW w:w="2360" w:type="dxa"/>
            <w:tcBorders>
              <w:top w:val="nil"/>
              <w:left w:val="nil"/>
              <w:bottom w:val="single" w:color="000000" w:sz="4" w:space="0"/>
              <w:right w:val="nil"/>
            </w:tcBorders>
            <w:shd w:val="clear" w:color="000000" w:fill="FFFFFF"/>
            <w:vAlign w:val="center"/>
          </w:tcPr>
          <w:p>
            <w:pPr>
              <w:jc w:val="center"/>
              <w:rPr>
                <w:rFonts w:cs="宋体" w:asciiTheme="minorEastAsia" w:hAnsiTheme="minorEastAsia" w:eastAsiaTheme="minorEastAsia"/>
                <w:color w:val="000000"/>
                <w:szCs w:val="21"/>
                <w:highlight w:val="none"/>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highlight w:val="none"/>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highlight w:val="none"/>
              </w:rPr>
            </w:pPr>
          </w:p>
        </w:tc>
        <w:tc>
          <w:tcPr>
            <w:tcW w:w="1134" w:type="dxa"/>
            <w:vMerge w:val="continue"/>
            <w:tcBorders>
              <w:left w:val="single" w:color="auto" w:sz="4" w:space="0"/>
              <w:right w:val="single" w:color="auto" w:sz="4" w:space="0"/>
            </w:tcBorders>
            <w:vAlign w:val="center"/>
          </w:tcPr>
          <w:p>
            <w:pPr>
              <w:rPr>
                <w:rFonts w:cs="宋体" w:asciiTheme="minorEastAsia" w:hAnsiTheme="minorEastAsia" w:eastAsiaTheme="minorEastAsia"/>
                <w:szCs w:val="21"/>
                <w:highlight w:val="none"/>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highlight w:val="none"/>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highlight w:val="none"/>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highlight w:val="none"/>
              </w:rPr>
            </w:pPr>
          </w:p>
        </w:tc>
      </w:tr>
      <w:tr>
        <w:tblPrEx>
          <w:tblLayout w:type="fixed"/>
          <w:tblCellMar>
            <w:top w:w="0" w:type="dxa"/>
            <w:left w:w="108" w:type="dxa"/>
            <w:bottom w:w="0" w:type="dxa"/>
            <w:right w:w="108" w:type="dxa"/>
          </w:tblCellMar>
        </w:tblPrEx>
        <w:trPr>
          <w:trHeight w:val="825" w:hRule="atLeast"/>
        </w:trPr>
        <w:tc>
          <w:tcPr>
            <w:tcW w:w="774"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highlight w:val="none"/>
              </w:rPr>
            </w:pPr>
            <w:r>
              <w:rPr>
                <w:rFonts w:cs="宋体" w:asciiTheme="minorEastAsia" w:hAnsiTheme="minorEastAsia" w:eastAsiaTheme="minorEastAsia"/>
                <w:szCs w:val="21"/>
                <w:highlight w:val="none"/>
              </w:rPr>
              <w:t>4</w:t>
            </w:r>
          </w:p>
        </w:tc>
        <w:tc>
          <w:tcPr>
            <w:tcW w:w="2360" w:type="dxa"/>
            <w:tcBorders>
              <w:top w:val="nil"/>
              <w:left w:val="nil"/>
              <w:bottom w:val="single" w:color="000000" w:sz="4" w:space="0"/>
              <w:right w:val="nil"/>
            </w:tcBorders>
            <w:shd w:val="clear" w:color="000000" w:fill="FFFFFF"/>
            <w:vAlign w:val="center"/>
          </w:tcPr>
          <w:p>
            <w:pPr>
              <w:jc w:val="center"/>
              <w:rPr>
                <w:rFonts w:cs="宋体" w:asciiTheme="minorEastAsia" w:hAnsiTheme="minorEastAsia" w:eastAsiaTheme="minorEastAsia"/>
                <w:color w:val="000000"/>
                <w:szCs w:val="21"/>
                <w:highlight w:val="none"/>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highlight w:val="none"/>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highlight w:val="none"/>
              </w:rPr>
            </w:pPr>
          </w:p>
        </w:tc>
        <w:tc>
          <w:tcPr>
            <w:tcW w:w="1134" w:type="dxa"/>
            <w:vMerge w:val="continue"/>
            <w:tcBorders>
              <w:left w:val="single" w:color="auto" w:sz="4" w:space="0"/>
              <w:right w:val="single" w:color="auto" w:sz="4" w:space="0"/>
            </w:tcBorders>
            <w:vAlign w:val="center"/>
          </w:tcPr>
          <w:p>
            <w:pPr>
              <w:rPr>
                <w:rFonts w:cs="宋体" w:asciiTheme="minorEastAsia" w:hAnsiTheme="minorEastAsia" w:eastAsiaTheme="minorEastAsia"/>
                <w:szCs w:val="21"/>
                <w:highlight w:val="none"/>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highlight w:val="none"/>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highlight w:val="none"/>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highlight w:val="none"/>
              </w:rPr>
            </w:pPr>
          </w:p>
        </w:tc>
      </w:tr>
      <w:tr>
        <w:tblPrEx>
          <w:tblLayout w:type="fixed"/>
          <w:tblCellMar>
            <w:top w:w="0" w:type="dxa"/>
            <w:left w:w="108" w:type="dxa"/>
            <w:bottom w:w="0" w:type="dxa"/>
            <w:right w:w="108" w:type="dxa"/>
          </w:tblCellMar>
        </w:tblPrEx>
        <w:trPr>
          <w:trHeight w:val="825" w:hRule="atLeast"/>
        </w:trPr>
        <w:tc>
          <w:tcPr>
            <w:tcW w:w="774"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highlight w:val="none"/>
              </w:rPr>
            </w:pPr>
            <w:r>
              <w:rPr>
                <w:rFonts w:cs="宋体" w:asciiTheme="minorEastAsia" w:hAnsiTheme="minorEastAsia" w:eastAsiaTheme="minorEastAsia"/>
                <w:szCs w:val="21"/>
                <w:highlight w:val="none"/>
              </w:rPr>
              <w:t>5</w:t>
            </w:r>
          </w:p>
        </w:tc>
        <w:tc>
          <w:tcPr>
            <w:tcW w:w="2360" w:type="dxa"/>
            <w:tcBorders>
              <w:top w:val="nil"/>
              <w:left w:val="nil"/>
              <w:bottom w:val="single" w:color="000000" w:sz="4" w:space="0"/>
              <w:right w:val="nil"/>
            </w:tcBorders>
            <w:shd w:val="clear" w:color="000000" w:fill="FFFFFF"/>
            <w:vAlign w:val="center"/>
          </w:tcPr>
          <w:p>
            <w:pPr>
              <w:jc w:val="center"/>
              <w:rPr>
                <w:rFonts w:cs="宋体" w:asciiTheme="minorEastAsia" w:hAnsiTheme="minorEastAsia" w:eastAsiaTheme="minorEastAsia"/>
                <w:color w:val="000000"/>
                <w:szCs w:val="21"/>
                <w:highlight w:val="none"/>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highlight w:val="none"/>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highlight w:val="none"/>
              </w:rPr>
            </w:pPr>
          </w:p>
        </w:tc>
        <w:tc>
          <w:tcPr>
            <w:tcW w:w="1134" w:type="dxa"/>
            <w:vMerge w:val="continue"/>
            <w:tcBorders>
              <w:left w:val="single" w:color="auto" w:sz="4" w:space="0"/>
              <w:bottom w:val="single" w:color="auto" w:sz="4" w:space="0"/>
              <w:right w:val="single" w:color="auto" w:sz="4" w:space="0"/>
            </w:tcBorders>
            <w:vAlign w:val="center"/>
          </w:tcPr>
          <w:p>
            <w:pPr>
              <w:rPr>
                <w:rFonts w:cs="宋体" w:asciiTheme="minorEastAsia" w:hAnsiTheme="minorEastAsia" w:eastAsiaTheme="minorEastAsia"/>
                <w:szCs w:val="21"/>
                <w:highlight w:val="none"/>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highlight w:val="none"/>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highlight w:val="none"/>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highlight w:val="none"/>
              </w:rPr>
            </w:pPr>
          </w:p>
        </w:tc>
      </w:tr>
      <w:tr>
        <w:tblPrEx>
          <w:tblLayout w:type="fixed"/>
          <w:tblCellMar>
            <w:top w:w="0" w:type="dxa"/>
            <w:left w:w="108" w:type="dxa"/>
            <w:bottom w:w="0" w:type="dxa"/>
            <w:right w:w="108" w:type="dxa"/>
          </w:tblCellMar>
        </w:tblPrEx>
        <w:trPr>
          <w:trHeight w:val="870" w:hRule="atLeast"/>
        </w:trPr>
        <w:tc>
          <w:tcPr>
            <w:tcW w:w="9371" w:type="dxa"/>
            <w:gridSpan w:val="8"/>
            <w:tcBorders>
              <w:top w:val="single" w:color="auto" w:sz="4" w:space="0"/>
              <w:left w:val="nil"/>
              <w:bottom w:val="nil"/>
              <w:right w:val="nil"/>
            </w:tcBorders>
            <w:shd w:val="clear" w:color="auto" w:fill="auto"/>
            <w:vAlign w:val="center"/>
          </w:tcPr>
          <w:p>
            <w:pPr>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注：1.</w:t>
            </w:r>
            <w:r>
              <w:rPr>
                <w:rFonts w:hint="eastAsia" w:asciiTheme="minorEastAsia" w:hAnsiTheme="minorEastAsia" w:eastAsiaTheme="minorEastAsia"/>
                <w:szCs w:val="21"/>
                <w:highlight w:val="none"/>
              </w:rPr>
              <w:t>投标人的评审价等于评标参考价的，价格得分为</w:t>
            </w:r>
            <w:r>
              <w:rPr>
                <w:rFonts w:asciiTheme="minorEastAsia" w:hAnsiTheme="minorEastAsia" w:eastAsiaTheme="minorEastAsia"/>
                <w:szCs w:val="21"/>
                <w:highlight w:val="none"/>
              </w:rPr>
              <w:t>100分；</w:t>
            </w:r>
            <w:r>
              <w:rPr>
                <w:rFonts w:hint="eastAsia" w:ascii="宋体" w:hAnsi="宋体"/>
                <w:szCs w:val="21"/>
                <w:highlight w:val="none"/>
              </w:rPr>
              <w:t>其</w:t>
            </w:r>
            <w:r>
              <w:rPr>
                <w:rFonts w:ascii="宋体" w:hAnsi="宋体"/>
                <w:szCs w:val="21"/>
                <w:highlight w:val="none"/>
              </w:rPr>
              <w:t>余投标人的价格评审得分为：（</w:t>
            </w:r>
            <w:r>
              <w:rPr>
                <w:rFonts w:hint="eastAsia" w:ascii="宋体" w:hAnsi="宋体"/>
                <w:szCs w:val="21"/>
                <w:highlight w:val="none"/>
              </w:rPr>
              <w:t>评标参考价</w:t>
            </w:r>
            <w:r>
              <w:rPr>
                <w:rFonts w:ascii="宋体" w:hAnsi="宋体"/>
                <w:szCs w:val="21"/>
                <w:highlight w:val="none"/>
              </w:rPr>
              <w:t>÷</w:t>
            </w:r>
            <w:r>
              <w:rPr>
                <w:rFonts w:hint="eastAsia" w:ascii="宋体" w:hAnsi="宋体"/>
                <w:szCs w:val="21"/>
                <w:highlight w:val="none"/>
              </w:rPr>
              <w:t>相应投标人评审</w:t>
            </w:r>
            <w:r>
              <w:rPr>
                <w:rFonts w:ascii="宋体" w:hAnsi="宋体"/>
                <w:szCs w:val="21"/>
                <w:highlight w:val="none"/>
              </w:rPr>
              <w:t>价</w:t>
            </w:r>
            <w:r>
              <w:rPr>
                <w:rFonts w:hint="eastAsia" w:ascii="宋体" w:hAnsi="宋体"/>
                <w:szCs w:val="21"/>
                <w:highlight w:val="none"/>
              </w:rPr>
              <w:t>）×100</w:t>
            </w:r>
          </w:p>
        </w:tc>
      </w:tr>
      <w:tr>
        <w:tblPrEx>
          <w:tblLayout w:type="fixed"/>
          <w:tblCellMar>
            <w:top w:w="0" w:type="dxa"/>
            <w:left w:w="108" w:type="dxa"/>
            <w:bottom w:w="0" w:type="dxa"/>
            <w:right w:w="108" w:type="dxa"/>
          </w:tblCellMar>
        </w:tblPrEx>
        <w:trPr>
          <w:trHeight w:val="435" w:hRule="atLeast"/>
        </w:trPr>
        <w:tc>
          <w:tcPr>
            <w:tcW w:w="9371" w:type="dxa"/>
            <w:gridSpan w:val="8"/>
            <w:tcBorders>
              <w:top w:val="nil"/>
              <w:left w:val="nil"/>
              <w:bottom w:val="nil"/>
              <w:right w:val="nil"/>
            </w:tcBorders>
            <w:shd w:val="clear" w:color="auto" w:fill="auto"/>
            <w:vAlign w:val="bottom"/>
          </w:tcPr>
          <w:p>
            <w:pPr>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w:t>
            </w:r>
            <w:r>
              <w:rPr>
                <w:rFonts w:hint="eastAsia" w:ascii="宋体" w:hAnsi="宋体"/>
                <w:szCs w:val="21"/>
                <w:highlight w:val="none"/>
              </w:rPr>
              <w:t>评审价：</w:t>
            </w:r>
            <w:r>
              <w:rPr>
                <w:rFonts w:hint="eastAsia" w:ascii="宋体" w:hAnsi="宋体" w:cs="宋体"/>
                <w:color w:val="000000"/>
                <w:szCs w:val="21"/>
                <w:highlight w:val="none"/>
                <w:shd w:val="clear" w:color="auto" w:fill="FFFFFF"/>
              </w:rPr>
              <w:t>可开具增值税专用发票的报价按不含税投标总报价作为评审价，开具其他类型发票的报价按含税投标总报价作为评审价。</w:t>
            </w:r>
          </w:p>
        </w:tc>
      </w:tr>
    </w:tbl>
    <w:p>
      <w:pPr>
        <w:rPr>
          <w:rFonts w:asciiTheme="minorEastAsia" w:hAnsiTheme="minorEastAsia" w:eastAsiaTheme="minorEastAsia"/>
          <w:b/>
          <w:i/>
          <w:position w:val="-6"/>
          <w:szCs w:val="21"/>
          <w:highlight w:val="none"/>
        </w:rPr>
      </w:pPr>
    </w:p>
    <w:p>
      <w:pPr>
        <w:spacing w:line="360" w:lineRule="auto"/>
        <w:ind w:firstLine="420" w:firstLineChars="200"/>
        <w:rPr>
          <w:rFonts w:ascii="宋体" w:hAnsi="宋体"/>
          <w:szCs w:val="21"/>
          <w:highlight w:val="none"/>
        </w:rPr>
      </w:pPr>
    </w:p>
    <w:p>
      <w:pPr>
        <w:spacing w:line="360" w:lineRule="auto"/>
        <w:ind w:firstLine="420" w:firstLineChars="200"/>
        <w:rPr>
          <w:rFonts w:ascii="宋体" w:hAnsi="宋体"/>
          <w:szCs w:val="21"/>
          <w:highlight w:val="none"/>
        </w:rPr>
      </w:pPr>
    </w:p>
    <w:p>
      <w:pPr>
        <w:spacing w:line="360" w:lineRule="auto"/>
        <w:ind w:firstLine="420" w:firstLineChars="200"/>
        <w:rPr>
          <w:rFonts w:ascii="宋体" w:hAnsi="宋体"/>
          <w:szCs w:val="21"/>
          <w:highlight w:val="none"/>
        </w:rPr>
      </w:pPr>
      <w:r>
        <w:rPr>
          <w:rFonts w:hint="eastAsia" w:ascii="宋体" w:hAnsi="宋体"/>
          <w:szCs w:val="21"/>
          <w:highlight w:val="none"/>
        </w:rPr>
        <w:t xml:space="preserve">评委签名：                                                                        </w:t>
      </w:r>
    </w:p>
    <w:p>
      <w:pPr>
        <w:spacing w:line="360" w:lineRule="auto"/>
        <w:ind w:firstLine="420" w:firstLineChars="200"/>
        <w:rPr>
          <w:rFonts w:ascii="宋体" w:hAnsi="宋体"/>
          <w:szCs w:val="21"/>
          <w:highlight w:val="none"/>
        </w:rPr>
      </w:pPr>
      <w:r>
        <w:rPr>
          <w:rFonts w:hint="eastAsia" w:ascii="宋体" w:hAnsi="宋体"/>
          <w:szCs w:val="21"/>
          <w:highlight w:val="none"/>
        </w:rPr>
        <w:t>监督人员签名：</w:t>
      </w:r>
    </w:p>
    <w:p>
      <w:pPr>
        <w:pStyle w:val="220"/>
        <w:spacing w:beforeLines="50" w:line="288" w:lineRule="auto"/>
        <w:ind w:left="210" w:leftChars="100" w:firstLine="210" w:firstLineChars="100"/>
        <w:jc w:val="left"/>
        <w:rPr>
          <w:rFonts w:asciiTheme="minorEastAsia" w:hAnsiTheme="minorEastAsia" w:eastAsiaTheme="minorEastAsia"/>
          <w:szCs w:val="21"/>
          <w:highlight w:val="none"/>
        </w:rPr>
      </w:pPr>
      <w:r>
        <w:rPr>
          <w:rFonts w:hint="eastAsia" w:ascii="宋体" w:hAnsi="宋体"/>
          <w:kern w:val="10"/>
          <w:szCs w:val="21"/>
          <w:highlight w:val="none"/>
        </w:rPr>
        <w:t>日</w:t>
      </w:r>
      <w:r>
        <w:rPr>
          <w:rFonts w:hint="eastAsia" w:ascii="宋体" w:hAnsi="宋体"/>
          <w:szCs w:val="21"/>
          <w:highlight w:val="none"/>
        </w:rPr>
        <w:t>期：</w:t>
      </w:r>
    </w:p>
    <w:p>
      <w:pPr>
        <w:rPr>
          <w:rFonts w:asciiTheme="minorEastAsia" w:hAnsiTheme="minorEastAsia" w:eastAsiaTheme="minorEastAsia"/>
          <w:szCs w:val="21"/>
          <w:highlight w:val="none"/>
        </w:rPr>
      </w:pPr>
      <w:r>
        <w:rPr>
          <w:rFonts w:asciiTheme="minorEastAsia" w:hAnsiTheme="minorEastAsia" w:eastAsiaTheme="minorEastAsia"/>
          <w:szCs w:val="21"/>
          <w:highlight w:val="none"/>
        </w:rPr>
        <w:br w:type="page"/>
      </w:r>
    </w:p>
    <w:p>
      <w:pPr>
        <w:pStyle w:val="3"/>
        <w:numPr>
          <w:ilvl w:val="0"/>
          <w:numId w:val="0"/>
        </w:numPr>
        <w:snapToGrid w:val="0"/>
        <w:spacing w:before="120" w:after="120"/>
        <w:jc w:val="left"/>
        <w:rPr>
          <w:sz w:val="24"/>
          <w:szCs w:val="24"/>
          <w:highlight w:val="none"/>
        </w:rPr>
      </w:pPr>
      <w:bookmarkStart w:id="384" w:name="_Toc13585"/>
      <w:bookmarkStart w:id="385" w:name="_Toc21413"/>
      <w:bookmarkStart w:id="386" w:name="_Toc520971408"/>
      <w:bookmarkStart w:id="387" w:name="_Toc7753"/>
      <w:bookmarkStart w:id="388" w:name="_Toc488957726"/>
      <w:r>
        <w:rPr>
          <w:sz w:val="24"/>
          <w:szCs w:val="24"/>
          <w:highlight w:val="none"/>
        </w:rPr>
        <w:t>附</w:t>
      </w:r>
      <w:r>
        <w:rPr>
          <w:rFonts w:hint="eastAsia"/>
          <w:sz w:val="24"/>
          <w:szCs w:val="24"/>
          <w:highlight w:val="none"/>
        </w:rPr>
        <w:t>表6</w:t>
      </w:r>
      <w:r>
        <w:rPr>
          <w:sz w:val="24"/>
          <w:szCs w:val="24"/>
          <w:highlight w:val="none"/>
        </w:rPr>
        <w:t>：</w:t>
      </w:r>
      <w:r>
        <w:rPr>
          <w:rFonts w:hint="eastAsia"/>
          <w:sz w:val="24"/>
          <w:szCs w:val="24"/>
          <w:highlight w:val="none"/>
        </w:rPr>
        <w:t>算术复核表</w:t>
      </w:r>
      <w:bookmarkEnd w:id="384"/>
      <w:bookmarkEnd w:id="385"/>
      <w:bookmarkEnd w:id="386"/>
      <w:bookmarkEnd w:id="387"/>
      <w:bookmarkEnd w:id="388"/>
    </w:p>
    <w:p>
      <w:pPr>
        <w:rPr>
          <w:rFonts w:ascii="宋体" w:hAnsi="宋体"/>
          <w:b/>
          <w:sz w:val="24"/>
          <w:highlight w:val="none"/>
        </w:rPr>
      </w:pPr>
    </w:p>
    <w:p>
      <w:pPr>
        <w:rPr>
          <w:rFonts w:ascii="宋体" w:hAnsi="宋体"/>
          <w:szCs w:val="21"/>
          <w:highlight w:val="none"/>
        </w:rPr>
      </w:pPr>
      <w:r>
        <w:rPr>
          <w:rFonts w:hint="eastAsia" w:ascii="宋体" w:hAnsi="宋体"/>
          <w:szCs w:val="21"/>
          <w:highlight w:val="none"/>
        </w:rPr>
        <w:t>项目名称：</w:t>
      </w:r>
      <w:r>
        <w:rPr>
          <w:rFonts w:hint="eastAsia" w:asciiTheme="minorEastAsia" w:hAnsiTheme="minorEastAsia" w:eastAsiaTheme="minorEastAsia"/>
          <w:color w:val="000000"/>
          <w:szCs w:val="21"/>
          <w:highlight w:val="none"/>
        </w:rPr>
        <w:t>佛山市恒益环保建材有限公司加气砌块生产辅助业务外委采购项目</w:t>
      </w:r>
    </w:p>
    <w:tbl>
      <w:tblPr>
        <w:tblStyle w:val="4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3387"/>
        <w:gridCol w:w="238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tcPr>
          <w:p>
            <w:pPr>
              <w:jc w:val="center"/>
              <w:rPr>
                <w:rFonts w:ascii="宋体" w:hAnsi="宋体"/>
                <w:b/>
                <w:sz w:val="24"/>
                <w:highlight w:val="none"/>
              </w:rPr>
            </w:pPr>
            <w:r>
              <w:rPr>
                <w:rFonts w:hint="eastAsia" w:ascii="宋体" w:hAnsi="宋体"/>
                <w:b/>
                <w:sz w:val="24"/>
                <w:highlight w:val="none"/>
              </w:rPr>
              <w:t>编号</w:t>
            </w:r>
          </w:p>
        </w:tc>
        <w:tc>
          <w:tcPr>
            <w:tcW w:w="3387" w:type="dxa"/>
          </w:tcPr>
          <w:p>
            <w:pPr>
              <w:jc w:val="center"/>
              <w:rPr>
                <w:rFonts w:ascii="宋体" w:hAnsi="宋体"/>
                <w:b/>
                <w:sz w:val="24"/>
                <w:highlight w:val="none"/>
              </w:rPr>
            </w:pPr>
            <w:r>
              <w:rPr>
                <w:rFonts w:hint="eastAsia" w:ascii="宋体" w:hAnsi="宋体"/>
                <w:b/>
                <w:sz w:val="24"/>
                <w:highlight w:val="none"/>
              </w:rPr>
              <w:t>投标人名称</w:t>
            </w:r>
          </w:p>
        </w:tc>
        <w:tc>
          <w:tcPr>
            <w:tcW w:w="2387" w:type="dxa"/>
          </w:tcPr>
          <w:p>
            <w:pPr>
              <w:jc w:val="center"/>
              <w:rPr>
                <w:rFonts w:ascii="宋体" w:hAnsi="宋体"/>
                <w:b/>
                <w:sz w:val="24"/>
                <w:highlight w:val="none"/>
              </w:rPr>
            </w:pPr>
            <w:r>
              <w:rPr>
                <w:rFonts w:hint="eastAsia" w:ascii="宋体" w:hAnsi="宋体"/>
                <w:b/>
                <w:sz w:val="24"/>
                <w:highlight w:val="none"/>
              </w:rPr>
              <w:t>原投标报价</w:t>
            </w:r>
          </w:p>
        </w:tc>
        <w:tc>
          <w:tcPr>
            <w:tcW w:w="2977" w:type="dxa"/>
          </w:tcPr>
          <w:p>
            <w:pPr>
              <w:jc w:val="center"/>
              <w:rPr>
                <w:rFonts w:ascii="宋体" w:hAnsi="宋体"/>
                <w:b/>
                <w:sz w:val="24"/>
                <w:highlight w:val="none"/>
              </w:rPr>
            </w:pPr>
            <w:r>
              <w:rPr>
                <w:rFonts w:hint="eastAsia" w:ascii="宋体" w:hAnsi="宋体"/>
                <w:b/>
                <w:sz w:val="24"/>
                <w:highlight w:val="none"/>
              </w:rPr>
              <w:t>算数复核后投标报价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tcPr>
          <w:p>
            <w:pPr>
              <w:rPr>
                <w:rFonts w:ascii="宋体" w:hAnsi="宋体"/>
                <w:b/>
                <w:sz w:val="24"/>
                <w:highlight w:val="none"/>
              </w:rPr>
            </w:pPr>
          </w:p>
        </w:tc>
        <w:tc>
          <w:tcPr>
            <w:tcW w:w="3387" w:type="dxa"/>
          </w:tcPr>
          <w:p>
            <w:pPr>
              <w:rPr>
                <w:rFonts w:ascii="宋体" w:hAnsi="宋体"/>
                <w:b/>
                <w:sz w:val="24"/>
                <w:highlight w:val="none"/>
              </w:rPr>
            </w:pPr>
          </w:p>
        </w:tc>
        <w:tc>
          <w:tcPr>
            <w:tcW w:w="2387" w:type="dxa"/>
          </w:tcPr>
          <w:p>
            <w:pPr>
              <w:rPr>
                <w:rFonts w:ascii="宋体" w:hAnsi="宋体"/>
                <w:b/>
                <w:sz w:val="24"/>
                <w:highlight w:val="none"/>
              </w:rPr>
            </w:pPr>
          </w:p>
        </w:tc>
        <w:tc>
          <w:tcPr>
            <w:tcW w:w="2977" w:type="dxa"/>
          </w:tcPr>
          <w:p>
            <w:pPr>
              <w:rPr>
                <w:rFonts w:ascii="宋体" w:hAnsi="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tcPr>
          <w:p>
            <w:pPr>
              <w:rPr>
                <w:rFonts w:ascii="宋体" w:hAnsi="宋体"/>
                <w:b/>
                <w:sz w:val="24"/>
                <w:highlight w:val="none"/>
              </w:rPr>
            </w:pPr>
          </w:p>
        </w:tc>
        <w:tc>
          <w:tcPr>
            <w:tcW w:w="3387" w:type="dxa"/>
          </w:tcPr>
          <w:p>
            <w:pPr>
              <w:rPr>
                <w:rFonts w:ascii="宋体" w:hAnsi="宋体"/>
                <w:b/>
                <w:sz w:val="24"/>
                <w:highlight w:val="none"/>
              </w:rPr>
            </w:pPr>
          </w:p>
        </w:tc>
        <w:tc>
          <w:tcPr>
            <w:tcW w:w="2387" w:type="dxa"/>
          </w:tcPr>
          <w:p>
            <w:pPr>
              <w:rPr>
                <w:rFonts w:ascii="宋体" w:hAnsi="宋体"/>
                <w:b/>
                <w:sz w:val="24"/>
                <w:highlight w:val="none"/>
              </w:rPr>
            </w:pPr>
          </w:p>
        </w:tc>
        <w:tc>
          <w:tcPr>
            <w:tcW w:w="2977" w:type="dxa"/>
          </w:tcPr>
          <w:p>
            <w:pPr>
              <w:rPr>
                <w:rFonts w:ascii="宋体" w:hAnsi="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tcPr>
          <w:p>
            <w:pPr>
              <w:rPr>
                <w:rFonts w:ascii="宋体" w:hAnsi="宋体"/>
                <w:b/>
                <w:sz w:val="24"/>
                <w:highlight w:val="none"/>
              </w:rPr>
            </w:pPr>
          </w:p>
        </w:tc>
        <w:tc>
          <w:tcPr>
            <w:tcW w:w="3387" w:type="dxa"/>
          </w:tcPr>
          <w:p>
            <w:pPr>
              <w:rPr>
                <w:rFonts w:ascii="宋体" w:hAnsi="宋体"/>
                <w:b/>
                <w:sz w:val="24"/>
                <w:highlight w:val="none"/>
              </w:rPr>
            </w:pPr>
          </w:p>
        </w:tc>
        <w:tc>
          <w:tcPr>
            <w:tcW w:w="2387" w:type="dxa"/>
          </w:tcPr>
          <w:p>
            <w:pPr>
              <w:rPr>
                <w:rFonts w:ascii="宋体" w:hAnsi="宋体"/>
                <w:b/>
                <w:sz w:val="24"/>
                <w:highlight w:val="none"/>
              </w:rPr>
            </w:pPr>
          </w:p>
        </w:tc>
        <w:tc>
          <w:tcPr>
            <w:tcW w:w="2977" w:type="dxa"/>
          </w:tcPr>
          <w:p>
            <w:pPr>
              <w:rPr>
                <w:rFonts w:ascii="宋体" w:hAnsi="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tcPr>
          <w:p>
            <w:pPr>
              <w:rPr>
                <w:rFonts w:ascii="宋体" w:hAnsi="宋体"/>
                <w:b/>
                <w:sz w:val="24"/>
                <w:highlight w:val="none"/>
              </w:rPr>
            </w:pPr>
          </w:p>
        </w:tc>
        <w:tc>
          <w:tcPr>
            <w:tcW w:w="3387" w:type="dxa"/>
          </w:tcPr>
          <w:p>
            <w:pPr>
              <w:rPr>
                <w:rFonts w:ascii="宋体" w:hAnsi="宋体"/>
                <w:b/>
                <w:sz w:val="24"/>
                <w:highlight w:val="none"/>
              </w:rPr>
            </w:pPr>
          </w:p>
        </w:tc>
        <w:tc>
          <w:tcPr>
            <w:tcW w:w="2387" w:type="dxa"/>
          </w:tcPr>
          <w:p>
            <w:pPr>
              <w:rPr>
                <w:rFonts w:ascii="宋体" w:hAnsi="宋体"/>
                <w:b/>
                <w:sz w:val="24"/>
                <w:highlight w:val="none"/>
              </w:rPr>
            </w:pPr>
          </w:p>
        </w:tc>
        <w:tc>
          <w:tcPr>
            <w:tcW w:w="2977" w:type="dxa"/>
          </w:tcPr>
          <w:p>
            <w:pPr>
              <w:rPr>
                <w:rFonts w:ascii="宋体" w:hAnsi="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tcPr>
          <w:p>
            <w:pPr>
              <w:rPr>
                <w:rFonts w:ascii="宋体" w:hAnsi="宋体"/>
                <w:b/>
                <w:sz w:val="24"/>
                <w:highlight w:val="none"/>
              </w:rPr>
            </w:pPr>
          </w:p>
        </w:tc>
        <w:tc>
          <w:tcPr>
            <w:tcW w:w="3387" w:type="dxa"/>
          </w:tcPr>
          <w:p>
            <w:pPr>
              <w:rPr>
                <w:rFonts w:ascii="宋体" w:hAnsi="宋体"/>
                <w:b/>
                <w:sz w:val="24"/>
                <w:highlight w:val="none"/>
              </w:rPr>
            </w:pPr>
          </w:p>
        </w:tc>
        <w:tc>
          <w:tcPr>
            <w:tcW w:w="2387" w:type="dxa"/>
          </w:tcPr>
          <w:p>
            <w:pPr>
              <w:rPr>
                <w:rFonts w:ascii="宋体" w:hAnsi="宋体"/>
                <w:b/>
                <w:sz w:val="24"/>
                <w:highlight w:val="none"/>
              </w:rPr>
            </w:pPr>
          </w:p>
        </w:tc>
        <w:tc>
          <w:tcPr>
            <w:tcW w:w="2977" w:type="dxa"/>
          </w:tcPr>
          <w:p>
            <w:pPr>
              <w:rPr>
                <w:rFonts w:ascii="宋体" w:hAnsi="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tcPr>
          <w:p>
            <w:pPr>
              <w:rPr>
                <w:rFonts w:ascii="宋体" w:hAnsi="宋体"/>
                <w:b/>
                <w:sz w:val="24"/>
                <w:highlight w:val="none"/>
              </w:rPr>
            </w:pPr>
          </w:p>
        </w:tc>
        <w:tc>
          <w:tcPr>
            <w:tcW w:w="3387" w:type="dxa"/>
          </w:tcPr>
          <w:p>
            <w:pPr>
              <w:rPr>
                <w:rFonts w:ascii="宋体" w:hAnsi="宋体"/>
                <w:b/>
                <w:sz w:val="24"/>
                <w:highlight w:val="none"/>
              </w:rPr>
            </w:pPr>
          </w:p>
        </w:tc>
        <w:tc>
          <w:tcPr>
            <w:tcW w:w="2387" w:type="dxa"/>
          </w:tcPr>
          <w:p>
            <w:pPr>
              <w:rPr>
                <w:rFonts w:ascii="宋体" w:hAnsi="宋体"/>
                <w:b/>
                <w:sz w:val="24"/>
                <w:highlight w:val="none"/>
              </w:rPr>
            </w:pPr>
          </w:p>
        </w:tc>
        <w:tc>
          <w:tcPr>
            <w:tcW w:w="2977" w:type="dxa"/>
          </w:tcPr>
          <w:p>
            <w:pPr>
              <w:rPr>
                <w:rFonts w:ascii="宋体" w:hAnsi="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tcPr>
          <w:p>
            <w:pPr>
              <w:rPr>
                <w:rFonts w:ascii="宋体" w:hAnsi="宋体"/>
                <w:b/>
                <w:sz w:val="24"/>
                <w:highlight w:val="none"/>
              </w:rPr>
            </w:pPr>
          </w:p>
        </w:tc>
        <w:tc>
          <w:tcPr>
            <w:tcW w:w="3387" w:type="dxa"/>
          </w:tcPr>
          <w:p>
            <w:pPr>
              <w:rPr>
                <w:rFonts w:ascii="宋体" w:hAnsi="宋体"/>
                <w:b/>
                <w:sz w:val="24"/>
                <w:highlight w:val="none"/>
              </w:rPr>
            </w:pPr>
          </w:p>
        </w:tc>
        <w:tc>
          <w:tcPr>
            <w:tcW w:w="2387" w:type="dxa"/>
          </w:tcPr>
          <w:p>
            <w:pPr>
              <w:rPr>
                <w:rFonts w:ascii="宋体" w:hAnsi="宋体"/>
                <w:b/>
                <w:sz w:val="24"/>
                <w:highlight w:val="none"/>
              </w:rPr>
            </w:pPr>
          </w:p>
        </w:tc>
        <w:tc>
          <w:tcPr>
            <w:tcW w:w="2977" w:type="dxa"/>
          </w:tcPr>
          <w:p>
            <w:pPr>
              <w:rPr>
                <w:rFonts w:ascii="宋体" w:hAnsi="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tcPr>
          <w:p>
            <w:pPr>
              <w:rPr>
                <w:rFonts w:ascii="宋体" w:hAnsi="宋体"/>
                <w:b/>
                <w:sz w:val="24"/>
                <w:highlight w:val="none"/>
              </w:rPr>
            </w:pPr>
          </w:p>
        </w:tc>
        <w:tc>
          <w:tcPr>
            <w:tcW w:w="3387" w:type="dxa"/>
          </w:tcPr>
          <w:p>
            <w:pPr>
              <w:rPr>
                <w:rFonts w:ascii="宋体" w:hAnsi="宋体"/>
                <w:b/>
                <w:sz w:val="24"/>
                <w:highlight w:val="none"/>
              </w:rPr>
            </w:pPr>
          </w:p>
        </w:tc>
        <w:tc>
          <w:tcPr>
            <w:tcW w:w="2387" w:type="dxa"/>
          </w:tcPr>
          <w:p>
            <w:pPr>
              <w:rPr>
                <w:rFonts w:ascii="宋体" w:hAnsi="宋体"/>
                <w:b/>
                <w:sz w:val="24"/>
                <w:highlight w:val="none"/>
              </w:rPr>
            </w:pPr>
          </w:p>
        </w:tc>
        <w:tc>
          <w:tcPr>
            <w:tcW w:w="2977" w:type="dxa"/>
          </w:tcPr>
          <w:p>
            <w:pPr>
              <w:rPr>
                <w:rFonts w:ascii="宋体" w:hAnsi="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tcPr>
          <w:p>
            <w:pPr>
              <w:rPr>
                <w:rFonts w:ascii="宋体" w:hAnsi="宋体"/>
                <w:b/>
                <w:sz w:val="24"/>
                <w:highlight w:val="none"/>
              </w:rPr>
            </w:pPr>
          </w:p>
        </w:tc>
        <w:tc>
          <w:tcPr>
            <w:tcW w:w="3387" w:type="dxa"/>
          </w:tcPr>
          <w:p>
            <w:pPr>
              <w:rPr>
                <w:rFonts w:ascii="宋体" w:hAnsi="宋体"/>
                <w:b/>
                <w:sz w:val="24"/>
                <w:highlight w:val="none"/>
              </w:rPr>
            </w:pPr>
          </w:p>
        </w:tc>
        <w:tc>
          <w:tcPr>
            <w:tcW w:w="2387" w:type="dxa"/>
          </w:tcPr>
          <w:p>
            <w:pPr>
              <w:rPr>
                <w:rFonts w:ascii="宋体" w:hAnsi="宋体"/>
                <w:b/>
                <w:sz w:val="24"/>
                <w:highlight w:val="none"/>
              </w:rPr>
            </w:pPr>
          </w:p>
        </w:tc>
        <w:tc>
          <w:tcPr>
            <w:tcW w:w="2977" w:type="dxa"/>
          </w:tcPr>
          <w:p>
            <w:pPr>
              <w:rPr>
                <w:rFonts w:ascii="宋体" w:hAnsi="宋体"/>
                <w:b/>
                <w:sz w:val="24"/>
                <w:highlight w:val="none"/>
              </w:rPr>
            </w:pPr>
          </w:p>
        </w:tc>
      </w:tr>
    </w:tbl>
    <w:p>
      <w:pPr>
        <w:rPr>
          <w:sz w:val="24"/>
          <w:highlight w:val="none"/>
        </w:rPr>
      </w:pPr>
    </w:p>
    <w:p>
      <w:pPr>
        <w:rPr>
          <w:sz w:val="24"/>
          <w:highlight w:val="none"/>
        </w:rPr>
      </w:pPr>
    </w:p>
    <w:p>
      <w:pPr>
        <w:rPr>
          <w:sz w:val="24"/>
          <w:highlight w:val="none"/>
        </w:rPr>
      </w:pPr>
    </w:p>
    <w:p>
      <w:pPr>
        <w:spacing w:line="360" w:lineRule="auto"/>
        <w:ind w:firstLine="420" w:firstLineChars="200"/>
        <w:rPr>
          <w:rFonts w:ascii="宋体" w:hAnsi="宋体"/>
          <w:szCs w:val="21"/>
          <w:highlight w:val="none"/>
        </w:rPr>
      </w:pPr>
      <w:r>
        <w:rPr>
          <w:rFonts w:hint="eastAsia" w:ascii="宋体" w:hAnsi="宋体"/>
          <w:szCs w:val="21"/>
          <w:highlight w:val="none"/>
        </w:rPr>
        <w:t xml:space="preserve">评委签名：                                                                        </w:t>
      </w:r>
    </w:p>
    <w:p>
      <w:pPr>
        <w:spacing w:line="360" w:lineRule="auto"/>
        <w:ind w:firstLine="420" w:firstLineChars="200"/>
        <w:rPr>
          <w:rFonts w:ascii="宋体" w:hAnsi="宋体"/>
          <w:szCs w:val="21"/>
          <w:highlight w:val="none"/>
        </w:rPr>
      </w:pPr>
      <w:r>
        <w:rPr>
          <w:rFonts w:hint="eastAsia" w:ascii="宋体" w:hAnsi="宋体"/>
          <w:szCs w:val="21"/>
          <w:highlight w:val="none"/>
        </w:rPr>
        <w:t>监督人员签名：</w:t>
      </w:r>
    </w:p>
    <w:p>
      <w:pPr>
        <w:ind w:firstLine="420" w:firstLineChars="200"/>
        <w:rPr>
          <w:sz w:val="24"/>
          <w:highlight w:val="none"/>
        </w:rPr>
      </w:pPr>
      <w:r>
        <w:rPr>
          <w:rFonts w:hint="eastAsia" w:ascii="宋体" w:hAnsi="宋体"/>
          <w:kern w:val="10"/>
          <w:szCs w:val="21"/>
          <w:highlight w:val="none"/>
        </w:rPr>
        <w:t>日</w:t>
      </w:r>
      <w:r>
        <w:rPr>
          <w:rFonts w:hint="eastAsia" w:ascii="宋体" w:hAnsi="宋体"/>
          <w:szCs w:val="21"/>
          <w:highlight w:val="none"/>
        </w:rPr>
        <w:t>期：</w:t>
      </w: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r>
        <w:rPr>
          <w:sz w:val="24"/>
          <w:highlight w:val="none"/>
        </w:rPr>
        <w:t>附</w:t>
      </w:r>
      <w:r>
        <w:rPr>
          <w:rFonts w:hint="eastAsia"/>
          <w:sz w:val="24"/>
          <w:highlight w:val="none"/>
        </w:rPr>
        <w:t>表7</w:t>
      </w:r>
      <w:r>
        <w:rPr>
          <w:sz w:val="24"/>
          <w:highlight w:val="none"/>
        </w:rPr>
        <w:t>：定标表</w:t>
      </w:r>
    </w:p>
    <w:p>
      <w:pPr>
        <w:rPr>
          <w:rFonts w:ascii="宋体" w:hAnsi="宋体"/>
          <w:szCs w:val="21"/>
          <w:highlight w:val="none"/>
        </w:rPr>
      </w:pPr>
      <w:r>
        <w:rPr>
          <w:rFonts w:hint="eastAsia" w:ascii="宋体" w:hAnsi="宋体"/>
          <w:szCs w:val="21"/>
          <w:highlight w:val="none"/>
        </w:rPr>
        <w:t>项目名称：</w:t>
      </w:r>
      <w:r>
        <w:rPr>
          <w:rFonts w:hint="eastAsia" w:asciiTheme="minorEastAsia" w:hAnsiTheme="minorEastAsia" w:eastAsiaTheme="minorEastAsia"/>
          <w:color w:val="000000"/>
          <w:szCs w:val="21"/>
          <w:highlight w:val="none"/>
        </w:rPr>
        <w:t>佛山市恒益环保建材有限公司加气砌块生产辅助业务外委采购项目</w:t>
      </w:r>
    </w:p>
    <w:tbl>
      <w:tblPr>
        <w:tblStyle w:val="43"/>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454"/>
        <w:gridCol w:w="883"/>
        <w:gridCol w:w="883"/>
        <w:gridCol w:w="883"/>
        <w:gridCol w:w="1985"/>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trPr>
        <w:tc>
          <w:tcPr>
            <w:tcW w:w="1242" w:type="dxa"/>
            <w:vAlign w:val="center"/>
          </w:tcPr>
          <w:p>
            <w:pPr>
              <w:jc w:val="center"/>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序号</w:t>
            </w:r>
          </w:p>
        </w:tc>
        <w:tc>
          <w:tcPr>
            <w:tcW w:w="2454" w:type="dxa"/>
            <w:vAlign w:val="center"/>
          </w:tcPr>
          <w:p>
            <w:pPr>
              <w:jc w:val="center"/>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投标人</w:t>
            </w:r>
          </w:p>
        </w:tc>
        <w:tc>
          <w:tcPr>
            <w:tcW w:w="883" w:type="dxa"/>
            <w:vAlign w:val="center"/>
          </w:tcPr>
          <w:p>
            <w:pPr>
              <w:jc w:val="center"/>
              <w:rPr>
                <w:rFonts w:asciiTheme="minorEastAsia" w:hAnsiTheme="minorEastAsia" w:eastAsiaTheme="minorEastAsia"/>
                <w:b/>
                <w:szCs w:val="21"/>
                <w:highlight w:val="none"/>
              </w:rPr>
            </w:pPr>
            <w:r>
              <w:rPr>
                <w:rFonts w:hint="eastAsia" w:ascii="宋体" w:hAnsi="宋体"/>
                <w:szCs w:val="21"/>
                <w:highlight w:val="none"/>
              </w:rPr>
              <w:t>商务、技术</w:t>
            </w:r>
            <w:r>
              <w:rPr>
                <w:rFonts w:hint="eastAsia" w:ascii="Calibri" w:hAnsi="Calibri"/>
                <w:szCs w:val="21"/>
                <w:highlight w:val="none"/>
              </w:rPr>
              <w:t>分</w:t>
            </w:r>
          </w:p>
        </w:tc>
        <w:tc>
          <w:tcPr>
            <w:tcW w:w="883" w:type="dxa"/>
            <w:vAlign w:val="center"/>
          </w:tcPr>
          <w:p>
            <w:pPr>
              <w:jc w:val="center"/>
              <w:rPr>
                <w:rFonts w:asciiTheme="minorEastAsia" w:hAnsiTheme="minorEastAsia" w:eastAsiaTheme="minorEastAsia"/>
                <w:b/>
                <w:szCs w:val="21"/>
                <w:highlight w:val="none"/>
              </w:rPr>
            </w:pPr>
            <w:r>
              <w:rPr>
                <w:rFonts w:hint="eastAsia" w:ascii="Calibri" w:hAnsi="Calibri"/>
                <w:szCs w:val="21"/>
                <w:highlight w:val="none"/>
              </w:rPr>
              <w:t>价格分</w:t>
            </w:r>
          </w:p>
        </w:tc>
        <w:tc>
          <w:tcPr>
            <w:tcW w:w="883" w:type="dxa"/>
            <w:vAlign w:val="center"/>
          </w:tcPr>
          <w:p>
            <w:pPr>
              <w:jc w:val="center"/>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总分</w:t>
            </w:r>
          </w:p>
        </w:tc>
        <w:tc>
          <w:tcPr>
            <w:tcW w:w="1985" w:type="dxa"/>
            <w:vAlign w:val="center"/>
          </w:tcPr>
          <w:p>
            <w:pPr>
              <w:jc w:val="center"/>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排序</w:t>
            </w:r>
          </w:p>
        </w:tc>
        <w:tc>
          <w:tcPr>
            <w:tcW w:w="913" w:type="dxa"/>
          </w:tcPr>
          <w:p>
            <w:pPr>
              <w:jc w:val="center"/>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rPr>
                <w:rFonts w:ascii="黑体" w:hAnsi="Calibri" w:eastAsia="黑体"/>
                <w:b/>
                <w:sz w:val="44"/>
                <w:highlight w:val="none"/>
              </w:rPr>
            </w:pPr>
          </w:p>
        </w:tc>
        <w:tc>
          <w:tcPr>
            <w:tcW w:w="2454" w:type="dxa"/>
          </w:tcPr>
          <w:p>
            <w:pPr>
              <w:rPr>
                <w:rFonts w:ascii="黑体" w:hAnsi="Calibri" w:eastAsia="黑体"/>
                <w:b/>
                <w:sz w:val="44"/>
                <w:highlight w:val="none"/>
              </w:rPr>
            </w:pPr>
          </w:p>
        </w:tc>
        <w:tc>
          <w:tcPr>
            <w:tcW w:w="883" w:type="dxa"/>
          </w:tcPr>
          <w:p>
            <w:pPr>
              <w:rPr>
                <w:rFonts w:ascii="黑体" w:hAnsi="Calibri" w:eastAsia="黑体"/>
                <w:b/>
                <w:sz w:val="44"/>
                <w:highlight w:val="none"/>
              </w:rPr>
            </w:pPr>
          </w:p>
        </w:tc>
        <w:tc>
          <w:tcPr>
            <w:tcW w:w="883" w:type="dxa"/>
          </w:tcPr>
          <w:p>
            <w:pPr>
              <w:rPr>
                <w:rFonts w:ascii="黑体" w:hAnsi="Calibri" w:eastAsia="黑体"/>
                <w:b/>
                <w:sz w:val="44"/>
                <w:highlight w:val="none"/>
              </w:rPr>
            </w:pPr>
          </w:p>
        </w:tc>
        <w:tc>
          <w:tcPr>
            <w:tcW w:w="883" w:type="dxa"/>
          </w:tcPr>
          <w:p>
            <w:pPr>
              <w:rPr>
                <w:rFonts w:ascii="黑体" w:hAnsi="Calibri" w:eastAsia="黑体"/>
                <w:b/>
                <w:sz w:val="44"/>
                <w:highlight w:val="none"/>
              </w:rPr>
            </w:pPr>
          </w:p>
        </w:tc>
        <w:tc>
          <w:tcPr>
            <w:tcW w:w="1985" w:type="dxa"/>
          </w:tcPr>
          <w:p>
            <w:pPr>
              <w:rPr>
                <w:rFonts w:ascii="黑体" w:hAnsi="Calibri" w:eastAsia="黑体"/>
                <w:b/>
                <w:sz w:val="44"/>
                <w:highlight w:val="none"/>
              </w:rPr>
            </w:pPr>
          </w:p>
        </w:tc>
        <w:tc>
          <w:tcPr>
            <w:tcW w:w="913" w:type="dxa"/>
          </w:tcPr>
          <w:p>
            <w:pPr>
              <w:rPr>
                <w:rFonts w:ascii="黑体" w:hAnsi="Calibri" w:eastAsia="黑体"/>
                <w:b/>
                <w:sz w:val="4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rPr>
                <w:rFonts w:ascii="黑体" w:hAnsi="Calibri" w:eastAsia="黑体"/>
                <w:b/>
                <w:sz w:val="44"/>
                <w:highlight w:val="none"/>
              </w:rPr>
            </w:pPr>
          </w:p>
        </w:tc>
        <w:tc>
          <w:tcPr>
            <w:tcW w:w="2454" w:type="dxa"/>
          </w:tcPr>
          <w:p>
            <w:pPr>
              <w:rPr>
                <w:rFonts w:ascii="黑体" w:hAnsi="Calibri" w:eastAsia="黑体"/>
                <w:b/>
                <w:sz w:val="44"/>
                <w:highlight w:val="none"/>
              </w:rPr>
            </w:pPr>
          </w:p>
        </w:tc>
        <w:tc>
          <w:tcPr>
            <w:tcW w:w="883" w:type="dxa"/>
          </w:tcPr>
          <w:p>
            <w:pPr>
              <w:rPr>
                <w:rFonts w:ascii="黑体" w:hAnsi="Calibri" w:eastAsia="黑体"/>
                <w:b/>
                <w:sz w:val="44"/>
                <w:highlight w:val="none"/>
              </w:rPr>
            </w:pPr>
          </w:p>
        </w:tc>
        <w:tc>
          <w:tcPr>
            <w:tcW w:w="883" w:type="dxa"/>
          </w:tcPr>
          <w:p>
            <w:pPr>
              <w:rPr>
                <w:rFonts w:ascii="黑体" w:hAnsi="Calibri" w:eastAsia="黑体"/>
                <w:b/>
                <w:sz w:val="44"/>
                <w:highlight w:val="none"/>
              </w:rPr>
            </w:pPr>
          </w:p>
        </w:tc>
        <w:tc>
          <w:tcPr>
            <w:tcW w:w="883" w:type="dxa"/>
          </w:tcPr>
          <w:p>
            <w:pPr>
              <w:rPr>
                <w:rFonts w:ascii="黑体" w:hAnsi="Calibri" w:eastAsia="黑体"/>
                <w:b/>
                <w:sz w:val="44"/>
                <w:highlight w:val="none"/>
              </w:rPr>
            </w:pPr>
          </w:p>
        </w:tc>
        <w:tc>
          <w:tcPr>
            <w:tcW w:w="1985" w:type="dxa"/>
          </w:tcPr>
          <w:p>
            <w:pPr>
              <w:rPr>
                <w:rFonts w:ascii="黑体" w:hAnsi="Calibri" w:eastAsia="黑体"/>
                <w:b/>
                <w:sz w:val="44"/>
                <w:highlight w:val="none"/>
              </w:rPr>
            </w:pPr>
          </w:p>
        </w:tc>
        <w:tc>
          <w:tcPr>
            <w:tcW w:w="913" w:type="dxa"/>
          </w:tcPr>
          <w:p>
            <w:pPr>
              <w:rPr>
                <w:rFonts w:ascii="黑体" w:hAnsi="Calibri" w:eastAsia="黑体"/>
                <w:b/>
                <w:sz w:val="4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rPr>
                <w:rFonts w:ascii="黑体" w:hAnsi="Calibri" w:eastAsia="黑体"/>
                <w:b/>
                <w:sz w:val="44"/>
                <w:highlight w:val="none"/>
              </w:rPr>
            </w:pPr>
          </w:p>
        </w:tc>
        <w:tc>
          <w:tcPr>
            <w:tcW w:w="2454" w:type="dxa"/>
          </w:tcPr>
          <w:p>
            <w:pPr>
              <w:rPr>
                <w:rFonts w:ascii="黑体" w:hAnsi="Calibri" w:eastAsia="黑体"/>
                <w:b/>
                <w:sz w:val="44"/>
                <w:highlight w:val="none"/>
              </w:rPr>
            </w:pPr>
          </w:p>
        </w:tc>
        <w:tc>
          <w:tcPr>
            <w:tcW w:w="883" w:type="dxa"/>
          </w:tcPr>
          <w:p>
            <w:pPr>
              <w:rPr>
                <w:rFonts w:ascii="黑体" w:hAnsi="Calibri" w:eastAsia="黑体"/>
                <w:b/>
                <w:sz w:val="44"/>
                <w:highlight w:val="none"/>
              </w:rPr>
            </w:pPr>
          </w:p>
        </w:tc>
        <w:tc>
          <w:tcPr>
            <w:tcW w:w="883" w:type="dxa"/>
          </w:tcPr>
          <w:p>
            <w:pPr>
              <w:rPr>
                <w:rFonts w:ascii="黑体" w:hAnsi="Calibri" w:eastAsia="黑体"/>
                <w:b/>
                <w:sz w:val="44"/>
                <w:highlight w:val="none"/>
              </w:rPr>
            </w:pPr>
          </w:p>
        </w:tc>
        <w:tc>
          <w:tcPr>
            <w:tcW w:w="883" w:type="dxa"/>
          </w:tcPr>
          <w:p>
            <w:pPr>
              <w:rPr>
                <w:rFonts w:ascii="黑体" w:hAnsi="Calibri" w:eastAsia="黑体"/>
                <w:b/>
                <w:sz w:val="44"/>
                <w:highlight w:val="none"/>
              </w:rPr>
            </w:pPr>
          </w:p>
        </w:tc>
        <w:tc>
          <w:tcPr>
            <w:tcW w:w="1985" w:type="dxa"/>
          </w:tcPr>
          <w:p>
            <w:pPr>
              <w:rPr>
                <w:rFonts w:ascii="黑体" w:hAnsi="Calibri" w:eastAsia="黑体"/>
                <w:b/>
                <w:sz w:val="44"/>
                <w:highlight w:val="none"/>
              </w:rPr>
            </w:pPr>
          </w:p>
        </w:tc>
        <w:tc>
          <w:tcPr>
            <w:tcW w:w="913" w:type="dxa"/>
          </w:tcPr>
          <w:p>
            <w:pPr>
              <w:rPr>
                <w:rFonts w:ascii="黑体" w:hAnsi="Calibri" w:eastAsia="黑体"/>
                <w:b/>
                <w:sz w:val="4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rPr>
                <w:rFonts w:ascii="黑体" w:hAnsi="Calibri" w:eastAsia="黑体"/>
                <w:b/>
                <w:sz w:val="44"/>
                <w:highlight w:val="none"/>
              </w:rPr>
            </w:pPr>
          </w:p>
        </w:tc>
        <w:tc>
          <w:tcPr>
            <w:tcW w:w="2454" w:type="dxa"/>
          </w:tcPr>
          <w:p>
            <w:pPr>
              <w:rPr>
                <w:rFonts w:ascii="黑体" w:hAnsi="Calibri" w:eastAsia="黑体"/>
                <w:b/>
                <w:sz w:val="44"/>
                <w:highlight w:val="none"/>
              </w:rPr>
            </w:pPr>
          </w:p>
        </w:tc>
        <w:tc>
          <w:tcPr>
            <w:tcW w:w="883" w:type="dxa"/>
          </w:tcPr>
          <w:p>
            <w:pPr>
              <w:rPr>
                <w:rFonts w:ascii="黑体" w:hAnsi="Calibri" w:eastAsia="黑体"/>
                <w:b/>
                <w:sz w:val="44"/>
                <w:highlight w:val="none"/>
              </w:rPr>
            </w:pPr>
          </w:p>
        </w:tc>
        <w:tc>
          <w:tcPr>
            <w:tcW w:w="883" w:type="dxa"/>
          </w:tcPr>
          <w:p>
            <w:pPr>
              <w:rPr>
                <w:rFonts w:ascii="黑体" w:hAnsi="Calibri" w:eastAsia="黑体"/>
                <w:b/>
                <w:sz w:val="44"/>
                <w:highlight w:val="none"/>
              </w:rPr>
            </w:pPr>
          </w:p>
        </w:tc>
        <w:tc>
          <w:tcPr>
            <w:tcW w:w="883" w:type="dxa"/>
          </w:tcPr>
          <w:p>
            <w:pPr>
              <w:rPr>
                <w:rFonts w:ascii="黑体" w:hAnsi="Calibri" w:eastAsia="黑体"/>
                <w:b/>
                <w:sz w:val="44"/>
                <w:highlight w:val="none"/>
              </w:rPr>
            </w:pPr>
          </w:p>
        </w:tc>
        <w:tc>
          <w:tcPr>
            <w:tcW w:w="1985" w:type="dxa"/>
          </w:tcPr>
          <w:p>
            <w:pPr>
              <w:rPr>
                <w:rFonts w:ascii="黑体" w:hAnsi="Calibri" w:eastAsia="黑体"/>
                <w:b/>
                <w:sz w:val="44"/>
                <w:highlight w:val="none"/>
              </w:rPr>
            </w:pPr>
          </w:p>
        </w:tc>
        <w:tc>
          <w:tcPr>
            <w:tcW w:w="913" w:type="dxa"/>
          </w:tcPr>
          <w:p>
            <w:pPr>
              <w:rPr>
                <w:rFonts w:ascii="黑体" w:hAnsi="Calibri" w:eastAsia="黑体"/>
                <w:b/>
                <w:sz w:val="4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rPr>
                <w:rFonts w:ascii="黑体" w:hAnsi="Calibri" w:eastAsia="黑体"/>
                <w:b/>
                <w:sz w:val="44"/>
                <w:highlight w:val="none"/>
              </w:rPr>
            </w:pPr>
          </w:p>
        </w:tc>
        <w:tc>
          <w:tcPr>
            <w:tcW w:w="2454" w:type="dxa"/>
          </w:tcPr>
          <w:p>
            <w:pPr>
              <w:rPr>
                <w:rFonts w:ascii="黑体" w:hAnsi="Calibri" w:eastAsia="黑体"/>
                <w:b/>
                <w:sz w:val="44"/>
                <w:highlight w:val="none"/>
              </w:rPr>
            </w:pPr>
          </w:p>
        </w:tc>
        <w:tc>
          <w:tcPr>
            <w:tcW w:w="883" w:type="dxa"/>
          </w:tcPr>
          <w:p>
            <w:pPr>
              <w:rPr>
                <w:rFonts w:ascii="黑体" w:hAnsi="Calibri" w:eastAsia="黑体"/>
                <w:b/>
                <w:sz w:val="44"/>
                <w:highlight w:val="none"/>
              </w:rPr>
            </w:pPr>
          </w:p>
        </w:tc>
        <w:tc>
          <w:tcPr>
            <w:tcW w:w="883" w:type="dxa"/>
          </w:tcPr>
          <w:p>
            <w:pPr>
              <w:rPr>
                <w:rFonts w:ascii="黑体" w:hAnsi="Calibri" w:eastAsia="黑体"/>
                <w:b/>
                <w:sz w:val="44"/>
                <w:highlight w:val="none"/>
              </w:rPr>
            </w:pPr>
          </w:p>
        </w:tc>
        <w:tc>
          <w:tcPr>
            <w:tcW w:w="883" w:type="dxa"/>
          </w:tcPr>
          <w:p>
            <w:pPr>
              <w:rPr>
                <w:rFonts w:ascii="黑体" w:hAnsi="Calibri" w:eastAsia="黑体"/>
                <w:b/>
                <w:sz w:val="44"/>
                <w:highlight w:val="none"/>
              </w:rPr>
            </w:pPr>
          </w:p>
        </w:tc>
        <w:tc>
          <w:tcPr>
            <w:tcW w:w="1985" w:type="dxa"/>
          </w:tcPr>
          <w:p>
            <w:pPr>
              <w:rPr>
                <w:rFonts w:ascii="黑体" w:hAnsi="Calibri" w:eastAsia="黑体"/>
                <w:b/>
                <w:sz w:val="44"/>
                <w:highlight w:val="none"/>
              </w:rPr>
            </w:pPr>
          </w:p>
        </w:tc>
        <w:tc>
          <w:tcPr>
            <w:tcW w:w="913" w:type="dxa"/>
          </w:tcPr>
          <w:p>
            <w:pPr>
              <w:rPr>
                <w:rFonts w:ascii="黑体" w:hAnsi="Calibri" w:eastAsia="黑体"/>
                <w:b/>
                <w:sz w:val="44"/>
                <w:highlight w:val="none"/>
              </w:rPr>
            </w:pPr>
          </w:p>
        </w:tc>
      </w:tr>
    </w:tbl>
    <w:p>
      <w:pPr>
        <w:rPr>
          <w:szCs w:val="21"/>
          <w:highlight w:val="none"/>
        </w:rPr>
      </w:pPr>
      <w:r>
        <w:rPr>
          <w:szCs w:val="21"/>
          <w:highlight w:val="none"/>
        </w:rPr>
        <w:t>总分=</w:t>
      </w:r>
      <w:r>
        <w:rPr>
          <w:rFonts w:hint="eastAsia" w:ascii="宋体" w:hAnsi="宋体"/>
          <w:szCs w:val="21"/>
          <w:highlight w:val="none"/>
        </w:rPr>
        <w:t>商务、技术</w:t>
      </w:r>
      <w:r>
        <w:rPr>
          <w:rFonts w:hint="eastAsia"/>
          <w:szCs w:val="21"/>
          <w:highlight w:val="none"/>
        </w:rPr>
        <w:t>分×</w:t>
      </w:r>
      <w:r>
        <w:rPr>
          <w:rFonts w:hint="eastAsia" w:ascii="宋体" w:hAnsi="宋体"/>
          <w:szCs w:val="21"/>
          <w:highlight w:val="none"/>
        </w:rPr>
        <w:t>30%</w:t>
      </w:r>
      <w:r>
        <w:rPr>
          <w:rFonts w:ascii="宋体" w:hAnsi="宋体"/>
          <w:szCs w:val="21"/>
          <w:highlight w:val="none"/>
        </w:rPr>
        <w:t>+</w:t>
      </w:r>
      <w:r>
        <w:rPr>
          <w:rFonts w:hint="eastAsia"/>
          <w:szCs w:val="21"/>
          <w:highlight w:val="none"/>
        </w:rPr>
        <w:t>价格分×70%</w:t>
      </w:r>
    </w:p>
    <w:p>
      <w:pPr>
        <w:rPr>
          <w:szCs w:val="21"/>
          <w:highlight w:val="none"/>
        </w:rPr>
      </w:pPr>
    </w:p>
    <w:p>
      <w:pPr>
        <w:rPr>
          <w:szCs w:val="21"/>
          <w:highlight w:val="none"/>
        </w:rPr>
      </w:pPr>
    </w:p>
    <w:p>
      <w:pPr>
        <w:rPr>
          <w:szCs w:val="21"/>
          <w:highlight w:val="none"/>
        </w:rPr>
      </w:pPr>
    </w:p>
    <w:p>
      <w:pPr>
        <w:spacing w:line="360" w:lineRule="auto"/>
        <w:ind w:firstLine="420" w:firstLineChars="200"/>
        <w:rPr>
          <w:rFonts w:ascii="宋体" w:hAnsi="宋体"/>
          <w:szCs w:val="21"/>
          <w:highlight w:val="none"/>
        </w:rPr>
      </w:pPr>
      <w:r>
        <w:rPr>
          <w:rFonts w:hint="eastAsia" w:ascii="宋体" w:hAnsi="宋体"/>
          <w:szCs w:val="21"/>
          <w:highlight w:val="none"/>
        </w:rPr>
        <w:t xml:space="preserve">评委签名：                                                                        </w:t>
      </w:r>
    </w:p>
    <w:p>
      <w:pPr>
        <w:spacing w:line="360" w:lineRule="auto"/>
        <w:ind w:firstLine="420" w:firstLineChars="200"/>
        <w:rPr>
          <w:rFonts w:ascii="宋体" w:hAnsi="宋体"/>
          <w:szCs w:val="21"/>
          <w:highlight w:val="none"/>
        </w:rPr>
      </w:pPr>
      <w:r>
        <w:rPr>
          <w:rFonts w:hint="eastAsia" w:ascii="宋体" w:hAnsi="宋体"/>
          <w:szCs w:val="21"/>
          <w:highlight w:val="none"/>
        </w:rPr>
        <w:t>监督人员签名：</w:t>
      </w:r>
    </w:p>
    <w:p>
      <w:pPr>
        <w:ind w:firstLine="420" w:firstLineChars="200"/>
        <w:rPr>
          <w:highlight w:val="none"/>
        </w:rPr>
        <w:sectPr>
          <w:pgSz w:w="11906" w:h="16838"/>
          <w:pgMar w:top="1797" w:right="1440" w:bottom="1797" w:left="1440" w:header="794" w:footer="794" w:gutter="0"/>
          <w:cols w:space="0" w:num="1"/>
        </w:sectPr>
      </w:pPr>
      <w:r>
        <w:rPr>
          <w:rFonts w:hint="eastAsia" w:ascii="宋体" w:hAnsi="宋体"/>
          <w:kern w:val="10"/>
          <w:szCs w:val="21"/>
          <w:highlight w:val="none"/>
        </w:rPr>
        <w:t>日</w:t>
      </w:r>
      <w:r>
        <w:rPr>
          <w:rFonts w:hint="eastAsia" w:ascii="宋体" w:hAnsi="宋体"/>
          <w:szCs w:val="21"/>
          <w:highlight w:val="none"/>
        </w:rPr>
        <w:t>期：</w:t>
      </w:r>
    </w:p>
    <w:bookmarkEnd w:id="2"/>
    <w:bookmarkEnd w:id="3"/>
    <w:bookmarkEnd w:id="4"/>
    <w:bookmarkEnd w:id="5"/>
    <w:p>
      <w:pPr>
        <w:spacing w:line="360" w:lineRule="auto"/>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jc w:val="center"/>
        <w:outlineLvl w:val="0"/>
        <w:rPr>
          <w:rFonts w:ascii="宋体" w:hAnsi="宋体"/>
          <w:highlight w:val="none"/>
        </w:rPr>
      </w:pPr>
      <w:bookmarkStart w:id="389" w:name="_Toc1495"/>
      <w:bookmarkStart w:id="390" w:name="_Toc25031"/>
      <w:bookmarkStart w:id="391" w:name="_Toc15766"/>
      <w:bookmarkStart w:id="392" w:name="_Toc19071"/>
      <w:bookmarkStart w:id="393" w:name="_Toc15748"/>
      <w:r>
        <w:rPr>
          <w:rFonts w:hint="eastAsia" w:ascii="宋体" w:hAnsi="宋体"/>
          <w:b/>
          <w:bCs/>
          <w:sz w:val="44"/>
          <w:szCs w:val="44"/>
          <w:highlight w:val="none"/>
        </w:rPr>
        <w:t>第四章 用户需求书</w:t>
      </w:r>
      <w:bookmarkEnd w:id="389"/>
      <w:bookmarkEnd w:id="390"/>
      <w:bookmarkEnd w:id="391"/>
      <w:bookmarkEnd w:id="392"/>
      <w:bookmarkEnd w:id="393"/>
    </w:p>
    <w:p>
      <w:pPr>
        <w:pStyle w:val="200"/>
        <w:rPr>
          <w:rFonts w:ascii="宋体" w:hAnsi="宋体"/>
          <w:highlight w:val="none"/>
        </w:rPr>
      </w:pPr>
    </w:p>
    <w:p>
      <w:pPr>
        <w:pStyle w:val="200"/>
        <w:rPr>
          <w:rFonts w:ascii="宋体" w:hAnsi="宋体"/>
          <w:highlight w:val="none"/>
        </w:rPr>
      </w:pPr>
    </w:p>
    <w:p>
      <w:pPr>
        <w:pStyle w:val="200"/>
        <w:rPr>
          <w:rFonts w:ascii="宋体" w:hAnsi="宋体"/>
          <w:highlight w:val="none"/>
        </w:rPr>
      </w:pPr>
    </w:p>
    <w:p>
      <w:pPr>
        <w:pStyle w:val="200"/>
        <w:rPr>
          <w:rFonts w:ascii="宋体" w:hAnsi="宋体"/>
          <w:highlight w:val="none"/>
        </w:rPr>
      </w:pPr>
    </w:p>
    <w:p>
      <w:pPr>
        <w:pStyle w:val="200"/>
        <w:rPr>
          <w:rFonts w:ascii="宋体" w:hAnsi="宋体"/>
          <w:highlight w:val="none"/>
        </w:rPr>
      </w:pPr>
    </w:p>
    <w:p>
      <w:pPr>
        <w:pStyle w:val="200"/>
        <w:rPr>
          <w:rFonts w:ascii="宋体" w:hAnsi="宋体"/>
          <w:highlight w:val="none"/>
        </w:rPr>
      </w:pPr>
    </w:p>
    <w:p>
      <w:pPr>
        <w:pStyle w:val="200"/>
        <w:rPr>
          <w:rFonts w:ascii="宋体" w:hAnsi="宋体"/>
          <w:highlight w:val="none"/>
        </w:rPr>
      </w:pPr>
    </w:p>
    <w:p>
      <w:pPr>
        <w:pStyle w:val="200"/>
        <w:rPr>
          <w:rFonts w:ascii="宋体" w:hAnsi="宋体"/>
          <w:highlight w:val="none"/>
        </w:rPr>
      </w:pPr>
    </w:p>
    <w:p>
      <w:pPr>
        <w:pStyle w:val="200"/>
        <w:rPr>
          <w:rFonts w:ascii="宋体" w:hAnsi="宋体"/>
          <w:highlight w:val="none"/>
        </w:rPr>
      </w:pPr>
    </w:p>
    <w:p>
      <w:pPr>
        <w:pStyle w:val="200"/>
        <w:rPr>
          <w:rFonts w:ascii="宋体" w:hAnsi="宋体"/>
          <w:highlight w:val="none"/>
        </w:rPr>
      </w:pPr>
    </w:p>
    <w:p>
      <w:pPr>
        <w:pStyle w:val="200"/>
        <w:rPr>
          <w:rFonts w:ascii="宋体" w:hAnsi="宋体"/>
          <w:highlight w:val="none"/>
        </w:rPr>
      </w:pPr>
    </w:p>
    <w:p>
      <w:pPr>
        <w:pStyle w:val="200"/>
        <w:rPr>
          <w:rFonts w:ascii="宋体" w:hAnsi="宋体"/>
          <w:highlight w:val="none"/>
        </w:rPr>
      </w:pPr>
    </w:p>
    <w:p>
      <w:pPr>
        <w:pStyle w:val="200"/>
        <w:rPr>
          <w:rFonts w:ascii="宋体" w:hAnsi="宋体"/>
          <w:highlight w:val="none"/>
        </w:rPr>
      </w:pPr>
    </w:p>
    <w:p>
      <w:pPr>
        <w:pStyle w:val="200"/>
        <w:rPr>
          <w:rFonts w:ascii="宋体" w:hAnsi="宋体"/>
          <w:highlight w:val="none"/>
        </w:rPr>
      </w:pPr>
    </w:p>
    <w:p>
      <w:pPr>
        <w:pStyle w:val="200"/>
        <w:rPr>
          <w:rFonts w:ascii="宋体" w:hAnsi="宋体"/>
          <w:highlight w:val="none"/>
        </w:rPr>
      </w:pPr>
    </w:p>
    <w:p>
      <w:pPr>
        <w:pStyle w:val="200"/>
        <w:rPr>
          <w:rFonts w:ascii="宋体" w:hAnsi="宋体"/>
          <w:highlight w:val="none"/>
        </w:rPr>
      </w:pPr>
    </w:p>
    <w:p>
      <w:pPr>
        <w:pStyle w:val="200"/>
        <w:rPr>
          <w:rFonts w:ascii="宋体" w:hAnsi="宋体"/>
          <w:highlight w:val="none"/>
        </w:rPr>
      </w:pPr>
    </w:p>
    <w:p>
      <w:pPr>
        <w:pStyle w:val="200"/>
        <w:rPr>
          <w:rFonts w:ascii="宋体" w:hAnsi="宋体"/>
          <w:highlight w:val="none"/>
        </w:rPr>
      </w:pPr>
    </w:p>
    <w:p>
      <w:pPr>
        <w:pStyle w:val="200"/>
        <w:rPr>
          <w:rFonts w:ascii="宋体" w:hAnsi="宋体"/>
          <w:highlight w:val="none"/>
        </w:rPr>
      </w:pPr>
    </w:p>
    <w:p>
      <w:pPr>
        <w:pStyle w:val="200"/>
        <w:rPr>
          <w:rFonts w:ascii="宋体" w:hAnsi="宋体"/>
          <w:highlight w:val="none"/>
        </w:rPr>
      </w:pPr>
    </w:p>
    <w:p>
      <w:pPr>
        <w:pStyle w:val="200"/>
        <w:rPr>
          <w:rFonts w:ascii="宋体" w:hAnsi="宋体"/>
          <w:highlight w:val="none"/>
        </w:rPr>
      </w:pPr>
    </w:p>
    <w:p>
      <w:pPr>
        <w:pStyle w:val="200"/>
        <w:rPr>
          <w:rFonts w:ascii="宋体" w:hAnsi="宋体"/>
          <w:highlight w:val="none"/>
        </w:rPr>
      </w:pPr>
    </w:p>
    <w:p>
      <w:pPr>
        <w:pStyle w:val="200"/>
        <w:rPr>
          <w:rFonts w:ascii="宋体" w:hAnsi="宋体"/>
          <w:highlight w:val="none"/>
        </w:rPr>
      </w:pPr>
    </w:p>
    <w:p>
      <w:pPr>
        <w:pStyle w:val="200"/>
        <w:rPr>
          <w:rFonts w:ascii="宋体" w:hAnsi="宋体"/>
          <w:highlight w:val="none"/>
        </w:rPr>
      </w:pPr>
    </w:p>
    <w:p>
      <w:pPr>
        <w:pStyle w:val="200"/>
        <w:rPr>
          <w:rFonts w:ascii="宋体" w:hAnsi="宋体"/>
          <w:b/>
          <w:bCs/>
          <w:sz w:val="32"/>
          <w:szCs w:val="32"/>
          <w:highlight w:val="none"/>
        </w:rPr>
      </w:pPr>
    </w:p>
    <w:p>
      <w:pPr>
        <w:pStyle w:val="200"/>
        <w:rPr>
          <w:rFonts w:ascii="宋体" w:hAnsi="宋体"/>
          <w:b/>
          <w:bCs/>
          <w:sz w:val="32"/>
          <w:szCs w:val="32"/>
          <w:highlight w:val="none"/>
        </w:rPr>
      </w:pPr>
    </w:p>
    <w:p>
      <w:pPr>
        <w:pStyle w:val="200"/>
        <w:rPr>
          <w:rFonts w:ascii="宋体" w:hAnsi="宋体"/>
          <w:b/>
          <w:bCs/>
          <w:sz w:val="32"/>
          <w:szCs w:val="32"/>
          <w:highlight w:val="none"/>
        </w:rPr>
      </w:pPr>
    </w:p>
    <w:p>
      <w:pPr>
        <w:pStyle w:val="200"/>
        <w:rPr>
          <w:rFonts w:ascii="宋体" w:hAnsi="宋体"/>
          <w:b/>
          <w:bCs/>
          <w:sz w:val="32"/>
          <w:szCs w:val="32"/>
          <w:highlight w:val="none"/>
        </w:rPr>
      </w:pPr>
    </w:p>
    <w:p>
      <w:pPr>
        <w:pStyle w:val="200"/>
        <w:jc w:val="center"/>
        <w:rPr>
          <w:rFonts w:ascii="宋体" w:hAnsi="宋体"/>
          <w:sz w:val="24"/>
          <w:highlight w:val="none"/>
        </w:rPr>
      </w:pPr>
    </w:p>
    <w:p>
      <w:pPr>
        <w:widowControl/>
        <w:jc w:val="left"/>
        <w:rPr>
          <w:rFonts w:ascii="宋体" w:hAnsi="宋体"/>
          <w:kern w:val="0"/>
          <w:sz w:val="24"/>
          <w:szCs w:val="21"/>
          <w:highlight w:val="none"/>
        </w:rPr>
      </w:pPr>
    </w:p>
    <w:p>
      <w:pPr>
        <w:widowControl/>
        <w:jc w:val="left"/>
        <w:rPr>
          <w:rFonts w:ascii="宋体" w:hAnsi="宋体"/>
          <w:kern w:val="0"/>
          <w:sz w:val="24"/>
          <w:szCs w:val="21"/>
          <w:highlight w:val="none"/>
        </w:rPr>
      </w:pPr>
    </w:p>
    <w:p>
      <w:pPr>
        <w:widowControl/>
        <w:spacing w:line="360" w:lineRule="auto"/>
        <w:ind w:firstLine="482"/>
        <w:jc w:val="left"/>
        <w:rPr>
          <w:rFonts w:asciiTheme="minorEastAsia" w:hAnsiTheme="minorEastAsia" w:eastAsiaTheme="minorEastAsia"/>
          <w:szCs w:val="21"/>
          <w:highlight w:val="none"/>
        </w:rPr>
      </w:pPr>
      <w:r>
        <w:rPr>
          <w:rFonts w:asciiTheme="minorEastAsia" w:hAnsiTheme="minorEastAsia" w:eastAsiaTheme="minorEastAsia"/>
          <w:b/>
          <w:szCs w:val="21"/>
          <w:highlight w:val="none"/>
        </w:rPr>
        <w:t>1.生产线辅助业务部分</w:t>
      </w:r>
      <w:r>
        <w:rPr>
          <w:rFonts w:hint="eastAsia" w:asciiTheme="minorEastAsia" w:hAnsiTheme="minorEastAsia" w:eastAsiaTheme="minorEastAsia"/>
          <w:szCs w:val="21"/>
          <w:highlight w:val="none"/>
        </w:rPr>
        <w:t>（未明确强调具体人员配置数量的工作任务乙方即投标人可安排兼职人员，但必须按照甲方招标人要求完成相关工作任务。）</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  </w:t>
      </w:r>
      <w:r>
        <w:rPr>
          <w:rFonts w:hint="eastAsia" w:asciiTheme="minorEastAsia" w:hAnsiTheme="minorEastAsia" w:eastAsiaTheme="minorEastAsia"/>
          <w:b/>
          <w:szCs w:val="21"/>
          <w:highlight w:val="none"/>
        </w:rPr>
        <w:t>磨房制浆辅助业务的主要工作内容</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1.1.1 </w:t>
      </w:r>
      <w:r>
        <w:rPr>
          <w:rFonts w:hint="eastAsia" w:asciiTheme="minorEastAsia" w:hAnsiTheme="minorEastAsia" w:eastAsiaTheme="minorEastAsia"/>
          <w:szCs w:val="21"/>
          <w:highlight w:val="none"/>
        </w:rPr>
        <w:t>负责所有砂皮带运行巡检，中控操作自动运行时现场巡检监护。负责对胶带输送机</w:t>
      </w:r>
      <w:r>
        <w:rPr>
          <w:rFonts w:asciiTheme="minorEastAsia" w:hAnsiTheme="minorEastAsia" w:eastAsiaTheme="minorEastAsia"/>
          <w:szCs w:val="21"/>
          <w:highlight w:val="none"/>
        </w:rPr>
        <w:t>、砂皮带秤</w:t>
      </w:r>
      <w:r>
        <w:rPr>
          <w:rFonts w:hint="eastAsia" w:asciiTheme="minorEastAsia" w:hAnsiTheme="minorEastAsia" w:eastAsiaTheme="minorEastAsia"/>
          <w:szCs w:val="21"/>
          <w:highlight w:val="none"/>
        </w:rPr>
        <w:t>下方漏砂清理。</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1.1.2 </w:t>
      </w:r>
      <w:r>
        <w:rPr>
          <w:rFonts w:hint="eastAsia" w:asciiTheme="minorEastAsia" w:hAnsiTheme="minorEastAsia" w:eastAsiaTheme="minorEastAsia"/>
          <w:szCs w:val="21"/>
          <w:highlight w:val="none"/>
        </w:rPr>
        <w:t>负责粉煤灰制浆工作，中控操作自动运行时现场巡检监护及出口手动阀操作，负责区域内卫生。</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1.1.3 </w:t>
      </w:r>
      <w:r>
        <w:rPr>
          <w:rFonts w:hint="eastAsia" w:asciiTheme="minorEastAsia" w:hAnsiTheme="minorEastAsia" w:eastAsiaTheme="minorEastAsia"/>
          <w:szCs w:val="21"/>
          <w:highlight w:val="none"/>
        </w:rPr>
        <w:t>负责石膏制浆，人工铲料制浆，负责门外撒落石膏及积水沟、坑的清理。</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1.1.4 </w:t>
      </w:r>
      <w:r>
        <w:rPr>
          <w:rFonts w:hint="eastAsia" w:asciiTheme="minorEastAsia" w:hAnsiTheme="minorEastAsia" w:eastAsiaTheme="minorEastAsia"/>
          <w:szCs w:val="21"/>
          <w:highlight w:val="none"/>
        </w:rPr>
        <w:t>负责</w:t>
      </w:r>
      <w:r>
        <w:rPr>
          <w:rFonts w:hint="eastAsia" w:ascii="宋体" w:hAnsi="宋体"/>
          <w:szCs w:val="21"/>
          <w:highlight w:val="none"/>
        </w:rPr>
        <w:t>其他生产原材料</w:t>
      </w:r>
      <w:r>
        <w:rPr>
          <w:rFonts w:hint="eastAsia" w:asciiTheme="minorEastAsia" w:hAnsiTheme="minorEastAsia" w:eastAsiaTheme="minorEastAsia"/>
          <w:szCs w:val="21"/>
          <w:highlight w:val="none"/>
        </w:rPr>
        <w:t>制浆，人工操作阀门输送，负责区域内卫生。</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1.1.5 </w:t>
      </w:r>
      <w:r>
        <w:rPr>
          <w:rFonts w:hint="eastAsia" w:asciiTheme="minorEastAsia" w:hAnsiTheme="minorEastAsia" w:eastAsiaTheme="minorEastAsia"/>
          <w:szCs w:val="21"/>
          <w:highlight w:val="none"/>
        </w:rPr>
        <w:t>负责磨头罐、砂皮带、磨机入口、磨机出口、磨机接收地坑等设备运行时现场巡检监控，调整废浆下料量，按操作规程操作设备，保证系统设备正常运行，按工艺要求制备合格砂浆。生产异常及时处理；磨机检修时及日常的钢锻装卸、磨机内壁板、导流板、轴承等的清理；磨机正常运行时产生的石仔清理。砂浆每一地坑的比重、每罐砂浆含水的测试。负责区域内卫生。</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1.1.6 </w:t>
      </w:r>
      <w:r>
        <w:rPr>
          <w:rFonts w:hint="eastAsia" w:asciiTheme="minorEastAsia" w:hAnsiTheme="minorEastAsia" w:eastAsiaTheme="minorEastAsia"/>
          <w:szCs w:val="21"/>
          <w:highlight w:val="none"/>
        </w:rPr>
        <w:t>负责所有罐、坑的搅拌、阀门、泵的运行监护。废浆比重、含水的测试，保证废浆符合工艺要求。负责区域卫生、罐区内所有秤重系统范围的清洁。</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1.1.7 </w:t>
      </w:r>
      <w:r>
        <w:rPr>
          <w:rFonts w:hint="eastAsia" w:asciiTheme="minorEastAsia" w:hAnsiTheme="minorEastAsia" w:eastAsiaTheme="minorEastAsia"/>
          <w:szCs w:val="21"/>
          <w:highlight w:val="none"/>
        </w:rPr>
        <w:t>建议本辅助业务人员</w:t>
      </w:r>
      <w:r>
        <w:rPr>
          <w:rFonts w:asciiTheme="minorEastAsia" w:hAnsiTheme="minorEastAsia" w:eastAsiaTheme="minorEastAsia"/>
          <w:szCs w:val="21"/>
          <w:highlight w:val="none"/>
        </w:rPr>
        <w:t>6人以上。</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1.2</w:t>
      </w:r>
      <w:r>
        <w:rPr>
          <w:rFonts w:hint="eastAsia" w:asciiTheme="minorEastAsia" w:hAnsiTheme="minorEastAsia" w:eastAsiaTheme="minorEastAsia"/>
          <w:b/>
          <w:szCs w:val="21"/>
          <w:highlight w:val="none"/>
        </w:rPr>
        <w:t>铝粉制浆辅助业务的主要工作内容</w:t>
      </w:r>
    </w:p>
    <w:p>
      <w:pPr>
        <w:widowControl/>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1.2.1 </w:t>
      </w:r>
      <w:r>
        <w:rPr>
          <w:rFonts w:hint="eastAsia" w:asciiTheme="minorEastAsia" w:hAnsiTheme="minorEastAsia" w:eastAsiaTheme="minorEastAsia"/>
          <w:szCs w:val="21"/>
          <w:highlight w:val="none"/>
        </w:rPr>
        <w:t>负责铝粉膏的吊运，将来货铝粉膏从</w:t>
      </w:r>
      <w:r>
        <w:rPr>
          <w:rFonts w:asciiTheme="minorEastAsia" w:hAnsiTheme="minorEastAsia" w:eastAsiaTheme="minorEastAsia"/>
          <w:szCs w:val="21"/>
          <w:highlight w:val="none"/>
        </w:rPr>
        <w:t>1楼用电动葫芦吊运至3楼，按要求运至铝粉库码放整齐。</w:t>
      </w:r>
    </w:p>
    <w:p>
      <w:pPr>
        <w:widowControl/>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1.2.2 </w:t>
      </w:r>
      <w:r>
        <w:rPr>
          <w:rFonts w:hint="eastAsia" w:asciiTheme="minorEastAsia" w:hAnsiTheme="minorEastAsia" w:eastAsiaTheme="minorEastAsia"/>
          <w:szCs w:val="21"/>
          <w:highlight w:val="none"/>
        </w:rPr>
        <w:t>负责按要求冲洗浇注</w:t>
      </w:r>
      <w:r>
        <w:rPr>
          <w:rFonts w:asciiTheme="minorEastAsia" w:hAnsiTheme="minorEastAsia" w:eastAsiaTheme="minorEastAsia"/>
          <w:szCs w:val="21"/>
          <w:highlight w:val="none"/>
        </w:rPr>
        <w:t>搅拌罐、料浆、斗秤；按中控指令做摊开度。按要求添加适量铝粉至自动铝粉储罐。在生产过程中监控自动铝粉机的工作状态。每班检查收尘管道、料浆管道、石灰、水泥管道是否畅通及有否挂靠浇注搅拌罐。手动添加（自动故障时采用）按需用量将铝粉从3楼铝粉库搬运至2楼，</w:t>
      </w:r>
      <w:r>
        <w:rPr>
          <w:rFonts w:hint="eastAsia" w:asciiTheme="minorEastAsia" w:hAnsiTheme="minorEastAsia" w:eastAsiaTheme="minorEastAsia"/>
          <w:szCs w:val="21"/>
          <w:highlight w:val="none"/>
        </w:rPr>
        <w:t>每模按要求秤好铝粉并加入铝粉浇拌罐中。检查收尘管道、料浆管道、石灰、水泥管道是否畅通及有否挂靠</w:t>
      </w:r>
      <w:r>
        <w:rPr>
          <w:rFonts w:asciiTheme="minorEastAsia" w:hAnsiTheme="minorEastAsia" w:eastAsiaTheme="minorEastAsia"/>
          <w:szCs w:val="21"/>
          <w:highlight w:val="none"/>
        </w:rPr>
        <w:t>浇注搅拌罐。</w:t>
      </w:r>
    </w:p>
    <w:p>
      <w:pPr>
        <w:widowControl/>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1.2.3 </w:t>
      </w:r>
      <w:r>
        <w:rPr>
          <w:rFonts w:hint="eastAsia" w:asciiTheme="minorEastAsia" w:hAnsiTheme="minorEastAsia" w:eastAsiaTheme="minorEastAsia"/>
          <w:szCs w:val="21"/>
          <w:highlight w:val="none"/>
        </w:rPr>
        <w:t>建议本辅助业务人员</w:t>
      </w:r>
      <w:r>
        <w:rPr>
          <w:rFonts w:asciiTheme="minorEastAsia" w:hAnsiTheme="minorEastAsia" w:eastAsiaTheme="minorEastAsia"/>
          <w:szCs w:val="21"/>
          <w:highlight w:val="none"/>
        </w:rPr>
        <w:t>2人以上。</w:t>
      </w:r>
    </w:p>
    <w:p>
      <w:pPr>
        <w:widowControl/>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1.3 </w:t>
      </w:r>
      <w:r>
        <w:rPr>
          <w:rFonts w:hint="eastAsia" w:asciiTheme="minorEastAsia" w:hAnsiTheme="minorEastAsia" w:eastAsiaTheme="minorEastAsia"/>
          <w:b/>
          <w:szCs w:val="21"/>
          <w:highlight w:val="none"/>
        </w:rPr>
        <w:t>静停辅助业务的主要工作内容</w:t>
      </w:r>
    </w:p>
    <w:p>
      <w:pPr>
        <w:widowControl/>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1.3.1 </w:t>
      </w:r>
      <w:r>
        <w:rPr>
          <w:rFonts w:hint="eastAsia" w:asciiTheme="minorEastAsia" w:hAnsiTheme="minorEastAsia" w:eastAsiaTheme="minorEastAsia"/>
          <w:szCs w:val="21"/>
          <w:highlight w:val="none"/>
        </w:rPr>
        <w:t>负责观察下浆过程，检查模箱有否漏浆，有漏浆及时堵漏。保证</w:t>
      </w:r>
      <w:r>
        <w:rPr>
          <w:rFonts w:asciiTheme="minorEastAsia" w:hAnsiTheme="minorEastAsia" w:eastAsiaTheme="minorEastAsia"/>
          <w:szCs w:val="21"/>
          <w:highlight w:val="none"/>
        </w:rPr>
        <w:t>浇注搅拌</w:t>
      </w:r>
      <w:r>
        <w:rPr>
          <w:rFonts w:hint="eastAsia" w:asciiTheme="minorEastAsia" w:hAnsiTheme="minorEastAsia" w:eastAsiaTheme="minorEastAsia"/>
          <w:szCs w:val="21"/>
          <w:highlight w:val="none"/>
        </w:rPr>
        <w:t>罐</w:t>
      </w:r>
      <w:r>
        <w:rPr>
          <w:rFonts w:asciiTheme="minorEastAsia" w:hAnsiTheme="minorEastAsia" w:eastAsiaTheme="minorEastAsia"/>
          <w:szCs w:val="21"/>
          <w:highlight w:val="none"/>
        </w:rPr>
        <w:t>下料管道畅通。</w:t>
      </w:r>
    </w:p>
    <w:p>
      <w:pPr>
        <w:widowControl/>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1.3.2 </w:t>
      </w:r>
      <w:r>
        <w:rPr>
          <w:rFonts w:hint="eastAsia" w:asciiTheme="minorEastAsia" w:hAnsiTheme="minorEastAsia" w:eastAsiaTheme="minorEastAsia"/>
          <w:szCs w:val="21"/>
          <w:highlight w:val="none"/>
        </w:rPr>
        <w:t>负责预养窑内坯体发气、静停等观察，及时处理模框漏浆。掌握坯体硬化情况，及时沟通翻转岗位，确保坯体适合的切割硬度。</w:t>
      </w:r>
    </w:p>
    <w:p>
      <w:pPr>
        <w:spacing w:line="360" w:lineRule="auto"/>
        <w:ind w:firstLine="420" w:firstLineChars="200"/>
        <w:jc w:val="left"/>
        <w:rPr>
          <w:rFonts w:asciiTheme="minorEastAsia" w:hAnsiTheme="minorEastAsia" w:eastAsiaTheme="minorEastAsia"/>
          <w:b/>
          <w:szCs w:val="21"/>
          <w:highlight w:val="none"/>
        </w:rPr>
      </w:pPr>
      <w:r>
        <w:rPr>
          <w:rFonts w:asciiTheme="minorEastAsia" w:hAnsiTheme="minorEastAsia" w:eastAsiaTheme="minorEastAsia"/>
          <w:szCs w:val="21"/>
          <w:highlight w:val="none"/>
        </w:rPr>
        <w:t xml:space="preserve">1.4 </w:t>
      </w:r>
      <w:r>
        <w:rPr>
          <w:rFonts w:hint="eastAsia" w:asciiTheme="minorEastAsia" w:hAnsiTheme="minorEastAsia" w:eastAsiaTheme="minorEastAsia"/>
          <w:b/>
          <w:szCs w:val="21"/>
          <w:highlight w:val="none"/>
        </w:rPr>
        <w:t>涂刷辅助业务的主要工作内容</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1.4.1 </w:t>
      </w:r>
      <w:r>
        <w:rPr>
          <w:rFonts w:hint="eastAsia" w:asciiTheme="minorEastAsia" w:hAnsiTheme="minorEastAsia" w:eastAsiaTheme="minorEastAsia"/>
          <w:szCs w:val="21"/>
          <w:highlight w:val="none"/>
        </w:rPr>
        <w:t>负责脱模剂由废油地坑抽出用桶装至作业现场。</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1.4.2 </w:t>
      </w:r>
      <w:r>
        <w:rPr>
          <w:rFonts w:hint="eastAsia" w:asciiTheme="minorEastAsia" w:hAnsiTheme="minorEastAsia" w:eastAsiaTheme="minorEastAsia"/>
          <w:szCs w:val="21"/>
          <w:highlight w:val="none"/>
        </w:rPr>
        <w:t>负责脱模剂堆场将日用量的脱模剂搬运至现场。</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1.4.3 </w:t>
      </w:r>
      <w:r>
        <w:rPr>
          <w:rFonts w:hint="eastAsia" w:asciiTheme="minorEastAsia" w:hAnsiTheme="minorEastAsia" w:eastAsiaTheme="minorEastAsia"/>
          <w:szCs w:val="21"/>
          <w:highlight w:val="none"/>
        </w:rPr>
        <w:t>负责均匀涂抹整个模箱，检查模框胶条与</w:t>
      </w:r>
      <w:r>
        <w:rPr>
          <w:rFonts w:hint="eastAsia" w:ascii="宋体" w:hAnsi="宋体"/>
          <w:szCs w:val="21"/>
          <w:highlight w:val="none"/>
        </w:rPr>
        <w:t>侧板</w:t>
      </w:r>
      <w:r>
        <w:rPr>
          <w:rFonts w:hint="eastAsia" w:asciiTheme="minorEastAsia" w:hAnsiTheme="minorEastAsia" w:eastAsiaTheme="minorEastAsia"/>
          <w:szCs w:val="21"/>
          <w:highlight w:val="none"/>
        </w:rPr>
        <w:t>的吻合是否符合要求。</w:t>
      </w:r>
    </w:p>
    <w:p>
      <w:pPr>
        <w:widowControl/>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1.4.4 </w:t>
      </w:r>
      <w:r>
        <w:rPr>
          <w:rFonts w:hint="eastAsia" w:asciiTheme="minorEastAsia" w:hAnsiTheme="minorEastAsia" w:eastAsiaTheme="minorEastAsia"/>
          <w:szCs w:val="21"/>
          <w:highlight w:val="none"/>
        </w:rPr>
        <w:t>建议本辅助业务人员</w:t>
      </w:r>
      <w:r>
        <w:rPr>
          <w:rFonts w:asciiTheme="minorEastAsia" w:hAnsiTheme="minorEastAsia" w:eastAsiaTheme="minorEastAsia"/>
          <w:szCs w:val="21"/>
          <w:highlight w:val="none"/>
        </w:rPr>
        <w:t>2人以上。</w:t>
      </w:r>
    </w:p>
    <w:p>
      <w:pPr>
        <w:spacing w:line="360" w:lineRule="auto"/>
        <w:ind w:firstLine="422" w:firstLineChars="200"/>
        <w:jc w:val="left"/>
        <w:rPr>
          <w:rFonts w:asciiTheme="minorEastAsia" w:hAnsiTheme="minorEastAsia" w:eastAsiaTheme="minorEastAsia"/>
          <w:b/>
          <w:szCs w:val="21"/>
          <w:highlight w:val="none"/>
        </w:rPr>
      </w:pPr>
      <w:r>
        <w:rPr>
          <w:rFonts w:asciiTheme="minorEastAsia" w:hAnsiTheme="minorEastAsia" w:eastAsiaTheme="minorEastAsia"/>
          <w:b/>
          <w:szCs w:val="21"/>
          <w:highlight w:val="none"/>
        </w:rPr>
        <w:t>1.5翻转辅助业务的主要工作内容</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1.5.1 </w:t>
      </w:r>
      <w:r>
        <w:rPr>
          <w:rFonts w:hint="eastAsia" w:asciiTheme="minorEastAsia" w:hAnsiTheme="minorEastAsia" w:eastAsiaTheme="minorEastAsia"/>
          <w:szCs w:val="21"/>
          <w:highlight w:val="none"/>
        </w:rPr>
        <w:t>负责</w:t>
      </w:r>
      <w:r>
        <w:rPr>
          <w:rFonts w:hint="eastAsia" w:ascii="宋体" w:hAnsi="宋体"/>
          <w:szCs w:val="21"/>
          <w:highlight w:val="none"/>
        </w:rPr>
        <w:t>侧板</w:t>
      </w:r>
      <w:r>
        <w:rPr>
          <w:rFonts w:hint="eastAsia" w:asciiTheme="minorEastAsia" w:hAnsiTheme="minorEastAsia" w:eastAsiaTheme="minorEastAsia"/>
          <w:szCs w:val="21"/>
          <w:highlight w:val="none"/>
        </w:rPr>
        <w:t>、模框清洁，要求对每一个合模的</w:t>
      </w:r>
      <w:r>
        <w:rPr>
          <w:rFonts w:hint="eastAsia" w:ascii="宋体" w:hAnsi="宋体"/>
          <w:szCs w:val="21"/>
          <w:highlight w:val="none"/>
        </w:rPr>
        <w:t>侧板</w:t>
      </w:r>
      <w:r>
        <w:rPr>
          <w:rFonts w:hint="eastAsia" w:asciiTheme="minorEastAsia" w:hAnsiTheme="minorEastAsia" w:eastAsiaTheme="minorEastAsia"/>
          <w:szCs w:val="21"/>
          <w:highlight w:val="none"/>
        </w:rPr>
        <w:t>进行结料初清理；清理模框表面的软料。模框冒高时表面钢丝拉割。</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1.5.2负责铺彩条布并用夹子固定，</w:t>
      </w:r>
      <w:r>
        <w:rPr>
          <w:rFonts w:hint="eastAsia" w:asciiTheme="minorEastAsia" w:hAnsiTheme="minorEastAsia" w:eastAsiaTheme="minorEastAsia"/>
          <w:szCs w:val="21"/>
          <w:highlight w:val="none"/>
        </w:rPr>
        <w:t>模框合</w:t>
      </w:r>
      <w:r>
        <w:rPr>
          <w:rFonts w:hint="eastAsia" w:ascii="宋体" w:hAnsi="宋体"/>
          <w:szCs w:val="21"/>
          <w:highlight w:val="none"/>
        </w:rPr>
        <w:t>侧板</w:t>
      </w:r>
      <w:r>
        <w:rPr>
          <w:rFonts w:hint="eastAsia" w:asciiTheme="minorEastAsia" w:hAnsiTheme="minorEastAsia" w:eastAsiaTheme="minorEastAsia"/>
          <w:szCs w:val="21"/>
          <w:highlight w:val="none"/>
        </w:rPr>
        <w:t>前对模框内部的清洁。对所有模框密封条进行磨损检查。合模时</w:t>
      </w:r>
      <w:r>
        <w:rPr>
          <w:rFonts w:hint="eastAsia" w:ascii="宋体" w:hAnsi="宋体"/>
          <w:szCs w:val="21"/>
          <w:highlight w:val="none"/>
        </w:rPr>
        <w:t>侧板</w:t>
      </w:r>
      <w:r>
        <w:rPr>
          <w:rFonts w:hint="eastAsia" w:asciiTheme="minorEastAsia" w:hAnsiTheme="minorEastAsia" w:eastAsiaTheme="minorEastAsia"/>
          <w:szCs w:val="21"/>
          <w:highlight w:val="none"/>
        </w:rPr>
        <w:t>不到位时人工校正。</w:t>
      </w:r>
    </w:p>
    <w:p>
      <w:pPr>
        <w:spacing w:line="360" w:lineRule="auto"/>
        <w:ind w:firstLine="420" w:firstLineChars="200"/>
        <w:jc w:val="left"/>
        <w:rPr>
          <w:rFonts w:asciiTheme="minorEastAsia" w:hAnsiTheme="minorEastAsia" w:eastAsiaTheme="minorEastAsia"/>
          <w:b/>
          <w:szCs w:val="21"/>
          <w:highlight w:val="none"/>
        </w:rPr>
      </w:pPr>
      <w:r>
        <w:rPr>
          <w:rFonts w:asciiTheme="minorEastAsia" w:hAnsiTheme="minorEastAsia" w:eastAsiaTheme="minorEastAsia"/>
          <w:szCs w:val="21"/>
          <w:highlight w:val="none"/>
        </w:rPr>
        <w:t xml:space="preserve">1.5.3 </w:t>
      </w:r>
      <w:r>
        <w:rPr>
          <w:rFonts w:hint="eastAsia" w:asciiTheme="minorEastAsia" w:hAnsiTheme="minorEastAsia" w:eastAsiaTheme="minorEastAsia"/>
          <w:szCs w:val="21"/>
          <w:highlight w:val="none"/>
        </w:rPr>
        <w:t>建议本辅助业务人员</w:t>
      </w:r>
      <w:r>
        <w:rPr>
          <w:rFonts w:asciiTheme="minorEastAsia" w:hAnsiTheme="minorEastAsia" w:eastAsiaTheme="minorEastAsia"/>
          <w:szCs w:val="21"/>
          <w:highlight w:val="none"/>
        </w:rPr>
        <w:t>2人以上。</w:t>
      </w:r>
    </w:p>
    <w:p>
      <w:pPr>
        <w:widowControl/>
        <w:spacing w:line="360" w:lineRule="auto"/>
        <w:ind w:firstLine="422" w:firstLineChars="200"/>
        <w:jc w:val="left"/>
        <w:rPr>
          <w:rFonts w:asciiTheme="minorEastAsia" w:hAnsiTheme="minorEastAsia" w:eastAsiaTheme="minorEastAsia"/>
          <w:b/>
          <w:szCs w:val="21"/>
          <w:highlight w:val="none"/>
        </w:rPr>
      </w:pPr>
      <w:r>
        <w:rPr>
          <w:rFonts w:asciiTheme="minorEastAsia" w:hAnsiTheme="minorEastAsia" w:eastAsiaTheme="minorEastAsia"/>
          <w:b/>
          <w:szCs w:val="21"/>
          <w:highlight w:val="none"/>
        </w:rPr>
        <w:t>1.6切割辅助业务的主要工作内容</w:t>
      </w:r>
    </w:p>
    <w:p>
      <w:pPr>
        <w:widowControl/>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1.6.1 </w:t>
      </w:r>
      <w:r>
        <w:rPr>
          <w:rFonts w:hint="eastAsia" w:asciiTheme="minorEastAsia" w:hAnsiTheme="minorEastAsia" w:eastAsiaTheme="minorEastAsia"/>
          <w:szCs w:val="21"/>
          <w:highlight w:val="none"/>
        </w:rPr>
        <w:t>负责按要求更换横切钢丝、纵切钢丝。</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1.6.2负责半成品切割前坯体西边倒角；按要求对纵切、横切钢丝、纵切刀片进行清洁。按要求对所需设备进行加油保养。</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1.6.3 </w:t>
      </w:r>
      <w:r>
        <w:rPr>
          <w:rFonts w:hint="eastAsia" w:asciiTheme="minorEastAsia" w:hAnsiTheme="minorEastAsia" w:eastAsiaTheme="minorEastAsia"/>
          <w:szCs w:val="21"/>
          <w:highlight w:val="none"/>
        </w:rPr>
        <w:t>负责坯体翻转后对崩角、断裂、工艺纹严重的半成品推倒制浆。</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1.6.4建议本辅助业务人员2人以上。</w:t>
      </w:r>
    </w:p>
    <w:p>
      <w:pPr>
        <w:spacing w:line="360" w:lineRule="auto"/>
        <w:ind w:firstLine="422" w:firstLineChars="200"/>
        <w:jc w:val="left"/>
        <w:rPr>
          <w:rFonts w:asciiTheme="minorEastAsia" w:hAnsiTheme="minorEastAsia" w:eastAsiaTheme="minorEastAsia"/>
          <w:b/>
          <w:szCs w:val="21"/>
          <w:highlight w:val="none"/>
        </w:rPr>
      </w:pPr>
      <w:r>
        <w:rPr>
          <w:rFonts w:asciiTheme="minorEastAsia" w:hAnsiTheme="minorEastAsia" w:eastAsiaTheme="minorEastAsia"/>
          <w:b/>
          <w:szCs w:val="21"/>
          <w:highlight w:val="none"/>
        </w:rPr>
        <w:t>1.7蒸养辅助业务的主要工作内容</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1.7.1 </w:t>
      </w:r>
      <w:r>
        <w:rPr>
          <w:rFonts w:hint="eastAsia" w:asciiTheme="minorEastAsia" w:hAnsiTheme="minorEastAsia" w:eastAsiaTheme="minorEastAsia"/>
          <w:szCs w:val="21"/>
          <w:highlight w:val="none"/>
        </w:rPr>
        <w:t>负责按要求对蒸养小车位置进行确认、蒸养小车轴承进行加油；每釜关釜门前对釜圈涂抹石墨油，每周对蒸压釜釜底活动滚轴加油。釜前吊机、釜前链条的随机操作（自动故障时）。</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1.7.2 </w:t>
      </w:r>
      <w:r>
        <w:rPr>
          <w:rFonts w:hint="eastAsia" w:asciiTheme="minorEastAsia" w:hAnsiTheme="minorEastAsia" w:eastAsiaTheme="minorEastAsia"/>
          <w:szCs w:val="21"/>
          <w:highlight w:val="none"/>
        </w:rPr>
        <w:t>负责协助蒸养工更换釜圈。</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1.7.3 </w:t>
      </w:r>
      <w:r>
        <w:rPr>
          <w:rFonts w:hint="eastAsia" w:asciiTheme="minorEastAsia" w:hAnsiTheme="minorEastAsia" w:eastAsiaTheme="minorEastAsia"/>
          <w:szCs w:val="21"/>
          <w:highlight w:val="none"/>
        </w:rPr>
        <w:t>按每</w:t>
      </w:r>
      <w:r>
        <w:rPr>
          <w:rFonts w:asciiTheme="minorEastAsia" w:hAnsiTheme="minorEastAsia" w:eastAsiaTheme="minorEastAsia"/>
          <w:szCs w:val="21"/>
          <w:highlight w:val="none"/>
        </w:rPr>
        <w:t>2周循环一次对1-7号</w:t>
      </w:r>
      <w:r>
        <w:rPr>
          <w:rFonts w:hint="eastAsia" w:asciiTheme="minorEastAsia" w:hAnsiTheme="minorEastAsia" w:eastAsiaTheme="minorEastAsia"/>
          <w:szCs w:val="21"/>
          <w:highlight w:val="none"/>
        </w:rPr>
        <w:t>釜内积料清理，如积料较多周期缩短。</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1.7.4 </w:t>
      </w:r>
      <w:r>
        <w:rPr>
          <w:rFonts w:hint="eastAsia" w:asciiTheme="minorEastAsia" w:hAnsiTheme="minorEastAsia" w:eastAsiaTheme="minorEastAsia"/>
          <w:szCs w:val="21"/>
          <w:highlight w:val="none"/>
        </w:rPr>
        <w:t>建议本辅助业务人员</w:t>
      </w:r>
      <w:r>
        <w:rPr>
          <w:rFonts w:asciiTheme="minorEastAsia" w:hAnsiTheme="minorEastAsia" w:eastAsiaTheme="minorEastAsia"/>
          <w:szCs w:val="21"/>
          <w:highlight w:val="none"/>
        </w:rPr>
        <w:t>2人以上。</w:t>
      </w:r>
    </w:p>
    <w:p>
      <w:pPr>
        <w:spacing w:line="360" w:lineRule="auto"/>
        <w:ind w:firstLine="422" w:firstLineChars="200"/>
        <w:jc w:val="left"/>
        <w:rPr>
          <w:rFonts w:asciiTheme="minorEastAsia" w:hAnsiTheme="minorEastAsia" w:eastAsiaTheme="minorEastAsia"/>
          <w:b/>
          <w:szCs w:val="21"/>
          <w:highlight w:val="none"/>
        </w:rPr>
      </w:pPr>
      <w:r>
        <w:rPr>
          <w:rFonts w:asciiTheme="minorEastAsia" w:hAnsiTheme="minorEastAsia" w:eastAsiaTheme="minorEastAsia"/>
          <w:b/>
          <w:szCs w:val="21"/>
          <w:highlight w:val="none"/>
        </w:rPr>
        <w:t xml:space="preserve">1.8 </w:t>
      </w:r>
      <w:r>
        <w:rPr>
          <w:rFonts w:hint="eastAsia" w:asciiTheme="minorEastAsia" w:hAnsiTheme="minorEastAsia" w:eastAsiaTheme="minorEastAsia"/>
          <w:b/>
          <w:szCs w:val="21"/>
          <w:highlight w:val="none"/>
        </w:rPr>
        <w:t>地翻台辅助业务的主要工作内容</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1.8.1 </w:t>
      </w:r>
      <w:r>
        <w:rPr>
          <w:rFonts w:hint="eastAsia" w:asciiTheme="minorEastAsia" w:hAnsiTheme="minorEastAsia" w:eastAsiaTheme="minorEastAsia"/>
          <w:szCs w:val="21"/>
          <w:highlight w:val="none"/>
        </w:rPr>
        <w:t>负责操作刮刀开关翻转台正翻运行后按下刮刀下行开关。</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1.8.2 </w:t>
      </w:r>
      <w:r>
        <w:rPr>
          <w:rFonts w:hint="eastAsia" w:asciiTheme="minorEastAsia" w:hAnsiTheme="minorEastAsia" w:eastAsiaTheme="minorEastAsia"/>
          <w:szCs w:val="21"/>
          <w:highlight w:val="none"/>
        </w:rPr>
        <w:t>负责坯体翻转后及时收彩条布，折好后交铺彩条布岗位。及时清理大板、限位的积料，保持清洁。</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1.8.3负责对坯体翻转后对崩角、断裂、工艺纹严重的半成品推倒制浆。</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1.8.4建议本辅助业务人员2人以上。</w:t>
      </w:r>
    </w:p>
    <w:p>
      <w:pPr>
        <w:spacing w:line="360" w:lineRule="auto"/>
        <w:ind w:firstLine="422" w:firstLineChars="200"/>
        <w:jc w:val="left"/>
        <w:rPr>
          <w:rFonts w:asciiTheme="minorEastAsia" w:hAnsiTheme="minorEastAsia" w:eastAsiaTheme="minorEastAsia"/>
          <w:b/>
          <w:szCs w:val="21"/>
          <w:highlight w:val="none"/>
        </w:rPr>
      </w:pPr>
      <w:r>
        <w:rPr>
          <w:rFonts w:asciiTheme="minorEastAsia" w:hAnsiTheme="minorEastAsia" w:eastAsiaTheme="minorEastAsia"/>
          <w:b/>
          <w:szCs w:val="21"/>
          <w:highlight w:val="none"/>
        </w:rPr>
        <w:t xml:space="preserve">1.9 </w:t>
      </w:r>
      <w:r>
        <w:rPr>
          <w:rFonts w:hint="eastAsia" w:asciiTheme="minorEastAsia" w:hAnsiTheme="minorEastAsia" w:eastAsiaTheme="minorEastAsia"/>
          <w:b/>
          <w:szCs w:val="21"/>
          <w:highlight w:val="none"/>
        </w:rPr>
        <w:t>半成品翻转吊运辅助业务的主要工作内容</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1.9.1 </w:t>
      </w:r>
      <w:r>
        <w:rPr>
          <w:rFonts w:hint="eastAsia" w:asciiTheme="minorEastAsia" w:hAnsiTheme="minorEastAsia" w:eastAsiaTheme="minorEastAsia"/>
          <w:szCs w:val="21"/>
          <w:highlight w:val="none"/>
        </w:rPr>
        <w:t>负责定期对坯体观察高度，检查坯体切割硬度，巡检静停室情况。</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1.9.2 </w:t>
      </w:r>
      <w:r>
        <w:rPr>
          <w:rFonts w:hint="eastAsia" w:asciiTheme="minorEastAsia" w:hAnsiTheme="minorEastAsia" w:eastAsiaTheme="minorEastAsia"/>
          <w:szCs w:val="21"/>
          <w:highlight w:val="none"/>
        </w:rPr>
        <w:t>负责跟上下游岗位生产情况、信息的及时沟通。发现异常及时协调处理。</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1.9.3 </w:t>
      </w:r>
      <w:r>
        <w:rPr>
          <w:rFonts w:hint="eastAsia" w:asciiTheme="minorEastAsia" w:hAnsiTheme="minorEastAsia" w:eastAsiaTheme="minorEastAsia"/>
          <w:szCs w:val="21"/>
          <w:highlight w:val="none"/>
        </w:rPr>
        <w:t>负责对适合的半成品及时翻转吊运脱模。检查胶条情况，如破损调开更换后才合模。监督模框涂油情况。合、脱模时模框摆臂不到位时人工校正；模框起吊位不到位时人工校正。</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1.9.4 </w:t>
      </w:r>
      <w:r>
        <w:rPr>
          <w:rFonts w:hint="eastAsia" w:asciiTheme="minorEastAsia" w:hAnsiTheme="minorEastAsia" w:eastAsiaTheme="minorEastAsia"/>
          <w:szCs w:val="21"/>
          <w:highlight w:val="none"/>
        </w:rPr>
        <w:t>建议本辅助业务人员</w:t>
      </w:r>
      <w:r>
        <w:rPr>
          <w:rFonts w:asciiTheme="minorEastAsia" w:hAnsiTheme="minorEastAsia" w:eastAsiaTheme="minorEastAsia"/>
          <w:szCs w:val="21"/>
          <w:highlight w:val="none"/>
        </w:rPr>
        <w:t>2人以上，应具有高中以上学历水平。</w:t>
      </w:r>
    </w:p>
    <w:p>
      <w:pPr>
        <w:spacing w:line="360" w:lineRule="auto"/>
        <w:ind w:firstLine="422" w:firstLineChars="200"/>
        <w:jc w:val="left"/>
        <w:rPr>
          <w:rFonts w:asciiTheme="minorEastAsia" w:hAnsiTheme="minorEastAsia" w:eastAsiaTheme="minorEastAsia"/>
          <w:b/>
          <w:szCs w:val="21"/>
          <w:highlight w:val="none"/>
        </w:rPr>
      </w:pPr>
      <w:r>
        <w:rPr>
          <w:rFonts w:asciiTheme="minorEastAsia" w:hAnsiTheme="minorEastAsia" w:eastAsiaTheme="minorEastAsia"/>
          <w:b/>
          <w:szCs w:val="21"/>
          <w:highlight w:val="none"/>
        </w:rPr>
        <w:t xml:space="preserve">1.10 </w:t>
      </w:r>
      <w:r>
        <w:rPr>
          <w:rFonts w:hint="eastAsia" w:asciiTheme="minorEastAsia" w:hAnsiTheme="minorEastAsia" w:eastAsiaTheme="minorEastAsia"/>
          <w:b/>
          <w:szCs w:val="21"/>
          <w:highlight w:val="none"/>
        </w:rPr>
        <w:t>半成品切割辅助业务的主要工作内容</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1.10.1负责使用设备前对横切机、</w:t>
      </w:r>
      <w:r>
        <w:rPr>
          <w:rFonts w:hint="eastAsia" w:asciiTheme="minorEastAsia" w:hAnsiTheme="minorEastAsia" w:eastAsiaTheme="minorEastAsia"/>
          <w:szCs w:val="21"/>
          <w:highlight w:val="none"/>
        </w:rPr>
        <w:t>釜前吊机进行检查，空车试运，发现问题及时</w:t>
      </w:r>
    </w:p>
    <w:p>
      <w:pPr>
        <w:spacing w:line="360" w:lineRule="auto"/>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报检修处理。</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1.10.2 </w:t>
      </w:r>
      <w:r>
        <w:rPr>
          <w:rFonts w:hint="eastAsia" w:asciiTheme="minorEastAsia" w:hAnsiTheme="minorEastAsia" w:eastAsiaTheme="minorEastAsia"/>
          <w:szCs w:val="21"/>
          <w:highlight w:val="none"/>
        </w:rPr>
        <w:t>负责跟上下游岗位生产情况、信息的及时沟通。发现异常及时协调处理。</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1.10.3 </w:t>
      </w:r>
      <w:r>
        <w:rPr>
          <w:rFonts w:hint="eastAsia" w:asciiTheme="minorEastAsia" w:hAnsiTheme="minorEastAsia" w:eastAsiaTheme="minorEastAsia"/>
          <w:szCs w:val="21"/>
          <w:highlight w:val="none"/>
        </w:rPr>
        <w:t>负责切割前检纵切、横切查钢丝挂格情况，气压情况（不低于</w:t>
      </w:r>
      <w:r>
        <w:rPr>
          <w:rFonts w:asciiTheme="minorEastAsia" w:hAnsiTheme="minorEastAsia" w:eastAsiaTheme="minorEastAsia"/>
          <w:szCs w:val="21"/>
          <w:highlight w:val="none"/>
        </w:rPr>
        <w:t>5bar）。</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1.10.4 </w:t>
      </w:r>
      <w:r>
        <w:rPr>
          <w:rFonts w:hint="eastAsia" w:asciiTheme="minorEastAsia" w:hAnsiTheme="minorEastAsia" w:eastAsiaTheme="minorEastAsia"/>
          <w:szCs w:val="21"/>
          <w:highlight w:val="none"/>
        </w:rPr>
        <w:t>负责坯体切割完后坯体编号编写，坯体切割过程的观察，有异常及时处理。每切</w:t>
      </w:r>
      <w:r>
        <w:rPr>
          <w:rFonts w:asciiTheme="minorEastAsia" w:hAnsiTheme="minorEastAsia" w:eastAsiaTheme="minorEastAsia"/>
          <w:szCs w:val="21"/>
          <w:highlight w:val="none"/>
        </w:rPr>
        <w:t>5模对切割尺寸复检一次。横切支架回升时坯体东边顶推。按要求定期更换全部纵切、横切钢丝。</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1.10.5 </w:t>
      </w:r>
      <w:r>
        <w:rPr>
          <w:rFonts w:hint="eastAsia" w:asciiTheme="minorEastAsia" w:hAnsiTheme="minorEastAsia" w:eastAsiaTheme="minorEastAsia"/>
          <w:szCs w:val="21"/>
          <w:highlight w:val="none"/>
        </w:rPr>
        <w:t>负责及时调运半成品进釜，成品出釜。</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1.10.6 </w:t>
      </w:r>
      <w:r>
        <w:rPr>
          <w:rFonts w:hint="eastAsia" w:asciiTheme="minorEastAsia" w:hAnsiTheme="minorEastAsia" w:eastAsiaTheme="minorEastAsia"/>
          <w:szCs w:val="21"/>
          <w:highlight w:val="none"/>
        </w:rPr>
        <w:t>负责保持区域卫生。每班清洁操作台区域栏杆及支架一次。</w:t>
      </w:r>
    </w:p>
    <w:p>
      <w:pPr>
        <w:spacing w:line="360" w:lineRule="auto"/>
        <w:ind w:firstLine="420" w:firstLineChars="200"/>
        <w:jc w:val="left"/>
        <w:rPr>
          <w:rFonts w:asciiTheme="minorEastAsia" w:hAnsiTheme="minorEastAsia" w:eastAsiaTheme="minorEastAsia"/>
          <w:b/>
          <w:szCs w:val="21"/>
          <w:highlight w:val="none"/>
        </w:rPr>
      </w:pPr>
      <w:r>
        <w:rPr>
          <w:rFonts w:asciiTheme="minorEastAsia" w:hAnsiTheme="minorEastAsia" w:eastAsiaTheme="minorEastAsia"/>
          <w:szCs w:val="21"/>
          <w:highlight w:val="none"/>
        </w:rPr>
        <w:t xml:space="preserve">1.10.7 </w:t>
      </w:r>
      <w:r>
        <w:rPr>
          <w:rFonts w:hint="eastAsia" w:asciiTheme="minorEastAsia" w:hAnsiTheme="minorEastAsia" w:eastAsiaTheme="minorEastAsia"/>
          <w:szCs w:val="21"/>
          <w:highlight w:val="none"/>
        </w:rPr>
        <w:t>建议本辅助业务人员</w:t>
      </w:r>
      <w:r>
        <w:rPr>
          <w:rFonts w:asciiTheme="minorEastAsia" w:hAnsiTheme="minorEastAsia" w:eastAsiaTheme="minorEastAsia"/>
          <w:szCs w:val="21"/>
          <w:highlight w:val="none"/>
        </w:rPr>
        <w:t>2人以上，应具有高中以上学历水平。</w:t>
      </w:r>
    </w:p>
    <w:p>
      <w:pPr>
        <w:spacing w:line="360" w:lineRule="auto"/>
        <w:ind w:firstLine="422" w:firstLineChars="200"/>
        <w:rPr>
          <w:rFonts w:asciiTheme="minorEastAsia" w:hAnsiTheme="minorEastAsia" w:eastAsiaTheme="minorEastAsia"/>
          <w:b/>
          <w:szCs w:val="21"/>
          <w:highlight w:val="none"/>
        </w:rPr>
      </w:pPr>
      <w:r>
        <w:rPr>
          <w:rFonts w:asciiTheme="minorEastAsia" w:hAnsiTheme="minorEastAsia" w:eastAsiaTheme="minorEastAsia"/>
          <w:b/>
          <w:szCs w:val="21"/>
          <w:highlight w:val="none"/>
        </w:rPr>
        <w:t xml:space="preserve">1.11 </w:t>
      </w:r>
      <w:r>
        <w:rPr>
          <w:rFonts w:hint="eastAsia" w:asciiTheme="minorEastAsia" w:hAnsiTheme="minorEastAsia" w:eastAsiaTheme="minorEastAsia"/>
          <w:b/>
          <w:szCs w:val="21"/>
          <w:highlight w:val="none"/>
        </w:rPr>
        <w:t>半成品堆垛及地翻辅助业务的主要工作内容</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1.11.1 </w:t>
      </w:r>
      <w:r>
        <w:rPr>
          <w:rFonts w:hint="eastAsia" w:asciiTheme="minorEastAsia" w:hAnsiTheme="minorEastAsia" w:eastAsiaTheme="minorEastAsia"/>
          <w:szCs w:val="21"/>
          <w:highlight w:val="none"/>
        </w:rPr>
        <w:t>负责使用设备前对堆垛、地翻台进行检查，空车试运，发现问题及时报检修处理。</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1.11.2 </w:t>
      </w:r>
      <w:r>
        <w:rPr>
          <w:rFonts w:hint="eastAsia" w:asciiTheme="minorEastAsia" w:hAnsiTheme="minorEastAsia" w:eastAsiaTheme="minorEastAsia"/>
          <w:szCs w:val="21"/>
          <w:highlight w:val="none"/>
        </w:rPr>
        <w:t>负责跟上下游岗位生产情况、信息的及时沟通。发现异常及时协调处理。</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1.11.3负责按岗位安全操作规程操作。及时吊运</w:t>
      </w:r>
      <w:r>
        <w:rPr>
          <w:rFonts w:hint="eastAsia" w:ascii="宋体" w:hAnsi="宋体"/>
          <w:szCs w:val="21"/>
          <w:highlight w:val="none"/>
        </w:rPr>
        <w:t>侧板</w:t>
      </w:r>
      <w:r>
        <w:rPr>
          <w:rFonts w:asciiTheme="minorEastAsia" w:hAnsiTheme="minorEastAsia" w:eastAsiaTheme="minorEastAsia"/>
          <w:szCs w:val="21"/>
          <w:highlight w:val="none"/>
        </w:rPr>
        <w:t>到侧板回程合模，吊运半成品上</w:t>
      </w:r>
      <w:r>
        <w:rPr>
          <w:rFonts w:hint="eastAsia" w:asciiTheme="minorEastAsia" w:hAnsiTheme="minorEastAsia" w:eastAsiaTheme="minorEastAsia"/>
          <w:szCs w:val="21"/>
          <w:highlight w:val="none"/>
        </w:rPr>
        <w:t>翻转台去皮，吊运去皮半成品到蒸养小车。</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1.11.4 </w:t>
      </w:r>
      <w:r>
        <w:rPr>
          <w:rFonts w:hint="eastAsia" w:asciiTheme="minorEastAsia" w:hAnsiTheme="minorEastAsia" w:eastAsiaTheme="minorEastAsia"/>
          <w:szCs w:val="21"/>
          <w:highlight w:val="none"/>
        </w:rPr>
        <w:t>负责保持区域卫生。按要求清洁操作台区域栏杆及支架一次。</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1.11.5建议本辅助业务人员2人以上，应具有高中以上学历水平。</w:t>
      </w:r>
    </w:p>
    <w:p>
      <w:pPr>
        <w:spacing w:line="360" w:lineRule="auto"/>
        <w:jc w:val="left"/>
        <w:rPr>
          <w:rFonts w:asciiTheme="minorEastAsia" w:hAnsiTheme="minorEastAsia" w:eastAsiaTheme="minorEastAsia"/>
          <w:b/>
          <w:szCs w:val="21"/>
          <w:highlight w:val="none"/>
        </w:rPr>
      </w:pPr>
      <w:r>
        <w:rPr>
          <w:rFonts w:asciiTheme="minorEastAsia" w:hAnsiTheme="minorEastAsia" w:eastAsiaTheme="minorEastAsia"/>
          <w:b/>
          <w:szCs w:val="21"/>
          <w:highlight w:val="none"/>
        </w:rPr>
        <w:t xml:space="preserve">    1.12  成品分垛</w:t>
      </w:r>
      <w:r>
        <w:rPr>
          <w:rFonts w:hint="eastAsia" w:asciiTheme="minorEastAsia" w:hAnsiTheme="minorEastAsia" w:eastAsiaTheme="minorEastAsia"/>
          <w:b/>
          <w:szCs w:val="21"/>
          <w:highlight w:val="none"/>
        </w:rPr>
        <w:t>及分掰辅助业务的主要工作内容</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1.12.1 </w:t>
      </w:r>
      <w:r>
        <w:rPr>
          <w:rFonts w:hint="eastAsia" w:asciiTheme="minorEastAsia" w:hAnsiTheme="minorEastAsia" w:eastAsiaTheme="minorEastAsia"/>
          <w:szCs w:val="21"/>
          <w:highlight w:val="none"/>
        </w:rPr>
        <w:t>负责使用设备前对分垛吊机、掰板机进行检查，空车试运，发现问题及时报检修处理。掰板机更换胶条。</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1.12.2 </w:t>
      </w:r>
      <w:r>
        <w:rPr>
          <w:rFonts w:hint="eastAsia" w:asciiTheme="minorEastAsia" w:hAnsiTheme="minorEastAsia" w:eastAsiaTheme="minorEastAsia"/>
          <w:szCs w:val="21"/>
          <w:highlight w:val="none"/>
        </w:rPr>
        <w:t>负责跟上下游岗位生产情况、信息的及时沟通。发现异常及时协调处理。</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1.12.3 </w:t>
      </w:r>
      <w:r>
        <w:rPr>
          <w:rFonts w:hint="eastAsia" w:asciiTheme="minorEastAsia" w:hAnsiTheme="minorEastAsia" w:eastAsiaTheme="minorEastAsia"/>
          <w:szCs w:val="21"/>
          <w:highlight w:val="none"/>
        </w:rPr>
        <w:t>负责按规程操作分垛与掰板机。分垛：吊运成品到掰板机分掰，吊运</w:t>
      </w:r>
      <w:r>
        <w:rPr>
          <w:rFonts w:hint="eastAsia" w:ascii="宋体" w:hAnsi="宋体"/>
          <w:szCs w:val="21"/>
          <w:highlight w:val="none"/>
        </w:rPr>
        <w:t>侧板</w:t>
      </w:r>
      <w:r>
        <w:rPr>
          <w:rFonts w:hint="eastAsia" w:asciiTheme="minorEastAsia" w:hAnsiTheme="minorEastAsia" w:eastAsiaTheme="minorEastAsia"/>
          <w:szCs w:val="21"/>
          <w:highlight w:val="none"/>
        </w:rPr>
        <w:t>及蒸养小车到回程轨道，输送小车到堆垛位。掰板：按成品尺寸调整参数，分掰成品，输送分掰好的成品到分坯位，输送</w:t>
      </w:r>
      <w:r>
        <w:rPr>
          <w:rFonts w:hint="eastAsia" w:ascii="宋体" w:hAnsi="宋体"/>
          <w:szCs w:val="21"/>
          <w:highlight w:val="none"/>
        </w:rPr>
        <w:t>侧板</w:t>
      </w:r>
      <w:r>
        <w:rPr>
          <w:rFonts w:hint="eastAsia" w:asciiTheme="minorEastAsia" w:hAnsiTheme="minorEastAsia" w:eastAsiaTheme="minorEastAsia"/>
          <w:szCs w:val="21"/>
          <w:highlight w:val="none"/>
        </w:rPr>
        <w:t>到分垛位。对固定</w:t>
      </w:r>
      <w:r>
        <w:rPr>
          <w:rFonts w:hint="eastAsia" w:ascii="宋体" w:hAnsi="宋体"/>
          <w:szCs w:val="21"/>
          <w:highlight w:val="none"/>
        </w:rPr>
        <w:t>侧板</w:t>
      </w:r>
      <w:r>
        <w:rPr>
          <w:rFonts w:hint="eastAsia" w:asciiTheme="minorEastAsia" w:hAnsiTheme="minorEastAsia" w:eastAsiaTheme="minorEastAsia"/>
          <w:szCs w:val="21"/>
          <w:highlight w:val="none"/>
        </w:rPr>
        <w:t>清扫。</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1.12.4 </w:t>
      </w:r>
      <w:r>
        <w:rPr>
          <w:rFonts w:hint="eastAsia" w:asciiTheme="minorEastAsia" w:hAnsiTheme="minorEastAsia" w:eastAsiaTheme="minorEastAsia"/>
          <w:szCs w:val="21"/>
          <w:highlight w:val="none"/>
        </w:rPr>
        <w:t>负责保持区域卫生。按要求清洁操作台区域栏杆及支架一次。</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1.12.5 </w:t>
      </w:r>
      <w:r>
        <w:rPr>
          <w:rFonts w:hint="eastAsia" w:asciiTheme="minorEastAsia" w:hAnsiTheme="minorEastAsia" w:eastAsiaTheme="minorEastAsia"/>
          <w:szCs w:val="21"/>
          <w:highlight w:val="none"/>
        </w:rPr>
        <w:t>建议本辅助业务人员</w:t>
      </w:r>
      <w:r>
        <w:rPr>
          <w:rFonts w:asciiTheme="minorEastAsia" w:hAnsiTheme="minorEastAsia" w:eastAsiaTheme="minorEastAsia"/>
          <w:szCs w:val="21"/>
          <w:highlight w:val="none"/>
        </w:rPr>
        <w:t>2人以上，应具有高中以上学历水平。</w:t>
      </w:r>
    </w:p>
    <w:p>
      <w:pPr>
        <w:widowControl/>
        <w:spacing w:line="360" w:lineRule="auto"/>
        <w:rPr>
          <w:rFonts w:asciiTheme="minorEastAsia" w:hAnsiTheme="minorEastAsia" w:eastAsiaTheme="minorEastAsia"/>
          <w:b/>
          <w:szCs w:val="21"/>
          <w:highlight w:val="none"/>
        </w:rPr>
      </w:pPr>
      <w:r>
        <w:rPr>
          <w:rFonts w:asciiTheme="minorEastAsia" w:hAnsiTheme="minorEastAsia" w:eastAsiaTheme="minorEastAsia"/>
          <w:b/>
          <w:szCs w:val="21"/>
          <w:highlight w:val="none"/>
        </w:rPr>
        <w:t xml:space="preserve">    1.13  成品夹坯吊运辅助业务的主要工作内容</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1.13.1 </w:t>
      </w:r>
      <w:r>
        <w:rPr>
          <w:rFonts w:hint="eastAsia" w:asciiTheme="minorEastAsia" w:hAnsiTheme="minorEastAsia" w:eastAsiaTheme="minorEastAsia"/>
          <w:szCs w:val="21"/>
          <w:highlight w:val="none"/>
        </w:rPr>
        <w:t>负责使用设备前对夹垛吊机进行检查，空车试运，发现问题及时报检修处理，对掰好的成品及时吊运。操作成品出砖链条。</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1.13.2 </w:t>
      </w:r>
      <w:r>
        <w:rPr>
          <w:rFonts w:hint="eastAsia" w:asciiTheme="minorEastAsia" w:hAnsiTheme="minorEastAsia" w:eastAsiaTheme="minorEastAsia"/>
          <w:szCs w:val="21"/>
          <w:highlight w:val="none"/>
        </w:rPr>
        <w:t>负责跟上下游岗位生产情况、信息的及时沟通。发现异常及时协调处理。</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1.13.3 </w:t>
      </w:r>
      <w:r>
        <w:rPr>
          <w:rFonts w:hint="eastAsia" w:asciiTheme="minorEastAsia" w:hAnsiTheme="minorEastAsia" w:eastAsiaTheme="minorEastAsia"/>
          <w:szCs w:val="21"/>
          <w:highlight w:val="none"/>
        </w:rPr>
        <w:t>负责保持区域卫生。每班清洁操作台区域栏杆及支架一次。</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1.13.4 </w:t>
      </w:r>
      <w:r>
        <w:rPr>
          <w:rFonts w:hint="eastAsia" w:asciiTheme="minorEastAsia" w:hAnsiTheme="minorEastAsia" w:eastAsiaTheme="minorEastAsia"/>
          <w:szCs w:val="21"/>
          <w:highlight w:val="none"/>
        </w:rPr>
        <w:t>建议本辅助业务人员</w:t>
      </w:r>
      <w:r>
        <w:rPr>
          <w:rFonts w:asciiTheme="minorEastAsia" w:hAnsiTheme="minorEastAsia" w:eastAsiaTheme="minorEastAsia"/>
          <w:szCs w:val="21"/>
          <w:highlight w:val="none"/>
        </w:rPr>
        <w:t>2人以上，应具有高中以上学历水平。</w:t>
      </w:r>
    </w:p>
    <w:p>
      <w:pPr>
        <w:spacing w:line="360" w:lineRule="auto"/>
        <w:ind w:firstLine="422" w:firstLineChars="200"/>
        <w:jc w:val="left"/>
        <w:rPr>
          <w:rFonts w:asciiTheme="minorEastAsia" w:hAnsiTheme="minorEastAsia" w:eastAsiaTheme="minorEastAsia"/>
          <w:b/>
          <w:szCs w:val="21"/>
          <w:highlight w:val="none"/>
        </w:rPr>
      </w:pPr>
      <w:r>
        <w:rPr>
          <w:rFonts w:asciiTheme="minorEastAsia" w:hAnsiTheme="minorEastAsia" w:eastAsiaTheme="minorEastAsia"/>
          <w:b/>
          <w:szCs w:val="21"/>
          <w:highlight w:val="none"/>
        </w:rPr>
        <w:t xml:space="preserve">1.14  </w:t>
      </w:r>
      <w:r>
        <w:rPr>
          <w:rFonts w:hint="eastAsia" w:asciiTheme="minorEastAsia" w:hAnsiTheme="minorEastAsia" w:eastAsiaTheme="minorEastAsia"/>
          <w:b/>
          <w:szCs w:val="21"/>
          <w:highlight w:val="none"/>
        </w:rPr>
        <w:t>成品分拣辅助业务的主要工作内容</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1.14.1  </w:t>
      </w:r>
      <w:r>
        <w:rPr>
          <w:rFonts w:hint="eastAsia" w:asciiTheme="minorEastAsia" w:hAnsiTheme="minorEastAsia" w:eastAsiaTheme="minorEastAsia"/>
          <w:szCs w:val="21"/>
          <w:highlight w:val="none"/>
        </w:rPr>
        <w:t>负责按要求在成品夹坯机码放位置放置整齐的木托板，高低不一致的木托板禁止同时使用。不合标准的木托板挑出拉走。</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1.14.2  </w:t>
      </w:r>
      <w:r>
        <w:rPr>
          <w:rFonts w:hint="eastAsia" w:asciiTheme="minorEastAsia" w:hAnsiTheme="minorEastAsia" w:eastAsiaTheme="minorEastAsia"/>
          <w:szCs w:val="21"/>
          <w:highlight w:val="none"/>
        </w:rPr>
        <w:t>按质检要求对木托板上不合格品进行更换，满足生产线要求。打包带用完后及时更换，每二小时对打包机关键部位进行吹扫除尘。成品</w:t>
      </w:r>
      <w:r>
        <w:rPr>
          <w:rFonts w:asciiTheme="minorEastAsia" w:hAnsiTheme="minorEastAsia" w:eastAsiaTheme="minorEastAsia"/>
          <w:szCs w:val="21"/>
          <w:highlight w:val="none"/>
        </w:rPr>
        <w:t>1#-5#链条的清洁、保养、润滑加油。</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1.14.3 </w:t>
      </w:r>
      <w:r>
        <w:rPr>
          <w:rFonts w:hint="eastAsia" w:asciiTheme="minorEastAsia" w:hAnsiTheme="minorEastAsia" w:eastAsiaTheme="minorEastAsia"/>
          <w:szCs w:val="21"/>
          <w:highlight w:val="none"/>
        </w:rPr>
        <w:t>负责</w:t>
      </w:r>
      <w:r>
        <w:rPr>
          <w:rFonts w:asciiTheme="minorEastAsia" w:hAnsiTheme="minorEastAsia" w:eastAsiaTheme="minorEastAsia"/>
          <w:szCs w:val="21"/>
          <w:highlight w:val="none"/>
        </w:rPr>
        <w:t>1#-5#成品链条区域卫生，</w:t>
      </w:r>
      <w:r>
        <w:rPr>
          <w:rFonts w:hint="eastAsia" w:cs="Calibri" w:asciiTheme="minorEastAsia" w:hAnsiTheme="minorEastAsia" w:eastAsiaTheme="minorEastAsia"/>
          <w:color w:val="000000"/>
          <w:szCs w:val="21"/>
          <w:highlight w:val="none"/>
          <w:shd w:val="clear" w:color="auto" w:fill="FFFFFF"/>
        </w:rPr>
        <w:t>负责木托板整理、堆放</w:t>
      </w:r>
      <w:r>
        <w:rPr>
          <w:rFonts w:hint="eastAsia" w:asciiTheme="minorEastAsia" w:hAnsiTheme="minorEastAsia" w:eastAsiaTheme="minorEastAsia"/>
          <w:szCs w:val="21"/>
          <w:highlight w:val="none"/>
        </w:rPr>
        <w:t>；换砖区域的管理；保持区域卫生。</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1.14.4 </w:t>
      </w:r>
      <w:r>
        <w:rPr>
          <w:rFonts w:hint="eastAsia" w:asciiTheme="minorEastAsia" w:hAnsiTheme="minorEastAsia" w:eastAsiaTheme="minorEastAsia"/>
          <w:szCs w:val="21"/>
          <w:highlight w:val="none"/>
        </w:rPr>
        <w:t>建议本辅助业务人员</w:t>
      </w:r>
      <w:r>
        <w:rPr>
          <w:rFonts w:asciiTheme="minorEastAsia" w:hAnsiTheme="minorEastAsia" w:eastAsiaTheme="minorEastAsia"/>
          <w:szCs w:val="21"/>
          <w:highlight w:val="none"/>
        </w:rPr>
        <w:t>8人以上</w:t>
      </w:r>
      <w:r>
        <w:rPr>
          <w:rFonts w:hint="eastAsia" w:asciiTheme="minorEastAsia" w:hAnsiTheme="minorEastAsia" w:eastAsiaTheme="minorEastAsia"/>
          <w:szCs w:val="21"/>
          <w:highlight w:val="none"/>
        </w:rPr>
        <w:t>。</w:t>
      </w:r>
    </w:p>
    <w:p>
      <w:pPr>
        <w:spacing w:line="360" w:lineRule="auto"/>
        <w:ind w:firstLine="420" w:firstLineChars="200"/>
        <w:jc w:val="left"/>
        <w:rPr>
          <w:rFonts w:ascii="宋体" w:hAnsi="宋体"/>
          <w:szCs w:val="21"/>
          <w:highlight w:val="none"/>
        </w:rPr>
      </w:pPr>
      <w:r>
        <w:rPr>
          <w:rFonts w:hint="eastAsia" w:ascii="宋体" w:hAnsi="宋体"/>
          <w:szCs w:val="21"/>
          <w:highlight w:val="none"/>
        </w:rPr>
        <w:t xml:space="preserve">1.15  </w:t>
      </w:r>
      <w:r>
        <w:rPr>
          <w:rFonts w:hint="eastAsia" w:ascii="宋体" w:hAnsi="宋体"/>
          <w:b/>
          <w:szCs w:val="21"/>
          <w:highlight w:val="none"/>
        </w:rPr>
        <w:t>产品套袋及手动打包工作内容</w:t>
      </w:r>
    </w:p>
    <w:p>
      <w:pPr>
        <w:spacing w:line="360" w:lineRule="auto"/>
        <w:ind w:firstLine="420" w:firstLineChars="200"/>
        <w:jc w:val="left"/>
        <w:rPr>
          <w:rFonts w:ascii="宋体" w:hAnsi="宋体"/>
          <w:szCs w:val="21"/>
          <w:highlight w:val="none"/>
        </w:rPr>
      </w:pPr>
      <w:r>
        <w:rPr>
          <w:rFonts w:hint="eastAsia" w:ascii="宋体" w:hAnsi="宋体"/>
          <w:szCs w:val="21"/>
          <w:highlight w:val="none"/>
        </w:rPr>
        <w:t>1．15.1负责高精产品及其它需套袋产品的套袋工作，要求规范、及时完成该工作。</w:t>
      </w:r>
    </w:p>
    <w:p>
      <w:pPr>
        <w:spacing w:line="360" w:lineRule="auto"/>
        <w:ind w:firstLine="420" w:firstLineChars="200"/>
        <w:jc w:val="left"/>
        <w:rPr>
          <w:rFonts w:ascii="宋体" w:hAnsi="宋体"/>
          <w:szCs w:val="21"/>
          <w:highlight w:val="none"/>
        </w:rPr>
      </w:pPr>
      <w:r>
        <w:rPr>
          <w:rFonts w:hint="eastAsia" w:ascii="宋体" w:hAnsi="宋体"/>
          <w:szCs w:val="21"/>
          <w:highlight w:val="none"/>
        </w:rPr>
        <w:t>1.15.2负责自动打包机故障时的手工产品打包工作。</w:t>
      </w:r>
    </w:p>
    <w:p>
      <w:pPr>
        <w:spacing w:line="360" w:lineRule="auto"/>
        <w:ind w:firstLine="420" w:firstLineChars="200"/>
        <w:jc w:val="left"/>
        <w:rPr>
          <w:rFonts w:ascii="宋体" w:hAnsi="宋体"/>
          <w:szCs w:val="21"/>
          <w:highlight w:val="none"/>
        </w:rPr>
      </w:pPr>
      <w:r>
        <w:rPr>
          <w:rFonts w:hint="eastAsia" w:ascii="宋体" w:hAnsi="宋体"/>
          <w:szCs w:val="21"/>
          <w:highlight w:val="none"/>
        </w:rPr>
        <w:t>1.15.3负责工作区域的卫生清洁及废料收集处置工作。</w:t>
      </w:r>
    </w:p>
    <w:p>
      <w:pPr>
        <w:spacing w:line="360" w:lineRule="auto"/>
        <w:ind w:firstLine="420" w:firstLineChars="200"/>
        <w:jc w:val="left"/>
        <w:rPr>
          <w:rFonts w:ascii="宋体" w:hAnsi="宋体"/>
          <w:szCs w:val="21"/>
          <w:highlight w:val="none"/>
        </w:rPr>
      </w:pPr>
      <w:r>
        <w:rPr>
          <w:rFonts w:hint="eastAsia" w:ascii="宋体" w:hAnsi="宋体"/>
          <w:szCs w:val="21"/>
          <w:highlight w:val="none"/>
        </w:rPr>
        <w:t xml:space="preserve">1.16 </w:t>
      </w:r>
      <w:r>
        <w:rPr>
          <w:rFonts w:hint="eastAsia" w:ascii="宋体" w:hAnsi="宋体"/>
          <w:b/>
          <w:szCs w:val="21"/>
          <w:highlight w:val="none"/>
        </w:rPr>
        <w:t xml:space="preserve"> 生产原材料配料及周转工作内容</w:t>
      </w:r>
    </w:p>
    <w:p>
      <w:pPr>
        <w:spacing w:line="360" w:lineRule="auto"/>
        <w:ind w:firstLine="420" w:firstLineChars="200"/>
        <w:jc w:val="left"/>
        <w:rPr>
          <w:rFonts w:ascii="宋体" w:hAnsi="宋体"/>
          <w:szCs w:val="21"/>
          <w:highlight w:val="none"/>
        </w:rPr>
      </w:pPr>
      <w:r>
        <w:rPr>
          <w:rFonts w:hint="eastAsia" w:ascii="宋体" w:hAnsi="宋体"/>
          <w:szCs w:val="21"/>
          <w:highlight w:val="none"/>
        </w:rPr>
        <w:t>1.16.1负责生产材料的制浆、泵送所有相关工作。</w:t>
      </w:r>
    </w:p>
    <w:p>
      <w:pPr>
        <w:spacing w:line="360" w:lineRule="auto"/>
        <w:ind w:firstLine="420" w:firstLineChars="200"/>
        <w:jc w:val="left"/>
        <w:rPr>
          <w:rFonts w:ascii="宋体" w:hAnsi="宋体"/>
          <w:szCs w:val="21"/>
          <w:highlight w:val="none"/>
        </w:rPr>
      </w:pPr>
      <w:r>
        <w:rPr>
          <w:rFonts w:hint="eastAsia" w:ascii="宋体" w:hAnsi="宋体"/>
          <w:szCs w:val="21"/>
          <w:highlight w:val="none"/>
        </w:rPr>
        <w:t>1.16.2负责砂、石粉、尾矿、炉渣、电厂废料、搅拌站废料等本公司试用及采用的原材料的厂内转运、归堆上料及按比例混合的相关工作。自配备铲车一台。</w:t>
      </w:r>
    </w:p>
    <w:p>
      <w:pPr>
        <w:spacing w:line="360" w:lineRule="auto"/>
        <w:ind w:firstLine="420" w:firstLineChars="200"/>
        <w:jc w:val="left"/>
        <w:rPr>
          <w:rFonts w:ascii="宋体" w:hAnsi="宋体"/>
          <w:szCs w:val="21"/>
          <w:highlight w:val="none"/>
        </w:rPr>
      </w:pPr>
      <w:r>
        <w:rPr>
          <w:rFonts w:hint="eastAsia" w:ascii="宋体" w:hAnsi="宋体"/>
          <w:szCs w:val="21"/>
          <w:highlight w:val="none"/>
        </w:rPr>
        <w:t>1.16.3负责石灰、水泥、粉煤灰等原材料泵送进罐的安全监护工作。</w:t>
      </w:r>
    </w:p>
    <w:p>
      <w:pPr>
        <w:spacing w:line="360" w:lineRule="auto"/>
        <w:ind w:firstLine="420" w:firstLineChars="200"/>
        <w:jc w:val="left"/>
        <w:rPr>
          <w:rFonts w:ascii="宋体" w:hAnsi="宋体"/>
          <w:szCs w:val="21"/>
          <w:highlight w:val="none"/>
        </w:rPr>
      </w:pPr>
      <w:r>
        <w:rPr>
          <w:rFonts w:hint="eastAsia" w:ascii="宋体" w:hAnsi="宋体"/>
          <w:szCs w:val="21"/>
          <w:highlight w:val="none"/>
        </w:rPr>
        <w:t>1.16.4负责工作区域的产品覆盖，安全警示及区域围蔽工作。</w:t>
      </w:r>
    </w:p>
    <w:p>
      <w:pPr>
        <w:spacing w:line="360" w:lineRule="auto"/>
        <w:ind w:firstLine="420" w:firstLineChars="200"/>
        <w:jc w:val="left"/>
        <w:rPr>
          <w:rFonts w:ascii="宋体" w:hAnsi="宋体"/>
          <w:szCs w:val="21"/>
          <w:highlight w:val="none"/>
        </w:rPr>
      </w:pPr>
      <w:r>
        <w:rPr>
          <w:rFonts w:hint="eastAsia" w:ascii="宋体" w:hAnsi="宋体"/>
          <w:szCs w:val="21"/>
          <w:highlight w:val="none"/>
        </w:rPr>
        <w:t>1.16.5负责区域场地、设备的清洁卫生工作。</w:t>
      </w:r>
    </w:p>
    <w:p>
      <w:pPr>
        <w:spacing w:line="360" w:lineRule="auto"/>
        <w:ind w:firstLine="420" w:firstLineChars="200"/>
        <w:jc w:val="left"/>
        <w:rPr>
          <w:rFonts w:ascii="宋体" w:hAnsi="宋体"/>
          <w:szCs w:val="21"/>
          <w:highlight w:val="none"/>
        </w:rPr>
      </w:pPr>
      <w:r>
        <w:rPr>
          <w:rFonts w:hint="eastAsia" w:ascii="宋体" w:hAnsi="宋体"/>
          <w:szCs w:val="21"/>
          <w:highlight w:val="none"/>
        </w:rPr>
        <w:t>1.16.6建议本辅助业务人员2人。</w:t>
      </w:r>
    </w:p>
    <w:p>
      <w:pPr>
        <w:spacing w:line="360" w:lineRule="auto"/>
        <w:ind w:firstLine="420" w:firstLineChars="200"/>
        <w:jc w:val="left"/>
        <w:rPr>
          <w:rFonts w:ascii="宋体" w:hAnsi="宋体"/>
          <w:szCs w:val="21"/>
          <w:highlight w:val="none"/>
        </w:rPr>
      </w:pPr>
      <w:r>
        <w:rPr>
          <w:rFonts w:hint="eastAsia" w:ascii="宋体" w:hAnsi="宋体"/>
          <w:szCs w:val="21"/>
          <w:highlight w:val="none"/>
        </w:rPr>
        <w:t xml:space="preserve">1.17  </w:t>
      </w:r>
      <w:r>
        <w:rPr>
          <w:rFonts w:hint="eastAsia" w:ascii="宋体" w:hAnsi="宋体"/>
          <w:b/>
          <w:szCs w:val="21"/>
          <w:highlight w:val="none"/>
        </w:rPr>
        <w:t>设备操作机动人员工作内容</w:t>
      </w:r>
    </w:p>
    <w:p>
      <w:pPr>
        <w:spacing w:line="360" w:lineRule="auto"/>
        <w:ind w:firstLine="420" w:firstLineChars="200"/>
        <w:jc w:val="left"/>
        <w:rPr>
          <w:rFonts w:ascii="宋体" w:hAnsi="宋体"/>
          <w:szCs w:val="21"/>
          <w:highlight w:val="none"/>
        </w:rPr>
      </w:pPr>
      <w:r>
        <w:rPr>
          <w:rFonts w:hint="eastAsia" w:ascii="宋体" w:hAnsi="宋体"/>
          <w:szCs w:val="21"/>
          <w:highlight w:val="none"/>
        </w:rPr>
        <w:t>1.17.1熟悉各岗位设备操作，顶替因各种原因缺员岗位。</w:t>
      </w:r>
    </w:p>
    <w:p>
      <w:pPr>
        <w:spacing w:line="360" w:lineRule="auto"/>
        <w:ind w:firstLine="420" w:firstLineChars="200"/>
        <w:jc w:val="left"/>
        <w:rPr>
          <w:rFonts w:ascii="宋体" w:hAnsi="宋体"/>
          <w:szCs w:val="21"/>
          <w:highlight w:val="none"/>
        </w:rPr>
      </w:pPr>
      <w:r>
        <w:rPr>
          <w:rFonts w:hint="eastAsia" w:ascii="宋体" w:hAnsi="宋体"/>
          <w:szCs w:val="21"/>
          <w:highlight w:val="none"/>
        </w:rPr>
        <w:t>1.17.2员工吃饭时间的顶岗，保证24小时连续运行。</w:t>
      </w:r>
    </w:p>
    <w:p>
      <w:pPr>
        <w:spacing w:line="360" w:lineRule="auto"/>
        <w:ind w:firstLine="420" w:firstLineChars="200"/>
        <w:jc w:val="left"/>
        <w:rPr>
          <w:rFonts w:ascii="宋体" w:hAnsi="宋体"/>
          <w:szCs w:val="21"/>
          <w:highlight w:val="none"/>
        </w:rPr>
      </w:pPr>
      <w:r>
        <w:rPr>
          <w:rFonts w:hint="eastAsia" w:ascii="宋体" w:hAnsi="宋体"/>
          <w:szCs w:val="21"/>
          <w:highlight w:val="none"/>
        </w:rPr>
        <w:t>1.17.3协助各岗位日常工作及参与其它临时安排工作。</w:t>
      </w:r>
    </w:p>
    <w:p>
      <w:pPr>
        <w:widowControl/>
        <w:spacing w:line="360" w:lineRule="auto"/>
        <w:rPr>
          <w:rFonts w:asciiTheme="minorEastAsia" w:hAnsiTheme="minorEastAsia" w:eastAsiaTheme="minorEastAsia"/>
          <w:b/>
          <w:szCs w:val="21"/>
          <w:highlight w:val="none"/>
        </w:rPr>
      </w:pPr>
      <w:r>
        <w:rPr>
          <w:rFonts w:asciiTheme="minorEastAsia" w:hAnsiTheme="minorEastAsia" w:eastAsiaTheme="minorEastAsia"/>
          <w:b/>
          <w:szCs w:val="21"/>
          <w:highlight w:val="none"/>
        </w:rPr>
        <w:t xml:space="preserve">    1.1</w:t>
      </w:r>
      <w:r>
        <w:rPr>
          <w:rFonts w:hint="eastAsia" w:asciiTheme="minorEastAsia" w:hAnsiTheme="minorEastAsia" w:eastAsiaTheme="minorEastAsia"/>
          <w:b/>
          <w:szCs w:val="21"/>
          <w:highlight w:val="none"/>
        </w:rPr>
        <w:t>8</w:t>
      </w:r>
      <w:r>
        <w:rPr>
          <w:rFonts w:asciiTheme="minorEastAsia" w:hAnsiTheme="minorEastAsia" w:eastAsiaTheme="minorEastAsia"/>
          <w:b/>
          <w:szCs w:val="21"/>
          <w:highlight w:val="none"/>
        </w:rPr>
        <w:t xml:space="preserve"> 现场管理业务的主要工作内容</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1.1</w:t>
      </w:r>
      <w:r>
        <w:rPr>
          <w:rFonts w:hint="eastAsia" w:asciiTheme="minorEastAsia" w:hAnsiTheme="minorEastAsia" w:eastAsiaTheme="minorEastAsia"/>
          <w:szCs w:val="21"/>
          <w:highlight w:val="none"/>
        </w:rPr>
        <w:t>8</w:t>
      </w:r>
      <w:r>
        <w:rPr>
          <w:rFonts w:asciiTheme="minorEastAsia" w:hAnsiTheme="minorEastAsia" w:eastAsiaTheme="minorEastAsia"/>
          <w:szCs w:val="21"/>
          <w:highlight w:val="none"/>
        </w:rPr>
        <w:t xml:space="preserve">.1 </w:t>
      </w:r>
      <w:r>
        <w:rPr>
          <w:rFonts w:hint="eastAsia" w:asciiTheme="minorEastAsia" w:hAnsiTheme="minorEastAsia" w:eastAsiaTheme="minorEastAsia"/>
          <w:szCs w:val="21"/>
          <w:highlight w:val="none"/>
        </w:rPr>
        <w:t>负责沟通、协调、处理生产中的事情，配合完成加气运行班长的指令要求。</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1.1</w:t>
      </w:r>
      <w:r>
        <w:rPr>
          <w:rFonts w:hint="eastAsia" w:asciiTheme="minorEastAsia" w:hAnsiTheme="minorEastAsia" w:eastAsiaTheme="minorEastAsia"/>
          <w:szCs w:val="21"/>
          <w:highlight w:val="none"/>
        </w:rPr>
        <w:t>8</w:t>
      </w:r>
      <w:r>
        <w:rPr>
          <w:rFonts w:asciiTheme="minorEastAsia" w:hAnsiTheme="minorEastAsia" w:eastAsiaTheme="minorEastAsia"/>
          <w:szCs w:val="21"/>
          <w:highlight w:val="none"/>
        </w:rPr>
        <w:t xml:space="preserve">.2 </w:t>
      </w:r>
      <w:r>
        <w:rPr>
          <w:rFonts w:hint="eastAsia" w:asciiTheme="minorEastAsia" w:hAnsiTheme="minorEastAsia" w:eastAsiaTheme="minorEastAsia"/>
          <w:szCs w:val="21"/>
          <w:highlight w:val="none"/>
        </w:rPr>
        <w:t>负责监督辅助业务人员的安全作业，杜绝安全事故发生。组织业务人员定期安全学习。</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1.1</w:t>
      </w:r>
      <w:r>
        <w:rPr>
          <w:rFonts w:hint="eastAsia" w:asciiTheme="minorEastAsia" w:hAnsiTheme="minorEastAsia" w:eastAsiaTheme="minorEastAsia"/>
          <w:szCs w:val="21"/>
          <w:highlight w:val="none"/>
        </w:rPr>
        <w:t>8</w:t>
      </w:r>
      <w:r>
        <w:rPr>
          <w:rFonts w:asciiTheme="minorEastAsia" w:hAnsiTheme="minorEastAsia" w:eastAsiaTheme="minorEastAsia"/>
          <w:szCs w:val="21"/>
          <w:highlight w:val="none"/>
        </w:rPr>
        <w:t xml:space="preserve">.3 </w:t>
      </w:r>
      <w:r>
        <w:rPr>
          <w:rFonts w:hint="eastAsia" w:asciiTheme="minorEastAsia" w:hAnsiTheme="minorEastAsia" w:eastAsiaTheme="minorEastAsia"/>
          <w:szCs w:val="21"/>
          <w:highlight w:val="none"/>
        </w:rPr>
        <w:t>负责监督指挥辅助业务完成各业务范围内清洁卫生。</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1.1</w:t>
      </w:r>
      <w:r>
        <w:rPr>
          <w:rFonts w:hint="eastAsia" w:asciiTheme="minorEastAsia" w:hAnsiTheme="minorEastAsia" w:eastAsiaTheme="minorEastAsia"/>
          <w:szCs w:val="21"/>
          <w:highlight w:val="none"/>
        </w:rPr>
        <w:t>8</w:t>
      </w:r>
      <w:r>
        <w:rPr>
          <w:rFonts w:asciiTheme="minorEastAsia" w:hAnsiTheme="minorEastAsia" w:eastAsiaTheme="minorEastAsia"/>
          <w:szCs w:val="21"/>
          <w:highlight w:val="none"/>
        </w:rPr>
        <w:t>.4建议本辅助业务人员2人以上，并持有安全</w:t>
      </w:r>
      <w:r>
        <w:rPr>
          <w:rFonts w:hint="eastAsia" w:asciiTheme="minorEastAsia" w:hAnsiTheme="minorEastAsia" w:eastAsiaTheme="minorEastAsia"/>
          <w:szCs w:val="21"/>
          <w:highlight w:val="none"/>
        </w:rPr>
        <w:t>管理相关证书</w:t>
      </w:r>
      <w:r>
        <w:rPr>
          <w:rFonts w:asciiTheme="minorEastAsia" w:hAnsiTheme="minorEastAsia" w:eastAsiaTheme="minorEastAsia"/>
          <w:szCs w:val="21"/>
          <w:highlight w:val="none"/>
        </w:rPr>
        <w:t>。</w:t>
      </w:r>
    </w:p>
    <w:p>
      <w:pPr>
        <w:widowControl/>
        <w:spacing w:line="360" w:lineRule="auto"/>
        <w:rPr>
          <w:rFonts w:asciiTheme="minorEastAsia" w:hAnsiTheme="minorEastAsia" w:eastAsiaTheme="minorEastAsia"/>
          <w:b/>
          <w:szCs w:val="21"/>
          <w:highlight w:val="none"/>
        </w:rPr>
      </w:pPr>
      <w:r>
        <w:rPr>
          <w:rFonts w:asciiTheme="minorEastAsia" w:hAnsiTheme="minorEastAsia" w:eastAsiaTheme="minorEastAsia"/>
          <w:b/>
          <w:szCs w:val="21"/>
          <w:highlight w:val="none"/>
        </w:rPr>
        <w:t xml:space="preserve">    1.1</w:t>
      </w:r>
      <w:r>
        <w:rPr>
          <w:rFonts w:hint="eastAsia" w:asciiTheme="minorEastAsia" w:hAnsiTheme="minorEastAsia" w:eastAsiaTheme="minorEastAsia"/>
          <w:b/>
          <w:szCs w:val="21"/>
          <w:highlight w:val="none"/>
        </w:rPr>
        <w:t>9</w:t>
      </w:r>
      <w:r>
        <w:rPr>
          <w:rFonts w:asciiTheme="minorEastAsia" w:hAnsiTheme="minorEastAsia" w:eastAsiaTheme="minorEastAsia"/>
          <w:b/>
          <w:szCs w:val="21"/>
          <w:highlight w:val="none"/>
        </w:rPr>
        <w:t xml:space="preserve">  其它辅助业务的主要工作内容</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1.1</w:t>
      </w:r>
      <w:r>
        <w:rPr>
          <w:rFonts w:hint="eastAsia" w:asciiTheme="minorEastAsia" w:hAnsiTheme="minorEastAsia" w:eastAsiaTheme="minorEastAsia"/>
          <w:szCs w:val="21"/>
          <w:highlight w:val="none"/>
        </w:rPr>
        <w:t>9</w:t>
      </w:r>
      <w:r>
        <w:rPr>
          <w:rFonts w:asciiTheme="minorEastAsia" w:hAnsiTheme="minorEastAsia" w:eastAsiaTheme="minorEastAsia"/>
          <w:szCs w:val="21"/>
          <w:highlight w:val="none"/>
        </w:rPr>
        <w:t xml:space="preserve">.1 </w:t>
      </w:r>
      <w:r>
        <w:rPr>
          <w:rFonts w:hint="eastAsia" w:asciiTheme="minorEastAsia" w:hAnsiTheme="minorEastAsia" w:eastAsiaTheme="minorEastAsia"/>
          <w:szCs w:val="21"/>
          <w:highlight w:val="none"/>
        </w:rPr>
        <w:t>生产线所属设备的巡检、加油保养。生产线异常时，坯体或成品的去底皮工作。生产线搅拌罐、地坑等的临时应急清理工作。</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1.1</w:t>
      </w:r>
      <w:r>
        <w:rPr>
          <w:rFonts w:hint="eastAsia" w:asciiTheme="minorEastAsia" w:hAnsiTheme="minorEastAsia" w:eastAsiaTheme="minorEastAsia"/>
          <w:szCs w:val="21"/>
          <w:highlight w:val="none"/>
        </w:rPr>
        <w:t>9</w:t>
      </w:r>
      <w:r>
        <w:rPr>
          <w:rFonts w:asciiTheme="minorEastAsia" w:hAnsiTheme="minorEastAsia" w:eastAsiaTheme="minorEastAsia"/>
          <w:szCs w:val="21"/>
          <w:highlight w:val="none"/>
        </w:rPr>
        <w:t xml:space="preserve">.2 </w:t>
      </w:r>
      <w:r>
        <w:rPr>
          <w:rFonts w:hint="eastAsia" w:asciiTheme="minorEastAsia" w:hAnsiTheme="minorEastAsia" w:eastAsiaTheme="minorEastAsia"/>
          <w:szCs w:val="21"/>
          <w:highlight w:val="none"/>
        </w:rPr>
        <w:t>现场管理，合理安排临时应急工作。</w:t>
      </w:r>
    </w:p>
    <w:p>
      <w:pPr>
        <w:widowControl/>
        <w:spacing w:line="360" w:lineRule="auto"/>
        <w:rPr>
          <w:rFonts w:ascii="宋体" w:hAnsi="宋体"/>
          <w:b/>
          <w:szCs w:val="21"/>
          <w:highlight w:val="none"/>
        </w:rPr>
      </w:pPr>
      <w:r>
        <w:rPr>
          <w:rFonts w:hint="eastAsia" w:ascii="宋体" w:hAnsi="宋体"/>
          <w:b/>
          <w:szCs w:val="21"/>
          <w:highlight w:val="none"/>
        </w:rPr>
        <w:t>1.20 车间、道路、货场卫生业务的主要工作内容</w:t>
      </w:r>
    </w:p>
    <w:p>
      <w:pPr>
        <w:spacing w:line="360" w:lineRule="auto"/>
        <w:ind w:firstLine="420" w:firstLineChars="200"/>
        <w:jc w:val="left"/>
        <w:rPr>
          <w:rFonts w:ascii="宋体" w:hAnsi="宋体"/>
          <w:szCs w:val="21"/>
          <w:highlight w:val="none"/>
        </w:rPr>
      </w:pPr>
      <w:r>
        <w:rPr>
          <w:rFonts w:hint="eastAsia" w:ascii="宋体" w:hAnsi="宋体"/>
          <w:szCs w:val="21"/>
          <w:highlight w:val="none"/>
        </w:rPr>
        <w:t>1.20.1 负责每天按要求完成环厂道路路面、货场清洁，并定期对货场及环厂路路面喷淋以防扬尘。</w:t>
      </w:r>
    </w:p>
    <w:p>
      <w:pPr>
        <w:spacing w:line="360" w:lineRule="auto"/>
        <w:ind w:firstLine="420" w:firstLineChars="200"/>
        <w:jc w:val="left"/>
        <w:rPr>
          <w:rFonts w:ascii="宋体" w:hAnsi="宋体"/>
          <w:szCs w:val="21"/>
          <w:highlight w:val="none"/>
        </w:rPr>
      </w:pPr>
      <w:r>
        <w:rPr>
          <w:rFonts w:hint="eastAsia" w:ascii="宋体" w:hAnsi="宋体"/>
          <w:szCs w:val="21"/>
          <w:highlight w:val="none"/>
        </w:rPr>
        <w:t>1.20.2每天进行车间非岗位人员管辖区域清洁卫生。负责蒸压釜区域、检修用房外公共区域卫生，排水沟清理。</w:t>
      </w:r>
    </w:p>
    <w:p>
      <w:pPr>
        <w:spacing w:line="360" w:lineRule="auto"/>
        <w:ind w:firstLine="420" w:firstLineChars="200"/>
        <w:jc w:val="left"/>
        <w:rPr>
          <w:rFonts w:ascii="宋体" w:hAnsi="宋体"/>
          <w:szCs w:val="21"/>
          <w:highlight w:val="none"/>
        </w:rPr>
      </w:pPr>
      <w:r>
        <w:rPr>
          <w:rFonts w:hint="eastAsia" w:ascii="宋体" w:hAnsi="宋体"/>
          <w:szCs w:val="21"/>
          <w:highlight w:val="none"/>
        </w:rPr>
        <w:t>1.20.3负责车间及辅助用房内所有柱、梁、支架、围栏、楼梯、平台等的清洁卫生。</w:t>
      </w:r>
    </w:p>
    <w:p>
      <w:pPr>
        <w:spacing w:line="360" w:lineRule="auto"/>
        <w:ind w:firstLine="420" w:firstLineChars="200"/>
        <w:jc w:val="left"/>
        <w:rPr>
          <w:rFonts w:ascii="宋体" w:hAnsi="宋体"/>
          <w:szCs w:val="21"/>
          <w:highlight w:val="none"/>
        </w:rPr>
      </w:pPr>
      <w:r>
        <w:rPr>
          <w:rFonts w:hint="eastAsia" w:ascii="宋体" w:hAnsi="宋体"/>
          <w:szCs w:val="21"/>
          <w:highlight w:val="none"/>
        </w:rPr>
        <w:t>1.20.4负责模箱侧板的打磨、清洁工作。</w:t>
      </w:r>
    </w:p>
    <w:p>
      <w:pPr>
        <w:spacing w:line="360" w:lineRule="auto"/>
        <w:ind w:firstLine="420" w:firstLineChars="200"/>
        <w:jc w:val="left"/>
        <w:rPr>
          <w:rFonts w:ascii="宋体" w:hAnsi="宋体"/>
          <w:szCs w:val="21"/>
          <w:highlight w:val="none"/>
        </w:rPr>
      </w:pPr>
      <w:r>
        <w:rPr>
          <w:rFonts w:hint="eastAsia" w:ascii="宋体" w:hAnsi="宋体"/>
          <w:szCs w:val="21"/>
          <w:highlight w:val="none"/>
        </w:rPr>
        <w:t>1.20.5协助坑、洞、罐体内的定期清理工作，协助静停室清洁及处理漏浆。</w:t>
      </w:r>
    </w:p>
    <w:p>
      <w:pPr>
        <w:spacing w:line="360" w:lineRule="auto"/>
        <w:ind w:firstLine="420" w:firstLineChars="200"/>
        <w:jc w:val="left"/>
        <w:rPr>
          <w:rFonts w:ascii="宋体" w:hAnsi="宋体"/>
          <w:szCs w:val="21"/>
          <w:highlight w:val="none"/>
        </w:rPr>
      </w:pPr>
      <w:r>
        <w:rPr>
          <w:rFonts w:hint="eastAsia" w:ascii="宋体" w:hAnsi="宋体"/>
          <w:szCs w:val="21"/>
          <w:highlight w:val="none"/>
        </w:rPr>
        <w:t>1.20.6负责定期处理工业、生活垃圾，定期清洁负责区域垃圾筒。</w:t>
      </w:r>
    </w:p>
    <w:p>
      <w:pPr>
        <w:widowControl/>
        <w:spacing w:line="360" w:lineRule="auto"/>
        <w:ind w:firstLine="420" w:firstLineChars="200"/>
        <w:rPr>
          <w:rFonts w:ascii="宋体" w:hAnsi="宋体"/>
          <w:szCs w:val="21"/>
          <w:highlight w:val="none"/>
        </w:rPr>
      </w:pPr>
      <w:r>
        <w:rPr>
          <w:rFonts w:hint="eastAsia" w:ascii="宋体" w:hAnsi="宋体"/>
          <w:szCs w:val="21"/>
          <w:highlight w:val="none"/>
        </w:rPr>
        <w:t>1.20.7负责发货室及货场卫生间的清洁工作。</w:t>
      </w:r>
    </w:p>
    <w:p>
      <w:pPr>
        <w:widowControl/>
        <w:spacing w:line="360" w:lineRule="auto"/>
        <w:ind w:firstLine="420" w:firstLineChars="200"/>
        <w:rPr>
          <w:rFonts w:asciiTheme="minorEastAsia" w:hAnsiTheme="minorEastAsia" w:eastAsiaTheme="minorEastAsia"/>
          <w:szCs w:val="21"/>
          <w:highlight w:val="none"/>
        </w:rPr>
      </w:pPr>
      <w:r>
        <w:rPr>
          <w:rFonts w:hint="eastAsia" w:ascii="宋体" w:hAnsi="宋体"/>
          <w:szCs w:val="21"/>
          <w:highlight w:val="none"/>
        </w:rPr>
        <w:t>1.20.8建议本辅助业务人员3人。</w:t>
      </w:r>
    </w:p>
    <w:p>
      <w:pPr>
        <w:tabs>
          <w:tab w:val="left" w:pos="851"/>
        </w:tabs>
        <w:spacing w:line="360" w:lineRule="auto"/>
        <w:rPr>
          <w:rFonts w:asciiTheme="minorEastAsia" w:hAnsiTheme="minorEastAsia" w:eastAsiaTheme="minorEastAsia"/>
          <w:b/>
          <w:szCs w:val="21"/>
          <w:highlight w:val="none"/>
        </w:rPr>
      </w:pPr>
      <w:r>
        <w:rPr>
          <w:rFonts w:asciiTheme="minorEastAsia" w:hAnsiTheme="minorEastAsia" w:eastAsiaTheme="minorEastAsia"/>
          <w:b/>
          <w:szCs w:val="21"/>
          <w:highlight w:val="none"/>
        </w:rPr>
        <w:t xml:space="preserve">    1.</w:t>
      </w:r>
      <w:r>
        <w:rPr>
          <w:rFonts w:hint="eastAsia" w:asciiTheme="minorEastAsia" w:hAnsiTheme="minorEastAsia" w:eastAsiaTheme="minorEastAsia"/>
          <w:b/>
          <w:szCs w:val="21"/>
          <w:highlight w:val="none"/>
        </w:rPr>
        <w:t>21</w:t>
      </w:r>
      <w:r>
        <w:rPr>
          <w:rFonts w:asciiTheme="minorEastAsia" w:hAnsiTheme="minorEastAsia" w:eastAsiaTheme="minorEastAsia"/>
          <w:b/>
          <w:szCs w:val="21"/>
          <w:highlight w:val="none"/>
        </w:rPr>
        <w:t xml:space="preserve"> 物料转运</w:t>
      </w:r>
    </w:p>
    <w:p>
      <w:pPr>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1.</w:t>
      </w:r>
      <w:r>
        <w:rPr>
          <w:rFonts w:hint="eastAsia" w:asciiTheme="minorEastAsia" w:hAnsiTheme="minorEastAsia" w:eastAsiaTheme="minorEastAsia"/>
          <w:szCs w:val="21"/>
          <w:highlight w:val="none"/>
        </w:rPr>
        <w:t>21</w:t>
      </w:r>
      <w:r>
        <w:rPr>
          <w:rFonts w:asciiTheme="minorEastAsia" w:hAnsiTheme="minorEastAsia" w:eastAsiaTheme="minorEastAsia"/>
          <w:szCs w:val="21"/>
          <w:highlight w:val="none"/>
        </w:rPr>
        <w:t>.1 按生产计划需求，每天从电厂转运炉渣、脱硫石膏到建材厂区原材料堆场</w:t>
      </w: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按指定的地方堆放</w:t>
      </w:r>
      <w:r>
        <w:rPr>
          <w:rFonts w:hint="eastAsia" w:asciiTheme="minorEastAsia" w:hAnsiTheme="minorEastAsia" w:eastAsiaTheme="minorEastAsia"/>
          <w:szCs w:val="21"/>
          <w:highlight w:val="none"/>
        </w:rPr>
        <w:t>，每年约</w:t>
      </w:r>
      <w:r>
        <w:rPr>
          <w:rFonts w:asciiTheme="minorEastAsia" w:hAnsiTheme="minorEastAsia" w:eastAsiaTheme="minorEastAsia"/>
          <w:szCs w:val="21"/>
          <w:highlight w:val="none"/>
        </w:rPr>
        <w:t>1.65万吨。</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1.</w:t>
      </w:r>
      <w:r>
        <w:rPr>
          <w:rFonts w:hint="eastAsia" w:asciiTheme="minorEastAsia" w:hAnsiTheme="minorEastAsia" w:eastAsiaTheme="minorEastAsia"/>
          <w:szCs w:val="21"/>
          <w:highlight w:val="none"/>
        </w:rPr>
        <w:t>21</w:t>
      </w:r>
      <w:r>
        <w:rPr>
          <w:rFonts w:asciiTheme="minorEastAsia" w:hAnsiTheme="minorEastAsia" w:eastAsiaTheme="minorEastAsia"/>
          <w:szCs w:val="21"/>
          <w:highlight w:val="none"/>
        </w:rPr>
        <w:t>.2 转运的物料必须服从甲方调度人员安排指挥，转运物料的车辆总重不超过20吨，车辆应在厂区及附近随时待命，原材料运输时，装载货物高度不得超出车厢栏板，不得洒漏污染路面，不得违反电厂及</w:t>
      </w:r>
      <w:r>
        <w:rPr>
          <w:rFonts w:hint="eastAsia" w:asciiTheme="minorEastAsia" w:hAnsiTheme="minorEastAsia" w:eastAsiaTheme="minorEastAsia"/>
          <w:szCs w:val="21"/>
          <w:highlight w:val="none"/>
        </w:rPr>
        <w:t>甲方</w:t>
      </w:r>
      <w:r>
        <w:rPr>
          <w:rFonts w:asciiTheme="minorEastAsia" w:hAnsiTheme="minorEastAsia" w:eastAsiaTheme="minorEastAsia"/>
          <w:szCs w:val="21"/>
          <w:highlight w:val="none"/>
        </w:rPr>
        <w:t>对车辆在厂区限行、限速的管理要求。</w:t>
      </w:r>
    </w:p>
    <w:p>
      <w:pPr>
        <w:widowControl/>
        <w:spacing w:line="360" w:lineRule="auto"/>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    注：承包以上工作内容需各辅助业务作业人员执行有关业务安健环规定，及按要求对所属设备进行加油保养，甲方加气</w:t>
      </w:r>
      <w:r>
        <w:rPr>
          <w:rFonts w:hint="eastAsia" w:asciiTheme="minorEastAsia" w:hAnsiTheme="minorEastAsia" w:eastAsiaTheme="minorEastAsia"/>
          <w:szCs w:val="21"/>
          <w:highlight w:val="none"/>
        </w:rPr>
        <w:t>块业务生产量、发货量约</w:t>
      </w:r>
      <w:r>
        <w:rPr>
          <w:rFonts w:asciiTheme="minorEastAsia" w:hAnsiTheme="minorEastAsia" w:eastAsiaTheme="minorEastAsia"/>
          <w:szCs w:val="21"/>
          <w:highlight w:val="none"/>
        </w:rPr>
        <w:t>30万立方米/年。</w:t>
      </w:r>
    </w:p>
    <w:p>
      <w:pPr>
        <w:spacing w:line="360" w:lineRule="auto"/>
        <w:ind w:firstLine="422" w:firstLineChars="200"/>
        <w:jc w:val="left"/>
        <w:rPr>
          <w:rFonts w:asciiTheme="minorEastAsia" w:hAnsiTheme="minorEastAsia" w:eastAsiaTheme="minorEastAsia"/>
          <w:b/>
          <w:szCs w:val="21"/>
          <w:highlight w:val="none"/>
        </w:rPr>
      </w:pPr>
      <w:r>
        <w:rPr>
          <w:rFonts w:asciiTheme="minorEastAsia" w:hAnsiTheme="minorEastAsia" w:eastAsiaTheme="minorEastAsia"/>
          <w:b/>
          <w:szCs w:val="21"/>
          <w:highlight w:val="none"/>
        </w:rPr>
        <w:t xml:space="preserve">2  </w:t>
      </w:r>
      <w:r>
        <w:rPr>
          <w:rFonts w:hint="eastAsia" w:asciiTheme="minorEastAsia" w:hAnsiTheme="minorEastAsia" w:eastAsiaTheme="minorEastAsia"/>
          <w:b/>
          <w:szCs w:val="21"/>
          <w:highlight w:val="none"/>
        </w:rPr>
        <w:t>发货辅助业务的主要工作内容</w:t>
      </w:r>
    </w:p>
    <w:p>
      <w:pPr>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2.1 </w:t>
      </w:r>
      <w:r>
        <w:rPr>
          <w:rFonts w:hint="eastAsia" w:asciiTheme="minorEastAsia" w:hAnsiTheme="minorEastAsia" w:eastAsiaTheme="minorEastAsia"/>
          <w:szCs w:val="21"/>
          <w:highlight w:val="none"/>
        </w:rPr>
        <w:t>协助发货员根据发货员指令监督成品砖的转运、分区入仓堆放工作。</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2.2 </w:t>
      </w:r>
      <w:r>
        <w:rPr>
          <w:rFonts w:hint="eastAsia" w:asciiTheme="minorEastAsia" w:hAnsiTheme="minorEastAsia" w:eastAsiaTheme="minorEastAsia"/>
          <w:szCs w:val="21"/>
          <w:highlight w:val="none"/>
        </w:rPr>
        <w:t>协助发货员根据发货员指令监督成品砖（含次品）的出货工作。</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2.3 </w:t>
      </w:r>
      <w:r>
        <w:rPr>
          <w:rFonts w:hint="eastAsia" w:asciiTheme="minorEastAsia" w:hAnsiTheme="minorEastAsia" w:eastAsiaTheme="minorEastAsia"/>
          <w:szCs w:val="21"/>
          <w:highlight w:val="none"/>
        </w:rPr>
        <w:t>及时更换装车时有损坏或破损严重加气块砖，并督促叉车回运车间待换。</w:t>
      </w:r>
    </w:p>
    <w:p>
      <w:pPr>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2.4 </w:t>
      </w:r>
      <w:r>
        <w:rPr>
          <w:rFonts w:hint="eastAsia" w:asciiTheme="minorEastAsia" w:hAnsiTheme="minorEastAsia" w:eastAsiaTheme="minorEastAsia"/>
          <w:szCs w:val="21"/>
          <w:highlight w:val="none"/>
        </w:rPr>
        <w:t>协助发货员监督木托板的装卸、清点、转运回用及产品的防护工作等。</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2.5 </w:t>
      </w:r>
      <w:r>
        <w:rPr>
          <w:rFonts w:hint="eastAsia" w:asciiTheme="minorEastAsia" w:hAnsiTheme="minorEastAsia" w:eastAsiaTheme="minorEastAsia"/>
          <w:szCs w:val="21"/>
          <w:highlight w:val="none"/>
        </w:rPr>
        <w:t>常巡检货场，清楚货场产品的堆存情况；叉车整理好货场；严格把关，禁止不合格产品进入货场。</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2.6 </w:t>
      </w:r>
      <w:r>
        <w:rPr>
          <w:rFonts w:hint="eastAsia" w:asciiTheme="minorEastAsia" w:hAnsiTheme="minorEastAsia" w:eastAsiaTheme="minorEastAsia"/>
          <w:szCs w:val="21"/>
          <w:highlight w:val="none"/>
        </w:rPr>
        <w:t>每天发出产品约</w:t>
      </w:r>
      <w:r>
        <w:rPr>
          <w:rFonts w:asciiTheme="minorEastAsia" w:hAnsiTheme="minorEastAsia" w:eastAsiaTheme="minorEastAsia"/>
          <w:szCs w:val="21"/>
          <w:highlight w:val="none"/>
        </w:rPr>
        <w:t>800-1500方，建议本辅助业务人员</w:t>
      </w:r>
      <w:r>
        <w:rPr>
          <w:rFonts w:hint="eastAsia" w:asciiTheme="minorEastAsia" w:hAnsiTheme="minorEastAsia" w:eastAsiaTheme="minorEastAsia"/>
          <w:szCs w:val="21"/>
          <w:highlight w:val="none"/>
        </w:rPr>
        <w:t>每班</w:t>
      </w:r>
      <w:r>
        <w:rPr>
          <w:rFonts w:asciiTheme="minorEastAsia" w:hAnsiTheme="minorEastAsia" w:eastAsiaTheme="minorEastAsia"/>
          <w:szCs w:val="21"/>
          <w:highlight w:val="none"/>
        </w:rPr>
        <w:t>至少</w:t>
      </w:r>
      <w:r>
        <w:rPr>
          <w:rFonts w:hint="eastAsia" w:asciiTheme="minorEastAsia" w:hAnsiTheme="minorEastAsia" w:eastAsiaTheme="minorEastAsia"/>
          <w:szCs w:val="21"/>
          <w:highlight w:val="none"/>
        </w:rPr>
        <w:t>1</w:t>
      </w:r>
      <w:r>
        <w:rPr>
          <w:rFonts w:asciiTheme="minorEastAsia" w:hAnsiTheme="minorEastAsia" w:eastAsiaTheme="minorEastAsia"/>
          <w:szCs w:val="21"/>
          <w:highlight w:val="none"/>
        </w:rPr>
        <w:t>人以上。</w:t>
      </w:r>
    </w:p>
    <w:p>
      <w:pPr>
        <w:spacing w:line="360" w:lineRule="auto"/>
        <w:jc w:val="left"/>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3叉运辅助业务的主要工作内容</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w:t>
      </w:r>
      <w:r>
        <w:rPr>
          <w:rFonts w:asciiTheme="minorEastAsia" w:hAnsiTheme="minorEastAsia" w:eastAsiaTheme="minorEastAsia"/>
          <w:szCs w:val="21"/>
          <w:highlight w:val="none"/>
        </w:rPr>
        <w:t xml:space="preserve">.1 </w:t>
      </w:r>
      <w:r>
        <w:rPr>
          <w:rFonts w:hint="eastAsia" w:asciiTheme="minorEastAsia" w:hAnsiTheme="minorEastAsia" w:eastAsiaTheme="minorEastAsia"/>
          <w:szCs w:val="21"/>
          <w:highlight w:val="none"/>
        </w:rPr>
        <w:t>负责成品砖的转运工作。将成品砖从工程制造部的链条卸下，转运至货场，不同的规格按发货员的指示，分区域按要求堆放。</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w:t>
      </w:r>
      <w:r>
        <w:rPr>
          <w:rFonts w:asciiTheme="minorEastAsia" w:hAnsiTheme="minorEastAsia" w:eastAsiaTheme="minorEastAsia"/>
          <w:szCs w:val="21"/>
          <w:highlight w:val="none"/>
        </w:rPr>
        <w:t xml:space="preserve">.2 </w:t>
      </w:r>
      <w:r>
        <w:rPr>
          <w:rFonts w:hint="eastAsia" w:asciiTheme="minorEastAsia" w:hAnsiTheme="minorEastAsia" w:eastAsiaTheme="minorEastAsia"/>
          <w:szCs w:val="21"/>
          <w:highlight w:val="none"/>
        </w:rPr>
        <w:t>负责成品砖的出货工作。按发货员的指示，到指定的区域按规格、数量将成品砖转运至指定的车辆上，完成出货工作。</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w:t>
      </w:r>
      <w:r>
        <w:rPr>
          <w:rFonts w:asciiTheme="minorEastAsia" w:hAnsiTheme="minorEastAsia" w:eastAsiaTheme="minorEastAsia"/>
          <w:szCs w:val="21"/>
          <w:highlight w:val="none"/>
        </w:rPr>
        <w:t xml:space="preserve">.3 </w:t>
      </w:r>
      <w:r>
        <w:rPr>
          <w:rFonts w:hint="eastAsia" w:asciiTheme="minorEastAsia" w:hAnsiTheme="minorEastAsia" w:eastAsiaTheme="minorEastAsia"/>
          <w:szCs w:val="21"/>
          <w:highlight w:val="none"/>
        </w:rPr>
        <w:t>负责配合生产线成品换砖的工作。</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w:t>
      </w:r>
      <w:r>
        <w:rPr>
          <w:rFonts w:asciiTheme="minorEastAsia" w:hAnsiTheme="minorEastAsia" w:eastAsiaTheme="minorEastAsia"/>
          <w:szCs w:val="21"/>
          <w:highlight w:val="none"/>
        </w:rPr>
        <w:t xml:space="preserve">.4 </w:t>
      </w:r>
      <w:r>
        <w:rPr>
          <w:rFonts w:hint="eastAsia" w:asciiTheme="minorEastAsia" w:hAnsiTheme="minorEastAsia" w:eastAsiaTheme="minorEastAsia"/>
          <w:szCs w:val="21"/>
          <w:highlight w:val="none"/>
        </w:rPr>
        <w:t>负责碎砖的清运工作。将碎砖从生产现场运至堆场，按指定地点堆放。</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w:t>
      </w:r>
      <w:r>
        <w:rPr>
          <w:rFonts w:asciiTheme="minorEastAsia" w:hAnsiTheme="minorEastAsia" w:eastAsiaTheme="minorEastAsia"/>
          <w:szCs w:val="21"/>
          <w:highlight w:val="none"/>
        </w:rPr>
        <w:t xml:space="preserve">.5 </w:t>
      </w:r>
      <w:r>
        <w:rPr>
          <w:rFonts w:hint="eastAsia" w:asciiTheme="minorEastAsia" w:hAnsiTheme="minorEastAsia" w:eastAsiaTheme="minorEastAsia"/>
          <w:szCs w:val="21"/>
          <w:highlight w:val="none"/>
        </w:rPr>
        <w:t>负责磨机出口废料的清运工作。将磨机出口废料清运至厂内废料堆放区。</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w:t>
      </w:r>
      <w:r>
        <w:rPr>
          <w:rFonts w:asciiTheme="minorEastAsia" w:hAnsiTheme="minorEastAsia" w:eastAsiaTheme="minorEastAsia"/>
          <w:szCs w:val="21"/>
          <w:highlight w:val="none"/>
        </w:rPr>
        <w:t xml:space="preserve">.6 </w:t>
      </w:r>
      <w:r>
        <w:rPr>
          <w:rFonts w:hint="eastAsia" w:asciiTheme="minorEastAsia" w:hAnsiTheme="minorEastAsia" w:eastAsiaTheme="minorEastAsia"/>
          <w:szCs w:val="21"/>
          <w:highlight w:val="none"/>
        </w:rPr>
        <w:t>负责废油、钢锻、铝粉、备件、电机等物料卸货入仓或在厂内转移的工作及其它需要使用装卸的临时工作。</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w:t>
      </w:r>
      <w:r>
        <w:rPr>
          <w:rFonts w:asciiTheme="minorEastAsia" w:hAnsiTheme="minorEastAsia" w:eastAsiaTheme="minorEastAsia"/>
          <w:szCs w:val="21"/>
          <w:highlight w:val="none"/>
        </w:rPr>
        <w:t xml:space="preserve">.7 </w:t>
      </w:r>
      <w:r>
        <w:rPr>
          <w:rFonts w:hint="eastAsia" w:asciiTheme="minorEastAsia" w:hAnsiTheme="minorEastAsia" w:eastAsiaTheme="minorEastAsia"/>
          <w:szCs w:val="21"/>
          <w:highlight w:val="none"/>
        </w:rPr>
        <w:t>负责木托板的装卸和转运工作。将车队回收的木托板从车辆上卸下，按指定地点堆放。按工程制造部的需求，做好木托板的转运工作。</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3.8甲方提供叉车</w:t>
      </w:r>
      <w:r>
        <w:rPr>
          <w:rFonts w:hint="eastAsia" w:asciiTheme="minorEastAsia" w:hAnsiTheme="minorEastAsia" w:eastAsiaTheme="minorEastAsia"/>
          <w:szCs w:val="21"/>
          <w:highlight w:val="none"/>
        </w:rPr>
        <w:t>及负责叉车的燃料费用、充电费用，乙方负责叉车的定期维护保养及维修工作。</w:t>
      </w:r>
    </w:p>
    <w:p>
      <w:pPr>
        <w:spacing w:line="360" w:lineRule="auto"/>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w:t>
      </w:r>
      <w:r>
        <w:rPr>
          <w:rFonts w:asciiTheme="minorEastAsia" w:hAnsiTheme="minorEastAsia" w:eastAsiaTheme="minorEastAsia"/>
          <w:szCs w:val="21"/>
          <w:highlight w:val="none"/>
        </w:rPr>
        <w:t xml:space="preserve">.9 </w:t>
      </w:r>
      <w:r>
        <w:rPr>
          <w:rFonts w:hint="eastAsia" w:asciiTheme="minorEastAsia" w:hAnsiTheme="minorEastAsia" w:eastAsiaTheme="minorEastAsia"/>
          <w:szCs w:val="21"/>
          <w:highlight w:val="none"/>
        </w:rPr>
        <w:t>每天需叉运产品及装车约</w:t>
      </w:r>
      <w:r>
        <w:rPr>
          <w:rFonts w:asciiTheme="minorEastAsia" w:hAnsiTheme="minorEastAsia" w:eastAsiaTheme="minorEastAsia"/>
          <w:szCs w:val="21"/>
          <w:highlight w:val="none"/>
        </w:rPr>
        <w:t>800-1500方，建议本辅助业务人员至少8人以上。</w:t>
      </w:r>
    </w:p>
    <w:p>
      <w:pPr>
        <w:spacing w:line="360" w:lineRule="auto"/>
        <w:ind w:firstLine="422" w:firstLineChars="200"/>
        <w:jc w:val="left"/>
        <w:rPr>
          <w:rFonts w:cs="宋体" w:asciiTheme="minorEastAsia" w:hAnsiTheme="minorEastAsia" w:eastAsiaTheme="minorEastAsia"/>
          <w:b/>
          <w:color w:val="000000"/>
          <w:kern w:val="0"/>
          <w:szCs w:val="21"/>
          <w:highlight w:val="none"/>
        </w:rPr>
      </w:pPr>
      <w:r>
        <w:rPr>
          <w:rFonts w:hint="eastAsia" w:cs="宋体" w:asciiTheme="minorEastAsia" w:hAnsiTheme="minorEastAsia" w:eastAsiaTheme="minorEastAsia"/>
          <w:b/>
          <w:color w:val="000000"/>
          <w:kern w:val="0"/>
          <w:szCs w:val="21"/>
          <w:highlight w:val="none"/>
        </w:rPr>
        <w:t>4质检辅助业务（内检）的主要工作内容</w:t>
      </w:r>
    </w:p>
    <w:p>
      <w:pPr>
        <w:spacing w:line="360" w:lineRule="auto"/>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4</w:t>
      </w:r>
      <w:r>
        <w:rPr>
          <w:rFonts w:asciiTheme="minorEastAsia" w:hAnsiTheme="minorEastAsia" w:eastAsiaTheme="minorEastAsia"/>
          <w:szCs w:val="21"/>
          <w:highlight w:val="none"/>
        </w:rPr>
        <w:t xml:space="preserve">.1 </w:t>
      </w:r>
      <w:r>
        <w:rPr>
          <w:rFonts w:hint="eastAsia" w:asciiTheme="minorEastAsia" w:hAnsiTheme="minorEastAsia" w:eastAsiaTheme="minorEastAsia"/>
          <w:szCs w:val="21"/>
          <w:highlight w:val="none"/>
        </w:rPr>
        <w:t>负责半成品质量进行监督与检查，按甲方的规定进行半成品外观与尺寸进行检验，并及时将异常情况向上报告处理。</w:t>
      </w:r>
    </w:p>
    <w:p>
      <w:pPr>
        <w:spacing w:line="360" w:lineRule="auto"/>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4</w:t>
      </w:r>
      <w:r>
        <w:rPr>
          <w:rFonts w:asciiTheme="minorEastAsia" w:hAnsiTheme="minorEastAsia" w:eastAsiaTheme="minorEastAsia"/>
          <w:szCs w:val="21"/>
          <w:highlight w:val="none"/>
        </w:rPr>
        <w:t xml:space="preserve">.2 </w:t>
      </w:r>
      <w:r>
        <w:rPr>
          <w:rFonts w:hint="eastAsia" w:asciiTheme="minorEastAsia" w:hAnsiTheme="minorEastAsia" w:eastAsiaTheme="minorEastAsia"/>
          <w:szCs w:val="21"/>
          <w:highlight w:val="none"/>
        </w:rPr>
        <w:t>负责成品质量进行监督与检查，按甲方的规定进行成品外观与尺寸进行检验，并及时将异常情况向上报告处理。</w:t>
      </w:r>
    </w:p>
    <w:p>
      <w:pPr>
        <w:spacing w:line="360" w:lineRule="auto"/>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4</w:t>
      </w:r>
      <w:r>
        <w:rPr>
          <w:rFonts w:asciiTheme="minorEastAsia" w:hAnsiTheme="minorEastAsia" w:eastAsiaTheme="minorEastAsia"/>
          <w:szCs w:val="21"/>
          <w:highlight w:val="none"/>
        </w:rPr>
        <w:t xml:space="preserve">.3 </w:t>
      </w:r>
      <w:r>
        <w:rPr>
          <w:rFonts w:hint="eastAsia" w:asciiTheme="minorEastAsia" w:hAnsiTheme="minorEastAsia" w:eastAsiaTheme="minorEastAsia"/>
          <w:szCs w:val="21"/>
          <w:highlight w:val="none"/>
        </w:rPr>
        <w:t>负责成品每釜产品的强度和含水率等性能的检测、记录数据及计算工作。</w:t>
      </w:r>
    </w:p>
    <w:p>
      <w:pPr>
        <w:spacing w:line="360" w:lineRule="auto"/>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4</w:t>
      </w:r>
      <w:r>
        <w:rPr>
          <w:rFonts w:asciiTheme="minorEastAsia" w:hAnsiTheme="minorEastAsia" w:eastAsiaTheme="minorEastAsia"/>
          <w:szCs w:val="21"/>
          <w:highlight w:val="none"/>
        </w:rPr>
        <w:t xml:space="preserve">.4 </w:t>
      </w:r>
      <w:r>
        <w:rPr>
          <w:rFonts w:hint="eastAsia" w:asciiTheme="minorEastAsia" w:hAnsiTheme="minorEastAsia" w:eastAsiaTheme="minorEastAsia"/>
          <w:szCs w:val="21"/>
          <w:highlight w:val="none"/>
        </w:rPr>
        <w:t>负责试压件和导热系数试件烘干、试验及包装等管理工作。</w:t>
      </w:r>
    </w:p>
    <w:p>
      <w:pPr>
        <w:spacing w:line="360" w:lineRule="auto"/>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4</w:t>
      </w:r>
      <w:r>
        <w:rPr>
          <w:rFonts w:asciiTheme="minorEastAsia" w:hAnsiTheme="minorEastAsia" w:eastAsiaTheme="minorEastAsia"/>
          <w:szCs w:val="21"/>
          <w:highlight w:val="none"/>
        </w:rPr>
        <w:t xml:space="preserve">.5 </w:t>
      </w:r>
      <w:r>
        <w:rPr>
          <w:rFonts w:hint="eastAsia" w:asciiTheme="minorEastAsia" w:hAnsiTheme="minorEastAsia" w:eastAsiaTheme="minorEastAsia"/>
          <w:szCs w:val="21"/>
          <w:highlight w:val="none"/>
        </w:rPr>
        <w:t>按甲方的管理要求做好相关的记录及对质检室设备卫生、故障报修等相关工作。</w:t>
      </w:r>
    </w:p>
    <w:p>
      <w:pPr>
        <w:spacing w:line="360" w:lineRule="auto"/>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4</w:t>
      </w:r>
      <w:r>
        <w:rPr>
          <w:rFonts w:asciiTheme="minorEastAsia" w:hAnsiTheme="minorEastAsia" w:eastAsiaTheme="minorEastAsia"/>
          <w:szCs w:val="21"/>
          <w:highlight w:val="none"/>
        </w:rPr>
        <w:t xml:space="preserve">.6 </w:t>
      </w:r>
      <w:r>
        <w:rPr>
          <w:rFonts w:hint="eastAsia" w:asciiTheme="minorEastAsia" w:hAnsiTheme="minorEastAsia" w:eastAsiaTheme="minorEastAsia"/>
          <w:szCs w:val="21"/>
          <w:highlight w:val="none"/>
        </w:rPr>
        <w:t>每天需检查半、成品约</w:t>
      </w:r>
      <w:r>
        <w:rPr>
          <w:rFonts w:asciiTheme="minorEastAsia" w:hAnsiTheme="minorEastAsia" w:eastAsiaTheme="minorEastAsia"/>
          <w:szCs w:val="21"/>
          <w:highlight w:val="none"/>
        </w:rPr>
        <w:t>800-1500方，建议本辅助业务人员至少</w:t>
      </w:r>
      <w:r>
        <w:rPr>
          <w:rFonts w:hint="eastAsia" w:asciiTheme="minorEastAsia" w:hAnsiTheme="minorEastAsia" w:eastAsiaTheme="minorEastAsia"/>
          <w:szCs w:val="21"/>
          <w:highlight w:val="none"/>
        </w:rPr>
        <w:t>1</w:t>
      </w:r>
      <w:r>
        <w:rPr>
          <w:rFonts w:asciiTheme="minorEastAsia" w:hAnsiTheme="minorEastAsia" w:eastAsiaTheme="minorEastAsia"/>
          <w:szCs w:val="21"/>
          <w:highlight w:val="none"/>
        </w:rPr>
        <w:t>人以上。</w:t>
      </w:r>
    </w:p>
    <w:p>
      <w:pPr>
        <w:spacing w:line="360" w:lineRule="auto"/>
        <w:jc w:val="left"/>
        <w:rPr>
          <w:rFonts w:cs="宋体" w:asciiTheme="minorEastAsia" w:hAnsiTheme="minorEastAsia" w:eastAsiaTheme="minorEastAsia"/>
          <w:b/>
          <w:color w:val="000000"/>
          <w:kern w:val="0"/>
          <w:szCs w:val="21"/>
          <w:highlight w:val="none"/>
        </w:rPr>
      </w:pPr>
      <w:r>
        <w:rPr>
          <w:rFonts w:hint="eastAsia" w:cs="宋体" w:asciiTheme="minorEastAsia" w:hAnsiTheme="minorEastAsia" w:eastAsiaTheme="minorEastAsia"/>
          <w:b/>
          <w:color w:val="000000"/>
          <w:kern w:val="0"/>
          <w:szCs w:val="21"/>
          <w:highlight w:val="none"/>
        </w:rPr>
        <w:t>5</w:t>
      </w:r>
      <w:r>
        <w:rPr>
          <w:rFonts w:cs="宋体" w:asciiTheme="minorEastAsia" w:hAnsiTheme="minorEastAsia" w:eastAsiaTheme="minorEastAsia"/>
          <w:b/>
          <w:color w:val="000000"/>
          <w:kern w:val="0"/>
          <w:szCs w:val="21"/>
          <w:highlight w:val="none"/>
        </w:rPr>
        <w:t xml:space="preserve">  质检辅助业务（外检）的主要工作内容</w:t>
      </w:r>
    </w:p>
    <w:p>
      <w:pPr>
        <w:spacing w:line="360" w:lineRule="auto"/>
        <w:ind w:firstLine="420" w:firstLineChars="200"/>
        <w:rPr>
          <w:rFonts w:asciiTheme="minorEastAsia" w:hAnsiTheme="minorEastAsia" w:eastAsiaTheme="minorEastAsia"/>
          <w:szCs w:val="21"/>
          <w:highlight w:val="none"/>
        </w:rPr>
      </w:pPr>
      <w:r>
        <w:rPr>
          <w:rFonts w:hint="eastAsia" w:cs="宋体" w:asciiTheme="minorEastAsia" w:hAnsiTheme="minorEastAsia" w:eastAsiaTheme="minorEastAsia"/>
          <w:color w:val="000000"/>
          <w:kern w:val="0"/>
          <w:szCs w:val="21"/>
          <w:highlight w:val="none"/>
        </w:rPr>
        <w:t>5</w:t>
      </w:r>
      <w:r>
        <w:rPr>
          <w:rFonts w:cs="宋体" w:asciiTheme="minorEastAsia" w:hAnsiTheme="minorEastAsia" w:eastAsiaTheme="minorEastAsia"/>
          <w:color w:val="000000"/>
          <w:kern w:val="0"/>
          <w:szCs w:val="21"/>
          <w:highlight w:val="none"/>
        </w:rPr>
        <w:t xml:space="preserve">.1 </w:t>
      </w:r>
      <w:r>
        <w:rPr>
          <w:rFonts w:hint="eastAsia" w:cs="宋体" w:asciiTheme="minorEastAsia" w:hAnsiTheme="minorEastAsia" w:eastAsiaTheme="minorEastAsia"/>
          <w:color w:val="000000"/>
          <w:kern w:val="0"/>
          <w:szCs w:val="21"/>
          <w:highlight w:val="none"/>
        </w:rPr>
        <w:t>负责</w:t>
      </w:r>
      <w:r>
        <w:rPr>
          <w:rFonts w:hint="eastAsia" w:asciiTheme="minorEastAsia" w:hAnsiTheme="minorEastAsia" w:eastAsiaTheme="minorEastAsia"/>
          <w:szCs w:val="21"/>
          <w:highlight w:val="none"/>
        </w:rPr>
        <w:t>按规定对每釜抽检一模成品测量尺寸，并认真填写成品抽查表；按规定抽检产品的粘连及顶层积料情况。</w:t>
      </w:r>
    </w:p>
    <w:p>
      <w:pPr>
        <w:spacing w:line="360" w:lineRule="auto"/>
        <w:ind w:firstLine="420" w:firstLineChars="200"/>
        <w:rPr>
          <w:rFonts w:asciiTheme="minorEastAsia" w:hAnsiTheme="minorEastAsia" w:eastAsiaTheme="minorEastAsia"/>
          <w:szCs w:val="21"/>
          <w:highlight w:val="none"/>
        </w:rPr>
      </w:pPr>
      <w:r>
        <w:rPr>
          <w:rFonts w:hint="eastAsia" w:cs="宋体" w:asciiTheme="minorEastAsia" w:hAnsiTheme="minorEastAsia" w:eastAsiaTheme="minorEastAsia"/>
          <w:color w:val="000000"/>
          <w:kern w:val="0"/>
          <w:szCs w:val="21"/>
          <w:highlight w:val="none"/>
        </w:rPr>
        <w:t>5</w:t>
      </w:r>
      <w:r>
        <w:rPr>
          <w:rFonts w:cs="宋体" w:asciiTheme="minorEastAsia" w:hAnsiTheme="minorEastAsia" w:eastAsiaTheme="minorEastAsia"/>
          <w:color w:val="000000"/>
          <w:kern w:val="0"/>
          <w:szCs w:val="21"/>
          <w:highlight w:val="none"/>
        </w:rPr>
        <w:t xml:space="preserve">.2 </w:t>
      </w:r>
      <w:r>
        <w:rPr>
          <w:rFonts w:hint="eastAsia" w:cs="宋体" w:asciiTheme="minorEastAsia" w:hAnsiTheme="minorEastAsia" w:eastAsiaTheme="minorEastAsia"/>
          <w:color w:val="000000"/>
          <w:kern w:val="0"/>
          <w:szCs w:val="21"/>
          <w:highlight w:val="none"/>
        </w:rPr>
        <w:t>依</w:t>
      </w:r>
      <w:r>
        <w:rPr>
          <w:rFonts w:hint="eastAsia" w:asciiTheme="minorEastAsia" w:hAnsiTheme="minorEastAsia" w:eastAsiaTheme="minorEastAsia"/>
          <w:szCs w:val="21"/>
          <w:highlight w:val="none"/>
        </w:rPr>
        <w:t>据国标</w:t>
      </w:r>
      <w:r>
        <w:rPr>
          <w:rFonts w:asciiTheme="minorEastAsia" w:hAnsiTheme="minorEastAsia" w:eastAsiaTheme="minorEastAsia"/>
          <w:szCs w:val="21"/>
          <w:highlight w:val="none"/>
        </w:rPr>
        <w:t>GB11968—2006标准对产品的分拣进行监督管理，判明合格品、废次品并作标识，严把质量关。有异常情况及时向上报告。</w:t>
      </w:r>
    </w:p>
    <w:p>
      <w:pPr>
        <w:spacing w:line="360" w:lineRule="auto"/>
        <w:ind w:firstLine="420" w:firstLineChars="200"/>
        <w:rPr>
          <w:rFonts w:asciiTheme="minorEastAsia" w:hAnsiTheme="minorEastAsia" w:eastAsiaTheme="minorEastAsia"/>
          <w:szCs w:val="21"/>
          <w:highlight w:val="none"/>
        </w:rPr>
      </w:pPr>
      <w:r>
        <w:rPr>
          <w:rFonts w:hint="eastAsia" w:cs="宋体" w:asciiTheme="minorEastAsia" w:hAnsiTheme="minorEastAsia" w:eastAsiaTheme="minorEastAsia"/>
          <w:color w:val="000000"/>
          <w:kern w:val="0"/>
          <w:szCs w:val="21"/>
          <w:highlight w:val="none"/>
        </w:rPr>
        <w:t>5</w:t>
      </w:r>
      <w:r>
        <w:rPr>
          <w:rFonts w:cs="宋体" w:asciiTheme="minorEastAsia" w:hAnsiTheme="minorEastAsia" w:eastAsiaTheme="minorEastAsia"/>
          <w:color w:val="000000"/>
          <w:kern w:val="0"/>
          <w:szCs w:val="21"/>
          <w:highlight w:val="none"/>
        </w:rPr>
        <w:t xml:space="preserve">.3 </w:t>
      </w:r>
      <w:r>
        <w:rPr>
          <w:rFonts w:hint="eastAsia" w:cs="宋体" w:asciiTheme="minorEastAsia" w:hAnsiTheme="minorEastAsia" w:eastAsiaTheme="minorEastAsia"/>
          <w:color w:val="000000"/>
          <w:kern w:val="0"/>
          <w:szCs w:val="21"/>
          <w:highlight w:val="none"/>
        </w:rPr>
        <w:t>负责监督木托板使用情况，负责</w:t>
      </w:r>
      <w:r>
        <w:rPr>
          <w:rFonts w:hint="eastAsia" w:asciiTheme="minorEastAsia" w:hAnsiTheme="minorEastAsia" w:eastAsiaTheme="minorEastAsia"/>
          <w:szCs w:val="21"/>
          <w:highlight w:val="none"/>
        </w:rPr>
        <w:t>喷码机的操作和使用，按规定进行保养及报修。</w:t>
      </w:r>
    </w:p>
    <w:p>
      <w:pPr>
        <w:spacing w:line="360" w:lineRule="auto"/>
        <w:ind w:firstLine="420" w:firstLineChars="200"/>
        <w:jc w:val="left"/>
        <w:rPr>
          <w:rFonts w:cs="宋体" w:asciiTheme="minorEastAsia" w:hAnsiTheme="minorEastAsia" w:eastAsiaTheme="minorEastAsia"/>
          <w:color w:val="000000"/>
          <w:kern w:val="0"/>
          <w:szCs w:val="21"/>
          <w:highlight w:val="none"/>
        </w:rPr>
      </w:pPr>
      <w:r>
        <w:rPr>
          <w:rFonts w:hint="eastAsia" w:asciiTheme="minorEastAsia" w:hAnsiTheme="minorEastAsia" w:eastAsiaTheme="minorEastAsia"/>
          <w:szCs w:val="21"/>
          <w:highlight w:val="none"/>
        </w:rPr>
        <w:t>5</w:t>
      </w:r>
      <w:r>
        <w:rPr>
          <w:rFonts w:asciiTheme="minorEastAsia" w:hAnsiTheme="minorEastAsia" w:eastAsiaTheme="minorEastAsia"/>
          <w:szCs w:val="21"/>
          <w:highlight w:val="none"/>
        </w:rPr>
        <w:t xml:space="preserve">.4 </w:t>
      </w:r>
      <w:r>
        <w:rPr>
          <w:rFonts w:hint="eastAsia" w:asciiTheme="minorEastAsia" w:hAnsiTheme="minorEastAsia" w:eastAsiaTheme="minorEastAsia"/>
          <w:szCs w:val="21"/>
          <w:highlight w:val="none"/>
        </w:rPr>
        <w:t>按甲方要求做好成品质量的记录统计工作，做好本业务范围的卫生及相关的记录工作。</w:t>
      </w:r>
    </w:p>
    <w:p>
      <w:pPr>
        <w:spacing w:line="360" w:lineRule="auto"/>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5</w:t>
      </w:r>
      <w:r>
        <w:rPr>
          <w:rFonts w:asciiTheme="minorEastAsia" w:hAnsiTheme="minorEastAsia" w:eastAsiaTheme="minorEastAsia"/>
          <w:szCs w:val="21"/>
          <w:highlight w:val="none"/>
        </w:rPr>
        <w:t xml:space="preserve">.5 </w:t>
      </w:r>
      <w:r>
        <w:rPr>
          <w:rFonts w:hint="eastAsia" w:asciiTheme="minorEastAsia" w:hAnsiTheme="minorEastAsia" w:eastAsiaTheme="minorEastAsia"/>
          <w:szCs w:val="21"/>
          <w:highlight w:val="none"/>
        </w:rPr>
        <w:t>每天需检查、监督分拣的成品约</w:t>
      </w:r>
      <w:r>
        <w:rPr>
          <w:rFonts w:asciiTheme="minorEastAsia" w:hAnsiTheme="minorEastAsia" w:eastAsiaTheme="minorEastAsia"/>
          <w:szCs w:val="21"/>
          <w:highlight w:val="none"/>
        </w:rPr>
        <w:t>800-1500方，建议本辅助业务人员至少2人以上。</w:t>
      </w:r>
    </w:p>
    <w:p>
      <w:pPr>
        <w:spacing w:line="360" w:lineRule="auto"/>
        <w:jc w:val="left"/>
        <w:rPr>
          <w:rFonts w:cs="宋体" w:asciiTheme="minorEastAsia" w:hAnsiTheme="minorEastAsia" w:eastAsiaTheme="minorEastAsia"/>
          <w:b/>
          <w:color w:val="000000"/>
          <w:kern w:val="0"/>
          <w:szCs w:val="21"/>
          <w:highlight w:val="none"/>
        </w:rPr>
      </w:pPr>
      <w:r>
        <w:rPr>
          <w:rFonts w:hint="eastAsia" w:cs="宋体" w:asciiTheme="minorEastAsia" w:hAnsiTheme="minorEastAsia" w:eastAsiaTheme="minorEastAsia"/>
          <w:b/>
          <w:color w:val="000000"/>
          <w:kern w:val="0"/>
          <w:szCs w:val="21"/>
          <w:highlight w:val="none"/>
        </w:rPr>
        <w:t>6锯场辅助业务的主要工作内容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Theme="minorEastAsia" w:hAnsiTheme="minorEastAsia" w:eastAsiaTheme="minorEastAsia"/>
          <w:szCs w:val="21"/>
          <w:highlight w:val="none"/>
        </w:rPr>
      </w:pPr>
      <w:r>
        <w:rPr>
          <w:rFonts w:hint="eastAsia" w:cs="宋体" w:asciiTheme="minorEastAsia" w:hAnsiTheme="minorEastAsia" w:eastAsiaTheme="minorEastAsia"/>
          <w:color w:val="000000"/>
          <w:kern w:val="0"/>
          <w:szCs w:val="21"/>
          <w:highlight w:val="none"/>
        </w:rPr>
        <w:t>6</w:t>
      </w:r>
      <w:r>
        <w:rPr>
          <w:rFonts w:cs="宋体" w:asciiTheme="minorEastAsia" w:hAnsiTheme="minorEastAsia" w:eastAsiaTheme="minorEastAsia"/>
          <w:color w:val="000000"/>
          <w:kern w:val="0"/>
          <w:szCs w:val="21"/>
          <w:highlight w:val="none"/>
        </w:rPr>
        <w:t xml:space="preserve">.1 </w:t>
      </w:r>
      <w:r>
        <w:rPr>
          <w:rFonts w:hint="eastAsia" w:asciiTheme="minorEastAsia" w:hAnsiTheme="minorEastAsia" w:eastAsiaTheme="minorEastAsia"/>
          <w:szCs w:val="21"/>
          <w:highlight w:val="none"/>
        </w:rPr>
        <w:t>负责按国际</w:t>
      </w:r>
      <w:r>
        <w:rPr>
          <w:rFonts w:asciiTheme="minorEastAsia" w:hAnsiTheme="minorEastAsia" w:eastAsiaTheme="minorEastAsia"/>
          <w:szCs w:val="21"/>
          <w:highlight w:val="none"/>
        </w:rPr>
        <w:t>GB/T 11969-2008要求取样、制作生产</w:t>
      </w:r>
      <w:r>
        <w:rPr>
          <w:rFonts w:hint="eastAsia" w:asciiTheme="minorEastAsia" w:hAnsiTheme="minorEastAsia" w:eastAsiaTheme="minorEastAsia"/>
          <w:szCs w:val="21"/>
          <w:highlight w:val="none"/>
        </w:rPr>
        <w:t>所</w:t>
      </w:r>
      <w:r>
        <w:rPr>
          <w:rFonts w:asciiTheme="minorEastAsia" w:hAnsiTheme="minorEastAsia" w:eastAsiaTheme="minorEastAsia"/>
          <w:szCs w:val="21"/>
          <w:highlight w:val="none"/>
        </w:rPr>
        <w:t>需试件</w:t>
      </w:r>
      <w:r>
        <w:rPr>
          <w:rFonts w:hint="eastAsia" w:asciiTheme="minorEastAsia" w:hAnsiTheme="minorEastAsia" w:eastAsiaTheme="minorEastAsia"/>
          <w:szCs w:val="21"/>
          <w:highlight w:val="none"/>
        </w:rPr>
        <w:t>，并送件到质检室。</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7</w:t>
      </w:r>
      <w:r>
        <w:rPr>
          <w:rFonts w:asciiTheme="minorEastAsia" w:hAnsiTheme="minorEastAsia" w:eastAsiaTheme="minorEastAsia"/>
          <w:szCs w:val="21"/>
          <w:highlight w:val="none"/>
        </w:rPr>
        <w:t xml:space="preserve">.2 </w:t>
      </w:r>
      <w:r>
        <w:rPr>
          <w:rFonts w:hint="eastAsia" w:asciiTheme="minorEastAsia" w:hAnsiTheme="minorEastAsia" w:eastAsiaTheme="minorEastAsia"/>
          <w:szCs w:val="21"/>
          <w:highlight w:val="none"/>
        </w:rPr>
        <w:t>负责按国际</w:t>
      </w:r>
      <w:r>
        <w:rPr>
          <w:rFonts w:asciiTheme="minorEastAsia" w:hAnsiTheme="minorEastAsia" w:eastAsiaTheme="minorEastAsia"/>
          <w:szCs w:val="21"/>
          <w:highlight w:val="none"/>
        </w:rPr>
        <w:t>GB/T 11969-2008要求取样、制作</w:t>
      </w:r>
      <w:r>
        <w:rPr>
          <w:rFonts w:hint="eastAsia" w:asciiTheme="minorEastAsia" w:hAnsiTheme="minorEastAsia" w:eastAsiaTheme="minorEastAsia"/>
          <w:szCs w:val="21"/>
          <w:highlight w:val="none"/>
        </w:rPr>
        <w:t>销售用</w:t>
      </w:r>
      <w:r>
        <w:rPr>
          <w:rFonts w:asciiTheme="minorEastAsia" w:hAnsiTheme="minorEastAsia" w:eastAsiaTheme="minorEastAsia"/>
          <w:szCs w:val="21"/>
          <w:highlight w:val="none"/>
        </w:rPr>
        <w:t>试压件和导热系数</w:t>
      </w:r>
      <w:r>
        <w:rPr>
          <w:rFonts w:hint="eastAsia" w:asciiTheme="minorEastAsia" w:hAnsiTheme="minorEastAsia" w:eastAsiaTheme="minorEastAsia"/>
          <w:szCs w:val="21"/>
          <w:highlight w:val="none"/>
        </w:rPr>
        <w:t>，并送到质检室，满足业务需要最低库存量。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6</w:t>
      </w:r>
      <w:r>
        <w:rPr>
          <w:rFonts w:asciiTheme="minorEastAsia" w:hAnsiTheme="minorEastAsia" w:eastAsiaTheme="minorEastAsia"/>
          <w:szCs w:val="21"/>
          <w:highlight w:val="none"/>
        </w:rPr>
        <w:t xml:space="preserve">.3 </w:t>
      </w:r>
      <w:r>
        <w:rPr>
          <w:rFonts w:hint="eastAsia" w:asciiTheme="minorEastAsia" w:hAnsiTheme="minorEastAsia" w:eastAsiaTheme="minorEastAsia"/>
          <w:szCs w:val="21"/>
          <w:highlight w:val="none"/>
        </w:rPr>
        <w:t>负责</w:t>
      </w:r>
      <w:r>
        <w:rPr>
          <w:rFonts w:asciiTheme="minorEastAsia" w:hAnsiTheme="minorEastAsia" w:eastAsiaTheme="minorEastAsia"/>
          <w:szCs w:val="21"/>
          <w:highlight w:val="none"/>
        </w:rPr>
        <w:t>试压件</w:t>
      </w:r>
      <w:r>
        <w:rPr>
          <w:rFonts w:hint="eastAsia" w:asciiTheme="minorEastAsia" w:hAnsiTheme="minorEastAsia" w:eastAsiaTheme="minorEastAsia"/>
          <w:szCs w:val="21"/>
          <w:highlight w:val="none"/>
        </w:rPr>
        <w:t>的</w:t>
      </w:r>
      <w:r>
        <w:rPr>
          <w:rFonts w:asciiTheme="minorEastAsia" w:hAnsiTheme="minorEastAsia" w:eastAsiaTheme="minorEastAsia"/>
          <w:szCs w:val="21"/>
          <w:highlight w:val="none"/>
        </w:rPr>
        <w:t>成品管理</w:t>
      </w:r>
      <w:r>
        <w:rPr>
          <w:rFonts w:hint="eastAsia" w:asciiTheme="minorEastAsia" w:hAnsiTheme="minorEastAsia" w:eastAsiaTheme="minorEastAsia"/>
          <w:szCs w:val="21"/>
          <w:highlight w:val="none"/>
        </w:rPr>
        <w:t>工作</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做好标识，防雨措施，并受到</w:t>
      </w:r>
      <w:r>
        <w:rPr>
          <w:rFonts w:asciiTheme="minorEastAsia" w:hAnsiTheme="minorEastAsia" w:eastAsiaTheme="minorEastAsia"/>
          <w:szCs w:val="21"/>
          <w:highlight w:val="none"/>
        </w:rPr>
        <w:t>甲方监督</w:t>
      </w:r>
      <w:r>
        <w:rPr>
          <w:rFonts w:hint="eastAsia" w:asciiTheme="minorEastAsia" w:hAnsiTheme="minorEastAsia" w:eastAsiaTheme="minorEastAsia"/>
          <w:szCs w:val="21"/>
          <w:highlight w:val="none"/>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6</w:t>
      </w:r>
      <w:r>
        <w:rPr>
          <w:rFonts w:asciiTheme="minorEastAsia" w:hAnsiTheme="minorEastAsia" w:eastAsiaTheme="minorEastAsia"/>
          <w:szCs w:val="21"/>
          <w:highlight w:val="none"/>
        </w:rPr>
        <w:t xml:space="preserve">.4 </w:t>
      </w:r>
      <w:r>
        <w:rPr>
          <w:rFonts w:hint="eastAsia" w:asciiTheme="minorEastAsia" w:hAnsiTheme="minorEastAsia" w:eastAsiaTheme="minorEastAsia"/>
          <w:szCs w:val="21"/>
          <w:highlight w:val="none"/>
        </w:rPr>
        <w:t>负责</w:t>
      </w:r>
      <w:r>
        <w:rPr>
          <w:rFonts w:asciiTheme="minorEastAsia" w:hAnsiTheme="minorEastAsia" w:eastAsiaTheme="minorEastAsia"/>
          <w:szCs w:val="21"/>
          <w:highlight w:val="none"/>
        </w:rPr>
        <w:t>设备</w:t>
      </w:r>
      <w:r>
        <w:rPr>
          <w:rFonts w:hint="eastAsia" w:asciiTheme="minorEastAsia" w:hAnsiTheme="minorEastAsia" w:eastAsiaTheme="minorEastAsia"/>
          <w:szCs w:val="21"/>
          <w:highlight w:val="none"/>
        </w:rPr>
        <w:t>清洁保养及设备报障工作，并遵守甲方有关安健环的管理要求。</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6</w:t>
      </w:r>
      <w:r>
        <w:rPr>
          <w:rFonts w:asciiTheme="minorEastAsia" w:hAnsiTheme="minorEastAsia" w:eastAsiaTheme="minorEastAsia"/>
          <w:szCs w:val="21"/>
          <w:highlight w:val="none"/>
        </w:rPr>
        <w:t xml:space="preserve">.5 </w:t>
      </w:r>
      <w:r>
        <w:rPr>
          <w:rFonts w:hint="eastAsia" w:asciiTheme="minorEastAsia" w:hAnsiTheme="minorEastAsia" w:eastAsiaTheme="minorEastAsia"/>
          <w:szCs w:val="21"/>
          <w:highlight w:val="none"/>
        </w:rPr>
        <w:t>建议本辅助业务人员</w:t>
      </w:r>
      <w:r>
        <w:rPr>
          <w:rFonts w:asciiTheme="minorEastAsia" w:hAnsiTheme="minorEastAsia" w:eastAsiaTheme="minorEastAsia"/>
          <w:szCs w:val="21"/>
          <w:highlight w:val="none"/>
        </w:rPr>
        <w:t>1人。</w:t>
      </w:r>
    </w:p>
    <w:p>
      <w:pPr>
        <w:spacing w:line="360" w:lineRule="auto"/>
        <w:ind w:firstLine="422" w:firstLineChars="200"/>
        <w:rPr>
          <w:rFonts w:ascii="宋体" w:hAnsi="宋体" w:cs="仿宋_GB2312"/>
          <w:b/>
          <w:bCs/>
          <w:szCs w:val="21"/>
          <w:highlight w:val="none"/>
        </w:rPr>
      </w:pPr>
      <w:r>
        <w:rPr>
          <w:rFonts w:hint="eastAsia" w:asciiTheme="minorEastAsia" w:hAnsiTheme="minorEastAsia" w:eastAsiaTheme="minorEastAsia"/>
          <w:b/>
          <w:szCs w:val="21"/>
          <w:highlight w:val="none"/>
        </w:rPr>
        <w:t>7</w:t>
      </w:r>
      <w:r>
        <w:rPr>
          <w:rFonts w:hint="eastAsia" w:ascii="宋体" w:hAnsi="宋体" w:cs="仿宋_GB2312"/>
          <w:b/>
          <w:bCs/>
          <w:szCs w:val="21"/>
          <w:highlight w:val="none"/>
        </w:rPr>
        <w:t>设备检修辅助业务</w:t>
      </w:r>
    </w:p>
    <w:p>
      <w:pPr>
        <w:spacing w:line="360" w:lineRule="auto"/>
        <w:ind w:firstLine="422" w:firstLineChars="200"/>
        <w:rPr>
          <w:rFonts w:ascii="Calibri" w:hAnsi="Calibri" w:cs="Calibri"/>
          <w:color w:val="000000"/>
          <w:kern w:val="0"/>
          <w:szCs w:val="21"/>
          <w:highlight w:val="none"/>
        </w:rPr>
      </w:pPr>
      <w:r>
        <w:rPr>
          <w:rFonts w:hint="eastAsia" w:ascii="宋体" w:hAnsi="宋体" w:cs="仿宋_GB2312"/>
          <w:b/>
          <w:bCs/>
          <w:szCs w:val="21"/>
          <w:highlight w:val="none"/>
        </w:rPr>
        <w:t>7</w:t>
      </w:r>
      <w:r>
        <w:rPr>
          <w:rFonts w:ascii="宋体" w:hAnsi="宋体" w:cs="仿宋_GB2312"/>
          <w:b/>
          <w:bCs/>
          <w:szCs w:val="21"/>
          <w:highlight w:val="none"/>
        </w:rPr>
        <w:t xml:space="preserve">.1 </w:t>
      </w:r>
      <w:r>
        <w:rPr>
          <w:rFonts w:hint="eastAsia" w:ascii="Calibri" w:hAnsi="Calibri" w:cs="Calibri"/>
          <w:color w:val="000000"/>
          <w:kern w:val="0"/>
          <w:szCs w:val="21"/>
          <w:highlight w:val="none"/>
        </w:rPr>
        <w:t>机务工作：与甲方人员一起执行加气生产线、脱硫系统、分选系统、恒益电厂灰库、排渣系统的机械维修（包括保养、日常检修、应急抢修、安全整改、停产检修）、技术改造工作。</w:t>
      </w:r>
    </w:p>
    <w:p>
      <w:pPr>
        <w:spacing w:line="360" w:lineRule="auto"/>
        <w:ind w:firstLine="420" w:firstLineChars="200"/>
        <w:rPr>
          <w:rFonts w:ascii="Calibri" w:hAnsi="Calibri" w:cs="Calibri"/>
          <w:color w:val="000000"/>
          <w:kern w:val="0"/>
          <w:szCs w:val="21"/>
          <w:highlight w:val="none"/>
        </w:rPr>
      </w:pPr>
      <w:r>
        <w:rPr>
          <w:rFonts w:hint="eastAsia" w:ascii="Calibri" w:hAnsi="Calibri" w:cs="Calibri"/>
          <w:color w:val="000000"/>
          <w:kern w:val="0"/>
          <w:szCs w:val="21"/>
          <w:highlight w:val="none"/>
        </w:rPr>
        <w:t>7</w:t>
      </w:r>
      <w:r>
        <w:rPr>
          <w:rFonts w:ascii="Calibri" w:hAnsi="Calibri" w:cs="Calibri"/>
          <w:color w:val="000000"/>
          <w:kern w:val="0"/>
          <w:szCs w:val="21"/>
          <w:highlight w:val="none"/>
        </w:rPr>
        <w:t xml:space="preserve">.2 </w:t>
      </w:r>
      <w:r>
        <w:rPr>
          <w:rFonts w:hint="eastAsia" w:ascii="Calibri" w:hAnsi="Calibri" w:cs="Calibri"/>
          <w:color w:val="000000"/>
          <w:kern w:val="0"/>
          <w:szCs w:val="21"/>
          <w:highlight w:val="none"/>
        </w:rPr>
        <w:t>电气工作：负责周一至周五</w:t>
      </w:r>
      <w:r>
        <w:rPr>
          <w:rFonts w:ascii="Calibri" w:hAnsi="Calibri" w:cs="Calibri"/>
          <w:color w:val="000000"/>
          <w:kern w:val="0"/>
          <w:szCs w:val="21"/>
          <w:highlight w:val="none"/>
        </w:rPr>
        <w:t>16</w:t>
      </w:r>
      <w:r>
        <w:rPr>
          <w:rFonts w:hint="eastAsia" w:ascii="Calibri" w:hAnsi="Calibri" w:cs="Calibri"/>
          <w:color w:val="000000"/>
          <w:kern w:val="0"/>
          <w:szCs w:val="21"/>
          <w:highlight w:val="none"/>
        </w:rPr>
        <w:t>：</w:t>
      </w:r>
      <w:r>
        <w:rPr>
          <w:rFonts w:ascii="Calibri" w:hAnsi="Calibri" w:cs="Calibri"/>
          <w:color w:val="000000"/>
          <w:kern w:val="0"/>
          <w:szCs w:val="21"/>
          <w:highlight w:val="none"/>
        </w:rPr>
        <w:t>30</w:t>
      </w:r>
      <w:r>
        <w:rPr>
          <w:rFonts w:hint="eastAsia" w:ascii="Calibri" w:hAnsi="Calibri" w:cs="Calibri"/>
          <w:color w:val="000000"/>
          <w:kern w:val="0"/>
          <w:szCs w:val="21"/>
          <w:highlight w:val="none"/>
        </w:rPr>
        <w:t>至第二天早上</w:t>
      </w:r>
      <w:r>
        <w:rPr>
          <w:rFonts w:ascii="Calibri" w:hAnsi="Calibri" w:cs="Calibri"/>
          <w:color w:val="000000"/>
          <w:kern w:val="0"/>
          <w:szCs w:val="21"/>
          <w:highlight w:val="none"/>
        </w:rPr>
        <w:t>8</w:t>
      </w:r>
      <w:r>
        <w:rPr>
          <w:rFonts w:hint="eastAsia" w:ascii="Calibri" w:hAnsi="Calibri" w:cs="Calibri"/>
          <w:color w:val="000000"/>
          <w:kern w:val="0"/>
          <w:szCs w:val="21"/>
          <w:highlight w:val="none"/>
        </w:rPr>
        <w:t>：</w:t>
      </w:r>
      <w:r>
        <w:rPr>
          <w:rFonts w:ascii="Calibri" w:hAnsi="Calibri" w:cs="Calibri"/>
          <w:color w:val="000000"/>
          <w:kern w:val="0"/>
          <w:szCs w:val="21"/>
          <w:highlight w:val="none"/>
        </w:rPr>
        <w:t>30</w:t>
      </w:r>
      <w:r>
        <w:rPr>
          <w:rFonts w:hint="eastAsia" w:ascii="Calibri" w:hAnsi="Calibri" w:cs="Calibri"/>
          <w:color w:val="000000"/>
          <w:kern w:val="0"/>
          <w:szCs w:val="21"/>
          <w:highlight w:val="none"/>
        </w:rPr>
        <w:t>；周六日及法定节假日</w:t>
      </w:r>
      <w:r>
        <w:rPr>
          <w:rFonts w:ascii="Calibri" w:hAnsi="Calibri" w:cs="Calibri"/>
          <w:color w:val="000000"/>
          <w:kern w:val="0"/>
          <w:szCs w:val="21"/>
          <w:highlight w:val="none"/>
        </w:rPr>
        <w:t>24</w:t>
      </w:r>
      <w:r>
        <w:rPr>
          <w:rFonts w:hint="eastAsia" w:ascii="Calibri" w:hAnsi="Calibri" w:cs="Calibri"/>
          <w:color w:val="000000"/>
          <w:kern w:val="0"/>
          <w:szCs w:val="21"/>
          <w:highlight w:val="none"/>
        </w:rPr>
        <w:t>小时值班；周一至周五</w:t>
      </w:r>
      <w:r>
        <w:rPr>
          <w:rFonts w:ascii="Calibri" w:hAnsi="Calibri" w:cs="Calibri"/>
          <w:color w:val="000000"/>
          <w:kern w:val="0"/>
          <w:szCs w:val="21"/>
          <w:highlight w:val="none"/>
        </w:rPr>
        <w:t>8</w:t>
      </w:r>
      <w:r>
        <w:rPr>
          <w:rFonts w:hint="eastAsia" w:ascii="Calibri" w:hAnsi="Calibri" w:cs="Calibri"/>
          <w:color w:val="000000"/>
          <w:kern w:val="0"/>
          <w:szCs w:val="21"/>
          <w:highlight w:val="none"/>
        </w:rPr>
        <w:t>：</w:t>
      </w:r>
      <w:r>
        <w:rPr>
          <w:rFonts w:ascii="Calibri" w:hAnsi="Calibri" w:cs="Calibri"/>
          <w:color w:val="000000"/>
          <w:kern w:val="0"/>
          <w:szCs w:val="21"/>
          <w:highlight w:val="none"/>
        </w:rPr>
        <w:t>30</w:t>
      </w:r>
      <w:r>
        <w:rPr>
          <w:rFonts w:hint="eastAsia" w:ascii="Calibri" w:hAnsi="Calibri" w:cs="Calibri"/>
          <w:color w:val="000000"/>
          <w:kern w:val="0"/>
          <w:szCs w:val="21"/>
          <w:highlight w:val="none"/>
        </w:rPr>
        <w:t>至</w:t>
      </w:r>
      <w:r>
        <w:rPr>
          <w:rFonts w:ascii="Calibri" w:hAnsi="Calibri" w:cs="Calibri"/>
          <w:color w:val="000000"/>
          <w:kern w:val="0"/>
          <w:szCs w:val="21"/>
          <w:highlight w:val="none"/>
        </w:rPr>
        <w:t>16</w:t>
      </w:r>
      <w:r>
        <w:rPr>
          <w:rFonts w:hint="eastAsia" w:ascii="Calibri" w:hAnsi="Calibri" w:cs="Calibri"/>
          <w:color w:val="000000"/>
          <w:kern w:val="0"/>
          <w:szCs w:val="21"/>
          <w:highlight w:val="none"/>
        </w:rPr>
        <w:t>：</w:t>
      </w:r>
      <w:r>
        <w:rPr>
          <w:rFonts w:ascii="Calibri" w:hAnsi="Calibri" w:cs="Calibri"/>
          <w:color w:val="000000"/>
          <w:kern w:val="0"/>
          <w:szCs w:val="21"/>
          <w:highlight w:val="none"/>
        </w:rPr>
        <w:t>30</w:t>
      </w:r>
      <w:r>
        <w:rPr>
          <w:rFonts w:hint="eastAsia" w:ascii="Calibri" w:hAnsi="Calibri" w:cs="Calibri"/>
          <w:color w:val="000000"/>
          <w:kern w:val="0"/>
          <w:szCs w:val="21"/>
          <w:highlight w:val="none"/>
        </w:rPr>
        <w:t>至少</w:t>
      </w:r>
      <w:r>
        <w:rPr>
          <w:rFonts w:ascii="Calibri" w:hAnsi="Calibri" w:cs="Calibri"/>
          <w:color w:val="000000"/>
          <w:kern w:val="0"/>
          <w:szCs w:val="21"/>
          <w:highlight w:val="none"/>
        </w:rPr>
        <w:t>1</w:t>
      </w:r>
      <w:r>
        <w:rPr>
          <w:rFonts w:hint="eastAsia" w:ascii="Calibri" w:hAnsi="Calibri" w:cs="Calibri"/>
          <w:color w:val="000000"/>
          <w:kern w:val="0"/>
          <w:szCs w:val="21"/>
          <w:highlight w:val="none"/>
        </w:rPr>
        <w:t>人协助甲方工作人员执行加气生产线、脱硫系统、分选系统、恒益电厂灰库、排渣系统的电气维修（包括保养、日常检修、应急抢修、安全整改、停产检修）、技术改造工作。</w:t>
      </w:r>
    </w:p>
    <w:p>
      <w:pPr>
        <w:spacing w:line="360" w:lineRule="auto"/>
        <w:ind w:firstLine="420" w:firstLineChars="200"/>
        <w:rPr>
          <w:rFonts w:asciiTheme="minorEastAsia" w:hAnsiTheme="minorEastAsia" w:eastAsiaTheme="minorEastAsia"/>
          <w:szCs w:val="21"/>
          <w:highlight w:val="none"/>
        </w:rPr>
      </w:pPr>
      <w:r>
        <w:rPr>
          <w:rFonts w:hint="eastAsia" w:cs="Calibri" w:asciiTheme="minorEastAsia" w:hAnsiTheme="minorEastAsia" w:eastAsiaTheme="minorEastAsia"/>
          <w:color w:val="000000"/>
          <w:kern w:val="0"/>
          <w:szCs w:val="21"/>
          <w:highlight w:val="none"/>
        </w:rPr>
        <w:t>7</w:t>
      </w:r>
      <w:r>
        <w:rPr>
          <w:rFonts w:cs="Calibri" w:asciiTheme="minorEastAsia" w:hAnsiTheme="minorEastAsia" w:eastAsiaTheme="minorEastAsia"/>
          <w:color w:val="000000"/>
          <w:kern w:val="0"/>
          <w:szCs w:val="21"/>
          <w:highlight w:val="none"/>
        </w:rPr>
        <w:t xml:space="preserve">.3 </w:t>
      </w:r>
      <w:r>
        <w:rPr>
          <w:rFonts w:hint="eastAsia" w:cs="Calibri" w:asciiTheme="minorEastAsia" w:hAnsiTheme="minorEastAsia" w:eastAsiaTheme="minorEastAsia"/>
          <w:color w:val="000000"/>
          <w:kern w:val="0"/>
          <w:szCs w:val="21"/>
          <w:highlight w:val="none"/>
        </w:rPr>
        <w:t>建议</w:t>
      </w:r>
      <w:r>
        <w:rPr>
          <w:rFonts w:hint="eastAsia" w:asciiTheme="minorEastAsia" w:hAnsiTheme="minorEastAsia" w:eastAsiaTheme="minorEastAsia"/>
          <w:szCs w:val="21"/>
          <w:highlight w:val="none"/>
        </w:rPr>
        <w:t>机务检修人员</w:t>
      </w:r>
      <w:r>
        <w:rPr>
          <w:rFonts w:asciiTheme="minorEastAsia" w:hAnsiTheme="minorEastAsia" w:eastAsiaTheme="minorEastAsia"/>
          <w:szCs w:val="21"/>
          <w:highlight w:val="none"/>
        </w:rPr>
        <w:t>2人，须具有2年以上设备维修经验且熟悉机务检修工作，其中持有效焊工证的不少于2人，焊工人员熟悉各种环境下作业，有一定焊接水平。45岁以下，男性，吃苦耐劳，身体健康，具备高空、高温作业的身体素质。</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7</w:t>
      </w:r>
      <w:r>
        <w:rPr>
          <w:rFonts w:asciiTheme="minorEastAsia" w:hAnsiTheme="minorEastAsia" w:eastAsiaTheme="minorEastAsia"/>
          <w:szCs w:val="21"/>
          <w:highlight w:val="none"/>
        </w:rPr>
        <w:t>.4</w:t>
      </w:r>
      <w:r>
        <w:rPr>
          <w:rFonts w:hint="eastAsia" w:asciiTheme="minorEastAsia" w:hAnsiTheme="minorEastAsia" w:eastAsiaTheme="minorEastAsia"/>
          <w:szCs w:val="21"/>
          <w:highlight w:val="none"/>
        </w:rPr>
        <w:t>建议</w:t>
      </w:r>
      <w:r>
        <w:rPr>
          <w:rFonts w:hint="eastAsia" w:cs="Calibri" w:asciiTheme="minorEastAsia" w:hAnsiTheme="minorEastAsia" w:eastAsiaTheme="minorEastAsia"/>
          <w:kern w:val="0"/>
          <w:szCs w:val="21"/>
          <w:highlight w:val="none"/>
        </w:rPr>
        <w:t>电气检修人员</w:t>
      </w:r>
      <w:r>
        <w:rPr>
          <w:rFonts w:cs="Calibri" w:asciiTheme="minorEastAsia" w:hAnsiTheme="minorEastAsia" w:eastAsiaTheme="minorEastAsia"/>
          <w:kern w:val="0"/>
          <w:szCs w:val="21"/>
          <w:highlight w:val="none"/>
        </w:rPr>
        <w:t>4</w:t>
      </w:r>
      <w:r>
        <w:rPr>
          <w:rFonts w:hint="eastAsia" w:cs="Calibri" w:asciiTheme="minorEastAsia" w:hAnsiTheme="minorEastAsia" w:eastAsiaTheme="minorEastAsia"/>
          <w:kern w:val="0"/>
          <w:szCs w:val="21"/>
          <w:highlight w:val="none"/>
        </w:rPr>
        <w:t>人，须</w:t>
      </w:r>
      <w:r>
        <w:rPr>
          <w:rFonts w:hint="eastAsia" w:asciiTheme="minorEastAsia" w:hAnsiTheme="minorEastAsia" w:eastAsiaTheme="minorEastAsia"/>
          <w:szCs w:val="21"/>
          <w:highlight w:val="none"/>
        </w:rPr>
        <w:t>具有</w:t>
      </w:r>
      <w:r>
        <w:rPr>
          <w:rFonts w:asciiTheme="minorEastAsia" w:hAnsiTheme="minorEastAsia" w:eastAsiaTheme="minorEastAsia"/>
          <w:szCs w:val="21"/>
          <w:highlight w:val="none"/>
        </w:rPr>
        <w:t>3年以上电气维修经验且熟悉电气检修工作，持电气维修</w:t>
      </w:r>
      <w:r>
        <w:rPr>
          <w:rFonts w:hint="eastAsia" w:asciiTheme="minorEastAsia" w:hAnsiTheme="minorEastAsia" w:eastAsiaTheme="minorEastAsia"/>
          <w:szCs w:val="21"/>
          <w:highlight w:val="none"/>
        </w:rPr>
        <w:t>作业上岗证，熟悉常规动力、照明设备维修；了解常用开关、仪表、</w:t>
      </w:r>
      <w:r>
        <w:rPr>
          <w:rFonts w:asciiTheme="minorEastAsia" w:hAnsiTheme="minorEastAsia" w:eastAsiaTheme="minorEastAsia"/>
          <w:szCs w:val="21"/>
          <w:highlight w:val="none"/>
        </w:rPr>
        <w:t>PLC、变频器工作原理。50岁以下，身体健康，具备高空、高温作业的身体素质。需要上夜班。</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7.5 除公司明确春节放假设备检修辅助业务人员可以减少配置外，其余时间机务检修人员在每天12小时内，不少于4人。</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7.6 因夜班抢修，影响第二天人员上班的，乙方需要采取增加人员或其他有效措施保证甲方正常生产。</w:t>
      </w:r>
    </w:p>
    <w:p>
      <w:pPr>
        <w:spacing w:line="360" w:lineRule="auto"/>
        <w:ind w:firstLine="420" w:firstLineChars="200"/>
        <w:rPr>
          <w:rFonts w:asciiTheme="minorEastAsia" w:hAnsiTheme="minorEastAsia" w:eastAsiaTheme="minorEastAsia"/>
          <w:szCs w:val="21"/>
          <w:highlight w:val="none"/>
        </w:rPr>
      </w:pPr>
    </w:p>
    <w:p>
      <w:pPr>
        <w:spacing w:line="360" w:lineRule="auto"/>
        <w:ind w:firstLine="420" w:firstLineChars="200"/>
        <w:rPr>
          <w:rFonts w:asciiTheme="minorEastAsia" w:hAnsiTheme="minorEastAsia" w:eastAsiaTheme="minorEastAsia"/>
          <w:szCs w:val="21"/>
          <w:highlight w:val="none"/>
        </w:rPr>
      </w:pPr>
    </w:p>
    <w:p>
      <w:pPr>
        <w:spacing w:line="360" w:lineRule="auto"/>
        <w:ind w:firstLine="420" w:firstLineChars="200"/>
        <w:rPr>
          <w:rFonts w:asciiTheme="minorEastAsia" w:hAnsiTheme="minorEastAsia" w:eastAsiaTheme="minorEastAsia"/>
          <w:szCs w:val="21"/>
          <w:highlight w:val="none"/>
        </w:rPr>
      </w:pPr>
    </w:p>
    <w:p>
      <w:pPr>
        <w:spacing w:line="360" w:lineRule="auto"/>
        <w:ind w:firstLine="420" w:firstLineChars="200"/>
        <w:rPr>
          <w:rFonts w:asciiTheme="minorEastAsia" w:hAnsiTheme="minorEastAsia" w:eastAsiaTheme="minorEastAsia"/>
          <w:szCs w:val="21"/>
          <w:highlight w:val="none"/>
        </w:rPr>
      </w:pPr>
    </w:p>
    <w:p>
      <w:pPr>
        <w:spacing w:line="360" w:lineRule="auto"/>
        <w:ind w:firstLine="420" w:firstLineChars="200"/>
        <w:rPr>
          <w:rFonts w:asciiTheme="minorEastAsia" w:hAnsiTheme="minorEastAsia" w:eastAsiaTheme="minorEastAsia"/>
          <w:szCs w:val="21"/>
          <w:highlight w:val="none"/>
        </w:rPr>
      </w:pPr>
    </w:p>
    <w:p>
      <w:pPr>
        <w:spacing w:line="360" w:lineRule="auto"/>
        <w:ind w:firstLine="420" w:firstLineChars="200"/>
        <w:rPr>
          <w:rFonts w:asciiTheme="minorEastAsia" w:hAnsiTheme="minorEastAsia" w:eastAsiaTheme="minorEastAsia"/>
          <w:szCs w:val="21"/>
          <w:highlight w:val="none"/>
        </w:rPr>
      </w:pPr>
    </w:p>
    <w:p>
      <w:pPr>
        <w:spacing w:line="360" w:lineRule="auto"/>
        <w:rPr>
          <w:rFonts w:asciiTheme="minorEastAsia" w:hAnsiTheme="minorEastAsia" w:eastAsiaTheme="minorEastAsia"/>
          <w:szCs w:val="21"/>
          <w:highlight w:val="none"/>
        </w:rPr>
      </w:pPr>
    </w:p>
    <w:p>
      <w:pPr>
        <w:spacing w:line="360" w:lineRule="auto"/>
        <w:ind w:firstLine="420" w:firstLineChars="200"/>
        <w:rPr>
          <w:rFonts w:asciiTheme="minorEastAsia" w:hAnsiTheme="minorEastAsia" w:eastAsiaTheme="minorEastAsia"/>
          <w:szCs w:val="21"/>
          <w:highlight w:val="none"/>
        </w:rPr>
      </w:pPr>
    </w:p>
    <w:p>
      <w:pPr>
        <w:spacing w:line="360" w:lineRule="auto"/>
        <w:ind w:firstLine="420" w:firstLineChars="200"/>
        <w:rPr>
          <w:rFonts w:asciiTheme="minorEastAsia" w:hAnsiTheme="minorEastAsia" w:eastAsiaTheme="minorEastAsia"/>
          <w:szCs w:val="21"/>
          <w:highlight w:val="none"/>
        </w:rPr>
      </w:pPr>
    </w:p>
    <w:p>
      <w:pPr>
        <w:spacing w:line="360" w:lineRule="auto"/>
        <w:rPr>
          <w:rFonts w:asciiTheme="minorEastAsia" w:hAnsiTheme="minorEastAsia" w:eastAsiaTheme="minorEastAsia"/>
          <w:szCs w:val="21"/>
          <w:highlight w:val="none"/>
        </w:rPr>
      </w:pPr>
    </w:p>
    <w:p>
      <w:pPr>
        <w:ind w:firstLine="3268" w:firstLineChars="1550"/>
        <w:jc w:val="left"/>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辅助业务工作量估算表</w:t>
      </w:r>
    </w:p>
    <w:tbl>
      <w:tblPr>
        <w:tblStyle w:val="42"/>
        <w:tblW w:w="8272"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1"/>
        <w:gridCol w:w="3082"/>
        <w:gridCol w:w="1588"/>
        <w:gridCol w:w="28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771" w:type="dxa"/>
            <w:vAlign w:val="center"/>
          </w:tcPr>
          <w:p>
            <w:pPr>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序号</w:t>
            </w:r>
          </w:p>
        </w:tc>
        <w:tc>
          <w:tcPr>
            <w:tcW w:w="3082" w:type="dxa"/>
          </w:tcPr>
          <w:p>
            <w:pPr>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辅助业务内容</w:t>
            </w:r>
          </w:p>
        </w:tc>
        <w:tc>
          <w:tcPr>
            <w:tcW w:w="1588"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工作量</w:t>
            </w:r>
          </w:p>
        </w:tc>
        <w:tc>
          <w:tcPr>
            <w:tcW w:w="2831"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备注（建议至少配置人员）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1</w:t>
            </w:r>
          </w:p>
        </w:tc>
        <w:tc>
          <w:tcPr>
            <w:tcW w:w="3082"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发货辅助业务</w:t>
            </w:r>
          </w:p>
        </w:tc>
        <w:tc>
          <w:tcPr>
            <w:tcW w:w="1588"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w:t>
            </w:r>
            <w:r>
              <w:rPr>
                <w:rFonts w:asciiTheme="minorEastAsia" w:hAnsiTheme="minorEastAsia" w:eastAsiaTheme="minorEastAsia"/>
                <w:szCs w:val="21"/>
                <w:highlight w:val="none"/>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2</w:t>
            </w:r>
          </w:p>
        </w:tc>
        <w:tc>
          <w:tcPr>
            <w:tcW w:w="3082" w:type="dxa"/>
            <w:vAlign w:val="center"/>
          </w:tcPr>
          <w:p>
            <w:pP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叉运辅助业务</w:t>
            </w:r>
          </w:p>
        </w:tc>
        <w:tc>
          <w:tcPr>
            <w:tcW w:w="1588" w:type="dxa"/>
            <w:vAlign w:val="center"/>
          </w:tcPr>
          <w:p>
            <w:pP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8人（负责叉车</w:t>
            </w:r>
            <w:r>
              <w:rPr>
                <w:rFonts w:hint="eastAsia" w:asciiTheme="minorEastAsia" w:hAnsiTheme="minorEastAsia" w:eastAsiaTheme="minorEastAsia"/>
                <w:szCs w:val="21"/>
                <w:highlight w:val="none"/>
              </w:rPr>
              <w:t>定期维护保养及维修工作。</w:t>
            </w:r>
            <w:r>
              <w:rPr>
                <w:rFonts w:asciiTheme="minorEastAsia" w:hAnsiTheme="minorEastAsia" w:eastAsiaTheme="minorEastAsia"/>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3</w:t>
            </w:r>
          </w:p>
        </w:tc>
        <w:tc>
          <w:tcPr>
            <w:tcW w:w="3082"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质检辅助业务（内检）</w:t>
            </w:r>
          </w:p>
        </w:tc>
        <w:tc>
          <w:tcPr>
            <w:tcW w:w="1588"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w:t>
            </w:r>
            <w:r>
              <w:rPr>
                <w:rFonts w:asciiTheme="minorEastAsia" w:hAnsiTheme="minorEastAsia" w:eastAsiaTheme="minorEastAsia"/>
                <w:szCs w:val="21"/>
                <w:highlight w:val="none"/>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4</w:t>
            </w:r>
          </w:p>
        </w:tc>
        <w:tc>
          <w:tcPr>
            <w:tcW w:w="3082"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质检辅助业务（外检）</w:t>
            </w:r>
          </w:p>
        </w:tc>
        <w:tc>
          <w:tcPr>
            <w:tcW w:w="1588"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5</w:t>
            </w:r>
          </w:p>
        </w:tc>
        <w:tc>
          <w:tcPr>
            <w:tcW w:w="3082"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锯场辅助业务</w:t>
            </w:r>
          </w:p>
        </w:tc>
        <w:tc>
          <w:tcPr>
            <w:tcW w:w="1588"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1人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6</w:t>
            </w:r>
          </w:p>
        </w:tc>
        <w:tc>
          <w:tcPr>
            <w:tcW w:w="3082"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磨房制浆辅助业务</w:t>
            </w:r>
          </w:p>
        </w:tc>
        <w:tc>
          <w:tcPr>
            <w:tcW w:w="1588"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6人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7</w:t>
            </w:r>
          </w:p>
        </w:tc>
        <w:tc>
          <w:tcPr>
            <w:tcW w:w="3082"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铝粉制浆辅助业务</w:t>
            </w:r>
          </w:p>
        </w:tc>
        <w:tc>
          <w:tcPr>
            <w:tcW w:w="1588"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8</w:t>
            </w:r>
          </w:p>
        </w:tc>
        <w:tc>
          <w:tcPr>
            <w:tcW w:w="3082"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静停辅助业务</w:t>
            </w:r>
          </w:p>
        </w:tc>
        <w:tc>
          <w:tcPr>
            <w:tcW w:w="1588"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jc w:val="left"/>
              <w:rPr>
                <w:rFonts w:asciiTheme="minorEastAsia" w:hAnsiTheme="minorEastAsia" w:eastAsiaTheme="minorEastAsia"/>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9</w:t>
            </w:r>
          </w:p>
        </w:tc>
        <w:tc>
          <w:tcPr>
            <w:tcW w:w="3082"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涂刷辅助业务</w:t>
            </w:r>
          </w:p>
        </w:tc>
        <w:tc>
          <w:tcPr>
            <w:tcW w:w="1588"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10</w:t>
            </w:r>
          </w:p>
        </w:tc>
        <w:tc>
          <w:tcPr>
            <w:tcW w:w="3082"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翻转辅助业务</w:t>
            </w:r>
          </w:p>
        </w:tc>
        <w:tc>
          <w:tcPr>
            <w:tcW w:w="1588"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11</w:t>
            </w:r>
          </w:p>
        </w:tc>
        <w:tc>
          <w:tcPr>
            <w:tcW w:w="3082"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切割辅助业务</w:t>
            </w:r>
          </w:p>
        </w:tc>
        <w:tc>
          <w:tcPr>
            <w:tcW w:w="1588"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12</w:t>
            </w:r>
          </w:p>
        </w:tc>
        <w:tc>
          <w:tcPr>
            <w:tcW w:w="3082"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地翻台辅助业务</w:t>
            </w:r>
          </w:p>
        </w:tc>
        <w:tc>
          <w:tcPr>
            <w:tcW w:w="1588"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13</w:t>
            </w:r>
          </w:p>
        </w:tc>
        <w:tc>
          <w:tcPr>
            <w:tcW w:w="3082"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蒸养辅助业务</w:t>
            </w:r>
          </w:p>
        </w:tc>
        <w:tc>
          <w:tcPr>
            <w:tcW w:w="1588"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14</w:t>
            </w:r>
          </w:p>
        </w:tc>
        <w:tc>
          <w:tcPr>
            <w:tcW w:w="3082"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半成品翻转吊运辅助业务</w:t>
            </w:r>
          </w:p>
        </w:tc>
        <w:tc>
          <w:tcPr>
            <w:tcW w:w="1588"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15</w:t>
            </w:r>
          </w:p>
        </w:tc>
        <w:tc>
          <w:tcPr>
            <w:tcW w:w="3082"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半成品切割辅助业务</w:t>
            </w:r>
          </w:p>
        </w:tc>
        <w:tc>
          <w:tcPr>
            <w:tcW w:w="1588"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16</w:t>
            </w:r>
          </w:p>
        </w:tc>
        <w:tc>
          <w:tcPr>
            <w:tcW w:w="3082"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半成品堆垛及地翻辅助业务</w:t>
            </w:r>
          </w:p>
        </w:tc>
        <w:tc>
          <w:tcPr>
            <w:tcW w:w="1588"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17</w:t>
            </w:r>
          </w:p>
        </w:tc>
        <w:tc>
          <w:tcPr>
            <w:tcW w:w="3082"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成品分垛及分掰辅助业务</w:t>
            </w:r>
          </w:p>
        </w:tc>
        <w:tc>
          <w:tcPr>
            <w:tcW w:w="1588"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18</w:t>
            </w:r>
          </w:p>
        </w:tc>
        <w:tc>
          <w:tcPr>
            <w:tcW w:w="3082"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成品夹坯吊运辅助业务</w:t>
            </w:r>
          </w:p>
        </w:tc>
        <w:tc>
          <w:tcPr>
            <w:tcW w:w="1588"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hint="eastAsia" w:ascii="宋体" w:hAnsi="宋体"/>
                <w:szCs w:val="21"/>
                <w:highlight w:val="none"/>
              </w:rPr>
              <w:t>19</w:t>
            </w:r>
          </w:p>
        </w:tc>
        <w:tc>
          <w:tcPr>
            <w:tcW w:w="3082" w:type="dxa"/>
          </w:tcPr>
          <w:p>
            <w:pPr>
              <w:jc w:val="left"/>
              <w:rPr>
                <w:rFonts w:asciiTheme="minorEastAsia" w:hAnsiTheme="minorEastAsia" w:eastAsiaTheme="minorEastAsia"/>
                <w:szCs w:val="21"/>
                <w:highlight w:val="none"/>
              </w:rPr>
            </w:pPr>
            <w:r>
              <w:rPr>
                <w:rFonts w:hint="eastAsia" w:ascii="宋体" w:hAnsi="宋体"/>
                <w:szCs w:val="21"/>
                <w:highlight w:val="none"/>
              </w:rPr>
              <w:t>产品套袋及手动打包辅助业务</w:t>
            </w:r>
          </w:p>
        </w:tc>
        <w:tc>
          <w:tcPr>
            <w:tcW w:w="1588" w:type="dxa"/>
          </w:tcPr>
          <w:p>
            <w:pPr>
              <w:jc w:val="left"/>
              <w:rPr>
                <w:rFonts w:asciiTheme="minorEastAsia" w:hAnsiTheme="minorEastAsia" w:eastAsiaTheme="minorEastAsia"/>
                <w:szCs w:val="21"/>
                <w:highlight w:val="none"/>
              </w:rPr>
            </w:pPr>
            <w:r>
              <w:rPr>
                <w:rFonts w:hint="eastAsia" w:ascii="宋体" w:hAnsi="宋体"/>
                <w:szCs w:val="21"/>
                <w:highlight w:val="none"/>
              </w:rPr>
              <w:t>一项</w:t>
            </w:r>
          </w:p>
        </w:tc>
        <w:tc>
          <w:tcPr>
            <w:tcW w:w="2831" w:type="dxa"/>
          </w:tcPr>
          <w:p>
            <w:pPr>
              <w:jc w:val="left"/>
              <w:rPr>
                <w:rFonts w:asciiTheme="minorEastAsia" w:hAnsiTheme="minorEastAsia" w:eastAsiaTheme="minorEastAsia"/>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hint="eastAsia" w:ascii="宋体" w:hAnsi="宋体"/>
                <w:szCs w:val="21"/>
                <w:highlight w:val="none"/>
              </w:rPr>
              <w:t>20</w:t>
            </w:r>
          </w:p>
        </w:tc>
        <w:tc>
          <w:tcPr>
            <w:tcW w:w="3082" w:type="dxa"/>
          </w:tcPr>
          <w:p>
            <w:pPr>
              <w:jc w:val="left"/>
              <w:rPr>
                <w:rFonts w:asciiTheme="minorEastAsia" w:hAnsiTheme="minorEastAsia" w:eastAsiaTheme="minorEastAsia"/>
                <w:szCs w:val="21"/>
                <w:highlight w:val="none"/>
              </w:rPr>
            </w:pPr>
            <w:r>
              <w:rPr>
                <w:rFonts w:hint="eastAsia" w:ascii="宋体" w:hAnsi="宋体"/>
                <w:szCs w:val="21"/>
                <w:highlight w:val="none"/>
              </w:rPr>
              <w:t>生产原材料配料及周转辅助业务</w:t>
            </w:r>
          </w:p>
        </w:tc>
        <w:tc>
          <w:tcPr>
            <w:tcW w:w="1588" w:type="dxa"/>
          </w:tcPr>
          <w:p>
            <w:pPr>
              <w:jc w:val="left"/>
              <w:rPr>
                <w:rFonts w:asciiTheme="minorEastAsia" w:hAnsiTheme="minorEastAsia" w:eastAsiaTheme="minorEastAsia"/>
                <w:szCs w:val="21"/>
                <w:highlight w:val="none"/>
              </w:rPr>
            </w:pPr>
            <w:r>
              <w:rPr>
                <w:rFonts w:hint="eastAsia" w:ascii="宋体" w:hAnsi="宋体"/>
                <w:szCs w:val="21"/>
                <w:highlight w:val="none"/>
              </w:rPr>
              <w:t>一项</w:t>
            </w:r>
          </w:p>
        </w:tc>
        <w:tc>
          <w:tcPr>
            <w:tcW w:w="2831" w:type="dxa"/>
          </w:tcPr>
          <w:p>
            <w:pPr>
              <w:jc w:val="left"/>
              <w:rPr>
                <w:rFonts w:asciiTheme="minorEastAsia" w:hAnsiTheme="minorEastAsia" w:eastAsiaTheme="minorEastAsia"/>
                <w:szCs w:val="21"/>
                <w:highlight w:val="none"/>
              </w:rPr>
            </w:pPr>
            <w:r>
              <w:rPr>
                <w:rFonts w:hint="eastAsia" w:ascii="宋体" w:hAnsi="宋体"/>
                <w:szCs w:val="21"/>
                <w:highlight w:val="none"/>
              </w:rPr>
              <w:t>2人（自配备铲车一台）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ascii="宋体" w:hAnsi="宋体"/>
                <w:szCs w:val="21"/>
                <w:highlight w:val="none"/>
              </w:rPr>
              <w:t>21</w:t>
            </w:r>
          </w:p>
        </w:tc>
        <w:tc>
          <w:tcPr>
            <w:tcW w:w="3082" w:type="dxa"/>
          </w:tcPr>
          <w:p>
            <w:pPr>
              <w:jc w:val="left"/>
              <w:rPr>
                <w:rFonts w:asciiTheme="minorEastAsia" w:hAnsiTheme="minorEastAsia" w:eastAsiaTheme="minorEastAsia"/>
                <w:szCs w:val="21"/>
                <w:highlight w:val="none"/>
              </w:rPr>
            </w:pPr>
            <w:r>
              <w:rPr>
                <w:rFonts w:hint="eastAsia" w:ascii="宋体" w:hAnsi="宋体"/>
                <w:szCs w:val="21"/>
                <w:highlight w:val="none"/>
              </w:rPr>
              <w:t>设备操作机动人员</w:t>
            </w:r>
          </w:p>
        </w:tc>
        <w:tc>
          <w:tcPr>
            <w:tcW w:w="1588" w:type="dxa"/>
          </w:tcPr>
          <w:p>
            <w:pPr>
              <w:jc w:val="left"/>
              <w:rPr>
                <w:rFonts w:asciiTheme="minorEastAsia" w:hAnsiTheme="minorEastAsia" w:eastAsiaTheme="minorEastAsia"/>
                <w:szCs w:val="21"/>
                <w:highlight w:val="none"/>
              </w:rPr>
            </w:pPr>
            <w:r>
              <w:rPr>
                <w:rFonts w:hint="eastAsia" w:ascii="宋体" w:hAnsi="宋体"/>
                <w:szCs w:val="21"/>
                <w:highlight w:val="none"/>
              </w:rPr>
              <w:t>一项</w:t>
            </w:r>
          </w:p>
        </w:tc>
        <w:tc>
          <w:tcPr>
            <w:tcW w:w="2831" w:type="dxa"/>
          </w:tcPr>
          <w:p>
            <w:pPr>
              <w:jc w:val="left"/>
              <w:rPr>
                <w:rFonts w:asciiTheme="minorEastAsia" w:hAnsiTheme="minorEastAsia" w:eastAsiaTheme="minorEastAsia"/>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22</w:t>
            </w:r>
          </w:p>
        </w:tc>
        <w:tc>
          <w:tcPr>
            <w:tcW w:w="3082"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成品分拣辅助业务</w:t>
            </w:r>
          </w:p>
        </w:tc>
        <w:tc>
          <w:tcPr>
            <w:tcW w:w="1588"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8人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23</w:t>
            </w:r>
          </w:p>
        </w:tc>
        <w:tc>
          <w:tcPr>
            <w:tcW w:w="3082"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现场管理业务</w:t>
            </w:r>
          </w:p>
        </w:tc>
        <w:tc>
          <w:tcPr>
            <w:tcW w:w="1588"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24</w:t>
            </w:r>
          </w:p>
        </w:tc>
        <w:tc>
          <w:tcPr>
            <w:tcW w:w="3082"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其它辅助业务</w:t>
            </w:r>
          </w:p>
        </w:tc>
        <w:tc>
          <w:tcPr>
            <w:tcW w:w="1588"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jc w:val="left"/>
              <w:rPr>
                <w:rFonts w:asciiTheme="minorEastAsia" w:hAnsiTheme="minorEastAsia" w:eastAsiaTheme="minorEastAsia"/>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hint="eastAsia" w:ascii="宋体" w:hAnsi="宋体"/>
                <w:szCs w:val="21"/>
                <w:highlight w:val="none"/>
              </w:rPr>
              <w:t>25</w:t>
            </w:r>
          </w:p>
        </w:tc>
        <w:tc>
          <w:tcPr>
            <w:tcW w:w="3082" w:type="dxa"/>
          </w:tcPr>
          <w:p>
            <w:pPr>
              <w:jc w:val="left"/>
              <w:rPr>
                <w:rFonts w:asciiTheme="minorEastAsia" w:hAnsiTheme="minorEastAsia" w:eastAsiaTheme="minorEastAsia"/>
                <w:szCs w:val="21"/>
                <w:highlight w:val="none"/>
              </w:rPr>
            </w:pPr>
            <w:r>
              <w:rPr>
                <w:rFonts w:hint="eastAsia" w:ascii="宋体" w:hAnsi="宋体"/>
                <w:szCs w:val="21"/>
                <w:highlight w:val="none"/>
              </w:rPr>
              <w:t>车间、道路、货场卫生业务</w:t>
            </w:r>
          </w:p>
        </w:tc>
        <w:tc>
          <w:tcPr>
            <w:tcW w:w="1588" w:type="dxa"/>
          </w:tcPr>
          <w:p>
            <w:pPr>
              <w:jc w:val="left"/>
              <w:rPr>
                <w:rFonts w:asciiTheme="minorEastAsia" w:hAnsiTheme="minorEastAsia" w:eastAsiaTheme="minorEastAsia"/>
                <w:szCs w:val="21"/>
                <w:highlight w:val="none"/>
              </w:rPr>
            </w:pPr>
            <w:r>
              <w:rPr>
                <w:rFonts w:hint="eastAsia" w:ascii="宋体" w:hAnsi="宋体"/>
                <w:szCs w:val="21"/>
                <w:highlight w:val="none"/>
              </w:rPr>
              <w:t>一项</w:t>
            </w:r>
          </w:p>
        </w:tc>
        <w:tc>
          <w:tcPr>
            <w:tcW w:w="2831" w:type="dxa"/>
          </w:tcPr>
          <w:p>
            <w:pPr>
              <w:jc w:val="left"/>
              <w:rPr>
                <w:rFonts w:asciiTheme="minorEastAsia" w:hAnsiTheme="minorEastAsia" w:eastAsiaTheme="minorEastAsia"/>
                <w:szCs w:val="21"/>
                <w:highlight w:val="none"/>
              </w:rPr>
            </w:pPr>
            <w:r>
              <w:rPr>
                <w:rFonts w:hint="eastAsia" w:ascii="宋体" w:hAnsi="宋体"/>
                <w:szCs w:val="21"/>
                <w:highlight w:val="none"/>
              </w:rPr>
              <w:t>3人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3" w:hRule="atLeast"/>
        </w:trPr>
        <w:tc>
          <w:tcPr>
            <w:tcW w:w="771" w:type="dxa"/>
            <w:vAlign w:val="center"/>
          </w:tcPr>
          <w:p>
            <w:pPr>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26</w:t>
            </w:r>
          </w:p>
        </w:tc>
        <w:tc>
          <w:tcPr>
            <w:tcW w:w="3082" w:type="dxa"/>
            <w:vAlign w:val="center"/>
          </w:tcPr>
          <w:p>
            <w:pP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各业务区域卫生清洁及零星辅助业务</w:t>
            </w:r>
          </w:p>
        </w:tc>
        <w:tc>
          <w:tcPr>
            <w:tcW w:w="1588" w:type="dxa"/>
            <w:vAlign w:val="center"/>
          </w:tcPr>
          <w:p>
            <w:pP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widowControl/>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配备工具等，自行安排（见各业务区域卫生清洁及零星辅助业务的主要内容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trPr>
        <w:tc>
          <w:tcPr>
            <w:tcW w:w="771" w:type="dxa"/>
            <w:vAlign w:val="center"/>
          </w:tcPr>
          <w:p>
            <w:pPr>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2</w:t>
            </w:r>
            <w:r>
              <w:rPr>
                <w:rFonts w:hint="eastAsia" w:asciiTheme="minorEastAsia" w:hAnsiTheme="minorEastAsia" w:eastAsiaTheme="minorEastAsia"/>
                <w:szCs w:val="21"/>
                <w:highlight w:val="none"/>
              </w:rPr>
              <w:t>7</w:t>
            </w:r>
          </w:p>
        </w:tc>
        <w:tc>
          <w:tcPr>
            <w:tcW w:w="3082" w:type="dxa"/>
            <w:vAlign w:val="center"/>
          </w:tcPr>
          <w:p>
            <w:pPr>
              <w:rPr>
                <w:rFonts w:asciiTheme="minorEastAsia" w:hAnsiTheme="minorEastAsia" w:eastAsiaTheme="minorEastAsia"/>
                <w:szCs w:val="21"/>
                <w:highlight w:val="none"/>
              </w:rPr>
            </w:pPr>
            <w:r>
              <w:rPr>
                <w:rFonts w:asciiTheme="minorEastAsia" w:hAnsiTheme="minorEastAsia" w:eastAsiaTheme="minorEastAsia"/>
                <w:szCs w:val="21"/>
                <w:highlight w:val="none"/>
              </w:rPr>
              <w:t>炉渣、脱硫石膏</w:t>
            </w:r>
            <w:r>
              <w:rPr>
                <w:rFonts w:hint="eastAsia" w:asciiTheme="minorEastAsia" w:hAnsiTheme="minorEastAsia" w:eastAsiaTheme="minorEastAsia"/>
                <w:szCs w:val="21"/>
                <w:highlight w:val="none"/>
              </w:rPr>
              <w:t>业务</w:t>
            </w:r>
          </w:p>
        </w:tc>
        <w:tc>
          <w:tcPr>
            <w:tcW w:w="1588" w:type="dxa"/>
            <w:vAlign w:val="center"/>
          </w:tcPr>
          <w:p>
            <w:pP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widowControl/>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每年约</w:t>
            </w:r>
            <w:r>
              <w:rPr>
                <w:rFonts w:asciiTheme="minorEastAsia" w:hAnsiTheme="minorEastAsia" w:eastAsiaTheme="minorEastAsia"/>
                <w:szCs w:val="21"/>
                <w:highlight w:val="none"/>
              </w:rPr>
              <w:t>1.65万吨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9" w:hRule="atLeast"/>
        </w:trPr>
        <w:tc>
          <w:tcPr>
            <w:tcW w:w="771" w:type="dxa"/>
            <w:vAlign w:val="center"/>
          </w:tcPr>
          <w:p>
            <w:pPr>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28</w:t>
            </w:r>
          </w:p>
        </w:tc>
        <w:tc>
          <w:tcPr>
            <w:tcW w:w="3082" w:type="dxa"/>
            <w:vAlign w:val="center"/>
          </w:tcPr>
          <w:p>
            <w:pPr>
              <w:rPr>
                <w:rFonts w:asciiTheme="minorEastAsia" w:hAnsiTheme="minorEastAsia" w:eastAsiaTheme="minorEastAsia"/>
                <w:szCs w:val="21"/>
                <w:highlight w:val="none"/>
              </w:rPr>
            </w:pPr>
            <w:r>
              <w:rPr>
                <w:rFonts w:hint="eastAsia" w:ascii="宋体" w:hAnsi="宋体" w:cs="仿宋_GB2312"/>
                <w:bCs/>
                <w:szCs w:val="21"/>
                <w:highlight w:val="none"/>
              </w:rPr>
              <w:t>设备检修辅助业务</w:t>
            </w:r>
          </w:p>
        </w:tc>
        <w:tc>
          <w:tcPr>
            <w:tcW w:w="1588" w:type="dxa"/>
            <w:vAlign w:val="center"/>
          </w:tcPr>
          <w:p>
            <w:pP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widowControl/>
              <w:rPr>
                <w:rFonts w:asciiTheme="minorEastAsia" w:hAnsiTheme="minorEastAsia" w:eastAsiaTheme="minorEastAsia"/>
                <w:szCs w:val="21"/>
                <w:highlight w:val="none"/>
              </w:rPr>
            </w:pPr>
            <w:r>
              <w:rPr>
                <w:rFonts w:asciiTheme="minorEastAsia" w:hAnsiTheme="minorEastAsia" w:eastAsiaTheme="minorEastAsia"/>
                <w:szCs w:val="21"/>
                <w:highlight w:val="none"/>
              </w:rPr>
              <w:t>6人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atLeast"/>
        </w:trPr>
        <w:tc>
          <w:tcPr>
            <w:tcW w:w="771" w:type="dxa"/>
            <w:vAlign w:val="center"/>
          </w:tcPr>
          <w:p>
            <w:pPr>
              <w:jc w:val="center"/>
              <w:rPr>
                <w:rFonts w:asciiTheme="minorEastAsia" w:hAnsiTheme="minorEastAsia" w:eastAsiaTheme="minorEastAsia"/>
                <w:szCs w:val="21"/>
                <w:highlight w:val="none"/>
              </w:rPr>
            </w:pPr>
            <w:r>
              <w:rPr>
                <w:rFonts w:hint="eastAsia" w:ascii="宋体" w:hAnsi="宋体"/>
                <w:szCs w:val="21"/>
                <w:highlight w:val="none"/>
              </w:rPr>
              <w:t>39</w:t>
            </w:r>
          </w:p>
        </w:tc>
        <w:tc>
          <w:tcPr>
            <w:tcW w:w="3082" w:type="dxa"/>
            <w:vAlign w:val="center"/>
          </w:tcPr>
          <w:p>
            <w:pPr>
              <w:rPr>
                <w:rFonts w:ascii="宋体" w:hAnsi="宋体" w:cs="仿宋_GB2312"/>
                <w:bCs/>
                <w:szCs w:val="21"/>
                <w:highlight w:val="none"/>
              </w:rPr>
            </w:pPr>
            <w:r>
              <w:rPr>
                <w:rFonts w:hint="eastAsia" w:ascii="宋体" w:hAnsi="宋体"/>
                <w:szCs w:val="21"/>
                <w:highlight w:val="none"/>
              </w:rPr>
              <w:t>生产线机动工作</w:t>
            </w:r>
          </w:p>
        </w:tc>
        <w:tc>
          <w:tcPr>
            <w:tcW w:w="1588" w:type="dxa"/>
            <w:vAlign w:val="center"/>
          </w:tcPr>
          <w:p>
            <w:pP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widowControl/>
              <w:rPr>
                <w:rFonts w:asciiTheme="minorEastAsia" w:hAnsiTheme="minorEastAsia" w:eastAsiaTheme="minorEastAsia"/>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合计</w:t>
            </w:r>
          </w:p>
        </w:tc>
        <w:tc>
          <w:tcPr>
            <w:tcW w:w="3082" w:type="dxa"/>
            <w:vAlign w:val="center"/>
          </w:tcPr>
          <w:p>
            <w:pPr>
              <w:rPr>
                <w:rFonts w:asciiTheme="minorEastAsia" w:hAnsiTheme="minorEastAsia" w:eastAsiaTheme="minorEastAsia"/>
                <w:szCs w:val="21"/>
                <w:highlight w:val="none"/>
              </w:rPr>
            </w:pPr>
          </w:p>
        </w:tc>
        <w:tc>
          <w:tcPr>
            <w:tcW w:w="1588" w:type="dxa"/>
            <w:vAlign w:val="center"/>
          </w:tcPr>
          <w:p>
            <w:pPr>
              <w:rPr>
                <w:rFonts w:asciiTheme="minorEastAsia" w:hAnsiTheme="minorEastAsia" w:eastAsiaTheme="minorEastAsia"/>
                <w:szCs w:val="21"/>
                <w:highlight w:val="none"/>
              </w:rPr>
            </w:pPr>
          </w:p>
        </w:tc>
        <w:tc>
          <w:tcPr>
            <w:tcW w:w="2831"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62</w:t>
            </w:r>
            <w:r>
              <w:rPr>
                <w:rFonts w:asciiTheme="minorEastAsia" w:hAnsiTheme="minorEastAsia" w:eastAsiaTheme="minorEastAsia"/>
                <w:szCs w:val="21"/>
                <w:highlight w:val="none"/>
              </w:rPr>
              <w:t>人</w:t>
            </w:r>
          </w:p>
        </w:tc>
      </w:tr>
    </w:tbl>
    <w:p>
      <w:pPr>
        <w:widowControl/>
        <w:rPr>
          <w:rFonts w:asciiTheme="minorEastAsia" w:hAnsiTheme="minorEastAsia" w:eastAsiaTheme="minorEastAsia"/>
          <w:b/>
          <w:szCs w:val="21"/>
          <w:highlight w:val="none"/>
        </w:rPr>
      </w:pPr>
      <w:r>
        <w:rPr>
          <w:rFonts w:hint="eastAsia" w:asciiTheme="minorEastAsia" w:hAnsiTheme="minorEastAsia" w:eastAsiaTheme="minorEastAsia"/>
          <w:szCs w:val="21"/>
          <w:highlight w:val="none"/>
        </w:rPr>
        <w:t>注：未明确强调具体人员配置数量的工作任务乙方可安排兼职人员，但必须按照甲方要求完成相关工作任务。</w:t>
      </w:r>
    </w:p>
    <w:p>
      <w:pPr>
        <w:widowControl/>
        <w:ind w:firstLine="2001" w:firstLineChars="949"/>
        <w:rPr>
          <w:rFonts w:asciiTheme="minorEastAsia" w:hAnsiTheme="minorEastAsia" w:eastAsiaTheme="minorEastAsia"/>
          <w:b/>
          <w:szCs w:val="21"/>
          <w:highlight w:val="none"/>
        </w:rPr>
      </w:pPr>
    </w:p>
    <w:p>
      <w:pPr>
        <w:widowControl/>
        <w:ind w:firstLine="2001" w:firstLineChars="949"/>
        <w:rPr>
          <w:rFonts w:asciiTheme="minorEastAsia" w:hAnsiTheme="minorEastAsia" w:eastAsiaTheme="minorEastAsia"/>
          <w:b/>
          <w:szCs w:val="21"/>
          <w:highlight w:val="none"/>
        </w:rPr>
      </w:pPr>
    </w:p>
    <w:p>
      <w:pPr>
        <w:widowControl/>
        <w:ind w:firstLine="2001" w:firstLineChars="949"/>
        <w:rPr>
          <w:rFonts w:asciiTheme="minorEastAsia" w:hAnsiTheme="minorEastAsia" w:eastAsiaTheme="minorEastAsia"/>
          <w:b/>
          <w:szCs w:val="21"/>
          <w:highlight w:val="none"/>
        </w:rPr>
      </w:pPr>
    </w:p>
    <w:p>
      <w:pPr>
        <w:widowControl/>
        <w:ind w:firstLine="2001" w:firstLineChars="949"/>
        <w:rPr>
          <w:rFonts w:asciiTheme="minorEastAsia" w:hAnsiTheme="minorEastAsia" w:eastAsiaTheme="minorEastAsia"/>
          <w:b/>
          <w:szCs w:val="21"/>
          <w:highlight w:val="none"/>
        </w:rPr>
      </w:pPr>
    </w:p>
    <w:p>
      <w:pPr>
        <w:widowControl/>
        <w:ind w:firstLine="2001" w:firstLineChars="949"/>
        <w:rPr>
          <w:rFonts w:asciiTheme="minorEastAsia" w:hAnsiTheme="minorEastAsia" w:eastAsiaTheme="minorEastAsia"/>
          <w:b/>
          <w:szCs w:val="21"/>
          <w:highlight w:val="none"/>
        </w:rPr>
      </w:pPr>
    </w:p>
    <w:p>
      <w:pPr>
        <w:widowControl/>
        <w:ind w:firstLine="2001" w:firstLineChars="949"/>
        <w:rPr>
          <w:rFonts w:asciiTheme="minorEastAsia" w:hAnsiTheme="minorEastAsia" w:eastAsiaTheme="minorEastAsia"/>
          <w:b/>
          <w:szCs w:val="21"/>
          <w:highlight w:val="none"/>
        </w:rPr>
      </w:pPr>
    </w:p>
    <w:p>
      <w:pPr>
        <w:widowControl/>
        <w:ind w:firstLine="2001" w:firstLineChars="949"/>
        <w:rPr>
          <w:rFonts w:asciiTheme="minorEastAsia" w:hAnsiTheme="minorEastAsia" w:eastAsiaTheme="minorEastAsia"/>
          <w:b/>
          <w:szCs w:val="21"/>
          <w:highlight w:val="none"/>
        </w:rPr>
      </w:pPr>
    </w:p>
    <w:p>
      <w:pPr>
        <w:widowControl/>
        <w:ind w:firstLine="2001" w:firstLineChars="949"/>
        <w:rPr>
          <w:rFonts w:asciiTheme="minorEastAsia" w:hAnsiTheme="minorEastAsia" w:eastAsiaTheme="minorEastAsia"/>
          <w:b/>
          <w:szCs w:val="21"/>
          <w:highlight w:val="none"/>
        </w:rPr>
      </w:pPr>
    </w:p>
    <w:p>
      <w:pPr>
        <w:widowControl/>
        <w:ind w:firstLine="2001" w:firstLineChars="949"/>
        <w:rPr>
          <w:rFonts w:asciiTheme="minorEastAsia" w:hAnsiTheme="minorEastAsia" w:eastAsiaTheme="minorEastAsia"/>
          <w:b/>
          <w:szCs w:val="21"/>
          <w:highlight w:val="none"/>
        </w:rPr>
      </w:pPr>
    </w:p>
    <w:p>
      <w:pPr>
        <w:widowControl/>
        <w:ind w:firstLine="2001" w:firstLineChars="949"/>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各业务区域卫生清洁及零星辅助业务的主要内容</w:t>
      </w:r>
    </w:p>
    <w:tbl>
      <w:tblPr>
        <w:tblStyle w:val="42"/>
        <w:tblW w:w="8272"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8"/>
        <w:gridCol w:w="1510"/>
        <w:gridCol w:w="63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blHeader/>
        </w:trPr>
        <w:tc>
          <w:tcPr>
            <w:tcW w:w="458" w:type="dxa"/>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b/>
                <w:bCs/>
                <w:color w:val="000000"/>
                <w:kern w:val="0"/>
                <w:szCs w:val="21"/>
                <w:highlight w:val="none"/>
              </w:rPr>
              <w:t>序号</w:t>
            </w:r>
          </w:p>
        </w:tc>
        <w:tc>
          <w:tcPr>
            <w:tcW w:w="1510"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b/>
                <w:bCs/>
                <w:color w:val="000000"/>
                <w:kern w:val="0"/>
                <w:szCs w:val="21"/>
                <w:highlight w:val="none"/>
              </w:rPr>
              <w:t>名称</w:t>
            </w:r>
          </w:p>
        </w:tc>
        <w:tc>
          <w:tcPr>
            <w:tcW w:w="6304"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b/>
                <w:bCs/>
                <w:color w:val="000000"/>
                <w:kern w:val="0"/>
                <w:szCs w:val="21"/>
                <w:highlight w:val="none"/>
              </w:rPr>
              <w:t>卫生要求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8" w:type="dxa"/>
            <w:vAlign w:val="center"/>
          </w:tcPr>
          <w:p>
            <w:pPr>
              <w:jc w:val="left"/>
              <w:rPr>
                <w:rFonts w:asciiTheme="minorEastAsia" w:hAnsiTheme="minorEastAsia" w:eastAsiaTheme="minorEastAsia"/>
                <w:szCs w:val="21"/>
                <w:highlight w:val="none"/>
              </w:rPr>
            </w:pPr>
            <w:r>
              <w:rPr>
                <w:rFonts w:cs="宋体" w:asciiTheme="minorEastAsia" w:hAnsiTheme="minorEastAsia" w:eastAsiaTheme="minorEastAsia"/>
                <w:color w:val="000000"/>
                <w:kern w:val="0"/>
                <w:szCs w:val="21"/>
                <w:highlight w:val="none"/>
              </w:rPr>
              <w:t>1</w:t>
            </w:r>
          </w:p>
        </w:tc>
        <w:tc>
          <w:tcPr>
            <w:tcW w:w="1510"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kern w:val="0"/>
                <w:szCs w:val="21"/>
                <w:highlight w:val="none"/>
              </w:rPr>
              <w:t>磨机房</w:t>
            </w:r>
          </w:p>
        </w:tc>
        <w:tc>
          <w:tcPr>
            <w:tcW w:w="6304" w:type="dxa"/>
          </w:tcPr>
          <w:p>
            <w:pPr>
              <w:widowControl/>
              <w:jc w:val="left"/>
              <w:rPr>
                <w:rFonts w:asciiTheme="minorEastAsia" w:hAnsiTheme="minorEastAsia" w:eastAsiaTheme="minorEastAsia"/>
                <w:szCs w:val="21"/>
                <w:highlight w:val="none"/>
              </w:rPr>
            </w:pPr>
            <w:r>
              <w:rPr>
                <w:rFonts w:hint="eastAsia" w:cs="宋体" w:asciiTheme="minorEastAsia" w:hAnsiTheme="minorEastAsia" w:eastAsiaTheme="minorEastAsia"/>
                <w:color w:val="000000"/>
                <w:kern w:val="0"/>
                <w:szCs w:val="21"/>
                <w:highlight w:val="none"/>
              </w:rPr>
              <w:t>磨机房内</w:t>
            </w:r>
            <w:r>
              <w:rPr>
                <w:rFonts w:cs="宋体" w:asciiTheme="minorEastAsia" w:hAnsiTheme="minorEastAsia" w:eastAsiaTheme="minorEastAsia"/>
                <w:color w:val="000000"/>
                <w:kern w:val="0"/>
                <w:szCs w:val="21"/>
                <w:highlight w:val="none"/>
              </w:rPr>
              <w:t>3台磨机、3套搅拌装置等所有设备、管阀及地面、墙壁、各层平台、楼梯、栏杆的</w:t>
            </w:r>
            <w:r>
              <w:rPr>
                <w:rFonts w:hint="eastAsia" w:cs="宋体" w:asciiTheme="minorEastAsia" w:hAnsiTheme="minorEastAsia" w:eastAsiaTheme="minorEastAsia"/>
                <w:color w:val="000000"/>
                <w:kern w:val="0"/>
                <w:szCs w:val="21"/>
                <w:highlight w:val="none"/>
              </w:rPr>
              <w:t>的油污、杂物、落料、积尘的每天清扫清洁；磨机出口筛余废料的收集、清运到厂内废料堆放区。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8" w:type="dxa"/>
            <w:vAlign w:val="center"/>
          </w:tcPr>
          <w:p>
            <w:pPr>
              <w:jc w:val="left"/>
              <w:rPr>
                <w:rFonts w:asciiTheme="minorEastAsia" w:hAnsiTheme="minorEastAsia" w:eastAsiaTheme="minorEastAsia"/>
                <w:szCs w:val="21"/>
                <w:highlight w:val="none"/>
              </w:rPr>
            </w:pPr>
            <w:r>
              <w:rPr>
                <w:rFonts w:cs="宋体" w:asciiTheme="minorEastAsia" w:hAnsiTheme="minorEastAsia" w:eastAsiaTheme="minorEastAsia"/>
                <w:color w:val="000000"/>
                <w:kern w:val="0"/>
                <w:szCs w:val="21"/>
                <w:highlight w:val="none"/>
              </w:rPr>
              <w:t>2</w:t>
            </w:r>
          </w:p>
        </w:tc>
        <w:tc>
          <w:tcPr>
            <w:tcW w:w="1510"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kern w:val="0"/>
                <w:szCs w:val="21"/>
                <w:highlight w:val="none"/>
              </w:rPr>
              <w:t>砂皮带输送</w:t>
            </w:r>
          </w:p>
        </w:tc>
        <w:tc>
          <w:tcPr>
            <w:tcW w:w="6304"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color w:val="000000"/>
                <w:kern w:val="0"/>
                <w:szCs w:val="21"/>
                <w:highlight w:val="none"/>
              </w:rPr>
              <w:t>砂渣上料皮带输送设备及其地面、各层平台、楼梯、栏杆的油污、杂物、落料、积尘的每天清扫清洁。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8" w:type="dxa"/>
            <w:vAlign w:val="center"/>
          </w:tcPr>
          <w:p>
            <w:pPr>
              <w:jc w:val="left"/>
              <w:rPr>
                <w:rFonts w:asciiTheme="minorEastAsia" w:hAnsiTheme="minorEastAsia" w:eastAsiaTheme="minorEastAsia"/>
                <w:szCs w:val="21"/>
                <w:highlight w:val="none"/>
              </w:rPr>
            </w:pPr>
            <w:r>
              <w:rPr>
                <w:rFonts w:cs="宋体" w:asciiTheme="minorEastAsia" w:hAnsiTheme="minorEastAsia" w:eastAsiaTheme="minorEastAsia"/>
                <w:color w:val="000000"/>
                <w:kern w:val="0"/>
                <w:szCs w:val="21"/>
                <w:highlight w:val="none"/>
              </w:rPr>
              <w:t>3</w:t>
            </w:r>
          </w:p>
        </w:tc>
        <w:tc>
          <w:tcPr>
            <w:tcW w:w="1510"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kern w:val="0"/>
                <w:szCs w:val="21"/>
                <w:highlight w:val="none"/>
              </w:rPr>
              <w:t>石膏库及搅拌装置清洁</w:t>
            </w:r>
          </w:p>
        </w:tc>
        <w:tc>
          <w:tcPr>
            <w:tcW w:w="6304"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color w:val="000000"/>
                <w:kern w:val="0"/>
                <w:szCs w:val="21"/>
                <w:highlight w:val="none"/>
              </w:rPr>
              <w:t>石膏库地面、墙壁，石膏搅拌装置、浆液输送管阀的油污、杂物、落料、积尘的每天清扫清洁。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8" w:type="dxa"/>
            <w:vAlign w:val="center"/>
          </w:tcPr>
          <w:p>
            <w:pPr>
              <w:jc w:val="left"/>
              <w:rPr>
                <w:rFonts w:asciiTheme="minorEastAsia" w:hAnsiTheme="minorEastAsia" w:eastAsiaTheme="minorEastAsia"/>
                <w:szCs w:val="21"/>
                <w:highlight w:val="none"/>
              </w:rPr>
            </w:pPr>
            <w:r>
              <w:rPr>
                <w:rFonts w:cs="宋体" w:asciiTheme="minorEastAsia" w:hAnsiTheme="minorEastAsia" w:eastAsiaTheme="minorEastAsia"/>
                <w:color w:val="000000"/>
                <w:kern w:val="0"/>
                <w:szCs w:val="21"/>
                <w:highlight w:val="none"/>
              </w:rPr>
              <w:t>4</w:t>
            </w:r>
          </w:p>
        </w:tc>
        <w:tc>
          <w:tcPr>
            <w:tcW w:w="1510"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kern w:val="0"/>
                <w:szCs w:val="21"/>
                <w:highlight w:val="none"/>
              </w:rPr>
              <w:t>罐区（含粉煤灰制浆区域）清洁</w:t>
            </w:r>
          </w:p>
        </w:tc>
        <w:tc>
          <w:tcPr>
            <w:tcW w:w="6304"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color w:val="000000"/>
                <w:kern w:val="0"/>
                <w:szCs w:val="21"/>
                <w:highlight w:val="none"/>
              </w:rPr>
              <w:t>储罐、管阀、称量设备、地面、墙壁、各层平台、楼梯、栏杆的的油污、杂物、落料、积尘的每天清扫清洁。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8" w:type="dxa"/>
            <w:vAlign w:val="center"/>
          </w:tcPr>
          <w:p>
            <w:pPr>
              <w:jc w:val="left"/>
              <w:rPr>
                <w:rFonts w:asciiTheme="minorEastAsia" w:hAnsiTheme="minorEastAsia" w:eastAsiaTheme="minorEastAsia"/>
                <w:szCs w:val="21"/>
                <w:highlight w:val="none"/>
              </w:rPr>
            </w:pPr>
            <w:r>
              <w:rPr>
                <w:rFonts w:cs="宋体" w:asciiTheme="minorEastAsia" w:hAnsiTheme="minorEastAsia" w:eastAsiaTheme="minorEastAsia"/>
                <w:color w:val="000000"/>
                <w:kern w:val="0"/>
                <w:szCs w:val="21"/>
                <w:highlight w:val="none"/>
              </w:rPr>
              <w:t>5</w:t>
            </w:r>
          </w:p>
        </w:tc>
        <w:tc>
          <w:tcPr>
            <w:tcW w:w="1510"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kern w:val="0"/>
                <w:szCs w:val="21"/>
                <w:highlight w:val="none"/>
              </w:rPr>
              <w:t>配料楼、辅助用房区域清洁</w:t>
            </w:r>
          </w:p>
        </w:tc>
        <w:tc>
          <w:tcPr>
            <w:tcW w:w="6304"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color w:val="000000"/>
                <w:kern w:val="0"/>
                <w:szCs w:val="21"/>
                <w:highlight w:val="none"/>
              </w:rPr>
              <w:t>储罐、输送设备、管阀、称量设备、地面、墙壁、各层平台、楼梯、栏杆的的油污、杂物、落料、积尘的每天清扫清洁。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949" w:hRule="atLeast"/>
        </w:trPr>
        <w:tc>
          <w:tcPr>
            <w:tcW w:w="458" w:type="dxa"/>
            <w:vAlign w:val="center"/>
          </w:tcPr>
          <w:p>
            <w:pPr>
              <w:jc w:val="left"/>
              <w:rPr>
                <w:rFonts w:asciiTheme="minorEastAsia" w:hAnsiTheme="minorEastAsia" w:eastAsiaTheme="minorEastAsia"/>
                <w:szCs w:val="21"/>
                <w:highlight w:val="none"/>
              </w:rPr>
            </w:pPr>
            <w:r>
              <w:rPr>
                <w:rFonts w:cs="宋体" w:asciiTheme="minorEastAsia" w:hAnsiTheme="minorEastAsia" w:eastAsiaTheme="minorEastAsia"/>
                <w:color w:val="000000"/>
                <w:kern w:val="0"/>
                <w:szCs w:val="21"/>
                <w:highlight w:val="none"/>
              </w:rPr>
              <w:t>6</w:t>
            </w:r>
          </w:p>
        </w:tc>
        <w:tc>
          <w:tcPr>
            <w:tcW w:w="1510" w:type="dxa"/>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kern w:val="0"/>
                <w:szCs w:val="21"/>
                <w:highlight w:val="none"/>
              </w:rPr>
              <w:t>静停、切割区清洁</w:t>
            </w:r>
          </w:p>
        </w:tc>
        <w:tc>
          <w:tcPr>
            <w:tcW w:w="6304" w:type="dxa"/>
          </w:tcPr>
          <w:p>
            <w:pPr>
              <w:widowControl/>
              <w:jc w:val="left"/>
              <w:rPr>
                <w:rFonts w:asciiTheme="minorEastAsia" w:hAnsiTheme="minorEastAsia" w:eastAsiaTheme="minorEastAsia"/>
                <w:szCs w:val="21"/>
                <w:highlight w:val="none"/>
              </w:rPr>
            </w:pPr>
            <w:r>
              <w:rPr>
                <w:rFonts w:hint="eastAsia" w:cs="宋体" w:asciiTheme="minorEastAsia" w:hAnsiTheme="minorEastAsia" w:eastAsiaTheme="minorEastAsia"/>
                <w:color w:val="000000"/>
                <w:kern w:val="0"/>
                <w:szCs w:val="21"/>
                <w:highlight w:val="none"/>
              </w:rPr>
              <w:t>浇注地坑冲扫清洁、静停区模箱漏浆清理、合模前侧板及空模箱内结料清理、切割区地坑外落料清理、地翻台落料清理，保持本区域地面清洁；浇注搅拌机、输送轨道、翻转吊具、切割机组、地翻台、刷灰机等设备的油污、积尘的每天清扫清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8" w:type="dxa"/>
            <w:vAlign w:val="center"/>
          </w:tcPr>
          <w:p>
            <w:pPr>
              <w:jc w:val="left"/>
              <w:rPr>
                <w:rFonts w:asciiTheme="minorEastAsia" w:hAnsiTheme="minorEastAsia" w:eastAsiaTheme="minorEastAsia"/>
                <w:szCs w:val="21"/>
                <w:highlight w:val="none"/>
              </w:rPr>
            </w:pPr>
            <w:r>
              <w:rPr>
                <w:rFonts w:cs="宋体" w:asciiTheme="minorEastAsia" w:hAnsiTheme="minorEastAsia" w:eastAsiaTheme="minorEastAsia"/>
                <w:color w:val="000000"/>
                <w:kern w:val="0"/>
                <w:szCs w:val="21"/>
                <w:highlight w:val="none"/>
              </w:rPr>
              <w:t>7</w:t>
            </w:r>
          </w:p>
        </w:tc>
        <w:tc>
          <w:tcPr>
            <w:tcW w:w="1510" w:type="dxa"/>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kern w:val="0"/>
                <w:szCs w:val="21"/>
                <w:highlight w:val="none"/>
              </w:rPr>
              <w:t>半成品、成品段清洁</w:t>
            </w:r>
          </w:p>
        </w:tc>
        <w:tc>
          <w:tcPr>
            <w:tcW w:w="6304" w:type="dxa"/>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半成品堆垛吊机、半成品输送轨道、釜前吊具、搭桥装置、蒸压釜、成品输送轨道、釜前摆渡车、成品分垛吊机、掰板机等。</w:t>
            </w:r>
          </w:p>
          <w:p>
            <w:pPr>
              <w:jc w:val="left"/>
              <w:rPr>
                <w:rFonts w:asciiTheme="minorEastAsia" w:hAnsiTheme="minorEastAsia" w:eastAsiaTheme="minorEastAsia"/>
                <w:szCs w:val="21"/>
                <w:highlight w:val="none"/>
              </w:rPr>
            </w:pPr>
            <w:r>
              <w:rPr>
                <w:rFonts w:hint="eastAsia" w:cs="宋体" w:asciiTheme="minorEastAsia" w:hAnsiTheme="minorEastAsia" w:eastAsiaTheme="minorEastAsia"/>
                <w:color w:val="000000"/>
                <w:kern w:val="0"/>
                <w:szCs w:val="21"/>
                <w:highlight w:val="none"/>
              </w:rPr>
              <w:t>设备及其所在区域的油污、杂物、落料、积尘的每天清扫清洁。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8" w:type="dxa"/>
            <w:vAlign w:val="center"/>
          </w:tcPr>
          <w:p>
            <w:pPr>
              <w:jc w:val="left"/>
              <w:rPr>
                <w:rFonts w:asciiTheme="minorEastAsia" w:hAnsiTheme="minorEastAsia" w:eastAsiaTheme="minorEastAsia"/>
                <w:szCs w:val="21"/>
                <w:highlight w:val="none"/>
              </w:rPr>
            </w:pPr>
            <w:r>
              <w:rPr>
                <w:rFonts w:cs="宋体" w:asciiTheme="minorEastAsia" w:hAnsiTheme="minorEastAsia" w:eastAsiaTheme="minorEastAsia"/>
                <w:color w:val="000000"/>
                <w:kern w:val="0"/>
                <w:szCs w:val="21"/>
                <w:highlight w:val="none"/>
              </w:rPr>
              <w:t>8</w:t>
            </w:r>
          </w:p>
        </w:tc>
        <w:tc>
          <w:tcPr>
            <w:tcW w:w="1510"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kern w:val="0"/>
                <w:szCs w:val="21"/>
                <w:highlight w:val="none"/>
              </w:rPr>
              <w:t>涂脱模剂</w:t>
            </w:r>
          </w:p>
        </w:tc>
        <w:tc>
          <w:tcPr>
            <w:tcW w:w="6304"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color w:val="000000"/>
                <w:kern w:val="0"/>
                <w:szCs w:val="21"/>
                <w:highlight w:val="none"/>
              </w:rPr>
              <w:t>模箱堵漏、涂脱模剂，防止脱模剂洒漏污染地面，保持工作区域的清洁。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8" w:type="dxa"/>
            <w:vAlign w:val="center"/>
          </w:tcPr>
          <w:p>
            <w:pPr>
              <w:jc w:val="left"/>
              <w:rPr>
                <w:rFonts w:asciiTheme="minorEastAsia" w:hAnsiTheme="minorEastAsia" w:eastAsiaTheme="minorEastAsia"/>
                <w:szCs w:val="21"/>
                <w:highlight w:val="none"/>
              </w:rPr>
            </w:pPr>
            <w:r>
              <w:rPr>
                <w:rFonts w:cs="宋体" w:asciiTheme="minorEastAsia" w:hAnsiTheme="minorEastAsia" w:eastAsiaTheme="minorEastAsia"/>
                <w:color w:val="000000"/>
                <w:kern w:val="0"/>
                <w:szCs w:val="21"/>
                <w:highlight w:val="none"/>
              </w:rPr>
              <w:t>9</w:t>
            </w:r>
          </w:p>
        </w:tc>
        <w:tc>
          <w:tcPr>
            <w:tcW w:w="1510"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kern w:val="0"/>
                <w:szCs w:val="21"/>
                <w:highlight w:val="none"/>
              </w:rPr>
              <w:t>釜区清洁</w:t>
            </w:r>
          </w:p>
        </w:tc>
        <w:tc>
          <w:tcPr>
            <w:tcW w:w="6304" w:type="dxa"/>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釜前区设备、地面、墙壁、楼梯、栏杆的油污、杂物、落料、积尘的每天清扫清洁。</w:t>
            </w:r>
          </w:p>
          <w:p>
            <w:pPr>
              <w:jc w:val="left"/>
              <w:rPr>
                <w:rFonts w:asciiTheme="minorEastAsia" w:hAnsiTheme="minorEastAsia" w:eastAsiaTheme="minorEastAsia"/>
                <w:szCs w:val="21"/>
                <w:highlight w:val="none"/>
              </w:rPr>
            </w:pPr>
            <w:r>
              <w:rPr>
                <w:rFonts w:hint="eastAsia" w:cs="宋体" w:asciiTheme="minorEastAsia" w:hAnsiTheme="minorEastAsia" w:eastAsiaTheme="minorEastAsia"/>
                <w:color w:val="000000"/>
                <w:kern w:val="0"/>
                <w:szCs w:val="21"/>
                <w:highlight w:val="none"/>
              </w:rPr>
              <w:t>釜体区设备、地面、墙壁、楼梯、栏杆的油污、杂物、落料、积尘的</w:t>
            </w:r>
            <w:r>
              <w:rPr>
                <w:rFonts w:hint="eastAsia" w:ascii="宋体" w:hAnsi="宋体" w:cs="宋体"/>
                <w:color w:val="000000"/>
                <w:kern w:val="0"/>
                <w:szCs w:val="21"/>
                <w:highlight w:val="none"/>
              </w:rPr>
              <w:t>至少</w:t>
            </w:r>
            <w:r>
              <w:rPr>
                <w:rFonts w:hint="eastAsia" w:cs="宋体" w:asciiTheme="minorEastAsia" w:hAnsiTheme="minorEastAsia" w:eastAsiaTheme="minorEastAsia"/>
                <w:color w:val="000000"/>
                <w:kern w:val="0"/>
                <w:szCs w:val="21"/>
                <w:highlight w:val="none"/>
              </w:rPr>
              <w:t>每月清扫清洁</w:t>
            </w:r>
            <w:r>
              <w:rPr>
                <w:rFonts w:hint="eastAsia" w:ascii="宋体" w:hAnsi="宋体" w:cs="宋体"/>
                <w:color w:val="000000"/>
                <w:kern w:val="0"/>
                <w:szCs w:val="21"/>
                <w:highlight w:val="none"/>
              </w:rPr>
              <w:t>1次</w:t>
            </w:r>
            <w:r>
              <w:rPr>
                <w:rFonts w:hint="eastAsia" w:cs="宋体" w:asciiTheme="minorEastAsia" w:hAnsiTheme="minorEastAsia" w:eastAsiaTheme="minorEastAsia"/>
                <w:color w:val="000000"/>
                <w:kern w:val="0"/>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458" w:type="dxa"/>
            <w:vAlign w:val="center"/>
          </w:tcPr>
          <w:p>
            <w:pPr>
              <w:jc w:val="left"/>
              <w:rPr>
                <w:rFonts w:asciiTheme="minorEastAsia" w:hAnsiTheme="minorEastAsia" w:eastAsiaTheme="minorEastAsia"/>
                <w:szCs w:val="21"/>
                <w:highlight w:val="none"/>
              </w:rPr>
            </w:pPr>
            <w:r>
              <w:rPr>
                <w:rFonts w:cs="宋体" w:asciiTheme="minorEastAsia" w:hAnsiTheme="minorEastAsia" w:eastAsiaTheme="minorEastAsia"/>
                <w:color w:val="000000"/>
                <w:kern w:val="0"/>
                <w:szCs w:val="21"/>
                <w:highlight w:val="none"/>
              </w:rPr>
              <w:t>10</w:t>
            </w:r>
          </w:p>
        </w:tc>
        <w:tc>
          <w:tcPr>
            <w:tcW w:w="1510" w:type="dxa"/>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kern w:val="0"/>
                <w:szCs w:val="21"/>
                <w:highlight w:val="none"/>
              </w:rPr>
              <w:t>室外罐顶、天面设备、管道、地面、阀门、楼梯、栏杆等</w:t>
            </w:r>
          </w:p>
        </w:tc>
        <w:tc>
          <w:tcPr>
            <w:tcW w:w="6304"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color w:val="000000"/>
                <w:kern w:val="0"/>
                <w:szCs w:val="21"/>
                <w:highlight w:val="none"/>
              </w:rPr>
              <w:t>根据需要清洁。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8" w:type="dxa"/>
            <w:vAlign w:val="center"/>
          </w:tcPr>
          <w:p>
            <w:pPr>
              <w:jc w:val="left"/>
              <w:rPr>
                <w:rFonts w:asciiTheme="minorEastAsia" w:hAnsiTheme="minorEastAsia" w:eastAsiaTheme="minorEastAsia"/>
                <w:szCs w:val="21"/>
                <w:highlight w:val="none"/>
              </w:rPr>
            </w:pPr>
            <w:r>
              <w:rPr>
                <w:rFonts w:cs="宋体" w:asciiTheme="minorEastAsia" w:hAnsiTheme="minorEastAsia" w:eastAsiaTheme="minorEastAsia"/>
                <w:color w:val="000000"/>
                <w:kern w:val="0"/>
                <w:szCs w:val="21"/>
                <w:highlight w:val="none"/>
              </w:rPr>
              <w:t>11</w:t>
            </w:r>
          </w:p>
        </w:tc>
        <w:tc>
          <w:tcPr>
            <w:tcW w:w="1510"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kern w:val="0"/>
                <w:szCs w:val="21"/>
                <w:highlight w:val="none"/>
              </w:rPr>
              <w:t>环厂道路卫生</w:t>
            </w:r>
          </w:p>
        </w:tc>
        <w:tc>
          <w:tcPr>
            <w:tcW w:w="6304"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color w:val="000000"/>
                <w:kern w:val="0"/>
                <w:szCs w:val="21"/>
                <w:highlight w:val="none"/>
              </w:rPr>
              <w:t>环厂道路路面每天按要求清洁。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8" w:type="dxa"/>
            <w:vAlign w:val="center"/>
          </w:tcPr>
          <w:p>
            <w:pPr>
              <w:jc w:val="left"/>
              <w:rPr>
                <w:rFonts w:asciiTheme="minorEastAsia" w:hAnsiTheme="minorEastAsia" w:eastAsiaTheme="minorEastAsia"/>
                <w:szCs w:val="21"/>
                <w:highlight w:val="none"/>
              </w:rPr>
            </w:pPr>
            <w:r>
              <w:rPr>
                <w:rFonts w:cs="宋体" w:asciiTheme="minorEastAsia" w:hAnsiTheme="minorEastAsia" w:eastAsiaTheme="minorEastAsia"/>
                <w:color w:val="000000"/>
                <w:kern w:val="0"/>
                <w:szCs w:val="21"/>
                <w:highlight w:val="none"/>
              </w:rPr>
              <w:t>12</w:t>
            </w:r>
          </w:p>
        </w:tc>
        <w:tc>
          <w:tcPr>
            <w:tcW w:w="1510"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kern w:val="0"/>
                <w:szCs w:val="21"/>
                <w:highlight w:val="none"/>
              </w:rPr>
              <w:t>定期、非定期项目</w:t>
            </w:r>
          </w:p>
        </w:tc>
        <w:tc>
          <w:tcPr>
            <w:tcW w:w="6304" w:type="dxa"/>
          </w:tcPr>
          <w:p>
            <w:pPr>
              <w:widowControl/>
              <w:jc w:val="left"/>
              <w:rPr>
                <w:rFonts w:asciiTheme="minorEastAsia" w:hAnsiTheme="minorEastAsia" w:eastAsiaTheme="minorEastAsia"/>
                <w:szCs w:val="21"/>
                <w:highlight w:val="none"/>
              </w:rPr>
            </w:pPr>
            <w:r>
              <w:rPr>
                <w:rFonts w:hint="eastAsia" w:cs="宋体" w:asciiTheme="minorEastAsia" w:hAnsiTheme="minorEastAsia" w:eastAsiaTheme="minorEastAsia"/>
                <w:color w:val="000000"/>
                <w:kern w:val="0"/>
                <w:szCs w:val="21"/>
                <w:highlight w:val="none"/>
              </w:rPr>
              <w:t>磨前料浆罐</w:t>
            </w:r>
            <w:r>
              <w:rPr>
                <w:rFonts w:cs="宋体" w:asciiTheme="minorEastAsia" w:hAnsiTheme="minorEastAsia" w:eastAsiaTheme="minorEastAsia"/>
                <w:color w:val="000000"/>
                <w:kern w:val="0"/>
                <w:szCs w:val="21"/>
                <w:highlight w:val="none"/>
              </w:rPr>
              <w:t>3个、磨机入口3个、磨机出口3个、</w:t>
            </w:r>
            <w:r>
              <w:rPr>
                <w:rFonts w:hint="eastAsia" w:cs="宋体" w:asciiTheme="minorEastAsia" w:hAnsiTheme="minorEastAsia" w:eastAsiaTheme="minorEastAsia"/>
                <w:color w:val="000000"/>
                <w:kern w:val="0"/>
                <w:szCs w:val="21"/>
                <w:highlight w:val="none"/>
              </w:rPr>
              <w:t>磨后罐</w:t>
            </w:r>
            <w:r>
              <w:rPr>
                <w:rFonts w:cs="宋体" w:asciiTheme="minorEastAsia" w:hAnsiTheme="minorEastAsia" w:eastAsiaTheme="minorEastAsia"/>
                <w:color w:val="000000"/>
                <w:kern w:val="0"/>
                <w:szCs w:val="21"/>
                <w:highlight w:val="none"/>
              </w:rPr>
              <w:t>3个</w:t>
            </w:r>
            <w:r>
              <w:rPr>
                <w:rFonts w:hint="eastAsia" w:cs="宋体" w:asciiTheme="minorEastAsia" w:hAnsiTheme="minorEastAsia" w:eastAsiaTheme="minorEastAsia"/>
                <w:color w:val="000000"/>
                <w:kern w:val="0"/>
                <w:szCs w:val="21"/>
                <w:highlight w:val="none"/>
              </w:rPr>
              <w:t>；粉煤灰制浆罐</w:t>
            </w:r>
            <w:r>
              <w:rPr>
                <w:rFonts w:cs="宋体" w:asciiTheme="minorEastAsia" w:hAnsiTheme="minorEastAsia" w:eastAsiaTheme="minorEastAsia"/>
                <w:color w:val="000000"/>
                <w:kern w:val="0"/>
                <w:szCs w:val="21"/>
                <w:highlight w:val="none"/>
              </w:rPr>
              <w:t xml:space="preserve">2个、罐区料浆罐8个、地坑三个，石膏打浆机1台； </w:t>
            </w:r>
            <w:r>
              <w:rPr>
                <w:rFonts w:hint="eastAsia" w:cs="宋体" w:asciiTheme="minorEastAsia" w:hAnsiTheme="minorEastAsia" w:eastAsiaTheme="minorEastAsia"/>
                <w:color w:val="000000"/>
                <w:kern w:val="0"/>
                <w:szCs w:val="21"/>
                <w:highlight w:val="none"/>
              </w:rPr>
              <w:t>配料楼料浆罐</w:t>
            </w:r>
            <w:r>
              <w:rPr>
                <w:rFonts w:cs="宋体" w:asciiTheme="minorEastAsia" w:hAnsiTheme="minorEastAsia" w:eastAsiaTheme="minorEastAsia"/>
                <w:color w:val="000000"/>
                <w:kern w:val="0"/>
                <w:szCs w:val="21"/>
                <w:highlight w:val="none"/>
              </w:rPr>
              <w:t>2个，料浆计量称1台、浇注搅拌机1台,浇注地坑1个；切割地沟、切割地坑1个； 8条蒸压</w:t>
            </w:r>
            <w:r>
              <w:rPr>
                <w:rFonts w:hint="eastAsia" w:cs="宋体" w:asciiTheme="minorEastAsia" w:hAnsiTheme="minorEastAsia" w:eastAsiaTheme="minorEastAsia"/>
                <w:color w:val="000000"/>
                <w:kern w:val="0"/>
                <w:szCs w:val="21"/>
                <w:highlight w:val="none"/>
              </w:rPr>
              <w:t>釜排污口及基座等各处结料的清理；负责蒸压釜内废料的清理；高温水池、中温水池、低温水池每年</w:t>
            </w:r>
            <w:r>
              <w:rPr>
                <w:rFonts w:cs="宋体" w:asciiTheme="minorEastAsia" w:hAnsiTheme="minorEastAsia" w:eastAsiaTheme="minorEastAsia"/>
                <w:color w:val="000000"/>
                <w:kern w:val="0"/>
                <w:szCs w:val="21"/>
                <w:highlight w:val="none"/>
              </w:rPr>
              <w:t>1次的底部沉淀物清理</w:t>
            </w:r>
            <w:r>
              <w:rPr>
                <w:rFonts w:hint="eastAsia" w:ascii="宋体" w:hAnsi="宋体" w:cs="宋体"/>
                <w:color w:val="000000"/>
                <w:kern w:val="0"/>
                <w:szCs w:val="21"/>
                <w:highlight w:val="none"/>
              </w:rPr>
              <w:t>；其余生产原材料地坑、罐内积料清理。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8" w:type="dxa"/>
            <w:vAlign w:val="center"/>
          </w:tcPr>
          <w:p>
            <w:pPr>
              <w:jc w:val="left"/>
              <w:rPr>
                <w:rFonts w:asciiTheme="minorEastAsia" w:hAnsiTheme="minorEastAsia" w:eastAsiaTheme="minorEastAsia"/>
                <w:szCs w:val="21"/>
                <w:highlight w:val="none"/>
              </w:rPr>
            </w:pPr>
            <w:r>
              <w:rPr>
                <w:rFonts w:cs="宋体" w:asciiTheme="minorEastAsia" w:hAnsiTheme="minorEastAsia" w:eastAsiaTheme="minorEastAsia"/>
                <w:color w:val="000000"/>
                <w:kern w:val="0"/>
                <w:szCs w:val="21"/>
                <w:highlight w:val="none"/>
              </w:rPr>
              <w:t>13</w:t>
            </w:r>
          </w:p>
        </w:tc>
        <w:tc>
          <w:tcPr>
            <w:tcW w:w="1510"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bCs/>
                <w:kern w:val="0"/>
                <w:szCs w:val="21"/>
                <w:highlight w:val="none"/>
              </w:rPr>
              <w:t>临时辅助检修清洁</w:t>
            </w:r>
          </w:p>
        </w:tc>
        <w:tc>
          <w:tcPr>
            <w:tcW w:w="6304" w:type="dxa"/>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color w:val="000000"/>
                <w:kern w:val="0"/>
                <w:szCs w:val="21"/>
                <w:highlight w:val="none"/>
              </w:rPr>
              <w:t>日常检修时，按检修要求清洁设备及设备周边积料。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8" w:type="dxa"/>
            <w:vAlign w:val="center"/>
          </w:tcPr>
          <w:p>
            <w:pPr>
              <w:jc w:val="left"/>
              <w:rPr>
                <w:rFonts w:asciiTheme="minorEastAsia" w:hAnsiTheme="minorEastAsia" w:eastAsiaTheme="minorEastAsia"/>
                <w:szCs w:val="21"/>
                <w:highlight w:val="none"/>
              </w:rPr>
            </w:pPr>
            <w:r>
              <w:rPr>
                <w:rFonts w:cs="宋体" w:asciiTheme="minorEastAsia" w:hAnsiTheme="minorEastAsia" w:eastAsiaTheme="minorEastAsia"/>
                <w:color w:val="000000"/>
                <w:kern w:val="0"/>
                <w:szCs w:val="21"/>
                <w:highlight w:val="none"/>
              </w:rPr>
              <w:t>14</w:t>
            </w:r>
          </w:p>
        </w:tc>
        <w:tc>
          <w:tcPr>
            <w:tcW w:w="1510"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bCs/>
                <w:kern w:val="0"/>
                <w:szCs w:val="21"/>
                <w:highlight w:val="none"/>
              </w:rPr>
              <w:t>模框清洁</w:t>
            </w:r>
          </w:p>
        </w:tc>
        <w:tc>
          <w:tcPr>
            <w:tcW w:w="6304" w:type="dxa"/>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color w:val="000000"/>
                <w:kern w:val="0"/>
                <w:szCs w:val="21"/>
                <w:highlight w:val="none"/>
              </w:rPr>
              <w:t>模框表面卫生每周清洁一个循环</w:t>
            </w:r>
            <w:r>
              <w:rPr>
                <w:rFonts w:hint="eastAsia" w:ascii="宋体" w:hAnsi="宋体" w:cs="宋体"/>
                <w:color w:val="000000"/>
                <w:kern w:val="0"/>
                <w:szCs w:val="21"/>
                <w:highlight w:val="none"/>
              </w:rPr>
              <w:t>，保持模具清洁，表面无油污、积料</w:t>
            </w:r>
            <w:r>
              <w:rPr>
                <w:rFonts w:hint="eastAsia" w:cs="宋体" w:asciiTheme="minorEastAsia" w:hAnsiTheme="minorEastAsia" w:eastAsiaTheme="minorEastAsia"/>
                <w:color w:val="000000"/>
                <w:kern w:val="0"/>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8" w:type="dxa"/>
            <w:vAlign w:val="center"/>
          </w:tcPr>
          <w:p>
            <w:pPr>
              <w:jc w:val="left"/>
              <w:rPr>
                <w:rFonts w:asciiTheme="minorEastAsia" w:hAnsiTheme="minorEastAsia" w:eastAsiaTheme="minorEastAsia"/>
                <w:szCs w:val="21"/>
                <w:highlight w:val="none"/>
              </w:rPr>
            </w:pPr>
            <w:r>
              <w:rPr>
                <w:rFonts w:cs="宋体" w:asciiTheme="minorEastAsia" w:hAnsiTheme="minorEastAsia" w:eastAsiaTheme="minorEastAsia"/>
                <w:color w:val="000000"/>
                <w:kern w:val="0"/>
                <w:szCs w:val="21"/>
                <w:highlight w:val="none"/>
              </w:rPr>
              <w:t>15</w:t>
            </w:r>
          </w:p>
        </w:tc>
        <w:tc>
          <w:tcPr>
            <w:tcW w:w="1510" w:type="dxa"/>
            <w:vAlign w:val="center"/>
          </w:tcPr>
          <w:p>
            <w:pPr>
              <w:jc w:val="left"/>
              <w:rPr>
                <w:rFonts w:asciiTheme="minorEastAsia" w:hAnsiTheme="minorEastAsia" w:eastAsiaTheme="minorEastAsia"/>
                <w:szCs w:val="21"/>
                <w:highlight w:val="none"/>
              </w:rPr>
            </w:pPr>
            <w:r>
              <w:rPr>
                <w:rFonts w:hint="eastAsia" w:ascii="宋体" w:hAnsi="宋体" w:cs="宋体"/>
                <w:bCs/>
                <w:kern w:val="0"/>
                <w:szCs w:val="21"/>
                <w:highlight w:val="none"/>
              </w:rPr>
              <w:t>侧板</w:t>
            </w:r>
            <w:r>
              <w:rPr>
                <w:rFonts w:hint="eastAsia" w:cs="宋体" w:asciiTheme="minorEastAsia" w:hAnsiTheme="minorEastAsia" w:eastAsiaTheme="minorEastAsia"/>
                <w:bCs/>
                <w:kern w:val="0"/>
                <w:szCs w:val="21"/>
                <w:highlight w:val="none"/>
              </w:rPr>
              <w:t>清洁</w:t>
            </w:r>
          </w:p>
        </w:tc>
        <w:tc>
          <w:tcPr>
            <w:tcW w:w="6304" w:type="dxa"/>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color w:val="000000"/>
                <w:kern w:val="0"/>
                <w:szCs w:val="21"/>
                <w:highlight w:val="none"/>
              </w:rPr>
              <w:t>全厂所有</w:t>
            </w:r>
            <w:r>
              <w:rPr>
                <w:rFonts w:hint="eastAsia" w:ascii="宋体" w:hAnsi="宋体" w:cs="宋体"/>
                <w:color w:val="000000"/>
                <w:kern w:val="0"/>
                <w:szCs w:val="21"/>
                <w:highlight w:val="none"/>
              </w:rPr>
              <w:t>侧板需要时</w:t>
            </w:r>
            <w:r>
              <w:rPr>
                <w:rFonts w:cs="宋体" w:asciiTheme="minorEastAsia" w:hAnsiTheme="minorEastAsia" w:eastAsiaTheme="minorEastAsia"/>
                <w:color w:val="000000"/>
                <w:kern w:val="0"/>
                <w:szCs w:val="21"/>
                <w:highlight w:val="none"/>
              </w:rPr>
              <w:t>清洁。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8" w:type="dxa"/>
            <w:vAlign w:val="center"/>
          </w:tcPr>
          <w:p>
            <w:pPr>
              <w:jc w:val="left"/>
              <w:rPr>
                <w:rFonts w:asciiTheme="minorEastAsia" w:hAnsiTheme="minorEastAsia" w:eastAsiaTheme="minorEastAsia"/>
                <w:szCs w:val="21"/>
                <w:highlight w:val="none"/>
              </w:rPr>
            </w:pPr>
            <w:r>
              <w:rPr>
                <w:rFonts w:cs="宋体" w:asciiTheme="minorEastAsia" w:hAnsiTheme="minorEastAsia" w:eastAsiaTheme="minorEastAsia"/>
                <w:color w:val="000000"/>
                <w:kern w:val="0"/>
                <w:szCs w:val="21"/>
                <w:highlight w:val="none"/>
              </w:rPr>
              <w:t>16</w:t>
            </w:r>
          </w:p>
        </w:tc>
        <w:tc>
          <w:tcPr>
            <w:tcW w:w="1510"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bCs/>
                <w:kern w:val="0"/>
                <w:szCs w:val="21"/>
                <w:highlight w:val="none"/>
              </w:rPr>
              <w:t>清洁卫生工具</w:t>
            </w:r>
          </w:p>
        </w:tc>
        <w:tc>
          <w:tcPr>
            <w:tcW w:w="6304"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color w:val="000000"/>
                <w:kern w:val="0"/>
                <w:szCs w:val="21"/>
                <w:highlight w:val="none"/>
              </w:rPr>
              <w:t>所有清洁工具（包括不限于斗车、铁铲、风镐等等）均由乙方自行负责配置及维护。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5" w:hRule="atLeast"/>
        </w:trPr>
        <w:tc>
          <w:tcPr>
            <w:tcW w:w="458" w:type="dxa"/>
            <w:vAlign w:val="center"/>
          </w:tcPr>
          <w:p>
            <w:pPr>
              <w:jc w:val="left"/>
              <w:rPr>
                <w:rFonts w:asciiTheme="minorEastAsia" w:hAnsiTheme="minorEastAsia" w:eastAsiaTheme="minorEastAsia"/>
                <w:szCs w:val="21"/>
                <w:highlight w:val="none"/>
              </w:rPr>
            </w:pPr>
            <w:r>
              <w:rPr>
                <w:rFonts w:cs="宋体" w:asciiTheme="minorEastAsia" w:hAnsiTheme="minorEastAsia" w:eastAsiaTheme="minorEastAsia"/>
                <w:color w:val="000000"/>
                <w:kern w:val="0"/>
                <w:szCs w:val="21"/>
                <w:highlight w:val="none"/>
              </w:rPr>
              <w:t>17</w:t>
            </w:r>
          </w:p>
        </w:tc>
        <w:tc>
          <w:tcPr>
            <w:tcW w:w="1510"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bCs/>
                <w:kern w:val="0"/>
                <w:szCs w:val="21"/>
                <w:highlight w:val="none"/>
              </w:rPr>
              <w:t>辅助项目</w:t>
            </w:r>
          </w:p>
        </w:tc>
        <w:tc>
          <w:tcPr>
            <w:tcW w:w="6304"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color w:val="000000"/>
                <w:kern w:val="0"/>
                <w:szCs w:val="21"/>
                <w:highlight w:val="none"/>
              </w:rPr>
              <w:t>甲方计划停产时间段，需安排</w:t>
            </w:r>
            <w:r>
              <w:rPr>
                <w:rFonts w:cs="宋体" w:asciiTheme="minorEastAsia" w:hAnsiTheme="minorEastAsia" w:eastAsiaTheme="minorEastAsia"/>
                <w:color w:val="000000"/>
                <w:kern w:val="0"/>
                <w:szCs w:val="21"/>
                <w:highlight w:val="none"/>
              </w:rPr>
              <w:t>6人协助检修。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2" w:hRule="atLeast"/>
        </w:trPr>
        <w:tc>
          <w:tcPr>
            <w:tcW w:w="458" w:type="dxa"/>
            <w:vAlign w:val="center"/>
          </w:tcPr>
          <w:p>
            <w:pPr>
              <w:jc w:val="left"/>
              <w:rPr>
                <w:rFonts w:asciiTheme="minorEastAsia" w:hAnsiTheme="minorEastAsia" w:eastAsiaTheme="minorEastAsia"/>
                <w:szCs w:val="21"/>
                <w:highlight w:val="none"/>
              </w:rPr>
            </w:pPr>
            <w:r>
              <w:rPr>
                <w:rFonts w:cs="宋体" w:asciiTheme="minorEastAsia" w:hAnsiTheme="minorEastAsia" w:eastAsiaTheme="minorEastAsia"/>
                <w:kern w:val="0"/>
                <w:szCs w:val="21"/>
                <w:highlight w:val="none"/>
              </w:rPr>
              <w:t>18</w:t>
            </w:r>
          </w:p>
        </w:tc>
        <w:tc>
          <w:tcPr>
            <w:tcW w:w="1510"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bCs/>
                <w:kern w:val="0"/>
                <w:szCs w:val="21"/>
                <w:highlight w:val="none"/>
              </w:rPr>
              <w:t>原料归堆上料</w:t>
            </w:r>
          </w:p>
        </w:tc>
        <w:tc>
          <w:tcPr>
            <w:tcW w:w="6304"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kern w:val="0"/>
                <w:szCs w:val="21"/>
                <w:highlight w:val="none"/>
              </w:rPr>
              <w:t>负责使用铲车（乙方提供）将生产用原材料（砂、渣及石膏等）的推堆上料</w:t>
            </w:r>
            <w:r>
              <w:rPr>
                <w:rFonts w:hint="eastAsia" w:ascii="宋体" w:hAnsi="宋体" w:cs="宋体"/>
                <w:kern w:val="0"/>
                <w:szCs w:val="21"/>
                <w:highlight w:val="none"/>
              </w:rPr>
              <w:t>及料堆覆盖</w:t>
            </w:r>
            <w:r>
              <w:rPr>
                <w:rFonts w:hint="eastAsia" w:cs="宋体" w:asciiTheme="minorEastAsia" w:hAnsiTheme="minorEastAsia" w:eastAsiaTheme="minorEastAsia"/>
                <w:kern w:val="0"/>
                <w:szCs w:val="21"/>
                <w:highlight w:val="none"/>
              </w:rPr>
              <w:t>。</w:t>
            </w:r>
          </w:p>
        </w:tc>
      </w:tr>
    </w:tbl>
    <w:p>
      <w:pPr>
        <w:spacing w:line="440" w:lineRule="exact"/>
        <w:ind w:left="422" w:hanging="422" w:hangingChars="200"/>
        <w:jc w:val="center"/>
        <w:rPr>
          <w:rFonts w:asciiTheme="minorEastAsia" w:hAnsiTheme="minorEastAsia" w:eastAsiaTheme="minorEastAsia"/>
          <w:b/>
          <w:szCs w:val="21"/>
          <w:highlight w:val="none"/>
        </w:rPr>
      </w:pPr>
    </w:p>
    <w:p>
      <w:pPr>
        <w:spacing w:line="440" w:lineRule="exact"/>
        <w:ind w:left="602" w:hanging="602" w:hangingChars="200"/>
        <w:jc w:val="center"/>
        <w:rPr>
          <w:rFonts w:asciiTheme="minorEastAsia" w:hAnsiTheme="minorEastAsia" w:eastAsiaTheme="minorEastAsia"/>
          <w:b/>
          <w:sz w:val="30"/>
          <w:szCs w:val="30"/>
          <w:highlight w:val="none"/>
        </w:rPr>
      </w:pPr>
    </w:p>
    <w:p>
      <w:pPr>
        <w:spacing w:line="440" w:lineRule="exact"/>
        <w:ind w:left="602" w:hanging="602" w:hangingChars="200"/>
        <w:jc w:val="center"/>
        <w:rPr>
          <w:rFonts w:asciiTheme="minorEastAsia" w:hAnsiTheme="minorEastAsia" w:eastAsiaTheme="minorEastAsia"/>
          <w:b/>
          <w:sz w:val="30"/>
          <w:szCs w:val="30"/>
          <w:highlight w:val="none"/>
        </w:rPr>
      </w:pPr>
    </w:p>
    <w:p>
      <w:pPr>
        <w:spacing w:line="440" w:lineRule="exact"/>
        <w:ind w:left="602" w:hanging="602" w:hangingChars="200"/>
        <w:jc w:val="center"/>
        <w:rPr>
          <w:rFonts w:asciiTheme="minorEastAsia" w:hAnsiTheme="minorEastAsia" w:eastAsiaTheme="minorEastAsia"/>
          <w:b/>
          <w:sz w:val="30"/>
          <w:szCs w:val="30"/>
          <w:highlight w:val="none"/>
        </w:rPr>
      </w:pPr>
    </w:p>
    <w:p>
      <w:pPr>
        <w:spacing w:line="440" w:lineRule="exact"/>
        <w:ind w:left="602" w:hanging="602" w:hangingChars="200"/>
        <w:jc w:val="center"/>
        <w:rPr>
          <w:rFonts w:asciiTheme="minorEastAsia" w:hAnsiTheme="minorEastAsia" w:eastAsiaTheme="minorEastAsia"/>
          <w:b/>
          <w:sz w:val="30"/>
          <w:szCs w:val="30"/>
          <w:highlight w:val="none"/>
        </w:rPr>
      </w:pPr>
    </w:p>
    <w:p>
      <w:pPr>
        <w:spacing w:line="440" w:lineRule="exact"/>
        <w:ind w:left="602" w:hanging="602" w:hangingChars="200"/>
        <w:jc w:val="center"/>
        <w:rPr>
          <w:rFonts w:asciiTheme="minorEastAsia" w:hAnsiTheme="minorEastAsia" w:eastAsiaTheme="minorEastAsia"/>
          <w:b/>
          <w:sz w:val="30"/>
          <w:szCs w:val="30"/>
          <w:highlight w:val="none"/>
        </w:rPr>
      </w:pPr>
    </w:p>
    <w:p>
      <w:pPr>
        <w:spacing w:line="440" w:lineRule="exact"/>
        <w:ind w:left="602" w:hanging="602" w:hangingChars="200"/>
        <w:jc w:val="center"/>
        <w:rPr>
          <w:rFonts w:asciiTheme="minorEastAsia" w:hAnsiTheme="minorEastAsia" w:eastAsiaTheme="minorEastAsia"/>
          <w:b/>
          <w:sz w:val="30"/>
          <w:szCs w:val="30"/>
          <w:highlight w:val="none"/>
        </w:rPr>
      </w:pPr>
    </w:p>
    <w:p>
      <w:pPr>
        <w:spacing w:line="440" w:lineRule="exact"/>
        <w:ind w:left="602" w:hanging="602" w:hangingChars="200"/>
        <w:jc w:val="center"/>
        <w:rPr>
          <w:rFonts w:asciiTheme="minorEastAsia" w:hAnsiTheme="minorEastAsia" w:eastAsiaTheme="minorEastAsia"/>
          <w:b/>
          <w:sz w:val="30"/>
          <w:szCs w:val="30"/>
          <w:highlight w:val="none"/>
        </w:rPr>
      </w:pPr>
    </w:p>
    <w:p>
      <w:pPr>
        <w:spacing w:line="440" w:lineRule="exact"/>
        <w:ind w:left="602" w:hanging="602" w:hangingChars="200"/>
        <w:jc w:val="center"/>
        <w:rPr>
          <w:rFonts w:asciiTheme="minorEastAsia" w:hAnsiTheme="minorEastAsia" w:eastAsiaTheme="minorEastAsia"/>
          <w:b/>
          <w:sz w:val="30"/>
          <w:szCs w:val="30"/>
          <w:highlight w:val="none"/>
        </w:rPr>
      </w:pPr>
    </w:p>
    <w:p>
      <w:pPr>
        <w:spacing w:line="440" w:lineRule="exact"/>
        <w:ind w:left="602" w:hanging="602" w:hangingChars="200"/>
        <w:jc w:val="center"/>
        <w:rPr>
          <w:rFonts w:asciiTheme="minorEastAsia" w:hAnsiTheme="minorEastAsia" w:eastAsiaTheme="minorEastAsia"/>
          <w:b/>
          <w:sz w:val="30"/>
          <w:szCs w:val="30"/>
          <w:highlight w:val="none"/>
        </w:rPr>
      </w:pPr>
    </w:p>
    <w:p>
      <w:pPr>
        <w:spacing w:line="440" w:lineRule="exact"/>
        <w:ind w:left="602" w:hanging="602" w:hangingChars="200"/>
        <w:jc w:val="center"/>
        <w:rPr>
          <w:rFonts w:asciiTheme="minorEastAsia" w:hAnsiTheme="minorEastAsia" w:eastAsiaTheme="minorEastAsia"/>
          <w:b/>
          <w:sz w:val="30"/>
          <w:szCs w:val="30"/>
          <w:highlight w:val="none"/>
        </w:rPr>
      </w:pPr>
    </w:p>
    <w:p>
      <w:pPr>
        <w:spacing w:line="440" w:lineRule="exact"/>
        <w:ind w:left="602" w:hanging="602" w:hangingChars="200"/>
        <w:jc w:val="center"/>
        <w:rPr>
          <w:rFonts w:asciiTheme="minorEastAsia" w:hAnsiTheme="minorEastAsia" w:eastAsiaTheme="minorEastAsia"/>
          <w:b/>
          <w:sz w:val="30"/>
          <w:szCs w:val="30"/>
          <w:highlight w:val="none"/>
        </w:rPr>
      </w:pPr>
    </w:p>
    <w:p>
      <w:pPr>
        <w:spacing w:line="440" w:lineRule="exact"/>
        <w:ind w:left="602" w:hanging="602" w:hangingChars="200"/>
        <w:jc w:val="center"/>
        <w:rPr>
          <w:rFonts w:asciiTheme="minorEastAsia" w:hAnsiTheme="minorEastAsia" w:eastAsiaTheme="minorEastAsia"/>
          <w:b/>
          <w:sz w:val="30"/>
          <w:szCs w:val="30"/>
          <w:highlight w:val="none"/>
        </w:rPr>
      </w:pPr>
    </w:p>
    <w:p>
      <w:pPr>
        <w:spacing w:line="440" w:lineRule="exact"/>
        <w:ind w:left="602" w:hanging="602" w:hangingChars="200"/>
        <w:jc w:val="center"/>
        <w:rPr>
          <w:rFonts w:asciiTheme="minorEastAsia" w:hAnsiTheme="minorEastAsia" w:eastAsiaTheme="minorEastAsia"/>
          <w:b/>
          <w:sz w:val="30"/>
          <w:szCs w:val="30"/>
          <w:highlight w:val="none"/>
        </w:rPr>
      </w:pPr>
    </w:p>
    <w:p>
      <w:pPr>
        <w:spacing w:line="440" w:lineRule="exact"/>
        <w:ind w:left="602" w:hanging="602" w:hangingChars="200"/>
        <w:jc w:val="center"/>
        <w:rPr>
          <w:rFonts w:asciiTheme="minorEastAsia" w:hAnsiTheme="minorEastAsia" w:eastAsiaTheme="minorEastAsia"/>
          <w:b/>
          <w:sz w:val="30"/>
          <w:szCs w:val="30"/>
          <w:highlight w:val="none"/>
        </w:rPr>
      </w:pPr>
    </w:p>
    <w:p>
      <w:pPr>
        <w:spacing w:line="440" w:lineRule="exact"/>
        <w:ind w:left="602" w:hanging="602" w:hangingChars="200"/>
        <w:jc w:val="center"/>
        <w:rPr>
          <w:rFonts w:asciiTheme="minorEastAsia" w:hAnsiTheme="minorEastAsia" w:eastAsiaTheme="minorEastAsia"/>
          <w:b/>
          <w:sz w:val="30"/>
          <w:szCs w:val="30"/>
          <w:highlight w:val="none"/>
        </w:rPr>
      </w:pPr>
    </w:p>
    <w:p>
      <w:pPr>
        <w:spacing w:line="440" w:lineRule="exact"/>
        <w:ind w:left="602" w:hanging="602" w:hangingChars="200"/>
        <w:jc w:val="center"/>
        <w:rPr>
          <w:rFonts w:asciiTheme="minorEastAsia" w:hAnsiTheme="minorEastAsia" w:eastAsiaTheme="minorEastAsia"/>
          <w:b/>
          <w:sz w:val="30"/>
          <w:szCs w:val="30"/>
          <w:highlight w:val="none"/>
        </w:rPr>
      </w:pPr>
    </w:p>
    <w:p>
      <w:pPr>
        <w:spacing w:line="440" w:lineRule="exact"/>
        <w:ind w:left="602" w:hanging="602" w:hangingChars="200"/>
        <w:jc w:val="center"/>
        <w:rPr>
          <w:rFonts w:asciiTheme="minorEastAsia" w:hAnsiTheme="minorEastAsia" w:eastAsiaTheme="minorEastAsia"/>
          <w:b/>
          <w:sz w:val="30"/>
          <w:szCs w:val="30"/>
          <w:highlight w:val="none"/>
        </w:rPr>
      </w:pPr>
    </w:p>
    <w:p>
      <w:pPr>
        <w:spacing w:line="440" w:lineRule="exact"/>
        <w:ind w:left="602" w:hanging="602" w:hangingChars="200"/>
        <w:jc w:val="center"/>
        <w:rPr>
          <w:rFonts w:asciiTheme="minorEastAsia" w:hAnsiTheme="minorEastAsia" w:eastAsiaTheme="minorEastAsia"/>
          <w:b/>
          <w:sz w:val="30"/>
          <w:szCs w:val="30"/>
          <w:highlight w:val="none"/>
        </w:rPr>
      </w:pPr>
    </w:p>
    <w:p>
      <w:pPr>
        <w:spacing w:line="440" w:lineRule="exact"/>
        <w:ind w:left="602" w:hanging="602" w:hangingChars="200"/>
        <w:jc w:val="center"/>
        <w:rPr>
          <w:rFonts w:asciiTheme="minorEastAsia" w:hAnsiTheme="minorEastAsia" w:eastAsiaTheme="minorEastAsia"/>
          <w:b/>
          <w:sz w:val="30"/>
          <w:szCs w:val="30"/>
          <w:highlight w:val="none"/>
        </w:rPr>
      </w:pPr>
    </w:p>
    <w:p>
      <w:pPr>
        <w:spacing w:line="440" w:lineRule="exact"/>
        <w:ind w:left="602" w:hanging="602" w:hangingChars="200"/>
        <w:jc w:val="center"/>
        <w:rPr>
          <w:rFonts w:asciiTheme="minorEastAsia" w:hAnsiTheme="minorEastAsia" w:eastAsiaTheme="minorEastAsia"/>
          <w:b/>
          <w:sz w:val="30"/>
          <w:szCs w:val="30"/>
          <w:highlight w:val="none"/>
        </w:rPr>
      </w:pPr>
    </w:p>
    <w:p>
      <w:pPr>
        <w:spacing w:line="440" w:lineRule="exact"/>
        <w:ind w:left="602" w:hanging="602" w:hangingChars="200"/>
        <w:jc w:val="center"/>
        <w:rPr>
          <w:rFonts w:asciiTheme="minorEastAsia" w:hAnsiTheme="minorEastAsia" w:eastAsiaTheme="minorEastAsia"/>
          <w:b/>
          <w:sz w:val="30"/>
          <w:szCs w:val="30"/>
          <w:highlight w:val="none"/>
        </w:rPr>
      </w:pPr>
    </w:p>
    <w:p>
      <w:pPr>
        <w:spacing w:line="440" w:lineRule="exact"/>
        <w:ind w:left="602" w:hanging="602" w:hangingChars="200"/>
        <w:jc w:val="center"/>
        <w:rPr>
          <w:rFonts w:asciiTheme="minorEastAsia" w:hAnsiTheme="minorEastAsia" w:eastAsiaTheme="minorEastAsia"/>
          <w:b/>
          <w:sz w:val="30"/>
          <w:szCs w:val="30"/>
          <w:highlight w:val="none"/>
        </w:rPr>
      </w:pPr>
    </w:p>
    <w:p>
      <w:pPr>
        <w:spacing w:line="440" w:lineRule="exact"/>
        <w:ind w:left="602" w:hanging="602" w:hangingChars="200"/>
        <w:jc w:val="center"/>
        <w:rPr>
          <w:rFonts w:asciiTheme="minorEastAsia" w:hAnsiTheme="minorEastAsia" w:eastAsiaTheme="minorEastAsia"/>
          <w:b/>
          <w:sz w:val="30"/>
          <w:szCs w:val="30"/>
          <w:highlight w:val="none"/>
        </w:rPr>
      </w:pPr>
    </w:p>
    <w:p>
      <w:pPr>
        <w:spacing w:line="440" w:lineRule="exact"/>
        <w:ind w:left="602" w:hanging="602" w:hangingChars="200"/>
        <w:jc w:val="center"/>
        <w:rPr>
          <w:rFonts w:asciiTheme="minorEastAsia" w:hAnsiTheme="minorEastAsia" w:eastAsiaTheme="minorEastAsia"/>
          <w:b/>
          <w:sz w:val="30"/>
          <w:szCs w:val="30"/>
          <w:highlight w:val="none"/>
        </w:rPr>
      </w:pPr>
    </w:p>
    <w:p>
      <w:pPr>
        <w:jc w:val="center"/>
        <w:outlineLvl w:val="0"/>
        <w:rPr>
          <w:rFonts w:asciiTheme="minorEastAsia" w:hAnsiTheme="minorEastAsia" w:eastAsiaTheme="minorEastAsia"/>
          <w:b/>
          <w:sz w:val="30"/>
          <w:szCs w:val="30"/>
          <w:highlight w:val="none"/>
        </w:rPr>
      </w:pPr>
      <w:bookmarkStart w:id="394" w:name="_Toc14263"/>
      <w:r>
        <w:rPr>
          <w:rFonts w:hint="eastAsia" w:asciiTheme="minorEastAsia" w:hAnsiTheme="minorEastAsia" w:eastAsiaTheme="minorEastAsia"/>
          <w:b/>
          <w:sz w:val="30"/>
          <w:szCs w:val="30"/>
          <w:highlight w:val="none"/>
        </w:rPr>
        <w:t>第五章 合同条款</w:t>
      </w:r>
      <w:bookmarkEnd w:id="394"/>
    </w:p>
    <w:p>
      <w:pPr>
        <w:spacing w:line="440" w:lineRule="exact"/>
        <w:ind w:left="602" w:hanging="602" w:hangingChars="200"/>
        <w:jc w:val="center"/>
        <w:rPr>
          <w:rFonts w:asciiTheme="minorEastAsia" w:hAnsiTheme="minorEastAsia" w:eastAsiaTheme="minorEastAsia"/>
          <w:b/>
          <w:sz w:val="30"/>
          <w:szCs w:val="30"/>
          <w:highlight w:val="none"/>
        </w:rPr>
      </w:pPr>
    </w:p>
    <w:p>
      <w:pPr>
        <w:spacing w:line="440" w:lineRule="exact"/>
        <w:ind w:left="602" w:hanging="602" w:hangingChars="200"/>
        <w:jc w:val="center"/>
        <w:rPr>
          <w:rFonts w:asciiTheme="minorEastAsia" w:hAnsiTheme="minorEastAsia" w:eastAsiaTheme="minorEastAsia"/>
          <w:b/>
          <w:sz w:val="30"/>
          <w:szCs w:val="30"/>
          <w:highlight w:val="none"/>
        </w:rPr>
      </w:pPr>
    </w:p>
    <w:p>
      <w:pPr>
        <w:spacing w:line="440" w:lineRule="exact"/>
        <w:ind w:left="602" w:hanging="602" w:hangingChars="200"/>
        <w:jc w:val="center"/>
        <w:rPr>
          <w:rFonts w:asciiTheme="minorEastAsia" w:hAnsiTheme="minorEastAsia" w:eastAsiaTheme="minorEastAsia"/>
          <w:b/>
          <w:sz w:val="30"/>
          <w:szCs w:val="30"/>
          <w:highlight w:val="none"/>
        </w:rPr>
      </w:pPr>
    </w:p>
    <w:p>
      <w:pPr>
        <w:spacing w:line="440" w:lineRule="exact"/>
        <w:ind w:left="602" w:hanging="602" w:hangingChars="200"/>
        <w:jc w:val="center"/>
        <w:rPr>
          <w:rFonts w:asciiTheme="minorEastAsia" w:hAnsiTheme="minorEastAsia" w:eastAsiaTheme="minorEastAsia"/>
          <w:b/>
          <w:sz w:val="30"/>
          <w:szCs w:val="30"/>
          <w:highlight w:val="none"/>
        </w:rPr>
      </w:pPr>
    </w:p>
    <w:p>
      <w:pPr>
        <w:spacing w:line="440" w:lineRule="exact"/>
        <w:ind w:left="602" w:hanging="602" w:hangingChars="200"/>
        <w:jc w:val="center"/>
        <w:rPr>
          <w:rFonts w:asciiTheme="minorEastAsia" w:hAnsiTheme="minorEastAsia" w:eastAsiaTheme="minorEastAsia"/>
          <w:b/>
          <w:sz w:val="30"/>
          <w:szCs w:val="30"/>
          <w:highlight w:val="none"/>
        </w:rPr>
      </w:pPr>
    </w:p>
    <w:p>
      <w:pPr>
        <w:spacing w:line="440" w:lineRule="exact"/>
        <w:ind w:left="883" w:hanging="883" w:hangingChars="200"/>
        <w:jc w:val="center"/>
        <w:rPr>
          <w:rFonts w:ascii="宋体" w:hAnsi="宋体"/>
          <w:b/>
          <w:bCs/>
          <w:sz w:val="44"/>
          <w:szCs w:val="44"/>
          <w:highlight w:val="none"/>
        </w:rPr>
      </w:pPr>
      <w:bookmarkStart w:id="395" w:name="_Toc34822242"/>
      <w:bookmarkStart w:id="396" w:name="_Toc103673638"/>
      <w:bookmarkStart w:id="397" w:name="_Toc34779088"/>
      <w:bookmarkStart w:id="398" w:name="_Toc35957199"/>
      <w:bookmarkStart w:id="399" w:name="_Toc38039643"/>
      <w:bookmarkStart w:id="400" w:name="_Toc34779151"/>
      <w:bookmarkStart w:id="401" w:name="_Toc5503"/>
      <w:bookmarkStart w:id="402" w:name="_Toc292434269"/>
      <w:bookmarkStart w:id="403" w:name="_Toc34779197"/>
      <w:r>
        <w:rPr>
          <w:rFonts w:hint="eastAsia" w:ascii="宋体" w:hAnsi="宋体"/>
          <w:b/>
          <w:bCs/>
          <w:sz w:val="44"/>
          <w:szCs w:val="44"/>
          <w:highlight w:val="none"/>
        </w:rPr>
        <w:t>【</w:t>
      </w:r>
      <w:r>
        <w:rPr>
          <w:rFonts w:hint="eastAsia" w:ascii="宋体" w:hAnsi="宋体" w:cs="宋体"/>
          <w:color w:val="000000"/>
          <w:kern w:val="0"/>
          <w:sz w:val="32"/>
          <w:szCs w:val="32"/>
          <w:highlight w:val="none"/>
        </w:rPr>
        <w:t>佛山市恒益环保建材有限公司加气砌块生产辅助业务外委项目</w:t>
      </w:r>
      <w:r>
        <w:rPr>
          <w:rFonts w:hint="eastAsia" w:ascii="宋体" w:hAnsi="宋体"/>
          <w:b/>
          <w:bCs/>
          <w:sz w:val="44"/>
          <w:szCs w:val="44"/>
          <w:highlight w:val="none"/>
        </w:rPr>
        <w:t>】</w:t>
      </w:r>
    </w:p>
    <w:p>
      <w:pPr>
        <w:spacing w:line="440" w:lineRule="exact"/>
        <w:ind w:left="883" w:hanging="883" w:hangingChars="200"/>
        <w:jc w:val="center"/>
        <w:rPr>
          <w:rFonts w:ascii="宋体" w:hAnsi="宋体"/>
          <w:b/>
          <w:bCs/>
          <w:sz w:val="44"/>
          <w:szCs w:val="44"/>
          <w:highlight w:val="none"/>
        </w:rPr>
      </w:pPr>
    </w:p>
    <w:p>
      <w:pPr>
        <w:spacing w:line="440" w:lineRule="exact"/>
        <w:jc w:val="center"/>
        <w:rPr>
          <w:sz w:val="24"/>
          <w:highlight w:val="none"/>
        </w:rPr>
      </w:pPr>
      <w:r>
        <w:rPr>
          <w:rStyle w:val="50"/>
          <w:rFonts w:hint="eastAsia" w:ascii="宋体" w:hAnsi="宋体"/>
          <w:b/>
          <w:bCs/>
          <w:color w:val="auto"/>
          <w:sz w:val="36"/>
          <w:szCs w:val="36"/>
          <w:highlight w:val="none"/>
        </w:rPr>
        <w:t>承包合同</w:t>
      </w:r>
    </w:p>
    <w:p>
      <w:pPr>
        <w:spacing w:line="440" w:lineRule="exact"/>
        <w:rPr>
          <w:sz w:val="24"/>
          <w:highlight w:val="none"/>
        </w:rPr>
      </w:pPr>
    </w:p>
    <w:p>
      <w:pPr>
        <w:spacing w:line="440" w:lineRule="exact"/>
        <w:rPr>
          <w:sz w:val="24"/>
          <w:highlight w:val="none"/>
        </w:rPr>
      </w:pPr>
    </w:p>
    <w:p>
      <w:pPr>
        <w:spacing w:line="440" w:lineRule="exact"/>
        <w:ind w:left="723" w:hanging="723" w:hangingChars="200"/>
        <w:jc w:val="center"/>
        <w:rPr>
          <w:rFonts w:ascii="宋体" w:hAnsi="宋体"/>
          <w:b/>
          <w:bCs/>
          <w:sz w:val="36"/>
          <w:szCs w:val="36"/>
          <w:highlight w:val="none"/>
        </w:rPr>
      </w:pPr>
    </w:p>
    <w:p>
      <w:pPr>
        <w:spacing w:line="440" w:lineRule="exact"/>
        <w:rPr>
          <w:sz w:val="24"/>
          <w:highlight w:val="none"/>
        </w:rPr>
      </w:pPr>
    </w:p>
    <w:p>
      <w:pPr>
        <w:spacing w:line="440" w:lineRule="exact"/>
        <w:rPr>
          <w:sz w:val="24"/>
          <w:highlight w:val="none"/>
        </w:rPr>
      </w:pPr>
    </w:p>
    <w:p>
      <w:pPr>
        <w:spacing w:line="440" w:lineRule="exact"/>
        <w:rPr>
          <w:sz w:val="24"/>
          <w:highlight w:val="none"/>
        </w:rPr>
      </w:pPr>
    </w:p>
    <w:p>
      <w:pPr>
        <w:spacing w:line="440" w:lineRule="exact"/>
        <w:jc w:val="center"/>
        <w:rPr>
          <w:b/>
          <w:sz w:val="32"/>
          <w:szCs w:val="32"/>
          <w:highlight w:val="none"/>
        </w:rPr>
      </w:pPr>
    </w:p>
    <w:p>
      <w:pPr>
        <w:spacing w:line="440" w:lineRule="exact"/>
        <w:rPr>
          <w:sz w:val="24"/>
          <w:highlight w:val="none"/>
        </w:rPr>
      </w:pPr>
    </w:p>
    <w:p>
      <w:pPr>
        <w:spacing w:line="440" w:lineRule="exact"/>
        <w:rPr>
          <w:sz w:val="24"/>
          <w:highlight w:val="none"/>
        </w:rPr>
      </w:pPr>
    </w:p>
    <w:p>
      <w:pPr>
        <w:spacing w:line="440" w:lineRule="exact"/>
        <w:rPr>
          <w:sz w:val="24"/>
          <w:highlight w:val="none"/>
        </w:rPr>
      </w:pPr>
    </w:p>
    <w:p>
      <w:pPr>
        <w:spacing w:line="440" w:lineRule="exact"/>
        <w:rPr>
          <w:sz w:val="24"/>
          <w:highlight w:val="none"/>
        </w:rPr>
      </w:pPr>
    </w:p>
    <w:p>
      <w:pPr>
        <w:spacing w:line="440" w:lineRule="exact"/>
        <w:rPr>
          <w:sz w:val="24"/>
          <w:highlight w:val="none"/>
        </w:rPr>
      </w:pPr>
    </w:p>
    <w:p>
      <w:pPr>
        <w:spacing w:line="440" w:lineRule="exact"/>
        <w:rPr>
          <w:rFonts w:ascii="宋体" w:hAnsi="宋体"/>
          <w:b/>
          <w:sz w:val="32"/>
          <w:szCs w:val="32"/>
          <w:highlight w:val="none"/>
        </w:rPr>
      </w:pPr>
      <w:r>
        <w:rPr>
          <w:rFonts w:hint="eastAsia" w:ascii="宋体" w:hAnsi="宋体"/>
          <w:b/>
          <w:sz w:val="32"/>
          <w:szCs w:val="32"/>
          <w:highlight w:val="none"/>
        </w:rPr>
        <w:t xml:space="preserve">     甲方（发包人）：【</w:t>
      </w:r>
      <w:r>
        <w:rPr>
          <w:rStyle w:val="50"/>
          <w:rFonts w:hint="eastAsia" w:ascii="宋体" w:hAnsi="宋体"/>
          <w:b/>
          <w:bCs/>
          <w:color w:val="auto"/>
          <w:sz w:val="36"/>
          <w:szCs w:val="36"/>
          <w:highlight w:val="none"/>
        </w:rPr>
        <w:t>佛山市恒益环保建材有限公司</w:t>
      </w:r>
      <w:r>
        <w:rPr>
          <w:rFonts w:hint="eastAsia" w:ascii="宋体" w:hAnsi="宋体"/>
          <w:b/>
          <w:sz w:val="32"/>
          <w:szCs w:val="32"/>
          <w:highlight w:val="none"/>
        </w:rPr>
        <w:t>】</w:t>
      </w:r>
    </w:p>
    <w:p>
      <w:pPr>
        <w:spacing w:line="440" w:lineRule="exact"/>
        <w:rPr>
          <w:rFonts w:ascii="宋体" w:hAnsi="宋体"/>
          <w:b/>
          <w:sz w:val="32"/>
          <w:szCs w:val="32"/>
          <w:highlight w:val="none"/>
        </w:rPr>
      </w:pPr>
      <w:r>
        <w:rPr>
          <w:rFonts w:hint="eastAsia" w:ascii="宋体" w:hAnsi="宋体"/>
          <w:b/>
          <w:sz w:val="32"/>
          <w:szCs w:val="32"/>
          <w:highlight w:val="none"/>
        </w:rPr>
        <w:t xml:space="preserve">     乙方（承包人）：【】</w:t>
      </w:r>
    </w:p>
    <w:p>
      <w:pPr>
        <w:spacing w:line="440" w:lineRule="exact"/>
        <w:rPr>
          <w:sz w:val="24"/>
          <w:highlight w:val="none"/>
        </w:rPr>
      </w:pPr>
    </w:p>
    <w:p>
      <w:pPr>
        <w:spacing w:line="440" w:lineRule="exact"/>
        <w:rPr>
          <w:sz w:val="24"/>
          <w:highlight w:val="none"/>
        </w:rPr>
      </w:pPr>
    </w:p>
    <w:p>
      <w:pPr>
        <w:spacing w:line="440" w:lineRule="exact"/>
        <w:jc w:val="center"/>
        <w:rPr>
          <w:b/>
          <w:bCs/>
          <w:sz w:val="24"/>
          <w:highlight w:val="none"/>
        </w:rPr>
      </w:pPr>
      <w:r>
        <w:rPr>
          <w:rFonts w:hint="eastAsia"/>
          <w:b/>
          <w:bCs/>
          <w:sz w:val="24"/>
          <w:highlight w:val="none"/>
        </w:rPr>
        <w:t>年     月佛    山</w:t>
      </w:r>
    </w:p>
    <w:p>
      <w:pPr>
        <w:rPr>
          <w:szCs w:val="21"/>
          <w:highlight w:val="none"/>
          <w:u w:val="single"/>
        </w:rPr>
      </w:pPr>
      <w:r>
        <w:rPr>
          <w:sz w:val="24"/>
          <w:highlight w:val="none"/>
        </w:rPr>
        <w:br w:type="page"/>
      </w:r>
      <w:r>
        <w:rPr>
          <w:rFonts w:hint="eastAsia" w:ascii="宋体" w:hAnsi="宋体"/>
          <w:szCs w:val="21"/>
          <w:highlight w:val="none"/>
        </w:rPr>
        <w:t>甲方（发包单位）：</w:t>
      </w:r>
      <w:r>
        <w:rPr>
          <w:rFonts w:hint="eastAsia" w:ascii="宋体" w:hAnsi="宋体"/>
          <w:color w:val="000000"/>
          <w:szCs w:val="21"/>
          <w:highlight w:val="none"/>
        </w:rPr>
        <w:t>佛山市恒益环保建材有限公司</w:t>
      </w:r>
    </w:p>
    <w:p>
      <w:pPr>
        <w:spacing w:line="560" w:lineRule="exact"/>
        <w:rPr>
          <w:szCs w:val="21"/>
          <w:highlight w:val="none"/>
          <w:u w:val="single"/>
        </w:rPr>
      </w:pPr>
      <w:r>
        <w:rPr>
          <w:rFonts w:hint="eastAsia" w:ascii="宋体" w:hAnsi="宋体"/>
          <w:szCs w:val="21"/>
          <w:highlight w:val="none"/>
        </w:rPr>
        <w:t>地址：佛山市三水区白坭镇临江工业城2号</w:t>
      </w:r>
    </w:p>
    <w:p>
      <w:pPr>
        <w:spacing w:line="560" w:lineRule="exact"/>
        <w:rPr>
          <w:szCs w:val="21"/>
          <w:highlight w:val="none"/>
          <w:u w:val="single"/>
        </w:rPr>
      </w:pPr>
      <w:r>
        <w:rPr>
          <w:rFonts w:hint="eastAsia" w:ascii="宋体" w:hAnsi="宋体"/>
          <w:szCs w:val="21"/>
          <w:highlight w:val="none"/>
        </w:rPr>
        <w:t>联系人：</w:t>
      </w:r>
    </w:p>
    <w:p>
      <w:pPr>
        <w:spacing w:line="560" w:lineRule="exact"/>
        <w:rPr>
          <w:szCs w:val="21"/>
          <w:highlight w:val="none"/>
          <w:u w:val="single"/>
        </w:rPr>
      </w:pPr>
      <w:r>
        <w:rPr>
          <w:rFonts w:hint="eastAsia" w:ascii="宋体" w:hAnsi="宋体"/>
          <w:szCs w:val="21"/>
          <w:highlight w:val="none"/>
        </w:rPr>
        <w:t>电话：</w:t>
      </w:r>
    </w:p>
    <w:p>
      <w:pPr>
        <w:spacing w:line="560" w:lineRule="exact"/>
        <w:rPr>
          <w:szCs w:val="21"/>
          <w:highlight w:val="none"/>
        </w:rPr>
      </w:pPr>
    </w:p>
    <w:p>
      <w:pPr>
        <w:spacing w:line="560" w:lineRule="exact"/>
        <w:rPr>
          <w:szCs w:val="21"/>
          <w:highlight w:val="none"/>
          <w:u w:val="single"/>
        </w:rPr>
      </w:pPr>
      <w:r>
        <w:rPr>
          <w:rFonts w:hint="eastAsia" w:ascii="宋体" w:hAnsi="宋体"/>
          <w:szCs w:val="21"/>
          <w:highlight w:val="none"/>
        </w:rPr>
        <w:t>乙方（承包单位）：</w:t>
      </w:r>
    </w:p>
    <w:p>
      <w:pPr>
        <w:spacing w:line="560" w:lineRule="exact"/>
        <w:rPr>
          <w:szCs w:val="21"/>
          <w:highlight w:val="none"/>
          <w:u w:val="single"/>
        </w:rPr>
      </w:pPr>
      <w:r>
        <w:rPr>
          <w:rFonts w:hint="eastAsia" w:ascii="宋体" w:hAnsi="宋体"/>
          <w:szCs w:val="21"/>
          <w:highlight w:val="none"/>
        </w:rPr>
        <w:t>地址：</w:t>
      </w:r>
    </w:p>
    <w:p>
      <w:pPr>
        <w:spacing w:line="560" w:lineRule="exact"/>
        <w:rPr>
          <w:szCs w:val="21"/>
          <w:highlight w:val="none"/>
          <w:u w:val="single"/>
        </w:rPr>
      </w:pPr>
      <w:r>
        <w:rPr>
          <w:rFonts w:hint="eastAsia" w:ascii="宋体" w:hAnsi="宋体"/>
          <w:szCs w:val="21"/>
          <w:highlight w:val="none"/>
        </w:rPr>
        <w:t>联系人：</w:t>
      </w:r>
    </w:p>
    <w:p>
      <w:pPr>
        <w:spacing w:line="560" w:lineRule="exact"/>
        <w:rPr>
          <w:szCs w:val="21"/>
          <w:highlight w:val="none"/>
          <w:u w:val="single"/>
        </w:rPr>
      </w:pPr>
      <w:r>
        <w:rPr>
          <w:rFonts w:hint="eastAsia" w:ascii="宋体" w:hAnsi="宋体"/>
          <w:szCs w:val="21"/>
          <w:highlight w:val="none"/>
        </w:rPr>
        <w:t>电话：</w:t>
      </w:r>
    </w:p>
    <w:p>
      <w:pPr>
        <w:rPr>
          <w:szCs w:val="21"/>
          <w:highlight w:val="none"/>
        </w:rPr>
      </w:pPr>
    </w:p>
    <w:p>
      <w:pPr>
        <w:spacing w:line="560" w:lineRule="exact"/>
        <w:ind w:firstLine="420" w:firstLineChars="200"/>
        <w:rPr>
          <w:rFonts w:ascii="宋体" w:hAnsi="宋体"/>
          <w:szCs w:val="21"/>
          <w:highlight w:val="none"/>
        </w:rPr>
      </w:pPr>
      <w:r>
        <w:rPr>
          <w:rFonts w:hint="eastAsia" w:ascii="宋体" w:hAnsi="宋体"/>
          <w:szCs w:val="21"/>
          <w:highlight w:val="none"/>
        </w:rPr>
        <w:t>根据《中华人民共和国合同法》及相关法律法规，甲乙双方经平等、自愿、友好协商，就甲方委托乙方承包【佛山市恒益环保建材有限公司加气砌块生产辅助业务外委项目】等相关事宜达成如下条款：</w:t>
      </w:r>
    </w:p>
    <w:p>
      <w:pPr>
        <w:spacing w:line="560" w:lineRule="exact"/>
        <w:ind w:firstLine="413" w:firstLineChars="196"/>
        <w:outlineLvl w:val="0"/>
        <w:rPr>
          <w:rFonts w:ascii="宋体" w:hAnsi="宋体" w:cs="仿宋_GB2312"/>
          <w:b/>
          <w:szCs w:val="21"/>
          <w:highlight w:val="none"/>
        </w:rPr>
      </w:pPr>
      <w:bookmarkStart w:id="404" w:name="_Toc23758"/>
      <w:bookmarkStart w:id="405" w:name="_Toc415668820"/>
      <w:bookmarkStart w:id="406" w:name="_Toc489255301"/>
      <w:bookmarkStart w:id="407" w:name="_Toc30921"/>
      <w:bookmarkStart w:id="408" w:name="_Toc24712"/>
      <w:bookmarkStart w:id="409" w:name="_Toc23339"/>
      <w:r>
        <w:rPr>
          <w:rFonts w:hint="eastAsia" w:ascii="宋体" w:hAnsi="宋体" w:cs="仿宋_GB2312"/>
          <w:b/>
          <w:szCs w:val="21"/>
          <w:highlight w:val="none"/>
        </w:rPr>
        <w:t>一、 业务外包的内容及要求</w:t>
      </w:r>
      <w:bookmarkEnd w:id="404"/>
      <w:bookmarkEnd w:id="405"/>
      <w:bookmarkEnd w:id="406"/>
      <w:bookmarkEnd w:id="407"/>
      <w:bookmarkEnd w:id="408"/>
      <w:bookmarkEnd w:id="409"/>
    </w:p>
    <w:p>
      <w:pPr>
        <w:widowControl/>
        <w:spacing w:line="360" w:lineRule="auto"/>
        <w:ind w:firstLine="522" w:firstLineChars="249"/>
        <w:rPr>
          <w:rFonts w:ascii="宋体" w:hAnsi="宋体"/>
          <w:b/>
          <w:szCs w:val="21"/>
          <w:highlight w:val="none"/>
        </w:rPr>
      </w:pPr>
      <w:r>
        <w:rPr>
          <w:rFonts w:hint="eastAsia" w:ascii="宋体" w:hAnsi="宋体"/>
          <w:szCs w:val="21"/>
          <w:highlight w:val="none"/>
        </w:rPr>
        <w:t>1.生产辅助业务外委</w:t>
      </w:r>
      <w:r>
        <w:rPr>
          <w:rFonts w:ascii="宋体" w:hAnsi="宋体"/>
          <w:szCs w:val="21"/>
          <w:highlight w:val="none"/>
        </w:rPr>
        <w:t>承包内容：</w:t>
      </w:r>
      <w:r>
        <w:rPr>
          <w:rFonts w:hint="eastAsia" w:ascii="宋体" w:hAnsi="宋体"/>
          <w:szCs w:val="21"/>
          <w:highlight w:val="none"/>
        </w:rPr>
        <w:t>生产线辅助业务部分、发货辅助业务、叉运辅助业务、</w:t>
      </w:r>
      <w:r>
        <w:rPr>
          <w:rFonts w:hint="eastAsia" w:ascii="宋体" w:hAnsi="宋体" w:cs="宋体"/>
          <w:color w:val="000000"/>
          <w:kern w:val="0"/>
          <w:szCs w:val="21"/>
          <w:highlight w:val="none"/>
        </w:rPr>
        <w:t>质检辅助业务（内检）</w:t>
      </w:r>
      <w:r>
        <w:rPr>
          <w:rFonts w:hint="eastAsia" w:ascii="宋体" w:hAnsi="宋体"/>
          <w:szCs w:val="21"/>
          <w:highlight w:val="none"/>
        </w:rPr>
        <w:t>、</w:t>
      </w:r>
      <w:r>
        <w:rPr>
          <w:rFonts w:hint="eastAsia" w:ascii="宋体" w:hAnsi="宋体" w:cs="宋体"/>
          <w:color w:val="000000"/>
          <w:kern w:val="0"/>
          <w:szCs w:val="21"/>
          <w:highlight w:val="none"/>
        </w:rPr>
        <w:t>质检辅助业务（外检）、锯场辅助业务、设备检修辅助业务、</w:t>
      </w:r>
      <w:r>
        <w:rPr>
          <w:rFonts w:hint="eastAsia" w:ascii="宋体" w:hAnsi="宋体"/>
          <w:szCs w:val="21"/>
          <w:highlight w:val="none"/>
        </w:rPr>
        <w:t>各业务区域卫生清洁及零星辅助业务（详见附件1业务承包具体工作细则）。</w:t>
      </w:r>
    </w:p>
    <w:p>
      <w:pPr>
        <w:pStyle w:val="210"/>
        <w:spacing w:line="384" w:lineRule="auto"/>
        <w:ind w:firstLine="606" w:firstLineChars="300"/>
        <w:rPr>
          <w:rFonts w:ascii="宋体" w:hAnsi="宋体"/>
          <w:spacing w:val="-4"/>
          <w:szCs w:val="21"/>
          <w:highlight w:val="none"/>
        </w:rPr>
      </w:pPr>
      <w:r>
        <w:rPr>
          <w:rFonts w:hint="eastAsia" w:ascii="宋体" w:hAnsi="宋体"/>
          <w:spacing w:val="-4"/>
          <w:szCs w:val="21"/>
          <w:highlight w:val="none"/>
        </w:rPr>
        <w:t>2.乙方同意承包甲方的生产物料转运等业务，并按照本合同的约定和甲方的要求完成承包的各项业务，</w:t>
      </w:r>
      <w:r>
        <w:rPr>
          <w:rFonts w:ascii="宋体" w:hAnsi="宋体"/>
          <w:spacing w:val="-4"/>
          <w:szCs w:val="21"/>
          <w:highlight w:val="none"/>
        </w:rPr>
        <w:t>除合同另有规定外，</w:t>
      </w:r>
      <w:r>
        <w:rPr>
          <w:rFonts w:hint="eastAsia" w:ascii="宋体" w:hAnsi="宋体"/>
          <w:spacing w:val="-4"/>
          <w:szCs w:val="21"/>
          <w:highlight w:val="none"/>
        </w:rPr>
        <w:t>合同</w:t>
      </w:r>
      <w:r>
        <w:rPr>
          <w:rFonts w:ascii="宋体" w:hAnsi="宋体"/>
          <w:spacing w:val="-4"/>
          <w:szCs w:val="21"/>
          <w:highlight w:val="none"/>
        </w:rPr>
        <w:t>价格在合同实施期间不因市场、材料、人工和政策变化因素而变动</w:t>
      </w:r>
      <w:r>
        <w:rPr>
          <w:rFonts w:hint="eastAsia" w:ascii="宋体" w:hAnsi="宋体"/>
          <w:spacing w:val="-4"/>
          <w:szCs w:val="21"/>
          <w:highlight w:val="none"/>
        </w:rPr>
        <w:t>。</w:t>
      </w:r>
    </w:p>
    <w:p>
      <w:pPr>
        <w:spacing w:line="360" w:lineRule="auto"/>
        <w:ind w:firstLine="457" w:firstLineChars="218"/>
        <w:rPr>
          <w:rFonts w:ascii="宋体" w:hAnsi="宋体" w:cs="仿宋_GB2312"/>
          <w:b/>
          <w:szCs w:val="21"/>
          <w:highlight w:val="none"/>
        </w:rPr>
      </w:pPr>
      <w:r>
        <w:rPr>
          <w:rFonts w:hint="eastAsia" w:ascii="宋体" w:hAnsi="宋体"/>
          <w:szCs w:val="21"/>
          <w:highlight w:val="none"/>
        </w:rPr>
        <w:t>3.本合同为业务承包合同，乙方自行安排人员完成其承包的工作任务，充分履行用人单位职责，乙方人员工资报酬、加班费、社保、工伤等及其他非因甲方原因受到的伤害等均由乙方承担。乙方及其人员之间发生劳动争议或者其他纠纷严重影响本合同承包任务的完成，甲方可解除本合同并要求乙方赔偿因此造成的一切损失。</w:t>
      </w:r>
    </w:p>
    <w:p>
      <w:pPr>
        <w:spacing w:line="360" w:lineRule="auto"/>
        <w:ind w:firstLine="413" w:firstLineChars="196"/>
        <w:outlineLvl w:val="0"/>
        <w:rPr>
          <w:rFonts w:ascii="宋体" w:hAnsi="宋体"/>
          <w:szCs w:val="21"/>
          <w:highlight w:val="none"/>
        </w:rPr>
      </w:pPr>
      <w:bookmarkStart w:id="410" w:name="_Toc415668821"/>
      <w:bookmarkStart w:id="411" w:name="_Toc5270"/>
      <w:bookmarkStart w:id="412" w:name="_Toc489255302"/>
      <w:bookmarkStart w:id="413" w:name="_Toc11399"/>
      <w:bookmarkStart w:id="414" w:name="_Toc5645"/>
      <w:bookmarkStart w:id="415" w:name="_Toc21429"/>
      <w:r>
        <w:rPr>
          <w:rFonts w:hint="eastAsia" w:ascii="宋体" w:hAnsi="宋体" w:cs="仿宋_GB2312"/>
          <w:b/>
          <w:szCs w:val="21"/>
          <w:highlight w:val="none"/>
        </w:rPr>
        <w:t>二、甲方的权利义务</w:t>
      </w:r>
      <w:bookmarkEnd w:id="410"/>
      <w:bookmarkEnd w:id="411"/>
      <w:bookmarkEnd w:id="412"/>
      <w:bookmarkEnd w:id="413"/>
      <w:bookmarkEnd w:id="414"/>
      <w:bookmarkEnd w:id="415"/>
    </w:p>
    <w:p>
      <w:pPr>
        <w:spacing w:line="360" w:lineRule="auto"/>
        <w:ind w:firstLine="411" w:firstLineChars="196"/>
        <w:rPr>
          <w:rFonts w:ascii="宋体" w:hAnsi="宋体"/>
          <w:szCs w:val="21"/>
          <w:highlight w:val="none"/>
        </w:rPr>
      </w:pPr>
      <w:r>
        <w:rPr>
          <w:rFonts w:hint="eastAsia" w:ascii="宋体" w:hAnsi="宋体"/>
          <w:szCs w:val="21"/>
          <w:highlight w:val="none"/>
        </w:rPr>
        <w:t>1.甲方有权对乙方的承包工作进行监督、检查及考核。</w:t>
      </w:r>
      <w:r>
        <w:rPr>
          <w:rFonts w:ascii="宋体" w:hAnsi="宋体"/>
          <w:szCs w:val="21"/>
          <w:highlight w:val="none"/>
        </w:rPr>
        <w:t>具体考核标准见</w:t>
      </w:r>
      <w:r>
        <w:rPr>
          <w:rFonts w:hint="eastAsia" w:ascii="宋体" w:hAnsi="宋体"/>
          <w:szCs w:val="21"/>
          <w:highlight w:val="none"/>
        </w:rPr>
        <w:t>本合同第八条</w:t>
      </w:r>
      <w:r>
        <w:rPr>
          <w:rFonts w:ascii="宋体" w:hAnsi="宋体"/>
          <w:szCs w:val="21"/>
          <w:highlight w:val="none"/>
        </w:rPr>
        <w:t>考核办法。</w:t>
      </w:r>
    </w:p>
    <w:p>
      <w:pPr>
        <w:spacing w:line="360" w:lineRule="auto"/>
        <w:ind w:firstLine="411" w:firstLineChars="196"/>
        <w:rPr>
          <w:rFonts w:ascii="宋体" w:hAnsi="宋体"/>
          <w:szCs w:val="21"/>
          <w:highlight w:val="none"/>
        </w:rPr>
      </w:pPr>
      <w:r>
        <w:rPr>
          <w:rFonts w:hint="eastAsia" w:ascii="宋体" w:hAnsi="宋体"/>
          <w:szCs w:val="21"/>
          <w:highlight w:val="none"/>
        </w:rPr>
        <w:t>2.甲方对不能按本合同要求开展工作的乙方服务人员，有权向乙方提出更换，乙方应当配合。</w:t>
      </w:r>
    </w:p>
    <w:p>
      <w:pPr>
        <w:spacing w:line="360" w:lineRule="auto"/>
        <w:ind w:firstLine="411" w:firstLineChars="196"/>
        <w:rPr>
          <w:rFonts w:ascii="宋体" w:hAnsi="宋体"/>
          <w:spacing w:val="-4"/>
          <w:szCs w:val="21"/>
          <w:highlight w:val="none"/>
        </w:rPr>
      </w:pPr>
      <w:r>
        <w:rPr>
          <w:rFonts w:hint="eastAsia" w:ascii="宋体" w:hAnsi="宋体"/>
          <w:szCs w:val="21"/>
          <w:highlight w:val="none"/>
        </w:rPr>
        <w:t>3.</w:t>
      </w:r>
      <w:r>
        <w:rPr>
          <w:rFonts w:hint="eastAsia" w:ascii="宋体" w:hAnsi="宋体"/>
          <w:spacing w:val="-4"/>
          <w:szCs w:val="21"/>
          <w:highlight w:val="none"/>
        </w:rPr>
        <w:t>乙方依约履行本合同并完成承包业务的，甲方向乙方支付相应的承包费用。</w:t>
      </w:r>
      <w:r>
        <w:rPr>
          <w:rFonts w:ascii="宋体" w:hAnsi="宋体"/>
          <w:spacing w:val="-4"/>
          <w:szCs w:val="21"/>
          <w:highlight w:val="none"/>
        </w:rPr>
        <w:t>除非有明示，否则甲方不负责提供任何业务承包所需设备及物资等。</w:t>
      </w:r>
    </w:p>
    <w:p>
      <w:pPr>
        <w:spacing w:line="360" w:lineRule="auto"/>
        <w:ind w:firstLine="395" w:firstLineChars="196"/>
        <w:rPr>
          <w:rFonts w:ascii="宋体" w:hAnsi="宋体"/>
          <w:szCs w:val="21"/>
          <w:highlight w:val="none"/>
        </w:rPr>
      </w:pPr>
      <w:r>
        <w:rPr>
          <w:rFonts w:hint="eastAsia" w:ascii="宋体" w:hAnsi="宋体"/>
          <w:spacing w:val="-4"/>
          <w:szCs w:val="21"/>
          <w:highlight w:val="none"/>
        </w:rPr>
        <w:t>4.</w:t>
      </w:r>
      <w:r>
        <w:rPr>
          <w:rFonts w:ascii="宋体" w:hAnsi="宋体"/>
          <w:szCs w:val="21"/>
          <w:highlight w:val="none"/>
        </w:rPr>
        <w:t>虽然甲方没有义务提供</w:t>
      </w:r>
      <w:r>
        <w:rPr>
          <w:rFonts w:hint="eastAsia" w:ascii="宋体" w:hAnsi="宋体"/>
          <w:szCs w:val="21"/>
          <w:highlight w:val="none"/>
        </w:rPr>
        <w:t>承包</w:t>
      </w:r>
      <w:r>
        <w:rPr>
          <w:rFonts w:ascii="宋体" w:hAnsi="宋体"/>
          <w:szCs w:val="21"/>
          <w:highlight w:val="none"/>
        </w:rPr>
        <w:t>业务所需设备及物资等，但当乙方在业务承包中使用到甲方的生产设备、生产设施、工具和场地时，甲方有权要求乙方按照相关的安全操作规程及使用手册进行操作和使用，并对乙方人员的上述行为予以指导、监督和检查。且相应的生产设施、设备、工具等的维修、保养需由乙方自行负责，因乙方原因造成损害、遗失的，甲方有权要求赔偿。</w:t>
      </w:r>
    </w:p>
    <w:p>
      <w:pPr>
        <w:spacing w:line="360" w:lineRule="auto"/>
        <w:ind w:firstLine="413" w:firstLineChars="196"/>
        <w:outlineLvl w:val="0"/>
        <w:rPr>
          <w:rFonts w:ascii="宋体" w:hAnsi="宋体"/>
          <w:b/>
          <w:szCs w:val="21"/>
          <w:highlight w:val="none"/>
        </w:rPr>
      </w:pPr>
      <w:bookmarkStart w:id="416" w:name="_Toc25557"/>
      <w:bookmarkStart w:id="417" w:name="_Toc19851"/>
      <w:bookmarkStart w:id="418" w:name="_Toc489255303"/>
      <w:bookmarkStart w:id="419" w:name="_Toc12080"/>
      <w:bookmarkStart w:id="420" w:name="_Toc415668822"/>
      <w:bookmarkStart w:id="421" w:name="_Toc5939"/>
      <w:r>
        <w:rPr>
          <w:rFonts w:hint="eastAsia" w:ascii="宋体" w:hAnsi="宋体"/>
          <w:b/>
          <w:szCs w:val="21"/>
          <w:highlight w:val="none"/>
        </w:rPr>
        <w:t>三、乙方的权利义务</w:t>
      </w:r>
      <w:bookmarkEnd w:id="416"/>
      <w:bookmarkEnd w:id="417"/>
      <w:bookmarkEnd w:id="418"/>
      <w:bookmarkEnd w:id="419"/>
      <w:bookmarkEnd w:id="420"/>
      <w:bookmarkEnd w:id="421"/>
    </w:p>
    <w:p>
      <w:pPr>
        <w:pStyle w:val="210"/>
        <w:numPr>
          <w:ilvl w:val="0"/>
          <w:numId w:val="8"/>
        </w:numPr>
        <w:tabs>
          <w:tab w:val="left" w:pos="0"/>
        </w:tabs>
        <w:spacing w:line="360" w:lineRule="auto"/>
        <w:ind w:left="0" w:firstLine="567" w:firstLineChars="0"/>
        <w:rPr>
          <w:rFonts w:ascii="宋体" w:hAnsi="宋体"/>
          <w:szCs w:val="21"/>
          <w:highlight w:val="none"/>
        </w:rPr>
      </w:pPr>
      <w:r>
        <w:rPr>
          <w:rFonts w:hint="eastAsia" w:ascii="宋体" w:hAnsi="宋体"/>
          <w:szCs w:val="21"/>
          <w:highlight w:val="none"/>
        </w:rPr>
        <w:t>乙方有权根据自己完成的工作量和甲方的考核意见要求甲方支付相应的承包费用。</w:t>
      </w:r>
    </w:p>
    <w:p>
      <w:pPr>
        <w:pStyle w:val="210"/>
        <w:numPr>
          <w:ilvl w:val="0"/>
          <w:numId w:val="8"/>
        </w:numPr>
        <w:tabs>
          <w:tab w:val="left" w:pos="0"/>
        </w:tabs>
        <w:spacing w:line="348" w:lineRule="auto"/>
        <w:ind w:left="0" w:firstLine="567" w:firstLineChars="0"/>
        <w:rPr>
          <w:rFonts w:ascii="宋体" w:hAnsi="宋体"/>
          <w:szCs w:val="21"/>
          <w:highlight w:val="none"/>
        </w:rPr>
      </w:pPr>
      <w:r>
        <w:rPr>
          <w:rFonts w:ascii="宋体" w:hAnsi="宋体"/>
          <w:szCs w:val="21"/>
          <w:highlight w:val="none"/>
        </w:rPr>
        <w:t>乙方及其工作人员违反有关法律法规或承包业务的有关工作要求及操作规范，对甲方正常生产经营活动造成不利影响或者其他经济损失的，甲方有权要求乙方及时纠正并承担相应的赔偿责任；对存在上述行为的乙方人员，甲方有权要求乙方不得安排其参与所承包的业务，乙方也必须按照甲方的要求办理。</w:t>
      </w:r>
    </w:p>
    <w:p>
      <w:pPr>
        <w:pStyle w:val="210"/>
        <w:numPr>
          <w:ilvl w:val="0"/>
          <w:numId w:val="8"/>
        </w:numPr>
        <w:spacing w:line="348" w:lineRule="auto"/>
        <w:ind w:left="0" w:firstLine="567" w:firstLineChars="0"/>
        <w:rPr>
          <w:rFonts w:ascii="宋体" w:hAnsi="宋体"/>
          <w:szCs w:val="21"/>
          <w:highlight w:val="none"/>
        </w:rPr>
      </w:pPr>
      <w:r>
        <w:rPr>
          <w:rFonts w:hint="eastAsia" w:ascii="宋体" w:hAnsi="宋体"/>
          <w:szCs w:val="21"/>
          <w:highlight w:val="none"/>
        </w:rPr>
        <w:t>乙方须按甲方的要求完成各项承包业务，如因乙方原因未能按时足额地完成任务，并影响甲方的正常运营，因此引起的经济损失由乙方负责赔偿。</w:t>
      </w:r>
    </w:p>
    <w:p>
      <w:pPr>
        <w:pStyle w:val="210"/>
        <w:numPr>
          <w:ilvl w:val="0"/>
          <w:numId w:val="8"/>
        </w:numPr>
        <w:spacing w:line="348" w:lineRule="auto"/>
        <w:ind w:left="0" w:firstLine="567" w:firstLineChars="0"/>
        <w:rPr>
          <w:rFonts w:ascii="宋体" w:hAnsi="宋体"/>
          <w:szCs w:val="21"/>
          <w:highlight w:val="none"/>
        </w:rPr>
      </w:pPr>
      <w:r>
        <w:rPr>
          <w:rFonts w:ascii="宋体" w:hAnsi="宋体"/>
          <w:szCs w:val="21"/>
          <w:highlight w:val="none"/>
        </w:rPr>
        <w:t>乙方须按甲方制定的使用规程和要求使用承包范围内属于甲方的设备、设施、工具和场地。乙方必须遵守甲方与承包业务有关的规章制度，乙方人员进入工作现场后不得擅自动用与其岗位工作无关的设备、设施和工具。因违反有关管理规定而造成甲方设备、设施、工具、场地等破坏、损坏或遗失的，乙方须承担赔偿责任。</w:t>
      </w:r>
    </w:p>
    <w:p>
      <w:pPr>
        <w:pStyle w:val="210"/>
        <w:numPr>
          <w:ilvl w:val="0"/>
          <w:numId w:val="8"/>
        </w:numPr>
        <w:spacing w:line="348" w:lineRule="auto"/>
        <w:ind w:left="0" w:firstLine="567" w:firstLineChars="0"/>
        <w:rPr>
          <w:rFonts w:ascii="宋体" w:hAnsi="宋体"/>
          <w:szCs w:val="21"/>
          <w:highlight w:val="none"/>
        </w:rPr>
      </w:pPr>
      <w:r>
        <w:rPr>
          <w:rFonts w:ascii="宋体" w:hAnsi="宋体"/>
          <w:szCs w:val="21"/>
          <w:highlight w:val="none"/>
        </w:rPr>
        <w:t>乙方安排足够的人员并能够胜任所承包的业务；特殊岗位对工作人员有相应资质要求的，乙方安排的员工必须具备相应的资质；如乙方的</w:t>
      </w:r>
      <w:r>
        <w:rPr>
          <w:rFonts w:hint="eastAsia" w:ascii="宋体" w:hAnsi="宋体"/>
          <w:szCs w:val="21"/>
          <w:highlight w:val="none"/>
        </w:rPr>
        <w:t>工作</w:t>
      </w:r>
      <w:r>
        <w:rPr>
          <w:rFonts w:ascii="宋体" w:hAnsi="宋体"/>
          <w:szCs w:val="21"/>
          <w:highlight w:val="none"/>
        </w:rPr>
        <w:t>人员不能按甲方的要求开展工作，经甲方提出，乙方应及时更换合适的</w:t>
      </w:r>
      <w:r>
        <w:rPr>
          <w:rFonts w:hint="eastAsia" w:ascii="宋体" w:hAnsi="宋体"/>
          <w:szCs w:val="21"/>
          <w:highlight w:val="none"/>
        </w:rPr>
        <w:t>工作</w:t>
      </w:r>
      <w:r>
        <w:rPr>
          <w:rFonts w:ascii="宋体" w:hAnsi="宋体"/>
          <w:szCs w:val="21"/>
          <w:highlight w:val="none"/>
        </w:rPr>
        <w:t>人员</w:t>
      </w:r>
      <w:r>
        <w:rPr>
          <w:rFonts w:hint="eastAsia" w:ascii="宋体" w:hAnsi="宋体"/>
          <w:szCs w:val="21"/>
          <w:highlight w:val="none"/>
        </w:rPr>
        <w:t>。</w:t>
      </w:r>
    </w:p>
    <w:p>
      <w:pPr>
        <w:pStyle w:val="210"/>
        <w:numPr>
          <w:ilvl w:val="0"/>
          <w:numId w:val="8"/>
        </w:numPr>
        <w:spacing w:line="348" w:lineRule="auto"/>
        <w:ind w:left="0" w:firstLine="567" w:firstLineChars="0"/>
        <w:rPr>
          <w:rFonts w:ascii="宋体" w:hAnsi="宋体"/>
          <w:szCs w:val="21"/>
          <w:highlight w:val="none"/>
        </w:rPr>
      </w:pPr>
      <w:r>
        <w:rPr>
          <w:rFonts w:ascii="宋体" w:hAnsi="宋体"/>
          <w:szCs w:val="21"/>
          <w:highlight w:val="none"/>
        </w:rPr>
        <w:t>乙方必须保质保量地完成承包业务，配备足够的业务管理人员负责对所承包的业务进行日常管理。</w:t>
      </w:r>
    </w:p>
    <w:p>
      <w:pPr>
        <w:pStyle w:val="210"/>
        <w:numPr>
          <w:ilvl w:val="0"/>
          <w:numId w:val="8"/>
        </w:numPr>
        <w:spacing w:line="348" w:lineRule="auto"/>
        <w:ind w:left="0" w:firstLine="567" w:firstLineChars="0"/>
        <w:rPr>
          <w:rFonts w:ascii="宋体" w:hAnsi="宋体"/>
          <w:szCs w:val="21"/>
          <w:highlight w:val="none"/>
        </w:rPr>
      </w:pPr>
      <w:r>
        <w:rPr>
          <w:rFonts w:ascii="宋体" w:hAnsi="宋体"/>
          <w:szCs w:val="21"/>
          <w:highlight w:val="none"/>
        </w:rPr>
        <w:t>乙方须遵守国家法律法规，建立完善的内部管理制度。乙方保证自身具备履行本合同义务的合法资质和能力，并保证其在本合同项下的履约行为均在中国法律允许的范围内，不侵犯第三方的合法权益。</w:t>
      </w:r>
    </w:p>
    <w:p>
      <w:pPr>
        <w:pStyle w:val="210"/>
        <w:numPr>
          <w:ilvl w:val="0"/>
          <w:numId w:val="8"/>
        </w:numPr>
        <w:spacing w:line="348" w:lineRule="auto"/>
        <w:ind w:hanging="137" w:firstLineChars="0"/>
        <w:rPr>
          <w:rFonts w:ascii="宋体" w:hAnsi="宋体"/>
          <w:szCs w:val="21"/>
          <w:highlight w:val="none"/>
        </w:rPr>
      </w:pPr>
      <w:r>
        <w:rPr>
          <w:rFonts w:ascii="宋体" w:hAnsi="宋体"/>
          <w:szCs w:val="21"/>
          <w:highlight w:val="none"/>
        </w:rPr>
        <w:t>乙方在完成承包业务过程中，应承担安全生产义务具体见安健环协议。</w:t>
      </w:r>
    </w:p>
    <w:p>
      <w:pPr>
        <w:pStyle w:val="210"/>
        <w:numPr>
          <w:ilvl w:val="0"/>
          <w:numId w:val="8"/>
        </w:numPr>
        <w:spacing w:line="348" w:lineRule="auto"/>
        <w:ind w:left="0" w:firstLine="567" w:firstLineChars="0"/>
        <w:rPr>
          <w:rFonts w:ascii="宋体" w:hAnsi="宋体"/>
          <w:szCs w:val="21"/>
          <w:highlight w:val="none"/>
        </w:rPr>
      </w:pPr>
      <w:r>
        <w:rPr>
          <w:rFonts w:ascii="宋体" w:hAnsi="宋体"/>
          <w:szCs w:val="21"/>
          <w:highlight w:val="none"/>
        </w:rPr>
        <w:t>乙方须依法建立完善的内部劳动用工制度，乙方应与其工作人员签署劳动合同，按照劳动合同和法律法规的要求，按标准按时对工作人员发放劳动报酬、支付加班费、按期组织体检、履行用人单位的所有义务，并接受甲方监督。</w:t>
      </w:r>
    </w:p>
    <w:p>
      <w:pPr>
        <w:spacing w:line="348" w:lineRule="auto"/>
        <w:ind w:firstLine="420" w:firstLineChars="200"/>
        <w:rPr>
          <w:rFonts w:ascii="宋体" w:hAnsi="宋体"/>
          <w:szCs w:val="21"/>
          <w:highlight w:val="none"/>
        </w:rPr>
      </w:pPr>
      <w:r>
        <w:rPr>
          <w:rFonts w:hint="eastAsia" w:ascii="宋体" w:hAnsi="宋体"/>
          <w:color w:val="000000"/>
          <w:kern w:val="0"/>
          <w:szCs w:val="21"/>
          <w:highlight w:val="none"/>
        </w:rPr>
        <w:t>10. 如因乙方或乙方服务人员的原因造成甲方或任何第三方遭受人身、财产或名誉损失的，乙方应承担全部责任，并保证甲方免受一切权利主张。</w:t>
      </w:r>
    </w:p>
    <w:p>
      <w:pPr>
        <w:spacing w:line="348" w:lineRule="auto"/>
        <w:ind w:firstLine="420" w:firstLineChars="200"/>
        <w:rPr>
          <w:rFonts w:ascii="宋体" w:hAnsi="宋体"/>
          <w:szCs w:val="21"/>
          <w:highlight w:val="none"/>
        </w:rPr>
      </w:pPr>
      <w:r>
        <w:rPr>
          <w:rFonts w:hint="eastAsia" w:ascii="宋体" w:hAnsi="宋体"/>
          <w:color w:val="000000"/>
          <w:kern w:val="0"/>
          <w:szCs w:val="21"/>
          <w:highlight w:val="none"/>
        </w:rPr>
        <w:t>11. 未经甲方事先书面同意，乙方不得以任何形式将本合同项下全部或部分服务工作转由第三方承担。</w:t>
      </w:r>
    </w:p>
    <w:p>
      <w:pPr>
        <w:tabs>
          <w:tab w:val="left" w:pos="851"/>
        </w:tabs>
        <w:spacing w:line="360" w:lineRule="auto"/>
        <w:ind w:firstLine="420" w:firstLineChars="200"/>
        <w:rPr>
          <w:rFonts w:ascii="宋体" w:hAnsi="宋体"/>
          <w:szCs w:val="21"/>
          <w:highlight w:val="none"/>
        </w:rPr>
      </w:pPr>
      <w:r>
        <w:rPr>
          <w:rFonts w:hint="eastAsia" w:ascii="宋体" w:hAnsi="宋体"/>
          <w:szCs w:val="21"/>
          <w:highlight w:val="none"/>
        </w:rPr>
        <w:t>12. 乙方在完成承包业务过程中，应承担如下的安全生产义务：</w:t>
      </w:r>
    </w:p>
    <w:p>
      <w:pPr>
        <w:tabs>
          <w:tab w:val="left" w:pos="1134"/>
        </w:tabs>
        <w:spacing w:line="360" w:lineRule="auto"/>
        <w:ind w:firstLine="420" w:firstLineChars="200"/>
        <w:rPr>
          <w:rFonts w:ascii="宋体" w:hAnsi="宋体"/>
          <w:szCs w:val="21"/>
          <w:highlight w:val="none"/>
        </w:rPr>
      </w:pPr>
      <w:r>
        <w:rPr>
          <w:rFonts w:hint="eastAsia" w:ascii="宋体" w:hAnsi="宋体"/>
          <w:szCs w:val="21"/>
          <w:highlight w:val="none"/>
        </w:rPr>
        <w:t>12.1 乙方应建立健全承包业务的各项安健环管理制度，定期对工作人员进行安全生产、职业卫生方面的教育和培训，增强员工的安全和健康意识，不定期对工作人员的安全作业情况进行检查。乙方应遵守国家和地区有关劳动保护法律法规，做好职业健康管理工作，对于身体健康状况不适宜承担相应工作的人员，乙方不得安排其在相应岗位工作。</w:t>
      </w:r>
    </w:p>
    <w:p>
      <w:pPr>
        <w:tabs>
          <w:tab w:val="left" w:pos="1134"/>
        </w:tabs>
        <w:spacing w:line="360" w:lineRule="auto"/>
        <w:ind w:firstLine="420" w:firstLineChars="200"/>
        <w:rPr>
          <w:rFonts w:ascii="宋体" w:hAnsi="宋体"/>
          <w:szCs w:val="21"/>
          <w:highlight w:val="none"/>
        </w:rPr>
      </w:pPr>
      <w:r>
        <w:rPr>
          <w:rFonts w:hint="eastAsia" w:ascii="宋体" w:hAnsi="宋体"/>
          <w:szCs w:val="21"/>
          <w:highlight w:val="none"/>
        </w:rPr>
        <w:t>12.2 乙方工作人员在工作中应严格遵守有关安全生产法律法规及甲方、乙方有关安全生产、文明生产规定。如因乙方及其工作人员违反有关安全生产的各种规定而引发安全事故的，由乙方负责，给甲方造成损失的，乙方应予以赔偿。乙方人员因与承包工作有关的各种工伤、非工伤的各种伤亡均与甲方无关，由此而产生一切损害赔偿责任全部由乙方承担。</w:t>
      </w:r>
    </w:p>
    <w:p>
      <w:pPr>
        <w:tabs>
          <w:tab w:val="left" w:pos="1134"/>
        </w:tabs>
        <w:spacing w:line="360" w:lineRule="auto"/>
        <w:ind w:firstLine="420" w:firstLineChars="200"/>
        <w:rPr>
          <w:rFonts w:ascii="宋体" w:hAnsi="宋体"/>
          <w:szCs w:val="21"/>
          <w:highlight w:val="none"/>
        </w:rPr>
      </w:pPr>
      <w:r>
        <w:rPr>
          <w:rFonts w:hint="eastAsia" w:ascii="宋体" w:hAnsi="宋体"/>
          <w:szCs w:val="21"/>
          <w:highlight w:val="none"/>
        </w:rPr>
        <w:t>12.3 乙方应按有关劳动保护的规定为工作人员配备安全及劳动防护用品，并对其佩戴及使用情况予以监督，采取有效措施防止职业病及安全生产事故的发生。乙方工作人员患职业病的，一概由乙方负责解决，若甲方因此遭受损失的，乙方负责赔偿甲方的全部损失。乙方在安排工作人员进场前及退场前，应对其派出的工作人员进行职业病安全检查，并将检查结果交甲方查阅，未及时提交或提供虚假资料的，甲方有权迟延付款，情况严重的，有权单方解除本合同。</w:t>
      </w:r>
    </w:p>
    <w:p>
      <w:pPr>
        <w:tabs>
          <w:tab w:val="left" w:pos="567"/>
          <w:tab w:val="left" w:pos="1134"/>
        </w:tabs>
        <w:spacing w:line="360" w:lineRule="auto"/>
        <w:ind w:firstLine="420" w:firstLineChars="200"/>
        <w:rPr>
          <w:rFonts w:ascii="宋体" w:hAnsi="宋体"/>
          <w:szCs w:val="21"/>
          <w:highlight w:val="none"/>
        </w:rPr>
      </w:pPr>
      <w:r>
        <w:rPr>
          <w:rFonts w:hint="eastAsia" w:ascii="宋体" w:hAnsi="宋体"/>
          <w:szCs w:val="21"/>
          <w:highlight w:val="none"/>
        </w:rPr>
        <w:t>12.4乙方不得指使其工作人员违章作业、冒险作业，并应对其安全生产情况进行监督和检查，发现问题应及时予以纠正。甲方对乙方违反有关安全生产规定的情况有权向乙方提出，乙方应予接受并及时整改。</w:t>
      </w:r>
    </w:p>
    <w:p>
      <w:pPr>
        <w:tabs>
          <w:tab w:val="left" w:pos="1134"/>
        </w:tabs>
        <w:spacing w:line="360" w:lineRule="auto"/>
        <w:ind w:firstLine="420" w:firstLineChars="200"/>
        <w:rPr>
          <w:rFonts w:ascii="宋体" w:hAnsi="宋体"/>
          <w:szCs w:val="21"/>
          <w:highlight w:val="none"/>
        </w:rPr>
      </w:pPr>
      <w:r>
        <w:rPr>
          <w:rFonts w:hint="eastAsia" w:ascii="宋体" w:hAnsi="宋体"/>
          <w:szCs w:val="21"/>
          <w:highlight w:val="none"/>
        </w:rPr>
        <w:t>12.5乙方及其工作人员须遵守甲方有关厂区道路安全制度的管理规定，不得在厂区内驾驶车辆时使用通讯工具及从事其他妨碍安全驾驶的行为。</w:t>
      </w:r>
    </w:p>
    <w:p>
      <w:pPr>
        <w:spacing w:line="348" w:lineRule="auto"/>
        <w:ind w:firstLine="420" w:firstLineChars="200"/>
        <w:rPr>
          <w:rFonts w:ascii="宋体" w:hAnsi="宋体"/>
          <w:szCs w:val="21"/>
          <w:highlight w:val="none"/>
        </w:rPr>
      </w:pPr>
      <w:r>
        <w:rPr>
          <w:rFonts w:hint="eastAsia" w:ascii="宋体" w:hAnsi="宋体"/>
          <w:szCs w:val="21"/>
          <w:highlight w:val="none"/>
        </w:rPr>
        <w:t>13. 乙方应当向甲方提供拟参加本项目人员名单，并经所有拟参加人员的签名确认。人员名单（格式见附件四）中应当包括所有人员的姓名、身份证号码、劳动期限、有效联系方式等内容。</w:t>
      </w:r>
    </w:p>
    <w:p>
      <w:pPr>
        <w:spacing w:line="348" w:lineRule="auto"/>
        <w:ind w:firstLine="420" w:firstLineChars="200"/>
        <w:rPr>
          <w:rFonts w:ascii="宋体" w:hAnsi="宋体"/>
          <w:szCs w:val="21"/>
          <w:highlight w:val="none"/>
        </w:rPr>
      </w:pPr>
      <w:r>
        <w:rPr>
          <w:rFonts w:hint="eastAsia" w:ascii="宋体" w:hAnsi="宋体"/>
          <w:szCs w:val="21"/>
          <w:highlight w:val="none"/>
        </w:rPr>
        <w:t>14. 乙方应当向甲方提供所有拟参加人员与乙方签署的合法有效的劳动合同复印件，不能提供劳动合同复印件的，甲方有权拒绝其参与承包项目。</w:t>
      </w:r>
    </w:p>
    <w:p>
      <w:pPr>
        <w:spacing w:line="348" w:lineRule="auto"/>
        <w:ind w:firstLine="396" w:firstLineChars="200"/>
        <w:rPr>
          <w:rFonts w:ascii="宋体" w:hAnsi="宋体"/>
          <w:spacing w:val="-6"/>
          <w:szCs w:val="21"/>
          <w:highlight w:val="none"/>
        </w:rPr>
      </w:pPr>
      <w:r>
        <w:rPr>
          <w:rFonts w:hint="eastAsia" w:ascii="宋体" w:hAnsi="宋体"/>
          <w:spacing w:val="-6"/>
          <w:szCs w:val="21"/>
          <w:highlight w:val="none"/>
        </w:rPr>
        <w:t>15. 乙方工作人员进场工作时应当签署承包方未曾拖欠其劳动报酬等内容的声明（格式见附件三）。乙方工作人员不按照上述要求签署声明的，甲方有权拒绝其参与承包项目。</w:t>
      </w:r>
    </w:p>
    <w:p>
      <w:pPr>
        <w:spacing w:line="348" w:lineRule="auto"/>
        <w:ind w:firstLine="420" w:firstLineChars="200"/>
        <w:rPr>
          <w:rFonts w:ascii="宋体" w:hAnsi="宋体"/>
          <w:szCs w:val="21"/>
          <w:highlight w:val="none"/>
        </w:rPr>
      </w:pPr>
      <w:r>
        <w:rPr>
          <w:rFonts w:hint="eastAsia" w:ascii="宋体" w:hAnsi="宋体"/>
          <w:szCs w:val="21"/>
          <w:highlight w:val="none"/>
        </w:rPr>
        <w:t>16. 乙方应委派专人负责乙方工作人员的管理。乙方工作人员的劳动合同期限等内容的变动应及时通知甲方，乙方与其工作人员的劳动合同终止的，乙方应及时替换为其他工作人员。乙方工作人员数量和岗位的变动，应当事先取得甲方认可。</w:t>
      </w:r>
    </w:p>
    <w:p>
      <w:pPr>
        <w:spacing w:line="360" w:lineRule="auto"/>
        <w:ind w:firstLine="420" w:firstLineChars="200"/>
        <w:rPr>
          <w:rFonts w:ascii="宋体" w:hAnsi="宋体"/>
          <w:szCs w:val="21"/>
          <w:highlight w:val="none"/>
        </w:rPr>
      </w:pPr>
      <w:r>
        <w:rPr>
          <w:rFonts w:hint="eastAsia" w:ascii="宋体" w:hAnsi="宋体"/>
          <w:szCs w:val="21"/>
          <w:highlight w:val="none"/>
        </w:rPr>
        <w:t>17. 乙方应当每月按时向甲方报送其已为所有工作人员支付劳动报酬、缴纳各项社会保险的证明。</w:t>
      </w:r>
    </w:p>
    <w:p>
      <w:pPr>
        <w:spacing w:line="360" w:lineRule="auto"/>
        <w:ind w:firstLine="420" w:firstLineChars="200"/>
        <w:rPr>
          <w:rFonts w:ascii="宋体" w:hAnsi="宋体"/>
          <w:szCs w:val="21"/>
          <w:highlight w:val="none"/>
        </w:rPr>
      </w:pPr>
      <w:r>
        <w:rPr>
          <w:rFonts w:hint="eastAsia" w:ascii="宋体" w:hAnsi="宋体"/>
          <w:szCs w:val="21"/>
          <w:highlight w:val="none"/>
        </w:rPr>
        <w:t>18. 乙方每个季度应向甲方提交项目承包工作小结，内容应包括项目承包期间的安全运行状况；如遇影响正常生产的紧急情况须立即向甲方报告。</w:t>
      </w:r>
    </w:p>
    <w:p>
      <w:pPr>
        <w:spacing w:line="360" w:lineRule="auto"/>
        <w:ind w:firstLine="413" w:firstLineChars="196"/>
        <w:rPr>
          <w:rFonts w:ascii="宋体" w:hAnsi="宋体" w:cs="仿宋_GB2312"/>
          <w:b/>
          <w:szCs w:val="21"/>
          <w:highlight w:val="none"/>
        </w:rPr>
      </w:pPr>
      <w:r>
        <w:rPr>
          <w:rFonts w:hint="eastAsia" w:ascii="宋体" w:hAnsi="宋体" w:cs="仿宋_GB2312"/>
          <w:b/>
          <w:szCs w:val="21"/>
          <w:highlight w:val="none"/>
        </w:rPr>
        <w:t>四、合同款项及结算方式</w:t>
      </w:r>
    </w:p>
    <w:p>
      <w:pPr>
        <w:pStyle w:val="210"/>
        <w:numPr>
          <w:ilvl w:val="0"/>
          <w:numId w:val="9"/>
        </w:numPr>
        <w:spacing w:line="384" w:lineRule="auto"/>
        <w:ind w:left="709" w:hanging="283" w:firstLineChars="0"/>
        <w:rPr>
          <w:rFonts w:ascii="宋体" w:hAnsi="宋体"/>
          <w:szCs w:val="21"/>
          <w:highlight w:val="none"/>
        </w:rPr>
      </w:pPr>
      <w:r>
        <w:rPr>
          <w:rFonts w:ascii="宋体" w:hAnsi="宋体"/>
          <w:szCs w:val="21"/>
          <w:highlight w:val="none"/>
        </w:rPr>
        <w:t>承包数量</w:t>
      </w:r>
      <w:r>
        <w:rPr>
          <w:rFonts w:hint="eastAsia" w:ascii="宋体" w:hAnsi="宋体"/>
          <w:szCs w:val="21"/>
          <w:highlight w:val="none"/>
        </w:rPr>
        <w:t>及</w:t>
      </w:r>
      <w:r>
        <w:rPr>
          <w:rFonts w:ascii="宋体" w:hAnsi="宋体"/>
          <w:szCs w:val="21"/>
          <w:highlight w:val="none"/>
        </w:rPr>
        <w:t>价格：</w:t>
      </w:r>
    </w:p>
    <w:p>
      <w:pPr>
        <w:pStyle w:val="210"/>
        <w:numPr>
          <w:ilvl w:val="255"/>
          <w:numId w:val="0"/>
        </w:numPr>
        <w:tabs>
          <w:tab w:val="left" w:pos="851"/>
        </w:tabs>
        <w:spacing w:line="384" w:lineRule="auto"/>
        <w:ind w:firstLine="420" w:firstLineChars="200"/>
        <w:rPr>
          <w:rFonts w:ascii="宋体" w:hAnsi="宋体"/>
          <w:szCs w:val="21"/>
          <w:highlight w:val="none"/>
        </w:rPr>
      </w:pPr>
      <w:r>
        <w:rPr>
          <w:rFonts w:hint="eastAsia" w:ascii="宋体" w:hAnsi="宋体"/>
          <w:szCs w:val="21"/>
          <w:highlight w:val="none"/>
        </w:rPr>
        <w:t>1.1物料转运数量约</w:t>
      </w:r>
      <w:r>
        <w:rPr>
          <w:rFonts w:ascii="宋体" w:hAnsi="宋体"/>
          <w:bCs/>
          <w:szCs w:val="21"/>
          <w:highlight w:val="none"/>
          <w:lang w:val="zh-CN"/>
        </w:rPr>
        <w:t>1.65万吨／年</w:t>
      </w:r>
      <w:r>
        <w:rPr>
          <w:rFonts w:hint="eastAsia" w:ascii="宋体" w:hAnsi="宋体"/>
          <w:bCs/>
          <w:szCs w:val="21"/>
          <w:highlight w:val="none"/>
          <w:lang w:val="zh-CN"/>
        </w:rPr>
        <w:t>（其中</w:t>
      </w:r>
      <w:r>
        <w:rPr>
          <w:rFonts w:hint="eastAsia" w:ascii="宋体" w:hAnsi="宋体"/>
          <w:bCs/>
          <w:spacing w:val="-6"/>
          <w:szCs w:val="21"/>
          <w:highlight w:val="none"/>
          <w:lang w:val="zh-CN"/>
        </w:rPr>
        <w:t>转运脱硫石膏</w:t>
      </w:r>
      <w:r>
        <w:rPr>
          <w:rFonts w:ascii="宋体" w:hAnsi="宋体"/>
          <w:bCs/>
          <w:spacing w:val="-6"/>
          <w:szCs w:val="21"/>
          <w:highlight w:val="none"/>
          <w:lang w:val="zh-CN"/>
        </w:rPr>
        <w:t>1.1万吨</w:t>
      </w:r>
      <w:r>
        <w:rPr>
          <w:rFonts w:hint="eastAsia" w:ascii="宋体" w:hAnsi="宋体"/>
          <w:bCs/>
          <w:szCs w:val="21"/>
          <w:highlight w:val="none"/>
          <w:lang w:val="zh-CN"/>
        </w:rPr>
        <w:t>／年</w:t>
      </w:r>
      <w:r>
        <w:rPr>
          <w:rFonts w:hint="eastAsia" w:ascii="宋体" w:hAnsi="宋体"/>
          <w:bCs/>
          <w:spacing w:val="-6"/>
          <w:szCs w:val="21"/>
          <w:highlight w:val="none"/>
          <w:lang w:val="zh-CN"/>
        </w:rPr>
        <w:t>、炉渣</w:t>
      </w:r>
      <w:r>
        <w:rPr>
          <w:rFonts w:ascii="宋体" w:hAnsi="宋体"/>
          <w:bCs/>
          <w:spacing w:val="-6"/>
          <w:szCs w:val="21"/>
          <w:highlight w:val="none"/>
          <w:lang w:val="zh-CN"/>
        </w:rPr>
        <w:t>0.55万吨</w:t>
      </w:r>
      <w:r>
        <w:rPr>
          <w:rFonts w:hint="eastAsia" w:ascii="宋体" w:hAnsi="宋体"/>
          <w:bCs/>
          <w:szCs w:val="21"/>
          <w:highlight w:val="none"/>
          <w:lang w:val="zh-CN"/>
        </w:rPr>
        <w:t>／年），</w:t>
      </w:r>
      <w:r>
        <w:rPr>
          <w:rFonts w:hint="eastAsia" w:ascii="宋体" w:hAnsi="宋体"/>
          <w:szCs w:val="21"/>
          <w:highlight w:val="none"/>
        </w:rPr>
        <w:t>费用按甲方地磅过磅单实际重量结算，含税单价为元/吨，2年预估总金额为     万元。</w:t>
      </w:r>
    </w:p>
    <w:p>
      <w:pPr>
        <w:pStyle w:val="210"/>
        <w:numPr>
          <w:ilvl w:val="255"/>
          <w:numId w:val="0"/>
        </w:numPr>
        <w:tabs>
          <w:tab w:val="left" w:pos="851"/>
        </w:tabs>
        <w:spacing w:line="384" w:lineRule="auto"/>
        <w:ind w:firstLine="420" w:firstLineChars="200"/>
        <w:rPr>
          <w:rFonts w:ascii="宋体" w:hAnsi="宋体"/>
          <w:szCs w:val="21"/>
          <w:highlight w:val="none"/>
        </w:rPr>
      </w:pPr>
      <w:r>
        <w:rPr>
          <w:rFonts w:hint="eastAsia" w:ascii="宋体" w:hAnsi="宋体"/>
          <w:szCs w:val="21"/>
          <w:highlight w:val="none"/>
        </w:rPr>
        <w:t>1.2业务外委数量约</w:t>
      </w:r>
      <w:r>
        <w:rPr>
          <w:rFonts w:ascii="宋体" w:hAnsi="宋体"/>
          <w:bCs/>
          <w:szCs w:val="21"/>
          <w:highlight w:val="none"/>
          <w:lang w:val="zh-CN"/>
        </w:rPr>
        <w:t>30万立方／年</w:t>
      </w:r>
      <w:r>
        <w:rPr>
          <w:rFonts w:hint="eastAsia" w:ascii="宋体" w:hAnsi="宋体"/>
          <w:bCs/>
          <w:szCs w:val="21"/>
          <w:highlight w:val="none"/>
          <w:lang w:val="zh-CN"/>
        </w:rPr>
        <w:t>，</w:t>
      </w:r>
      <w:r>
        <w:rPr>
          <w:rFonts w:hint="eastAsia" w:ascii="宋体" w:hAnsi="宋体"/>
          <w:szCs w:val="21"/>
          <w:highlight w:val="none"/>
        </w:rPr>
        <w:t>费用</w:t>
      </w:r>
      <w:r>
        <w:rPr>
          <w:rFonts w:ascii="宋体" w:hAnsi="宋体"/>
          <w:szCs w:val="21"/>
          <w:highlight w:val="none"/>
        </w:rPr>
        <w:t>按甲方</w:t>
      </w:r>
      <w:r>
        <w:rPr>
          <w:rFonts w:hint="eastAsia" w:ascii="宋体" w:hAnsi="宋体"/>
          <w:szCs w:val="21"/>
          <w:highlight w:val="none"/>
        </w:rPr>
        <w:t>加气</w:t>
      </w:r>
      <w:r>
        <w:rPr>
          <w:rFonts w:ascii="宋体" w:hAnsi="宋体"/>
          <w:szCs w:val="21"/>
          <w:highlight w:val="none"/>
        </w:rPr>
        <w:t>砌块每月实际入库</w:t>
      </w:r>
      <w:r>
        <w:rPr>
          <w:rFonts w:hint="eastAsia" w:ascii="宋体" w:hAnsi="宋体"/>
          <w:szCs w:val="21"/>
          <w:highlight w:val="none"/>
        </w:rPr>
        <w:t>合格品</w:t>
      </w:r>
      <w:r>
        <w:rPr>
          <w:rFonts w:ascii="宋体" w:hAnsi="宋体"/>
          <w:szCs w:val="21"/>
          <w:highlight w:val="none"/>
        </w:rPr>
        <w:t>量计价，</w:t>
      </w:r>
      <w:r>
        <w:rPr>
          <w:rFonts w:hint="eastAsia" w:ascii="宋体" w:hAnsi="宋体"/>
          <w:szCs w:val="21"/>
          <w:highlight w:val="none"/>
        </w:rPr>
        <w:t>含税</w:t>
      </w:r>
      <w:r>
        <w:rPr>
          <w:rFonts w:ascii="宋体" w:hAnsi="宋体"/>
          <w:szCs w:val="21"/>
          <w:highlight w:val="none"/>
        </w:rPr>
        <w:t>单价为元/立方</w:t>
      </w:r>
      <w:r>
        <w:rPr>
          <w:rFonts w:hint="eastAsia" w:ascii="宋体" w:hAnsi="宋体"/>
          <w:szCs w:val="21"/>
          <w:highlight w:val="none"/>
        </w:rPr>
        <w:t>；2年预估总金额为     万元。</w:t>
      </w:r>
      <w:r>
        <w:rPr>
          <w:rFonts w:ascii="宋体" w:hAnsi="宋体"/>
          <w:szCs w:val="21"/>
          <w:highlight w:val="none"/>
        </w:rPr>
        <w:t>每月实际入库</w:t>
      </w:r>
      <w:r>
        <w:rPr>
          <w:rFonts w:hint="eastAsia" w:ascii="宋体" w:hAnsi="宋体"/>
          <w:szCs w:val="21"/>
          <w:highlight w:val="none"/>
        </w:rPr>
        <w:t>次品量按合格品结算单价的</w:t>
      </w:r>
      <w:r>
        <w:rPr>
          <w:rFonts w:ascii="宋体" w:hAnsi="宋体"/>
          <w:szCs w:val="21"/>
          <w:highlight w:val="none"/>
        </w:rPr>
        <w:t>50%</w:t>
      </w:r>
      <w:r>
        <w:rPr>
          <w:rFonts w:hint="eastAsia" w:ascii="宋体" w:hAnsi="宋体"/>
          <w:szCs w:val="21"/>
          <w:highlight w:val="none"/>
        </w:rPr>
        <w:t>计价。</w:t>
      </w:r>
    </w:p>
    <w:p>
      <w:pPr>
        <w:pStyle w:val="210"/>
        <w:numPr>
          <w:ilvl w:val="255"/>
          <w:numId w:val="0"/>
        </w:numPr>
        <w:tabs>
          <w:tab w:val="left" w:pos="851"/>
        </w:tabs>
        <w:spacing w:line="384" w:lineRule="auto"/>
        <w:ind w:firstLine="420" w:firstLineChars="200"/>
        <w:rPr>
          <w:rFonts w:ascii="宋体" w:hAnsi="宋体"/>
          <w:szCs w:val="21"/>
          <w:highlight w:val="none"/>
        </w:rPr>
      </w:pPr>
      <w:r>
        <w:rPr>
          <w:rFonts w:hint="eastAsia" w:ascii="宋体" w:hAnsi="宋体"/>
          <w:szCs w:val="21"/>
          <w:highlight w:val="none"/>
        </w:rPr>
        <w:t>1.3 如遇国家调整增值税税率，按不含税价款不变的原则调整含税价款，调价公式为：原含税价/（1+原税率）*（1+新税率））。（如乙方不能开具增值税发票，则取消该条款）</w:t>
      </w:r>
    </w:p>
    <w:p>
      <w:pPr>
        <w:pStyle w:val="210"/>
        <w:numPr>
          <w:ilvl w:val="0"/>
          <w:numId w:val="9"/>
        </w:numPr>
        <w:tabs>
          <w:tab w:val="left" w:pos="709"/>
        </w:tabs>
        <w:spacing w:line="384" w:lineRule="auto"/>
        <w:ind w:hanging="278" w:firstLineChars="0"/>
        <w:rPr>
          <w:rFonts w:ascii="宋体" w:hAnsi="宋体"/>
          <w:szCs w:val="21"/>
          <w:highlight w:val="none"/>
        </w:rPr>
      </w:pPr>
      <w:r>
        <w:rPr>
          <w:rFonts w:ascii="宋体" w:hAnsi="宋体"/>
          <w:szCs w:val="21"/>
          <w:highlight w:val="none"/>
        </w:rPr>
        <w:t>结算方式：</w:t>
      </w:r>
    </w:p>
    <w:p>
      <w:pPr>
        <w:pStyle w:val="210"/>
        <w:numPr>
          <w:ilvl w:val="1"/>
          <w:numId w:val="9"/>
        </w:numPr>
        <w:tabs>
          <w:tab w:val="left" w:pos="0"/>
        </w:tabs>
        <w:spacing w:line="384" w:lineRule="auto"/>
        <w:ind w:left="2" w:firstLine="367" w:firstLineChars="175"/>
        <w:rPr>
          <w:rFonts w:ascii="宋体" w:hAnsi="宋体"/>
          <w:szCs w:val="21"/>
          <w:highlight w:val="none"/>
        </w:rPr>
      </w:pPr>
      <w:r>
        <w:rPr>
          <w:rFonts w:ascii="宋体" w:hAnsi="宋体"/>
          <w:szCs w:val="21"/>
          <w:highlight w:val="none"/>
        </w:rPr>
        <w:t>每月26日8时为月度结算点，在结算点后甲方对乙方当月完成业务的情况进行考核，并根据考核意见和实际入库成品量及计费标准进行结算，双方确认结算</w:t>
      </w:r>
      <w:r>
        <w:rPr>
          <w:rFonts w:hint="eastAsia" w:ascii="宋体" w:hAnsi="宋体"/>
          <w:szCs w:val="21"/>
          <w:highlight w:val="none"/>
        </w:rPr>
        <w:t>数量和</w:t>
      </w:r>
      <w:r>
        <w:rPr>
          <w:rFonts w:ascii="宋体" w:hAnsi="宋体"/>
          <w:szCs w:val="21"/>
          <w:highlight w:val="none"/>
        </w:rPr>
        <w:t>金额，乙方开具</w:t>
      </w:r>
      <w:r>
        <w:rPr>
          <w:rFonts w:hint="eastAsia" w:ascii="宋体" w:hAnsi="宋体"/>
          <w:szCs w:val="21"/>
          <w:highlight w:val="none"/>
        </w:rPr>
        <w:t>合法有效发票</w:t>
      </w:r>
      <w:r>
        <w:rPr>
          <w:rFonts w:ascii="宋体" w:hAnsi="宋体"/>
          <w:szCs w:val="21"/>
          <w:highlight w:val="none"/>
        </w:rPr>
        <w:t>给</w:t>
      </w:r>
      <w:r>
        <w:rPr>
          <w:rFonts w:hint="eastAsia" w:ascii="宋体" w:hAnsi="宋体"/>
          <w:szCs w:val="21"/>
          <w:highlight w:val="none"/>
        </w:rPr>
        <w:t>甲</w:t>
      </w:r>
      <w:r>
        <w:rPr>
          <w:rFonts w:ascii="宋体" w:hAnsi="宋体"/>
          <w:szCs w:val="21"/>
          <w:highlight w:val="none"/>
        </w:rPr>
        <w:t>方，</w:t>
      </w:r>
      <w:r>
        <w:rPr>
          <w:rFonts w:hint="eastAsia" w:ascii="宋体" w:hAnsi="宋体"/>
          <w:szCs w:val="21"/>
          <w:highlight w:val="none"/>
        </w:rPr>
        <w:t>甲</w:t>
      </w:r>
      <w:r>
        <w:rPr>
          <w:rFonts w:ascii="宋体" w:hAnsi="宋体"/>
          <w:szCs w:val="21"/>
          <w:highlight w:val="none"/>
        </w:rPr>
        <w:t>方</w:t>
      </w:r>
      <w:r>
        <w:rPr>
          <w:rFonts w:hint="eastAsia" w:ascii="宋体" w:hAnsi="宋体"/>
          <w:szCs w:val="21"/>
          <w:highlight w:val="none"/>
        </w:rPr>
        <w:t>收到发票并</w:t>
      </w:r>
      <w:r>
        <w:rPr>
          <w:rFonts w:ascii="宋体" w:hAnsi="宋体"/>
          <w:szCs w:val="21"/>
          <w:highlight w:val="none"/>
        </w:rPr>
        <w:t>确认结算金额后结清上月</w:t>
      </w:r>
      <w:r>
        <w:rPr>
          <w:rFonts w:hint="eastAsia" w:ascii="宋体" w:hAnsi="宋体"/>
          <w:szCs w:val="21"/>
          <w:highlight w:val="none"/>
        </w:rPr>
        <w:t>款项</w:t>
      </w:r>
      <w:r>
        <w:rPr>
          <w:rFonts w:ascii="宋体" w:hAnsi="宋体"/>
          <w:szCs w:val="21"/>
          <w:highlight w:val="none"/>
        </w:rPr>
        <w:t>，逾期应负违约责任</w:t>
      </w:r>
      <w:r>
        <w:rPr>
          <w:rFonts w:hint="eastAsia" w:ascii="宋体" w:hAnsi="宋体"/>
          <w:szCs w:val="21"/>
          <w:highlight w:val="none"/>
        </w:rPr>
        <w:t>。</w:t>
      </w:r>
    </w:p>
    <w:p>
      <w:pPr>
        <w:pStyle w:val="210"/>
        <w:numPr>
          <w:ilvl w:val="1"/>
          <w:numId w:val="9"/>
        </w:numPr>
        <w:tabs>
          <w:tab w:val="left" w:pos="851"/>
        </w:tabs>
        <w:spacing w:line="384" w:lineRule="auto"/>
        <w:ind w:left="-2" w:leftChars="-1" w:firstLine="371" w:firstLineChars="177"/>
        <w:rPr>
          <w:rFonts w:ascii="宋体" w:hAnsi="宋体"/>
          <w:szCs w:val="21"/>
          <w:highlight w:val="none"/>
        </w:rPr>
      </w:pPr>
      <w:r>
        <w:rPr>
          <w:rFonts w:ascii="宋体" w:hAnsi="宋体"/>
          <w:szCs w:val="21"/>
          <w:highlight w:val="none"/>
        </w:rPr>
        <w:t>若乙方存在违约行为且未处理完毕的，甲方有权暂停支付承包费。</w:t>
      </w:r>
    </w:p>
    <w:p>
      <w:pPr>
        <w:pStyle w:val="210"/>
        <w:numPr>
          <w:ilvl w:val="1"/>
          <w:numId w:val="9"/>
        </w:numPr>
        <w:tabs>
          <w:tab w:val="left" w:pos="851"/>
        </w:tabs>
        <w:spacing w:line="384" w:lineRule="auto"/>
        <w:ind w:left="0" w:firstLine="371" w:firstLineChars="177"/>
        <w:rPr>
          <w:rFonts w:ascii="宋体" w:hAnsi="宋体"/>
          <w:szCs w:val="21"/>
          <w:highlight w:val="none"/>
        </w:rPr>
      </w:pPr>
      <w:r>
        <w:rPr>
          <w:rFonts w:ascii="宋体" w:hAnsi="宋体"/>
          <w:szCs w:val="21"/>
          <w:highlight w:val="none"/>
        </w:rPr>
        <w:t>在乙方无违法违约的情况下，甲方收到乙方开具的等额合法税务发票后，在10个工作日内向乙方支付本合同约定的承包费用。如因乙方未能准时、准确提供发票而造成付款延误，不属甲方违约。</w:t>
      </w:r>
    </w:p>
    <w:p>
      <w:pPr>
        <w:pStyle w:val="210"/>
        <w:numPr>
          <w:ilvl w:val="1"/>
          <w:numId w:val="9"/>
        </w:numPr>
        <w:tabs>
          <w:tab w:val="left" w:pos="851"/>
        </w:tabs>
        <w:spacing w:line="384" w:lineRule="auto"/>
        <w:ind w:left="-2" w:leftChars="-1" w:firstLine="371" w:firstLineChars="177"/>
        <w:rPr>
          <w:rFonts w:ascii="宋体" w:hAnsi="宋体"/>
          <w:szCs w:val="21"/>
          <w:highlight w:val="none"/>
        </w:rPr>
      </w:pPr>
      <w:r>
        <w:rPr>
          <w:rFonts w:hint="eastAsia" w:ascii="宋体" w:hAnsi="宋体"/>
          <w:szCs w:val="21"/>
          <w:highlight w:val="none"/>
        </w:rPr>
        <w:t>除此之外就本合同甲方无需支付其他任何费用。</w:t>
      </w:r>
    </w:p>
    <w:p>
      <w:pPr>
        <w:pStyle w:val="210"/>
        <w:numPr>
          <w:ilvl w:val="0"/>
          <w:numId w:val="9"/>
        </w:numPr>
        <w:tabs>
          <w:tab w:val="left" w:pos="709"/>
        </w:tabs>
        <w:spacing w:line="384" w:lineRule="auto"/>
        <w:ind w:hanging="278" w:firstLineChars="0"/>
        <w:rPr>
          <w:rFonts w:ascii="宋体" w:hAnsi="宋体"/>
          <w:szCs w:val="21"/>
          <w:highlight w:val="none"/>
        </w:rPr>
      </w:pPr>
      <w:r>
        <w:rPr>
          <w:rFonts w:ascii="宋体" w:hAnsi="宋体"/>
          <w:szCs w:val="21"/>
          <w:highlight w:val="none"/>
        </w:rPr>
        <w:t>甲方支付乙方的费用均通过银行转账方式汇入乙方指定的如下账户：</w:t>
      </w:r>
    </w:p>
    <w:p>
      <w:pPr>
        <w:pStyle w:val="226"/>
        <w:spacing w:line="360" w:lineRule="auto"/>
        <w:ind w:firstLine="420" w:firstLineChars="200"/>
        <w:rPr>
          <w:rFonts w:ascii="宋体" w:hAnsi="宋体" w:eastAsia="宋体" w:cs="Times New Roman"/>
          <w:sz w:val="21"/>
          <w:szCs w:val="21"/>
          <w:highlight w:val="none"/>
        </w:rPr>
      </w:pPr>
      <w:r>
        <w:rPr>
          <w:rFonts w:ascii="宋体" w:hAnsi="宋体" w:eastAsia="宋体" w:cs="Times New Roman"/>
          <w:sz w:val="21"/>
          <w:szCs w:val="21"/>
          <w:highlight w:val="none"/>
        </w:rPr>
        <w:t>收款人：</w:t>
      </w:r>
    </w:p>
    <w:p>
      <w:pPr>
        <w:pStyle w:val="226"/>
        <w:spacing w:line="360" w:lineRule="auto"/>
        <w:ind w:firstLine="420" w:firstLineChars="200"/>
        <w:rPr>
          <w:rFonts w:ascii="宋体" w:hAnsi="宋体" w:eastAsia="宋体" w:cs="Times New Roman"/>
          <w:sz w:val="21"/>
          <w:szCs w:val="21"/>
          <w:highlight w:val="none"/>
          <w:u w:val="single"/>
        </w:rPr>
      </w:pPr>
      <w:r>
        <w:rPr>
          <w:rFonts w:ascii="宋体" w:hAnsi="宋体" w:eastAsia="宋体" w:cs="Times New Roman"/>
          <w:sz w:val="21"/>
          <w:szCs w:val="21"/>
          <w:highlight w:val="none"/>
        </w:rPr>
        <w:t>开户行：</w:t>
      </w:r>
    </w:p>
    <w:p>
      <w:pPr>
        <w:pStyle w:val="226"/>
        <w:spacing w:line="360" w:lineRule="auto"/>
        <w:ind w:firstLine="420" w:firstLineChars="200"/>
        <w:rPr>
          <w:rFonts w:ascii="宋体" w:hAnsi="宋体" w:eastAsia="宋体" w:cs="Times New Roman"/>
          <w:sz w:val="21"/>
          <w:szCs w:val="21"/>
          <w:highlight w:val="none"/>
        </w:rPr>
      </w:pPr>
      <w:r>
        <w:rPr>
          <w:rFonts w:ascii="宋体" w:hAnsi="宋体" w:eastAsia="宋体" w:cs="Times New Roman"/>
          <w:sz w:val="21"/>
          <w:szCs w:val="21"/>
          <w:highlight w:val="none"/>
        </w:rPr>
        <w:t>账号：</w:t>
      </w:r>
    </w:p>
    <w:p>
      <w:pPr>
        <w:pStyle w:val="226"/>
        <w:tabs>
          <w:tab w:val="left" w:pos="709"/>
        </w:tabs>
        <w:spacing w:line="360" w:lineRule="auto"/>
        <w:ind w:firstLine="404" w:firstLineChars="200"/>
        <w:rPr>
          <w:rFonts w:ascii="宋体" w:hAnsi="宋体" w:eastAsia="宋体" w:cs="Times New Roman"/>
          <w:spacing w:val="-4"/>
          <w:sz w:val="21"/>
          <w:szCs w:val="21"/>
          <w:highlight w:val="none"/>
        </w:rPr>
      </w:pPr>
      <w:r>
        <w:rPr>
          <w:rFonts w:ascii="宋体" w:hAnsi="宋体" w:eastAsia="宋体" w:cs="Times New Roman"/>
          <w:spacing w:val="-4"/>
          <w:sz w:val="21"/>
          <w:szCs w:val="21"/>
          <w:highlight w:val="none"/>
        </w:rPr>
        <w:t xml:space="preserve">甲方向上述账户汇出款项即为已经向乙方履行本合同约定的付款义务，如因乙方账户被查封、冻结、注销等非甲方原因导致乙方未能收到款项的，责任由乙方自行承担。 </w:t>
      </w:r>
    </w:p>
    <w:p>
      <w:pPr>
        <w:spacing w:line="360" w:lineRule="auto"/>
        <w:ind w:firstLine="457" w:firstLineChars="218"/>
        <w:rPr>
          <w:highlight w:val="none"/>
        </w:rPr>
      </w:pPr>
      <w:r>
        <w:rPr>
          <w:rFonts w:ascii="宋体" w:hAnsi="宋体"/>
          <w:color w:val="333333"/>
          <w:szCs w:val="21"/>
          <w:highlight w:val="none"/>
        </w:rPr>
        <w:t>甲方有权要求乙方每月将人员工资总数如实上报至甲方。</w:t>
      </w:r>
    </w:p>
    <w:p>
      <w:pPr>
        <w:tabs>
          <w:tab w:val="left" w:pos="720"/>
        </w:tabs>
        <w:spacing w:line="360" w:lineRule="auto"/>
        <w:ind w:firstLine="460" w:firstLineChars="218"/>
        <w:rPr>
          <w:rFonts w:ascii="宋体" w:hAnsi="宋体"/>
          <w:b/>
          <w:szCs w:val="21"/>
          <w:highlight w:val="none"/>
        </w:rPr>
      </w:pPr>
      <w:r>
        <w:rPr>
          <w:rFonts w:hint="eastAsia" w:ascii="宋体" w:hAnsi="宋体"/>
          <w:b/>
          <w:szCs w:val="21"/>
          <w:highlight w:val="none"/>
        </w:rPr>
        <w:t>五、合同关系</w:t>
      </w:r>
    </w:p>
    <w:p>
      <w:pPr>
        <w:tabs>
          <w:tab w:val="left" w:pos="720"/>
        </w:tabs>
        <w:spacing w:line="360" w:lineRule="auto"/>
        <w:ind w:firstLine="457" w:firstLineChars="218"/>
        <w:rPr>
          <w:rFonts w:ascii="宋体" w:hAnsi="宋体"/>
          <w:szCs w:val="21"/>
          <w:highlight w:val="none"/>
        </w:rPr>
      </w:pPr>
      <w:r>
        <w:rPr>
          <w:rFonts w:hint="eastAsia" w:ascii="宋体" w:hAnsi="宋体"/>
          <w:szCs w:val="21"/>
          <w:highlight w:val="none"/>
        </w:rPr>
        <w:t>1. 甲乙双方之间属于业务外包合作关系，而非任何代理、合伙、雇佣、劳务派遣或其他关系。</w:t>
      </w:r>
    </w:p>
    <w:p>
      <w:pPr>
        <w:tabs>
          <w:tab w:val="left" w:pos="720"/>
        </w:tabs>
        <w:spacing w:line="360" w:lineRule="auto"/>
        <w:ind w:firstLine="457" w:firstLineChars="218"/>
        <w:rPr>
          <w:rFonts w:ascii="宋体" w:hAnsi="宋体"/>
          <w:szCs w:val="21"/>
          <w:highlight w:val="none"/>
        </w:rPr>
      </w:pPr>
      <w:r>
        <w:rPr>
          <w:rFonts w:hint="eastAsia" w:ascii="宋体" w:hAnsi="宋体"/>
          <w:szCs w:val="21"/>
          <w:highlight w:val="none"/>
        </w:rPr>
        <w:t>2. 乙方应当将甲乙双方之间的业务外包合作关系提前告知服务人员，要求服务人员签署确认函，确认本项目的服务人员与甲方不存在任何劳动、雇佣、用工关系，并将该确认函原件一份交甲方保管，否则视为乙方违约。</w:t>
      </w:r>
    </w:p>
    <w:p>
      <w:pPr>
        <w:tabs>
          <w:tab w:val="left" w:pos="720"/>
        </w:tabs>
        <w:spacing w:line="360" w:lineRule="auto"/>
        <w:ind w:firstLine="457" w:firstLineChars="218"/>
        <w:rPr>
          <w:rFonts w:ascii="宋体" w:hAnsi="宋体"/>
          <w:szCs w:val="21"/>
          <w:highlight w:val="none"/>
        </w:rPr>
      </w:pPr>
      <w:r>
        <w:rPr>
          <w:rFonts w:hint="eastAsia" w:ascii="宋体" w:hAnsi="宋体"/>
          <w:szCs w:val="21"/>
          <w:highlight w:val="none"/>
        </w:rPr>
        <w:t>3. 乙方应在本合同约定服务开始前【3】个工作日，将其与作业人员签订的劳动合同原件一份交甲方存档备查，劳动合同中应告知作业人员将要工作的场所可能存在着盐酸、硫酸、氨、联氨、氢氧化钠、工频电场、噪声、粉尘、高温等职业病危害因素及其他职业危害因素。如防护不当，可能对他们的健康造成损害，并请他们履行以下义务：</w:t>
      </w:r>
    </w:p>
    <w:p>
      <w:pPr>
        <w:tabs>
          <w:tab w:val="left" w:pos="720"/>
        </w:tabs>
        <w:spacing w:line="360" w:lineRule="auto"/>
        <w:ind w:firstLine="457" w:firstLineChars="218"/>
        <w:rPr>
          <w:rFonts w:ascii="宋体" w:hAnsi="宋体"/>
          <w:szCs w:val="21"/>
          <w:highlight w:val="none"/>
        </w:rPr>
      </w:pPr>
      <w:r>
        <w:rPr>
          <w:rFonts w:hint="eastAsia" w:ascii="宋体" w:hAnsi="宋体"/>
          <w:szCs w:val="21"/>
          <w:highlight w:val="none"/>
        </w:rPr>
        <w:t>(1)、严格遵守工作场所的管理制度和操作规程；</w:t>
      </w:r>
    </w:p>
    <w:p>
      <w:pPr>
        <w:tabs>
          <w:tab w:val="left" w:pos="720"/>
        </w:tabs>
        <w:spacing w:line="360" w:lineRule="auto"/>
        <w:ind w:firstLine="457" w:firstLineChars="218"/>
        <w:rPr>
          <w:rFonts w:ascii="宋体" w:hAnsi="宋体"/>
          <w:szCs w:val="21"/>
          <w:highlight w:val="none"/>
        </w:rPr>
      </w:pPr>
      <w:r>
        <w:rPr>
          <w:rFonts w:hint="eastAsia" w:ascii="宋体" w:hAnsi="宋体"/>
          <w:szCs w:val="21"/>
          <w:highlight w:val="none"/>
        </w:rPr>
        <w:t>(2)、正确使用维护职业病防护设施和个人职业病防护用品；</w:t>
      </w:r>
    </w:p>
    <w:p>
      <w:pPr>
        <w:tabs>
          <w:tab w:val="left" w:pos="720"/>
        </w:tabs>
        <w:spacing w:line="360" w:lineRule="auto"/>
        <w:ind w:firstLine="457" w:firstLineChars="218"/>
        <w:rPr>
          <w:rFonts w:ascii="宋体" w:hAnsi="宋体"/>
          <w:szCs w:val="21"/>
          <w:highlight w:val="none"/>
        </w:rPr>
      </w:pPr>
      <w:r>
        <w:rPr>
          <w:rFonts w:hint="eastAsia" w:ascii="宋体" w:hAnsi="宋体"/>
          <w:szCs w:val="21"/>
          <w:highlight w:val="none"/>
        </w:rPr>
        <w:t>(3)、积极参加职业卫生知识培训；</w:t>
      </w:r>
    </w:p>
    <w:p>
      <w:pPr>
        <w:tabs>
          <w:tab w:val="left" w:pos="720"/>
        </w:tabs>
        <w:spacing w:line="360" w:lineRule="auto"/>
        <w:ind w:firstLine="457" w:firstLineChars="218"/>
        <w:rPr>
          <w:rFonts w:ascii="宋体" w:hAnsi="宋体"/>
          <w:szCs w:val="21"/>
          <w:highlight w:val="none"/>
        </w:rPr>
      </w:pPr>
      <w:r>
        <w:rPr>
          <w:rFonts w:hint="eastAsia" w:ascii="宋体" w:hAnsi="宋体"/>
          <w:szCs w:val="21"/>
          <w:highlight w:val="none"/>
        </w:rPr>
        <w:t>(4)、定期参加职业性健康体检，并按要求完成所有项目的检查。</w:t>
      </w:r>
    </w:p>
    <w:p>
      <w:pPr>
        <w:tabs>
          <w:tab w:val="left" w:pos="720"/>
        </w:tabs>
        <w:spacing w:line="360" w:lineRule="auto"/>
        <w:ind w:firstLine="457" w:firstLineChars="218"/>
        <w:rPr>
          <w:rFonts w:ascii="宋体" w:hAnsi="宋体"/>
          <w:szCs w:val="21"/>
          <w:highlight w:val="none"/>
        </w:rPr>
      </w:pPr>
      <w:r>
        <w:rPr>
          <w:rFonts w:hint="eastAsia" w:ascii="宋体" w:hAnsi="宋体"/>
          <w:szCs w:val="21"/>
          <w:highlight w:val="none"/>
        </w:rPr>
        <w:t>同时，乙方应在每个月【5】日前，将其上个月为服务人员参加社保、工伤保险、公积金（如有）的缴费记录和证明文件复印件交甲方存档备查，否则视为乙方违约。</w:t>
      </w:r>
    </w:p>
    <w:p>
      <w:pPr>
        <w:tabs>
          <w:tab w:val="left" w:pos="720"/>
        </w:tabs>
        <w:spacing w:line="360" w:lineRule="auto"/>
        <w:ind w:firstLine="457" w:firstLineChars="218"/>
        <w:rPr>
          <w:rFonts w:ascii="宋体" w:hAnsi="宋体"/>
          <w:szCs w:val="21"/>
          <w:highlight w:val="none"/>
        </w:rPr>
      </w:pPr>
      <w:r>
        <w:rPr>
          <w:rFonts w:hint="eastAsia" w:ascii="宋体" w:hAnsi="宋体" w:cs="仿宋_GB2312"/>
          <w:bCs/>
          <w:color w:val="000000"/>
          <w:kern w:val="0"/>
          <w:highlight w:val="none"/>
        </w:rPr>
        <w:t>4. 乙方承诺其供应的产品或技术或服务等不受任何第三方的知识产权等权利主张，若出现第三方主张权利的，由乙方负责处理并承担一切责任，甲方有权根据情况解除本合同并要求乙方赔偿造成的一切损失（包括但不限于第三方赔偿，律师费、诉讼费及调查费用等）。</w:t>
      </w:r>
    </w:p>
    <w:p>
      <w:pPr>
        <w:tabs>
          <w:tab w:val="left" w:pos="720"/>
        </w:tabs>
        <w:spacing w:line="360" w:lineRule="auto"/>
        <w:ind w:firstLine="460" w:firstLineChars="218"/>
        <w:rPr>
          <w:rFonts w:ascii="宋体" w:hAnsi="宋体"/>
          <w:b/>
          <w:szCs w:val="21"/>
          <w:highlight w:val="none"/>
        </w:rPr>
      </w:pPr>
      <w:r>
        <w:rPr>
          <w:rFonts w:hint="eastAsia" w:ascii="宋体" w:hAnsi="宋体"/>
          <w:b/>
          <w:szCs w:val="21"/>
          <w:highlight w:val="none"/>
        </w:rPr>
        <w:t>六、违约责任</w:t>
      </w:r>
    </w:p>
    <w:p>
      <w:pPr>
        <w:pStyle w:val="210"/>
        <w:numPr>
          <w:ilvl w:val="0"/>
          <w:numId w:val="10"/>
        </w:numPr>
        <w:spacing w:line="348" w:lineRule="auto"/>
        <w:ind w:left="0" w:firstLine="567" w:firstLineChars="0"/>
        <w:rPr>
          <w:rFonts w:ascii="宋体" w:hAnsi="宋体"/>
          <w:szCs w:val="21"/>
          <w:highlight w:val="none"/>
        </w:rPr>
      </w:pPr>
      <w:r>
        <w:rPr>
          <w:rFonts w:ascii="宋体" w:hAnsi="宋体"/>
          <w:szCs w:val="21"/>
          <w:highlight w:val="none"/>
        </w:rPr>
        <w:t>甲方有权对乙方的承包业务进行检查、考核。</w:t>
      </w:r>
      <w:r>
        <w:rPr>
          <w:rFonts w:hint="eastAsia" w:ascii="宋体" w:hAnsi="宋体"/>
          <w:szCs w:val="21"/>
          <w:highlight w:val="none"/>
        </w:rPr>
        <w:t>具体考核标准见甲方相关考核办法。</w:t>
      </w:r>
      <w:r>
        <w:rPr>
          <w:rFonts w:ascii="宋体" w:hAnsi="宋体"/>
          <w:szCs w:val="21"/>
          <w:highlight w:val="none"/>
        </w:rPr>
        <w:t>当乙方累计应扣减的承包费用已经或预计超过其应得的承包费用时，甲方有权单方解除本合同，并按本合同扣减承包费用。</w:t>
      </w:r>
      <w:r>
        <w:rPr>
          <w:rFonts w:hint="eastAsia" w:ascii="宋体" w:hAnsi="宋体"/>
          <w:szCs w:val="21"/>
          <w:highlight w:val="none"/>
        </w:rPr>
        <w:t>如发生扣除乙方履约保证金事项、或履约保证金未及时补回足额的、或履约保证金被扣除完的，甲方有权单方面解除合同。</w:t>
      </w:r>
    </w:p>
    <w:p>
      <w:pPr>
        <w:pStyle w:val="210"/>
        <w:numPr>
          <w:ilvl w:val="0"/>
          <w:numId w:val="10"/>
        </w:numPr>
        <w:spacing w:line="348" w:lineRule="auto"/>
        <w:ind w:left="0" w:firstLine="492" w:firstLineChars="244"/>
        <w:rPr>
          <w:rFonts w:ascii="宋体" w:hAnsi="宋体"/>
          <w:spacing w:val="-4"/>
          <w:szCs w:val="21"/>
          <w:highlight w:val="none"/>
        </w:rPr>
      </w:pPr>
      <w:r>
        <w:rPr>
          <w:rFonts w:ascii="宋体" w:hAnsi="宋体"/>
          <w:spacing w:val="-4"/>
          <w:szCs w:val="21"/>
          <w:highlight w:val="none"/>
        </w:rPr>
        <w:t>乙方因违反有关规定给甲方造成重大财产损失或者因不能顺利完成所承包的业务而影响甲方正常生产经营活动的，甲方有权单方面解除本合同并向乙方主张相应赔偿。</w:t>
      </w:r>
    </w:p>
    <w:p>
      <w:pPr>
        <w:pStyle w:val="210"/>
        <w:numPr>
          <w:ilvl w:val="0"/>
          <w:numId w:val="10"/>
        </w:numPr>
        <w:spacing w:line="348" w:lineRule="auto"/>
        <w:ind w:left="-2" w:leftChars="-1" w:firstLine="451" w:firstLineChars="215"/>
        <w:rPr>
          <w:rFonts w:ascii="宋体" w:hAnsi="宋体"/>
          <w:szCs w:val="21"/>
          <w:highlight w:val="none"/>
        </w:rPr>
      </w:pPr>
      <w:r>
        <w:rPr>
          <w:rFonts w:ascii="宋体" w:hAnsi="宋体"/>
          <w:szCs w:val="21"/>
          <w:highlight w:val="none"/>
        </w:rPr>
        <w:t>因乙方原因</w:t>
      </w:r>
      <w:r>
        <w:rPr>
          <w:rFonts w:hint="eastAsia" w:ascii="宋体" w:hAnsi="宋体"/>
          <w:szCs w:val="21"/>
          <w:highlight w:val="none"/>
        </w:rPr>
        <w:t>未与工人签订劳动合同、</w:t>
      </w:r>
      <w:r>
        <w:rPr>
          <w:rFonts w:ascii="宋体" w:hAnsi="宋体"/>
          <w:szCs w:val="21"/>
          <w:highlight w:val="none"/>
        </w:rPr>
        <w:t>拖欠工人劳动报酬、未缴纳社保等，甲方一经发现，有权立即解除本合同，由此造成的一切经济损失由乙方承担。</w:t>
      </w:r>
    </w:p>
    <w:p>
      <w:pPr>
        <w:pStyle w:val="210"/>
        <w:numPr>
          <w:ilvl w:val="0"/>
          <w:numId w:val="10"/>
        </w:numPr>
        <w:spacing w:line="348" w:lineRule="auto"/>
        <w:ind w:left="-2" w:leftChars="-1" w:firstLine="450" w:firstLineChars="223"/>
        <w:rPr>
          <w:rFonts w:ascii="宋体" w:hAnsi="宋体"/>
          <w:spacing w:val="-4"/>
          <w:szCs w:val="21"/>
          <w:highlight w:val="none"/>
        </w:rPr>
      </w:pPr>
      <w:r>
        <w:rPr>
          <w:rFonts w:ascii="宋体" w:hAnsi="宋体"/>
          <w:spacing w:val="-4"/>
          <w:szCs w:val="21"/>
          <w:highlight w:val="none"/>
        </w:rPr>
        <w:t>甲方有权对乙方进行业务</w:t>
      </w:r>
      <w:r>
        <w:rPr>
          <w:rFonts w:hint="eastAsia" w:ascii="宋体" w:hAnsi="宋体"/>
          <w:spacing w:val="-4"/>
          <w:szCs w:val="21"/>
          <w:highlight w:val="none"/>
        </w:rPr>
        <w:t>承包</w:t>
      </w:r>
      <w:r>
        <w:rPr>
          <w:rFonts w:ascii="宋体" w:hAnsi="宋体"/>
          <w:spacing w:val="-4"/>
          <w:szCs w:val="21"/>
          <w:highlight w:val="none"/>
        </w:rPr>
        <w:t>时的安全、环保状况进行检查、考核。</w:t>
      </w:r>
    </w:p>
    <w:p>
      <w:pPr>
        <w:pStyle w:val="210"/>
        <w:numPr>
          <w:ilvl w:val="0"/>
          <w:numId w:val="10"/>
        </w:numPr>
        <w:spacing w:line="348" w:lineRule="auto"/>
        <w:ind w:left="1" w:firstLine="451" w:firstLineChars="215"/>
        <w:rPr>
          <w:rFonts w:ascii="宋体" w:hAnsi="宋体"/>
          <w:szCs w:val="21"/>
          <w:highlight w:val="none"/>
        </w:rPr>
      </w:pPr>
      <w:r>
        <w:rPr>
          <w:rFonts w:ascii="宋体" w:hAnsi="宋体"/>
          <w:szCs w:val="21"/>
          <w:highlight w:val="none"/>
        </w:rPr>
        <w:t>甲方应</w:t>
      </w:r>
      <w:r>
        <w:rPr>
          <w:rFonts w:hint="eastAsia" w:ascii="宋体" w:hAnsi="宋体"/>
          <w:szCs w:val="21"/>
          <w:highlight w:val="none"/>
        </w:rPr>
        <w:t>按</w:t>
      </w:r>
      <w:r>
        <w:rPr>
          <w:rFonts w:ascii="宋体" w:hAnsi="宋体"/>
          <w:szCs w:val="21"/>
          <w:highlight w:val="none"/>
        </w:rPr>
        <w:t>合同约定向乙方支付承包费用，逾期未支付的，按应付未付款项的银行同期存款利率向乙方计付违约金。</w:t>
      </w:r>
    </w:p>
    <w:p>
      <w:pPr>
        <w:pStyle w:val="210"/>
        <w:numPr>
          <w:ilvl w:val="0"/>
          <w:numId w:val="10"/>
        </w:numPr>
        <w:spacing w:line="348" w:lineRule="auto"/>
        <w:ind w:left="1" w:firstLine="451" w:firstLineChars="215"/>
        <w:rPr>
          <w:rFonts w:ascii="宋体" w:hAnsi="宋体"/>
          <w:szCs w:val="21"/>
          <w:highlight w:val="none"/>
        </w:rPr>
      </w:pPr>
      <w:r>
        <w:rPr>
          <w:rFonts w:ascii="宋体" w:hAnsi="宋体"/>
          <w:color w:val="000000"/>
          <w:szCs w:val="21"/>
          <w:highlight w:val="none"/>
        </w:rPr>
        <w:t>如遇自然灾害等</w:t>
      </w:r>
      <w:r>
        <w:rPr>
          <w:rFonts w:hint="eastAsia" w:ascii="宋体" w:hAnsi="宋体"/>
          <w:color w:val="000000"/>
          <w:szCs w:val="21"/>
          <w:highlight w:val="none"/>
        </w:rPr>
        <w:t>不可抗力</w:t>
      </w:r>
      <w:r>
        <w:rPr>
          <w:rFonts w:ascii="宋体" w:hAnsi="宋体"/>
          <w:color w:val="000000"/>
          <w:szCs w:val="21"/>
          <w:highlight w:val="none"/>
        </w:rPr>
        <w:t>因素</w:t>
      </w:r>
      <w:r>
        <w:rPr>
          <w:rFonts w:hint="eastAsia" w:ascii="宋体" w:hAnsi="宋体"/>
          <w:color w:val="000000"/>
          <w:szCs w:val="21"/>
          <w:highlight w:val="none"/>
        </w:rPr>
        <w:t>及</w:t>
      </w:r>
      <w:r>
        <w:rPr>
          <w:rFonts w:ascii="宋体" w:hAnsi="宋体"/>
          <w:color w:val="000000"/>
          <w:szCs w:val="21"/>
          <w:highlight w:val="none"/>
        </w:rPr>
        <w:t>国家相关政策调整、</w:t>
      </w:r>
      <w:r>
        <w:rPr>
          <w:rFonts w:hint="eastAsia" w:ascii="宋体" w:hAnsi="宋体"/>
          <w:color w:val="000000"/>
          <w:szCs w:val="21"/>
          <w:highlight w:val="none"/>
        </w:rPr>
        <w:t>甲方运营的实际需要等</w:t>
      </w:r>
      <w:r>
        <w:rPr>
          <w:rFonts w:ascii="宋体" w:hAnsi="宋体"/>
          <w:color w:val="000000"/>
          <w:szCs w:val="21"/>
          <w:highlight w:val="none"/>
        </w:rPr>
        <w:t>而导致本合同无法继续履行的，则</w:t>
      </w:r>
      <w:r>
        <w:rPr>
          <w:rFonts w:hint="eastAsia" w:ascii="宋体" w:hAnsi="宋体"/>
          <w:color w:val="000000"/>
          <w:szCs w:val="21"/>
          <w:highlight w:val="none"/>
        </w:rPr>
        <w:t>甲方可单方解除</w:t>
      </w:r>
      <w:r>
        <w:rPr>
          <w:rFonts w:ascii="宋体" w:hAnsi="宋体"/>
          <w:color w:val="000000"/>
          <w:szCs w:val="21"/>
          <w:highlight w:val="none"/>
        </w:rPr>
        <w:t>本合同，由此而产生的各种损失由双方当事人依据</w:t>
      </w:r>
      <w:r>
        <w:rPr>
          <w:rFonts w:ascii="宋体" w:hAnsi="宋体"/>
          <w:szCs w:val="21"/>
          <w:highlight w:val="none"/>
        </w:rPr>
        <w:t>法律法规和本合同的约定各自承担。</w:t>
      </w:r>
    </w:p>
    <w:p>
      <w:pPr>
        <w:pStyle w:val="210"/>
        <w:numPr>
          <w:ilvl w:val="0"/>
          <w:numId w:val="10"/>
        </w:numPr>
        <w:spacing w:line="348" w:lineRule="auto"/>
        <w:ind w:left="1" w:firstLine="451" w:firstLineChars="215"/>
        <w:rPr>
          <w:rFonts w:ascii="宋体" w:hAnsi="宋体"/>
          <w:szCs w:val="21"/>
          <w:highlight w:val="none"/>
        </w:rPr>
      </w:pPr>
      <w:r>
        <w:rPr>
          <w:rFonts w:hint="eastAsia" w:ascii="宋体" w:hAnsi="宋体"/>
          <w:szCs w:val="21"/>
          <w:highlight w:val="none"/>
        </w:rPr>
        <w:t>乙方未按本合同第五条第3项提交劳动合同的，甲方有权不予乙方人员进场，乙方在10日内仍未能按约提交所有劳动合同的，甲方有权终止本合同。</w:t>
      </w:r>
    </w:p>
    <w:p>
      <w:pPr>
        <w:spacing w:line="360" w:lineRule="auto"/>
        <w:ind w:firstLine="457" w:firstLineChars="218"/>
        <w:rPr>
          <w:rFonts w:ascii="宋体" w:hAnsi="宋体"/>
          <w:szCs w:val="21"/>
          <w:highlight w:val="none"/>
        </w:rPr>
      </w:pPr>
      <w:r>
        <w:rPr>
          <w:rFonts w:hint="eastAsia" w:ascii="宋体" w:hAnsi="宋体"/>
          <w:color w:val="000000"/>
          <w:szCs w:val="21"/>
          <w:highlight w:val="none"/>
        </w:rPr>
        <w:t>除上述规定外，乙方违反合同的其他约定或存在损害甲方利益的其他行为的，甲方有权视情形要求乙方支付一定数额的违约金，情节严重的，甲方可单方解除合同，及要求乙方赔偿由此给甲方造成的损失。</w:t>
      </w:r>
    </w:p>
    <w:p>
      <w:pPr>
        <w:spacing w:line="360" w:lineRule="auto"/>
        <w:ind w:firstLine="460" w:firstLineChars="218"/>
        <w:rPr>
          <w:rFonts w:ascii="宋体" w:hAnsi="宋体"/>
          <w:b/>
          <w:szCs w:val="21"/>
          <w:highlight w:val="none"/>
        </w:rPr>
      </w:pPr>
      <w:r>
        <w:rPr>
          <w:rFonts w:hint="eastAsia" w:ascii="宋体" w:hAnsi="宋体"/>
          <w:b/>
          <w:szCs w:val="21"/>
          <w:highlight w:val="none"/>
        </w:rPr>
        <w:t>七、履约保证金</w:t>
      </w:r>
    </w:p>
    <w:p>
      <w:pPr>
        <w:pStyle w:val="210"/>
        <w:numPr>
          <w:ilvl w:val="0"/>
          <w:numId w:val="11"/>
        </w:numPr>
        <w:spacing w:line="360" w:lineRule="auto"/>
        <w:ind w:left="0" w:firstLine="567" w:firstLineChars="0"/>
        <w:rPr>
          <w:rFonts w:ascii="宋体" w:hAnsi="宋体"/>
          <w:szCs w:val="21"/>
          <w:highlight w:val="none"/>
        </w:rPr>
      </w:pPr>
      <w:r>
        <w:rPr>
          <w:rFonts w:hint="eastAsia" w:ascii="宋体" w:hAnsi="宋体"/>
          <w:szCs w:val="21"/>
          <w:highlight w:val="none"/>
        </w:rPr>
        <w:t>为确保乙方依约履行本合同的各项义务，乙方在合同签订5个工作日内应通过转账方式向甲方缴纳</w:t>
      </w:r>
      <w:r>
        <w:rPr>
          <w:rFonts w:hint="eastAsia" w:ascii="宋体" w:hAnsi="宋体"/>
          <w:szCs w:val="21"/>
          <w:highlight w:val="none"/>
          <w:u w:val="single"/>
        </w:rPr>
        <w:t>人民币65万元履约保证金（大写：陆拾伍万元整）</w:t>
      </w:r>
      <w:r>
        <w:rPr>
          <w:rFonts w:hint="eastAsia" w:ascii="宋体" w:hAnsi="宋体"/>
          <w:szCs w:val="21"/>
          <w:highlight w:val="none"/>
        </w:rPr>
        <w:t>，</w:t>
      </w:r>
      <w:r>
        <w:rPr>
          <w:rFonts w:hint="eastAsia" w:ascii="宋体" w:hAnsi="宋体"/>
          <w:bCs/>
          <w:szCs w:val="21"/>
          <w:highlight w:val="none"/>
        </w:rPr>
        <w:t>否则甲方有权终止合同。</w:t>
      </w:r>
      <w:r>
        <w:rPr>
          <w:rFonts w:hint="eastAsia" w:ascii="宋体" w:hAnsi="宋体"/>
          <w:szCs w:val="21"/>
          <w:highlight w:val="none"/>
        </w:rPr>
        <w:t>当乙方出现本合同项下的违约情形或其履行合同时造成甲方损失的，甲方可在履约保证金中扣除相关违约金及赔偿金，不足部分，甲方仍有权向乙方追索。甲方对履约保证金进行扣除后，乙方应自扣除之日起5个工作日内补缴被扣除的保证金，以使甲方所持有的履约保证金数额保持不变。</w:t>
      </w:r>
    </w:p>
    <w:p>
      <w:pPr>
        <w:pStyle w:val="210"/>
        <w:numPr>
          <w:ilvl w:val="0"/>
          <w:numId w:val="11"/>
        </w:numPr>
        <w:spacing w:line="360" w:lineRule="auto"/>
        <w:ind w:left="0" w:firstLine="567" w:firstLineChars="0"/>
        <w:rPr>
          <w:rFonts w:ascii="宋体" w:hAnsi="宋体"/>
          <w:szCs w:val="21"/>
          <w:highlight w:val="none"/>
        </w:rPr>
      </w:pPr>
      <w:r>
        <w:rPr>
          <w:rFonts w:hint="eastAsia" w:ascii="宋体" w:hAnsi="宋体"/>
          <w:szCs w:val="21"/>
          <w:highlight w:val="none"/>
        </w:rPr>
        <w:t>合同有效期满后，</w:t>
      </w:r>
      <w:r>
        <w:rPr>
          <w:rFonts w:ascii="宋体" w:hAnsi="宋体"/>
          <w:szCs w:val="21"/>
          <w:highlight w:val="none"/>
        </w:rPr>
        <w:t>如乙方未完全履行合同或双方存在合同纠纷尚未完全得到解决，或者乙方进场工作人员与乙方的劳动争议尚未得到完全解决，履约保证金的有效期应延长到合同履行完毕或合同纠纷最终解决且双方所有债权债务结清、以及乙方进场工作人员与乙方的劳动争议得到完全解决时止。如乙方无发生违规情况或已处理好违规情况的，甲方应在1个月内将履约保证金余额不计息返还乙方。</w:t>
      </w:r>
    </w:p>
    <w:p>
      <w:pPr>
        <w:pStyle w:val="210"/>
        <w:numPr>
          <w:ilvl w:val="0"/>
          <w:numId w:val="11"/>
        </w:numPr>
        <w:spacing w:line="360" w:lineRule="auto"/>
        <w:ind w:hanging="333" w:firstLineChars="0"/>
        <w:rPr>
          <w:rFonts w:ascii="宋体" w:hAnsi="宋体"/>
          <w:szCs w:val="21"/>
          <w:highlight w:val="none"/>
        </w:rPr>
      </w:pPr>
      <w:r>
        <w:rPr>
          <w:rFonts w:hint="eastAsia" w:ascii="宋体" w:hAnsi="宋体"/>
          <w:szCs w:val="21"/>
          <w:highlight w:val="none"/>
        </w:rPr>
        <w:t>甲方接收履约保证金的银行账户信息如下：</w:t>
      </w:r>
    </w:p>
    <w:p>
      <w:pPr>
        <w:autoSpaceDE w:val="0"/>
        <w:autoSpaceDN w:val="0"/>
        <w:adjustRightInd w:val="0"/>
        <w:spacing w:line="360" w:lineRule="auto"/>
        <w:ind w:firstLine="420" w:firstLineChars="200"/>
        <w:rPr>
          <w:rFonts w:ascii="宋体" w:hAnsi="宋体"/>
          <w:szCs w:val="21"/>
          <w:highlight w:val="none"/>
          <w:lang w:val="zh-CN"/>
        </w:rPr>
      </w:pPr>
      <w:r>
        <w:rPr>
          <w:rFonts w:ascii="宋体" w:hAnsi="宋体"/>
          <w:szCs w:val="21"/>
          <w:highlight w:val="none"/>
          <w:lang w:val="zh-CN"/>
        </w:rPr>
        <w:t>收款人：佛山市恒益环保建材有限公司</w:t>
      </w:r>
    </w:p>
    <w:p>
      <w:pPr>
        <w:widowControl/>
        <w:tabs>
          <w:tab w:val="left" w:pos="-9463"/>
          <w:tab w:val="left" w:pos="720"/>
        </w:tabs>
        <w:snapToGrid w:val="0"/>
        <w:spacing w:line="360" w:lineRule="auto"/>
        <w:ind w:firstLine="420" w:firstLineChars="200"/>
        <w:rPr>
          <w:rFonts w:ascii="宋体" w:hAnsi="宋体"/>
          <w:b/>
          <w:bCs/>
          <w:color w:val="FF0000"/>
          <w:spacing w:val="-18"/>
          <w:szCs w:val="21"/>
          <w:highlight w:val="none"/>
        </w:rPr>
      </w:pPr>
      <w:r>
        <w:rPr>
          <w:rFonts w:hint="eastAsia" w:ascii="宋体" w:hAnsi="宋体"/>
          <w:bCs/>
          <w:szCs w:val="21"/>
          <w:highlight w:val="none"/>
        </w:rPr>
        <w:t>开户银行：工行佛山南海丹灶支行</w:t>
      </w:r>
    </w:p>
    <w:p>
      <w:pPr>
        <w:autoSpaceDE w:val="0"/>
        <w:autoSpaceDN w:val="0"/>
        <w:adjustRightInd w:val="0"/>
        <w:spacing w:line="360" w:lineRule="auto"/>
        <w:ind w:firstLine="420" w:firstLineChars="200"/>
        <w:rPr>
          <w:rFonts w:ascii="宋体" w:hAnsi="宋体"/>
          <w:szCs w:val="21"/>
          <w:highlight w:val="none"/>
          <w:lang w:val="zh-CN"/>
        </w:rPr>
      </w:pPr>
      <w:r>
        <w:rPr>
          <w:rFonts w:hint="eastAsia" w:ascii="宋体" w:hAnsi="宋体"/>
          <w:bCs/>
          <w:szCs w:val="21"/>
          <w:highlight w:val="none"/>
        </w:rPr>
        <w:t>账号：</w:t>
      </w:r>
      <w:r>
        <w:rPr>
          <w:rFonts w:ascii="宋体" w:hAnsi="宋体"/>
          <w:bCs/>
          <w:szCs w:val="21"/>
          <w:highlight w:val="none"/>
        </w:rPr>
        <w:t xml:space="preserve"> 2013024409200036018</w:t>
      </w:r>
    </w:p>
    <w:p>
      <w:pPr>
        <w:pStyle w:val="210"/>
        <w:numPr>
          <w:ilvl w:val="0"/>
          <w:numId w:val="11"/>
        </w:numPr>
        <w:spacing w:line="360" w:lineRule="auto"/>
        <w:ind w:hanging="333" w:firstLineChars="0"/>
        <w:rPr>
          <w:rFonts w:ascii="宋体" w:hAnsi="宋体"/>
          <w:szCs w:val="21"/>
          <w:highlight w:val="none"/>
        </w:rPr>
      </w:pPr>
      <w:r>
        <w:rPr>
          <w:rFonts w:hint="eastAsia" w:ascii="宋体" w:hAnsi="宋体"/>
          <w:szCs w:val="21"/>
          <w:highlight w:val="none"/>
        </w:rPr>
        <w:t>乙方如有以下情形之一的，甲方有权扣除乙方履约保证金：</w:t>
      </w:r>
    </w:p>
    <w:p>
      <w:pPr>
        <w:pStyle w:val="210"/>
        <w:numPr>
          <w:ilvl w:val="1"/>
          <w:numId w:val="11"/>
        </w:numPr>
        <w:tabs>
          <w:tab w:val="left" w:pos="993"/>
        </w:tabs>
        <w:spacing w:line="360" w:lineRule="auto"/>
        <w:ind w:left="0" w:firstLine="567" w:firstLineChars="0"/>
        <w:rPr>
          <w:rFonts w:ascii="宋体" w:hAnsi="宋体"/>
          <w:szCs w:val="21"/>
          <w:highlight w:val="none"/>
        </w:rPr>
      </w:pPr>
      <w:r>
        <w:rPr>
          <w:rFonts w:ascii="宋体" w:hAnsi="宋体"/>
          <w:szCs w:val="21"/>
          <w:highlight w:val="none"/>
        </w:rPr>
        <w:t>在本合同承包业务范围内，乙方违反本合同的约定未与乙方工作人员签署劳动合同、未按时足额向乙方工作人员发放劳动报酬、未依法为其工作人员购买五项保险（养老保险、医疗保险、工伤保险、失业保险、生</w:t>
      </w:r>
      <w:r>
        <w:rPr>
          <w:rFonts w:hint="eastAsia" w:ascii="宋体" w:hAnsi="宋体"/>
          <w:szCs w:val="21"/>
          <w:highlight w:val="none"/>
        </w:rPr>
        <w:t>育</w:t>
      </w:r>
      <w:r>
        <w:rPr>
          <w:rFonts w:ascii="宋体" w:hAnsi="宋体"/>
          <w:szCs w:val="21"/>
          <w:highlight w:val="none"/>
        </w:rPr>
        <w:t>保险）和团体商业意外险的、或未按期组织其工作人员进行职业病健康体检的、或未组织其工作人员进行特殊工种上岗培训取证的，以及乙方工作人员劳动合同终止后乙方未依法给予其足额经济补偿的，甲方有权按照乙方履行上述义务所应支出的相应费用的200%扣除乙方履约保证金。若因以上事件发生纠纷而影响本合同承包业务的，甲方有权终止合同。</w:t>
      </w:r>
    </w:p>
    <w:p>
      <w:pPr>
        <w:pStyle w:val="210"/>
        <w:numPr>
          <w:ilvl w:val="1"/>
          <w:numId w:val="11"/>
        </w:numPr>
        <w:tabs>
          <w:tab w:val="left" w:pos="993"/>
        </w:tabs>
        <w:spacing w:line="360" w:lineRule="auto"/>
        <w:ind w:left="0" w:firstLine="567" w:firstLineChars="0"/>
        <w:rPr>
          <w:rFonts w:ascii="宋体" w:hAnsi="宋体"/>
          <w:szCs w:val="21"/>
          <w:highlight w:val="none"/>
        </w:rPr>
      </w:pPr>
      <w:r>
        <w:rPr>
          <w:rFonts w:ascii="宋体" w:hAnsi="宋体"/>
          <w:szCs w:val="21"/>
          <w:highlight w:val="none"/>
        </w:rPr>
        <w:t>在本合同承包业务范围内，乙方工作人员的住宿和工作餐由乙方负责，乙方如未履行，甲方有权按照乙方履行该义务所应支出的相应费用的200%扣除乙方履约保证金；若乙方未履行该义务而对完成承包业务造成不利影响的，甲方有权另行扣除乙方10%的履约保证金，造成严重不利影响或可能导致本合同无法顺利履行的，甲方有权终止合同。</w:t>
      </w:r>
    </w:p>
    <w:p>
      <w:pPr>
        <w:spacing w:line="360" w:lineRule="auto"/>
        <w:ind w:firstLine="420" w:firstLineChars="200"/>
        <w:rPr>
          <w:rFonts w:ascii="宋体" w:hAnsi="宋体"/>
          <w:szCs w:val="21"/>
          <w:highlight w:val="none"/>
        </w:rPr>
      </w:pPr>
      <w:r>
        <w:rPr>
          <w:rFonts w:hint="eastAsia" w:ascii="宋体" w:hAnsi="宋体"/>
          <w:szCs w:val="21"/>
          <w:highlight w:val="none"/>
        </w:rPr>
        <w:t>4.3乙方未能按本合同约定条款进行而影响承包业务的正常开展的，甲方有权根据甲方损失金额的100%扣除乙方履约保证金。</w:t>
      </w:r>
    </w:p>
    <w:p>
      <w:pPr>
        <w:tabs>
          <w:tab w:val="left" w:pos="993"/>
        </w:tabs>
        <w:spacing w:line="360" w:lineRule="auto"/>
        <w:ind w:firstLine="420" w:firstLineChars="200"/>
        <w:rPr>
          <w:rFonts w:ascii="宋体" w:hAnsi="宋体"/>
          <w:szCs w:val="21"/>
          <w:highlight w:val="none"/>
        </w:rPr>
      </w:pPr>
      <w:r>
        <w:rPr>
          <w:rFonts w:hint="eastAsia" w:ascii="宋体" w:hAnsi="宋体"/>
          <w:szCs w:val="21"/>
          <w:highlight w:val="none"/>
        </w:rPr>
        <w:t>4.4乙方在完成承包业务的过程中造成甲方设备、设施、工具、场地等损坏或遗失而未及时赔偿的，甲方可按照乙方应予赔偿的数额扣除履约保证金。</w:t>
      </w:r>
    </w:p>
    <w:p>
      <w:pPr>
        <w:spacing w:line="360" w:lineRule="auto"/>
        <w:ind w:firstLine="457" w:firstLineChars="218"/>
        <w:rPr>
          <w:rFonts w:ascii="宋体" w:hAnsi="宋体"/>
          <w:szCs w:val="21"/>
          <w:highlight w:val="none"/>
        </w:rPr>
      </w:pPr>
      <w:r>
        <w:rPr>
          <w:rFonts w:hint="eastAsia" w:ascii="宋体" w:hAnsi="宋体"/>
          <w:szCs w:val="21"/>
          <w:highlight w:val="none"/>
        </w:rPr>
        <w:t>4.5</w:t>
      </w:r>
      <w:r>
        <w:rPr>
          <w:rFonts w:hint="eastAsia" w:ascii="宋体" w:hAnsi="宋体"/>
          <w:spacing w:val="-4"/>
          <w:szCs w:val="21"/>
          <w:highlight w:val="none"/>
        </w:rPr>
        <w:t>本合同的签署和履行并不导致甲方与乙方人员之间产生雇佣关系或事实劳动关系或任何其他劳动关系，若发生任何导致甲方对乙方人员进行赔偿、补偿或支付费用的情形的，乙方应赔偿甲方因此导致的全部损失，甲方有权在履约保证金内直接扣除。</w:t>
      </w:r>
    </w:p>
    <w:p>
      <w:pPr>
        <w:spacing w:line="384" w:lineRule="auto"/>
        <w:ind w:firstLine="422" w:firstLineChars="200"/>
        <w:rPr>
          <w:rFonts w:ascii="宋体" w:hAnsi="宋体"/>
          <w:b/>
          <w:szCs w:val="21"/>
          <w:highlight w:val="none"/>
        </w:rPr>
      </w:pPr>
      <w:r>
        <w:rPr>
          <w:rFonts w:hint="eastAsia" w:ascii="宋体" w:hAnsi="宋体"/>
          <w:b/>
          <w:szCs w:val="21"/>
          <w:highlight w:val="none"/>
        </w:rPr>
        <w:t>八、辅助业务外委项目考核办法</w:t>
      </w:r>
    </w:p>
    <w:p>
      <w:pPr>
        <w:spacing w:line="384" w:lineRule="auto"/>
        <w:rPr>
          <w:rFonts w:ascii="宋体" w:hAnsi="宋体"/>
          <w:szCs w:val="21"/>
          <w:highlight w:val="none"/>
        </w:rPr>
      </w:pPr>
      <w:r>
        <w:rPr>
          <w:rFonts w:hint="eastAsia" w:ascii="宋体" w:hAnsi="宋体"/>
          <w:szCs w:val="21"/>
          <w:highlight w:val="none"/>
        </w:rPr>
        <w:t xml:space="preserve">    1.为了更好地执行加气砌块生产辅助业务外委合同，甲方有权对合同内容中乙方所承包的各项业务进行监督、检查、考核。</w:t>
      </w:r>
    </w:p>
    <w:p>
      <w:pPr>
        <w:pStyle w:val="210"/>
        <w:tabs>
          <w:tab w:val="left" w:pos="709"/>
        </w:tabs>
        <w:spacing w:line="360" w:lineRule="auto"/>
        <w:ind w:firstLineChars="0"/>
        <w:rPr>
          <w:rFonts w:ascii="宋体" w:hAnsi="宋体"/>
          <w:szCs w:val="21"/>
          <w:highlight w:val="none"/>
        </w:rPr>
      </w:pPr>
      <w:r>
        <w:rPr>
          <w:rFonts w:hint="eastAsia" w:ascii="宋体" w:hAnsi="宋体"/>
          <w:szCs w:val="21"/>
          <w:highlight w:val="none"/>
        </w:rPr>
        <w:t>2.具体考核要求：</w:t>
      </w:r>
    </w:p>
    <w:p>
      <w:pPr>
        <w:pStyle w:val="210"/>
        <w:tabs>
          <w:tab w:val="left" w:pos="993"/>
        </w:tabs>
        <w:spacing w:line="360" w:lineRule="auto"/>
        <w:ind w:firstLineChars="0"/>
        <w:rPr>
          <w:rFonts w:ascii="宋体" w:hAnsi="宋体"/>
          <w:szCs w:val="21"/>
          <w:highlight w:val="none"/>
        </w:rPr>
      </w:pPr>
      <w:r>
        <w:rPr>
          <w:rFonts w:hint="eastAsia" w:ascii="宋体" w:hAnsi="宋体"/>
          <w:szCs w:val="21"/>
          <w:highlight w:val="none"/>
        </w:rPr>
        <w:t>2.1乙方承包的业务完成后须经甲方检查验收，如达不到要求应立即返工。</w:t>
      </w:r>
    </w:p>
    <w:p>
      <w:pPr>
        <w:pStyle w:val="210"/>
        <w:tabs>
          <w:tab w:val="left" w:pos="993"/>
        </w:tabs>
        <w:spacing w:line="348" w:lineRule="auto"/>
        <w:ind w:firstLineChars="0"/>
        <w:rPr>
          <w:rFonts w:ascii="宋体" w:hAnsi="宋体"/>
          <w:szCs w:val="21"/>
          <w:highlight w:val="none"/>
        </w:rPr>
      </w:pPr>
      <w:r>
        <w:rPr>
          <w:rFonts w:hint="eastAsia" w:ascii="宋体" w:hAnsi="宋体"/>
          <w:szCs w:val="21"/>
          <w:highlight w:val="none"/>
        </w:rPr>
        <w:t>2.2因乙方未按时完成甲方规定的承包任务或未达到产品质量要求而影响正常生产的，按甲方直接损失额的</w:t>
      </w:r>
      <w:r>
        <w:rPr>
          <w:rFonts w:ascii="宋体" w:hAnsi="宋体"/>
          <w:szCs w:val="21"/>
          <w:highlight w:val="none"/>
        </w:rPr>
        <w:t>150%</w:t>
      </w:r>
      <w:r>
        <w:rPr>
          <w:rFonts w:hint="eastAsia" w:ascii="宋体" w:hAnsi="宋体"/>
          <w:szCs w:val="21"/>
          <w:highlight w:val="none"/>
        </w:rPr>
        <w:t>扣除乙方承包费。</w:t>
      </w:r>
    </w:p>
    <w:p>
      <w:pPr>
        <w:pStyle w:val="210"/>
        <w:tabs>
          <w:tab w:val="left" w:pos="993"/>
        </w:tabs>
        <w:spacing w:line="348" w:lineRule="auto"/>
        <w:ind w:firstLineChars="0"/>
        <w:rPr>
          <w:rFonts w:ascii="宋体" w:hAnsi="宋体"/>
          <w:szCs w:val="21"/>
          <w:highlight w:val="none"/>
        </w:rPr>
      </w:pPr>
      <w:r>
        <w:rPr>
          <w:rFonts w:hint="eastAsia" w:ascii="宋体" w:hAnsi="宋体"/>
          <w:szCs w:val="21"/>
          <w:highlight w:val="none"/>
        </w:rPr>
        <w:t>2.3乙方负责加气砌块生产辅助业务中各相关设备的维护工作，因乙方原因造成甲方设备非正常损坏，除应无偿负责修复外，按甲方直接经济损失的</w:t>
      </w:r>
      <w:r>
        <w:rPr>
          <w:rFonts w:ascii="宋体" w:hAnsi="宋体"/>
          <w:szCs w:val="21"/>
          <w:highlight w:val="none"/>
        </w:rPr>
        <w:t>150%</w:t>
      </w:r>
      <w:r>
        <w:rPr>
          <w:rFonts w:hint="eastAsia" w:ascii="宋体" w:hAnsi="宋体"/>
          <w:szCs w:val="21"/>
          <w:highlight w:val="none"/>
        </w:rPr>
        <w:t>扣除乙方承包费。</w:t>
      </w:r>
    </w:p>
    <w:p>
      <w:pPr>
        <w:pStyle w:val="210"/>
        <w:tabs>
          <w:tab w:val="left" w:pos="993"/>
        </w:tabs>
        <w:spacing w:line="348" w:lineRule="auto"/>
        <w:ind w:firstLineChars="0"/>
        <w:rPr>
          <w:rFonts w:ascii="宋体" w:hAnsi="宋体"/>
          <w:szCs w:val="21"/>
          <w:highlight w:val="none"/>
        </w:rPr>
      </w:pPr>
      <w:r>
        <w:rPr>
          <w:rFonts w:hint="eastAsia" w:ascii="宋体" w:hAnsi="宋体"/>
          <w:szCs w:val="21"/>
          <w:highlight w:val="none"/>
        </w:rPr>
        <w:t>2.4因乙方责任造成甲方公共设施损坏或故障的，乙方除应无偿负责修复外，还应按甲方直接经济损失的</w:t>
      </w:r>
      <w:r>
        <w:rPr>
          <w:rFonts w:ascii="宋体" w:hAnsi="宋体"/>
          <w:szCs w:val="21"/>
          <w:highlight w:val="none"/>
        </w:rPr>
        <w:t>150%</w:t>
      </w:r>
      <w:r>
        <w:rPr>
          <w:rFonts w:hint="eastAsia" w:ascii="宋体" w:hAnsi="宋体"/>
          <w:szCs w:val="21"/>
          <w:highlight w:val="none"/>
        </w:rPr>
        <w:t>扣除乙方承包费。</w:t>
      </w:r>
    </w:p>
    <w:p>
      <w:pPr>
        <w:pStyle w:val="210"/>
        <w:tabs>
          <w:tab w:val="left" w:pos="993"/>
        </w:tabs>
        <w:spacing w:line="348" w:lineRule="auto"/>
        <w:ind w:firstLineChars="0"/>
        <w:rPr>
          <w:rFonts w:ascii="宋体" w:hAnsi="宋体"/>
          <w:szCs w:val="21"/>
          <w:highlight w:val="none"/>
        </w:rPr>
      </w:pPr>
      <w:r>
        <w:rPr>
          <w:rFonts w:hint="eastAsia" w:ascii="宋体" w:hAnsi="宋体"/>
          <w:szCs w:val="21"/>
          <w:highlight w:val="none"/>
        </w:rPr>
        <w:t>2.5乙方必须接受甲方在合同范围内的合理安排，若乙方延迟执行或不执行，甲方有权按所受经济损失的</w:t>
      </w:r>
      <w:r>
        <w:rPr>
          <w:rFonts w:ascii="宋体" w:hAnsi="宋体"/>
          <w:szCs w:val="21"/>
          <w:highlight w:val="none"/>
        </w:rPr>
        <w:t>150%</w:t>
      </w:r>
      <w:r>
        <w:rPr>
          <w:rFonts w:hint="eastAsia" w:ascii="宋体" w:hAnsi="宋体"/>
          <w:szCs w:val="21"/>
          <w:highlight w:val="none"/>
        </w:rPr>
        <w:t>扣除乙方承包费。</w:t>
      </w:r>
    </w:p>
    <w:p>
      <w:pPr>
        <w:pStyle w:val="210"/>
        <w:tabs>
          <w:tab w:val="left" w:pos="993"/>
        </w:tabs>
        <w:spacing w:line="348" w:lineRule="auto"/>
        <w:ind w:firstLineChars="0"/>
        <w:rPr>
          <w:rFonts w:ascii="宋体" w:hAnsi="宋体"/>
          <w:szCs w:val="21"/>
          <w:highlight w:val="none"/>
        </w:rPr>
      </w:pPr>
      <w:r>
        <w:rPr>
          <w:rFonts w:hint="eastAsia" w:ascii="宋体" w:hAnsi="宋体"/>
          <w:szCs w:val="21"/>
          <w:highlight w:val="none"/>
        </w:rPr>
        <w:t>2.6乙方必须按甲方产品抽检操作规程要求配合甲方对合格品货场产品进行抽检，在抽检中甲乙双方明确为乙方责任的，按下公式对乙方进行相应考核，并在承包费中扣除：</w:t>
      </w:r>
    </w:p>
    <w:p>
      <w:pPr>
        <w:pStyle w:val="210"/>
        <w:tabs>
          <w:tab w:val="left" w:pos="993"/>
        </w:tabs>
        <w:spacing w:line="348" w:lineRule="auto"/>
        <w:ind w:left="426" w:firstLine="0" w:firstLineChars="0"/>
        <w:rPr>
          <w:rFonts w:ascii="宋体" w:hAnsi="宋体"/>
          <w:szCs w:val="21"/>
          <w:highlight w:val="none"/>
        </w:rPr>
      </w:pPr>
      <w:r>
        <w:rPr>
          <w:rFonts w:hint="eastAsia" w:ascii="宋体" w:hAnsi="宋体"/>
          <w:szCs w:val="21"/>
          <w:highlight w:val="none"/>
        </w:rPr>
        <w:t>扣除金额 = （破损数/总检数×100% - 1%）×当期入库总量×180元/m</w:t>
      </w:r>
      <w:r>
        <w:rPr>
          <w:rFonts w:ascii="宋体" w:hAnsi="宋体"/>
          <w:szCs w:val="21"/>
          <w:highlight w:val="none"/>
          <w:vertAlign w:val="superscript"/>
        </w:rPr>
        <w:t>3</w:t>
      </w:r>
    </w:p>
    <w:p>
      <w:pPr>
        <w:pStyle w:val="210"/>
        <w:tabs>
          <w:tab w:val="left" w:pos="993"/>
        </w:tabs>
        <w:spacing w:line="348" w:lineRule="auto"/>
        <w:ind w:firstLineChars="0"/>
        <w:rPr>
          <w:rFonts w:ascii="宋体" w:hAnsi="宋体"/>
          <w:spacing w:val="-4"/>
          <w:szCs w:val="21"/>
          <w:highlight w:val="none"/>
        </w:rPr>
      </w:pPr>
      <w:r>
        <w:rPr>
          <w:rFonts w:hint="eastAsia" w:ascii="宋体" w:hAnsi="宋体"/>
          <w:spacing w:val="-4"/>
          <w:szCs w:val="21"/>
          <w:highlight w:val="none"/>
        </w:rPr>
        <w:t>2.7乙方必须遵守甲方的规章制度，违反规章制度情节一般的，未造成设备故障和经济损失的，每次扣除乙方承包费用10</w:t>
      </w:r>
      <w:r>
        <w:rPr>
          <w:rFonts w:ascii="宋体" w:hAnsi="宋体"/>
          <w:spacing w:val="-4"/>
          <w:szCs w:val="21"/>
          <w:highlight w:val="none"/>
        </w:rPr>
        <w:t>0</w:t>
      </w:r>
      <w:r>
        <w:rPr>
          <w:rFonts w:hint="eastAsia" w:ascii="宋体" w:hAnsi="宋体"/>
          <w:spacing w:val="-4"/>
          <w:szCs w:val="21"/>
          <w:highlight w:val="none"/>
        </w:rPr>
        <w:t>元；乙方违反规章制度情节严重的，每次扣除承包费用5</w:t>
      </w:r>
      <w:r>
        <w:rPr>
          <w:rFonts w:ascii="宋体" w:hAnsi="宋体"/>
          <w:spacing w:val="-4"/>
          <w:szCs w:val="21"/>
          <w:highlight w:val="none"/>
        </w:rPr>
        <w:t>00</w:t>
      </w:r>
      <w:r>
        <w:rPr>
          <w:rFonts w:hint="eastAsia" w:ascii="宋体" w:hAnsi="宋体"/>
          <w:spacing w:val="-4"/>
          <w:szCs w:val="21"/>
          <w:highlight w:val="none"/>
        </w:rPr>
        <w:t>元，并且甲方有权要求乙方违规人员不得再参与本合同范围内的承包业务。</w:t>
      </w:r>
    </w:p>
    <w:p>
      <w:pPr>
        <w:pStyle w:val="210"/>
        <w:tabs>
          <w:tab w:val="left" w:pos="993"/>
        </w:tabs>
        <w:spacing w:line="348" w:lineRule="auto"/>
        <w:ind w:firstLineChars="0"/>
        <w:rPr>
          <w:rFonts w:ascii="宋体" w:hAnsi="宋体"/>
          <w:szCs w:val="21"/>
          <w:highlight w:val="none"/>
        </w:rPr>
      </w:pPr>
      <w:r>
        <w:rPr>
          <w:rFonts w:hint="eastAsia" w:ascii="宋体" w:hAnsi="宋体"/>
          <w:szCs w:val="21"/>
          <w:highlight w:val="none"/>
        </w:rPr>
        <w:t>2.8乙方必须保证特种岗位及甲方根据生产管理需要认定并颁发的操作岗位持证上岗，发现乙方人员未持证上岗的，按10</w:t>
      </w:r>
      <w:r>
        <w:rPr>
          <w:rFonts w:ascii="宋体" w:hAnsi="宋体"/>
          <w:szCs w:val="21"/>
          <w:highlight w:val="none"/>
        </w:rPr>
        <w:t>0</w:t>
      </w:r>
      <w:r>
        <w:rPr>
          <w:rFonts w:hint="eastAsia" w:ascii="宋体" w:hAnsi="宋体"/>
          <w:szCs w:val="21"/>
          <w:highlight w:val="none"/>
        </w:rPr>
        <w:t>元</w:t>
      </w:r>
      <w:r>
        <w:rPr>
          <w:rFonts w:ascii="宋体" w:hAnsi="宋体"/>
          <w:szCs w:val="21"/>
          <w:highlight w:val="none"/>
        </w:rPr>
        <w:t>/</w:t>
      </w:r>
      <w:r>
        <w:rPr>
          <w:rFonts w:hint="eastAsia" w:ascii="宋体" w:hAnsi="宋体"/>
          <w:szCs w:val="21"/>
          <w:highlight w:val="none"/>
        </w:rPr>
        <w:t>人·次扣除乙方承包费，若因未持证上岗而造成安全事故的，由乙方承担所有责任。</w:t>
      </w:r>
    </w:p>
    <w:p>
      <w:pPr>
        <w:pStyle w:val="210"/>
        <w:tabs>
          <w:tab w:val="left" w:pos="993"/>
        </w:tabs>
        <w:spacing w:line="348" w:lineRule="auto"/>
        <w:ind w:firstLineChars="0"/>
        <w:rPr>
          <w:rFonts w:ascii="宋体" w:hAnsi="宋体"/>
          <w:szCs w:val="21"/>
          <w:highlight w:val="none"/>
        </w:rPr>
      </w:pPr>
      <w:r>
        <w:rPr>
          <w:rFonts w:hint="eastAsia" w:ascii="宋体" w:hAnsi="宋体"/>
          <w:szCs w:val="21"/>
          <w:highlight w:val="none"/>
        </w:rPr>
        <w:t>2.9乙方必须配备足够的劳动保护用品，配备不足的，按每人次扣除乙方承包费用100元，若因未配戴劳动保护用品而造成安全事故、职业健康等问题的由乙方负全部责任。</w:t>
      </w:r>
    </w:p>
    <w:p>
      <w:pPr>
        <w:pStyle w:val="210"/>
        <w:tabs>
          <w:tab w:val="left" w:pos="993"/>
        </w:tabs>
        <w:spacing w:line="348" w:lineRule="auto"/>
        <w:ind w:firstLineChars="0"/>
        <w:rPr>
          <w:rFonts w:ascii="宋体" w:hAnsi="宋体"/>
          <w:szCs w:val="21"/>
          <w:highlight w:val="none"/>
        </w:rPr>
      </w:pPr>
      <w:r>
        <w:rPr>
          <w:rFonts w:hint="eastAsia" w:ascii="宋体" w:hAnsi="宋体"/>
          <w:szCs w:val="21"/>
          <w:highlight w:val="none"/>
        </w:rPr>
        <w:t>2.10乙方负责加气块生产线、加气块堆场周边及运输道路的清洁卫生工作，每发生一次完工后不清洁或清洁不干净的，扣除乙方承包费用100元。</w:t>
      </w:r>
    </w:p>
    <w:p>
      <w:pPr>
        <w:pStyle w:val="210"/>
        <w:tabs>
          <w:tab w:val="left" w:pos="993"/>
        </w:tabs>
        <w:spacing w:line="348" w:lineRule="auto"/>
        <w:ind w:firstLineChars="0"/>
        <w:rPr>
          <w:rFonts w:ascii="宋体" w:hAnsi="宋体"/>
          <w:szCs w:val="21"/>
          <w:highlight w:val="none"/>
        </w:rPr>
      </w:pPr>
      <w:r>
        <w:rPr>
          <w:rFonts w:hint="eastAsia" w:ascii="宋体" w:hAnsi="宋体"/>
          <w:szCs w:val="21"/>
          <w:highlight w:val="none"/>
        </w:rPr>
        <w:t>2.11乙方在承包工作过程中不得有其他妨碍安全生产的行为（如配戴</w:t>
      </w:r>
      <w:r>
        <w:rPr>
          <w:rFonts w:ascii="宋体" w:hAnsi="宋体"/>
          <w:szCs w:val="21"/>
          <w:highlight w:val="none"/>
        </w:rPr>
        <w:t>MP3</w:t>
      </w:r>
      <w:r>
        <w:rPr>
          <w:rFonts w:hint="eastAsia" w:ascii="宋体" w:hAnsi="宋体"/>
          <w:szCs w:val="21"/>
          <w:highlight w:val="none"/>
        </w:rPr>
        <w:t>等随身听等）。每发现一次按100元</w:t>
      </w:r>
      <w:r>
        <w:rPr>
          <w:rFonts w:ascii="宋体" w:hAnsi="宋体"/>
          <w:szCs w:val="21"/>
          <w:highlight w:val="none"/>
        </w:rPr>
        <w:t>/</w:t>
      </w:r>
      <w:r>
        <w:rPr>
          <w:rFonts w:hint="eastAsia" w:ascii="宋体" w:hAnsi="宋体"/>
          <w:szCs w:val="21"/>
          <w:highlight w:val="none"/>
        </w:rPr>
        <w:t>人·次在乙方的承包费用内扣除。</w:t>
      </w:r>
    </w:p>
    <w:p>
      <w:pPr>
        <w:pStyle w:val="210"/>
        <w:tabs>
          <w:tab w:val="left" w:pos="993"/>
        </w:tabs>
        <w:spacing w:line="348" w:lineRule="auto"/>
        <w:ind w:firstLineChars="0"/>
        <w:rPr>
          <w:rFonts w:ascii="宋体" w:hAnsi="宋体"/>
          <w:szCs w:val="21"/>
          <w:highlight w:val="none"/>
        </w:rPr>
      </w:pPr>
      <w:r>
        <w:rPr>
          <w:rFonts w:hint="eastAsia" w:ascii="宋体" w:hAnsi="宋体"/>
          <w:szCs w:val="21"/>
          <w:highlight w:val="none"/>
        </w:rPr>
        <w:t>2.12乙方必须遵守交通规则和厂区车辆行驶规定，违反车辆行驶规定的，每次扣除乙方100元承包费，发生交通事故的，由乙方负全部责任。</w:t>
      </w:r>
    </w:p>
    <w:p>
      <w:pPr>
        <w:pStyle w:val="210"/>
        <w:tabs>
          <w:tab w:val="left" w:pos="993"/>
        </w:tabs>
        <w:spacing w:line="348" w:lineRule="auto"/>
        <w:ind w:firstLineChars="0"/>
        <w:rPr>
          <w:rFonts w:ascii="宋体" w:hAnsi="宋体"/>
          <w:szCs w:val="21"/>
          <w:highlight w:val="none"/>
        </w:rPr>
      </w:pPr>
      <w:r>
        <w:rPr>
          <w:rFonts w:hint="eastAsia" w:ascii="宋体" w:hAnsi="宋体"/>
          <w:szCs w:val="21"/>
          <w:highlight w:val="none"/>
        </w:rPr>
        <w:t>2.13因乙方配合不到位，造成相关检查、验收不过关或不达标的将视情况考核。</w:t>
      </w:r>
    </w:p>
    <w:p>
      <w:pPr>
        <w:pStyle w:val="210"/>
        <w:tabs>
          <w:tab w:val="left" w:pos="993"/>
        </w:tabs>
        <w:spacing w:line="348" w:lineRule="auto"/>
        <w:ind w:firstLineChars="0"/>
        <w:rPr>
          <w:rFonts w:ascii="宋体" w:hAnsi="宋体"/>
          <w:szCs w:val="21"/>
          <w:highlight w:val="none"/>
        </w:rPr>
      </w:pPr>
      <w:r>
        <w:rPr>
          <w:rFonts w:ascii="宋体" w:hAnsi="宋体"/>
          <w:szCs w:val="21"/>
          <w:highlight w:val="none"/>
        </w:rPr>
        <w:t xml:space="preserve">2.14 </w:t>
      </w:r>
      <w:r>
        <w:rPr>
          <w:rFonts w:hint="eastAsia" w:ascii="宋体" w:hAnsi="宋体"/>
          <w:szCs w:val="21"/>
          <w:highlight w:val="none"/>
        </w:rPr>
        <w:t>检修设备辅助业务的考核</w:t>
      </w:r>
    </w:p>
    <w:p>
      <w:pPr>
        <w:tabs>
          <w:tab w:val="left" w:pos="993"/>
        </w:tabs>
        <w:spacing w:line="360" w:lineRule="auto"/>
        <w:ind w:firstLine="420" w:firstLineChars="200"/>
        <w:rPr>
          <w:szCs w:val="21"/>
          <w:highlight w:val="none"/>
        </w:rPr>
      </w:pPr>
      <w:r>
        <w:rPr>
          <w:szCs w:val="21"/>
          <w:highlight w:val="none"/>
        </w:rPr>
        <w:t xml:space="preserve">2.14.1 </w:t>
      </w:r>
      <w:r>
        <w:rPr>
          <w:rFonts w:hint="eastAsia"/>
          <w:szCs w:val="21"/>
          <w:highlight w:val="none"/>
        </w:rPr>
        <w:t>接到抢修任务通知后，二十分钟内必须到达现场，如未按要求执行的考核</w:t>
      </w:r>
      <w:r>
        <w:rPr>
          <w:szCs w:val="21"/>
          <w:highlight w:val="none"/>
        </w:rPr>
        <w:t>100</w:t>
      </w:r>
      <w:r>
        <w:rPr>
          <w:rFonts w:hint="eastAsia"/>
          <w:szCs w:val="21"/>
          <w:highlight w:val="none"/>
        </w:rPr>
        <w:t>元</w:t>
      </w:r>
      <w:r>
        <w:rPr>
          <w:szCs w:val="21"/>
          <w:highlight w:val="none"/>
        </w:rPr>
        <w:t>/</w:t>
      </w:r>
      <w:r>
        <w:rPr>
          <w:rFonts w:hint="eastAsia"/>
          <w:szCs w:val="21"/>
          <w:highlight w:val="none"/>
        </w:rPr>
        <w:t>（</w:t>
      </w:r>
      <w:r>
        <w:rPr>
          <w:szCs w:val="21"/>
          <w:highlight w:val="none"/>
        </w:rPr>
        <w:t>10</w:t>
      </w:r>
      <w:r>
        <w:rPr>
          <w:rFonts w:hint="eastAsia"/>
          <w:szCs w:val="21"/>
          <w:highlight w:val="none"/>
        </w:rPr>
        <w:t>分钟·人·次）。</w:t>
      </w:r>
    </w:p>
    <w:p>
      <w:pPr>
        <w:tabs>
          <w:tab w:val="left" w:pos="993"/>
        </w:tabs>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2.14.2</w:t>
      </w:r>
      <w:r>
        <w:rPr>
          <w:rFonts w:hint="eastAsia" w:asciiTheme="minorEastAsia" w:hAnsiTheme="minorEastAsia" w:eastAsiaTheme="minorEastAsia"/>
          <w:szCs w:val="21"/>
          <w:highlight w:val="none"/>
        </w:rPr>
        <w:t>不服从工作安排的，考核</w:t>
      </w:r>
      <w:r>
        <w:rPr>
          <w:rFonts w:asciiTheme="minorEastAsia" w:hAnsiTheme="minorEastAsia" w:eastAsiaTheme="minorEastAsia"/>
          <w:szCs w:val="21"/>
          <w:highlight w:val="none"/>
        </w:rPr>
        <w:t>500</w:t>
      </w:r>
      <w:r>
        <w:rPr>
          <w:rFonts w:hint="eastAsia" w:asciiTheme="minorEastAsia" w:hAnsiTheme="minorEastAsia" w:eastAsiaTheme="minorEastAsia"/>
          <w:szCs w:val="21"/>
          <w:highlight w:val="none"/>
        </w:rPr>
        <w:t>元</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人·次。</w:t>
      </w:r>
    </w:p>
    <w:p>
      <w:pPr>
        <w:tabs>
          <w:tab w:val="left" w:pos="993"/>
        </w:tabs>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2.14.3 </w:t>
      </w:r>
      <w:r>
        <w:rPr>
          <w:rFonts w:hint="eastAsia" w:asciiTheme="minorEastAsia" w:hAnsiTheme="minorEastAsia" w:eastAsiaTheme="minorEastAsia"/>
          <w:szCs w:val="21"/>
          <w:highlight w:val="none"/>
        </w:rPr>
        <w:t>签订合同后，乙方工作人员未经甲方人同意就更换的，考核</w:t>
      </w:r>
      <w:r>
        <w:rPr>
          <w:rFonts w:asciiTheme="minorEastAsia" w:hAnsiTheme="minorEastAsia" w:eastAsiaTheme="minorEastAsia"/>
          <w:szCs w:val="21"/>
          <w:highlight w:val="none"/>
        </w:rPr>
        <w:t>250</w:t>
      </w:r>
      <w:r>
        <w:rPr>
          <w:rFonts w:hint="eastAsia" w:asciiTheme="minorEastAsia" w:hAnsiTheme="minorEastAsia" w:eastAsiaTheme="minorEastAsia"/>
          <w:szCs w:val="21"/>
          <w:highlight w:val="none"/>
        </w:rPr>
        <w:t>元</w:t>
      </w:r>
      <w:r>
        <w:rPr>
          <w:rFonts w:asciiTheme="minorEastAsia" w:hAnsiTheme="minorEastAsia" w:eastAsiaTheme="minorEastAsia"/>
          <w:szCs w:val="21"/>
          <w:highlight w:val="none"/>
        </w:rPr>
        <w:t>/ 8</w:t>
      </w:r>
      <w:r>
        <w:rPr>
          <w:rFonts w:hint="eastAsia" w:asciiTheme="minorEastAsia" w:hAnsiTheme="minorEastAsia" w:eastAsiaTheme="minorEastAsia"/>
          <w:szCs w:val="21"/>
          <w:highlight w:val="none"/>
        </w:rPr>
        <w:t>小时×人数）。</w:t>
      </w:r>
    </w:p>
    <w:p>
      <w:pPr>
        <w:tabs>
          <w:tab w:val="left" w:pos="993"/>
        </w:tabs>
        <w:spacing w:line="360" w:lineRule="auto"/>
        <w:ind w:left="420" w:leftChars="200"/>
        <w:rPr>
          <w:rFonts w:asciiTheme="minorEastAsia" w:hAnsiTheme="minorEastAsia" w:eastAsiaTheme="minorEastAsia"/>
          <w:szCs w:val="21"/>
          <w:highlight w:val="none"/>
        </w:rPr>
      </w:pPr>
      <w:r>
        <w:rPr>
          <w:rFonts w:asciiTheme="minorEastAsia" w:hAnsiTheme="minorEastAsia" w:eastAsiaTheme="minorEastAsia"/>
          <w:szCs w:val="21"/>
          <w:highlight w:val="none"/>
        </w:rPr>
        <w:t>2.14.4</w:t>
      </w:r>
      <w:r>
        <w:rPr>
          <w:rFonts w:hint="eastAsia" w:asciiTheme="minorEastAsia" w:hAnsiTheme="minorEastAsia" w:eastAsiaTheme="minorEastAsia"/>
          <w:szCs w:val="21"/>
          <w:highlight w:val="none"/>
        </w:rPr>
        <w:t>日常停产或春节大修期间，检修人员达不到</w:t>
      </w:r>
      <w:r>
        <w:rPr>
          <w:rFonts w:asciiTheme="minorEastAsia" w:hAnsiTheme="minorEastAsia" w:eastAsiaTheme="minorEastAsia"/>
          <w:szCs w:val="21"/>
          <w:highlight w:val="none"/>
        </w:rPr>
        <w:t>6</w:t>
      </w:r>
      <w:r>
        <w:rPr>
          <w:rFonts w:hint="eastAsia" w:asciiTheme="minorEastAsia" w:hAnsiTheme="minorEastAsia" w:eastAsiaTheme="minorEastAsia"/>
          <w:szCs w:val="21"/>
          <w:highlight w:val="none"/>
        </w:rPr>
        <w:t>人的，考核</w:t>
      </w:r>
      <w:r>
        <w:rPr>
          <w:rFonts w:asciiTheme="minorEastAsia" w:hAnsiTheme="minorEastAsia" w:eastAsiaTheme="minorEastAsia"/>
          <w:szCs w:val="21"/>
          <w:highlight w:val="none"/>
        </w:rPr>
        <w:t>1000</w:t>
      </w:r>
      <w:r>
        <w:rPr>
          <w:rFonts w:hint="eastAsia" w:asciiTheme="minorEastAsia" w:hAnsiTheme="minorEastAsia" w:eastAsiaTheme="minorEastAsia"/>
          <w:szCs w:val="21"/>
          <w:highlight w:val="none"/>
        </w:rPr>
        <w:t>元</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8</w:t>
      </w:r>
      <w:r>
        <w:rPr>
          <w:rFonts w:hint="eastAsia" w:asciiTheme="minorEastAsia" w:hAnsiTheme="minorEastAsia" w:eastAsiaTheme="minorEastAsia"/>
          <w:szCs w:val="21"/>
          <w:highlight w:val="none"/>
        </w:rPr>
        <w:t>小时×人数）。</w:t>
      </w:r>
      <w:r>
        <w:rPr>
          <w:rFonts w:asciiTheme="minorEastAsia" w:hAnsiTheme="minorEastAsia" w:eastAsiaTheme="minorEastAsia"/>
          <w:szCs w:val="21"/>
          <w:highlight w:val="none"/>
        </w:rPr>
        <w:t>2.14.5</w:t>
      </w:r>
      <w:r>
        <w:rPr>
          <w:rFonts w:hint="eastAsia" w:asciiTheme="minorEastAsia" w:hAnsiTheme="minorEastAsia" w:eastAsiaTheme="minorEastAsia"/>
          <w:szCs w:val="21"/>
          <w:highlight w:val="none"/>
        </w:rPr>
        <w:t>因乙方人员操作不当造成甲方损失的，按甲方损失</w:t>
      </w:r>
      <w:r>
        <w:rPr>
          <w:rFonts w:asciiTheme="minorEastAsia" w:hAnsiTheme="minorEastAsia" w:eastAsiaTheme="minorEastAsia"/>
          <w:szCs w:val="21"/>
          <w:highlight w:val="none"/>
        </w:rPr>
        <w:t>2</w:t>
      </w:r>
      <w:r>
        <w:rPr>
          <w:rFonts w:hint="eastAsia" w:asciiTheme="minorEastAsia" w:hAnsiTheme="minorEastAsia" w:eastAsiaTheme="minorEastAsia"/>
          <w:szCs w:val="21"/>
          <w:highlight w:val="none"/>
        </w:rPr>
        <w:t>倍考核。</w:t>
      </w:r>
    </w:p>
    <w:p>
      <w:pPr>
        <w:tabs>
          <w:tab w:val="left" w:pos="993"/>
        </w:tabs>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2.14.6</w:t>
      </w:r>
      <w:r>
        <w:rPr>
          <w:rFonts w:hint="eastAsia" w:asciiTheme="minorEastAsia" w:hAnsiTheme="minorEastAsia" w:eastAsiaTheme="minorEastAsia"/>
          <w:szCs w:val="21"/>
          <w:highlight w:val="none"/>
        </w:rPr>
        <w:t>违反劳动纪律的，考核</w:t>
      </w:r>
      <w:r>
        <w:rPr>
          <w:rFonts w:asciiTheme="minorEastAsia" w:hAnsiTheme="minorEastAsia" w:eastAsiaTheme="minorEastAsia"/>
          <w:szCs w:val="21"/>
          <w:highlight w:val="none"/>
        </w:rPr>
        <w:t>100</w:t>
      </w:r>
      <w:r>
        <w:rPr>
          <w:rFonts w:hint="eastAsia" w:asciiTheme="minorEastAsia" w:hAnsiTheme="minorEastAsia" w:eastAsiaTheme="minorEastAsia"/>
          <w:szCs w:val="21"/>
          <w:highlight w:val="none"/>
        </w:rPr>
        <w:t>元</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人·次。</w:t>
      </w:r>
    </w:p>
    <w:p>
      <w:pPr>
        <w:pStyle w:val="210"/>
        <w:tabs>
          <w:tab w:val="left" w:pos="993"/>
        </w:tabs>
        <w:spacing w:line="348" w:lineRule="auto"/>
        <w:ind w:firstLineChars="0"/>
        <w:rPr>
          <w:rFonts w:ascii="宋体" w:hAnsi="宋体"/>
          <w:szCs w:val="21"/>
          <w:highlight w:val="none"/>
        </w:rPr>
      </w:pPr>
      <w:r>
        <w:rPr>
          <w:rFonts w:asciiTheme="minorEastAsia" w:hAnsiTheme="minorEastAsia" w:eastAsiaTheme="minorEastAsia"/>
          <w:szCs w:val="21"/>
          <w:highlight w:val="none"/>
        </w:rPr>
        <w:t>2.14.7</w:t>
      </w:r>
      <w:r>
        <w:rPr>
          <w:rFonts w:hint="eastAsia" w:asciiTheme="minorEastAsia" w:hAnsiTheme="minorEastAsia" w:eastAsiaTheme="minorEastAsia"/>
          <w:szCs w:val="21"/>
          <w:highlight w:val="none"/>
        </w:rPr>
        <w:t>检修作业场所未达到物</w:t>
      </w:r>
      <w:r>
        <w:rPr>
          <w:rFonts w:asciiTheme="minorEastAsia" w:hAnsiTheme="minorEastAsia" w:eastAsiaTheme="minorEastAsia"/>
          <w:szCs w:val="21"/>
          <w:highlight w:val="none"/>
        </w:rPr>
        <w:t>尽场清</w:t>
      </w:r>
      <w:r>
        <w:rPr>
          <w:rFonts w:hint="eastAsia" w:asciiTheme="minorEastAsia" w:hAnsiTheme="minorEastAsia" w:eastAsiaTheme="minorEastAsia"/>
          <w:szCs w:val="21"/>
          <w:highlight w:val="none"/>
        </w:rPr>
        <w:t>的，考核</w:t>
      </w:r>
      <w:r>
        <w:rPr>
          <w:rFonts w:asciiTheme="minorEastAsia" w:hAnsiTheme="minorEastAsia" w:eastAsiaTheme="minorEastAsia"/>
          <w:szCs w:val="21"/>
          <w:highlight w:val="none"/>
        </w:rPr>
        <w:t>100</w:t>
      </w:r>
      <w:r>
        <w:rPr>
          <w:rFonts w:hint="eastAsia" w:asciiTheme="minorEastAsia" w:hAnsiTheme="minorEastAsia" w:eastAsiaTheme="minorEastAsia"/>
          <w:szCs w:val="21"/>
          <w:highlight w:val="none"/>
        </w:rPr>
        <w:t>元</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项。</w:t>
      </w:r>
    </w:p>
    <w:p>
      <w:pPr>
        <w:pStyle w:val="210"/>
        <w:tabs>
          <w:tab w:val="left" w:pos="851"/>
        </w:tabs>
        <w:spacing w:line="348" w:lineRule="auto"/>
        <w:ind w:firstLineChars="0"/>
        <w:rPr>
          <w:rFonts w:ascii="宋体" w:hAnsi="宋体"/>
          <w:szCs w:val="21"/>
          <w:highlight w:val="none"/>
        </w:rPr>
      </w:pPr>
      <w:r>
        <w:rPr>
          <w:rFonts w:hint="eastAsia" w:ascii="宋体" w:hAnsi="宋体"/>
          <w:szCs w:val="21"/>
          <w:highlight w:val="none"/>
        </w:rPr>
        <w:t>3.乙方人员在甲方厂区内工作，必须遵守甲方相关规定，如有违反将对乙方进行经济考核。</w:t>
      </w:r>
    </w:p>
    <w:p>
      <w:pPr>
        <w:pStyle w:val="210"/>
        <w:tabs>
          <w:tab w:val="left" w:pos="851"/>
        </w:tabs>
        <w:spacing w:line="348" w:lineRule="auto"/>
        <w:ind w:firstLineChars="0"/>
        <w:rPr>
          <w:rFonts w:ascii="宋体" w:hAnsi="宋体"/>
          <w:szCs w:val="21"/>
          <w:highlight w:val="none"/>
        </w:rPr>
      </w:pPr>
      <w:r>
        <w:rPr>
          <w:rFonts w:hint="eastAsia" w:ascii="宋体" w:hAnsi="宋体"/>
          <w:szCs w:val="21"/>
          <w:highlight w:val="none"/>
        </w:rPr>
        <w:t>4.对于连续二次违反甲方相关制度的乙方人员，甲方将拒绝放行。</w:t>
      </w:r>
    </w:p>
    <w:p>
      <w:pPr>
        <w:pStyle w:val="210"/>
        <w:tabs>
          <w:tab w:val="left" w:pos="851"/>
        </w:tabs>
        <w:spacing w:line="348" w:lineRule="auto"/>
        <w:ind w:firstLineChars="0"/>
        <w:rPr>
          <w:rFonts w:ascii="宋体" w:hAnsi="宋体"/>
          <w:szCs w:val="21"/>
          <w:highlight w:val="none"/>
        </w:rPr>
      </w:pPr>
      <w:r>
        <w:rPr>
          <w:rFonts w:hint="eastAsia" w:ascii="宋体" w:hAnsi="宋体"/>
          <w:szCs w:val="21"/>
          <w:highlight w:val="none"/>
        </w:rPr>
        <w:t>5.乙方应严格执行甲方《废弃物分类及处理管理规定》，并按其中的有关条款进行垃圾分类收集，共同维护甲方厂区环境卫生。</w:t>
      </w:r>
    </w:p>
    <w:p>
      <w:pPr>
        <w:spacing w:line="360" w:lineRule="auto"/>
        <w:ind w:firstLine="457" w:firstLineChars="218"/>
        <w:rPr>
          <w:rFonts w:ascii="宋体" w:hAnsi="宋体"/>
          <w:szCs w:val="21"/>
          <w:highlight w:val="none"/>
        </w:rPr>
      </w:pPr>
      <w:r>
        <w:rPr>
          <w:rFonts w:hint="eastAsia" w:ascii="宋体" w:hAnsi="宋体"/>
          <w:szCs w:val="21"/>
          <w:highlight w:val="none"/>
        </w:rPr>
        <w:t>6.甲方的具体负责部门分别对乙方在生产现场、商务执行、安全生产、劳动纪律、进出厂区等方面的工作表现进行监管。各部门若对乙方有违规行为需进行考核的，出具考核处罚单据乙方签字确认后交甲方计划经营部办理结算。</w:t>
      </w:r>
    </w:p>
    <w:p>
      <w:pPr>
        <w:spacing w:line="360" w:lineRule="auto"/>
        <w:ind w:firstLine="460" w:firstLineChars="218"/>
        <w:rPr>
          <w:rFonts w:ascii="宋体" w:hAnsi="宋体"/>
          <w:b/>
          <w:szCs w:val="21"/>
          <w:highlight w:val="none"/>
        </w:rPr>
      </w:pPr>
      <w:r>
        <w:rPr>
          <w:rFonts w:hint="eastAsia" w:ascii="宋体" w:hAnsi="宋体"/>
          <w:b/>
          <w:szCs w:val="21"/>
          <w:highlight w:val="none"/>
        </w:rPr>
        <w:t>九、通知送达</w:t>
      </w:r>
    </w:p>
    <w:p>
      <w:pPr>
        <w:spacing w:line="360" w:lineRule="auto"/>
        <w:ind w:firstLine="457" w:firstLineChars="218"/>
        <w:rPr>
          <w:rFonts w:ascii="宋体" w:hAnsi="宋体"/>
          <w:szCs w:val="21"/>
          <w:highlight w:val="none"/>
        </w:rPr>
      </w:pPr>
      <w:r>
        <w:rPr>
          <w:rFonts w:hint="eastAsia" w:ascii="宋体" w:hAnsi="宋体"/>
          <w:szCs w:val="21"/>
          <w:highlight w:val="none"/>
        </w:rPr>
        <w:t>一方在本合同履行过程中向另一方发出或者提供的所有通知、文件、文书、资料等，均以本合同所列明的地址送达；一方如果迁址或者变更电话，应当及时书面通知另一方，未履行通知义务的，另一方按原地址邮寄相关材料即视为已履行送达义务；当面交付上述材料的，在交付之时视为送达。</w:t>
      </w:r>
    </w:p>
    <w:p>
      <w:pPr>
        <w:spacing w:line="360" w:lineRule="auto"/>
        <w:ind w:firstLine="460" w:firstLineChars="218"/>
        <w:rPr>
          <w:rFonts w:ascii="宋体" w:hAnsi="宋体"/>
          <w:b/>
          <w:szCs w:val="21"/>
          <w:highlight w:val="none"/>
        </w:rPr>
      </w:pPr>
      <w:r>
        <w:rPr>
          <w:rFonts w:hint="eastAsia" w:ascii="宋体" w:hAnsi="宋体"/>
          <w:b/>
          <w:szCs w:val="21"/>
          <w:highlight w:val="none"/>
        </w:rPr>
        <w:t>十、保密</w:t>
      </w:r>
    </w:p>
    <w:p>
      <w:pPr>
        <w:spacing w:line="360" w:lineRule="auto"/>
        <w:ind w:firstLine="457" w:firstLineChars="218"/>
        <w:rPr>
          <w:rFonts w:ascii="宋体" w:hAnsi="宋体"/>
          <w:szCs w:val="21"/>
          <w:highlight w:val="none"/>
        </w:rPr>
      </w:pPr>
      <w:r>
        <w:rPr>
          <w:rFonts w:hint="eastAsia" w:ascii="宋体" w:hAnsi="宋体"/>
          <w:szCs w:val="21"/>
          <w:highlight w:val="none"/>
        </w:rPr>
        <w:t>乙方保证乙方及乙方的服务人员对在执行本合同期间获知的有关甲方及其关联公司的产品、技术、业务、经营及其他信息承担保密义务，未经甲方事先书面同意或法定的程序，不得将前述信息向任何第三方透露，本条项下义务将在本合同生效日起持续有效，不受本合同履行完毕、期满、终止或解除的影响。</w:t>
      </w:r>
    </w:p>
    <w:p>
      <w:pPr>
        <w:spacing w:line="360" w:lineRule="auto"/>
        <w:ind w:firstLine="460" w:firstLineChars="218"/>
        <w:rPr>
          <w:rFonts w:ascii="宋体" w:hAnsi="宋体"/>
          <w:szCs w:val="21"/>
          <w:highlight w:val="none"/>
        </w:rPr>
      </w:pPr>
      <w:r>
        <w:rPr>
          <w:rFonts w:hint="eastAsia" w:ascii="宋体" w:hAnsi="宋体"/>
          <w:b/>
          <w:bCs/>
          <w:szCs w:val="21"/>
          <w:highlight w:val="none"/>
        </w:rPr>
        <w:t>十一、</w:t>
      </w:r>
      <w:r>
        <w:rPr>
          <w:rFonts w:ascii="宋体" w:hAnsi="宋体"/>
          <w:szCs w:val="21"/>
          <w:highlight w:val="none"/>
        </w:rPr>
        <w:t>甲乙双方在合同期间，因</w:t>
      </w:r>
      <w:r>
        <w:rPr>
          <w:rFonts w:hint="eastAsia" w:ascii="宋体" w:hAnsi="宋体"/>
          <w:szCs w:val="21"/>
          <w:highlight w:val="none"/>
        </w:rPr>
        <w:t>与</w:t>
      </w:r>
      <w:r>
        <w:rPr>
          <w:rFonts w:ascii="宋体" w:hAnsi="宋体"/>
          <w:szCs w:val="21"/>
          <w:highlight w:val="none"/>
        </w:rPr>
        <w:t>相关之业务导致甲方发生直接或间接损失（包括但不限于</w:t>
      </w:r>
      <w:r>
        <w:rPr>
          <w:rFonts w:ascii="宋体" w:hAnsi="宋体"/>
          <w:color w:val="000000"/>
          <w:szCs w:val="21"/>
          <w:highlight w:val="none"/>
        </w:rPr>
        <w:t>乙方</w:t>
      </w:r>
      <w:r>
        <w:rPr>
          <w:rFonts w:hint="eastAsia" w:ascii="宋体" w:hAnsi="宋体"/>
          <w:color w:val="000000"/>
          <w:szCs w:val="21"/>
          <w:highlight w:val="none"/>
        </w:rPr>
        <w:t>或甲方为</w:t>
      </w:r>
      <w:r>
        <w:rPr>
          <w:rFonts w:ascii="宋体" w:hAnsi="宋体"/>
          <w:szCs w:val="21"/>
          <w:highlight w:val="none"/>
        </w:rPr>
        <w:t>保证甲方的业务而租赁第三方车辆</w:t>
      </w:r>
      <w:r>
        <w:rPr>
          <w:rFonts w:hint="eastAsia" w:ascii="宋体" w:hAnsi="宋体"/>
          <w:szCs w:val="21"/>
          <w:highlight w:val="none"/>
        </w:rPr>
        <w:t>、设备</w:t>
      </w:r>
      <w:r>
        <w:rPr>
          <w:rFonts w:ascii="宋体" w:hAnsi="宋体"/>
          <w:szCs w:val="21"/>
          <w:highlight w:val="none"/>
        </w:rPr>
        <w:t>产生的应付</w:t>
      </w:r>
      <w:r>
        <w:rPr>
          <w:rFonts w:hint="eastAsia" w:ascii="宋体" w:hAnsi="宋体"/>
          <w:szCs w:val="21"/>
          <w:highlight w:val="none"/>
        </w:rPr>
        <w:t>账</w:t>
      </w:r>
      <w:r>
        <w:rPr>
          <w:rFonts w:ascii="宋体" w:hAnsi="宋体"/>
          <w:szCs w:val="21"/>
          <w:highlight w:val="none"/>
        </w:rPr>
        <w:t>款、工伤、事故、政府部门处罚等），凡乙方不能证实损失应由甲方承担之部分，均由乙方承担，甲方可直接扣除（但不限于扣除）乙方</w:t>
      </w:r>
      <w:r>
        <w:rPr>
          <w:rFonts w:hint="eastAsia" w:ascii="宋体" w:hAnsi="宋体"/>
          <w:szCs w:val="21"/>
          <w:highlight w:val="none"/>
        </w:rPr>
        <w:t>承包费用，不足部分，可在履约保证金中扣除，仍不足的，还有权向乙方追索。</w:t>
      </w:r>
    </w:p>
    <w:p>
      <w:pPr>
        <w:spacing w:line="360" w:lineRule="auto"/>
        <w:ind w:firstLine="460" w:firstLineChars="218"/>
        <w:rPr>
          <w:rFonts w:ascii="宋体" w:hAnsi="宋体"/>
          <w:b/>
          <w:szCs w:val="21"/>
          <w:highlight w:val="none"/>
        </w:rPr>
      </w:pPr>
      <w:r>
        <w:rPr>
          <w:rFonts w:hint="eastAsia" w:ascii="宋体" w:hAnsi="宋体"/>
          <w:b/>
          <w:szCs w:val="21"/>
          <w:highlight w:val="none"/>
        </w:rPr>
        <w:t>十二、生效及期限</w:t>
      </w:r>
    </w:p>
    <w:p>
      <w:pPr>
        <w:spacing w:line="360" w:lineRule="auto"/>
        <w:ind w:firstLine="457" w:firstLineChars="218"/>
        <w:rPr>
          <w:rFonts w:ascii="宋体" w:hAnsi="宋体"/>
          <w:szCs w:val="21"/>
          <w:highlight w:val="none"/>
        </w:rPr>
      </w:pPr>
      <w:r>
        <w:rPr>
          <w:rFonts w:hint="eastAsia" w:ascii="宋体" w:hAnsi="宋体"/>
          <w:szCs w:val="21"/>
          <w:highlight w:val="none"/>
        </w:rPr>
        <w:t>1. 本合同经双方签字盖章后生效，有效期至本合同业务外包期届满且双方权利义务结清之日。本合同壹式陆份，甲方肆份，乙方贰份，具同等法律效力。</w:t>
      </w:r>
    </w:p>
    <w:p>
      <w:pPr>
        <w:spacing w:line="360" w:lineRule="auto"/>
        <w:ind w:firstLine="457" w:firstLineChars="218"/>
        <w:rPr>
          <w:rFonts w:ascii="宋体" w:hAnsi="宋体"/>
          <w:szCs w:val="21"/>
          <w:highlight w:val="none"/>
        </w:rPr>
      </w:pPr>
      <w:r>
        <w:rPr>
          <w:rFonts w:hint="eastAsia" w:ascii="宋体" w:hAnsi="宋体"/>
          <w:szCs w:val="21"/>
          <w:highlight w:val="none"/>
        </w:rPr>
        <w:t>2. 本合同服务期限为24个月，自2019年12月1日起至2021年11月30日止。在服务期限内，甲方会不定期对乙方根据合同条款进行综合评估考核，若考核不合格的，限期整改，如不整改或者整改仍不合格，甲方有权以书面通知的形式单方提出终止合同，并不就提前终止合同向乙方承担任何责任，乙方亦同意不就此向甲方主张任何权利，同时甲方有权与第二或第三中标候选人签订合同或组织重新招标。</w:t>
      </w:r>
    </w:p>
    <w:p>
      <w:pPr>
        <w:spacing w:line="360" w:lineRule="auto"/>
        <w:ind w:firstLine="460" w:firstLineChars="218"/>
        <w:rPr>
          <w:rFonts w:ascii="宋体" w:hAnsi="宋体"/>
          <w:b/>
          <w:szCs w:val="21"/>
          <w:highlight w:val="none"/>
        </w:rPr>
      </w:pPr>
      <w:r>
        <w:rPr>
          <w:rFonts w:hint="eastAsia" w:ascii="宋体" w:hAnsi="宋体"/>
          <w:b/>
          <w:szCs w:val="21"/>
          <w:highlight w:val="none"/>
        </w:rPr>
        <w:t>十三、争议解决、法律适用</w:t>
      </w:r>
    </w:p>
    <w:p>
      <w:pPr>
        <w:spacing w:line="360" w:lineRule="auto"/>
        <w:ind w:firstLine="457" w:firstLineChars="218"/>
        <w:rPr>
          <w:rFonts w:ascii="宋体" w:hAnsi="宋体"/>
          <w:szCs w:val="21"/>
          <w:highlight w:val="none"/>
        </w:rPr>
      </w:pPr>
      <w:r>
        <w:rPr>
          <w:rFonts w:hint="eastAsia" w:ascii="宋体" w:hAnsi="宋体"/>
          <w:szCs w:val="21"/>
          <w:highlight w:val="none"/>
        </w:rPr>
        <w:t xml:space="preserve">1．与本合同有关或由本合同产生的一切争议，甲乙双方应友好协商解决，协商不成的，由甲方所在地人民法院管辖。 </w:t>
      </w:r>
    </w:p>
    <w:p>
      <w:pPr>
        <w:spacing w:line="360" w:lineRule="auto"/>
        <w:ind w:firstLine="457" w:firstLineChars="218"/>
        <w:rPr>
          <w:rFonts w:ascii="宋体" w:hAnsi="宋体"/>
          <w:szCs w:val="21"/>
          <w:highlight w:val="none"/>
        </w:rPr>
      </w:pPr>
      <w:r>
        <w:rPr>
          <w:rFonts w:hint="eastAsia" w:ascii="宋体" w:hAnsi="宋体"/>
          <w:szCs w:val="21"/>
          <w:highlight w:val="none"/>
        </w:rPr>
        <w:t xml:space="preserve">2．本合同依照中华人民共和国法律订立，受中华人民共和国法律管辖。 </w:t>
      </w:r>
    </w:p>
    <w:p>
      <w:pPr>
        <w:spacing w:line="360" w:lineRule="auto"/>
        <w:ind w:firstLine="460" w:firstLineChars="218"/>
        <w:rPr>
          <w:rFonts w:ascii="宋体" w:hAnsi="宋体"/>
          <w:b/>
          <w:szCs w:val="21"/>
          <w:highlight w:val="none"/>
        </w:rPr>
      </w:pPr>
      <w:r>
        <w:rPr>
          <w:rFonts w:hint="eastAsia" w:ascii="宋体" w:hAnsi="宋体"/>
          <w:b/>
          <w:szCs w:val="21"/>
          <w:highlight w:val="none"/>
        </w:rPr>
        <w:t>十四、其它事项</w:t>
      </w:r>
    </w:p>
    <w:p>
      <w:pPr>
        <w:spacing w:line="360" w:lineRule="auto"/>
        <w:ind w:firstLine="457" w:firstLineChars="218"/>
        <w:rPr>
          <w:rFonts w:ascii="宋体" w:hAnsi="宋体"/>
          <w:szCs w:val="21"/>
          <w:highlight w:val="none"/>
        </w:rPr>
      </w:pPr>
      <w:r>
        <w:rPr>
          <w:rFonts w:hint="eastAsia" w:ascii="宋体" w:hAnsi="宋体"/>
          <w:szCs w:val="21"/>
          <w:highlight w:val="none"/>
        </w:rPr>
        <w:t>1、本合同以及与本合同相关的一切事项均受中华人民共和国法律管辖。</w:t>
      </w:r>
    </w:p>
    <w:p>
      <w:pPr>
        <w:spacing w:line="360" w:lineRule="auto"/>
        <w:ind w:firstLine="457" w:firstLineChars="218"/>
        <w:rPr>
          <w:rFonts w:ascii="宋体" w:hAnsi="宋体"/>
          <w:szCs w:val="21"/>
          <w:highlight w:val="none"/>
        </w:rPr>
      </w:pPr>
      <w:r>
        <w:rPr>
          <w:rFonts w:hint="eastAsia" w:ascii="宋体" w:hAnsi="宋体"/>
          <w:szCs w:val="21"/>
          <w:highlight w:val="none"/>
        </w:rPr>
        <w:t>本合同所包括的附件，是本合同不可分割的组成部分，具有同等的法定效力。如果附件与合同正文不一致，合同正文效力优先。如果不同时间的文件有不一致或模糊时，以时间后者为准。</w:t>
      </w:r>
    </w:p>
    <w:p>
      <w:pPr>
        <w:numPr>
          <w:ilvl w:val="0"/>
          <w:numId w:val="12"/>
        </w:numPr>
        <w:spacing w:line="360" w:lineRule="auto"/>
        <w:ind w:firstLine="457" w:firstLineChars="218"/>
        <w:rPr>
          <w:rFonts w:ascii="宋体" w:hAnsi="宋体"/>
          <w:szCs w:val="21"/>
          <w:highlight w:val="none"/>
        </w:rPr>
      </w:pPr>
      <w:r>
        <w:rPr>
          <w:rFonts w:hint="eastAsia" w:ascii="宋体" w:hAnsi="宋体"/>
          <w:szCs w:val="21"/>
          <w:highlight w:val="none"/>
        </w:rPr>
        <w:t>本合同“附件1、附件2、附件3、附件4、附件5、附件6”是本合同不可分割的部分，享有与本合同同等法律效力。</w:t>
      </w:r>
    </w:p>
    <w:p>
      <w:pPr>
        <w:pStyle w:val="36"/>
        <w:autoSpaceDE w:val="0"/>
        <w:autoSpaceDN w:val="0"/>
        <w:adjustRightInd w:val="0"/>
        <w:spacing w:line="560" w:lineRule="exact"/>
        <w:ind w:firstLine="420" w:firstLineChars="200"/>
        <w:rPr>
          <w:rFonts w:cs="黑体"/>
          <w:color w:val="000000"/>
          <w:sz w:val="21"/>
          <w:szCs w:val="21"/>
          <w:highlight w:val="none"/>
        </w:rPr>
      </w:pPr>
    </w:p>
    <w:p>
      <w:pPr>
        <w:pStyle w:val="36"/>
        <w:autoSpaceDE w:val="0"/>
        <w:autoSpaceDN w:val="0"/>
        <w:adjustRightInd w:val="0"/>
        <w:spacing w:line="560" w:lineRule="exact"/>
        <w:ind w:left="5855" w:leftChars="228" w:hanging="5376" w:hangingChars="2550"/>
        <w:rPr>
          <w:rFonts w:cs="黑体"/>
          <w:b/>
          <w:color w:val="000000"/>
          <w:sz w:val="21"/>
          <w:szCs w:val="21"/>
          <w:highlight w:val="none"/>
        </w:rPr>
      </w:pPr>
      <w:r>
        <w:rPr>
          <w:rFonts w:hint="eastAsia" w:cs="黑体"/>
          <w:b/>
          <w:color w:val="000000"/>
          <w:sz w:val="21"/>
          <w:szCs w:val="21"/>
          <w:highlight w:val="none"/>
        </w:rPr>
        <w:t xml:space="preserve">甲方（盖章）：佛山市恒益环保建材有限公司  乙方（盖章）：    </w:t>
      </w:r>
    </w:p>
    <w:p>
      <w:pPr>
        <w:pStyle w:val="36"/>
        <w:autoSpaceDE w:val="0"/>
        <w:autoSpaceDN w:val="0"/>
        <w:adjustRightInd w:val="0"/>
        <w:spacing w:line="560" w:lineRule="exact"/>
        <w:ind w:firstLine="422" w:firstLineChars="200"/>
        <w:rPr>
          <w:rFonts w:cs="黑体"/>
          <w:b/>
          <w:color w:val="000000"/>
          <w:sz w:val="21"/>
          <w:szCs w:val="21"/>
          <w:highlight w:val="none"/>
        </w:rPr>
      </w:pPr>
      <w:r>
        <w:rPr>
          <w:rFonts w:hint="eastAsia" w:cs="黑体"/>
          <w:b/>
          <w:color w:val="000000"/>
          <w:sz w:val="21"/>
          <w:szCs w:val="21"/>
          <w:highlight w:val="none"/>
        </w:rPr>
        <w:t xml:space="preserve">代表（签字）：                             代表（签字）： </w:t>
      </w:r>
    </w:p>
    <w:p>
      <w:pPr>
        <w:pStyle w:val="36"/>
        <w:autoSpaceDE w:val="0"/>
        <w:autoSpaceDN w:val="0"/>
        <w:adjustRightInd w:val="0"/>
        <w:spacing w:line="560" w:lineRule="exact"/>
        <w:ind w:firstLine="422" w:firstLineChars="200"/>
        <w:rPr>
          <w:rFonts w:cs="黑体"/>
          <w:b/>
          <w:color w:val="000000"/>
          <w:sz w:val="21"/>
          <w:szCs w:val="21"/>
          <w:highlight w:val="none"/>
        </w:rPr>
      </w:pPr>
      <w:r>
        <w:rPr>
          <w:rFonts w:hint="eastAsia" w:cs="黑体"/>
          <w:b/>
          <w:color w:val="000000"/>
          <w:sz w:val="21"/>
          <w:szCs w:val="21"/>
          <w:highlight w:val="none"/>
        </w:rPr>
        <w:t>日期：                                     日期：</w:t>
      </w:r>
    </w:p>
    <w:p>
      <w:pPr>
        <w:spacing w:line="500" w:lineRule="exact"/>
        <w:rPr>
          <w:rFonts w:ascii="宋体" w:hAnsi="宋体"/>
          <w:szCs w:val="21"/>
          <w:highlight w:val="none"/>
        </w:rPr>
      </w:pPr>
    </w:p>
    <w:p>
      <w:pPr>
        <w:spacing w:line="500" w:lineRule="exact"/>
        <w:rPr>
          <w:rFonts w:ascii="宋体" w:hAnsi="宋体"/>
          <w:szCs w:val="21"/>
          <w:highlight w:val="none"/>
        </w:rPr>
      </w:pPr>
    </w:p>
    <w:p>
      <w:pPr>
        <w:spacing w:line="500" w:lineRule="exact"/>
        <w:rPr>
          <w:rFonts w:ascii="宋体" w:hAnsi="宋体"/>
          <w:szCs w:val="21"/>
          <w:highlight w:val="none"/>
        </w:rPr>
      </w:pPr>
    </w:p>
    <w:p>
      <w:pPr>
        <w:spacing w:line="500" w:lineRule="exact"/>
        <w:rPr>
          <w:rFonts w:ascii="宋体" w:hAnsi="宋体"/>
          <w:b/>
          <w:bCs/>
          <w:szCs w:val="21"/>
          <w:highlight w:val="none"/>
        </w:rPr>
      </w:pPr>
      <w:r>
        <w:rPr>
          <w:rFonts w:ascii="宋体" w:hAnsi="宋体"/>
          <w:szCs w:val="21"/>
          <w:highlight w:val="none"/>
        </w:rPr>
        <w:br w:type="page"/>
      </w:r>
      <w:r>
        <w:rPr>
          <w:rFonts w:hint="eastAsia" w:ascii="宋体" w:hAnsi="宋体"/>
          <w:b/>
          <w:bCs/>
          <w:szCs w:val="21"/>
          <w:highlight w:val="none"/>
        </w:rPr>
        <w:t>附件1:</w:t>
      </w:r>
    </w:p>
    <w:p>
      <w:pPr>
        <w:spacing w:line="400" w:lineRule="exact"/>
        <w:jc w:val="center"/>
        <w:rPr>
          <w:rFonts w:ascii="黑体" w:hAnsi="华文中宋" w:eastAsia="黑体"/>
          <w:b/>
          <w:sz w:val="30"/>
          <w:szCs w:val="30"/>
          <w:highlight w:val="none"/>
        </w:rPr>
      </w:pPr>
      <w:r>
        <w:rPr>
          <w:rFonts w:hint="eastAsia" w:ascii="宋体" w:hAnsi="宋体" w:cs="宋体"/>
          <w:b/>
          <w:color w:val="000000"/>
          <w:kern w:val="0"/>
          <w:sz w:val="30"/>
          <w:szCs w:val="30"/>
          <w:highlight w:val="none"/>
        </w:rPr>
        <w:t>佛山市恒益环保建材有限公司加气砌块生产辅助业务外委项目</w:t>
      </w:r>
    </w:p>
    <w:p>
      <w:pPr>
        <w:spacing w:line="400" w:lineRule="exact"/>
        <w:jc w:val="center"/>
        <w:rPr>
          <w:rFonts w:ascii="黑体" w:hAnsi="华文中宋" w:eastAsia="黑体"/>
          <w:szCs w:val="21"/>
          <w:highlight w:val="none"/>
        </w:rPr>
      </w:pPr>
      <w:r>
        <w:rPr>
          <w:rFonts w:hint="eastAsia" w:ascii="黑体" w:hAnsi="华文中宋" w:eastAsia="黑体"/>
          <w:sz w:val="30"/>
          <w:szCs w:val="30"/>
          <w:highlight w:val="none"/>
        </w:rPr>
        <w:t>业务承包的具体工作细则</w:t>
      </w:r>
    </w:p>
    <w:p>
      <w:pPr>
        <w:spacing w:line="500" w:lineRule="exact"/>
        <w:rPr>
          <w:rFonts w:ascii="黑体" w:hAnsi="华文中宋" w:eastAsia="黑体"/>
          <w:szCs w:val="21"/>
          <w:highlight w:val="none"/>
        </w:rPr>
      </w:pPr>
    </w:p>
    <w:p>
      <w:pPr>
        <w:widowControl/>
        <w:spacing w:line="360" w:lineRule="auto"/>
        <w:ind w:firstLine="482"/>
        <w:jc w:val="left"/>
        <w:rPr>
          <w:rFonts w:asciiTheme="minorEastAsia" w:hAnsiTheme="minorEastAsia" w:eastAsiaTheme="minorEastAsia"/>
          <w:szCs w:val="21"/>
          <w:highlight w:val="none"/>
        </w:rPr>
      </w:pPr>
      <w:r>
        <w:rPr>
          <w:rFonts w:asciiTheme="minorEastAsia" w:hAnsiTheme="minorEastAsia" w:eastAsiaTheme="minorEastAsia"/>
          <w:b/>
          <w:szCs w:val="21"/>
          <w:highlight w:val="none"/>
        </w:rPr>
        <w:t>1.生产线辅助业务部分</w:t>
      </w:r>
      <w:r>
        <w:rPr>
          <w:rFonts w:hint="eastAsia" w:asciiTheme="minorEastAsia" w:hAnsiTheme="minorEastAsia" w:eastAsiaTheme="minorEastAsia"/>
          <w:szCs w:val="21"/>
          <w:highlight w:val="none"/>
        </w:rPr>
        <w:t>（未明确强调具体人员配置数量的工作任务乙方可安排兼职人员，但必须按照甲方要求完成相关工作任务。）</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  </w:t>
      </w:r>
      <w:r>
        <w:rPr>
          <w:rFonts w:hint="eastAsia" w:asciiTheme="minorEastAsia" w:hAnsiTheme="minorEastAsia" w:eastAsiaTheme="minorEastAsia"/>
          <w:b/>
          <w:szCs w:val="21"/>
          <w:highlight w:val="none"/>
        </w:rPr>
        <w:t>磨房制浆辅助业务的主要工作内容</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1.1.1 </w:t>
      </w:r>
      <w:r>
        <w:rPr>
          <w:rFonts w:hint="eastAsia" w:asciiTheme="minorEastAsia" w:hAnsiTheme="minorEastAsia" w:eastAsiaTheme="minorEastAsia"/>
          <w:szCs w:val="21"/>
          <w:highlight w:val="none"/>
        </w:rPr>
        <w:t>负责所有砂皮带运行巡检，中控操作自动运行时现场巡检监护。负责对胶带输送机</w:t>
      </w:r>
      <w:r>
        <w:rPr>
          <w:rFonts w:asciiTheme="minorEastAsia" w:hAnsiTheme="minorEastAsia" w:eastAsiaTheme="minorEastAsia"/>
          <w:szCs w:val="21"/>
          <w:highlight w:val="none"/>
        </w:rPr>
        <w:t>、砂皮带秤</w:t>
      </w:r>
      <w:r>
        <w:rPr>
          <w:rFonts w:hint="eastAsia" w:asciiTheme="minorEastAsia" w:hAnsiTheme="minorEastAsia" w:eastAsiaTheme="minorEastAsia"/>
          <w:szCs w:val="21"/>
          <w:highlight w:val="none"/>
        </w:rPr>
        <w:t>下方漏砂清理。</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1.1.2 </w:t>
      </w:r>
      <w:r>
        <w:rPr>
          <w:rFonts w:hint="eastAsia" w:asciiTheme="minorEastAsia" w:hAnsiTheme="minorEastAsia" w:eastAsiaTheme="minorEastAsia"/>
          <w:szCs w:val="21"/>
          <w:highlight w:val="none"/>
        </w:rPr>
        <w:t>负责粉煤灰制浆工作，中控操作自动运行时现场巡检监护及出口手动阀操作，负责区域内卫生。</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1.1.3 </w:t>
      </w:r>
      <w:r>
        <w:rPr>
          <w:rFonts w:hint="eastAsia" w:asciiTheme="minorEastAsia" w:hAnsiTheme="minorEastAsia" w:eastAsiaTheme="minorEastAsia"/>
          <w:szCs w:val="21"/>
          <w:highlight w:val="none"/>
        </w:rPr>
        <w:t>负责石膏制浆，人工铲料制浆，负责门外撒落石膏及积水沟、坑的清理。</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1.1.4 </w:t>
      </w:r>
      <w:r>
        <w:rPr>
          <w:rFonts w:hint="eastAsia" w:asciiTheme="minorEastAsia" w:hAnsiTheme="minorEastAsia" w:eastAsiaTheme="minorEastAsia"/>
          <w:szCs w:val="21"/>
          <w:highlight w:val="none"/>
        </w:rPr>
        <w:t>负责</w:t>
      </w:r>
      <w:r>
        <w:rPr>
          <w:rFonts w:hint="eastAsia" w:ascii="宋体" w:hAnsi="宋体"/>
          <w:szCs w:val="21"/>
          <w:highlight w:val="none"/>
        </w:rPr>
        <w:t>其他生产原材料</w:t>
      </w:r>
      <w:r>
        <w:rPr>
          <w:rFonts w:hint="eastAsia" w:asciiTheme="minorEastAsia" w:hAnsiTheme="minorEastAsia" w:eastAsiaTheme="minorEastAsia"/>
          <w:szCs w:val="21"/>
          <w:highlight w:val="none"/>
        </w:rPr>
        <w:t>制浆，人工操作阀门输送，负责区域内卫生。</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1.1.5 </w:t>
      </w:r>
      <w:r>
        <w:rPr>
          <w:rFonts w:hint="eastAsia" w:asciiTheme="minorEastAsia" w:hAnsiTheme="minorEastAsia" w:eastAsiaTheme="minorEastAsia"/>
          <w:szCs w:val="21"/>
          <w:highlight w:val="none"/>
        </w:rPr>
        <w:t>负责磨头罐、砂皮带、磨机入口、磨机出口、磨机接收地坑等设备运行时现场巡检监控，调整废浆下料量，按操作规程操作设备，保证系统设备正常运行，按工艺要求制备合格砂浆。生产异常及时处理；磨机检修时及日常的钢锻装卸、磨机内壁板、导流板、轴承等的清理；磨机正常运行时产生的石仔清理。砂浆每一地坑的比重、每罐砂浆含水的测试。负责区域内卫生。</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1.1.6 </w:t>
      </w:r>
      <w:r>
        <w:rPr>
          <w:rFonts w:hint="eastAsia" w:asciiTheme="minorEastAsia" w:hAnsiTheme="minorEastAsia" w:eastAsiaTheme="minorEastAsia"/>
          <w:szCs w:val="21"/>
          <w:highlight w:val="none"/>
        </w:rPr>
        <w:t>负责所有罐、坑的搅拌、阀门、泵的运行监护。废浆比重、含水的测试，保证废浆符合工艺要求。负责区域卫生、罐区内所有秤重系统范围的清洁。</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1.1.7 </w:t>
      </w:r>
      <w:r>
        <w:rPr>
          <w:rFonts w:hint="eastAsia" w:asciiTheme="minorEastAsia" w:hAnsiTheme="minorEastAsia" w:eastAsiaTheme="minorEastAsia"/>
          <w:szCs w:val="21"/>
          <w:highlight w:val="none"/>
        </w:rPr>
        <w:t>建议本辅助业务人员</w:t>
      </w:r>
      <w:r>
        <w:rPr>
          <w:rFonts w:asciiTheme="minorEastAsia" w:hAnsiTheme="minorEastAsia" w:eastAsiaTheme="minorEastAsia"/>
          <w:szCs w:val="21"/>
          <w:highlight w:val="none"/>
        </w:rPr>
        <w:t>6人以上。</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1.2</w:t>
      </w:r>
      <w:r>
        <w:rPr>
          <w:rFonts w:hint="eastAsia" w:asciiTheme="minorEastAsia" w:hAnsiTheme="minorEastAsia" w:eastAsiaTheme="minorEastAsia"/>
          <w:b/>
          <w:szCs w:val="21"/>
          <w:highlight w:val="none"/>
        </w:rPr>
        <w:t>铝粉制浆辅助业务的主要工作内容</w:t>
      </w:r>
    </w:p>
    <w:p>
      <w:pPr>
        <w:widowControl/>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1.2.1 </w:t>
      </w:r>
      <w:r>
        <w:rPr>
          <w:rFonts w:hint="eastAsia" w:asciiTheme="minorEastAsia" w:hAnsiTheme="minorEastAsia" w:eastAsiaTheme="minorEastAsia"/>
          <w:szCs w:val="21"/>
          <w:highlight w:val="none"/>
        </w:rPr>
        <w:t>负责铝粉膏的吊运，将来货铝粉膏从</w:t>
      </w:r>
      <w:r>
        <w:rPr>
          <w:rFonts w:asciiTheme="minorEastAsia" w:hAnsiTheme="minorEastAsia" w:eastAsiaTheme="minorEastAsia"/>
          <w:szCs w:val="21"/>
          <w:highlight w:val="none"/>
        </w:rPr>
        <w:t>1楼用电动葫芦吊运至3楼，按要求运至铝粉库码放整齐。</w:t>
      </w:r>
    </w:p>
    <w:p>
      <w:pPr>
        <w:widowControl/>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1.2.2 </w:t>
      </w:r>
      <w:r>
        <w:rPr>
          <w:rFonts w:hint="eastAsia" w:asciiTheme="minorEastAsia" w:hAnsiTheme="minorEastAsia" w:eastAsiaTheme="minorEastAsia"/>
          <w:szCs w:val="21"/>
          <w:highlight w:val="none"/>
        </w:rPr>
        <w:t>负责按要求冲洗浇注</w:t>
      </w:r>
      <w:r>
        <w:rPr>
          <w:rFonts w:asciiTheme="minorEastAsia" w:hAnsiTheme="minorEastAsia" w:eastAsiaTheme="minorEastAsia"/>
          <w:szCs w:val="21"/>
          <w:highlight w:val="none"/>
        </w:rPr>
        <w:t>搅拌罐、料浆、斗秤；按中控指令做摊开度。按要求添加适量铝粉至自动铝粉储罐。在生产过程中监控自动铝粉机的工作状态。每班检查收尘管道、料浆管道、石灰、水泥管道是否畅通及有否挂靠</w:t>
      </w:r>
      <w:r>
        <w:rPr>
          <w:rFonts w:hint="eastAsia" w:asciiTheme="minorEastAsia" w:hAnsiTheme="minorEastAsia" w:eastAsiaTheme="minorEastAsia"/>
          <w:szCs w:val="21"/>
          <w:highlight w:val="none"/>
        </w:rPr>
        <w:t>浇注</w:t>
      </w:r>
      <w:r>
        <w:rPr>
          <w:rFonts w:asciiTheme="minorEastAsia" w:hAnsiTheme="minorEastAsia" w:eastAsiaTheme="minorEastAsia"/>
          <w:szCs w:val="21"/>
          <w:highlight w:val="none"/>
        </w:rPr>
        <w:t>搅拌罐。手动添加（自动故障时采用）按需用量将铝粉从3楼铝粉库搬运至2楼，</w:t>
      </w:r>
      <w:r>
        <w:rPr>
          <w:rFonts w:hint="eastAsia" w:asciiTheme="minorEastAsia" w:hAnsiTheme="minorEastAsia" w:eastAsiaTheme="minorEastAsia"/>
          <w:szCs w:val="21"/>
          <w:highlight w:val="none"/>
        </w:rPr>
        <w:t>每模按要求秤好铝粉并加入铝粉浇拌罐中。检查收尘管道、料浆管道、石灰、水泥管道是否畅通及有否挂靠浇注</w:t>
      </w:r>
      <w:r>
        <w:rPr>
          <w:rFonts w:asciiTheme="minorEastAsia" w:hAnsiTheme="minorEastAsia" w:eastAsiaTheme="minorEastAsia"/>
          <w:szCs w:val="21"/>
          <w:highlight w:val="none"/>
        </w:rPr>
        <w:t>搅拌罐。</w:t>
      </w:r>
    </w:p>
    <w:p>
      <w:pPr>
        <w:widowControl/>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1.2.3 </w:t>
      </w:r>
      <w:r>
        <w:rPr>
          <w:rFonts w:hint="eastAsia" w:asciiTheme="minorEastAsia" w:hAnsiTheme="minorEastAsia" w:eastAsiaTheme="minorEastAsia"/>
          <w:szCs w:val="21"/>
          <w:highlight w:val="none"/>
        </w:rPr>
        <w:t>建议本辅助业务人员</w:t>
      </w:r>
      <w:r>
        <w:rPr>
          <w:rFonts w:asciiTheme="minorEastAsia" w:hAnsiTheme="minorEastAsia" w:eastAsiaTheme="minorEastAsia"/>
          <w:szCs w:val="21"/>
          <w:highlight w:val="none"/>
        </w:rPr>
        <w:t>2人以上。</w:t>
      </w:r>
    </w:p>
    <w:p>
      <w:pPr>
        <w:widowControl/>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1.3 </w:t>
      </w:r>
      <w:r>
        <w:rPr>
          <w:rFonts w:hint="eastAsia" w:asciiTheme="minorEastAsia" w:hAnsiTheme="minorEastAsia" w:eastAsiaTheme="minorEastAsia"/>
          <w:b/>
          <w:szCs w:val="21"/>
          <w:highlight w:val="none"/>
        </w:rPr>
        <w:t>静停辅助业务的主要工作内容</w:t>
      </w:r>
    </w:p>
    <w:p>
      <w:pPr>
        <w:widowControl/>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1.3.1 </w:t>
      </w:r>
      <w:r>
        <w:rPr>
          <w:rFonts w:hint="eastAsia" w:asciiTheme="minorEastAsia" w:hAnsiTheme="minorEastAsia" w:eastAsiaTheme="minorEastAsia"/>
          <w:szCs w:val="21"/>
          <w:highlight w:val="none"/>
        </w:rPr>
        <w:t>负责观察下浆过程，检查模箱有否漏浆，有漏浆及时堵漏。保证</w:t>
      </w:r>
      <w:r>
        <w:rPr>
          <w:rFonts w:asciiTheme="minorEastAsia" w:hAnsiTheme="minorEastAsia" w:eastAsiaTheme="minorEastAsia"/>
          <w:szCs w:val="21"/>
          <w:highlight w:val="none"/>
        </w:rPr>
        <w:t>317下料管道畅通。</w:t>
      </w:r>
    </w:p>
    <w:p>
      <w:pPr>
        <w:widowControl/>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1.3.2 </w:t>
      </w:r>
      <w:r>
        <w:rPr>
          <w:rFonts w:hint="eastAsia" w:asciiTheme="minorEastAsia" w:hAnsiTheme="minorEastAsia" w:eastAsiaTheme="minorEastAsia"/>
          <w:szCs w:val="21"/>
          <w:highlight w:val="none"/>
        </w:rPr>
        <w:t>负责预养窑内坯体发气、静停等观察，及时处理模框漏浆。掌握坯体硬化情况，及时沟通翻转岗位，确保坯体适合的切割硬度。</w:t>
      </w:r>
    </w:p>
    <w:p>
      <w:pPr>
        <w:spacing w:line="360" w:lineRule="auto"/>
        <w:ind w:firstLine="420" w:firstLineChars="200"/>
        <w:jc w:val="left"/>
        <w:rPr>
          <w:rFonts w:asciiTheme="minorEastAsia" w:hAnsiTheme="minorEastAsia" w:eastAsiaTheme="minorEastAsia"/>
          <w:b/>
          <w:szCs w:val="21"/>
          <w:highlight w:val="none"/>
        </w:rPr>
      </w:pPr>
      <w:r>
        <w:rPr>
          <w:rFonts w:asciiTheme="minorEastAsia" w:hAnsiTheme="minorEastAsia" w:eastAsiaTheme="minorEastAsia"/>
          <w:szCs w:val="21"/>
          <w:highlight w:val="none"/>
        </w:rPr>
        <w:t xml:space="preserve">1.4 </w:t>
      </w:r>
      <w:r>
        <w:rPr>
          <w:rFonts w:hint="eastAsia" w:asciiTheme="minorEastAsia" w:hAnsiTheme="minorEastAsia" w:eastAsiaTheme="minorEastAsia"/>
          <w:b/>
          <w:szCs w:val="21"/>
          <w:highlight w:val="none"/>
        </w:rPr>
        <w:t>涂刷辅助业务的主要工作内容</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1.4.1 </w:t>
      </w:r>
      <w:r>
        <w:rPr>
          <w:rFonts w:hint="eastAsia" w:asciiTheme="minorEastAsia" w:hAnsiTheme="minorEastAsia" w:eastAsiaTheme="minorEastAsia"/>
          <w:szCs w:val="21"/>
          <w:highlight w:val="none"/>
        </w:rPr>
        <w:t>负责脱模剂由废油地坑抽出用桶装至作业现场。</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1.4.2 </w:t>
      </w:r>
      <w:r>
        <w:rPr>
          <w:rFonts w:hint="eastAsia" w:asciiTheme="minorEastAsia" w:hAnsiTheme="minorEastAsia" w:eastAsiaTheme="minorEastAsia"/>
          <w:szCs w:val="21"/>
          <w:highlight w:val="none"/>
        </w:rPr>
        <w:t>负责脱模剂堆场将日用量的脱模剂搬运至现场。</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1.4.3 </w:t>
      </w:r>
      <w:r>
        <w:rPr>
          <w:rFonts w:hint="eastAsia" w:asciiTheme="minorEastAsia" w:hAnsiTheme="minorEastAsia" w:eastAsiaTheme="minorEastAsia"/>
          <w:szCs w:val="21"/>
          <w:highlight w:val="none"/>
        </w:rPr>
        <w:t>负责均匀涂抹整个模箱，检查模框胶条与</w:t>
      </w:r>
      <w:r>
        <w:rPr>
          <w:rFonts w:hint="eastAsia" w:ascii="宋体" w:hAnsi="宋体"/>
          <w:szCs w:val="21"/>
          <w:highlight w:val="none"/>
        </w:rPr>
        <w:t>侧板</w:t>
      </w:r>
      <w:r>
        <w:rPr>
          <w:rFonts w:hint="eastAsia" w:asciiTheme="minorEastAsia" w:hAnsiTheme="minorEastAsia" w:eastAsiaTheme="minorEastAsia"/>
          <w:szCs w:val="21"/>
          <w:highlight w:val="none"/>
        </w:rPr>
        <w:t>的吻合是否符合要求。</w:t>
      </w:r>
    </w:p>
    <w:p>
      <w:pPr>
        <w:widowControl/>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1.4.4 </w:t>
      </w:r>
      <w:r>
        <w:rPr>
          <w:rFonts w:hint="eastAsia" w:asciiTheme="minorEastAsia" w:hAnsiTheme="minorEastAsia" w:eastAsiaTheme="minorEastAsia"/>
          <w:szCs w:val="21"/>
          <w:highlight w:val="none"/>
        </w:rPr>
        <w:t>建议本辅助业务人员</w:t>
      </w:r>
      <w:r>
        <w:rPr>
          <w:rFonts w:asciiTheme="minorEastAsia" w:hAnsiTheme="minorEastAsia" w:eastAsiaTheme="minorEastAsia"/>
          <w:szCs w:val="21"/>
          <w:highlight w:val="none"/>
        </w:rPr>
        <w:t>2人以上。</w:t>
      </w:r>
    </w:p>
    <w:p>
      <w:pPr>
        <w:spacing w:line="360" w:lineRule="auto"/>
        <w:ind w:firstLine="422" w:firstLineChars="200"/>
        <w:jc w:val="left"/>
        <w:rPr>
          <w:rFonts w:asciiTheme="minorEastAsia" w:hAnsiTheme="minorEastAsia" w:eastAsiaTheme="minorEastAsia"/>
          <w:b/>
          <w:szCs w:val="21"/>
          <w:highlight w:val="none"/>
        </w:rPr>
      </w:pPr>
      <w:r>
        <w:rPr>
          <w:rFonts w:asciiTheme="minorEastAsia" w:hAnsiTheme="minorEastAsia" w:eastAsiaTheme="minorEastAsia"/>
          <w:b/>
          <w:szCs w:val="21"/>
          <w:highlight w:val="none"/>
        </w:rPr>
        <w:t>1.5翻转辅助业务的主要工作内容</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1.5.1 </w:t>
      </w:r>
      <w:r>
        <w:rPr>
          <w:rFonts w:hint="eastAsia" w:asciiTheme="minorEastAsia" w:hAnsiTheme="minorEastAsia" w:eastAsiaTheme="minorEastAsia"/>
          <w:szCs w:val="21"/>
          <w:highlight w:val="none"/>
        </w:rPr>
        <w:t>负责</w:t>
      </w:r>
      <w:r>
        <w:rPr>
          <w:rFonts w:hint="eastAsia" w:ascii="宋体" w:hAnsi="宋体"/>
          <w:szCs w:val="21"/>
          <w:highlight w:val="none"/>
        </w:rPr>
        <w:t>侧板</w:t>
      </w:r>
      <w:r>
        <w:rPr>
          <w:rFonts w:hint="eastAsia" w:asciiTheme="minorEastAsia" w:hAnsiTheme="minorEastAsia" w:eastAsiaTheme="minorEastAsia"/>
          <w:szCs w:val="21"/>
          <w:highlight w:val="none"/>
        </w:rPr>
        <w:t>、模框清洁，要求对每一个合模的</w:t>
      </w:r>
      <w:r>
        <w:rPr>
          <w:rFonts w:hint="eastAsia" w:ascii="宋体" w:hAnsi="宋体"/>
          <w:szCs w:val="21"/>
          <w:highlight w:val="none"/>
        </w:rPr>
        <w:t>侧板</w:t>
      </w:r>
      <w:r>
        <w:rPr>
          <w:rFonts w:hint="eastAsia" w:asciiTheme="minorEastAsia" w:hAnsiTheme="minorEastAsia" w:eastAsiaTheme="minorEastAsia"/>
          <w:szCs w:val="21"/>
          <w:highlight w:val="none"/>
        </w:rPr>
        <w:t>进行结料初清理；清理模框表面的软料。模框冒高时表面钢丝拉割。</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1.5.2负责铺彩条布并用夹子固定，</w:t>
      </w:r>
      <w:r>
        <w:rPr>
          <w:rFonts w:hint="eastAsia" w:asciiTheme="minorEastAsia" w:hAnsiTheme="minorEastAsia" w:eastAsiaTheme="minorEastAsia"/>
          <w:szCs w:val="21"/>
          <w:highlight w:val="none"/>
        </w:rPr>
        <w:t>模框合</w:t>
      </w:r>
      <w:r>
        <w:rPr>
          <w:rFonts w:hint="eastAsia" w:ascii="宋体" w:hAnsi="宋体"/>
          <w:szCs w:val="21"/>
          <w:highlight w:val="none"/>
        </w:rPr>
        <w:t>侧板</w:t>
      </w:r>
      <w:r>
        <w:rPr>
          <w:rFonts w:hint="eastAsia" w:asciiTheme="minorEastAsia" w:hAnsiTheme="minorEastAsia" w:eastAsiaTheme="minorEastAsia"/>
          <w:szCs w:val="21"/>
          <w:highlight w:val="none"/>
        </w:rPr>
        <w:t>前对模框内部的清洁。对所有模框密封条进行磨损检查。合模时</w:t>
      </w:r>
      <w:r>
        <w:rPr>
          <w:rFonts w:hint="eastAsia" w:ascii="宋体" w:hAnsi="宋体"/>
          <w:szCs w:val="21"/>
          <w:highlight w:val="none"/>
        </w:rPr>
        <w:t>侧板</w:t>
      </w:r>
      <w:r>
        <w:rPr>
          <w:rFonts w:hint="eastAsia" w:asciiTheme="minorEastAsia" w:hAnsiTheme="minorEastAsia" w:eastAsiaTheme="minorEastAsia"/>
          <w:szCs w:val="21"/>
          <w:highlight w:val="none"/>
        </w:rPr>
        <w:t>不到位时人工校正。</w:t>
      </w:r>
    </w:p>
    <w:p>
      <w:pPr>
        <w:spacing w:line="360" w:lineRule="auto"/>
        <w:ind w:firstLine="420" w:firstLineChars="200"/>
        <w:jc w:val="left"/>
        <w:rPr>
          <w:rFonts w:asciiTheme="minorEastAsia" w:hAnsiTheme="minorEastAsia" w:eastAsiaTheme="minorEastAsia"/>
          <w:b/>
          <w:szCs w:val="21"/>
          <w:highlight w:val="none"/>
        </w:rPr>
      </w:pPr>
      <w:r>
        <w:rPr>
          <w:rFonts w:asciiTheme="minorEastAsia" w:hAnsiTheme="minorEastAsia" w:eastAsiaTheme="minorEastAsia"/>
          <w:szCs w:val="21"/>
          <w:highlight w:val="none"/>
        </w:rPr>
        <w:t xml:space="preserve">1.5.3 </w:t>
      </w:r>
      <w:r>
        <w:rPr>
          <w:rFonts w:hint="eastAsia" w:asciiTheme="minorEastAsia" w:hAnsiTheme="minorEastAsia" w:eastAsiaTheme="minorEastAsia"/>
          <w:szCs w:val="21"/>
          <w:highlight w:val="none"/>
        </w:rPr>
        <w:t>建议本辅助业务人员</w:t>
      </w:r>
      <w:r>
        <w:rPr>
          <w:rFonts w:asciiTheme="minorEastAsia" w:hAnsiTheme="minorEastAsia" w:eastAsiaTheme="minorEastAsia"/>
          <w:szCs w:val="21"/>
          <w:highlight w:val="none"/>
        </w:rPr>
        <w:t>2人以上。</w:t>
      </w:r>
    </w:p>
    <w:p>
      <w:pPr>
        <w:widowControl/>
        <w:spacing w:line="360" w:lineRule="auto"/>
        <w:ind w:firstLine="422" w:firstLineChars="200"/>
        <w:jc w:val="left"/>
        <w:rPr>
          <w:rFonts w:asciiTheme="minorEastAsia" w:hAnsiTheme="minorEastAsia" w:eastAsiaTheme="minorEastAsia"/>
          <w:b/>
          <w:szCs w:val="21"/>
          <w:highlight w:val="none"/>
        </w:rPr>
      </w:pPr>
      <w:r>
        <w:rPr>
          <w:rFonts w:asciiTheme="minorEastAsia" w:hAnsiTheme="minorEastAsia" w:eastAsiaTheme="minorEastAsia"/>
          <w:b/>
          <w:szCs w:val="21"/>
          <w:highlight w:val="none"/>
        </w:rPr>
        <w:t>1.6切割辅助业务的主要工作内容</w:t>
      </w:r>
    </w:p>
    <w:p>
      <w:pPr>
        <w:widowControl/>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1.6.1 </w:t>
      </w:r>
      <w:r>
        <w:rPr>
          <w:rFonts w:hint="eastAsia" w:asciiTheme="minorEastAsia" w:hAnsiTheme="minorEastAsia" w:eastAsiaTheme="minorEastAsia"/>
          <w:szCs w:val="21"/>
          <w:highlight w:val="none"/>
        </w:rPr>
        <w:t>负责按要求更换横切钢丝、纵切钢丝。</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1.6.2负责半成品切割前坯体西边倒角；按要求对纵切、横切钢丝、纵切刀片进行清洁。按要求对所需设备进行加油保养。</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1.6.3 </w:t>
      </w:r>
      <w:r>
        <w:rPr>
          <w:rFonts w:hint="eastAsia" w:asciiTheme="minorEastAsia" w:hAnsiTheme="minorEastAsia" w:eastAsiaTheme="minorEastAsia"/>
          <w:szCs w:val="21"/>
          <w:highlight w:val="none"/>
        </w:rPr>
        <w:t>负责坯体翻转后对崩角、断裂、工艺纹严重的半成品推倒制浆。</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1.6.4建议本辅助业务人员2人以上。</w:t>
      </w:r>
    </w:p>
    <w:p>
      <w:pPr>
        <w:spacing w:line="360" w:lineRule="auto"/>
        <w:ind w:firstLine="422" w:firstLineChars="200"/>
        <w:jc w:val="left"/>
        <w:rPr>
          <w:rFonts w:asciiTheme="minorEastAsia" w:hAnsiTheme="minorEastAsia" w:eastAsiaTheme="minorEastAsia"/>
          <w:b/>
          <w:szCs w:val="21"/>
          <w:highlight w:val="none"/>
        </w:rPr>
      </w:pPr>
      <w:r>
        <w:rPr>
          <w:rFonts w:asciiTheme="minorEastAsia" w:hAnsiTheme="minorEastAsia" w:eastAsiaTheme="minorEastAsia"/>
          <w:b/>
          <w:szCs w:val="21"/>
          <w:highlight w:val="none"/>
        </w:rPr>
        <w:t>1.7蒸养辅助业务的主要工作内容</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1.7.1 </w:t>
      </w:r>
      <w:r>
        <w:rPr>
          <w:rFonts w:hint="eastAsia" w:asciiTheme="minorEastAsia" w:hAnsiTheme="minorEastAsia" w:eastAsiaTheme="minorEastAsia"/>
          <w:szCs w:val="21"/>
          <w:highlight w:val="none"/>
        </w:rPr>
        <w:t>负责按要求对蒸养小车位置进行确认、蒸养小车轴承进行加油；每釜关釜门前对釜圈涂抹石墨油，每周对蒸压釜釜底活动滚轴加油。釜前吊机、釜前链条的随机操作（自动故障时）。</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1.7.2 </w:t>
      </w:r>
      <w:r>
        <w:rPr>
          <w:rFonts w:hint="eastAsia" w:asciiTheme="minorEastAsia" w:hAnsiTheme="minorEastAsia" w:eastAsiaTheme="minorEastAsia"/>
          <w:szCs w:val="21"/>
          <w:highlight w:val="none"/>
        </w:rPr>
        <w:t>负责协助蒸养工更换釜圈。</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1.7.3 </w:t>
      </w:r>
      <w:r>
        <w:rPr>
          <w:rFonts w:hint="eastAsia" w:asciiTheme="minorEastAsia" w:hAnsiTheme="minorEastAsia" w:eastAsiaTheme="minorEastAsia"/>
          <w:szCs w:val="21"/>
          <w:highlight w:val="none"/>
        </w:rPr>
        <w:t>按每</w:t>
      </w:r>
      <w:r>
        <w:rPr>
          <w:rFonts w:asciiTheme="minorEastAsia" w:hAnsiTheme="minorEastAsia" w:eastAsiaTheme="minorEastAsia"/>
          <w:szCs w:val="21"/>
          <w:highlight w:val="none"/>
        </w:rPr>
        <w:t>2周循环一次对1-7号</w:t>
      </w:r>
      <w:r>
        <w:rPr>
          <w:rFonts w:hint="eastAsia" w:asciiTheme="minorEastAsia" w:hAnsiTheme="minorEastAsia" w:eastAsiaTheme="minorEastAsia"/>
          <w:szCs w:val="21"/>
          <w:highlight w:val="none"/>
        </w:rPr>
        <w:t>釜内积料清理，如积料较多周期缩短。</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1.7.4 </w:t>
      </w:r>
      <w:r>
        <w:rPr>
          <w:rFonts w:hint="eastAsia" w:asciiTheme="minorEastAsia" w:hAnsiTheme="minorEastAsia" w:eastAsiaTheme="minorEastAsia"/>
          <w:szCs w:val="21"/>
          <w:highlight w:val="none"/>
        </w:rPr>
        <w:t>建议本辅助业务人员</w:t>
      </w:r>
      <w:r>
        <w:rPr>
          <w:rFonts w:asciiTheme="minorEastAsia" w:hAnsiTheme="minorEastAsia" w:eastAsiaTheme="minorEastAsia"/>
          <w:szCs w:val="21"/>
          <w:highlight w:val="none"/>
        </w:rPr>
        <w:t>2人以上。</w:t>
      </w:r>
    </w:p>
    <w:p>
      <w:pPr>
        <w:spacing w:line="360" w:lineRule="auto"/>
        <w:ind w:firstLine="422" w:firstLineChars="200"/>
        <w:jc w:val="left"/>
        <w:rPr>
          <w:rFonts w:asciiTheme="minorEastAsia" w:hAnsiTheme="minorEastAsia" w:eastAsiaTheme="minorEastAsia"/>
          <w:b/>
          <w:szCs w:val="21"/>
          <w:highlight w:val="none"/>
        </w:rPr>
      </w:pPr>
      <w:r>
        <w:rPr>
          <w:rFonts w:asciiTheme="minorEastAsia" w:hAnsiTheme="minorEastAsia" w:eastAsiaTheme="minorEastAsia"/>
          <w:b/>
          <w:szCs w:val="21"/>
          <w:highlight w:val="none"/>
        </w:rPr>
        <w:t xml:space="preserve">1.8 </w:t>
      </w:r>
      <w:r>
        <w:rPr>
          <w:rFonts w:hint="eastAsia" w:asciiTheme="minorEastAsia" w:hAnsiTheme="minorEastAsia" w:eastAsiaTheme="minorEastAsia"/>
          <w:b/>
          <w:szCs w:val="21"/>
          <w:highlight w:val="none"/>
        </w:rPr>
        <w:t>地翻台辅助业务的主要工作内容</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1.8.1 </w:t>
      </w:r>
      <w:r>
        <w:rPr>
          <w:rFonts w:hint="eastAsia" w:asciiTheme="minorEastAsia" w:hAnsiTheme="minorEastAsia" w:eastAsiaTheme="minorEastAsia"/>
          <w:szCs w:val="21"/>
          <w:highlight w:val="none"/>
        </w:rPr>
        <w:t>负责操作刮刀开关翻转台正翻运行后按下刮刀下行开关。</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1.8.2 </w:t>
      </w:r>
      <w:r>
        <w:rPr>
          <w:rFonts w:hint="eastAsia" w:asciiTheme="minorEastAsia" w:hAnsiTheme="minorEastAsia" w:eastAsiaTheme="minorEastAsia"/>
          <w:szCs w:val="21"/>
          <w:highlight w:val="none"/>
        </w:rPr>
        <w:t>负责坯体翻转后及时收彩条布，折好后交铺彩条布岗位。及时清理大板、限位的积料，保持清洁。</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1.8.3负责对坯体翻转后对崩角、断裂、工艺纹严重的半成品推倒制浆。</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1.8.4建议本辅助业务人员2人以上。</w:t>
      </w:r>
    </w:p>
    <w:p>
      <w:pPr>
        <w:spacing w:line="360" w:lineRule="auto"/>
        <w:ind w:firstLine="422" w:firstLineChars="200"/>
        <w:jc w:val="left"/>
        <w:rPr>
          <w:rFonts w:asciiTheme="minorEastAsia" w:hAnsiTheme="minorEastAsia" w:eastAsiaTheme="minorEastAsia"/>
          <w:b/>
          <w:szCs w:val="21"/>
          <w:highlight w:val="none"/>
        </w:rPr>
      </w:pPr>
      <w:r>
        <w:rPr>
          <w:rFonts w:asciiTheme="minorEastAsia" w:hAnsiTheme="minorEastAsia" w:eastAsiaTheme="minorEastAsia"/>
          <w:b/>
          <w:szCs w:val="21"/>
          <w:highlight w:val="none"/>
        </w:rPr>
        <w:t xml:space="preserve">1.9 </w:t>
      </w:r>
      <w:r>
        <w:rPr>
          <w:rFonts w:hint="eastAsia" w:asciiTheme="minorEastAsia" w:hAnsiTheme="minorEastAsia" w:eastAsiaTheme="minorEastAsia"/>
          <w:b/>
          <w:szCs w:val="21"/>
          <w:highlight w:val="none"/>
        </w:rPr>
        <w:t>半成品翻转吊运辅助业务的主要工作内容</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1.9.1 </w:t>
      </w:r>
      <w:r>
        <w:rPr>
          <w:rFonts w:hint="eastAsia" w:asciiTheme="minorEastAsia" w:hAnsiTheme="minorEastAsia" w:eastAsiaTheme="minorEastAsia"/>
          <w:szCs w:val="21"/>
          <w:highlight w:val="none"/>
        </w:rPr>
        <w:t>负责定期对坯体观察高度，检查坯体切割硬度，巡检静停室情况。</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1.9.2 </w:t>
      </w:r>
      <w:r>
        <w:rPr>
          <w:rFonts w:hint="eastAsia" w:asciiTheme="minorEastAsia" w:hAnsiTheme="minorEastAsia" w:eastAsiaTheme="minorEastAsia"/>
          <w:szCs w:val="21"/>
          <w:highlight w:val="none"/>
        </w:rPr>
        <w:t>负责跟上下游岗位生产情况、信息的及时沟通。发现异常及时协调处理。</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1.9.3 </w:t>
      </w:r>
      <w:r>
        <w:rPr>
          <w:rFonts w:hint="eastAsia" w:asciiTheme="minorEastAsia" w:hAnsiTheme="minorEastAsia" w:eastAsiaTheme="minorEastAsia"/>
          <w:szCs w:val="21"/>
          <w:highlight w:val="none"/>
        </w:rPr>
        <w:t>负责对适合的半成品及时翻转吊运脱模。检查胶条情况，如破损调开更换后才合模。监督模框涂油情况。合、脱模时模框摆臂不到位时人工校正；模框起吊位不到位时人工校正。</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1.9.4 </w:t>
      </w:r>
      <w:r>
        <w:rPr>
          <w:rFonts w:hint="eastAsia" w:asciiTheme="minorEastAsia" w:hAnsiTheme="minorEastAsia" w:eastAsiaTheme="minorEastAsia"/>
          <w:szCs w:val="21"/>
          <w:highlight w:val="none"/>
        </w:rPr>
        <w:t>建议本辅助业务人员</w:t>
      </w:r>
      <w:r>
        <w:rPr>
          <w:rFonts w:asciiTheme="minorEastAsia" w:hAnsiTheme="minorEastAsia" w:eastAsiaTheme="minorEastAsia"/>
          <w:szCs w:val="21"/>
          <w:highlight w:val="none"/>
        </w:rPr>
        <w:t>2人以上，应具有高中以上学历水平。</w:t>
      </w:r>
    </w:p>
    <w:p>
      <w:pPr>
        <w:spacing w:line="360" w:lineRule="auto"/>
        <w:ind w:firstLine="422" w:firstLineChars="200"/>
        <w:jc w:val="left"/>
        <w:rPr>
          <w:rFonts w:asciiTheme="minorEastAsia" w:hAnsiTheme="minorEastAsia" w:eastAsiaTheme="minorEastAsia"/>
          <w:b/>
          <w:szCs w:val="21"/>
          <w:highlight w:val="none"/>
        </w:rPr>
      </w:pPr>
      <w:r>
        <w:rPr>
          <w:rFonts w:asciiTheme="minorEastAsia" w:hAnsiTheme="minorEastAsia" w:eastAsiaTheme="minorEastAsia"/>
          <w:b/>
          <w:szCs w:val="21"/>
          <w:highlight w:val="none"/>
        </w:rPr>
        <w:t xml:space="preserve">1.10 </w:t>
      </w:r>
      <w:r>
        <w:rPr>
          <w:rFonts w:hint="eastAsia" w:asciiTheme="minorEastAsia" w:hAnsiTheme="minorEastAsia" w:eastAsiaTheme="minorEastAsia"/>
          <w:b/>
          <w:szCs w:val="21"/>
          <w:highlight w:val="none"/>
        </w:rPr>
        <w:t>半成品切割辅助业务的主要工作内容</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1.10.1负责使用设备前对横切机、</w:t>
      </w:r>
      <w:r>
        <w:rPr>
          <w:rFonts w:hint="eastAsia" w:asciiTheme="minorEastAsia" w:hAnsiTheme="minorEastAsia" w:eastAsiaTheme="minorEastAsia"/>
          <w:szCs w:val="21"/>
          <w:highlight w:val="none"/>
        </w:rPr>
        <w:t>釜前吊机进行检查，空车试运，发现问题及时</w:t>
      </w:r>
    </w:p>
    <w:p>
      <w:pPr>
        <w:spacing w:line="360" w:lineRule="auto"/>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报检修处理。</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1.10.2 </w:t>
      </w:r>
      <w:r>
        <w:rPr>
          <w:rFonts w:hint="eastAsia" w:asciiTheme="minorEastAsia" w:hAnsiTheme="minorEastAsia" w:eastAsiaTheme="minorEastAsia"/>
          <w:szCs w:val="21"/>
          <w:highlight w:val="none"/>
        </w:rPr>
        <w:t>负责跟上下游岗位生产情况、信息的及时沟通。发现异常及时协调处理。</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1.10.3 </w:t>
      </w:r>
      <w:r>
        <w:rPr>
          <w:rFonts w:hint="eastAsia" w:asciiTheme="minorEastAsia" w:hAnsiTheme="minorEastAsia" w:eastAsiaTheme="minorEastAsia"/>
          <w:szCs w:val="21"/>
          <w:highlight w:val="none"/>
        </w:rPr>
        <w:t>负责切割前检纵切、横切查钢丝挂格情况，气压情况（不低于</w:t>
      </w:r>
      <w:r>
        <w:rPr>
          <w:rFonts w:asciiTheme="minorEastAsia" w:hAnsiTheme="minorEastAsia" w:eastAsiaTheme="minorEastAsia"/>
          <w:szCs w:val="21"/>
          <w:highlight w:val="none"/>
        </w:rPr>
        <w:t>5bar）。</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1.10.4 </w:t>
      </w:r>
      <w:r>
        <w:rPr>
          <w:rFonts w:hint="eastAsia" w:asciiTheme="minorEastAsia" w:hAnsiTheme="minorEastAsia" w:eastAsiaTheme="minorEastAsia"/>
          <w:szCs w:val="21"/>
          <w:highlight w:val="none"/>
        </w:rPr>
        <w:t>负责坯体切割完后坯体编号编写，坯体切割过程的观察，有异常及时处理。每切</w:t>
      </w:r>
      <w:r>
        <w:rPr>
          <w:rFonts w:asciiTheme="minorEastAsia" w:hAnsiTheme="minorEastAsia" w:eastAsiaTheme="minorEastAsia"/>
          <w:szCs w:val="21"/>
          <w:highlight w:val="none"/>
        </w:rPr>
        <w:t>5模对切割尺寸复检一次。横切支架回升时坯体东边顶推。按要求定期更换全部纵切、横切钢丝。</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1.10.5 </w:t>
      </w:r>
      <w:r>
        <w:rPr>
          <w:rFonts w:hint="eastAsia" w:asciiTheme="minorEastAsia" w:hAnsiTheme="minorEastAsia" w:eastAsiaTheme="minorEastAsia"/>
          <w:szCs w:val="21"/>
          <w:highlight w:val="none"/>
        </w:rPr>
        <w:t>负责及时调运半成品进釜，成品出釜。</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1.10.6 </w:t>
      </w:r>
      <w:r>
        <w:rPr>
          <w:rFonts w:hint="eastAsia" w:asciiTheme="minorEastAsia" w:hAnsiTheme="minorEastAsia" w:eastAsiaTheme="minorEastAsia"/>
          <w:szCs w:val="21"/>
          <w:highlight w:val="none"/>
        </w:rPr>
        <w:t>负责保持区域卫生。每班清洁操作台区域栏杆及支架一次。</w:t>
      </w:r>
    </w:p>
    <w:p>
      <w:pPr>
        <w:spacing w:line="360" w:lineRule="auto"/>
        <w:ind w:firstLine="420" w:firstLineChars="200"/>
        <w:jc w:val="left"/>
        <w:rPr>
          <w:rFonts w:asciiTheme="minorEastAsia" w:hAnsiTheme="minorEastAsia" w:eastAsiaTheme="minorEastAsia"/>
          <w:b/>
          <w:szCs w:val="21"/>
          <w:highlight w:val="none"/>
        </w:rPr>
      </w:pPr>
      <w:r>
        <w:rPr>
          <w:rFonts w:asciiTheme="minorEastAsia" w:hAnsiTheme="minorEastAsia" w:eastAsiaTheme="minorEastAsia"/>
          <w:szCs w:val="21"/>
          <w:highlight w:val="none"/>
        </w:rPr>
        <w:t xml:space="preserve">1.10.7 </w:t>
      </w:r>
      <w:r>
        <w:rPr>
          <w:rFonts w:hint="eastAsia" w:asciiTheme="minorEastAsia" w:hAnsiTheme="minorEastAsia" w:eastAsiaTheme="minorEastAsia"/>
          <w:szCs w:val="21"/>
          <w:highlight w:val="none"/>
        </w:rPr>
        <w:t>建议本辅助业务人员</w:t>
      </w:r>
      <w:r>
        <w:rPr>
          <w:rFonts w:asciiTheme="minorEastAsia" w:hAnsiTheme="minorEastAsia" w:eastAsiaTheme="minorEastAsia"/>
          <w:szCs w:val="21"/>
          <w:highlight w:val="none"/>
        </w:rPr>
        <w:t>2人以上，应具有高中以上学历水平。</w:t>
      </w:r>
    </w:p>
    <w:p>
      <w:pPr>
        <w:spacing w:line="360" w:lineRule="auto"/>
        <w:ind w:firstLine="422" w:firstLineChars="200"/>
        <w:rPr>
          <w:rFonts w:asciiTheme="minorEastAsia" w:hAnsiTheme="minorEastAsia" w:eastAsiaTheme="minorEastAsia"/>
          <w:b/>
          <w:szCs w:val="21"/>
          <w:highlight w:val="none"/>
        </w:rPr>
      </w:pPr>
      <w:r>
        <w:rPr>
          <w:rFonts w:asciiTheme="minorEastAsia" w:hAnsiTheme="minorEastAsia" w:eastAsiaTheme="minorEastAsia"/>
          <w:b/>
          <w:szCs w:val="21"/>
          <w:highlight w:val="none"/>
        </w:rPr>
        <w:t xml:space="preserve">1.11 </w:t>
      </w:r>
      <w:r>
        <w:rPr>
          <w:rFonts w:hint="eastAsia" w:asciiTheme="minorEastAsia" w:hAnsiTheme="minorEastAsia" w:eastAsiaTheme="minorEastAsia"/>
          <w:b/>
          <w:szCs w:val="21"/>
          <w:highlight w:val="none"/>
        </w:rPr>
        <w:t>半成品堆垛及地翻辅助业务的主要工作内容</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1.11.1 </w:t>
      </w:r>
      <w:r>
        <w:rPr>
          <w:rFonts w:hint="eastAsia" w:asciiTheme="minorEastAsia" w:hAnsiTheme="minorEastAsia" w:eastAsiaTheme="minorEastAsia"/>
          <w:szCs w:val="21"/>
          <w:highlight w:val="none"/>
        </w:rPr>
        <w:t>负责使用设备前对堆垛、地翻台进行检查，空车试运，发现问题及时报检修处理。</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1.11.2 </w:t>
      </w:r>
      <w:r>
        <w:rPr>
          <w:rFonts w:hint="eastAsia" w:asciiTheme="minorEastAsia" w:hAnsiTheme="minorEastAsia" w:eastAsiaTheme="minorEastAsia"/>
          <w:szCs w:val="21"/>
          <w:highlight w:val="none"/>
        </w:rPr>
        <w:t>负责跟上下游岗位生产情况、信息的及时沟通。发现异常及时协调处理。</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1.11.3负责按岗位安全操作规程操作。及时吊运</w:t>
      </w:r>
      <w:r>
        <w:rPr>
          <w:rFonts w:hint="eastAsia" w:ascii="宋体" w:hAnsi="宋体"/>
          <w:szCs w:val="21"/>
          <w:highlight w:val="none"/>
        </w:rPr>
        <w:t>侧板</w:t>
      </w:r>
      <w:r>
        <w:rPr>
          <w:rFonts w:asciiTheme="minorEastAsia" w:hAnsiTheme="minorEastAsia" w:eastAsiaTheme="minorEastAsia"/>
          <w:szCs w:val="21"/>
          <w:highlight w:val="none"/>
        </w:rPr>
        <w:t>到侧板回程合模，吊运半成品上</w:t>
      </w:r>
      <w:r>
        <w:rPr>
          <w:rFonts w:hint="eastAsia" w:asciiTheme="minorEastAsia" w:hAnsiTheme="minorEastAsia" w:eastAsiaTheme="minorEastAsia"/>
          <w:szCs w:val="21"/>
          <w:highlight w:val="none"/>
        </w:rPr>
        <w:t>翻转台去皮，吊运去皮半成品到蒸养小车。</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1.11.4 </w:t>
      </w:r>
      <w:r>
        <w:rPr>
          <w:rFonts w:hint="eastAsia" w:asciiTheme="minorEastAsia" w:hAnsiTheme="minorEastAsia" w:eastAsiaTheme="minorEastAsia"/>
          <w:szCs w:val="21"/>
          <w:highlight w:val="none"/>
        </w:rPr>
        <w:t>负责保持区域卫生。按要求清洁操作台区域栏杆及支架一次。</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1.11.5建议本辅助业务人员2人以上，应具有高中以上学历水平。</w:t>
      </w:r>
    </w:p>
    <w:p>
      <w:pPr>
        <w:spacing w:line="360" w:lineRule="auto"/>
        <w:jc w:val="left"/>
        <w:rPr>
          <w:rFonts w:asciiTheme="minorEastAsia" w:hAnsiTheme="minorEastAsia" w:eastAsiaTheme="minorEastAsia"/>
          <w:b/>
          <w:szCs w:val="21"/>
          <w:highlight w:val="none"/>
        </w:rPr>
      </w:pPr>
      <w:r>
        <w:rPr>
          <w:rFonts w:asciiTheme="minorEastAsia" w:hAnsiTheme="minorEastAsia" w:eastAsiaTheme="minorEastAsia"/>
          <w:b/>
          <w:szCs w:val="21"/>
          <w:highlight w:val="none"/>
        </w:rPr>
        <w:t xml:space="preserve">    1.12  成品分垛</w:t>
      </w:r>
      <w:r>
        <w:rPr>
          <w:rFonts w:hint="eastAsia" w:asciiTheme="minorEastAsia" w:hAnsiTheme="minorEastAsia" w:eastAsiaTheme="minorEastAsia"/>
          <w:b/>
          <w:szCs w:val="21"/>
          <w:highlight w:val="none"/>
        </w:rPr>
        <w:t>及分掰辅助业务的主要工作内容</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1.12.1 </w:t>
      </w:r>
      <w:r>
        <w:rPr>
          <w:rFonts w:hint="eastAsia" w:asciiTheme="minorEastAsia" w:hAnsiTheme="minorEastAsia" w:eastAsiaTheme="minorEastAsia"/>
          <w:szCs w:val="21"/>
          <w:highlight w:val="none"/>
        </w:rPr>
        <w:t>负责使用设备前对分垛吊机、掰板机进行检查，空车试运，发现问题及时报检修处理。掰板机更换胶条。</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1.12.2 </w:t>
      </w:r>
      <w:r>
        <w:rPr>
          <w:rFonts w:hint="eastAsia" w:asciiTheme="minorEastAsia" w:hAnsiTheme="minorEastAsia" w:eastAsiaTheme="minorEastAsia"/>
          <w:szCs w:val="21"/>
          <w:highlight w:val="none"/>
        </w:rPr>
        <w:t>负责跟上下游岗位生产情况、信息的及时沟通。发现异常及时协调处理。</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1.12.3 </w:t>
      </w:r>
      <w:r>
        <w:rPr>
          <w:rFonts w:hint="eastAsia" w:asciiTheme="minorEastAsia" w:hAnsiTheme="minorEastAsia" w:eastAsiaTheme="minorEastAsia"/>
          <w:szCs w:val="21"/>
          <w:highlight w:val="none"/>
        </w:rPr>
        <w:t>负责按规程操作分垛与掰板机。分垛：吊运成品到掰板机分掰，吊运</w:t>
      </w:r>
      <w:r>
        <w:rPr>
          <w:rFonts w:hint="eastAsia" w:ascii="宋体" w:hAnsi="宋体"/>
          <w:szCs w:val="21"/>
          <w:highlight w:val="none"/>
        </w:rPr>
        <w:t>侧板</w:t>
      </w:r>
      <w:r>
        <w:rPr>
          <w:rFonts w:hint="eastAsia" w:asciiTheme="minorEastAsia" w:hAnsiTheme="minorEastAsia" w:eastAsiaTheme="minorEastAsia"/>
          <w:szCs w:val="21"/>
          <w:highlight w:val="none"/>
        </w:rPr>
        <w:t>及蒸养小车到回程轨道，输送小车到堆垛位。掰板：按成品尺寸调整参数，分掰成品，输送分掰好的成品到分坯位，输送</w:t>
      </w:r>
      <w:r>
        <w:rPr>
          <w:rFonts w:hint="eastAsia" w:ascii="宋体" w:hAnsi="宋体"/>
          <w:szCs w:val="21"/>
          <w:highlight w:val="none"/>
        </w:rPr>
        <w:t>侧板</w:t>
      </w:r>
      <w:r>
        <w:rPr>
          <w:rFonts w:hint="eastAsia" w:asciiTheme="minorEastAsia" w:hAnsiTheme="minorEastAsia" w:eastAsiaTheme="minorEastAsia"/>
          <w:szCs w:val="21"/>
          <w:highlight w:val="none"/>
        </w:rPr>
        <w:t>到分垛位。对固定</w:t>
      </w:r>
      <w:r>
        <w:rPr>
          <w:rFonts w:hint="eastAsia" w:ascii="宋体" w:hAnsi="宋体"/>
          <w:szCs w:val="21"/>
          <w:highlight w:val="none"/>
        </w:rPr>
        <w:t>侧板</w:t>
      </w:r>
      <w:r>
        <w:rPr>
          <w:rFonts w:hint="eastAsia" w:asciiTheme="minorEastAsia" w:hAnsiTheme="minorEastAsia" w:eastAsiaTheme="minorEastAsia"/>
          <w:szCs w:val="21"/>
          <w:highlight w:val="none"/>
        </w:rPr>
        <w:t>清扫。</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1.12.4 </w:t>
      </w:r>
      <w:r>
        <w:rPr>
          <w:rFonts w:hint="eastAsia" w:asciiTheme="minorEastAsia" w:hAnsiTheme="minorEastAsia" w:eastAsiaTheme="minorEastAsia"/>
          <w:szCs w:val="21"/>
          <w:highlight w:val="none"/>
        </w:rPr>
        <w:t>负责保持区域卫生。按要求清洁操作台区域栏杆及支架一次。</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1.12.5 </w:t>
      </w:r>
      <w:r>
        <w:rPr>
          <w:rFonts w:hint="eastAsia" w:asciiTheme="minorEastAsia" w:hAnsiTheme="minorEastAsia" w:eastAsiaTheme="minorEastAsia"/>
          <w:szCs w:val="21"/>
          <w:highlight w:val="none"/>
        </w:rPr>
        <w:t>建议本辅助业务人员</w:t>
      </w:r>
      <w:r>
        <w:rPr>
          <w:rFonts w:asciiTheme="minorEastAsia" w:hAnsiTheme="minorEastAsia" w:eastAsiaTheme="minorEastAsia"/>
          <w:szCs w:val="21"/>
          <w:highlight w:val="none"/>
        </w:rPr>
        <w:t>2人以上，应具有高中以上学历水平。</w:t>
      </w:r>
    </w:p>
    <w:p>
      <w:pPr>
        <w:widowControl/>
        <w:spacing w:line="360" w:lineRule="auto"/>
        <w:rPr>
          <w:rFonts w:asciiTheme="minorEastAsia" w:hAnsiTheme="minorEastAsia" w:eastAsiaTheme="minorEastAsia"/>
          <w:b/>
          <w:szCs w:val="21"/>
          <w:highlight w:val="none"/>
        </w:rPr>
      </w:pPr>
      <w:r>
        <w:rPr>
          <w:rFonts w:asciiTheme="minorEastAsia" w:hAnsiTheme="minorEastAsia" w:eastAsiaTheme="minorEastAsia"/>
          <w:b/>
          <w:szCs w:val="21"/>
          <w:highlight w:val="none"/>
        </w:rPr>
        <w:t xml:space="preserve">    1.13  成品夹坯吊运辅助业务的主要工作内容</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1.13.1 </w:t>
      </w:r>
      <w:r>
        <w:rPr>
          <w:rFonts w:hint="eastAsia" w:asciiTheme="minorEastAsia" w:hAnsiTheme="minorEastAsia" w:eastAsiaTheme="minorEastAsia"/>
          <w:szCs w:val="21"/>
          <w:highlight w:val="none"/>
        </w:rPr>
        <w:t>负责使用设备前对夹垛吊机进行检查，空车试运，发现问题及时报检修处理，对掰好的成品及时吊运。操作成品出砖链条。</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1.13.2 </w:t>
      </w:r>
      <w:r>
        <w:rPr>
          <w:rFonts w:hint="eastAsia" w:asciiTheme="minorEastAsia" w:hAnsiTheme="minorEastAsia" w:eastAsiaTheme="minorEastAsia"/>
          <w:szCs w:val="21"/>
          <w:highlight w:val="none"/>
        </w:rPr>
        <w:t>负责跟上下游岗位生产情况、信息的及时沟通。发现异常及时协调处理。</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1.13.3 </w:t>
      </w:r>
      <w:r>
        <w:rPr>
          <w:rFonts w:hint="eastAsia" w:asciiTheme="minorEastAsia" w:hAnsiTheme="minorEastAsia" w:eastAsiaTheme="minorEastAsia"/>
          <w:szCs w:val="21"/>
          <w:highlight w:val="none"/>
        </w:rPr>
        <w:t>负责保持区域卫生。每班清洁操作台区域栏杆及支架一次。</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1.13.4 </w:t>
      </w:r>
      <w:r>
        <w:rPr>
          <w:rFonts w:hint="eastAsia" w:asciiTheme="minorEastAsia" w:hAnsiTheme="minorEastAsia" w:eastAsiaTheme="minorEastAsia"/>
          <w:szCs w:val="21"/>
          <w:highlight w:val="none"/>
        </w:rPr>
        <w:t>建议本辅助业务人员</w:t>
      </w:r>
      <w:r>
        <w:rPr>
          <w:rFonts w:asciiTheme="minorEastAsia" w:hAnsiTheme="minorEastAsia" w:eastAsiaTheme="minorEastAsia"/>
          <w:szCs w:val="21"/>
          <w:highlight w:val="none"/>
        </w:rPr>
        <w:t>2人以上，应具有高中以上学历水平。</w:t>
      </w:r>
    </w:p>
    <w:p>
      <w:pPr>
        <w:spacing w:line="360" w:lineRule="auto"/>
        <w:ind w:firstLine="422" w:firstLineChars="200"/>
        <w:jc w:val="left"/>
        <w:rPr>
          <w:rFonts w:asciiTheme="minorEastAsia" w:hAnsiTheme="minorEastAsia" w:eastAsiaTheme="minorEastAsia"/>
          <w:b/>
          <w:szCs w:val="21"/>
          <w:highlight w:val="none"/>
        </w:rPr>
      </w:pPr>
      <w:r>
        <w:rPr>
          <w:rFonts w:asciiTheme="minorEastAsia" w:hAnsiTheme="minorEastAsia" w:eastAsiaTheme="minorEastAsia"/>
          <w:b/>
          <w:szCs w:val="21"/>
          <w:highlight w:val="none"/>
        </w:rPr>
        <w:t xml:space="preserve">1.14  </w:t>
      </w:r>
      <w:r>
        <w:rPr>
          <w:rFonts w:hint="eastAsia" w:asciiTheme="minorEastAsia" w:hAnsiTheme="minorEastAsia" w:eastAsiaTheme="minorEastAsia"/>
          <w:b/>
          <w:szCs w:val="21"/>
          <w:highlight w:val="none"/>
        </w:rPr>
        <w:t>成品分拣辅助业务的主要工作内容</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1.14.1  </w:t>
      </w:r>
      <w:r>
        <w:rPr>
          <w:rFonts w:hint="eastAsia" w:asciiTheme="minorEastAsia" w:hAnsiTheme="minorEastAsia" w:eastAsiaTheme="minorEastAsia"/>
          <w:szCs w:val="21"/>
          <w:highlight w:val="none"/>
        </w:rPr>
        <w:t>负责按要求在成品夹坯机码放位置放置整齐的木托板，高低不一致的木托板禁止同时使用。不合标准的木托板挑出拉走。</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1.14.2  </w:t>
      </w:r>
      <w:r>
        <w:rPr>
          <w:rFonts w:hint="eastAsia" w:asciiTheme="minorEastAsia" w:hAnsiTheme="minorEastAsia" w:eastAsiaTheme="minorEastAsia"/>
          <w:szCs w:val="21"/>
          <w:highlight w:val="none"/>
        </w:rPr>
        <w:t>按质检要求对木托板上不合格品进行更换，满足生产线要求。打包带用完后及时更换，每二小时对打包机关键部位进行吹扫除尘。成品</w:t>
      </w:r>
      <w:r>
        <w:rPr>
          <w:rFonts w:asciiTheme="minorEastAsia" w:hAnsiTheme="minorEastAsia" w:eastAsiaTheme="minorEastAsia"/>
          <w:szCs w:val="21"/>
          <w:highlight w:val="none"/>
        </w:rPr>
        <w:t>1#-5#链条的清洁、保养、润滑加油。</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1.14.3 </w:t>
      </w:r>
      <w:r>
        <w:rPr>
          <w:rFonts w:hint="eastAsia" w:asciiTheme="minorEastAsia" w:hAnsiTheme="minorEastAsia" w:eastAsiaTheme="minorEastAsia"/>
          <w:szCs w:val="21"/>
          <w:highlight w:val="none"/>
        </w:rPr>
        <w:t>负责</w:t>
      </w:r>
      <w:r>
        <w:rPr>
          <w:rFonts w:asciiTheme="minorEastAsia" w:hAnsiTheme="minorEastAsia" w:eastAsiaTheme="minorEastAsia"/>
          <w:szCs w:val="21"/>
          <w:highlight w:val="none"/>
        </w:rPr>
        <w:t>1#-5#成品链条区域卫生，</w:t>
      </w:r>
      <w:r>
        <w:rPr>
          <w:rFonts w:hint="eastAsia" w:cs="Calibri" w:asciiTheme="minorEastAsia" w:hAnsiTheme="minorEastAsia" w:eastAsiaTheme="minorEastAsia"/>
          <w:color w:val="000000"/>
          <w:szCs w:val="21"/>
          <w:highlight w:val="none"/>
          <w:shd w:val="clear" w:color="auto" w:fill="FFFFFF"/>
        </w:rPr>
        <w:t>负责木托板整理、堆放</w:t>
      </w:r>
      <w:r>
        <w:rPr>
          <w:rFonts w:hint="eastAsia" w:asciiTheme="minorEastAsia" w:hAnsiTheme="minorEastAsia" w:eastAsiaTheme="minorEastAsia"/>
          <w:szCs w:val="21"/>
          <w:highlight w:val="none"/>
        </w:rPr>
        <w:t>；换砖区域的管理；保持区域卫生。</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1.14.4 </w:t>
      </w:r>
      <w:r>
        <w:rPr>
          <w:rFonts w:hint="eastAsia" w:asciiTheme="minorEastAsia" w:hAnsiTheme="minorEastAsia" w:eastAsiaTheme="minorEastAsia"/>
          <w:szCs w:val="21"/>
          <w:highlight w:val="none"/>
        </w:rPr>
        <w:t>建议本辅助业务人员</w:t>
      </w:r>
      <w:r>
        <w:rPr>
          <w:rFonts w:asciiTheme="minorEastAsia" w:hAnsiTheme="minorEastAsia" w:eastAsiaTheme="minorEastAsia"/>
          <w:szCs w:val="21"/>
          <w:highlight w:val="none"/>
        </w:rPr>
        <w:t>8人以上</w:t>
      </w:r>
    </w:p>
    <w:p>
      <w:pPr>
        <w:spacing w:line="360" w:lineRule="auto"/>
        <w:ind w:firstLine="420" w:firstLineChars="200"/>
        <w:jc w:val="left"/>
        <w:rPr>
          <w:rFonts w:ascii="宋体" w:hAnsi="宋体"/>
          <w:szCs w:val="21"/>
          <w:highlight w:val="none"/>
        </w:rPr>
      </w:pPr>
      <w:r>
        <w:rPr>
          <w:rFonts w:hint="eastAsia" w:ascii="宋体" w:hAnsi="宋体"/>
          <w:szCs w:val="21"/>
          <w:highlight w:val="none"/>
        </w:rPr>
        <w:t xml:space="preserve">1.15  </w:t>
      </w:r>
      <w:r>
        <w:rPr>
          <w:rFonts w:hint="eastAsia" w:ascii="宋体" w:hAnsi="宋体"/>
          <w:b/>
          <w:szCs w:val="21"/>
          <w:highlight w:val="none"/>
        </w:rPr>
        <w:t>产品套袋及手动打包工作内容</w:t>
      </w:r>
    </w:p>
    <w:p>
      <w:pPr>
        <w:spacing w:line="360" w:lineRule="auto"/>
        <w:ind w:firstLine="420" w:firstLineChars="200"/>
        <w:jc w:val="left"/>
        <w:rPr>
          <w:rFonts w:ascii="宋体" w:hAnsi="宋体"/>
          <w:szCs w:val="21"/>
          <w:highlight w:val="none"/>
        </w:rPr>
      </w:pPr>
      <w:r>
        <w:rPr>
          <w:rFonts w:hint="eastAsia" w:ascii="宋体" w:hAnsi="宋体"/>
          <w:szCs w:val="21"/>
          <w:highlight w:val="none"/>
        </w:rPr>
        <w:t>1．15.1负责高精产品及其它需套袋产品的套袋工作，要求规范、及时完成该工作。</w:t>
      </w:r>
    </w:p>
    <w:p>
      <w:pPr>
        <w:spacing w:line="360" w:lineRule="auto"/>
        <w:ind w:firstLine="420" w:firstLineChars="200"/>
        <w:jc w:val="left"/>
        <w:rPr>
          <w:rFonts w:ascii="宋体" w:hAnsi="宋体"/>
          <w:szCs w:val="21"/>
          <w:highlight w:val="none"/>
        </w:rPr>
      </w:pPr>
      <w:r>
        <w:rPr>
          <w:rFonts w:hint="eastAsia" w:ascii="宋体" w:hAnsi="宋体"/>
          <w:szCs w:val="21"/>
          <w:highlight w:val="none"/>
        </w:rPr>
        <w:t>1.15.2负责自动打包机故障时的手工产品打包工作。</w:t>
      </w:r>
    </w:p>
    <w:p>
      <w:pPr>
        <w:spacing w:line="360" w:lineRule="auto"/>
        <w:ind w:firstLine="420" w:firstLineChars="200"/>
        <w:jc w:val="left"/>
        <w:rPr>
          <w:rFonts w:ascii="宋体" w:hAnsi="宋体"/>
          <w:szCs w:val="21"/>
          <w:highlight w:val="none"/>
        </w:rPr>
      </w:pPr>
      <w:r>
        <w:rPr>
          <w:rFonts w:hint="eastAsia" w:ascii="宋体" w:hAnsi="宋体"/>
          <w:szCs w:val="21"/>
          <w:highlight w:val="none"/>
        </w:rPr>
        <w:t>1.15.3负责工作区域的卫生清洁及废料收集处置工作。</w:t>
      </w:r>
    </w:p>
    <w:p>
      <w:pPr>
        <w:spacing w:line="360" w:lineRule="auto"/>
        <w:ind w:firstLine="420" w:firstLineChars="200"/>
        <w:jc w:val="left"/>
        <w:rPr>
          <w:rFonts w:ascii="宋体" w:hAnsi="宋体"/>
          <w:szCs w:val="21"/>
          <w:highlight w:val="none"/>
        </w:rPr>
      </w:pPr>
      <w:r>
        <w:rPr>
          <w:rFonts w:hint="eastAsia" w:ascii="宋体" w:hAnsi="宋体"/>
          <w:szCs w:val="21"/>
          <w:highlight w:val="none"/>
        </w:rPr>
        <w:t xml:space="preserve">1.16 </w:t>
      </w:r>
      <w:r>
        <w:rPr>
          <w:rFonts w:hint="eastAsia" w:ascii="宋体" w:hAnsi="宋体"/>
          <w:b/>
          <w:szCs w:val="21"/>
          <w:highlight w:val="none"/>
        </w:rPr>
        <w:t xml:space="preserve"> 生产原材料配料及周转工作内容</w:t>
      </w:r>
    </w:p>
    <w:p>
      <w:pPr>
        <w:spacing w:line="360" w:lineRule="auto"/>
        <w:ind w:firstLine="420" w:firstLineChars="200"/>
        <w:jc w:val="left"/>
        <w:rPr>
          <w:rFonts w:ascii="宋体" w:hAnsi="宋体"/>
          <w:szCs w:val="21"/>
          <w:highlight w:val="none"/>
        </w:rPr>
      </w:pPr>
      <w:r>
        <w:rPr>
          <w:rFonts w:hint="eastAsia" w:ascii="宋体" w:hAnsi="宋体"/>
          <w:szCs w:val="21"/>
          <w:highlight w:val="none"/>
        </w:rPr>
        <w:t>1.16.1负责生产材料的制浆、泵送所有相关工作。</w:t>
      </w:r>
    </w:p>
    <w:p>
      <w:pPr>
        <w:spacing w:line="360" w:lineRule="auto"/>
        <w:ind w:firstLine="420" w:firstLineChars="200"/>
        <w:jc w:val="left"/>
        <w:rPr>
          <w:rFonts w:ascii="宋体" w:hAnsi="宋体"/>
          <w:szCs w:val="21"/>
          <w:highlight w:val="none"/>
        </w:rPr>
      </w:pPr>
      <w:r>
        <w:rPr>
          <w:rFonts w:hint="eastAsia" w:ascii="宋体" w:hAnsi="宋体"/>
          <w:szCs w:val="21"/>
          <w:highlight w:val="none"/>
        </w:rPr>
        <w:t>1.16.2负责砂、石粉、尾矿、炉渣、电厂废料、搅拌站废料等本公司试用及采用的原材料的厂内转运、归堆上料及按比例混合的相关工作。自配备铲车一台。</w:t>
      </w:r>
    </w:p>
    <w:p>
      <w:pPr>
        <w:spacing w:line="360" w:lineRule="auto"/>
        <w:ind w:firstLine="420" w:firstLineChars="200"/>
        <w:jc w:val="left"/>
        <w:rPr>
          <w:rFonts w:ascii="宋体" w:hAnsi="宋体"/>
          <w:szCs w:val="21"/>
          <w:highlight w:val="none"/>
        </w:rPr>
      </w:pPr>
      <w:r>
        <w:rPr>
          <w:rFonts w:hint="eastAsia" w:ascii="宋体" w:hAnsi="宋体"/>
          <w:szCs w:val="21"/>
          <w:highlight w:val="none"/>
        </w:rPr>
        <w:t>1.16.3负责石灰、水泥、粉煤灰等原材料泵送进罐的安全监护工作。</w:t>
      </w:r>
    </w:p>
    <w:p>
      <w:pPr>
        <w:spacing w:line="360" w:lineRule="auto"/>
        <w:ind w:firstLine="420" w:firstLineChars="200"/>
        <w:jc w:val="left"/>
        <w:rPr>
          <w:rFonts w:ascii="宋体" w:hAnsi="宋体"/>
          <w:szCs w:val="21"/>
          <w:highlight w:val="none"/>
        </w:rPr>
      </w:pPr>
      <w:r>
        <w:rPr>
          <w:rFonts w:hint="eastAsia" w:ascii="宋体" w:hAnsi="宋体"/>
          <w:szCs w:val="21"/>
          <w:highlight w:val="none"/>
        </w:rPr>
        <w:t>1.16.4负责工作区域的产品覆盖，安全警示及区域围蔽工作。</w:t>
      </w:r>
    </w:p>
    <w:p>
      <w:pPr>
        <w:spacing w:line="360" w:lineRule="auto"/>
        <w:ind w:firstLine="420" w:firstLineChars="200"/>
        <w:jc w:val="left"/>
        <w:rPr>
          <w:rFonts w:ascii="宋体" w:hAnsi="宋体"/>
          <w:szCs w:val="21"/>
          <w:highlight w:val="none"/>
        </w:rPr>
      </w:pPr>
      <w:r>
        <w:rPr>
          <w:rFonts w:hint="eastAsia" w:ascii="宋体" w:hAnsi="宋体"/>
          <w:szCs w:val="21"/>
          <w:highlight w:val="none"/>
        </w:rPr>
        <w:t>1.16.5负责区域场地、设备的清洁卫生工作。</w:t>
      </w:r>
    </w:p>
    <w:p>
      <w:pPr>
        <w:spacing w:line="360" w:lineRule="auto"/>
        <w:ind w:firstLine="420" w:firstLineChars="200"/>
        <w:jc w:val="left"/>
        <w:rPr>
          <w:rFonts w:ascii="宋体" w:hAnsi="宋体"/>
          <w:szCs w:val="21"/>
          <w:highlight w:val="none"/>
        </w:rPr>
      </w:pPr>
      <w:r>
        <w:rPr>
          <w:rFonts w:hint="eastAsia" w:ascii="宋体" w:hAnsi="宋体"/>
          <w:szCs w:val="21"/>
          <w:highlight w:val="none"/>
        </w:rPr>
        <w:t>1.16.6建议本辅助业务人员2人。</w:t>
      </w:r>
    </w:p>
    <w:p>
      <w:pPr>
        <w:spacing w:line="360" w:lineRule="auto"/>
        <w:ind w:firstLine="420" w:firstLineChars="200"/>
        <w:jc w:val="left"/>
        <w:rPr>
          <w:rFonts w:ascii="宋体" w:hAnsi="宋体"/>
          <w:szCs w:val="21"/>
          <w:highlight w:val="none"/>
        </w:rPr>
      </w:pPr>
      <w:r>
        <w:rPr>
          <w:rFonts w:hint="eastAsia" w:ascii="宋体" w:hAnsi="宋体"/>
          <w:szCs w:val="21"/>
          <w:highlight w:val="none"/>
        </w:rPr>
        <w:t xml:space="preserve">1.17  </w:t>
      </w:r>
      <w:r>
        <w:rPr>
          <w:rFonts w:hint="eastAsia" w:ascii="宋体" w:hAnsi="宋体"/>
          <w:b/>
          <w:szCs w:val="21"/>
          <w:highlight w:val="none"/>
        </w:rPr>
        <w:t>设备操作机动人员工作内容</w:t>
      </w:r>
    </w:p>
    <w:p>
      <w:pPr>
        <w:spacing w:line="360" w:lineRule="auto"/>
        <w:ind w:firstLine="420" w:firstLineChars="200"/>
        <w:jc w:val="left"/>
        <w:rPr>
          <w:rFonts w:ascii="宋体" w:hAnsi="宋体"/>
          <w:szCs w:val="21"/>
          <w:highlight w:val="none"/>
        </w:rPr>
      </w:pPr>
      <w:r>
        <w:rPr>
          <w:rFonts w:hint="eastAsia" w:ascii="宋体" w:hAnsi="宋体"/>
          <w:szCs w:val="21"/>
          <w:highlight w:val="none"/>
        </w:rPr>
        <w:t>1.17.1熟悉各岗位设备操作，顶替因各种原因缺员岗位。</w:t>
      </w:r>
    </w:p>
    <w:p>
      <w:pPr>
        <w:spacing w:line="360" w:lineRule="auto"/>
        <w:ind w:firstLine="420" w:firstLineChars="200"/>
        <w:jc w:val="left"/>
        <w:rPr>
          <w:rFonts w:ascii="宋体" w:hAnsi="宋体"/>
          <w:szCs w:val="21"/>
          <w:highlight w:val="none"/>
        </w:rPr>
      </w:pPr>
      <w:r>
        <w:rPr>
          <w:rFonts w:hint="eastAsia" w:ascii="宋体" w:hAnsi="宋体"/>
          <w:szCs w:val="21"/>
          <w:highlight w:val="none"/>
        </w:rPr>
        <w:t>1.17.2员工吃饭时间的顶岗，保证24小时连续运行。</w:t>
      </w:r>
    </w:p>
    <w:p>
      <w:pPr>
        <w:spacing w:line="360" w:lineRule="auto"/>
        <w:ind w:firstLine="420" w:firstLineChars="200"/>
        <w:jc w:val="left"/>
        <w:rPr>
          <w:rFonts w:ascii="宋体" w:hAnsi="宋体"/>
          <w:szCs w:val="21"/>
          <w:highlight w:val="none"/>
        </w:rPr>
      </w:pPr>
      <w:r>
        <w:rPr>
          <w:rFonts w:hint="eastAsia" w:ascii="宋体" w:hAnsi="宋体"/>
          <w:szCs w:val="21"/>
          <w:highlight w:val="none"/>
        </w:rPr>
        <w:t>1.17.3协助各岗位日常工作及参与其它临时安排工作。</w:t>
      </w:r>
    </w:p>
    <w:p>
      <w:pPr>
        <w:widowControl/>
        <w:spacing w:line="360" w:lineRule="auto"/>
        <w:rPr>
          <w:rFonts w:asciiTheme="minorEastAsia" w:hAnsiTheme="minorEastAsia" w:eastAsiaTheme="minorEastAsia"/>
          <w:b/>
          <w:szCs w:val="21"/>
          <w:highlight w:val="none"/>
        </w:rPr>
      </w:pPr>
      <w:r>
        <w:rPr>
          <w:rFonts w:asciiTheme="minorEastAsia" w:hAnsiTheme="minorEastAsia" w:eastAsiaTheme="minorEastAsia"/>
          <w:b/>
          <w:szCs w:val="21"/>
          <w:highlight w:val="none"/>
        </w:rPr>
        <w:t xml:space="preserve">    1.1</w:t>
      </w:r>
      <w:r>
        <w:rPr>
          <w:rFonts w:hint="eastAsia" w:asciiTheme="minorEastAsia" w:hAnsiTheme="minorEastAsia" w:eastAsiaTheme="minorEastAsia"/>
          <w:b/>
          <w:szCs w:val="21"/>
          <w:highlight w:val="none"/>
        </w:rPr>
        <w:t>8</w:t>
      </w:r>
      <w:r>
        <w:rPr>
          <w:rFonts w:asciiTheme="minorEastAsia" w:hAnsiTheme="minorEastAsia" w:eastAsiaTheme="minorEastAsia"/>
          <w:b/>
          <w:szCs w:val="21"/>
          <w:highlight w:val="none"/>
        </w:rPr>
        <w:t xml:space="preserve"> 现场管理业务的主要工作内容</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1.1</w:t>
      </w:r>
      <w:r>
        <w:rPr>
          <w:rFonts w:hint="eastAsia" w:asciiTheme="minorEastAsia" w:hAnsiTheme="minorEastAsia" w:eastAsiaTheme="minorEastAsia"/>
          <w:szCs w:val="21"/>
          <w:highlight w:val="none"/>
        </w:rPr>
        <w:t>8</w:t>
      </w:r>
      <w:r>
        <w:rPr>
          <w:rFonts w:asciiTheme="minorEastAsia" w:hAnsiTheme="minorEastAsia" w:eastAsiaTheme="minorEastAsia"/>
          <w:szCs w:val="21"/>
          <w:highlight w:val="none"/>
        </w:rPr>
        <w:t xml:space="preserve">.1 </w:t>
      </w:r>
      <w:r>
        <w:rPr>
          <w:rFonts w:hint="eastAsia" w:asciiTheme="minorEastAsia" w:hAnsiTheme="minorEastAsia" w:eastAsiaTheme="minorEastAsia"/>
          <w:szCs w:val="21"/>
          <w:highlight w:val="none"/>
        </w:rPr>
        <w:t>负责沟通、协调、处理生产中的事情，配合完成加气运行班长的指令要求。</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1.1</w:t>
      </w:r>
      <w:r>
        <w:rPr>
          <w:rFonts w:hint="eastAsia" w:asciiTheme="minorEastAsia" w:hAnsiTheme="minorEastAsia" w:eastAsiaTheme="minorEastAsia"/>
          <w:szCs w:val="21"/>
          <w:highlight w:val="none"/>
        </w:rPr>
        <w:t>8</w:t>
      </w:r>
      <w:r>
        <w:rPr>
          <w:rFonts w:asciiTheme="minorEastAsia" w:hAnsiTheme="minorEastAsia" w:eastAsiaTheme="minorEastAsia"/>
          <w:szCs w:val="21"/>
          <w:highlight w:val="none"/>
        </w:rPr>
        <w:t xml:space="preserve">.2 </w:t>
      </w:r>
      <w:r>
        <w:rPr>
          <w:rFonts w:hint="eastAsia" w:asciiTheme="minorEastAsia" w:hAnsiTheme="minorEastAsia" w:eastAsiaTheme="minorEastAsia"/>
          <w:szCs w:val="21"/>
          <w:highlight w:val="none"/>
        </w:rPr>
        <w:t>负责监督辅助业务人员的安全作业，杜绝安全事故发生。组织业务人员定期安全学习。</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1.1</w:t>
      </w:r>
      <w:r>
        <w:rPr>
          <w:rFonts w:hint="eastAsia" w:asciiTheme="minorEastAsia" w:hAnsiTheme="minorEastAsia" w:eastAsiaTheme="minorEastAsia"/>
          <w:szCs w:val="21"/>
          <w:highlight w:val="none"/>
        </w:rPr>
        <w:t>8</w:t>
      </w:r>
      <w:r>
        <w:rPr>
          <w:rFonts w:asciiTheme="minorEastAsia" w:hAnsiTheme="minorEastAsia" w:eastAsiaTheme="minorEastAsia"/>
          <w:szCs w:val="21"/>
          <w:highlight w:val="none"/>
        </w:rPr>
        <w:t xml:space="preserve">.3 </w:t>
      </w:r>
      <w:r>
        <w:rPr>
          <w:rFonts w:hint="eastAsia" w:asciiTheme="minorEastAsia" w:hAnsiTheme="minorEastAsia" w:eastAsiaTheme="minorEastAsia"/>
          <w:szCs w:val="21"/>
          <w:highlight w:val="none"/>
        </w:rPr>
        <w:t>负责监督指挥辅助业务完成各业务范围内清洁卫生。</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1.1</w:t>
      </w:r>
      <w:r>
        <w:rPr>
          <w:rFonts w:hint="eastAsia" w:asciiTheme="minorEastAsia" w:hAnsiTheme="minorEastAsia" w:eastAsiaTheme="minorEastAsia"/>
          <w:szCs w:val="21"/>
          <w:highlight w:val="none"/>
        </w:rPr>
        <w:t>8</w:t>
      </w:r>
      <w:r>
        <w:rPr>
          <w:rFonts w:asciiTheme="minorEastAsia" w:hAnsiTheme="minorEastAsia" w:eastAsiaTheme="minorEastAsia"/>
          <w:szCs w:val="21"/>
          <w:highlight w:val="none"/>
        </w:rPr>
        <w:t>.4建议本辅助业务人员2人以上，并持有安全</w:t>
      </w:r>
      <w:r>
        <w:rPr>
          <w:rFonts w:hint="eastAsia" w:asciiTheme="minorEastAsia" w:hAnsiTheme="minorEastAsia" w:eastAsiaTheme="minorEastAsia"/>
          <w:szCs w:val="21"/>
          <w:highlight w:val="none"/>
        </w:rPr>
        <w:t>管理相关证书</w:t>
      </w:r>
      <w:r>
        <w:rPr>
          <w:rFonts w:asciiTheme="minorEastAsia" w:hAnsiTheme="minorEastAsia" w:eastAsiaTheme="minorEastAsia"/>
          <w:szCs w:val="21"/>
          <w:highlight w:val="none"/>
        </w:rPr>
        <w:t>。</w:t>
      </w:r>
    </w:p>
    <w:p>
      <w:pPr>
        <w:widowControl/>
        <w:spacing w:line="360" w:lineRule="auto"/>
        <w:rPr>
          <w:rFonts w:asciiTheme="minorEastAsia" w:hAnsiTheme="minorEastAsia" w:eastAsiaTheme="minorEastAsia"/>
          <w:b/>
          <w:szCs w:val="21"/>
          <w:highlight w:val="none"/>
        </w:rPr>
      </w:pPr>
      <w:r>
        <w:rPr>
          <w:rFonts w:asciiTheme="minorEastAsia" w:hAnsiTheme="minorEastAsia" w:eastAsiaTheme="minorEastAsia"/>
          <w:b/>
          <w:szCs w:val="21"/>
          <w:highlight w:val="none"/>
        </w:rPr>
        <w:t xml:space="preserve">    1.1</w:t>
      </w:r>
      <w:r>
        <w:rPr>
          <w:rFonts w:hint="eastAsia" w:asciiTheme="minorEastAsia" w:hAnsiTheme="minorEastAsia" w:eastAsiaTheme="minorEastAsia"/>
          <w:b/>
          <w:szCs w:val="21"/>
          <w:highlight w:val="none"/>
        </w:rPr>
        <w:t>9</w:t>
      </w:r>
      <w:r>
        <w:rPr>
          <w:rFonts w:asciiTheme="minorEastAsia" w:hAnsiTheme="minorEastAsia" w:eastAsiaTheme="minorEastAsia"/>
          <w:b/>
          <w:szCs w:val="21"/>
          <w:highlight w:val="none"/>
        </w:rPr>
        <w:t xml:space="preserve">  其它辅助业务的主要工作内容</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1.1</w:t>
      </w:r>
      <w:r>
        <w:rPr>
          <w:rFonts w:hint="eastAsia" w:asciiTheme="minorEastAsia" w:hAnsiTheme="minorEastAsia" w:eastAsiaTheme="minorEastAsia"/>
          <w:szCs w:val="21"/>
          <w:highlight w:val="none"/>
        </w:rPr>
        <w:t>9</w:t>
      </w:r>
      <w:r>
        <w:rPr>
          <w:rFonts w:asciiTheme="minorEastAsia" w:hAnsiTheme="minorEastAsia" w:eastAsiaTheme="minorEastAsia"/>
          <w:szCs w:val="21"/>
          <w:highlight w:val="none"/>
        </w:rPr>
        <w:t xml:space="preserve">.1 </w:t>
      </w:r>
      <w:r>
        <w:rPr>
          <w:rFonts w:hint="eastAsia" w:asciiTheme="minorEastAsia" w:hAnsiTheme="minorEastAsia" w:eastAsiaTheme="minorEastAsia"/>
          <w:szCs w:val="21"/>
          <w:highlight w:val="none"/>
        </w:rPr>
        <w:t>生产线所属设备的巡检、加油保养。生产线异常时，坯体或成品的去底皮工作。生产线搅拌罐、地坑等的临时应急清理工作。</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1.1</w:t>
      </w:r>
      <w:r>
        <w:rPr>
          <w:rFonts w:hint="eastAsia" w:asciiTheme="minorEastAsia" w:hAnsiTheme="minorEastAsia" w:eastAsiaTheme="minorEastAsia"/>
          <w:szCs w:val="21"/>
          <w:highlight w:val="none"/>
        </w:rPr>
        <w:t>9</w:t>
      </w:r>
      <w:r>
        <w:rPr>
          <w:rFonts w:asciiTheme="minorEastAsia" w:hAnsiTheme="minorEastAsia" w:eastAsiaTheme="minorEastAsia"/>
          <w:szCs w:val="21"/>
          <w:highlight w:val="none"/>
        </w:rPr>
        <w:t xml:space="preserve">.2 </w:t>
      </w:r>
      <w:r>
        <w:rPr>
          <w:rFonts w:hint="eastAsia" w:asciiTheme="minorEastAsia" w:hAnsiTheme="minorEastAsia" w:eastAsiaTheme="minorEastAsia"/>
          <w:szCs w:val="21"/>
          <w:highlight w:val="none"/>
        </w:rPr>
        <w:t>现场管理，合理安排临时应急工作。</w:t>
      </w:r>
    </w:p>
    <w:p>
      <w:pPr>
        <w:widowControl/>
        <w:spacing w:line="360" w:lineRule="auto"/>
        <w:rPr>
          <w:rFonts w:ascii="宋体" w:hAnsi="宋体"/>
          <w:b/>
          <w:szCs w:val="21"/>
          <w:highlight w:val="none"/>
        </w:rPr>
      </w:pPr>
      <w:r>
        <w:rPr>
          <w:rFonts w:hint="eastAsia" w:ascii="宋体" w:hAnsi="宋体"/>
          <w:b/>
          <w:szCs w:val="21"/>
          <w:highlight w:val="none"/>
        </w:rPr>
        <w:t>1.20 车间、道路、货场卫生业务的主要工作内容</w:t>
      </w:r>
    </w:p>
    <w:p>
      <w:pPr>
        <w:spacing w:line="360" w:lineRule="auto"/>
        <w:ind w:firstLine="420" w:firstLineChars="200"/>
        <w:jc w:val="left"/>
        <w:rPr>
          <w:rFonts w:ascii="宋体" w:hAnsi="宋体"/>
          <w:szCs w:val="21"/>
          <w:highlight w:val="none"/>
        </w:rPr>
      </w:pPr>
      <w:r>
        <w:rPr>
          <w:rFonts w:hint="eastAsia" w:ascii="宋体" w:hAnsi="宋体"/>
          <w:szCs w:val="21"/>
          <w:highlight w:val="none"/>
        </w:rPr>
        <w:t>1.20.1 负责每天按要求完成环厂道路路面、货场清洁，并定期对货场及环厂路路面喷淋以防扬尘。</w:t>
      </w:r>
    </w:p>
    <w:p>
      <w:pPr>
        <w:spacing w:line="360" w:lineRule="auto"/>
        <w:ind w:firstLine="420" w:firstLineChars="200"/>
        <w:jc w:val="left"/>
        <w:rPr>
          <w:rFonts w:ascii="宋体" w:hAnsi="宋体"/>
          <w:szCs w:val="21"/>
          <w:highlight w:val="none"/>
        </w:rPr>
      </w:pPr>
      <w:r>
        <w:rPr>
          <w:rFonts w:hint="eastAsia" w:ascii="宋体" w:hAnsi="宋体"/>
          <w:szCs w:val="21"/>
          <w:highlight w:val="none"/>
        </w:rPr>
        <w:t>1.20.2每天进行车间非岗位人员管辖区域清洁卫生。负责蒸压釜区域、检修用房外公共区域卫生，排水沟清理。</w:t>
      </w:r>
    </w:p>
    <w:p>
      <w:pPr>
        <w:spacing w:line="360" w:lineRule="auto"/>
        <w:ind w:firstLine="420" w:firstLineChars="200"/>
        <w:jc w:val="left"/>
        <w:rPr>
          <w:rFonts w:ascii="宋体" w:hAnsi="宋体"/>
          <w:szCs w:val="21"/>
          <w:highlight w:val="none"/>
        </w:rPr>
      </w:pPr>
      <w:r>
        <w:rPr>
          <w:rFonts w:hint="eastAsia" w:ascii="宋体" w:hAnsi="宋体"/>
          <w:szCs w:val="21"/>
          <w:highlight w:val="none"/>
        </w:rPr>
        <w:t>1.20.3负责车间及辅助用房内所有柱、梁、支架、围栏、楼梯、平台等的清洁卫生。</w:t>
      </w:r>
    </w:p>
    <w:p>
      <w:pPr>
        <w:spacing w:line="360" w:lineRule="auto"/>
        <w:ind w:firstLine="420" w:firstLineChars="200"/>
        <w:jc w:val="left"/>
        <w:rPr>
          <w:rFonts w:ascii="宋体" w:hAnsi="宋体"/>
          <w:szCs w:val="21"/>
          <w:highlight w:val="none"/>
        </w:rPr>
      </w:pPr>
      <w:r>
        <w:rPr>
          <w:rFonts w:hint="eastAsia" w:ascii="宋体" w:hAnsi="宋体"/>
          <w:szCs w:val="21"/>
          <w:highlight w:val="none"/>
        </w:rPr>
        <w:t>1.20.4负责模箱侧板的打磨、清洁工作。</w:t>
      </w:r>
    </w:p>
    <w:p>
      <w:pPr>
        <w:spacing w:line="360" w:lineRule="auto"/>
        <w:ind w:firstLine="420" w:firstLineChars="200"/>
        <w:jc w:val="left"/>
        <w:rPr>
          <w:rFonts w:ascii="宋体" w:hAnsi="宋体"/>
          <w:szCs w:val="21"/>
          <w:highlight w:val="none"/>
        </w:rPr>
      </w:pPr>
      <w:r>
        <w:rPr>
          <w:rFonts w:hint="eastAsia" w:ascii="宋体" w:hAnsi="宋体"/>
          <w:szCs w:val="21"/>
          <w:highlight w:val="none"/>
        </w:rPr>
        <w:t>1.20.5协助坑、洞、罐体内的定期清理工作，协助静停室清洁及处理漏浆。</w:t>
      </w:r>
    </w:p>
    <w:p>
      <w:pPr>
        <w:spacing w:line="360" w:lineRule="auto"/>
        <w:ind w:firstLine="420" w:firstLineChars="200"/>
        <w:jc w:val="left"/>
        <w:rPr>
          <w:rFonts w:ascii="宋体" w:hAnsi="宋体"/>
          <w:szCs w:val="21"/>
          <w:highlight w:val="none"/>
        </w:rPr>
      </w:pPr>
      <w:r>
        <w:rPr>
          <w:rFonts w:hint="eastAsia" w:ascii="宋体" w:hAnsi="宋体"/>
          <w:szCs w:val="21"/>
          <w:highlight w:val="none"/>
        </w:rPr>
        <w:t>1.20.6负责定期处理工业、生活垃圾，定期清洁负责区域垃圾筒。</w:t>
      </w:r>
    </w:p>
    <w:p>
      <w:pPr>
        <w:widowControl/>
        <w:spacing w:line="360" w:lineRule="auto"/>
        <w:ind w:firstLine="420" w:firstLineChars="200"/>
        <w:rPr>
          <w:rFonts w:ascii="宋体" w:hAnsi="宋体"/>
          <w:szCs w:val="21"/>
          <w:highlight w:val="none"/>
        </w:rPr>
      </w:pPr>
      <w:r>
        <w:rPr>
          <w:rFonts w:hint="eastAsia" w:ascii="宋体" w:hAnsi="宋体"/>
          <w:szCs w:val="21"/>
          <w:highlight w:val="none"/>
        </w:rPr>
        <w:t>1.20.7负责发货室及货场卫生间的清洁工作。</w:t>
      </w:r>
    </w:p>
    <w:p>
      <w:pPr>
        <w:widowControl/>
        <w:spacing w:line="360" w:lineRule="auto"/>
        <w:ind w:firstLine="420" w:firstLineChars="200"/>
        <w:rPr>
          <w:rFonts w:asciiTheme="minorEastAsia" w:hAnsiTheme="minorEastAsia" w:eastAsiaTheme="minorEastAsia"/>
          <w:szCs w:val="21"/>
          <w:highlight w:val="none"/>
        </w:rPr>
      </w:pPr>
      <w:r>
        <w:rPr>
          <w:rFonts w:hint="eastAsia" w:ascii="宋体" w:hAnsi="宋体"/>
          <w:szCs w:val="21"/>
          <w:highlight w:val="none"/>
        </w:rPr>
        <w:t>1.20.8建议本辅助业务人员3人。</w:t>
      </w:r>
    </w:p>
    <w:p>
      <w:pPr>
        <w:tabs>
          <w:tab w:val="left" w:pos="851"/>
        </w:tabs>
        <w:spacing w:line="360" w:lineRule="auto"/>
        <w:rPr>
          <w:rFonts w:asciiTheme="minorEastAsia" w:hAnsiTheme="minorEastAsia" w:eastAsiaTheme="minorEastAsia"/>
          <w:b/>
          <w:szCs w:val="21"/>
          <w:highlight w:val="none"/>
        </w:rPr>
      </w:pPr>
      <w:r>
        <w:rPr>
          <w:rFonts w:asciiTheme="minorEastAsia" w:hAnsiTheme="minorEastAsia" w:eastAsiaTheme="minorEastAsia"/>
          <w:b/>
          <w:szCs w:val="21"/>
          <w:highlight w:val="none"/>
        </w:rPr>
        <w:t xml:space="preserve">    1.</w:t>
      </w:r>
      <w:r>
        <w:rPr>
          <w:rFonts w:hint="eastAsia" w:asciiTheme="minorEastAsia" w:hAnsiTheme="minorEastAsia" w:eastAsiaTheme="minorEastAsia"/>
          <w:b/>
          <w:szCs w:val="21"/>
          <w:highlight w:val="none"/>
        </w:rPr>
        <w:t>21</w:t>
      </w:r>
      <w:r>
        <w:rPr>
          <w:rFonts w:asciiTheme="minorEastAsia" w:hAnsiTheme="minorEastAsia" w:eastAsiaTheme="minorEastAsia"/>
          <w:b/>
          <w:szCs w:val="21"/>
          <w:highlight w:val="none"/>
        </w:rPr>
        <w:t xml:space="preserve"> 物料转运</w:t>
      </w:r>
    </w:p>
    <w:p>
      <w:pPr>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1.</w:t>
      </w:r>
      <w:r>
        <w:rPr>
          <w:rFonts w:hint="eastAsia" w:asciiTheme="minorEastAsia" w:hAnsiTheme="minorEastAsia" w:eastAsiaTheme="minorEastAsia"/>
          <w:szCs w:val="21"/>
          <w:highlight w:val="none"/>
        </w:rPr>
        <w:t>21</w:t>
      </w:r>
      <w:r>
        <w:rPr>
          <w:rFonts w:asciiTheme="minorEastAsia" w:hAnsiTheme="minorEastAsia" w:eastAsiaTheme="minorEastAsia"/>
          <w:szCs w:val="21"/>
          <w:highlight w:val="none"/>
        </w:rPr>
        <w:t>.1 按生产计划需求，每天从电厂转运炉渣、脱硫石膏到建材厂区原材料堆场</w:t>
      </w: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按指定的地方堆放</w:t>
      </w:r>
      <w:r>
        <w:rPr>
          <w:rFonts w:hint="eastAsia" w:asciiTheme="minorEastAsia" w:hAnsiTheme="minorEastAsia" w:eastAsiaTheme="minorEastAsia"/>
          <w:szCs w:val="21"/>
          <w:highlight w:val="none"/>
        </w:rPr>
        <w:t>，每年约</w:t>
      </w:r>
      <w:r>
        <w:rPr>
          <w:rFonts w:asciiTheme="minorEastAsia" w:hAnsiTheme="minorEastAsia" w:eastAsiaTheme="minorEastAsia"/>
          <w:szCs w:val="21"/>
          <w:highlight w:val="none"/>
        </w:rPr>
        <w:t>1.65万吨。</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1.</w:t>
      </w:r>
      <w:r>
        <w:rPr>
          <w:rFonts w:hint="eastAsia" w:asciiTheme="minorEastAsia" w:hAnsiTheme="minorEastAsia" w:eastAsiaTheme="minorEastAsia"/>
          <w:szCs w:val="21"/>
          <w:highlight w:val="none"/>
        </w:rPr>
        <w:t>21</w:t>
      </w:r>
      <w:r>
        <w:rPr>
          <w:rFonts w:asciiTheme="minorEastAsia" w:hAnsiTheme="minorEastAsia" w:eastAsiaTheme="minorEastAsia"/>
          <w:szCs w:val="21"/>
          <w:highlight w:val="none"/>
        </w:rPr>
        <w:t>.2 转运的物料必须服从甲方调度人员安排指挥，转运物料的车辆总重不超过20吨，车辆应在厂区及附近随时待命，原材料运输时，装载货物高度不得超出车厢栏板，不得洒漏污染路面，不得违反电厂及</w:t>
      </w:r>
      <w:r>
        <w:rPr>
          <w:rFonts w:hint="eastAsia" w:asciiTheme="minorEastAsia" w:hAnsiTheme="minorEastAsia" w:eastAsiaTheme="minorEastAsia"/>
          <w:szCs w:val="21"/>
          <w:highlight w:val="none"/>
        </w:rPr>
        <w:t>甲方</w:t>
      </w:r>
      <w:r>
        <w:rPr>
          <w:rFonts w:asciiTheme="minorEastAsia" w:hAnsiTheme="minorEastAsia" w:eastAsiaTheme="minorEastAsia"/>
          <w:szCs w:val="21"/>
          <w:highlight w:val="none"/>
        </w:rPr>
        <w:t>对车辆在厂区限行、限速的管理要求。</w:t>
      </w:r>
    </w:p>
    <w:p>
      <w:pPr>
        <w:widowControl/>
        <w:spacing w:line="360" w:lineRule="auto"/>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    注：承包以上工作内容需各辅助业务作业人员执行有关业务安健环规定，及按要求对所属设备进行加油保养，甲方加气</w:t>
      </w:r>
      <w:r>
        <w:rPr>
          <w:rFonts w:hint="eastAsia" w:asciiTheme="minorEastAsia" w:hAnsiTheme="minorEastAsia" w:eastAsiaTheme="minorEastAsia"/>
          <w:szCs w:val="21"/>
          <w:highlight w:val="none"/>
        </w:rPr>
        <w:t>块业务生产量、发货量约</w:t>
      </w:r>
      <w:r>
        <w:rPr>
          <w:rFonts w:asciiTheme="minorEastAsia" w:hAnsiTheme="minorEastAsia" w:eastAsiaTheme="minorEastAsia"/>
          <w:szCs w:val="21"/>
          <w:highlight w:val="none"/>
        </w:rPr>
        <w:t>30万立方米/年。</w:t>
      </w:r>
    </w:p>
    <w:p>
      <w:pPr>
        <w:spacing w:line="360" w:lineRule="auto"/>
        <w:ind w:firstLine="422" w:firstLineChars="200"/>
        <w:jc w:val="left"/>
        <w:rPr>
          <w:rFonts w:asciiTheme="minorEastAsia" w:hAnsiTheme="minorEastAsia" w:eastAsiaTheme="minorEastAsia"/>
          <w:b/>
          <w:szCs w:val="21"/>
          <w:highlight w:val="none"/>
        </w:rPr>
      </w:pPr>
      <w:r>
        <w:rPr>
          <w:rFonts w:asciiTheme="minorEastAsia" w:hAnsiTheme="minorEastAsia" w:eastAsiaTheme="minorEastAsia"/>
          <w:b/>
          <w:szCs w:val="21"/>
          <w:highlight w:val="none"/>
        </w:rPr>
        <w:t xml:space="preserve">2  </w:t>
      </w:r>
      <w:r>
        <w:rPr>
          <w:rFonts w:hint="eastAsia" w:asciiTheme="minorEastAsia" w:hAnsiTheme="minorEastAsia" w:eastAsiaTheme="minorEastAsia"/>
          <w:b/>
          <w:szCs w:val="21"/>
          <w:highlight w:val="none"/>
        </w:rPr>
        <w:t>发货辅助业务的主要工作内容</w:t>
      </w:r>
    </w:p>
    <w:p>
      <w:pPr>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2.1 </w:t>
      </w:r>
      <w:r>
        <w:rPr>
          <w:rFonts w:hint="eastAsia" w:asciiTheme="minorEastAsia" w:hAnsiTheme="minorEastAsia" w:eastAsiaTheme="minorEastAsia"/>
          <w:szCs w:val="21"/>
          <w:highlight w:val="none"/>
        </w:rPr>
        <w:t>协助发货员根据发货员指令监督成品砖的转运、分区入仓堆放工作。</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2.2 </w:t>
      </w:r>
      <w:r>
        <w:rPr>
          <w:rFonts w:hint="eastAsia" w:asciiTheme="minorEastAsia" w:hAnsiTheme="minorEastAsia" w:eastAsiaTheme="minorEastAsia"/>
          <w:szCs w:val="21"/>
          <w:highlight w:val="none"/>
        </w:rPr>
        <w:t>协助发货员根据发货员指令监督成品砖（含次品）的出货工作。</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2.3 </w:t>
      </w:r>
      <w:r>
        <w:rPr>
          <w:rFonts w:hint="eastAsia" w:asciiTheme="minorEastAsia" w:hAnsiTheme="minorEastAsia" w:eastAsiaTheme="minorEastAsia"/>
          <w:szCs w:val="21"/>
          <w:highlight w:val="none"/>
        </w:rPr>
        <w:t>及时更换装车时有损坏或破损严重加气块砖，并督促叉车回运车间待换。</w:t>
      </w:r>
    </w:p>
    <w:p>
      <w:pPr>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2.4 </w:t>
      </w:r>
      <w:r>
        <w:rPr>
          <w:rFonts w:hint="eastAsia" w:asciiTheme="minorEastAsia" w:hAnsiTheme="minorEastAsia" w:eastAsiaTheme="minorEastAsia"/>
          <w:szCs w:val="21"/>
          <w:highlight w:val="none"/>
        </w:rPr>
        <w:t>协助发货员监督木托板的装卸、清点、转运回用及产品的防护工作等。</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2.5 </w:t>
      </w:r>
      <w:r>
        <w:rPr>
          <w:rFonts w:hint="eastAsia" w:asciiTheme="minorEastAsia" w:hAnsiTheme="minorEastAsia" w:eastAsiaTheme="minorEastAsia"/>
          <w:szCs w:val="21"/>
          <w:highlight w:val="none"/>
        </w:rPr>
        <w:t>常巡检货场，清楚货场产品的堆存情况；叉车整理好货场；严格把关，禁止不合格产品进入货场。</w:t>
      </w:r>
    </w:p>
    <w:p>
      <w:pPr>
        <w:spacing w:line="360" w:lineRule="auto"/>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2.6 </w:t>
      </w:r>
      <w:r>
        <w:rPr>
          <w:rFonts w:hint="eastAsia" w:asciiTheme="minorEastAsia" w:hAnsiTheme="minorEastAsia" w:eastAsiaTheme="minorEastAsia"/>
          <w:szCs w:val="21"/>
          <w:highlight w:val="none"/>
        </w:rPr>
        <w:t>每天发出产品约</w:t>
      </w:r>
      <w:r>
        <w:rPr>
          <w:rFonts w:asciiTheme="minorEastAsia" w:hAnsiTheme="minorEastAsia" w:eastAsiaTheme="minorEastAsia"/>
          <w:szCs w:val="21"/>
          <w:highlight w:val="none"/>
        </w:rPr>
        <w:t>800-1500方，建议本辅助业务人员每班至少</w:t>
      </w:r>
      <w:r>
        <w:rPr>
          <w:rFonts w:hint="eastAsia" w:asciiTheme="minorEastAsia" w:hAnsiTheme="minorEastAsia" w:eastAsiaTheme="minorEastAsia"/>
          <w:szCs w:val="21"/>
          <w:highlight w:val="none"/>
        </w:rPr>
        <w:t>1</w:t>
      </w:r>
      <w:r>
        <w:rPr>
          <w:rFonts w:asciiTheme="minorEastAsia" w:hAnsiTheme="minorEastAsia" w:eastAsiaTheme="minorEastAsia"/>
          <w:szCs w:val="21"/>
          <w:highlight w:val="none"/>
        </w:rPr>
        <w:t>人以上。</w:t>
      </w:r>
    </w:p>
    <w:p>
      <w:pPr>
        <w:spacing w:line="360" w:lineRule="auto"/>
        <w:jc w:val="left"/>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3叉运辅助业务的主要工作内容</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w:t>
      </w:r>
      <w:r>
        <w:rPr>
          <w:rFonts w:asciiTheme="minorEastAsia" w:hAnsiTheme="minorEastAsia" w:eastAsiaTheme="minorEastAsia"/>
          <w:szCs w:val="21"/>
          <w:highlight w:val="none"/>
        </w:rPr>
        <w:t xml:space="preserve">.1 </w:t>
      </w:r>
      <w:r>
        <w:rPr>
          <w:rFonts w:hint="eastAsia" w:asciiTheme="minorEastAsia" w:hAnsiTheme="minorEastAsia" w:eastAsiaTheme="minorEastAsia"/>
          <w:szCs w:val="21"/>
          <w:highlight w:val="none"/>
        </w:rPr>
        <w:t>负责成品砖的转运工作。将成品砖从工程制造部的链条卸下，转运至货场，不同的规格按发货员的指示，分区域按要求堆放。</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w:t>
      </w:r>
      <w:r>
        <w:rPr>
          <w:rFonts w:asciiTheme="minorEastAsia" w:hAnsiTheme="minorEastAsia" w:eastAsiaTheme="minorEastAsia"/>
          <w:szCs w:val="21"/>
          <w:highlight w:val="none"/>
        </w:rPr>
        <w:t xml:space="preserve">.2 </w:t>
      </w:r>
      <w:r>
        <w:rPr>
          <w:rFonts w:hint="eastAsia" w:asciiTheme="minorEastAsia" w:hAnsiTheme="minorEastAsia" w:eastAsiaTheme="minorEastAsia"/>
          <w:szCs w:val="21"/>
          <w:highlight w:val="none"/>
        </w:rPr>
        <w:t>负责成品砖的出货工作。按发货员的指示，到指定的区域按规格、数量将成品砖转运至指定的车辆上，完成出货工作。</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w:t>
      </w:r>
      <w:r>
        <w:rPr>
          <w:rFonts w:asciiTheme="minorEastAsia" w:hAnsiTheme="minorEastAsia" w:eastAsiaTheme="minorEastAsia"/>
          <w:szCs w:val="21"/>
          <w:highlight w:val="none"/>
        </w:rPr>
        <w:t xml:space="preserve">.3 </w:t>
      </w:r>
      <w:r>
        <w:rPr>
          <w:rFonts w:hint="eastAsia" w:asciiTheme="minorEastAsia" w:hAnsiTheme="minorEastAsia" w:eastAsiaTheme="minorEastAsia"/>
          <w:szCs w:val="21"/>
          <w:highlight w:val="none"/>
        </w:rPr>
        <w:t>负责配合生产线成品换砖的工作。</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w:t>
      </w:r>
      <w:r>
        <w:rPr>
          <w:rFonts w:asciiTheme="minorEastAsia" w:hAnsiTheme="minorEastAsia" w:eastAsiaTheme="minorEastAsia"/>
          <w:szCs w:val="21"/>
          <w:highlight w:val="none"/>
        </w:rPr>
        <w:t xml:space="preserve">.4 </w:t>
      </w:r>
      <w:r>
        <w:rPr>
          <w:rFonts w:hint="eastAsia" w:asciiTheme="minorEastAsia" w:hAnsiTheme="minorEastAsia" w:eastAsiaTheme="minorEastAsia"/>
          <w:szCs w:val="21"/>
          <w:highlight w:val="none"/>
        </w:rPr>
        <w:t>负责碎砖的清运工作。将碎砖从生产现场运至堆场，按指定地点堆放。</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w:t>
      </w:r>
      <w:r>
        <w:rPr>
          <w:rFonts w:asciiTheme="minorEastAsia" w:hAnsiTheme="minorEastAsia" w:eastAsiaTheme="minorEastAsia"/>
          <w:szCs w:val="21"/>
          <w:highlight w:val="none"/>
        </w:rPr>
        <w:t xml:space="preserve">.5 </w:t>
      </w:r>
      <w:r>
        <w:rPr>
          <w:rFonts w:hint="eastAsia" w:asciiTheme="minorEastAsia" w:hAnsiTheme="minorEastAsia" w:eastAsiaTheme="minorEastAsia"/>
          <w:szCs w:val="21"/>
          <w:highlight w:val="none"/>
        </w:rPr>
        <w:t>负责磨机出口废料的清运工作。将磨机出口废料清运至厂内废料堆放区。</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w:t>
      </w:r>
      <w:r>
        <w:rPr>
          <w:rFonts w:asciiTheme="minorEastAsia" w:hAnsiTheme="minorEastAsia" w:eastAsiaTheme="minorEastAsia"/>
          <w:szCs w:val="21"/>
          <w:highlight w:val="none"/>
        </w:rPr>
        <w:t xml:space="preserve">.6 </w:t>
      </w:r>
      <w:r>
        <w:rPr>
          <w:rFonts w:hint="eastAsia" w:asciiTheme="minorEastAsia" w:hAnsiTheme="minorEastAsia" w:eastAsiaTheme="minorEastAsia"/>
          <w:szCs w:val="21"/>
          <w:highlight w:val="none"/>
        </w:rPr>
        <w:t>负责废油、钢锻、铝粉、备件、电机等物料卸货入仓或在厂内转移的工作及其它需要使用装卸的临时工作。</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w:t>
      </w:r>
      <w:r>
        <w:rPr>
          <w:rFonts w:asciiTheme="minorEastAsia" w:hAnsiTheme="minorEastAsia" w:eastAsiaTheme="minorEastAsia"/>
          <w:szCs w:val="21"/>
          <w:highlight w:val="none"/>
        </w:rPr>
        <w:t xml:space="preserve">.7 </w:t>
      </w:r>
      <w:r>
        <w:rPr>
          <w:rFonts w:hint="eastAsia" w:asciiTheme="minorEastAsia" w:hAnsiTheme="minorEastAsia" w:eastAsiaTheme="minorEastAsia"/>
          <w:szCs w:val="21"/>
          <w:highlight w:val="none"/>
        </w:rPr>
        <w:t>负责木托板的装卸和转运工作。将车队回收的木托板从车辆上卸下，按指定地点堆放。按工程制造部的需求，做好木托板的转运工作。</w:t>
      </w:r>
    </w:p>
    <w:p>
      <w:pPr>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3.8甲方提供叉车</w:t>
      </w:r>
      <w:r>
        <w:rPr>
          <w:rFonts w:hint="eastAsia" w:asciiTheme="minorEastAsia" w:hAnsiTheme="minorEastAsia" w:eastAsiaTheme="minorEastAsia"/>
          <w:szCs w:val="21"/>
          <w:highlight w:val="none"/>
        </w:rPr>
        <w:t>及负责叉车的燃料费用、充电费用，乙方负责叉车的定期维护保养及维修工作。</w:t>
      </w:r>
    </w:p>
    <w:p>
      <w:pPr>
        <w:spacing w:line="360" w:lineRule="auto"/>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w:t>
      </w:r>
      <w:r>
        <w:rPr>
          <w:rFonts w:asciiTheme="minorEastAsia" w:hAnsiTheme="minorEastAsia" w:eastAsiaTheme="minorEastAsia"/>
          <w:szCs w:val="21"/>
          <w:highlight w:val="none"/>
        </w:rPr>
        <w:t xml:space="preserve">.9 </w:t>
      </w:r>
      <w:r>
        <w:rPr>
          <w:rFonts w:hint="eastAsia" w:asciiTheme="minorEastAsia" w:hAnsiTheme="minorEastAsia" w:eastAsiaTheme="minorEastAsia"/>
          <w:szCs w:val="21"/>
          <w:highlight w:val="none"/>
        </w:rPr>
        <w:t>每天需叉运产品及装车约</w:t>
      </w:r>
      <w:r>
        <w:rPr>
          <w:rFonts w:asciiTheme="minorEastAsia" w:hAnsiTheme="minorEastAsia" w:eastAsiaTheme="minorEastAsia"/>
          <w:szCs w:val="21"/>
          <w:highlight w:val="none"/>
        </w:rPr>
        <w:t>800-1500方，建议本辅助业务人员至少8人以上。</w:t>
      </w:r>
    </w:p>
    <w:p>
      <w:pPr>
        <w:spacing w:line="360" w:lineRule="auto"/>
        <w:ind w:firstLine="422" w:firstLineChars="200"/>
        <w:jc w:val="left"/>
        <w:rPr>
          <w:rFonts w:cs="宋体" w:asciiTheme="minorEastAsia" w:hAnsiTheme="minorEastAsia" w:eastAsiaTheme="minorEastAsia"/>
          <w:b/>
          <w:color w:val="000000"/>
          <w:kern w:val="0"/>
          <w:szCs w:val="21"/>
          <w:highlight w:val="none"/>
        </w:rPr>
      </w:pPr>
      <w:r>
        <w:rPr>
          <w:rFonts w:hint="eastAsia" w:cs="宋体" w:asciiTheme="minorEastAsia" w:hAnsiTheme="minorEastAsia" w:eastAsiaTheme="minorEastAsia"/>
          <w:b/>
          <w:color w:val="000000"/>
          <w:kern w:val="0"/>
          <w:szCs w:val="21"/>
          <w:highlight w:val="none"/>
        </w:rPr>
        <w:t>4质检辅助业务（内检）的主要工作内容</w:t>
      </w:r>
    </w:p>
    <w:p>
      <w:pPr>
        <w:spacing w:line="360" w:lineRule="auto"/>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4</w:t>
      </w:r>
      <w:r>
        <w:rPr>
          <w:rFonts w:asciiTheme="minorEastAsia" w:hAnsiTheme="minorEastAsia" w:eastAsiaTheme="minorEastAsia"/>
          <w:szCs w:val="21"/>
          <w:highlight w:val="none"/>
        </w:rPr>
        <w:t xml:space="preserve">.1 </w:t>
      </w:r>
      <w:r>
        <w:rPr>
          <w:rFonts w:hint="eastAsia" w:asciiTheme="minorEastAsia" w:hAnsiTheme="minorEastAsia" w:eastAsiaTheme="minorEastAsia"/>
          <w:szCs w:val="21"/>
          <w:highlight w:val="none"/>
        </w:rPr>
        <w:t>负责半成品质量进行监督与检查，按甲方的规定进行半成品外观与尺寸进行检验，并及时将异常情况向上报告处理。</w:t>
      </w:r>
    </w:p>
    <w:p>
      <w:pPr>
        <w:spacing w:line="360" w:lineRule="auto"/>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4</w:t>
      </w:r>
      <w:r>
        <w:rPr>
          <w:rFonts w:asciiTheme="minorEastAsia" w:hAnsiTheme="minorEastAsia" w:eastAsiaTheme="minorEastAsia"/>
          <w:szCs w:val="21"/>
          <w:highlight w:val="none"/>
        </w:rPr>
        <w:t xml:space="preserve">.2 </w:t>
      </w:r>
      <w:r>
        <w:rPr>
          <w:rFonts w:hint="eastAsia" w:asciiTheme="minorEastAsia" w:hAnsiTheme="minorEastAsia" w:eastAsiaTheme="minorEastAsia"/>
          <w:szCs w:val="21"/>
          <w:highlight w:val="none"/>
        </w:rPr>
        <w:t>负责成品质量进行监督与检查，按甲方的规定进行成品外观与尺寸进行检验，并及时将异常情况向上报告处理。</w:t>
      </w:r>
    </w:p>
    <w:p>
      <w:pPr>
        <w:spacing w:line="360" w:lineRule="auto"/>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4</w:t>
      </w:r>
      <w:r>
        <w:rPr>
          <w:rFonts w:asciiTheme="minorEastAsia" w:hAnsiTheme="minorEastAsia" w:eastAsiaTheme="minorEastAsia"/>
          <w:szCs w:val="21"/>
          <w:highlight w:val="none"/>
        </w:rPr>
        <w:t xml:space="preserve">.3 </w:t>
      </w:r>
      <w:r>
        <w:rPr>
          <w:rFonts w:hint="eastAsia" w:asciiTheme="minorEastAsia" w:hAnsiTheme="minorEastAsia" w:eastAsiaTheme="minorEastAsia"/>
          <w:szCs w:val="21"/>
          <w:highlight w:val="none"/>
        </w:rPr>
        <w:t>负责成品每釜产品的强度和含水率等性能的检测、记录数据及计算工作。</w:t>
      </w:r>
    </w:p>
    <w:p>
      <w:pPr>
        <w:spacing w:line="360" w:lineRule="auto"/>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4</w:t>
      </w:r>
      <w:r>
        <w:rPr>
          <w:rFonts w:asciiTheme="minorEastAsia" w:hAnsiTheme="minorEastAsia" w:eastAsiaTheme="minorEastAsia"/>
          <w:szCs w:val="21"/>
          <w:highlight w:val="none"/>
        </w:rPr>
        <w:t xml:space="preserve">.4 </w:t>
      </w:r>
      <w:r>
        <w:rPr>
          <w:rFonts w:hint="eastAsia" w:asciiTheme="minorEastAsia" w:hAnsiTheme="minorEastAsia" w:eastAsiaTheme="minorEastAsia"/>
          <w:szCs w:val="21"/>
          <w:highlight w:val="none"/>
        </w:rPr>
        <w:t>负责试压件和导热系数试件烘干、试验及包装等管理工作。</w:t>
      </w:r>
    </w:p>
    <w:p>
      <w:pPr>
        <w:spacing w:line="360" w:lineRule="auto"/>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4</w:t>
      </w:r>
      <w:r>
        <w:rPr>
          <w:rFonts w:asciiTheme="minorEastAsia" w:hAnsiTheme="minorEastAsia" w:eastAsiaTheme="minorEastAsia"/>
          <w:szCs w:val="21"/>
          <w:highlight w:val="none"/>
        </w:rPr>
        <w:t xml:space="preserve">.5 </w:t>
      </w:r>
      <w:r>
        <w:rPr>
          <w:rFonts w:hint="eastAsia" w:asciiTheme="minorEastAsia" w:hAnsiTheme="minorEastAsia" w:eastAsiaTheme="minorEastAsia"/>
          <w:szCs w:val="21"/>
          <w:highlight w:val="none"/>
        </w:rPr>
        <w:t>按甲方的管理要求做好相关的记录及对质检室设备卫生、故障报修等相关工作。</w:t>
      </w:r>
    </w:p>
    <w:p>
      <w:pPr>
        <w:spacing w:line="360" w:lineRule="auto"/>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4</w:t>
      </w:r>
      <w:r>
        <w:rPr>
          <w:rFonts w:asciiTheme="minorEastAsia" w:hAnsiTheme="minorEastAsia" w:eastAsiaTheme="minorEastAsia"/>
          <w:szCs w:val="21"/>
          <w:highlight w:val="none"/>
        </w:rPr>
        <w:t xml:space="preserve">.6 </w:t>
      </w:r>
      <w:r>
        <w:rPr>
          <w:rFonts w:hint="eastAsia" w:asciiTheme="minorEastAsia" w:hAnsiTheme="minorEastAsia" w:eastAsiaTheme="minorEastAsia"/>
          <w:szCs w:val="21"/>
          <w:highlight w:val="none"/>
        </w:rPr>
        <w:t>每天需检查半、成品约</w:t>
      </w:r>
      <w:r>
        <w:rPr>
          <w:rFonts w:asciiTheme="minorEastAsia" w:hAnsiTheme="minorEastAsia" w:eastAsiaTheme="minorEastAsia"/>
          <w:szCs w:val="21"/>
          <w:highlight w:val="none"/>
        </w:rPr>
        <w:t>800-1500方，建议本辅助业务人员至少</w:t>
      </w:r>
      <w:r>
        <w:rPr>
          <w:rFonts w:hint="eastAsia" w:asciiTheme="minorEastAsia" w:hAnsiTheme="minorEastAsia" w:eastAsiaTheme="minorEastAsia"/>
          <w:szCs w:val="21"/>
          <w:highlight w:val="none"/>
        </w:rPr>
        <w:t>1</w:t>
      </w:r>
      <w:r>
        <w:rPr>
          <w:rFonts w:asciiTheme="minorEastAsia" w:hAnsiTheme="minorEastAsia" w:eastAsiaTheme="minorEastAsia"/>
          <w:szCs w:val="21"/>
          <w:highlight w:val="none"/>
        </w:rPr>
        <w:t>人以上。</w:t>
      </w:r>
    </w:p>
    <w:p>
      <w:pPr>
        <w:spacing w:line="360" w:lineRule="auto"/>
        <w:jc w:val="left"/>
        <w:rPr>
          <w:rFonts w:cs="宋体" w:asciiTheme="minorEastAsia" w:hAnsiTheme="minorEastAsia" w:eastAsiaTheme="minorEastAsia"/>
          <w:b/>
          <w:color w:val="000000"/>
          <w:kern w:val="0"/>
          <w:szCs w:val="21"/>
          <w:highlight w:val="none"/>
        </w:rPr>
      </w:pPr>
      <w:r>
        <w:rPr>
          <w:rFonts w:hint="eastAsia" w:cs="宋体" w:asciiTheme="minorEastAsia" w:hAnsiTheme="minorEastAsia" w:eastAsiaTheme="minorEastAsia"/>
          <w:b/>
          <w:color w:val="000000"/>
          <w:kern w:val="0"/>
          <w:szCs w:val="21"/>
          <w:highlight w:val="none"/>
        </w:rPr>
        <w:t>5</w:t>
      </w:r>
      <w:r>
        <w:rPr>
          <w:rFonts w:cs="宋体" w:asciiTheme="minorEastAsia" w:hAnsiTheme="minorEastAsia" w:eastAsiaTheme="minorEastAsia"/>
          <w:b/>
          <w:color w:val="000000"/>
          <w:kern w:val="0"/>
          <w:szCs w:val="21"/>
          <w:highlight w:val="none"/>
        </w:rPr>
        <w:t xml:space="preserve">  质检辅助业务（外检）的主要工作内容</w:t>
      </w:r>
    </w:p>
    <w:p>
      <w:pPr>
        <w:spacing w:line="360" w:lineRule="auto"/>
        <w:ind w:firstLine="420" w:firstLineChars="200"/>
        <w:rPr>
          <w:rFonts w:asciiTheme="minorEastAsia" w:hAnsiTheme="minorEastAsia" w:eastAsiaTheme="minorEastAsia"/>
          <w:szCs w:val="21"/>
          <w:highlight w:val="none"/>
        </w:rPr>
      </w:pPr>
      <w:r>
        <w:rPr>
          <w:rFonts w:hint="eastAsia" w:cs="宋体" w:asciiTheme="minorEastAsia" w:hAnsiTheme="minorEastAsia" w:eastAsiaTheme="minorEastAsia"/>
          <w:color w:val="000000"/>
          <w:kern w:val="0"/>
          <w:szCs w:val="21"/>
          <w:highlight w:val="none"/>
        </w:rPr>
        <w:t>5</w:t>
      </w:r>
      <w:r>
        <w:rPr>
          <w:rFonts w:cs="宋体" w:asciiTheme="minorEastAsia" w:hAnsiTheme="minorEastAsia" w:eastAsiaTheme="minorEastAsia"/>
          <w:color w:val="000000"/>
          <w:kern w:val="0"/>
          <w:szCs w:val="21"/>
          <w:highlight w:val="none"/>
        </w:rPr>
        <w:t xml:space="preserve">.1 </w:t>
      </w:r>
      <w:r>
        <w:rPr>
          <w:rFonts w:hint="eastAsia" w:cs="宋体" w:asciiTheme="minorEastAsia" w:hAnsiTheme="minorEastAsia" w:eastAsiaTheme="minorEastAsia"/>
          <w:color w:val="000000"/>
          <w:kern w:val="0"/>
          <w:szCs w:val="21"/>
          <w:highlight w:val="none"/>
        </w:rPr>
        <w:t>负责</w:t>
      </w:r>
      <w:r>
        <w:rPr>
          <w:rFonts w:hint="eastAsia" w:asciiTheme="minorEastAsia" w:hAnsiTheme="minorEastAsia" w:eastAsiaTheme="minorEastAsia"/>
          <w:szCs w:val="21"/>
          <w:highlight w:val="none"/>
        </w:rPr>
        <w:t>按规定对每釜抽检一模成品测量尺寸，并认真填写成品抽查表；按规定抽检产品的粘连及顶层积料情况。</w:t>
      </w:r>
    </w:p>
    <w:p>
      <w:pPr>
        <w:spacing w:line="360" w:lineRule="auto"/>
        <w:ind w:firstLine="420" w:firstLineChars="200"/>
        <w:rPr>
          <w:rFonts w:asciiTheme="minorEastAsia" w:hAnsiTheme="minorEastAsia" w:eastAsiaTheme="minorEastAsia"/>
          <w:szCs w:val="21"/>
          <w:highlight w:val="none"/>
        </w:rPr>
      </w:pPr>
      <w:r>
        <w:rPr>
          <w:rFonts w:hint="eastAsia" w:cs="宋体" w:asciiTheme="minorEastAsia" w:hAnsiTheme="minorEastAsia" w:eastAsiaTheme="minorEastAsia"/>
          <w:color w:val="000000"/>
          <w:kern w:val="0"/>
          <w:szCs w:val="21"/>
          <w:highlight w:val="none"/>
        </w:rPr>
        <w:t>5</w:t>
      </w:r>
      <w:r>
        <w:rPr>
          <w:rFonts w:cs="宋体" w:asciiTheme="minorEastAsia" w:hAnsiTheme="minorEastAsia" w:eastAsiaTheme="minorEastAsia"/>
          <w:color w:val="000000"/>
          <w:kern w:val="0"/>
          <w:szCs w:val="21"/>
          <w:highlight w:val="none"/>
        </w:rPr>
        <w:t xml:space="preserve">.2 </w:t>
      </w:r>
      <w:r>
        <w:rPr>
          <w:rFonts w:hint="eastAsia" w:cs="宋体" w:asciiTheme="minorEastAsia" w:hAnsiTheme="minorEastAsia" w:eastAsiaTheme="minorEastAsia"/>
          <w:color w:val="000000"/>
          <w:kern w:val="0"/>
          <w:szCs w:val="21"/>
          <w:highlight w:val="none"/>
        </w:rPr>
        <w:t>依</w:t>
      </w:r>
      <w:r>
        <w:rPr>
          <w:rFonts w:hint="eastAsia" w:asciiTheme="minorEastAsia" w:hAnsiTheme="minorEastAsia" w:eastAsiaTheme="minorEastAsia"/>
          <w:szCs w:val="21"/>
          <w:highlight w:val="none"/>
        </w:rPr>
        <w:t>据国标</w:t>
      </w:r>
      <w:r>
        <w:rPr>
          <w:rFonts w:asciiTheme="minorEastAsia" w:hAnsiTheme="minorEastAsia" w:eastAsiaTheme="minorEastAsia"/>
          <w:szCs w:val="21"/>
          <w:highlight w:val="none"/>
        </w:rPr>
        <w:t>GB11968—2006标准对产品的分拣进行监督管理，判明合格品、废次品并作标识，严把质量关。有异常情况及时向上报告。</w:t>
      </w:r>
    </w:p>
    <w:p>
      <w:pPr>
        <w:spacing w:line="360" w:lineRule="auto"/>
        <w:ind w:firstLine="420" w:firstLineChars="200"/>
        <w:rPr>
          <w:rFonts w:asciiTheme="minorEastAsia" w:hAnsiTheme="minorEastAsia" w:eastAsiaTheme="minorEastAsia"/>
          <w:szCs w:val="21"/>
          <w:highlight w:val="none"/>
        </w:rPr>
      </w:pPr>
      <w:r>
        <w:rPr>
          <w:rFonts w:hint="eastAsia" w:cs="宋体" w:asciiTheme="minorEastAsia" w:hAnsiTheme="minorEastAsia" w:eastAsiaTheme="minorEastAsia"/>
          <w:color w:val="000000"/>
          <w:kern w:val="0"/>
          <w:szCs w:val="21"/>
          <w:highlight w:val="none"/>
        </w:rPr>
        <w:t>5</w:t>
      </w:r>
      <w:r>
        <w:rPr>
          <w:rFonts w:cs="宋体" w:asciiTheme="minorEastAsia" w:hAnsiTheme="minorEastAsia" w:eastAsiaTheme="minorEastAsia"/>
          <w:color w:val="000000"/>
          <w:kern w:val="0"/>
          <w:szCs w:val="21"/>
          <w:highlight w:val="none"/>
        </w:rPr>
        <w:t xml:space="preserve">.3 </w:t>
      </w:r>
      <w:r>
        <w:rPr>
          <w:rFonts w:hint="eastAsia" w:cs="宋体" w:asciiTheme="minorEastAsia" w:hAnsiTheme="minorEastAsia" w:eastAsiaTheme="minorEastAsia"/>
          <w:color w:val="000000"/>
          <w:kern w:val="0"/>
          <w:szCs w:val="21"/>
          <w:highlight w:val="none"/>
        </w:rPr>
        <w:t>负责监督木托板使用情况，负责</w:t>
      </w:r>
      <w:r>
        <w:rPr>
          <w:rFonts w:hint="eastAsia" w:asciiTheme="minorEastAsia" w:hAnsiTheme="minorEastAsia" w:eastAsiaTheme="minorEastAsia"/>
          <w:szCs w:val="21"/>
          <w:highlight w:val="none"/>
        </w:rPr>
        <w:t>喷码机的操作和使用，按规定进行保养及报修。</w:t>
      </w:r>
    </w:p>
    <w:p>
      <w:pPr>
        <w:spacing w:line="360" w:lineRule="auto"/>
        <w:ind w:firstLine="420" w:firstLineChars="200"/>
        <w:jc w:val="left"/>
        <w:rPr>
          <w:rFonts w:cs="宋体" w:asciiTheme="minorEastAsia" w:hAnsiTheme="minorEastAsia" w:eastAsiaTheme="minorEastAsia"/>
          <w:color w:val="000000"/>
          <w:kern w:val="0"/>
          <w:szCs w:val="21"/>
          <w:highlight w:val="none"/>
        </w:rPr>
      </w:pPr>
      <w:r>
        <w:rPr>
          <w:rFonts w:hint="eastAsia" w:asciiTheme="minorEastAsia" w:hAnsiTheme="minorEastAsia" w:eastAsiaTheme="minorEastAsia"/>
          <w:szCs w:val="21"/>
          <w:highlight w:val="none"/>
        </w:rPr>
        <w:t>5</w:t>
      </w:r>
      <w:r>
        <w:rPr>
          <w:rFonts w:asciiTheme="minorEastAsia" w:hAnsiTheme="minorEastAsia" w:eastAsiaTheme="minorEastAsia"/>
          <w:szCs w:val="21"/>
          <w:highlight w:val="none"/>
        </w:rPr>
        <w:t xml:space="preserve">.4 </w:t>
      </w:r>
      <w:r>
        <w:rPr>
          <w:rFonts w:hint="eastAsia" w:asciiTheme="minorEastAsia" w:hAnsiTheme="minorEastAsia" w:eastAsiaTheme="minorEastAsia"/>
          <w:szCs w:val="21"/>
          <w:highlight w:val="none"/>
        </w:rPr>
        <w:t>按甲方要求做好成品质量的记录统计工作，做好本业务范围的卫生及相关的记录工作。</w:t>
      </w:r>
    </w:p>
    <w:p>
      <w:pPr>
        <w:spacing w:line="360" w:lineRule="auto"/>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5</w:t>
      </w:r>
      <w:r>
        <w:rPr>
          <w:rFonts w:asciiTheme="minorEastAsia" w:hAnsiTheme="minorEastAsia" w:eastAsiaTheme="minorEastAsia"/>
          <w:szCs w:val="21"/>
          <w:highlight w:val="none"/>
        </w:rPr>
        <w:t xml:space="preserve">.5 </w:t>
      </w:r>
      <w:r>
        <w:rPr>
          <w:rFonts w:hint="eastAsia" w:asciiTheme="minorEastAsia" w:hAnsiTheme="minorEastAsia" w:eastAsiaTheme="minorEastAsia"/>
          <w:szCs w:val="21"/>
          <w:highlight w:val="none"/>
        </w:rPr>
        <w:t>每天需检查、监督分拣的成品约</w:t>
      </w:r>
      <w:r>
        <w:rPr>
          <w:rFonts w:asciiTheme="minorEastAsia" w:hAnsiTheme="minorEastAsia" w:eastAsiaTheme="minorEastAsia"/>
          <w:szCs w:val="21"/>
          <w:highlight w:val="none"/>
        </w:rPr>
        <w:t>800-1500方，建议本辅助业务人员至少2人以上。</w:t>
      </w:r>
    </w:p>
    <w:p>
      <w:pPr>
        <w:spacing w:line="360" w:lineRule="auto"/>
        <w:jc w:val="left"/>
        <w:rPr>
          <w:rFonts w:cs="宋体" w:asciiTheme="minorEastAsia" w:hAnsiTheme="minorEastAsia" w:eastAsiaTheme="minorEastAsia"/>
          <w:b/>
          <w:color w:val="000000"/>
          <w:kern w:val="0"/>
          <w:szCs w:val="21"/>
          <w:highlight w:val="none"/>
        </w:rPr>
      </w:pPr>
      <w:r>
        <w:rPr>
          <w:rFonts w:hint="eastAsia" w:cs="宋体" w:asciiTheme="minorEastAsia" w:hAnsiTheme="minorEastAsia" w:eastAsiaTheme="minorEastAsia"/>
          <w:b/>
          <w:color w:val="000000"/>
          <w:kern w:val="0"/>
          <w:szCs w:val="21"/>
          <w:highlight w:val="none"/>
        </w:rPr>
        <w:t>6锯场辅助业务的主要工作内容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Theme="minorEastAsia" w:hAnsiTheme="minorEastAsia" w:eastAsiaTheme="minorEastAsia"/>
          <w:szCs w:val="21"/>
          <w:highlight w:val="none"/>
        </w:rPr>
      </w:pPr>
      <w:r>
        <w:rPr>
          <w:rFonts w:hint="eastAsia" w:cs="宋体" w:asciiTheme="minorEastAsia" w:hAnsiTheme="minorEastAsia" w:eastAsiaTheme="minorEastAsia"/>
          <w:color w:val="000000"/>
          <w:kern w:val="0"/>
          <w:szCs w:val="21"/>
          <w:highlight w:val="none"/>
        </w:rPr>
        <w:t>6</w:t>
      </w:r>
      <w:r>
        <w:rPr>
          <w:rFonts w:cs="宋体" w:asciiTheme="minorEastAsia" w:hAnsiTheme="minorEastAsia" w:eastAsiaTheme="minorEastAsia"/>
          <w:color w:val="000000"/>
          <w:kern w:val="0"/>
          <w:szCs w:val="21"/>
          <w:highlight w:val="none"/>
        </w:rPr>
        <w:t xml:space="preserve">.1 </w:t>
      </w:r>
      <w:r>
        <w:rPr>
          <w:rFonts w:hint="eastAsia" w:asciiTheme="minorEastAsia" w:hAnsiTheme="minorEastAsia" w:eastAsiaTheme="minorEastAsia"/>
          <w:szCs w:val="21"/>
          <w:highlight w:val="none"/>
        </w:rPr>
        <w:t>负责按国际</w:t>
      </w:r>
      <w:r>
        <w:rPr>
          <w:rFonts w:asciiTheme="minorEastAsia" w:hAnsiTheme="minorEastAsia" w:eastAsiaTheme="minorEastAsia"/>
          <w:szCs w:val="21"/>
          <w:highlight w:val="none"/>
        </w:rPr>
        <w:t>GB/T 11969-2008要求取样、制作生产</w:t>
      </w:r>
      <w:r>
        <w:rPr>
          <w:rFonts w:hint="eastAsia" w:asciiTheme="minorEastAsia" w:hAnsiTheme="minorEastAsia" w:eastAsiaTheme="minorEastAsia"/>
          <w:szCs w:val="21"/>
          <w:highlight w:val="none"/>
        </w:rPr>
        <w:t>所</w:t>
      </w:r>
      <w:r>
        <w:rPr>
          <w:rFonts w:asciiTheme="minorEastAsia" w:hAnsiTheme="minorEastAsia" w:eastAsiaTheme="minorEastAsia"/>
          <w:szCs w:val="21"/>
          <w:highlight w:val="none"/>
        </w:rPr>
        <w:t>需试件</w:t>
      </w:r>
      <w:r>
        <w:rPr>
          <w:rFonts w:hint="eastAsia" w:asciiTheme="minorEastAsia" w:hAnsiTheme="minorEastAsia" w:eastAsiaTheme="minorEastAsia"/>
          <w:szCs w:val="21"/>
          <w:highlight w:val="none"/>
        </w:rPr>
        <w:t>，并送件到质检室。</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7</w:t>
      </w:r>
      <w:r>
        <w:rPr>
          <w:rFonts w:asciiTheme="minorEastAsia" w:hAnsiTheme="minorEastAsia" w:eastAsiaTheme="minorEastAsia"/>
          <w:szCs w:val="21"/>
          <w:highlight w:val="none"/>
        </w:rPr>
        <w:t xml:space="preserve">.2 </w:t>
      </w:r>
      <w:r>
        <w:rPr>
          <w:rFonts w:hint="eastAsia" w:asciiTheme="minorEastAsia" w:hAnsiTheme="minorEastAsia" w:eastAsiaTheme="minorEastAsia"/>
          <w:szCs w:val="21"/>
          <w:highlight w:val="none"/>
        </w:rPr>
        <w:t>负责按国际</w:t>
      </w:r>
      <w:r>
        <w:rPr>
          <w:rFonts w:asciiTheme="minorEastAsia" w:hAnsiTheme="minorEastAsia" w:eastAsiaTheme="minorEastAsia"/>
          <w:szCs w:val="21"/>
          <w:highlight w:val="none"/>
        </w:rPr>
        <w:t>GB/T 11969-2008要求取样、制作</w:t>
      </w:r>
      <w:r>
        <w:rPr>
          <w:rFonts w:hint="eastAsia" w:asciiTheme="minorEastAsia" w:hAnsiTheme="minorEastAsia" w:eastAsiaTheme="minorEastAsia"/>
          <w:szCs w:val="21"/>
          <w:highlight w:val="none"/>
        </w:rPr>
        <w:t>销售用</w:t>
      </w:r>
      <w:r>
        <w:rPr>
          <w:rFonts w:asciiTheme="minorEastAsia" w:hAnsiTheme="minorEastAsia" w:eastAsiaTheme="minorEastAsia"/>
          <w:szCs w:val="21"/>
          <w:highlight w:val="none"/>
        </w:rPr>
        <w:t>试压件和导热系数</w:t>
      </w:r>
      <w:r>
        <w:rPr>
          <w:rFonts w:hint="eastAsia" w:asciiTheme="minorEastAsia" w:hAnsiTheme="minorEastAsia" w:eastAsiaTheme="minorEastAsia"/>
          <w:szCs w:val="21"/>
          <w:highlight w:val="none"/>
        </w:rPr>
        <w:t>，并送到质检室，满足业务需要最低库存量。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6</w:t>
      </w:r>
      <w:r>
        <w:rPr>
          <w:rFonts w:asciiTheme="minorEastAsia" w:hAnsiTheme="minorEastAsia" w:eastAsiaTheme="minorEastAsia"/>
          <w:szCs w:val="21"/>
          <w:highlight w:val="none"/>
        </w:rPr>
        <w:t xml:space="preserve">.3 </w:t>
      </w:r>
      <w:r>
        <w:rPr>
          <w:rFonts w:hint="eastAsia" w:asciiTheme="minorEastAsia" w:hAnsiTheme="minorEastAsia" w:eastAsiaTheme="minorEastAsia"/>
          <w:szCs w:val="21"/>
          <w:highlight w:val="none"/>
        </w:rPr>
        <w:t>负责</w:t>
      </w:r>
      <w:r>
        <w:rPr>
          <w:rFonts w:asciiTheme="minorEastAsia" w:hAnsiTheme="minorEastAsia" w:eastAsiaTheme="minorEastAsia"/>
          <w:szCs w:val="21"/>
          <w:highlight w:val="none"/>
        </w:rPr>
        <w:t>试压件</w:t>
      </w:r>
      <w:r>
        <w:rPr>
          <w:rFonts w:hint="eastAsia" w:asciiTheme="minorEastAsia" w:hAnsiTheme="minorEastAsia" w:eastAsiaTheme="minorEastAsia"/>
          <w:szCs w:val="21"/>
          <w:highlight w:val="none"/>
        </w:rPr>
        <w:t>的</w:t>
      </w:r>
      <w:r>
        <w:rPr>
          <w:rFonts w:asciiTheme="minorEastAsia" w:hAnsiTheme="minorEastAsia" w:eastAsiaTheme="minorEastAsia"/>
          <w:szCs w:val="21"/>
          <w:highlight w:val="none"/>
        </w:rPr>
        <w:t>成品管理</w:t>
      </w:r>
      <w:r>
        <w:rPr>
          <w:rFonts w:hint="eastAsia" w:asciiTheme="minorEastAsia" w:hAnsiTheme="minorEastAsia" w:eastAsiaTheme="minorEastAsia"/>
          <w:szCs w:val="21"/>
          <w:highlight w:val="none"/>
        </w:rPr>
        <w:t>工作</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做好标识，防雨措施，并受到</w:t>
      </w:r>
      <w:r>
        <w:rPr>
          <w:rFonts w:asciiTheme="minorEastAsia" w:hAnsiTheme="minorEastAsia" w:eastAsiaTheme="minorEastAsia"/>
          <w:szCs w:val="21"/>
          <w:highlight w:val="none"/>
        </w:rPr>
        <w:t>甲方监督</w:t>
      </w:r>
      <w:r>
        <w:rPr>
          <w:rFonts w:hint="eastAsia" w:asciiTheme="minorEastAsia" w:hAnsiTheme="minorEastAsia" w:eastAsiaTheme="minorEastAsia"/>
          <w:szCs w:val="21"/>
          <w:highlight w:val="none"/>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6</w:t>
      </w:r>
      <w:r>
        <w:rPr>
          <w:rFonts w:asciiTheme="minorEastAsia" w:hAnsiTheme="minorEastAsia" w:eastAsiaTheme="minorEastAsia"/>
          <w:szCs w:val="21"/>
          <w:highlight w:val="none"/>
        </w:rPr>
        <w:t xml:space="preserve">.4 </w:t>
      </w:r>
      <w:r>
        <w:rPr>
          <w:rFonts w:hint="eastAsia" w:asciiTheme="minorEastAsia" w:hAnsiTheme="minorEastAsia" w:eastAsiaTheme="minorEastAsia"/>
          <w:szCs w:val="21"/>
          <w:highlight w:val="none"/>
        </w:rPr>
        <w:t>负责</w:t>
      </w:r>
      <w:r>
        <w:rPr>
          <w:rFonts w:asciiTheme="minorEastAsia" w:hAnsiTheme="minorEastAsia" w:eastAsiaTheme="minorEastAsia"/>
          <w:szCs w:val="21"/>
          <w:highlight w:val="none"/>
        </w:rPr>
        <w:t>设备</w:t>
      </w:r>
      <w:r>
        <w:rPr>
          <w:rFonts w:hint="eastAsia" w:asciiTheme="minorEastAsia" w:hAnsiTheme="minorEastAsia" w:eastAsiaTheme="minorEastAsia"/>
          <w:szCs w:val="21"/>
          <w:highlight w:val="none"/>
        </w:rPr>
        <w:t>清洁保养及设备报障工作，并遵守甲方有关安健环的管理要求。</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6</w:t>
      </w:r>
      <w:r>
        <w:rPr>
          <w:rFonts w:asciiTheme="minorEastAsia" w:hAnsiTheme="minorEastAsia" w:eastAsiaTheme="minorEastAsia"/>
          <w:szCs w:val="21"/>
          <w:highlight w:val="none"/>
        </w:rPr>
        <w:t xml:space="preserve">.5 </w:t>
      </w:r>
      <w:r>
        <w:rPr>
          <w:rFonts w:hint="eastAsia" w:asciiTheme="minorEastAsia" w:hAnsiTheme="minorEastAsia" w:eastAsiaTheme="minorEastAsia"/>
          <w:szCs w:val="21"/>
          <w:highlight w:val="none"/>
        </w:rPr>
        <w:t>建议本辅助业务人员</w:t>
      </w:r>
      <w:r>
        <w:rPr>
          <w:rFonts w:asciiTheme="minorEastAsia" w:hAnsiTheme="minorEastAsia" w:eastAsiaTheme="minorEastAsia"/>
          <w:szCs w:val="21"/>
          <w:highlight w:val="none"/>
        </w:rPr>
        <w:t>1人。</w:t>
      </w:r>
    </w:p>
    <w:p>
      <w:pPr>
        <w:spacing w:line="360" w:lineRule="auto"/>
        <w:ind w:firstLine="422" w:firstLineChars="200"/>
        <w:rPr>
          <w:rFonts w:ascii="宋体" w:hAnsi="宋体" w:cs="仿宋_GB2312"/>
          <w:b/>
          <w:bCs/>
          <w:szCs w:val="21"/>
          <w:highlight w:val="none"/>
        </w:rPr>
      </w:pPr>
      <w:r>
        <w:rPr>
          <w:rFonts w:hint="eastAsia" w:asciiTheme="minorEastAsia" w:hAnsiTheme="minorEastAsia" w:eastAsiaTheme="minorEastAsia"/>
          <w:b/>
          <w:szCs w:val="21"/>
          <w:highlight w:val="none"/>
        </w:rPr>
        <w:t>7</w:t>
      </w:r>
      <w:r>
        <w:rPr>
          <w:rFonts w:hint="eastAsia" w:ascii="宋体" w:hAnsi="宋体" w:cs="仿宋_GB2312"/>
          <w:b/>
          <w:bCs/>
          <w:szCs w:val="21"/>
          <w:highlight w:val="none"/>
        </w:rPr>
        <w:t>设备检修辅助业务</w:t>
      </w:r>
    </w:p>
    <w:p>
      <w:pPr>
        <w:spacing w:line="360" w:lineRule="auto"/>
        <w:ind w:firstLine="422" w:firstLineChars="200"/>
        <w:rPr>
          <w:rFonts w:ascii="Calibri" w:hAnsi="Calibri" w:cs="Calibri"/>
          <w:color w:val="000000"/>
          <w:kern w:val="0"/>
          <w:szCs w:val="21"/>
          <w:highlight w:val="none"/>
        </w:rPr>
      </w:pPr>
      <w:r>
        <w:rPr>
          <w:rFonts w:hint="eastAsia" w:ascii="宋体" w:hAnsi="宋体" w:cs="仿宋_GB2312"/>
          <w:b/>
          <w:bCs/>
          <w:szCs w:val="21"/>
          <w:highlight w:val="none"/>
        </w:rPr>
        <w:t>7</w:t>
      </w:r>
      <w:r>
        <w:rPr>
          <w:rFonts w:ascii="宋体" w:hAnsi="宋体" w:cs="仿宋_GB2312"/>
          <w:b/>
          <w:bCs/>
          <w:szCs w:val="21"/>
          <w:highlight w:val="none"/>
        </w:rPr>
        <w:t xml:space="preserve">.1 </w:t>
      </w:r>
      <w:r>
        <w:rPr>
          <w:rFonts w:hint="eastAsia" w:ascii="Calibri" w:hAnsi="Calibri" w:cs="Calibri"/>
          <w:color w:val="000000"/>
          <w:kern w:val="0"/>
          <w:szCs w:val="21"/>
          <w:highlight w:val="none"/>
        </w:rPr>
        <w:t>机务工作：与甲方人员一起执行加气生产线、脱硫系统、分选系统、恒益电厂灰库、排渣系统的机械维修（包括保养、日常检修、应急抢修、安全整改、停产检修）、技术改造工作。</w:t>
      </w:r>
    </w:p>
    <w:p>
      <w:pPr>
        <w:spacing w:line="360" w:lineRule="auto"/>
        <w:ind w:firstLine="420" w:firstLineChars="200"/>
        <w:rPr>
          <w:rFonts w:ascii="Calibri" w:hAnsi="Calibri" w:cs="Calibri"/>
          <w:color w:val="000000"/>
          <w:kern w:val="0"/>
          <w:szCs w:val="21"/>
          <w:highlight w:val="none"/>
        </w:rPr>
      </w:pPr>
      <w:r>
        <w:rPr>
          <w:rFonts w:hint="eastAsia" w:ascii="Calibri" w:hAnsi="Calibri" w:cs="Calibri"/>
          <w:color w:val="000000"/>
          <w:kern w:val="0"/>
          <w:szCs w:val="21"/>
          <w:highlight w:val="none"/>
        </w:rPr>
        <w:t>7</w:t>
      </w:r>
      <w:r>
        <w:rPr>
          <w:rFonts w:ascii="Calibri" w:hAnsi="Calibri" w:cs="Calibri"/>
          <w:color w:val="000000"/>
          <w:kern w:val="0"/>
          <w:szCs w:val="21"/>
          <w:highlight w:val="none"/>
        </w:rPr>
        <w:t xml:space="preserve">.2 </w:t>
      </w:r>
      <w:r>
        <w:rPr>
          <w:rFonts w:hint="eastAsia" w:ascii="Calibri" w:hAnsi="Calibri" w:cs="Calibri"/>
          <w:color w:val="000000"/>
          <w:kern w:val="0"/>
          <w:szCs w:val="21"/>
          <w:highlight w:val="none"/>
        </w:rPr>
        <w:t>电气工作：负责周一至周五</w:t>
      </w:r>
      <w:r>
        <w:rPr>
          <w:rFonts w:ascii="Calibri" w:hAnsi="Calibri" w:cs="Calibri"/>
          <w:color w:val="000000"/>
          <w:kern w:val="0"/>
          <w:szCs w:val="21"/>
          <w:highlight w:val="none"/>
        </w:rPr>
        <w:t>16</w:t>
      </w:r>
      <w:r>
        <w:rPr>
          <w:rFonts w:hint="eastAsia" w:ascii="Calibri" w:hAnsi="Calibri" w:cs="Calibri"/>
          <w:color w:val="000000"/>
          <w:kern w:val="0"/>
          <w:szCs w:val="21"/>
          <w:highlight w:val="none"/>
        </w:rPr>
        <w:t>：</w:t>
      </w:r>
      <w:r>
        <w:rPr>
          <w:rFonts w:ascii="Calibri" w:hAnsi="Calibri" w:cs="Calibri"/>
          <w:color w:val="000000"/>
          <w:kern w:val="0"/>
          <w:szCs w:val="21"/>
          <w:highlight w:val="none"/>
        </w:rPr>
        <w:t>30</w:t>
      </w:r>
      <w:r>
        <w:rPr>
          <w:rFonts w:hint="eastAsia" w:ascii="Calibri" w:hAnsi="Calibri" w:cs="Calibri"/>
          <w:color w:val="000000"/>
          <w:kern w:val="0"/>
          <w:szCs w:val="21"/>
          <w:highlight w:val="none"/>
        </w:rPr>
        <w:t>至第二天早上</w:t>
      </w:r>
      <w:r>
        <w:rPr>
          <w:rFonts w:ascii="Calibri" w:hAnsi="Calibri" w:cs="Calibri"/>
          <w:color w:val="000000"/>
          <w:kern w:val="0"/>
          <w:szCs w:val="21"/>
          <w:highlight w:val="none"/>
        </w:rPr>
        <w:t>8</w:t>
      </w:r>
      <w:r>
        <w:rPr>
          <w:rFonts w:hint="eastAsia" w:ascii="Calibri" w:hAnsi="Calibri" w:cs="Calibri"/>
          <w:color w:val="000000"/>
          <w:kern w:val="0"/>
          <w:szCs w:val="21"/>
          <w:highlight w:val="none"/>
        </w:rPr>
        <w:t>：</w:t>
      </w:r>
      <w:r>
        <w:rPr>
          <w:rFonts w:ascii="Calibri" w:hAnsi="Calibri" w:cs="Calibri"/>
          <w:color w:val="000000"/>
          <w:kern w:val="0"/>
          <w:szCs w:val="21"/>
          <w:highlight w:val="none"/>
        </w:rPr>
        <w:t>30</w:t>
      </w:r>
      <w:r>
        <w:rPr>
          <w:rFonts w:hint="eastAsia" w:ascii="Calibri" w:hAnsi="Calibri" w:cs="Calibri"/>
          <w:color w:val="000000"/>
          <w:kern w:val="0"/>
          <w:szCs w:val="21"/>
          <w:highlight w:val="none"/>
        </w:rPr>
        <w:t>；周六日及法定节假日</w:t>
      </w:r>
      <w:r>
        <w:rPr>
          <w:rFonts w:ascii="Calibri" w:hAnsi="Calibri" w:cs="Calibri"/>
          <w:color w:val="000000"/>
          <w:kern w:val="0"/>
          <w:szCs w:val="21"/>
          <w:highlight w:val="none"/>
        </w:rPr>
        <w:t>24</w:t>
      </w:r>
      <w:r>
        <w:rPr>
          <w:rFonts w:hint="eastAsia" w:ascii="Calibri" w:hAnsi="Calibri" w:cs="Calibri"/>
          <w:color w:val="000000"/>
          <w:kern w:val="0"/>
          <w:szCs w:val="21"/>
          <w:highlight w:val="none"/>
        </w:rPr>
        <w:t>小时值班；周一至周五</w:t>
      </w:r>
      <w:r>
        <w:rPr>
          <w:rFonts w:ascii="Calibri" w:hAnsi="Calibri" w:cs="Calibri"/>
          <w:color w:val="000000"/>
          <w:kern w:val="0"/>
          <w:szCs w:val="21"/>
          <w:highlight w:val="none"/>
        </w:rPr>
        <w:t>8</w:t>
      </w:r>
      <w:r>
        <w:rPr>
          <w:rFonts w:hint="eastAsia" w:ascii="Calibri" w:hAnsi="Calibri" w:cs="Calibri"/>
          <w:color w:val="000000"/>
          <w:kern w:val="0"/>
          <w:szCs w:val="21"/>
          <w:highlight w:val="none"/>
        </w:rPr>
        <w:t>：</w:t>
      </w:r>
      <w:r>
        <w:rPr>
          <w:rFonts w:ascii="Calibri" w:hAnsi="Calibri" w:cs="Calibri"/>
          <w:color w:val="000000"/>
          <w:kern w:val="0"/>
          <w:szCs w:val="21"/>
          <w:highlight w:val="none"/>
        </w:rPr>
        <w:t>30</w:t>
      </w:r>
      <w:r>
        <w:rPr>
          <w:rFonts w:hint="eastAsia" w:ascii="Calibri" w:hAnsi="Calibri" w:cs="Calibri"/>
          <w:color w:val="000000"/>
          <w:kern w:val="0"/>
          <w:szCs w:val="21"/>
          <w:highlight w:val="none"/>
        </w:rPr>
        <w:t>至</w:t>
      </w:r>
      <w:r>
        <w:rPr>
          <w:rFonts w:ascii="Calibri" w:hAnsi="Calibri" w:cs="Calibri"/>
          <w:color w:val="000000"/>
          <w:kern w:val="0"/>
          <w:szCs w:val="21"/>
          <w:highlight w:val="none"/>
        </w:rPr>
        <w:t>16</w:t>
      </w:r>
      <w:r>
        <w:rPr>
          <w:rFonts w:hint="eastAsia" w:ascii="Calibri" w:hAnsi="Calibri" w:cs="Calibri"/>
          <w:color w:val="000000"/>
          <w:kern w:val="0"/>
          <w:szCs w:val="21"/>
          <w:highlight w:val="none"/>
        </w:rPr>
        <w:t>：</w:t>
      </w:r>
      <w:r>
        <w:rPr>
          <w:rFonts w:ascii="Calibri" w:hAnsi="Calibri" w:cs="Calibri"/>
          <w:color w:val="000000"/>
          <w:kern w:val="0"/>
          <w:szCs w:val="21"/>
          <w:highlight w:val="none"/>
        </w:rPr>
        <w:t>30</w:t>
      </w:r>
      <w:r>
        <w:rPr>
          <w:rFonts w:hint="eastAsia" w:ascii="Calibri" w:hAnsi="Calibri" w:cs="Calibri"/>
          <w:color w:val="000000"/>
          <w:kern w:val="0"/>
          <w:szCs w:val="21"/>
          <w:highlight w:val="none"/>
        </w:rPr>
        <w:t>至少</w:t>
      </w:r>
      <w:r>
        <w:rPr>
          <w:rFonts w:ascii="Calibri" w:hAnsi="Calibri" w:cs="Calibri"/>
          <w:color w:val="000000"/>
          <w:kern w:val="0"/>
          <w:szCs w:val="21"/>
          <w:highlight w:val="none"/>
        </w:rPr>
        <w:t>1</w:t>
      </w:r>
      <w:r>
        <w:rPr>
          <w:rFonts w:hint="eastAsia" w:ascii="Calibri" w:hAnsi="Calibri" w:cs="Calibri"/>
          <w:color w:val="000000"/>
          <w:kern w:val="0"/>
          <w:szCs w:val="21"/>
          <w:highlight w:val="none"/>
        </w:rPr>
        <w:t>人协助甲方工作人员执行加气生产线、脱硫系统、分选系统、恒益电厂灰库、排渣系统的电气维修（包括保养、日常检修、应急抢修、安全整改、停产检修）、技术改造工作。</w:t>
      </w:r>
    </w:p>
    <w:p>
      <w:pPr>
        <w:spacing w:line="360" w:lineRule="auto"/>
        <w:ind w:firstLine="420" w:firstLineChars="200"/>
        <w:rPr>
          <w:rFonts w:asciiTheme="minorEastAsia" w:hAnsiTheme="minorEastAsia" w:eastAsiaTheme="minorEastAsia"/>
          <w:szCs w:val="21"/>
          <w:highlight w:val="none"/>
        </w:rPr>
      </w:pPr>
      <w:r>
        <w:rPr>
          <w:rFonts w:hint="eastAsia" w:cs="Calibri" w:asciiTheme="minorEastAsia" w:hAnsiTheme="minorEastAsia" w:eastAsiaTheme="minorEastAsia"/>
          <w:color w:val="000000"/>
          <w:kern w:val="0"/>
          <w:szCs w:val="21"/>
          <w:highlight w:val="none"/>
        </w:rPr>
        <w:t>7</w:t>
      </w:r>
      <w:r>
        <w:rPr>
          <w:rFonts w:cs="Calibri" w:asciiTheme="minorEastAsia" w:hAnsiTheme="minorEastAsia" w:eastAsiaTheme="minorEastAsia"/>
          <w:color w:val="000000"/>
          <w:kern w:val="0"/>
          <w:szCs w:val="21"/>
          <w:highlight w:val="none"/>
        </w:rPr>
        <w:t xml:space="preserve">.3 </w:t>
      </w:r>
      <w:r>
        <w:rPr>
          <w:rFonts w:hint="eastAsia" w:cs="Calibri" w:asciiTheme="minorEastAsia" w:hAnsiTheme="minorEastAsia" w:eastAsiaTheme="minorEastAsia"/>
          <w:color w:val="000000"/>
          <w:kern w:val="0"/>
          <w:szCs w:val="21"/>
          <w:highlight w:val="none"/>
        </w:rPr>
        <w:t>建议</w:t>
      </w:r>
      <w:r>
        <w:rPr>
          <w:rFonts w:hint="eastAsia" w:asciiTheme="minorEastAsia" w:hAnsiTheme="minorEastAsia" w:eastAsiaTheme="minorEastAsia"/>
          <w:szCs w:val="21"/>
          <w:highlight w:val="none"/>
        </w:rPr>
        <w:t>机务检修人员</w:t>
      </w:r>
      <w:r>
        <w:rPr>
          <w:rFonts w:asciiTheme="minorEastAsia" w:hAnsiTheme="minorEastAsia" w:eastAsiaTheme="minorEastAsia"/>
          <w:szCs w:val="21"/>
          <w:highlight w:val="none"/>
        </w:rPr>
        <w:t>2人，须具有2年以上设备维修经验且熟悉机务检修工作，其中持有效焊工证的不少于2人，焊工人员熟悉各种环境下作业，有一定焊接水平。45岁以下，男性，吃苦耐劳，身体健康，具备高空、高温作业的身体素质。</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7</w:t>
      </w:r>
      <w:r>
        <w:rPr>
          <w:rFonts w:asciiTheme="minorEastAsia" w:hAnsiTheme="minorEastAsia" w:eastAsiaTheme="minorEastAsia"/>
          <w:szCs w:val="21"/>
          <w:highlight w:val="none"/>
        </w:rPr>
        <w:t>.4</w:t>
      </w:r>
      <w:r>
        <w:rPr>
          <w:rFonts w:hint="eastAsia" w:asciiTheme="minorEastAsia" w:hAnsiTheme="minorEastAsia" w:eastAsiaTheme="minorEastAsia"/>
          <w:szCs w:val="21"/>
          <w:highlight w:val="none"/>
        </w:rPr>
        <w:t>建议</w:t>
      </w:r>
      <w:r>
        <w:rPr>
          <w:rFonts w:hint="eastAsia" w:cs="Calibri" w:asciiTheme="minorEastAsia" w:hAnsiTheme="minorEastAsia" w:eastAsiaTheme="minorEastAsia"/>
          <w:kern w:val="0"/>
          <w:szCs w:val="21"/>
          <w:highlight w:val="none"/>
        </w:rPr>
        <w:t>电气检修人员</w:t>
      </w:r>
      <w:r>
        <w:rPr>
          <w:rFonts w:cs="Calibri" w:asciiTheme="minorEastAsia" w:hAnsiTheme="minorEastAsia" w:eastAsiaTheme="minorEastAsia"/>
          <w:kern w:val="0"/>
          <w:szCs w:val="21"/>
          <w:highlight w:val="none"/>
        </w:rPr>
        <w:t>4</w:t>
      </w:r>
      <w:r>
        <w:rPr>
          <w:rFonts w:hint="eastAsia" w:cs="Calibri" w:asciiTheme="minorEastAsia" w:hAnsiTheme="minorEastAsia" w:eastAsiaTheme="minorEastAsia"/>
          <w:kern w:val="0"/>
          <w:szCs w:val="21"/>
          <w:highlight w:val="none"/>
        </w:rPr>
        <w:t>人，须</w:t>
      </w:r>
      <w:r>
        <w:rPr>
          <w:rFonts w:hint="eastAsia" w:asciiTheme="minorEastAsia" w:hAnsiTheme="minorEastAsia" w:eastAsiaTheme="minorEastAsia"/>
          <w:szCs w:val="21"/>
          <w:highlight w:val="none"/>
        </w:rPr>
        <w:t>具有</w:t>
      </w:r>
      <w:r>
        <w:rPr>
          <w:rFonts w:asciiTheme="minorEastAsia" w:hAnsiTheme="minorEastAsia" w:eastAsiaTheme="minorEastAsia"/>
          <w:szCs w:val="21"/>
          <w:highlight w:val="none"/>
        </w:rPr>
        <w:t>3年以上电气维修经验且熟悉电气检修工作，持电气维修</w:t>
      </w:r>
      <w:r>
        <w:rPr>
          <w:rFonts w:hint="eastAsia" w:asciiTheme="minorEastAsia" w:hAnsiTheme="minorEastAsia" w:eastAsiaTheme="minorEastAsia"/>
          <w:szCs w:val="21"/>
          <w:highlight w:val="none"/>
        </w:rPr>
        <w:t>作业上岗证，熟悉常规动力、照明设备维修；了解常用开关、仪表、</w:t>
      </w:r>
      <w:r>
        <w:rPr>
          <w:rFonts w:asciiTheme="minorEastAsia" w:hAnsiTheme="minorEastAsia" w:eastAsiaTheme="minorEastAsia"/>
          <w:szCs w:val="21"/>
          <w:highlight w:val="none"/>
        </w:rPr>
        <w:t>PLC、变频器工作原理。50岁以下，身体健康，具备高空、高温作业的身体素质。需要上夜班。</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7.5 除公司明确春节放假设备检修辅助业务人员可以减少配置外，其余时间机务检修人员在每天12小时内，不少于4人。</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7.6 因夜班抢修，影响第二天人员上班的，乙方需要采取增加人员或其他有效措施保证甲方正常生产。</w:t>
      </w:r>
    </w:p>
    <w:p>
      <w:pPr>
        <w:spacing w:line="360" w:lineRule="auto"/>
        <w:ind w:firstLine="420" w:firstLineChars="200"/>
        <w:rPr>
          <w:rFonts w:asciiTheme="minorEastAsia" w:hAnsiTheme="minorEastAsia" w:eastAsiaTheme="minorEastAsia"/>
          <w:szCs w:val="21"/>
          <w:highlight w:val="none"/>
        </w:rPr>
      </w:pPr>
    </w:p>
    <w:p>
      <w:pPr>
        <w:spacing w:line="360" w:lineRule="auto"/>
        <w:ind w:firstLine="420" w:firstLineChars="200"/>
        <w:rPr>
          <w:rFonts w:asciiTheme="minorEastAsia" w:hAnsiTheme="minorEastAsia" w:eastAsiaTheme="minorEastAsia"/>
          <w:szCs w:val="21"/>
          <w:highlight w:val="none"/>
        </w:rPr>
      </w:pPr>
    </w:p>
    <w:p>
      <w:pPr>
        <w:spacing w:line="360" w:lineRule="auto"/>
        <w:ind w:firstLine="420" w:firstLineChars="200"/>
        <w:rPr>
          <w:rFonts w:asciiTheme="minorEastAsia" w:hAnsiTheme="minorEastAsia" w:eastAsiaTheme="minorEastAsia"/>
          <w:szCs w:val="21"/>
          <w:highlight w:val="none"/>
        </w:rPr>
      </w:pPr>
    </w:p>
    <w:p>
      <w:pPr>
        <w:spacing w:line="360" w:lineRule="auto"/>
        <w:ind w:firstLine="420" w:firstLineChars="200"/>
        <w:rPr>
          <w:rFonts w:asciiTheme="minorEastAsia" w:hAnsiTheme="minorEastAsia" w:eastAsiaTheme="minorEastAsia"/>
          <w:szCs w:val="21"/>
          <w:highlight w:val="none"/>
        </w:rPr>
      </w:pPr>
    </w:p>
    <w:p>
      <w:pPr>
        <w:spacing w:line="360" w:lineRule="auto"/>
        <w:ind w:firstLine="420" w:firstLineChars="200"/>
        <w:rPr>
          <w:rFonts w:asciiTheme="minorEastAsia" w:hAnsiTheme="minorEastAsia" w:eastAsiaTheme="minorEastAsia"/>
          <w:szCs w:val="21"/>
          <w:highlight w:val="none"/>
        </w:rPr>
      </w:pPr>
    </w:p>
    <w:p>
      <w:pPr>
        <w:spacing w:line="360" w:lineRule="auto"/>
        <w:ind w:firstLine="420" w:firstLineChars="200"/>
        <w:rPr>
          <w:rFonts w:asciiTheme="minorEastAsia" w:hAnsiTheme="minorEastAsia" w:eastAsiaTheme="minorEastAsia"/>
          <w:szCs w:val="21"/>
          <w:highlight w:val="none"/>
        </w:rPr>
      </w:pPr>
    </w:p>
    <w:p>
      <w:pPr>
        <w:spacing w:line="360" w:lineRule="auto"/>
        <w:ind w:firstLine="420" w:firstLineChars="200"/>
        <w:rPr>
          <w:rFonts w:asciiTheme="minorEastAsia" w:hAnsiTheme="minorEastAsia" w:eastAsiaTheme="minorEastAsia"/>
          <w:szCs w:val="21"/>
          <w:highlight w:val="none"/>
        </w:rPr>
      </w:pPr>
    </w:p>
    <w:p>
      <w:pPr>
        <w:spacing w:line="360" w:lineRule="auto"/>
        <w:rPr>
          <w:rFonts w:asciiTheme="minorEastAsia" w:hAnsiTheme="minorEastAsia" w:eastAsiaTheme="minorEastAsia"/>
          <w:szCs w:val="21"/>
          <w:highlight w:val="none"/>
        </w:rPr>
      </w:pPr>
    </w:p>
    <w:p>
      <w:pPr>
        <w:ind w:firstLine="3268" w:firstLineChars="1550"/>
        <w:jc w:val="left"/>
        <w:rPr>
          <w:rFonts w:asciiTheme="minorEastAsia" w:hAnsiTheme="minorEastAsia" w:eastAsiaTheme="minorEastAsia"/>
          <w:b/>
          <w:szCs w:val="21"/>
          <w:highlight w:val="none"/>
        </w:rPr>
      </w:pPr>
    </w:p>
    <w:p>
      <w:pPr>
        <w:ind w:firstLine="3268" w:firstLineChars="1550"/>
        <w:jc w:val="left"/>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辅助业务工作量估算表</w:t>
      </w:r>
    </w:p>
    <w:tbl>
      <w:tblPr>
        <w:tblStyle w:val="42"/>
        <w:tblW w:w="8272"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1"/>
        <w:gridCol w:w="3082"/>
        <w:gridCol w:w="1588"/>
        <w:gridCol w:w="28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771" w:type="dxa"/>
            <w:vAlign w:val="center"/>
          </w:tcPr>
          <w:p>
            <w:pPr>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序号</w:t>
            </w:r>
          </w:p>
        </w:tc>
        <w:tc>
          <w:tcPr>
            <w:tcW w:w="3082" w:type="dxa"/>
          </w:tcPr>
          <w:p>
            <w:pPr>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辅助业务内容</w:t>
            </w:r>
          </w:p>
        </w:tc>
        <w:tc>
          <w:tcPr>
            <w:tcW w:w="1588"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工作量</w:t>
            </w:r>
          </w:p>
        </w:tc>
        <w:tc>
          <w:tcPr>
            <w:tcW w:w="2831"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备注（建议至少配置人员）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1</w:t>
            </w:r>
          </w:p>
        </w:tc>
        <w:tc>
          <w:tcPr>
            <w:tcW w:w="3082"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发货辅助业务</w:t>
            </w:r>
          </w:p>
        </w:tc>
        <w:tc>
          <w:tcPr>
            <w:tcW w:w="1588"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w:t>
            </w:r>
            <w:r>
              <w:rPr>
                <w:rFonts w:asciiTheme="minorEastAsia" w:hAnsiTheme="minorEastAsia" w:eastAsiaTheme="minorEastAsia"/>
                <w:szCs w:val="21"/>
                <w:highlight w:val="none"/>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2</w:t>
            </w:r>
          </w:p>
        </w:tc>
        <w:tc>
          <w:tcPr>
            <w:tcW w:w="3082" w:type="dxa"/>
            <w:vAlign w:val="center"/>
          </w:tcPr>
          <w:p>
            <w:pP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叉运辅助业务</w:t>
            </w:r>
          </w:p>
        </w:tc>
        <w:tc>
          <w:tcPr>
            <w:tcW w:w="1588" w:type="dxa"/>
            <w:vAlign w:val="center"/>
          </w:tcPr>
          <w:p>
            <w:pP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8人（负责叉车</w:t>
            </w:r>
            <w:r>
              <w:rPr>
                <w:rFonts w:hint="eastAsia" w:asciiTheme="minorEastAsia" w:hAnsiTheme="minorEastAsia" w:eastAsiaTheme="minorEastAsia"/>
                <w:szCs w:val="21"/>
                <w:highlight w:val="none"/>
              </w:rPr>
              <w:t>定期维护保养及维修工作。</w:t>
            </w:r>
            <w:r>
              <w:rPr>
                <w:rFonts w:asciiTheme="minorEastAsia" w:hAnsiTheme="minorEastAsia" w:eastAsiaTheme="minorEastAsia"/>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3</w:t>
            </w:r>
          </w:p>
        </w:tc>
        <w:tc>
          <w:tcPr>
            <w:tcW w:w="3082"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质检辅助业务（内检）</w:t>
            </w:r>
          </w:p>
        </w:tc>
        <w:tc>
          <w:tcPr>
            <w:tcW w:w="1588"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w:t>
            </w:r>
            <w:r>
              <w:rPr>
                <w:rFonts w:asciiTheme="minorEastAsia" w:hAnsiTheme="minorEastAsia" w:eastAsiaTheme="minorEastAsia"/>
                <w:szCs w:val="21"/>
                <w:highlight w:val="none"/>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4</w:t>
            </w:r>
          </w:p>
        </w:tc>
        <w:tc>
          <w:tcPr>
            <w:tcW w:w="3082"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质检辅助业务（外检）</w:t>
            </w:r>
          </w:p>
        </w:tc>
        <w:tc>
          <w:tcPr>
            <w:tcW w:w="1588"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5</w:t>
            </w:r>
          </w:p>
        </w:tc>
        <w:tc>
          <w:tcPr>
            <w:tcW w:w="3082"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锯场辅助业务</w:t>
            </w:r>
          </w:p>
        </w:tc>
        <w:tc>
          <w:tcPr>
            <w:tcW w:w="1588"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1人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6</w:t>
            </w:r>
          </w:p>
        </w:tc>
        <w:tc>
          <w:tcPr>
            <w:tcW w:w="3082"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磨房制浆辅助业务</w:t>
            </w:r>
          </w:p>
        </w:tc>
        <w:tc>
          <w:tcPr>
            <w:tcW w:w="1588"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6人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7</w:t>
            </w:r>
          </w:p>
        </w:tc>
        <w:tc>
          <w:tcPr>
            <w:tcW w:w="3082"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铝粉制浆辅助业务</w:t>
            </w:r>
          </w:p>
        </w:tc>
        <w:tc>
          <w:tcPr>
            <w:tcW w:w="1588"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8</w:t>
            </w:r>
          </w:p>
        </w:tc>
        <w:tc>
          <w:tcPr>
            <w:tcW w:w="3082"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静停辅助业务</w:t>
            </w:r>
          </w:p>
        </w:tc>
        <w:tc>
          <w:tcPr>
            <w:tcW w:w="1588"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jc w:val="left"/>
              <w:rPr>
                <w:rFonts w:asciiTheme="minorEastAsia" w:hAnsiTheme="minorEastAsia" w:eastAsiaTheme="minorEastAsia"/>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9</w:t>
            </w:r>
          </w:p>
        </w:tc>
        <w:tc>
          <w:tcPr>
            <w:tcW w:w="3082"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涂刷辅助业务</w:t>
            </w:r>
          </w:p>
        </w:tc>
        <w:tc>
          <w:tcPr>
            <w:tcW w:w="1588"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10</w:t>
            </w:r>
          </w:p>
        </w:tc>
        <w:tc>
          <w:tcPr>
            <w:tcW w:w="3082"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翻转辅助业务</w:t>
            </w:r>
          </w:p>
        </w:tc>
        <w:tc>
          <w:tcPr>
            <w:tcW w:w="1588"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11</w:t>
            </w:r>
          </w:p>
        </w:tc>
        <w:tc>
          <w:tcPr>
            <w:tcW w:w="3082"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切割辅助业务</w:t>
            </w:r>
          </w:p>
        </w:tc>
        <w:tc>
          <w:tcPr>
            <w:tcW w:w="1588"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12</w:t>
            </w:r>
          </w:p>
        </w:tc>
        <w:tc>
          <w:tcPr>
            <w:tcW w:w="3082"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地翻台辅助业务</w:t>
            </w:r>
          </w:p>
        </w:tc>
        <w:tc>
          <w:tcPr>
            <w:tcW w:w="1588"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13</w:t>
            </w:r>
          </w:p>
        </w:tc>
        <w:tc>
          <w:tcPr>
            <w:tcW w:w="3082"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蒸养辅助业务</w:t>
            </w:r>
          </w:p>
        </w:tc>
        <w:tc>
          <w:tcPr>
            <w:tcW w:w="1588"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14</w:t>
            </w:r>
          </w:p>
        </w:tc>
        <w:tc>
          <w:tcPr>
            <w:tcW w:w="3082"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半成品翻转吊运辅助业务</w:t>
            </w:r>
          </w:p>
        </w:tc>
        <w:tc>
          <w:tcPr>
            <w:tcW w:w="1588"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15</w:t>
            </w:r>
          </w:p>
        </w:tc>
        <w:tc>
          <w:tcPr>
            <w:tcW w:w="3082"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半成品切割辅助业务</w:t>
            </w:r>
          </w:p>
        </w:tc>
        <w:tc>
          <w:tcPr>
            <w:tcW w:w="1588"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16</w:t>
            </w:r>
          </w:p>
        </w:tc>
        <w:tc>
          <w:tcPr>
            <w:tcW w:w="3082"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半成品堆垛及地翻辅助业务</w:t>
            </w:r>
          </w:p>
        </w:tc>
        <w:tc>
          <w:tcPr>
            <w:tcW w:w="1588"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17</w:t>
            </w:r>
          </w:p>
        </w:tc>
        <w:tc>
          <w:tcPr>
            <w:tcW w:w="3082"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成品分垛及分掰辅助业务</w:t>
            </w:r>
          </w:p>
        </w:tc>
        <w:tc>
          <w:tcPr>
            <w:tcW w:w="1588"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18</w:t>
            </w:r>
          </w:p>
        </w:tc>
        <w:tc>
          <w:tcPr>
            <w:tcW w:w="3082"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成品夹坯吊运辅助业务</w:t>
            </w:r>
          </w:p>
        </w:tc>
        <w:tc>
          <w:tcPr>
            <w:tcW w:w="1588"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hint="eastAsia" w:ascii="宋体" w:hAnsi="宋体"/>
                <w:szCs w:val="21"/>
                <w:highlight w:val="none"/>
              </w:rPr>
              <w:t>19</w:t>
            </w:r>
          </w:p>
        </w:tc>
        <w:tc>
          <w:tcPr>
            <w:tcW w:w="3082" w:type="dxa"/>
          </w:tcPr>
          <w:p>
            <w:pPr>
              <w:jc w:val="left"/>
              <w:rPr>
                <w:rFonts w:asciiTheme="minorEastAsia" w:hAnsiTheme="minorEastAsia" w:eastAsiaTheme="minorEastAsia"/>
                <w:szCs w:val="21"/>
                <w:highlight w:val="none"/>
              </w:rPr>
            </w:pPr>
            <w:r>
              <w:rPr>
                <w:rFonts w:hint="eastAsia" w:ascii="宋体" w:hAnsi="宋体"/>
                <w:szCs w:val="21"/>
                <w:highlight w:val="none"/>
              </w:rPr>
              <w:t>产品套袋及手动打包辅助业务</w:t>
            </w:r>
          </w:p>
        </w:tc>
        <w:tc>
          <w:tcPr>
            <w:tcW w:w="1588" w:type="dxa"/>
          </w:tcPr>
          <w:p>
            <w:pPr>
              <w:jc w:val="left"/>
              <w:rPr>
                <w:rFonts w:asciiTheme="minorEastAsia" w:hAnsiTheme="minorEastAsia" w:eastAsiaTheme="minorEastAsia"/>
                <w:szCs w:val="21"/>
                <w:highlight w:val="none"/>
              </w:rPr>
            </w:pPr>
            <w:r>
              <w:rPr>
                <w:rFonts w:hint="eastAsia" w:ascii="宋体" w:hAnsi="宋体"/>
                <w:szCs w:val="21"/>
                <w:highlight w:val="none"/>
              </w:rPr>
              <w:t>一项</w:t>
            </w:r>
          </w:p>
        </w:tc>
        <w:tc>
          <w:tcPr>
            <w:tcW w:w="2831" w:type="dxa"/>
          </w:tcPr>
          <w:p>
            <w:pPr>
              <w:jc w:val="left"/>
              <w:rPr>
                <w:rFonts w:asciiTheme="minorEastAsia" w:hAnsiTheme="minorEastAsia" w:eastAsiaTheme="minorEastAsia"/>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hint="eastAsia" w:ascii="宋体" w:hAnsi="宋体"/>
                <w:szCs w:val="21"/>
                <w:highlight w:val="none"/>
              </w:rPr>
              <w:t>20</w:t>
            </w:r>
          </w:p>
        </w:tc>
        <w:tc>
          <w:tcPr>
            <w:tcW w:w="3082" w:type="dxa"/>
          </w:tcPr>
          <w:p>
            <w:pPr>
              <w:jc w:val="left"/>
              <w:rPr>
                <w:rFonts w:asciiTheme="minorEastAsia" w:hAnsiTheme="minorEastAsia" w:eastAsiaTheme="minorEastAsia"/>
                <w:szCs w:val="21"/>
                <w:highlight w:val="none"/>
              </w:rPr>
            </w:pPr>
            <w:r>
              <w:rPr>
                <w:rFonts w:hint="eastAsia" w:ascii="宋体" w:hAnsi="宋体"/>
                <w:szCs w:val="21"/>
                <w:highlight w:val="none"/>
              </w:rPr>
              <w:t>生产原材料配料及周转辅助业务</w:t>
            </w:r>
          </w:p>
        </w:tc>
        <w:tc>
          <w:tcPr>
            <w:tcW w:w="1588" w:type="dxa"/>
          </w:tcPr>
          <w:p>
            <w:pPr>
              <w:jc w:val="left"/>
              <w:rPr>
                <w:rFonts w:asciiTheme="minorEastAsia" w:hAnsiTheme="minorEastAsia" w:eastAsiaTheme="minorEastAsia"/>
                <w:szCs w:val="21"/>
                <w:highlight w:val="none"/>
              </w:rPr>
            </w:pPr>
            <w:r>
              <w:rPr>
                <w:rFonts w:hint="eastAsia" w:ascii="宋体" w:hAnsi="宋体"/>
                <w:szCs w:val="21"/>
                <w:highlight w:val="none"/>
              </w:rPr>
              <w:t>一项</w:t>
            </w:r>
          </w:p>
        </w:tc>
        <w:tc>
          <w:tcPr>
            <w:tcW w:w="2831" w:type="dxa"/>
          </w:tcPr>
          <w:p>
            <w:pPr>
              <w:jc w:val="left"/>
              <w:rPr>
                <w:rFonts w:asciiTheme="minorEastAsia" w:hAnsiTheme="minorEastAsia" w:eastAsiaTheme="minorEastAsia"/>
                <w:szCs w:val="21"/>
                <w:highlight w:val="none"/>
              </w:rPr>
            </w:pPr>
            <w:r>
              <w:rPr>
                <w:rFonts w:hint="eastAsia" w:ascii="宋体" w:hAnsi="宋体"/>
                <w:szCs w:val="21"/>
                <w:highlight w:val="none"/>
              </w:rPr>
              <w:t>2人（自配备铲车一台）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ascii="宋体" w:hAnsi="宋体"/>
                <w:szCs w:val="21"/>
                <w:highlight w:val="none"/>
              </w:rPr>
              <w:t>21</w:t>
            </w:r>
          </w:p>
        </w:tc>
        <w:tc>
          <w:tcPr>
            <w:tcW w:w="3082" w:type="dxa"/>
          </w:tcPr>
          <w:p>
            <w:pPr>
              <w:jc w:val="left"/>
              <w:rPr>
                <w:rFonts w:asciiTheme="minorEastAsia" w:hAnsiTheme="minorEastAsia" w:eastAsiaTheme="minorEastAsia"/>
                <w:szCs w:val="21"/>
                <w:highlight w:val="none"/>
              </w:rPr>
            </w:pPr>
            <w:r>
              <w:rPr>
                <w:rFonts w:hint="eastAsia" w:ascii="宋体" w:hAnsi="宋体"/>
                <w:szCs w:val="21"/>
                <w:highlight w:val="none"/>
              </w:rPr>
              <w:t>设备操作机动人员</w:t>
            </w:r>
          </w:p>
        </w:tc>
        <w:tc>
          <w:tcPr>
            <w:tcW w:w="1588" w:type="dxa"/>
          </w:tcPr>
          <w:p>
            <w:pPr>
              <w:jc w:val="left"/>
              <w:rPr>
                <w:rFonts w:asciiTheme="minorEastAsia" w:hAnsiTheme="minorEastAsia" w:eastAsiaTheme="minorEastAsia"/>
                <w:szCs w:val="21"/>
                <w:highlight w:val="none"/>
              </w:rPr>
            </w:pPr>
            <w:r>
              <w:rPr>
                <w:rFonts w:hint="eastAsia" w:ascii="宋体" w:hAnsi="宋体"/>
                <w:szCs w:val="21"/>
                <w:highlight w:val="none"/>
              </w:rPr>
              <w:t>一项</w:t>
            </w:r>
          </w:p>
        </w:tc>
        <w:tc>
          <w:tcPr>
            <w:tcW w:w="2831" w:type="dxa"/>
          </w:tcPr>
          <w:p>
            <w:pPr>
              <w:jc w:val="left"/>
              <w:rPr>
                <w:rFonts w:asciiTheme="minorEastAsia" w:hAnsiTheme="minorEastAsia" w:eastAsiaTheme="minorEastAsia"/>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22</w:t>
            </w:r>
          </w:p>
        </w:tc>
        <w:tc>
          <w:tcPr>
            <w:tcW w:w="3082"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成品分拣辅助业务</w:t>
            </w:r>
          </w:p>
        </w:tc>
        <w:tc>
          <w:tcPr>
            <w:tcW w:w="1588"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8人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23</w:t>
            </w:r>
          </w:p>
        </w:tc>
        <w:tc>
          <w:tcPr>
            <w:tcW w:w="3082"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现场管理业务</w:t>
            </w:r>
          </w:p>
        </w:tc>
        <w:tc>
          <w:tcPr>
            <w:tcW w:w="1588"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24</w:t>
            </w:r>
          </w:p>
        </w:tc>
        <w:tc>
          <w:tcPr>
            <w:tcW w:w="3082"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其它辅助业务</w:t>
            </w:r>
          </w:p>
        </w:tc>
        <w:tc>
          <w:tcPr>
            <w:tcW w:w="1588"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jc w:val="left"/>
              <w:rPr>
                <w:rFonts w:asciiTheme="minorEastAsia" w:hAnsiTheme="minorEastAsia" w:eastAsiaTheme="minorEastAsia"/>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hint="eastAsia" w:ascii="宋体" w:hAnsi="宋体"/>
                <w:szCs w:val="21"/>
                <w:highlight w:val="none"/>
              </w:rPr>
              <w:t>25</w:t>
            </w:r>
          </w:p>
        </w:tc>
        <w:tc>
          <w:tcPr>
            <w:tcW w:w="3082" w:type="dxa"/>
          </w:tcPr>
          <w:p>
            <w:pPr>
              <w:jc w:val="left"/>
              <w:rPr>
                <w:rFonts w:asciiTheme="minorEastAsia" w:hAnsiTheme="minorEastAsia" w:eastAsiaTheme="minorEastAsia"/>
                <w:szCs w:val="21"/>
                <w:highlight w:val="none"/>
              </w:rPr>
            </w:pPr>
            <w:r>
              <w:rPr>
                <w:rFonts w:hint="eastAsia" w:ascii="宋体" w:hAnsi="宋体"/>
                <w:szCs w:val="21"/>
                <w:highlight w:val="none"/>
              </w:rPr>
              <w:t>车间、道路、货场卫生业务</w:t>
            </w:r>
          </w:p>
        </w:tc>
        <w:tc>
          <w:tcPr>
            <w:tcW w:w="1588" w:type="dxa"/>
          </w:tcPr>
          <w:p>
            <w:pPr>
              <w:jc w:val="left"/>
              <w:rPr>
                <w:rFonts w:asciiTheme="minorEastAsia" w:hAnsiTheme="minorEastAsia" w:eastAsiaTheme="minorEastAsia"/>
                <w:szCs w:val="21"/>
                <w:highlight w:val="none"/>
              </w:rPr>
            </w:pPr>
            <w:r>
              <w:rPr>
                <w:rFonts w:hint="eastAsia" w:ascii="宋体" w:hAnsi="宋体"/>
                <w:szCs w:val="21"/>
                <w:highlight w:val="none"/>
              </w:rPr>
              <w:t>一项</w:t>
            </w:r>
          </w:p>
        </w:tc>
        <w:tc>
          <w:tcPr>
            <w:tcW w:w="2831" w:type="dxa"/>
          </w:tcPr>
          <w:p>
            <w:pPr>
              <w:jc w:val="left"/>
              <w:rPr>
                <w:rFonts w:asciiTheme="minorEastAsia" w:hAnsiTheme="minorEastAsia" w:eastAsiaTheme="minorEastAsia"/>
                <w:szCs w:val="21"/>
                <w:highlight w:val="none"/>
              </w:rPr>
            </w:pPr>
            <w:r>
              <w:rPr>
                <w:rFonts w:hint="eastAsia" w:ascii="宋体" w:hAnsi="宋体"/>
                <w:szCs w:val="21"/>
                <w:highlight w:val="none"/>
              </w:rPr>
              <w:t>3人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3" w:hRule="atLeast"/>
        </w:trPr>
        <w:tc>
          <w:tcPr>
            <w:tcW w:w="771" w:type="dxa"/>
            <w:vAlign w:val="center"/>
          </w:tcPr>
          <w:p>
            <w:pPr>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26</w:t>
            </w:r>
          </w:p>
        </w:tc>
        <w:tc>
          <w:tcPr>
            <w:tcW w:w="3082" w:type="dxa"/>
            <w:vAlign w:val="center"/>
          </w:tcPr>
          <w:p>
            <w:pP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各业务区域卫生清洁及零星辅助业务</w:t>
            </w:r>
          </w:p>
        </w:tc>
        <w:tc>
          <w:tcPr>
            <w:tcW w:w="1588" w:type="dxa"/>
            <w:vAlign w:val="center"/>
          </w:tcPr>
          <w:p>
            <w:pP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widowControl/>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配备工具等，自行安排（见各业务区域卫生清洁及零星辅助业务的主要内容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trPr>
        <w:tc>
          <w:tcPr>
            <w:tcW w:w="771" w:type="dxa"/>
            <w:vAlign w:val="center"/>
          </w:tcPr>
          <w:p>
            <w:pPr>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2</w:t>
            </w:r>
            <w:r>
              <w:rPr>
                <w:rFonts w:hint="eastAsia" w:asciiTheme="minorEastAsia" w:hAnsiTheme="minorEastAsia" w:eastAsiaTheme="minorEastAsia"/>
                <w:szCs w:val="21"/>
                <w:highlight w:val="none"/>
              </w:rPr>
              <w:t>7</w:t>
            </w:r>
          </w:p>
        </w:tc>
        <w:tc>
          <w:tcPr>
            <w:tcW w:w="3082" w:type="dxa"/>
            <w:vAlign w:val="center"/>
          </w:tcPr>
          <w:p>
            <w:pPr>
              <w:rPr>
                <w:rFonts w:asciiTheme="minorEastAsia" w:hAnsiTheme="minorEastAsia" w:eastAsiaTheme="minorEastAsia"/>
                <w:szCs w:val="21"/>
                <w:highlight w:val="none"/>
              </w:rPr>
            </w:pPr>
            <w:r>
              <w:rPr>
                <w:rFonts w:asciiTheme="minorEastAsia" w:hAnsiTheme="minorEastAsia" w:eastAsiaTheme="minorEastAsia"/>
                <w:szCs w:val="21"/>
                <w:highlight w:val="none"/>
              </w:rPr>
              <w:t>炉渣、脱硫石膏</w:t>
            </w:r>
            <w:r>
              <w:rPr>
                <w:rFonts w:hint="eastAsia" w:asciiTheme="minorEastAsia" w:hAnsiTheme="minorEastAsia" w:eastAsiaTheme="minorEastAsia"/>
                <w:szCs w:val="21"/>
                <w:highlight w:val="none"/>
              </w:rPr>
              <w:t>业务</w:t>
            </w:r>
          </w:p>
        </w:tc>
        <w:tc>
          <w:tcPr>
            <w:tcW w:w="1588" w:type="dxa"/>
            <w:vAlign w:val="center"/>
          </w:tcPr>
          <w:p>
            <w:pP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widowControl/>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每年约</w:t>
            </w:r>
            <w:r>
              <w:rPr>
                <w:rFonts w:asciiTheme="minorEastAsia" w:hAnsiTheme="minorEastAsia" w:eastAsiaTheme="minorEastAsia"/>
                <w:szCs w:val="21"/>
                <w:highlight w:val="none"/>
              </w:rPr>
              <w:t>1.65万吨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9" w:hRule="atLeast"/>
        </w:trPr>
        <w:tc>
          <w:tcPr>
            <w:tcW w:w="771" w:type="dxa"/>
            <w:vAlign w:val="center"/>
          </w:tcPr>
          <w:p>
            <w:pPr>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28</w:t>
            </w:r>
          </w:p>
        </w:tc>
        <w:tc>
          <w:tcPr>
            <w:tcW w:w="3082" w:type="dxa"/>
            <w:vAlign w:val="center"/>
          </w:tcPr>
          <w:p>
            <w:pPr>
              <w:rPr>
                <w:rFonts w:asciiTheme="minorEastAsia" w:hAnsiTheme="minorEastAsia" w:eastAsiaTheme="minorEastAsia"/>
                <w:szCs w:val="21"/>
                <w:highlight w:val="none"/>
              </w:rPr>
            </w:pPr>
            <w:r>
              <w:rPr>
                <w:rFonts w:hint="eastAsia" w:ascii="宋体" w:hAnsi="宋体" w:cs="仿宋_GB2312"/>
                <w:bCs/>
                <w:szCs w:val="21"/>
                <w:highlight w:val="none"/>
              </w:rPr>
              <w:t>设备检修辅助业务</w:t>
            </w:r>
          </w:p>
        </w:tc>
        <w:tc>
          <w:tcPr>
            <w:tcW w:w="1588" w:type="dxa"/>
            <w:vAlign w:val="center"/>
          </w:tcPr>
          <w:p>
            <w:pP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widowControl/>
              <w:rPr>
                <w:rFonts w:asciiTheme="minorEastAsia" w:hAnsiTheme="minorEastAsia" w:eastAsiaTheme="minorEastAsia"/>
                <w:szCs w:val="21"/>
                <w:highlight w:val="none"/>
              </w:rPr>
            </w:pPr>
            <w:r>
              <w:rPr>
                <w:rFonts w:asciiTheme="minorEastAsia" w:hAnsiTheme="minorEastAsia" w:eastAsiaTheme="minorEastAsia"/>
                <w:szCs w:val="21"/>
                <w:highlight w:val="none"/>
              </w:rPr>
              <w:t>6人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atLeast"/>
        </w:trPr>
        <w:tc>
          <w:tcPr>
            <w:tcW w:w="771" w:type="dxa"/>
            <w:vAlign w:val="center"/>
          </w:tcPr>
          <w:p>
            <w:pPr>
              <w:jc w:val="center"/>
              <w:rPr>
                <w:rFonts w:asciiTheme="minorEastAsia" w:hAnsiTheme="minorEastAsia" w:eastAsiaTheme="minorEastAsia"/>
                <w:szCs w:val="21"/>
                <w:highlight w:val="none"/>
              </w:rPr>
            </w:pPr>
            <w:r>
              <w:rPr>
                <w:rFonts w:hint="eastAsia" w:ascii="宋体" w:hAnsi="宋体"/>
                <w:szCs w:val="21"/>
                <w:highlight w:val="none"/>
              </w:rPr>
              <w:t>39</w:t>
            </w:r>
          </w:p>
        </w:tc>
        <w:tc>
          <w:tcPr>
            <w:tcW w:w="3082" w:type="dxa"/>
            <w:vAlign w:val="center"/>
          </w:tcPr>
          <w:p>
            <w:pPr>
              <w:rPr>
                <w:rFonts w:ascii="宋体" w:hAnsi="宋体" w:cs="仿宋_GB2312"/>
                <w:bCs/>
                <w:szCs w:val="21"/>
                <w:highlight w:val="none"/>
              </w:rPr>
            </w:pPr>
            <w:r>
              <w:rPr>
                <w:rFonts w:hint="eastAsia" w:ascii="宋体" w:hAnsi="宋体"/>
                <w:szCs w:val="21"/>
                <w:highlight w:val="none"/>
              </w:rPr>
              <w:t>生产线机动工作</w:t>
            </w:r>
          </w:p>
        </w:tc>
        <w:tc>
          <w:tcPr>
            <w:tcW w:w="1588" w:type="dxa"/>
            <w:vAlign w:val="center"/>
          </w:tcPr>
          <w:p>
            <w:pP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w:t>
            </w:r>
          </w:p>
        </w:tc>
        <w:tc>
          <w:tcPr>
            <w:tcW w:w="2831" w:type="dxa"/>
          </w:tcPr>
          <w:p>
            <w:pPr>
              <w:widowControl/>
              <w:rPr>
                <w:rFonts w:asciiTheme="minorEastAsia" w:hAnsiTheme="minorEastAsia" w:eastAsiaTheme="minorEastAsia"/>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vAlign w:val="center"/>
          </w:tcPr>
          <w:p>
            <w:pPr>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合计</w:t>
            </w:r>
          </w:p>
        </w:tc>
        <w:tc>
          <w:tcPr>
            <w:tcW w:w="3082" w:type="dxa"/>
            <w:vAlign w:val="center"/>
          </w:tcPr>
          <w:p>
            <w:pPr>
              <w:rPr>
                <w:rFonts w:asciiTheme="minorEastAsia" w:hAnsiTheme="minorEastAsia" w:eastAsiaTheme="minorEastAsia"/>
                <w:szCs w:val="21"/>
                <w:highlight w:val="none"/>
              </w:rPr>
            </w:pPr>
          </w:p>
        </w:tc>
        <w:tc>
          <w:tcPr>
            <w:tcW w:w="1588" w:type="dxa"/>
            <w:vAlign w:val="center"/>
          </w:tcPr>
          <w:p>
            <w:pPr>
              <w:rPr>
                <w:rFonts w:asciiTheme="minorEastAsia" w:hAnsiTheme="minorEastAsia" w:eastAsiaTheme="minorEastAsia"/>
                <w:szCs w:val="21"/>
                <w:highlight w:val="none"/>
              </w:rPr>
            </w:pPr>
          </w:p>
        </w:tc>
        <w:tc>
          <w:tcPr>
            <w:tcW w:w="2831" w:type="dxa"/>
          </w:tcPr>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62</w:t>
            </w:r>
            <w:r>
              <w:rPr>
                <w:rFonts w:asciiTheme="minorEastAsia" w:hAnsiTheme="minorEastAsia" w:eastAsiaTheme="minorEastAsia"/>
                <w:szCs w:val="21"/>
                <w:highlight w:val="none"/>
              </w:rPr>
              <w:t>人</w:t>
            </w:r>
          </w:p>
        </w:tc>
      </w:tr>
    </w:tbl>
    <w:p>
      <w:pPr>
        <w:widowControl/>
        <w:rPr>
          <w:rFonts w:asciiTheme="minorEastAsia" w:hAnsiTheme="minorEastAsia" w:eastAsiaTheme="minorEastAsia"/>
          <w:b/>
          <w:szCs w:val="21"/>
          <w:highlight w:val="none"/>
        </w:rPr>
      </w:pPr>
      <w:r>
        <w:rPr>
          <w:rFonts w:hint="eastAsia" w:asciiTheme="minorEastAsia" w:hAnsiTheme="minorEastAsia" w:eastAsiaTheme="minorEastAsia"/>
          <w:szCs w:val="21"/>
          <w:highlight w:val="none"/>
        </w:rPr>
        <w:t>注：未明确强调具体人员配置数量的工作任务乙方可安排兼职人员，但必须按照甲方要求完成相关工作任务。</w:t>
      </w:r>
    </w:p>
    <w:p>
      <w:pPr>
        <w:widowControl/>
        <w:rPr>
          <w:rFonts w:asciiTheme="minorEastAsia" w:hAnsiTheme="minorEastAsia" w:eastAsiaTheme="minorEastAsia"/>
          <w:b/>
          <w:szCs w:val="21"/>
          <w:highlight w:val="none"/>
        </w:rPr>
      </w:pPr>
    </w:p>
    <w:p>
      <w:pPr>
        <w:widowControl/>
        <w:ind w:firstLine="2001" w:firstLineChars="949"/>
        <w:rPr>
          <w:rFonts w:asciiTheme="minorEastAsia" w:hAnsiTheme="minorEastAsia" w:eastAsiaTheme="minorEastAsia"/>
          <w:b/>
          <w:szCs w:val="21"/>
          <w:highlight w:val="none"/>
        </w:rPr>
      </w:pPr>
    </w:p>
    <w:p>
      <w:pPr>
        <w:widowControl/>
        <w:ind w:firstLine="2001" w:firstLineChars="949"/>
        <w:rPr>
          <w:rFonts w:asciiTheme="minorEastAsia" w:hAnsiTheme="minorEastAsia" w:eastAsiaTheme="minorEastAsia"/>
          <w:b/>
          <w:szCs w:val="21"/>
          <w:highlight w:val="none"/>
        </w:rPr>
      </w:pPr>
    </w:p>
    <w:p>
      <w:pPr>
        <w:widowControl/>
        <w:ind w:firstLine="2001" w:firstLineChars="949"/>
        <w:rPr>
          <w:rFonts w:asciiTheme="minorEastAsia" w:hAnsiTheme="minorEastAsia" w:eastAsiaTheme="minorEastAsia"/>
          <w:b/>
          <w:szCs w:val="21"/>
          <w:highlight w:val="none"/>
        </w:rPr>
      </w:pPr>
    </w:p>
    <w:p>
      <w:pPr>
        <w:widowControl/>
        <w:ind w:firstLine="2001" w:firstLineChars="949"/>
        <w:rPr>
          <w:rFonts w:asciiTheme="minorEastAsia" w:hAnsiTheme="minorEastAsia" w:eastAsiaTheme="minorEastAsia"/>
          <w:b/>
          <w:szCs w:val="21"/>
          <w:highlight w:val="none"/>
        </w:rPr>
      </w:pPr>
    </w:p>
    <w:p>
      <w:pPr>
        <w:widowControl/>
        <w:ind w:firstLine="2001" w:firstLineChars="949"/>
        <w:rPr>
          <w:rFonts w:asciiTheme="minorEastAsia" w:hAnsiTheme="minorEastAsia" w:eastAsiaTheme="minorEastAsia"/>
          <w:b/>
          <w:szCs w:val="21"/>
          <w:highlight w:val="none"/>
        </w:rPr>
      </w:pPr>
    </w:p>
    <w:p>
      <w:pPr>
        <w:widowControl/>
        <w:ind w:firstLine="2001" w:firstLineChars="949"/>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各业务区域卫生清洁及零星辅助业务的主要内容</w:t>
      </w:r>
    </w:p>
    <w:tbl>
      <w:tblPr>
        <w:tblStyle w:val="42"/>
        <w:tblW w:w="8272"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8"/>
        <w:gridCol w:w="1510"/>
        <w:gridCol w:w="63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blHeader/>
        </w:trPr>
        <w:tc>
          <w:tcPr>
            <w:tcW w:w="458" w:type="dxa"/>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b/>
                <w:bCs/>
                <w:color w:val="000000"/>
                <w:kern w:val="0"/>
                <w:szCs w:val="21"/>
                <w:highlight w:val="none"/>
              </w:rPr>
              <w:t>序号</w:t>
            </w:r>
          </w:p>
        </w:tc>
        <w:tc>
          <w:tcPr>
            <w:tcW w:w="1510"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b/>
                <w:bCs/>
                <w:color w:val="000000"/>
                <w:kern w:val="0"/>
                <w:szCs w:val="21"/>
                <w:highlight w:val="none"/>
              </w:rPr>
              <w:t>名称</w:t>
            </w:r>
          </w:p>
        </w:tc>
        <w:tc>
          <w:tcPr>
            <w:tcW w:w="6304"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b/>
                <w:bCs/>
                <w:color w:val="000000"/>
                <w:kern w:val="0"/>
                <w:szCs w:val="21"/>
                <w:highlight w:val="none"/>
              </w:rPr>
              <w:t>卫生要求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8" w:type="dxa"/>
            <w:vAlign w:val="center"/>
          </w:tcPr>
          <w:p>
            <w:pPr>
              <w:jc w:val="left"/>
              <w:rPr>
                <w:rFonts w:asciiTheme="minorEastAsia" w:hAnsiTheme="minorEastAsia" w:eastAsiaTheme="minorEastAsia"/>
                <w:szCs w:val="21"/>
                <w:highlight w:val="none"/>
              </w:rPr>
            </w:pPr>
            <w:r>
              <w:rPr>
                <w:rFonts w:cs="宋体" w:asciiTheme="minorEastAsia" w:hAnsiTheme="minorEastAsia" w:eastAsiaTheme="minorEastAsia"/>
                <w:color w:val="000000"/>
                <w:kern w:val="0"/>
                <w:szCs w:val="21"/>
                <w:highlight w:val="none"/>
              </w:rPr>
              <w:t>1</w:t>
            </w:r>
          </w:p>
        </w:tc>
        <w:tc>
          <w:tcPr>
            <w:tcW w:w="1510"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kern w:val="0"/>
                <w:szCs w:val="21"/>
                <w:highlight w:val="none"/>
              </w:rPr>
              <w:t>磨机房</w:t>
            </w:r>
          </w:p>
        </w:tc>
        <w:tc>
          <w:tcPr>
            <w:tcW w:w="6304" w:type="dxa"/>
          </w:tcPr>
          <w:p>
            <w:pPr>
              <w:widowControl/>
              <w:jc w:val="left"/>
              <w:rPr>
                <w:rFonts w:asciiTheme="minorEastAsia" w:hAnsiTheme="minorEastAsia" w:eastAsiaTheme="minorEastAsia"/>
                <w:szCs w:val="21"/>
                <w:highlight w:val="none"/>
              </w:rPr>
            </w:pPr>
            <w:r>
              <w:rPr>
                <w:rFonts w:hint="eastAsia" w:cs="宋体" w:asciiTheme="minorEastAsia" w:hAnsiTheme="minorEastAsia" w:eastAsiaTheme="minorEastAsia"/>
                <w:color w:val="000000"/>
                <w:kern w:val="0"/>
                <w:szCs w:val="21"/>
                <w:highlight w:val="none"/>
              </w:rPr>
              <w:t>磨机房内</w:t>
            </w:r>
            <w:r>
              <w:rPr>
                <w:rFonts w:cs="宋体" w:asciiTheme="minorEastAsia" w:hAnsiTheme="minorEastAsia" w:eastAsiaTheme="minorEastAsia"/>
                <w:color w:val="000000"/>
                <w:kern w:val="0"/>
                <w:szCs w:val="21"/>
                <w:highlight w:val="none"/>
              </w:rPr>
              <w:t>3台磨机、3套搅拌装置等所有设备、管阀及地面、墙壁、各层平台、楼梯、栏杆的</w:t>
            </w:r>
            <w:r>
              <w:rPr>
                <w:rFonts w:hint="eastAsia" w:cs="宋体" w:asciiTheme="minorEastAsia" w:hAnsiTheme="minorEastAsia" w:eastAsiaTheme="minorEastAsia"/>
                <w:color w:val="000000"/>
                <w:kern w:val="0"/>
                <w:szCs w:val="21"/>
                <w:highlight w:val="none"/>
              </w:rPr>
              <w:t>的油污、杂物、落料、积尘的每天清扫清洁；磨机出口筛余废料的收集、清运到厂内废料堆放区。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8" w:type="dxa"/>
            <w:vAlign w:val="center"/>
          </w:tcPr>
          <w:p>
            <w:pPr>
              <w:jc w:val="left"/>
              <w:rPr>
                <w:rFonts w:asciiTheme="minorEastAsia" w:hAnsiTheme="minorEastAsia" w:eastAsiaTheme="minorEastAsia"/>
                <w:szCs w:val="21"/>
                <w:highlight w:val="none"/>
              </w:rPr>
            </w:pPr>
            <w:r>
              <w:rPr>
                <w:rFonts w:cs="宋体" w:asciiTheme="minorEastAsia" w:hAnsiTheme="minorEastAsia" w:eastAsiaTheme="minorEastAsia"/>
                <w:color w:val="000000"/>
                <w:kern w:val="0"/>
                <w:szCs w:val="21"/>
                <w:highlight w:val="none"/>
              </w:rPr>
              <w:t>2</w:t>
            </w:r>
          </w:p>
        </w:tc>
        <w:tc>
          <w:tcPr>
            <w:tcW w:w="1510"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kern w:val="0"/>
                <w:szCs w:val="21"/>
                <w:highlight w:val="none"/>
              </w:rPr>
              <w:t>砂皮带输送</w:t>
            </w:r>
          </w:p>
        </w:tc>
        <w:tc>
          <w:tcPr>
            <w:tcW w:w="6304"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color w:val="000000"/>
                <w:kern w:val="0"/>
                <w:szCs w:val="21"/>
                <w:highlight w:val="none"/>
              </w:rPr>
              <w:t>砂渣上料皮带输送设备及其地面、各层平台、楼梯、栏杆的油污、杂物、落料、积尘的每天清扫清洁。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8" w:type="dxa"/>
            <w:vAlign w:val="center"/>
          </w:tcPr>
          <w:p>
            <w:pPr>
              <w:jc w:val="left"/>
              <w:rPr>
                <w:rFonts w:asciiTheme="minorEastAsia" w:hAnsiTheme="minorEastAsia" w:eastAsiaTheme="minorEastAsia"/>
                <w:szCs w:val="21"/>
                <w:highlight w:val="none"/>
              </w:rPr>
            </w:pPr>
            <w:r>
              <w:rPr>
                <w:rFonts w:cs="宋体" w:asciiTheme="minorEastAsia" w:hAnsiTheme="minorEastAsia" w:eastAsiaTheme="minorEastAsia"/>
                <w:color w:val="000000"/>
                <w:kern w:val="0"/>
                <w:szCs w:val="21"/>
                <w:highlight w:val="none"/>
              </w:rPr>
              <w:t>3</w:t>
            </w:r>
          </w:p>
        </w:tc>
        <w:tc>
          <w:tcPr>
            <w:tcW w:w="1510"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kern w:val="0"/>
                <w:szCs w:val="21"/>
                <w:highlight w:val="none"/>
              </w:rPr>
              <w:t>石膏库及搅拌装置清洁</w:t>
            </w:r>
          </w:p>
        </w:tc>
        <w:tc>
          <w:tcPr>
            <w:tcW w:w="6304"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color w:val="000000"/>
                <w:kern w:val="0"/>
                <w:szCs w:val="21"/>
                <w:highlight w:val="none"/>
              </w:rPr>
              <w:t>石膏库地面、墙壁，石膏搅拌装置、浆液输送管阀的油污、杂物、落料、积尘的每天清扫清洁。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8" w:type="dxa"/>
            <w:vAlign w:val="center"/>
          </w:tcPr>
          <w:p>
            <w:pPr>
              <w:jc w:val="left"/>
              <w:rPr>
                <w:rFonts w:asciiTheme="minorEastAsia" w:hAnsiTheme="minorEastAsia" w:eastAsiaTheme="minorEastAsia"/>
                <w:szCs w:val="21"/>
                <w:highlight w:val="none"/>
              </w:rPr>
            </w:pPr>
            <w:r>
              <w:rPr>
                <w:rFonts w:cs="宋体" w:asciiTheme="minorEastAsia" w:hAnsiTheme="minorEastAsia" w:eastAsiaTheme="minorEastAsia"/>
                <w:color w:val="000000"/>
                <w:kern w:val="0"/>
                <w:szCs w:val="21"/>
                <w:highlight w:val="none"/>
              </w:rPr>
              <w:t>4</w:t>
            </w:r>
          </w:p>
        </w:tc>
        <w:tc>
          <w:tcPr>
            <w:tcW w:w="1510"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kern w:val="0"/>
                <w:szCs w:val="21"/>
                <w:highlight w:val="none"/>
              </w:rPr>
              <w:t>罐区（含粉煤灰制浆区域）清洁</w:t>
            </w:r>
          </w:p>
        </w:tc>
        <w:tc>
          <w:tcPr>
            <w:tcW w:w="6304"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color w:val="000000"/>
                <w:kern w:val="0"/>
                <w:szCs w:val="21"/>
                <w:highlight w:val="none"/>
              </w:rPr>
              <w:t>储罐、管阀、称量设备、地面、墙壁、各层平台、楼梯、栏杆的的油污、杂物、落料、积尘的每天清扫清洁。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8" w:type="dxa"/>
            <w:vAlign w:val="center"/>
          </w:tcPr>
          <w:p>
            <w:pPr>
              <w:jc w:val="left"/>
              <w:rPr>
                <w:rFonts w:asciiTheme="minorEastAsia" w:hAnsiTheme="minorEastAsia" w:eastAsiaTheme="minorEastAsia"/>
                <w:szCs w:val="21"/>
                <w:highlight w:val="none"/>
              </w:rPr>
            </w:pPr>
            <w:r>
              <w:rPr>
                <w:rFonts w:cs="宋体" w:asciiTheme="minorEastAsia" w:hAnsiTheme="minorEastAsia" w:eastAsiaTheme="minorEastAsia"/>
                <w:color w:val="000000"/>
                <w:kern w:val="0"/>
                <w:szCs w:val="21"/>
                <w:highlight w:val="none"/>
              </w:rPr>
              <w:t>5</w:t>
            </w:r>
          </w:p>
        </w:tc>
        <w:tc>
          <w:tcPr>
            <w:tcW w:w="1510"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kern w:val="0"/>
                <w:szCs w:val="21"/>
                <w:highlight w:val="none"/>
              </w:rPr>
              <w:t>配料楼、辅助用房区域清洁</w:t>
            </w:r>
          </w:p>
        </w:tc>
        <w:tc>
          <w:tcPr>
            <w:tcW w:w="6304"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color w:val="000000"/>
                <w:kern w:val="0"/>
                <w:szCs w:val="21"/>
                <w:highlight w:val="none"/>
              </w:rPr>
              <w:t>储罐、输送设备、管阀、称量设备、地面、墙壁、各层平台、楼梯、栏杆的的油污、杂物、落料、积尘的每天清扫清洁。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445" w:hRule="atLeast"/>
        </w:trPr>
        <w:tc>
          <w:tcPr>
            <w:tcW w:w="458" w:type="dxa"/>
            <w:vAlign w:val="center"/>
          </w:tcPr>
          <w:p>
            <w:pPr>
              <w:jc w:val="left"/>
              <w:rPr>
                <w:rFonts w:asciiTheme="minorEastAsia" w:hAnsiTheme="minorEastAsia" w:eastAsiaTheme="minorEastAsia"/>
                <w:szCs w:val="21"/>
                <w:highlight w:val="none"/>
              </w:rPr>
            </w:pPr>
            <w:r>
              <w:rPr>
                <w:rFonts w:cs="宋体" w:asciiTheme="minorEastAsia" w:hAnsiTheme="minorEastAsia" w:eastAsiaTheme="minorEastAsia"/>
                <w:color w:val="000000"/>
                <w:kern w:val="0"/>
                <w:szCs w:val="21"/>
                <w:highlight w:val="none"/>
              </w:rPr>
              <w:t>6</w:t>
            </w:r>
          </w:p>
        </w:tc>
        <w:tc>
          <w:tcPr>
            <w:tcW w:w="1510" w:type="dxa"/>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kern w:val="0"/>
                <w:szCs w:val="21"/>
                <w:highlight w:val="none"/>
              </w:rPr>
              <w:t>静停、切割区清洁</w:t>
            </w:r>
          </w:p>
        </w:tc>
        <w:tc>
          <w:tcPr>
            <w:tcW w:w="6304" w:type="dxa"/>
          </w:tcPr>
          <w:p>
            <w:pPr>
              <w:widowControl/>
              <w:jc w:val="left"/>
              <w:rPr>
                <w:rFonts w:asciiTheme="minorEastAsia" w:hAnsiTheme="minorEastAsia" w:eastAsiaTheme="minorEastAsia"/>
                <w:szCs w:val="21"/>
                <w:highlight w:val="none"/>
              </w:rPr>
            </w:pPr>
            <w:r>
              <w:rPr>
                <w:rFonts w:hint="eastAsia" w:cs="宋体" w:asciiTheme="minorEastAsia" w:hAnsiTheme="minorEastAsia" w:eastAsiaTheme="minorEastAsia"/>
                <w:color w:val="000000"/>
                <w:kern w:val="0"/>
                <w:szCs w:val="21"/>
                <w:highlight w:val="none"/>
              </w:rPr>
              <w:t>浇注地坑冲扫清洁、静停区模箱漏浆清理、合模前侧板及空模箱内结料清理、切割区地坑外落料清理、地翻台落料清理，保持本区域地面清洁；浇注搅拌机、输送轨道、翻转吊具、切割机组、地翻台、刷灰机等设备的油污、积尘的每天清扫清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8" w:type="dxa"/>
            <w:vAlign w:val="center"/>
          </w:tcPr>
          <w:p>
            <w:pPr>
              <w:jc w:val="left"/>
              <w:rPr>
                <w:rFonts w:asciiTheme="minorEastAsia" w:hAnsiTheme="minorEastAsia" w:eastAsiaTheme="minorEastAsia"/>
                <w:szCs w:val="21"/>
                <w:highlight w:val="none"/>
              </w:rPr>
            </w:pPr>
            <w:r>
              <w:rPr>
                <w:rFonts w:cs="宋体" w:asciiTheme="minorEastAsia" w:hAnsiTheme="minorEastAsia" w:eastAsiaTheme="minorEastAsia"/>
                <w:color w:val="000000"/>
                <w:kern w:val="0"/>
                <w:szCs w:val="21"/>
                <w:highlight w:val="none"/>
              </w:rPr>
              <w:t>7</w:t>
            </w:r>
          </w:p>
        </w:tc>
        <w:tc>
          <w:tcPr>
            <w:tcW w:w="1510" w:type="dxa"/>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kern w:val="0"/>
                <w:szCs w:val="21"/>
                <w:highlight w:val="none"/>
              </w:rPr>
              <w:t>半成品、成品段清洁</w:t>
            </w:r>
          </w:p>
        </w:tc>
        <w:tc>
          <w:tcPr>
            <w:tcW w:w="6304" w:type="dxa"/>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半成品堆垛吊机、半成品输送轨道、釜前吊具、搭桥装置、蒸压釜、成品输送轨道、釜前摆渡车、成品分垛吊机、掰板机等。</w:t>
            </w:r>
          </w:p>
          <w:p>
            <w:pPr>
              <w:jc w:val="left"/>
              <w:rPr>
                <w:rFonts w:asciiTheme="minorEastAsia" w:hAnsiTheme="minorEastAsia" w:eastAsiaTheme="minorEastAsia"/>
                <w:szCs w:val="21"/>
                <w:highlight w:val="none"/>
              </w:rPr>
            </w:pPr>
            <w:r>
              <w:rPr>
                <w:rFonts w:hint="eastAsia" w:cs="宋体" w:asciiTheme="minorEastAsia" w:hAnsiTheme="minorEastAsia" w:eastAsiaTheme="minorEastAsia"/>
                <w:color w:val="000000"/>
                <w:kern w:val="0"/>
                <w:szCs w:val="21"/>
                <w:highlight w:val="none"/>
              </w:rPr>
              <w:t>设备及其所在区域的油污、杂物、落料、积尘的每天清扫清洁。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8" w:type="dxa"/>
            <w:vAlign w:val="center"/>
          </w:tcPr>
          <w:p>
            <w:pPr>
              <w:jc w:val="left"/>
              <w:rPr>
                <w:rFonts w:asciiTheme="minorEastAsia" w:hAnsiTheme="minorEastAsia" w:eastAsiaTheme="minorEastAsia"/>
                <w:szCs w:val="21"/>
                <w:highlight w:val="none"/>
              </w:rPr>
            </w:pPr>
            <w:r>
              <w:rPr>
                <w:rFonts w:cs="宋体" w:asciiTheme="minorEastAsia" w:hAnsiTheme="minorEastAsia" w:eastAsiaTheme="minorEastAsia"/>
                <w:color w:val="000000"/>
                <w:kern w:val="0"/>
                <w:szCs w:val="21"/>
                <w:highlight w:val="none"/>
              </w:rPr>
              <w:t>8</w:t>
            </w:r>
          </w:p>
        </w:tc>
        <w:tc>
          <w:tcPr>
            <w:tcW w:w="1510"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kern w:val="0"/>
                <w:szCs w:val="21"/>
                <w:highlight w:val="none"/>
              </w:rPr>
              <w:t>涂脱模剂</w:t>
            </w:r>
          </w:p>
        </w:tc>
        <w:tc>
          <w:tcPr>
            <w:tcW w:w="6304"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color w:val="000000"/>
                <w:kern w:val="0"/>
                <w:szCs w:val="21"/>
                <w:highlight w:val="none"/>
              </w:rPr>
              <w:t>模箱堵漏、涂脱模剂，防止脱模剂洒漏污染地面，保持工作区域的清洁。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8" w:type="dxa"/>
            <w:vAlign w:val="center"/>
          </w:tcPr>
          <w:p>
            <w:pPr>
              <w:jc w:val="left"/>
              <w:rPr>
                <w:rFonts w:asciiTheme="minorEastAsia" w:hAnsiTheme="minorEastAsia" w:eastAsiaTheme="minorEastAsia"/>
                <w:szCs w:val="21"/>
                <w:highlight w:val="none"/>
              </w:rPr>
            </w:pPr>
            <w:r>
              <w:rPr>
                <w:rFonts w:cs="宋体" w:asciiTheme="minorEastAsia" w:hAnsiTheme="minorEastAsia" w:eastAsiaTheme="minorEastAsia"/>
                <w:color w:val="000000"/>
                <w:kern w:val="0"/>
                <w:szCs w:val="21"/>
                <w:highlight w:val="none"/>
              </w:rPr>
              <w:t>9</w:t>
            </w:r>
          </w:p>
        </w:tc>
        <w:tc>
          <w:tcPr>
            <w:tcW w:w="1510"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kern w:val="0"/>
                <w:szCs w:val="21"/>
                <w:highlight w:val="none"/>
              </w:rPr>
              <w:t>釜区清洁</w:t>
            </w:r>
          </w:p>
        </w:tc>
        <w:tc>
          <w:tcPr>
            <w:tcW w:w="6304" w:type="dxa"/>
          </w:tcPr>
          <w:p>
            <w:pPr>
              <w:widowControl/>
              <w:jc w:val="left"/>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釜前区设备、地面、墙壁、楼梯、栏杆的油污、杂物、落料、积尘的每天清扫清洁。</w:t>
            </w:r>
          </w:p>
          <w:p>
            <w:pPr>
              <w:jc w:val="left"/>
              <w:rPr>
                <w:rFonts w:asciiTheme="minorEastAsia" w:hAnsiTheme="minorEastAsia" w:eastAsiaTheme="minorEastAsia"/>
                <w:szCs w:val="21"/>
                <w:highlight w:val="none"/>
              </w:rPr>
            </w:pPr>
            <w:r>
              <w:rPr>
                <w:rFonts w:hint="eastAsia" w:cs="宋体" w:asciiTheme="minorEastAsia" w:hAnsiTheme="minorEastAsia" w:eastAsiaTheme="minorEastAsia"/>
                <w:color w:val="000000"/>
                <w:kern w:val="0"/>
                <w:szCs w:val="21"/>
                <w:highlight w:val="none"/>
              </w:rPr>
              <w:t>釜体区设备、地面、墙壁、楼梯、栏杆的油污、杂物、落料、积尘的</w:t>
            </w:r>
            <w:r>
              <w:rPr>
                <w:rFonts w:hint="eastAsia" w:ascii="宋体" w:hAnsi="宋体" w:cs="宋体"/>
                <w:color w:val="000000"/>
                <w:kern w:val="0"/>
                <w:szCs w:val="21"/>
                <w:highlight w:val="none"/>
              </w:rPr>
              <w:t>至少</w:t>
            </w:r>
            <w:r>
              <w:rPr>
                <w:rFonts w:hint="eastAsia" w:cs="宋体" w:asciiTheme="minorEastAsia" w:hAnsiTheme="minorEastAsia" w:eastAsiaTheme="minorEastAsia"/>
                <w:color w:val="000000"/>
                <w:kern w:val="0"/>
                <w:szCs w:val="21"/>
                <w:highlight w:val="none"/>
              </w:rPr>
              <w:t>每月清扫清洁</w:t>
            </w:r>
            <w:r>
              <w:rPr>
                <w:rFonts w:hint="eastAsia" w:ascii="宋体" w:hAnsi="宋体" w:cs="宋体"/>
                <w:color w:val="000000"/>
                <w:kern w:val="0"/>
                <w:szCs w:val="21"/>
                <w:highlight w:val="none"/>
              </w:rPr>
              <w:t>1次</w:t>
            </w:r>
            <w:r>
              <w:rPr>
                <w:rFonts w:hint="eastAsia" w:cs="宋体" w:asciiTheme="minorEastAsia" w:hAnsiTheme="minorEastAsia" w:eastAsiaTheme="minorEastAsia"/>
                <w:color w:val="000000"/>
                <w:kern w:val="0"/>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8" w:type="dxa"/>
            <w:vAlign w:val="center"/>
          </w:tcPr>
          <w:p>
            <w:pPr>
              <w:jc w:val="left"/>
              <w:rPr>
                <w:rFonts w:asciiTheme="minorEastAsia" w:hAnsiTheme="minorEastAsia" w:eastAsiaTheme="minorEastAsia"/>
                <w:szCs w:val="21"/>
                <w:highlight w:val="none"/>
              </w:rPr>
            </w:pPr>
            <w:r>
              <w:rPr>
                <w:rFonts w:cs="宋体" w:asciiTheme="minorEastAsia" w:hAnsiTheme="minorEastAsia" w:eastAsiaTheme="minorEastAsia"/>
                <w:color w:val="000000"/>
                <w:kern w:val="0"/>
                <w:szCs w:val="21"/>
                <w:highlight w:val="none"/>
              </w:rPr>
              <w:t>10</w:t>
            </w:r>
          </w:p>
        </w:tc>
        <w:tc>
          <w:tcPr>
            <w:tcW w:w="1510" w:type="dxa"/>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kern w:val="0"/>
                <w:szCs w:val="21"/>
                <w:highlight w:val="none"/>
              </w:rPr>
              <w:t>室外罐顶、天面设备、管道、地面、阀门、楼梯、栏杆等</w:t>
            </w:r>
          </w:p>
        </w:tc>
        <w:tc>
          <w:tcPr>
            <w:tcW w:w="6304"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color w:val="000000"/>
                <w:kern w:val="0"/>
                <w:szCs w:val="21"/>
                <w:highlight w:val="none"/>
              </w:rPr>
              <w:t>根据需要清洁。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8" w:type="dxa"/>
            <w:vAlign w:val="center"/>
          </w:tcPr>
          <w:p>
            <w:pPr>
              <w:jc w:val="left"/>
              <w:rPr>
                <w:rFonts w:asciiTheme="minorEastAsia" w:hAnsiTheme="minorEastAsia" w:eastAsiaTheme="minorEastAsia"/>
                <w:szCs w:val="21"/>
                <w:highlight w:val="none"/>
              </w:rPr>
            </w:pPr>
            <w:r>
              <w:rPr>
                <w:rFonts w:cs="宋体" w:asciiTheme="minorEastAsia" w:hAnsiTheme="minorEastAsia" w:eastAsiaTheme="minorEastAsia"/>
                <w:color w:val="000000"/>
                <w:kern w:val="0"/>
                <w:szCs w:val="21"/>
                <w:highlight w:val="none"/>
              </w:rPr>
              <w:t>11</w:t>
            </w:r>
          </w:p>
        </w:tc>
        <w:tc>
          <w:tcPr>
            <w:tcW w:w="1510"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kern w:val="0"/>
                <w:szCs w:val="21"/>
                <w:highlight w:val="none"/>
              </w:rPr>
              <w:t>环厂道路卫生</w:t>
            </w:r>
          </w:p>
        </w:tc>
        <w:tc>
          <w:tcPr>
            <w:tcW w:w="6304"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color w:val="000000"/>
                <w:kern w:val="0"/>
                <w:szCs w:val="21"/>
                <w:highlight w:val="none"/>
              </w:rPr>
              <w:t>环厂道路路面每天按要求清洁。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8" w:type="dxa"/>
            <w:vAlign w:val="center"/>
          </w:tcPr>
          <w:p>
            <w:pPr>
              <w:jc w:val="left"/>
              <w:rPr>
                <w:rFonts w:asciiTheme="minorEastAsia" w:hAnsiTheme="minorEastAsia" w:eastAsiaTheme="minorEastAsia"/>
                <w:szCs w:val="21"/>
                <w:highlight w:val="none"/>
              </w:rPr>
            </w:pPr>
            <w:r>
              <w:rPr>
                <w:rFonts w:cs="宋体" w:asciiTheme="minorEastAsia" w:hAnsiTheme="minorEastAsia" w:eastAsiaTheme="minorEastAsia"/>
                <w:color w:val="000000"/>
                <w:kern w:val="0"/>
                <w:szCs w:val="21"/>
                <w:highlight w:val="none"/>
              </w:rPr>
              <w:t>12</w:t>
            </w:r>
          </w:p>
        </w:tc>
        <w:tc>
          <w:tcPr>
            <w:tcW w:w="1510"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kern w:val="0"/>
                <w:szCs w:val="21"/>
                <w:highlight w:val="none"/>
              </w:rPr>
              <w:t>定期、非定期项目</w:t>
            </w:r>
          </w:p>
        </w:tc>
        <w:tc>
          <w:tcPr>
            <w:tcW w:w="6304" w:type="dxa"/>
          </w:tcPr>
          <w:p>
            <w:pPr>
              <w:widowControl/>
              <w:jc w:val="left"/>
              <w:rPr>
                <w:rFonts w:asciiTheme="minorEastAsia" w:hAnsiTheme="minorEastAsia" w:eastAsiaTheme="minorEastAsia"/>
                <w:szCs w:val="21"/>
                <w:highlight w:val="none"/>
              </w:rPr>
            </w:pPr>
            <w:r>
              <w:rPr>
                <w:rFonts w:hint="eastAsia" w:cs="宋体" w:asciiTheme="minorEastAsia" w:hAnsiTheme="minorEastAsia" w:eastAsiaTheme="minorEastAsia"/>
                <w:color w:val="000000"/>
                <w:kern w:val="0"/>
                <w:szCs w:val="21"/>
                <w:highlight w:val="none"/>
              </w:rPr>
              <w:t>磨前料浆罐</w:t>
            </w:r>
            <w:r>
              <w:rPr>
                <w:rFonts w:cs="宋体" w:asciiTheme="minorEastAsia" w:hAnsiTheme="minorEastAsia" w:eastAsiaTheme="minorEastAsia"/>
                <w:color w:val="000000"/>
                <w:kern w:val="0"/>
                <w:szCs w:val="21"/>
                <w:highlight w:val="none"/>
              </w:rPr>
              <w:t>3个、磨机入口3个、磨机出口3个、</w:t>
            </w:r>
            <w:r>
              <w:rPr>
                <w:rFonts w:hint="eastAsia" w:cs="宋体" w:asciiTheme="minorEastAsia" w:hAnsiTheme="minorEastAsia" w:eastAsiaTheme="minorEastAsia"/>
                <w:color w:val="000000"/>
                <w:kern w:val="0"/>
                <w:szCs w:val="21"/>
                <w:highlight w:val="none"/>
              </w:rPr>
              <w:t>磨后罐</w:t>
            </w:r>
            <w:r>
              <w:rPr>
                <w:rFonts w:cs="宋体" w:asciiTheme="minorEastAsia" w:hAnsiTheme="minorEastAsia" w:eastAsiaTheme="minorEastAsia"/>
                <w:color w:val="000000"/>
                <w:kern w:val="0"/>
                <w:szCs w:val="21"/>
                <w:highlight w:val="none"/>
              </w:rPr>
              <w:t>3个</w:t>
            </w:r>
            <w:r>
              <w:rPr>
                <w:rFonts w:hint="eastAsia" w:cs="宋体" w:asciiTheme="minorEastAsia" w:hAnsiTheme="minorEastAsia" w:eastAsiaTheme="minorEastAsia"/>
                <w:color w:val="000000"/>
                <w:kern w:val="0"/>
                <w:szCs w:val="21"/>
                <w:highlight w:val="none"/>
              </w:rPr>
              <w:t>；粉煤灰制浆罐</w:t>
            </w:r>
            <w:r>
              <w:rPr>
                <w:rFonts w:cs="宋体" w:asciiTheme="minorEastAsia" w:hAnsiTheme="minorEastAsia" w:eastAsiaTheme="minorEastAsia"/>
                <w:color w:val="000000"/>
                <w:kern w:val="0"/>
                <w:szCs w:val="21"/>
                <w:highlight w:val="none"/>
              </w:rPr>
              <w:t xml:space="preserve">2个、罐区料浆罐8个、地坑三个，石膏打浆机1台； </w:t>
            </w:r>
            <w:r>
              <w:rPr>
                <w:rFonts w:hint="eastAsia" w:cs="宋体" w:asciiTheme="minorEastAsia" w:hAnsiTheme="minorEastAsia" w:eastAsiaTheme="minorEastAsia"/>
                <w:color w:val="000000"/>
                <w:kern w:val="0"/>
                <w:szCs w:val="21"/>
                <w:highlight w:val="none"/>
              </w:rPr>
              <w:t>配料楼料浆罐</w:t>
            </w:r>
            <w:r>
              <w:rPr>
                <w:rFonts w:cs="宋体" w:asciiTheme="minorEastAsia" w:hAnsiTheme="minorEastAsia" w:eastAsiaTheme="minorEastAsia"/>
                <w:color w:val="000000"/>
                <w:kern w:val="0"/>
                <w:szCs w:val="21"/>
                <w:highlight w:val="none"/>
              </w:rPr>
              <w:t>2个，料浆计量称1台、浇注搅拌机1台,浇注地坑1个；切割地沟、切割地坑1个； 8条蒸压</w:t>
            </w:r>
            <w:r>
              <w:rPr>
                <w:rFonts w:hint="eastAsia" w:cs="宋体" w:asciiTheme="minorEastAsia" w:hAnsiTheme="minorEastAsia" w:eastAsiaTheme="minorEastAsia"/>
                <w:color w:val="000000"/>
                <w:kern w:val="0"/>
                <w:szCs w:val="21"/>
                <w:highlight w:val="none"/>
              </w:rPr>
              <w:t>釜排污口及基座等各处结料的清理；负责蒸压釜内废料的清理；高温水池、中温水池、低温水池每年</w:t>
            </w:r>
            <w:r>
              <w:rPr>
                <w:rFonts w:cs="宋体" w:asciiTheme="minorEastAsia" w:hAnsiTheme="minorEastAsia" w:eastAsiaTheme="minorEastAsia"/>
                <w:color w:val="000000"/>
                <w:kern w:val="0"/>
                <w:szCs w:val="21"/>
                <w:highlight w:val="none"/>
              </w:rPr>
              <w:t>1次的底部沉淀物清理</w:t>
            </w:r>
            <w:r>
              <w:rPr>
                <w:rFonts w:hint="eastAsia" w:ascii="宋体" w:hAnsi="宋体" w:cs="宋体"/>
                <w:color w:val="000000"/>
                <w:kern w:val="0"/>
                <w:szCs w:val="21"/>
                <w:highlight w:val="none"/>
              </w:rPr>
              <w:t>；其余生产原材料地坑、罐内积料清理。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8" w:type="dxa"/>
            <w:vAlign w:val="center"/>
          </w:tcPr>
          <w:p>
            <w:pPr>
              <w:jc w:val="left"/>
              <w:rPr>
                <w:rFonts w:asciiTheme="minorEastAsia" w:hAnsiTheme="minorEastAsia" w:eastAsiaTheme="minorEastAsia"/>
                <w:szCs w:val="21"/>
                <w:highlight w:val="none"/>
              </w:rPr>
            </w:pPr>
            <w:r>
              <w:rPr>
                <w:rFonts w:cs="宋体" w:asciiTheme="minorEastAsia" w:hAnsiTheme="minorEastAsia" w:eastAsiaTheme="minorEastAsia"/>
                <w:color w:val="000000"/>
                <w:kern w:val="0"/>
                <w:szCs w:val="21"/>
                <w:highlight w:val="none"/>
              </w:rPr>
              <w:t>13</w:t>
            </w:r>
          </w:p>
        </w:tc>
        <w:tc>
          <w:tcPr>
            <w:tcW w:w="1510"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bCs/>
                <w:kern w:val="0"/>
                <w:szCs w:val="21"/>
                <w:highlight w:val="none"/>
              </w:rPr>
              <w:t>临时辅助检修清洁</w:t>
            </w:r>
          </w:p>
        </w:tc>
        <w:tc>
          <w:tcPr>
            <w:tcW w:w="6304" w:type="dxa"/>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color w:val="000000"/>
                <w:kern w:val="0"/>
                <w:szCs w:val="21"/>
                <w:highlight w:val="none"/>
              </w:rPr>
              <w:t>日常检修时，按检修要求清洁设备及设备周边积料。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8" w:type="dxa"/>
            <w:vAlign w:val="center"/>
          </w:tcPr>
          <w:p>
            <w:pPr>
              <w:jc w:val="left"/>
              <w:rPr>
                <w:rFonts w:asciiTheme="minorEastAsia" w:hAnsiTheme="minorEastAsia" w:eastAsiaTheme="minorEastAsia"/>
                <w:szCs w:val="21"/>
                <w:highlight w:val="none"/>
              </w:rPr>
            </w:pPr>
            <w:r>
              <w:rPr>
                <w:rFonts w:cs="宋体" w:asciiTheme="minorEastAsia" w:hAnsiTheme="minorEastAsia" w:eastAsiaTheme="minorEastAsia"/>
                <w:color w:val="000000"/>
                <w:kern w:val="0"/>
                <w:szCs w:val="21"/>
                <w:highlight w:val="none"/>
              </w:rPr>
              <w:t>14</w:t>
            </w:r>
          </w:p>
        </w:tc>
        <w:tc>
          <w:tcPr>
            <w:tcW w:w="1510"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bCs/>
                <w:kern w:val="0"/>
                <w:szCs w:val="21"/>
                <w:highlight w:val="none"/>
              </w:rPr>
              <w:t>模框清洁</w:t>
            </w:r>
          </w:p>
        </w:tc>
        <w:tc>
          <w:tcPr>
            <w:tcW w:w="6304" w:type="dxa"/>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color w:val="000000"/>
                <w:kern w:val="0"/>
                <w:szCs w:val="21"/>
                <w:highlight w:val="none"/>
              </w:rPr>
              <w:t>模框表面卫生每周清洁一个循环</w:t>
            </w:r>
            <w:r>
              <w:rPr>
                <w:rFonts w:hint="eastAsia" w:ascii="宋体" w:hAnsi="宋体" w:cs="宋体"/>
                <w:color w:val="000000"/>
                <w:kern w:val="0"/>
                <w:szCs w:val="21"/>
                <w:highlight w:val="none"/>
              </w:rPr>
              <w:t>，保持模具清洁，表面无油污、积料</w:t>
            </w:r>
            <w:r>
              <w:rPr>
                <w:rFonts w:hint="eastAsia" w:cs="宋体" w:asciiTheme="minorEastAsia" w:hAnsiTheme="minorEastAsia" w:eastAsiaTheme="minorEastAsia"/>
                <w:color w:val="000000"/>
                <w:kern w:val="0"/>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8" w:type="dxa"/>
            <w:vAlign w:val="center"/>
          </w:tcPr>
          <w:p>
            <w:pPr>
              <w:jc w:val="left"/>
              <w:rPr>
                <w:rFonts w:asciiTheme="minorEastAsia" w:hAnsiTheme="minorEastAsia" w:eastAsiaTheme="minorEastAsia"/>
                <w:szCs w:val="21"/>
                <w:highlight w:val="none"/>
              </w:rPr>
            </w:pPr>
            <w:r>
              <w:rPr>
                <w:rFonts w:cs="宋体" w:asciiTheme="minorEastAsia" w:hAnsiTheme="minorEastAsia" w:eastAsiaTheme="minorEastAsia"/>
                <w:color w:val="000000"/>
                <w:kern w:val="0"/>
                <w:szCs w:val="21"/>
                <w:highlight w:val="none"/>
              </w:rPr>
              <w:t>15</w:t>
            </w:r>
          </w:p>
        </w:tc>
        <w:tc>
          <w:tcPr>
            <w:tcW w:w="1510" w:type="dxa"/>
            <w:vAlign w:val="center"/>
          </w:tcPr>
          <w:p>
            <w:pPr>
              <w:jc w:val="left"/>
              <w:rPr>
                <w:rFonts w:asciiTheme="minorEastAsia" w:hAnsiTheme="minorEastAsia" w:eastAsiaTheme="minorEastAsia"/>
                <w:szCs w:val="21"/>
                <w:highlight w:val="none"/>
              </w:rPr>
            </w:pPr>
            <w:r>
              <w:rPr>
                <w:rFonts w:hint="eastAsia" w:ascii="宋体" w:hAnsi="宋体" w:cs="宋体"/>
                <w:bCs/>
                <w:kern w:val="0"/>
                <w:szCs w:val="21"/>
                <w:highlight w:val="none"/>
              </w:rPr>
              <w:t>侧板</w:t>
            </w:r>
            <w:r>
              <w:rPr>
                <w:rFonts w:hint="eastAsia" w:cs="宋体" w:asciiTheme="minorEastAsia" w:hAnsiTheme="minorEastAsia" w:eastAsiaTheme="minorEastAsia"/>
                <w:bCs/>
                <w:kern w:val="0"/>
                <w:szCs w:val="21"/>
                <w:highlight w:val="none"/>
              </w:rPr>
              <w:t>清洁</w:t>
            </w:r>
          </w:p>
        </w:tc>
        <w:tc>
          <w:tcPr>
            <w:tcW w:w="6304" w:type="dxa"/>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color w:val="000000"/>
                <w:kern w:val="0"/>
                <w:szCs w:val="21"/>
                <w:highlight w:val="none"/>
              </w:rPr>
              <w:t>全厂所有</w:t>
            </w:r>
            <w:r>
              <w:rPr>
                <w:rFonts w:hint="eastAsia" w:ascii="宋体" w:hAnsi="宋体" w:cs="宋体"/>
                <w:color w:val="000000"/>
                <w:kern w:val="0"/>
                <w:szCs w:val="21"/>
                <w:highlight w:val="none"/>
              </w:rPr>
              <w:t>侧板需要时</w:t>
            </w:r>
            <w:r>
              <w:rPr>
                <w:rFonts w:cs="宋体" w:asciiTheme="minorEastAsia" w:hAnsiTheme="minorEastAsia" w:eastAsiaTheme="minorEastAsia"/>
                <w:color w:val="000000"/>
                <w:kern w:val="0"/>
                <w:szCs w:val="21"/>
                <w:highlight w:val="none"/>
              </w:rPr>
              <w:t>清洁。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8" w:type="dxa"/>
            <w:vAlign w:val="center"/>
          </w:tcPr>
          <w:p>
            <w:pPr>
              <w:jc w:val="left"/>
              <w:rPr>
                <w:rFonts w:asciiTheme="minorEastAsia" w:hAnsiTheme="minorEastAsia" w:eastAsiaTheme="minorEastAsia"/>
                <w:szCs w:val="21"/>
                <w:highlight w:val="none"/>
              </w:rPr>
            </w:pPr>
            <w:r>
              <w:rPr>
                <w:rFonts w:cs="宋体" w:asciiTheme="minorEastAsia" w:hAnsiTheme="minorEastAsia" w:eastAsiaTheme="minorEastAsia"/>
                <w:color w:val="000000"/>
                <w:kern w:val="0"/>
                <w:szCs w:val="21"/>
                <w:highlight w:val="none"/>
              </w:rPr>
              <w:t>16</w:t>
            </w:r>
          </w:p>
        </w:tc>
        <w:tc>
          <w:tcPr>
            <w:tcW w:w="1510"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bCs/>
                <w:kern w:val="0"/>
                <w:szCs w:val="21"/>
                <w:highlight w:val="none"/>
              </w:rPr>
              <w:t>清洁卫生工具</w:t>
            </w:r>
          </w:p>
        </w:tc>
        <w:tc>
          <w:tcPr>
            <w:tcW w:w="6304"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color w:val="000000"/>
                <w:kern w:val="0"/>
                <w:szCs w:val="21"/>
                <w:highlight w:val="none"/>
              </w:rPr>
              <w:t>所有清洁工具（包括不限于斗车、铁铲、风镐等等）均由乙方自行负责配置及维护。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8" w:type="dxa"/>
            <w:vAlign w:val="center"/>
          </w:tcPr>
          <w:p>
            <w:pPr>
              <w:jc w:val="left"/>
              <w:rPr>
                <w:rFonts w:asciiTheme="minorEastAsia" w:hAnsiTheme="minorEastAsia" w:eastAsiaTheme="minorEastAsia"/>
                <w:szCs w:val="21"/>
                <w:highlight w:val="none"/>
              </w:rPr>
            </w:pPr>
            <w:r>
              <w:rPr>
                <w:rFonts w:cs="宋体" w:asciiTheme="minorEastAsia" w:hAnsiTheme="minorEastAsia" w:eastAsiaTheme="minorEastAsia"/>
                <w:color w:val="000000"/>
                <w:kern w:val="0"/>
                <w:szCs w:val="21"/>
                <w:highlight w:val="none"/>
              </w:rPr>
              <w:t>17</w:t>
            </w:r>
          </w:p>
        </w:tc>
        <w:tc>
          <w:tcPr>
            <w:tcW w:w="1510"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bCs/>
                <w:kern w:val="0"/>
                <w:szCs w:val="21"/>
                <w:highlight w:val="none"/>
              </w:rPr>
              <w:t>辅助项目</w:t>
            </w:r>
          </w:p>
        </w:tc>
        <w:tc>
          <w:tcPr>
            <w:tcW w:w="6304"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color w:val="000000"/>
                <w:kern w:val="0"/>
                <w:szCs w:val="21"/>
                <w:highlight w:val="none"/>
              </w:rPr>
              <w:t>甲方计划停产时间段，需安排</w:t>
            </w:r>
            <w:r>
              <w:rPr>
                <w:rFonts w:cs="宋体" w:asciiTheme="minorEastAsia" w:hAnsiTheme="minorEastAsia" w:eastAsiaTheme="minorEastAsia"/>
                <w:color w:val="000000"/>
                <w:kern w:val="0"/>
                <w:szCs w:val="21"/>
                <w:highlight w:val="none"/>
              </w:rPr>
              <w:t>6人协助检修。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8" w:type="dxa"/>
            <w:vAlign w:val="center"/>
          </w:tcPr>
          <w:p>
            <w:pPr>
              <w:jc w:val="left"/>
              <w:rPr>
                <w:rFonts w:asciiTheme="minorEastAsia" w:hAnsiTheme="minorEastAsia" w:eastAsiaTheme="minorEastAsia"/>
                <w:szCs w:val="21"/>
                <w:highlight w:val="none"/>
              </w:rPr>
            </w:pPr>
            <w:r>
              <w:rPr>
                <w:rFonts w:cs="宋体" w:asciiTheme="minorEastAsia" w:hAnsiTheme="minorEastAsia" w:eastAsiaTheme="minorEastAsia"/>
                <w:kern w:val="0"/>
                <w:szCs w:val="21"/>
                <w:highlight w:val="none"/>
              </w:rPr>
              <w:t>18</w:t>
            </w:r>
          </w:p>
        </w:tc>
        <w:tc>
          <w:tcPr>
            <w:tcW w:w="1510"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bCs/>
                <w:kern w:val="0"/>
                <w:szCs w:val="21"/>
                <w:highlight w:val="none"/>
              </w:rPr>
              <w:t>原料归堆上料</w:t>
            </w:r>
          </w:p>
        </w:tc>
        <w:tc>
          <w:tcPr>
            <w:tcW w:w="6304" w:type="dxa"/>
            <w:vAlign w:val="center"/>
          </w:tcPr>
          <w:p>
            <w:pPr>
              <w:jc w:val="left"/>
              <w:rPr>
                <w:rFonts w:asciiTheme="minorEastAsia" w:hAnsiTheme="minorEastAsia" w:eastAsiaTheme="minorEastAsia"/>
                <w:szCs w:val="21"/>
                <w:highlight w:val="none"/>
              </w:rPr>
            </w:pPr>
            <w:r>
              <w:rPr>
                <w:rFonts w:hint="eastAsia" w:cs="宋体" w:asciiTheme="minorEastAsia" w:hAnsiTheme="minorEastAsia" w:eastAsiaTheme="minorEastAsia"/>
                <w:kern w:val="0"/>
                <w:szCs w:val="21"/>
                <w:highlight w:val="none"/>
              </w:rPr>
              <w:t>负责使用铲车（铲车由乙方提供）将生产用原材料（砂、渣及石膏等）的推堆上料</w:t>
            </w:r>
            <w:r>
              <w:rPr>
                <w:rFonts w:hint="eastAsia" w:ascii="宋体" w:hAnsi="宋体" w:cs="宋体"/>
                <w:kern w:val="0"/>
                <w:szCs w:val="21"/>
                <w:highlight w:val="none"/>
              </w:rPr>
              <w:t>及料堆覆盖</w:t>
            </w:r>
            <w:r>
              <w:rPr>
                <w:rFonts w:hint="eastAsia" w:cs="宋体" w:asciiTheme="minorEastAsia" w:hAnsiTheme="minorEastAsia" w:eastAsiaTheme="minorEastAsia"/>
                <w:kern w:val="0"/>
                <w:szCs w:val="21"/>
                <w:highlight w:val="none"/>
              </w:rPr>
              <w:t>。</w:t>
            </w:r>
          </w:p>
        </w:tc>
      </w:tr>
    </w:tbl>
    <w:p>
      <w:pPr>
        <w:rPr>
          <w:rFonts w:ascii="宋体" w:hAnsi="宋体"/>
          <w:szCs w:val="21"/>
          <w:highlight w:val="none"/>
        </w:rPr>
      </w:pPr>
      <w:r>
        <w:rPr>
          <w:rFonts w:ascii="宋体" w:hAnsi="宋体"/>
          <w:szCs w:val="21"/>
          <w:highlight w:val="none"/>
        </w:rPr>
        <w:br w:type="page"/>
      </w:r>
    </w:p>
    <w:p>
      <w:pPr>
        <w:rPr>
          <w:rFonts w:ascii="宋体" w:hAnsi="宋体"/>
          <w:b/>
          <w:sz w:val="24"/>
          <w:highlight w:val="none"/>
        </w:rPr>
      </w:pPr>
      <w:r>
        <w:rPr>
          <w:rFonts w:hint="eastAsia" w:ascii="宋体" w:hAnsi="宋体"/>
          <w:b/>
          <w:sz w:val="24"/>
          <w:highlight w:val="none"/>
        </w:rPr>
        <w:t>附件2:</w:t>
      </w:r>
    </w:p>
    <w:p>
      <w:pPr>
        <w:widowControl/>
        <w:snapToGrid w:val="0"/>
        <w:jc w:val="center"/>
        <w:rPr>
          <w:rFonts w:ascii="宋体" w:hAnsi="宋体"/>
          <w:sz w:val="36"/>
          <w:highlight w:val="none"/>
        </w:rPr>
      </w:pPr>
      <w:r>
        <w:rPr>
          <w:rFonts w:hint="eastAsia" w:ascii="宋体" w:hAnsi="宋体"/>
          <w:sz w:val="36"/>
          <w:highlight w:val="none"/>
        </w:rPr>
        <w:t>加气砌块生产辅助业务外委安健环管理协议</w:t>
      </w:r>
    </w:p>
    <w:p>
      <w:pPr>
        <w:tabs>
          <w:tab w:val="left" w:pos="2250"/>
        </w:tabs>
        <w:spacing w:line="560" w:lineRule="exact"/>
        <w:rPr>
          <w:rFonts w:ascii="宋体" w:hAnsi="宋体"/>
          <w:sz w:val="28"/>
          <w:szCs w:val="28"/>
          <w:highlight w:val="none"/>
        </w:rPr>
      </w:pPr>
    </w:p>
    <w:p>
      <w:pPr>
        <w:tabs>
          <w:tab w:val="left" w:pos="2250"/>
        </w:tabs>
        <w:spacing w:line="560" w:lineRule="exact"/>
        <w:rPr>
          <w:rFonts w:ascii="宋体" w:hAnsi="宋体"/>
          <w:szCs w:val="21"/>
          <w:highlight w:val="none"/>
        </w:rPr>
      </w:pPr>
      <w:r>
        <w:rPr>
          <w:rFonts w:hint="eastAsia" w:ascii="宋体" w:hAnsi="宋体"/>
          <w:szCs w:val="21"/>
          <w:highlight w:val="none"/>
        </w:rPr>
        <w:t>甲方：佛山市恒益环保建材有限公司</w:t>
      </w:r>
      <w:r>
        <w:rPr>
          <w:rFonts w:ascii="宋体" w:hAnsi="宋体"/>
          <w:szCs w:val="21"/>
          <w:highlight w:val="none"/>
        </w:rPr>
        <w:tab/>
      </w:r>
    </w:p>
    <w:p>
      <w:pPr>
        <w:spacing w:line="560" w:lineRule="exact"/>
        <w:rPr>
          <w:rFonts w:ascii="宋体" w:hAnsi="宋体"/>
          <w:szCs w:val="21"/>
          <w:highlight w:val="none"/>
        </w:rPr>
      </w:pPr>
      <w:r>
        <w:rPr>
          <w:rFonts w:hint="eastAsia" w:ascii="宋体" w:hAnsi="宋体"/>
          <w:szCs w:val="21"/>
          <w:highlight w:val="none"/>
        </w:rPr>
        <w:t>乙方：</w:t>
      </w:r>
    </w:p>
    <w:p>
      <w:pPr>
        <w:spacing w:line="560" w:lineRule="exact"/>
        <w:rPr>
          <w:rFonts w:ascii="宋体" w:hAnsi="宋体"/>
          <w:szCs w:val="21"/>
          <w:highlight w:val="none"/>
        </w:rPr>
      </w:pPr>
    </w:p>
    <w:p>
      <w:pPr>
        <w:spacing w:line="360" w:lineRule="auto"/>
        <w:ind w:firstLine="420" w:firstLineChars="200"/>
        <w:rPr>
          <w:rFonts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为确保甲乙双方工作人员职业安全健康和项目实施过程文明环保，甲方与乙方依照国家和政府的有关法律法规，就本项目实施过程中的安健环管理事项、双方权利与义务协商一致，达成以下协议：</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一、甲方安健环管理责任与义务：</w:t>
      </w:r>
    </w:p>
    <w:p>
      <w:pPr>
        <w:pStyle w:val="210"/>
        <w:numPr>
          <w:ilvl w:val="0"/>
          <w:numId w:val="13"/>
        </w:numPr>
        <w:tabs>
          <w:tab w:val="left" w:pos="0"/>
        </w:tabs>
        <w:spacing w:line="360" w:lineRule="auto"/>
        <w:ind w:left="0" w:firstLine="426" w:firstLineChars="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提供甲方安健环有关制度</w:t>
      </w:r>
      <w:r>
        <w:rPr>
          <w:rFonts w:hint="eastAsia" w:asciiTheme="minorEastAsia" w:hAnsiTheme="minorEastAsia" w:eastAsiaTheme="minorEastAsia"/>
          <w:bCs/>
          <w:szCs w:val="21"/>
          <w:highlight w:val="none"/>
        </w:rPr>
        <w:t>（含上级主管部门的有关安健环管理文件）</w:t>
      </w:r>
      <w:r>
        <w:rPr>
          <w:rFonts w:hint="eastAsia" w:asciiTheme="minorEastAsia" w:hAnsiTheme="minorEastAsia" w:eastAsiaTheme="minorEastAsia"/>
          <w:szCs w:val="21"/>
          <w:highlight w:val="none"/>
        </w:rPr>
        <w:t>复印件给乙方作为安健环教育管理的一项资料。甲方督促乙方制定相应的安全管理制度，要求乙方对其工作人员进行安全培训教育，并经考核合格后才准上岗工作。</w:t>
      </w:r>
    </w:p>
    <w:p>
      <w:pPr>
        <w:pStyle w:val="210"/>
        <w:numPr>
          <w:ilvl w:val="0"/>
          <w:numId w:val="13"/>
        </w:numPr>
        <w:tabs>
          <w:tab w:val="left" w:pos="420"/>
        </w:tabs>
        <w:spacing w:line="360" w:lineRule="auto"/>
        <w:ind w:firstLine="6" w:firstLineChars="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负责对乙方特种作业工作人员入厂上岗前的资格证审查及备案。</w:t>
      </w:r>
    </w:p>
    <w:p>
      <w:pPr>
        <w:pStyle w:val="210"/>
        <w:numPr>
          <w:ilvl w:val="0"/>
          <w:numId w:val="13"/>
        </w:numPr>
        <w:tabs>
          <w:tab w:val="left" w:pos="420"/>
        </w:tabs>
        <w:spacing w:line="360" w:lineRule="auto"/>
        <w:ind w:firstLine="6" w:firstLineChars="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向乙方提供承包项目业务内各岗位职业病防治的专项体检指引。</w:t>
      </w:r>
    </w:p>
    <w:p>
      <w:pPr>
        <w:pStyle w:val="210"/>
        <w:numPr>
          <w:ilvl w:val="0"/>
          <w:numId w:val="13"/>
        </w:numPr>
        <w:spacing w:line="360" w:lineRule="auto"/>
        <w:ind w:left="0" w:firstLine="426" w:firstLineChars="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向乙方提供甲方厂内环境、职业危害因素防范及劳动保护、危险源辨识及告知等安全管理规定，要求乙方严格执行。</w:t>
      </w:r>
    </w:p>
    <w:p>
      <w:pPr>
        <w:pStyle w:val="210"/>
        <w:numPr>
          <w:ilvl w:val="0"/>
          <w:numId w:val="13"/>
        </w:numPr>
        <w:tabs>
          <w:tab w:val="left" w:pos="420"/>
        </w:tabs>
        <w:spacing w:line="360" w:lineRule="auto"/>
        <w:ind w:firstLine="6" w:firstLineChars="0"/>
        <w:rPr>
          <w:rFonts w:asciiTheme="minorEastAsia" w:hAnsiTheme="minorEastAsia" w:eastAsiaTheme="minorEastAsia"/>
          <w:szCs w:val="21"/>
          <w:highlight w:val="none"/>
        </w:rPr>
      </w:pPr>
      <w:r>
        <w:rPr>
          <w:rFonts w:hint="eastAsia" w:asciiTheme="minorEastAsia" w:hAnsiTheme="minorEastAsia" w:eastAsiaTheme="minorEastAsia"/>
          <w:bCs/>
          <w:szCs w:val="21"/>
          <w:highlight w:val="none"/>
        </w:rPr>
        <w:t>对乙方资质进行以下内容审查：</w:t>
      </w:r>
    </w:p>
    <w:p>
      <w:pPr>
        <w:pStyle w:val="210"/>
        <w:numPr>
          <w:ilvl w:val="1"/>
          <w:numId w:val="14"/>
        </w:numPr>
        <w:spacing w:line="360" w:lineRule="auto"/>
        <w:ind w:hanging="414" w:firstLineChars="0"/>
        <w:rPr>
          <w:rFonts w:asciiTheme="minorEastAsia" w:hAnsiTheme="minorEastAsia" w:eastAsiaTheme="minorEastAsia"/>
          <w:szCs w:val="21"/>
          <w:highlight w:val="none"/>
        </w:rPr>
      </w:pPr>
      <w:r>
        <w:rPr>
          <w:rFonts w:hint="eastAsia" w:asciiTheme="minorEastAsia" w:hAnsiTheme="minorEastAsia" w:eastAsiaTheme="minorEastAsia"/>
          <w:bCs/>
          <w:szCs w:val="21"/>
          <w:highlight w:val="none"/>
        </w:rPr>
        <w:t>政府有关部门核发的营业执照和相关资质证书、法人代表资格证书。</w:t>
      </w:r>
    </w:p>
    <w:p>
      <w:pPr>
        <w:pStyle w:val="210"/>
        <w:numPr>
          <w:ilvl w:val="1"/>
          <w:numId w:val="14"/>
        </w:numPr>
        <w:spacing w:line="360" w:lineRule="auto"/>
        <w:ind w:hanging="414" w:firstLineChars="0"/>
        <w:rPr>
          <w:rFonts w:asciiTheme="minorEastAsia" w:hAnsiTheme="minorEastAsia" w:eastAsiaTheme="minorEastAsia"/>
          <w:szCs w:val="21"/>
          <w:highlight w:val="none"/>
        </w:rPr>
      </w:pPr>
      <w:r>
        <w:rPr>
          <w:rFonts w:hint="eastAsia" w:asciiTheme="minorEastAsia" w:hAnsiTheme="minorEastAsia" w:eastAsiaTheme="minorEastAsia"/>
          <w:bCs/>
          <w:szCs w:val="21"/>
          <w:highlight w:val="none"/>
        </w:rPr>
        <w:t>相关人员有关本项目的技术资质、安健环资质、身体职业健康证明等。</w:t>
      </w:r>
    </w:p>
    <w:p>
      <w:pPr>
        <w:pStyle w:val="210"/>
        <w:numPr>
          <w:ilvl w:val="1"/>
          <w:numId w:val="14"/>
        </w:numPr>
        <w:spacing w:line="360" w:lineRule="auto"/>
        <w:ind w:hanging="414" w:firstLineChars="0"/>
        <w:rPr>
          <w:rFonts w:asciiTheme="minorEastAsia" w:hAnsiTheme="minorEastAsia" w:eastAsiaTheme="minorEastAsia"/>
          <w:spacing w:val="-6"/>
          <w:szCs w:val="21"/>
          <w:highlight w:val="none"/>
        </w:rPr>
      </w:pPr>
      <w:r>
        <w:rPr>
          <w:rFonts w:hint="eastAsia" w:asciiTheme="minorEastAsia" w:hAnsiTheme="minorEastAsia" w:eastAsiaTheme="minorEastAsia"/>
          <w:bCs/>
          <w:spacing w:val="-6"/>
          <w:szCs w:val="21"/>
          <w:highlight w:val="none"/>
        </w:rPr>
        <w:t>关于本项目的各项安健环管理制度以及安健环管理和保障架构网络图和人员名单。</w:t>
      </w:r>
    </w:p>
    <w:p>
      <w:pPr>
        <w:pStyle w:val="210"/>
        <w:numPr>
          <w:ilvl w:val="1"/>
          <w:numId w:val="14"/>
        </w:numPr>
        <w:spacing w:line="360" w:lineRule="auto"/>
        <w:ind w:hanging="414" w:firstLineChars="0"/>
        <w:rPr>
          <w:rFonts w:asciiTheme="minorEastAsia" w:hAnsiTheme="minorEastAsia" w:eastAsiaTheme="minorEastAsia"/>
          <w:szCs w:val="21"/>
          <w:highlight w:val="none"/>
        </w:rPr>
      </w:pPr>
      <w:r>
        <w:rPr>
          <w:rFonts w:hint="eastAsia" w:asciiTheme="minorEastAsia" w:hAnsiTheme="minorEastAsia" w:eastAsiaTheme="minorEastAsia"/>
          <w:bCs/>
          <w:szCs w:val="21"/>
          <w:highlight w:val="none"/>
        </w:rPr>
        <w:t>其它投标时提供的相关资质证明。</w:t>
      </w:r>
    </w:p>
    <w:p>
      <w:pPr>
        <w:pStyle w:val="210"/>
        <w:numPr>
          <w:ilvl w:val="0"/>
          <w:numId w:val="14"/>
        </w:numPr>
        <w:spacing w:line="360" w:lineRule="auto"/>
        <w:ind w:firstLine="6" w:firstLineChars="0"/>
        <w:rPr>
          <w:rFonts w:asciiTheme="minorEastAsia" w:hAnsiTheme="minorEastAsia" w:eastAsiaTheme="minorEastAsia"/>
          <w:szCs w:val="21"/>
          <w:highlight w:val="none"/>
        </w:rPr>
      </w:pPr>
      <w:r>
        <w:rPr>
          <w:rFonts w:hint="eastAsia" w:asciiTheme="minorEastAsia" w:hAnsiTheme="minorEastAsia" w:eastAsiaTheme="minorEastAsia"/>
          <w:bCs/>
          <w:szCs w:val="21"/>
          <w:highlight w:val="none"/>
        </w:rPr>
        <w:t>检查乙方所派工作人员是否符合国家、地方、行业的有关法律、法规的要求。</w:t>
      </w:r>
    </w:p>
    <w:p>
      <w:pPr>
        <w:pStyle w:val="210"/>
        <w:numPr>
          <w:ilvl w:val="0"/>
          <w:numId w:val="14"/>
        </w:numPr>
        <w:tabs>
          <w:tab w:val="left" w:pos="0"/>
          <w:tab w:val="clear" w:pos="420"/>
        </w:tabs>
        <w:spacing w:line="360" w:lineRule="auto"/>
        <w:ind w:left="0" w:firstLine="426" w:firstLineChars="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有权监督乙方在承包项目业务实施现场的安健环管理、督促乙方落实业务现场安健环防范措施。</w:t>
      </w:r>
    </w:p>
    <w:p>
      <w:pPr>
        <w:pStyle w:val="210"/>
        <w:numPr>
          <w:ilvl w:val="0"/>
          <w:numId w:val="14"/>
        </w:numPr>
        <w:tabs>
          <w:tab w:val="left" w:pos="0"/>
          <w:tab w:val="clear" w:pos="420"/>
        </w:tabs>
        <w:spacing w:line="360" w:lineRule="auto"/>
        <w:ind w:left="0" w:firstLine="426" w:firstLineChars="0"/>
        <w:rPr>
          <w:rFonts w:asciiTheme="minorEastAsia" w:hAnsiTheme="minorEastAsia" w:eastAsiaTheme="minorEastAsia"/>
          <w:szCs w:val="21"/>
          <w:highlight w:val="none"/>
        </w:rPr>
      </w:pPr>
      <w:r>
        <w:rPr>
          <w:rFonts w:hint="eastAsia" w:asciiTheme="minorEastAsia" w:hAnsiTheme="minorEastAsia" w:eastAsiaTheme="minorEastAsia"/>
          <w:spacing w:val="-4"/>
          <w:szCs w:val="21"/>
          <w:highlight w:val="none"/>
        </w:rPr>
        <w:t>不得违章指挥或强令乙方工作人员冒险作业，承担因违章指挥导致发生事故的相应责任。</w:t>
      </w:r>
    </w:p>
    <w:p>
      <w:pPr>
        <w:pStyle w:val="210"/>
        <w:numPr>
          <w:ilvl w:val="0"/>
          <w:numId w:val="14"/>
        </w:numPr>
        <w:tabs>
          <w:tab w:val="left" w:pos="142"/>
          <w:tab w:val="clear" w:pos="420"/>
        </w:tabs>
        <w:spacing w:line="360" w:lineRule="auto"/>
        <w:ind w:left="0" w:firstLine="426" w:firstLineChars="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有权对乙方进行安健环检查，对发现的问题及时提出整改意见，并限期整改完毕，同时按考核规定给予相应的处罚。</w:t>
      </w:r>
    </w:p>
    <w:p>
      <w:pPr>
        <w:pStyle w:val="210"/>
        <w:numPr>
          <w:ilvl w:val="0"/>
          <w:numId w:val="14"/>
        </w:numPr>
        <w:spacing w:line="360" w:lineRule="auto"/>
        <w:ind w:firstLine="6" w:firstLineChars="0"/>
        <w:rPr>
          <w:rFonts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检查乙方是否按规定向工人配发符合安全标准的卫生防护用品及劳保用品。</w:t>
      </w:r>
    </w:p>
    <w:p>
      <w:pPr>
        <w:pStyle w:val="210"/>
        <w:numPr>
          <w:ilvl w:val="0"/>
          <w:numId w:val="14"/>
        </w:numPr>
        <w:tabs>
          <w:tab w:val="left" w:pos="0"/>
          <w:tab w:val="clear" w:pos="420"/>
        </w:tabs>
        <w:spacing w:line="360" w:lineRule="auto"/>
        <w:ind w:left="0" w:firstLine="426" w:firstLineChars="0"/>
        <w:rPr>
          <w:rFonts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甲方管理人员不负责</w:t>
      </w:r>
      <w:r>
        <w:rPr>
          <w:rFonts w:asciiTheme="minorEastAsia" w:hAnsiTheme="minorEastAsia" w:eastAsiaTheme="minorEastAsia"/>
          <w:bCs/>
          <w:szCs w:val="21"/>
          <w:highlight w:val="none"/>
        </w:rPr>
        <w:t>24</w:t>
      </w:r>
      <w:r>
        <w:rPr>
          <w:rFonts w:hint="eastAsia" w:asciiTheme="minorEastAsia" w:hAnsiTheme="minorEastAsia" w:eastAsiaTheme="minorEastAsia"/>
          <w:bCs/>
          <w:szCs w:val="21"/>
          <w:highlight w:val="none"/>
        </w:rPr>
        <w:t>小时监督乙方的具体工作，但一经发现乙方有不符合安全及违规行为，有随时制止和处罚的权利。</w:t>
      </w:r>
    </w:p>
    <w:p>
      <w:pPr>
        <w:pStyle w:val="210"/>
        <w:spacing w:line="360" w:lineRule="auto"/>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二、乙方安健环管理责任与义务：</w:t>
      </w:r>
    </w:p>
    <w:p>
      <w:pPr>
        <w:spacing w:line="420" w:lineRule="exact"/>
        <w:ind w:firstLine="420" w:firstLineChars="200"/>
        <w:rPr>
          <w:rFonts w:cs="宋体" w:asciiTheme="minorEastAsia" w:hAnsiTheme="minorEastAsia" w:eastAsiaTheme="minorEastAsia"/>
          <w:color w:val="333333"/>
          <w:kern w:val="0"/>
          <w:szCs w:val="21"/>
          <w:highlight w:val="none"/>
        </w:rPr>
      </w:pPr>
      <w:r>
        <w:rPr>
          <w:rFonts w:hint="eastAsia" w:cs="宋体" w:asciiTheme="minorEastAsia" w:hAnsiTheme="minorEastAsia" w:eastAsiaTheme="minorEastAsia"/>
          <w:color w:val="333333"/>
          <w:kern w:val="0"/>
          <w:szCs w:val="21"/>
          <w:highlight w:val="none"/>
        </w:rPr>
        <w:t>（一）遵守法律法规</w:t>
      </w:r>
    </w:p>
    <w:p>
      <w:pPr>
        <w:spacing w:line="42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1．</w:t>
      </w:r>
      <w:r>
        <w:rPr>
          <w:rFonts w:hint="eastAsia" w:asciiTheme="minorEastAsia" w:hAnsiTheme="minorEastAsia" w:eastAsiaTheme="minorEastAsia"/>
          <w:szCs w:val="21"/>
          <w:highlight w:val="none"/>
        </w:rPr>
        <w:t>持证上岗：</w:t>
      </w:r>
      <w:r>
        <w:rPr>
          <w:rFonts w:cs="宋体" w:asciiTheme="minorEastAsia" w:hAnsiTheme="minorEastAsia" w:eastAsiaTheme="minorEastAsia"/>
          <w:color w:val="333333"/>
          <w:kern w:val="0"/>
          <w:szCs w:val="21"/>
          <w:highlight w:val="none"/>
        </w:rPr>
        <w:t>乙方的特种作业人员应持有政府有关部门颁发的有效证件，持证上岗</w:t>
      </w:r>
      <w:r>
        <w:rPr>
          <w:rFonts w:hint="eastAsia" w:cs="宋体" w:asciiTheme="minorEastAsia" w:hAnsiTheme="minorEastAsia" w:eastAsiaTheme="minorEastAsia"/>
          <w:color w:val="333333"/>
          <w:kern w:val="0"/>
          <w:szCs w:val="21"/>
          <w:highlight w:val="none"/>
        </w:rPr>
        <w:t>,</w:t>
      </w:r>
      <w:r>
        <w:rPr>
          <w:rFonts w:asciiTheme="minorEastAsia" w:hAnsiTheme="minorEastAsia" w:eastAsiaTheme="minorEastAsia"/>
          <w:szCs w:val="21"/>
          <w:highlight w:val="none"/>
        </w:rPr>
        <w:t>提供相关的资质证明</w:t>
      </w: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如电工、焊工、高空作业等特种作业人员上岗资质证</w:t>
      </w:r>
      <w:r>
        <w:rPr>
          <w:rFonts w:hint="eastAsia" w:asciiTheme="minorEastAsia" w:hAnsiTheme="minorEastAsia" w:eastAsiaTheme="minorEastAsia"/>
          <w:szCs w:val="21"/>
          <w:highlight w:val="none"/>
        </w:rPr>
        <w:t>；特种设备及特种工器具也必须持有效合格证件，乙方必须向甲方提供有效从事相关作业的资质证明（或人员特种资质证书），并对其真实性负责。</w:t>
      </w:r>
    </w:p>
    <w:p>
      <w:pPr>
        <w:spacing w:line="42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2．严格遵守《中华人民共和国消防法》和《机关、团体、企业、事业单位消防安全管理规定》，做好施工现场的消防管理工作。</w:t>
      </w:r>
    </w:p>
    <w:p>
      <w:pPr>
        <w:spacing w:line="42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(1)建立消防安全管理制度和明确消防安全责任。</w:t>
      </w:r>
    </w:p>
    <w:p>
      <w:pPr>
        <w:spacing w:line="42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(2)对施工人员进行消防安全教育培训。</w:t>
      </w:r>
    </w:p>
    <w:p>
      <w:pPr>
        <w:spacing w:line="42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(3)确保消防设施和器材齐全、完好、有效。</w:t>
      </w:r>
    </w:p>
    <w:p>
      <w:pPr>
        <w:spacing w:line="420" w:lineRule="exact"/>
        <w:ind w:firstLine="480"/>
        <w:rPr>
          <w:rFonts w:asciiTheme="minorEastAsia" w:hAnsiTheme="minorEastAsia" w:eastAsiaTheme="minorEastAsia"/>
          <w:szCs w:val="21"/>
          <w:highlight w:val="none"/>
        </w:rPr>
      </w:pPr>
      <w:r>
        <w:rPr>
          <w:rFonts w:asciiTheme="minorEastAsia" w:hAnsiTheme="minorEastAsia" w:eastAsiaTheme="minorEastAsia"/>
          <w:szCs w:val="21"/>
          <w:highlight w:val="none"/>
        </w:rPr>
        <w:t>3．乙方严格遵守国家</w:t>
      </w:r>
      <w:r>
        <w:rPr>
          <w:rFonts w:hint="eastAsia" w:asciiTheme="minorEastAsia" w:hAnsiTheme="minorEastAsia" w:eastAsiaTheme="minorEastAsia"/>
          <w:szCs w:val="21"/>
          <w:highlight w:val="none"/>
        </w:rPr>
        <w:t>、地方、行业</w:t>
      </w:r>
      <w:r>
        <w:rPr>
          <w:rFonts w:asciiTheme="minorEastAsia" w:hAnsiTheme="minorEastAsia" w:eastAsiaTheme="minorEastAsia"/>
          <w:szCs w:val="21"/>
          <w:highlight w:val="none"/>
        </w:rPr>
        <w:t>安全生产、消防</w:t>
      </w:r>
      <w:r>
        <w:rPr>
          <w:rFonts w:hint="eastAsia" w:asciiTheme="minorEastAsia" w:hAnsiTheme="minorEastAsia" w:eastAsiaTheme="minorEastAsia"/>
          <w:szCs w:val="21"/>
          <w:highlight w:val="none"/>
        </w:rPr>
        <w:t>、环保及职业病防治等方面</w:t>
      </w:r>
      <w:r>
        <w:rPr>
          <w:rFonts w:asciiTheme="minorEastAsia" w:hAnsiTheme="minorEastAsia" w:eastAsiaTheme="minorEastAsia"/>
          <w:szCs w:val="21"/>
          <w:highlight w:val="none"/>
        </w:rPr>
        <w:t>法律法规要求，遵守甲方的相关规章制度。</w:t>
      </w:r>
    </w:p>
    <w:p>
      <w:pPr>
        <w:spacing w:line="420" w:lineRule="exact"/>
        <w:ind w:firstLine="420" w:firstLineChars="200"/>
        <w:rPr>
          <w:rFonts w:cs="宋体" w:asciiTheme="minorEastAsia" w:hAnsiTheme="minorEastAsia" w:eastAsiaTheme="minorEastAsia"/>
          <w:color w:val="333333"/>
          <w:kern w:val="0"/>
          <w:szCs w:val="21"/>
          <w:highlight w:val="none"/>
        </w:rPr>
      </w:pPr>
      <w:r>
        <w:rPr>
          <w:rFonts w:hint="eastAsia" w:cs="宋体" w:asciiTheme="minorEastAsia" w:hAnsiTheme="minorEastAsia" w:eastAsiaTheme="minorEastAsia"/>
          <w:color w:val="333333"/>
          <w:kern w:val="0"/>
          <w:szCs w:val="21"/>
          <w:highlight w:val="none"/>
        </w:rPr>
        <w:t>4.</w:t>
      </w:r>
      <w:r>
        <w:rPr>
          <w:rFonts w:cs="宋体" w:asciiTheme="minorEastAsia" w:hAnsiTheme="minorEastAsia" w:eastAsiaTheme="minorEastAsia"/>
          <w:color w:val="333333"/>
          <w:kern w:val="0"/>
          <w:szCs w:val="21"/>
          <w:highlight w:val="none"/>
        </w:rPr>
        <w:t>严禁使用未成年人、童工和不适合现场安全施工要求的老、弱、病、残人员进行施工，否则造成后果由乙方负责。</w:t>
      </w:r>
    </w:p>
    <w:p>
      <w:pPr>
        <w:pStyle w:val="210"/>
        <w:spacing w:line="360" w:lineRule="auto"/>
        <w:ind w:firstLine="367" w:firstLineChars="175"/>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5</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乙方应建立安健环管理机构和安健环管理制度，提供安全管理责任人及相关业务安全员名单，并向甲方安健环管理部备案。</w:t>
      </w:r>
    </w:p>
    <w:p>
      <w:pPr>
        <w:pStyle w:val="210"/>
        <w:spacing w:line="360" w:lineRule="auto"/>
        <w:ind w:firstLine="371" w:firstLineChars="177"/>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6</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乙方应建立工作票管理架构，提供三种人人员名单并提交甲方安健环备案。乙方在承包项目业务实施现场工作时需严格执行甲方工作票甲乙双方双签制，三种人对现场施工安全负起相应责任。</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（二）作业人员要求</w:t>
      </w:r>
    </w:p>
    <w:p>
      <w:pPr>
        <w:spacing w:line="360" w:lineRule="auto"/>
        <w:ind w:firstLine="404" w:firstLineChars="200"/>
        <w:rPr>
          <w:rFonts w:asciiTheme="minorEastAsia" w:hAnsiTheme="minorEastAsia" w:eastAsiaTheme="minorEastAsia"/>
          <w:spacing w:val="-4"/>
          <w:szCs w:val="21"/>
          <w:highlight w:val="none"/>
        </w:rPr>
      </w:pPr>
      <w:r>
        <w:rPr>
          <w:rFonts w:hint="eastAsia" w:asciiTheme="minorEastAsia" w:hAnsiTheme="minorEastAsia" w:eastAsiaTheme="minorEastAsia"/>
          <w:spacing w:val="-4"/>
          <w:szCs w:val="21"/>
          <w:highlight w:val="none"/>
        </w:rPr>
        <w:t>7</w:t>
      </w:r>
      <w:r>
        <w:rPr>
          <w:rFonts w:asciiTheme="minorEastAsia" w:hAnsiTheme="minorEastAsia" w:eastAsiaTheme="minorEastAsia"/>
          <w:spacing w:val="-4"/>
          <w:szCs w:val="21"/>
          <w:highlight w:val="none"/>
        </w:rPr>
        <w:t>.</w:t>
      </w:r>
      <w:r>
        <w:rPr>
          <w:rFonts w:hint="eastAsia" w:asciiTheme="minorEastAsia" w:hAnsiTheme="minorEastAsia" w:eastAsiaTheme="minorEastAsia"/>
          <w:spacing w:val="-4"/>
          <w:szCs w:val="21"/>
          <w:highlight w:val="none"/>
        </w:rPr>
        <w:t>乙方新录用在甲方厂区工作的人员，乙方需组织进行所承包项目内各项业务的培训和安健环培训教育及考核合格报经甲方同意后，</w:t>
      </w:r>
      <w:r>
        <w:rPr>
          <w:rFonts w:hint="eastAsia" w:cs="宋体" w:asciiTheme="minorEastAsia" w:hAnsiTheme="minorEastAsia" w:eastAsiaTheme="minorEastAsia"/>
          <w:color w:val="333333"/>
          <w:kern w:val="0"/>
          <w:szCs w:val="21"/>
          <w:highlight w:val="none"/>
        </w:rPr>
        <w:t>在进厂前必须接受甲方安排的进厂三级安全教育并经甲方考核合格后，</w:t>
      </w:r>
      <w:r>
        <w:rPr>
          <w:rFonts w:hint="eastAsia" w:asciiTheme="minorEastAsia" w:hAnsiTheme="minorEastAsia" w:eastAsiaTheme="minorEastAsia"/>
          <w:spacing w:val="-4"/>
          <w:szCs w:val="21"/>
          <w:highlight w:val="none"/>
        </w:rPr>
        <w:t>办理出入厂证件后方可进入甲方厂区工作。</w:t>
      </w:r>
    </w:p>
    <w:p>
      <w:pPr>
        <w:spacing w:line="42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8</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乙方对已录用的在甲方厂区工作的人员，应做好日常管理和定期安健环教育，应对其工人进行每月至少一次的安健环教育活动，并做好记录，受教育者必须签名，接受甲方监督。乙方应于签订合同后</w:t>
      </w:r>
      <w:r>
        <w:rPr>
          <w:rFonts w:asciiTheme="minorEastAsia" w:hAnsiTheme="minorEastAsia" w:eastAsiaTheme="minorEastAsia"/>
          <w:szCs w:val="21"/>
          <w:highlight w:val="none"/>
        </w:rPr>
        <w:t>1</w:t>
      </w:r>
      <w:r>
        <w:rPr>
          <w:rFonts w:hint="eastAsia" w:asciiTheme="minorEastAsia" w:hAnsiTheme="minorEastAsia" w:eastAsiaTheme="minorEastAsia"/>
          <w:szCs w:val="21"/>
          <w:highlight w:val="none"/>
        </w:rPr>
        <w:t>个月内提供一份最新的人员名单和定期安健环教育的记录到甲方安健环管理部备案，并通知甲方。</w:t>
      </w:r>
    </w:p>
    <w:p>
      <w:pPr>
        <w:spacing w:line="420" w:lineRule="exact"/>
        <w:ind w:firstLine="420" w:firstLineChars="200"/>
        <w:rPr>
          <w:rFonts w:cs="宋体" w:asciiTheme="minorEastAsia" w:hAnsiTheme="minorEastAsia" w:eastAsiaTheme="minorEastAsia"/>
          <w:color w:val="333333"/>
          <w:kern w:val="0"/>
          <w:szCs w:val="21"/>
          <w:highlight w:val="none"/>
        </w:rPr>
      </w:pPr>
      <w:r>
        <w:rPr>
          <w:rFonts w:hint="eastAsia" w:cs="宋体" w:asciiTheme="minorEastAsia" w:hAnsiTheme="minorEastAsia" w:eastAsiaTheme="minorEastAsia"/>
          <w:color w:val="333333"/>
          <w:kern w:val="0"/>
          <w:szCs w:val="21"/>
          <w:highlight w:val="none"/>
        </w:rPr>
        <w:t>9. 乙方作业人员</w:t>
      </w:r>
      <w:r>
        <w:rPr>
          <w:rFonts w:cs="宋体" w:asciiTheme="minorEastAsia" w:hAnsiTheme="minorEastAsia" w:eastAsiaTheme="minorEastAsia"/>
          <w:color w:val="333333"/>
          <w:kern w:val="0"/>
          <w:szCs w:val="21"/>
          <w:highlight w:val="none"/>
        </w:rPr>
        <w:t>开工前</w:t>
      </w:r>
      <w:r>
        <w:rPr>
          <w:rFonts w:hint="eastAsia" w:cs="宋体" w:asciiTheme="minorEastAsia" w:hAnsiTheme="minorEastAsia" w:eastAsiaTheme="minorEastAsia"/>
          <w:color w:val="333333"/>
          <w:kern w:val="0"/>
          <w:szCs w:val="21"/>
          <w:highlight w:val="none"/>
        </w:rPr>
        <w:t>必须接受甲方安排的</w:t>
      </w:r>
      <w:r>
        <w:rPr>
          <w:rFonts w:cs="宋体" w:asciiTheme="minorEastAsia" w:hAnsiTheme="minorEastAsia" w:eastAsiaTheme="minorEastAsia"/>
          <w:color w:val="333333"/>
          <w:kern w:val="0"/>
          <w:szCs w:val="21"/>
          <w:highlight w:val="none"/>
        </w:rPr>
        <w:t>安全技术交底，全体</w:t>
      </w:r>
      <w:r>
        <w:rPr>
          <w:rFonts w:hint="eastAsia" w:cs="宋体" w:asciiTheme="minorEastAsia" w:hAnsiTheme="minorEastAsia" w:eastAsiaTheme="minorEastAsia"/>
          <w:color w:val="333333"/>
          <w:kern w:val="0"/>
          <w:szCs w:val="21"/>
          <w:highlight w:val="none"/>
        </w:rPr>
        <w:t>作业</w:t>
      </w:r>
      <w:r>
        <w:rPr>
          <w:rFonts w:cs="宋体" w:asciiTheme="minorEastAsia" w:hAnsiTheme="minorEastAsia" w:eastAsiaTheme="minorEastAsia"/>
          <w:color w:val="333333"/>
          <w:kern w:val="0"/>
          <w:szCs w:val="21"/>
          <w:highlight w:val="none"/>
        </w:rPr>
        <w:t>人员均应掌握工程特点及施工安全措施。</w:t>
      </w:r>
    </w:p>
    <w:p>
      <w:pPr>
        <w:pStyle w:val="210"/>
        <w:spacing w:line="360" w:lineRule="auto"/>
        <w:ind w:firstLine="371" w:firstLineChars="177"/>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10</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乙方新录用在甲方厂区工作的人员，应在上岗前进行职业健康体检并符合要求才准上岗。体检报告复印件交甲方安健环部备案。</w:t>
      </w:r>
    </w:p>
    <w:p>
      <w:pPr>
        <w:pStyle w:val="210"/>
        <w:spacing w:line="360" w:lineRule="auto"/>
        <w:ind w:firstLine="371" w:firstLineChars="177"/>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11</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乙方应建立录用人员个人职业卫生健康档案，乙方对已录用的在甲方厂区工作的人员，应按有关法规每年定期进行职业体检。乙方应提供一份最新的员工健康状况记录（体检结果一览表）到甲方安健环管理部备案。</w:t>
      </w:r>
    </w:p>
    <w:p>
      <w:pPr>
        <w:pStyle w:val="210"/>
        <w:spacing w:line="360" w:lineRule="auto"/>
        <w:ind w:firstLine="371" w:firstLineChars="177"/>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12</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乙方已录用的在甲方厂区工作的人员，如不再于甲方厂区工作，乙方应对其进行离职职业体检。体检报告复印件交甲方安健环部留底。乙方已录用人员不得从事在甲方厂区的其他公司兼职工作。</w:t>
      </w:r>
    </w:p>
    <w:p>
      <w:pPr>
        <w:pStyle w:val="210"/>
        <w:spacing w:line="360" w:lineRule="auto"/>
        <w:ind w:firstLine="371" w:firstLineChars="177"/>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13</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乙方应建立个人防护投入台帐，对已录用的在甲方厂区工作的人员，应购置发放合格安全及卫生等劳保用品，乙方应每半年提供一份最新的卫生及劳保用品发放记录及所购劳保用品合格证明到甲方安健环管理部备案。乙方应保证乙方工作人员的职业卫生防护措施、劳动保护措施、劳动保护和卫生防护用品落实到位、按标准发放并有效使用。</w:t>
      </w:r>
    </w:p>
    <w:p>
      <w:pPr>
        <w:pStyle w:val="210"/>
        <w:spacing w:line="360" w:lineRule="auto"/>
        <w:ind w:firstLine="371" w:firstLineChars="177"/>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14</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乙方对已录用的在甲方厂区工作的人员，应按有关法规购买包含工伤保险在内的社会保险或工伤保险。</w:t>
      </w:r>
    </w:p>
    <w:p>
      <w:pPr>
        <w:pStyle w:val="210"/>
        <w:spacing w:line="360" w:lineRule="auto"/>
        <w:ind w:firstLine="371" w:firstLineChars="177"/>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15</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乙方应按国家及地方有关规定，做好高温季节作业防暑工作。</w:t>
      </w:r>
    </w:p>
    <w:p>
      <w:pPr>
        <w:pStyle w:val="210"/>
        <w:spacing w:line="360" w:lineRule="auto"/>
        <w:ind w:firstLine="371" w:firstLineChars="177"/>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16</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以上工作及及涉及费用均由乙方负责。</w:t>
      </w:r>
    </w:p>
    <w:p>
      <w:pPr>
        <w:pStyle w:val="210"/>
        <w:spacing w:line="360" w:lineRule="auto"/>
        <w:ind w:firstLine="371" w:firstLineChars="177"/>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（三）遵守甲方制度、规定及违约考核</w:t>
      </w:r>
    </w:p>
    <w:p>
      <w:pPr>
        <w:pStyle w:val="210"/>
        <w:spacing w:line="360" w:lineRule="auto"/>
        <w:ind w:firstLine="371" w:firstLineChars="177"/>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17</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乙方应保证其人员遵守甲方的各项规章制度，遵守劳动纪律。</w:t>
      </w:r>
    </w:p>
    <w:p>
      <w:pPr>
        <w:pStyle w:val="210"/>
        <w:spacing w:line="360" w:lineRule="auto"/>
        <w:ind w:firstLine="371" w:firstLineChars="177"/>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18</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施工用电要求：</w:t>
      </w:r>
      <w:r>
        <w:rPr>
          <w:rFonts w:asciiTheme="minorEastAsia" w:hAnsiTheme="minorEastAsia" w:eastAsiaTheme="minorEastAsia"/>
          <w:szCs w:val="21"/>
          <w:highlight w:val="none"/>
        </w:rPr>
        <w:t>施工用电必须由甲方同意并办理</w:t>
      </w:r>
      <w:r>
        <w:rPr>
          <w:rFonts w:hint="eastAsia" w:asciiTheme="minorEastAsia" w:hAnsiTheme="minorEastAsia" w:eastAsiaTheme="minorEastAsia"/>
          <w:szCs w:val="21"/>
          <w:highlight w:val="none"/>
        </w:rPr>
        <w:t>临时用电审批。不得乱拉乱接</w:t>
      </w:r>
      <w:r>
        <w:rPr>
          <w:rFonts w:asciiTheme="minorEastAsia" w:hAnsiTheme="minorEastAsia" w:eastAsiaTheme="minorEastAsia"/>
          <w:szCs w:val="21"/>
          <w:highlight w:val="none"/>
        </w:rPr>
        <w:t xml:space="preserve">, </w:t>
      </w:r>
      <w:r>
        <w:rPr>
          <w:rFonts w:hint="eastAsia" w:asciiTheme="minorEastAsia" w:hAnsiTheme="minorEastAsia" w:eastAsiaTheme="minorEastAsia"/>
          <w:szCs w:val="21"/>
          <w:highlight w:val="none"/>
        </w:rPr>
        <w:t>每违反一次扣款</w:t>
      </w:r>
      <w:r>
        <w:rPr>
          <w:rFonts w:asciiTheme="minorEastAsia" w:hAnsiTheme="minorEastAsia" w:eastAsiaTheme="minorEastAsia"/>
          <w:szCs w:val="21"/>
          <w:highlight w:val="none"/>
        </w:rPr>
        <w:t>500元。</w:t>
      </w:r>
    </w:p>
    <w:p>
      <w:pPr>
        <w:pStyle w:val="210"/>
        <w:spacing w:line="360" w:lineRule="auto"/>
        <w:ind w:firstLine="371" w:firstLineChars="177"/>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19</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高空作业要求：</w:t>
      </w:r>
      <w:r>
        <w:rPr>
          <w:rFonts w:asciiTheme="minorEastAsia" w:hAnsiTheme="minorEastAsia" w:eastAsiaTheme="minorEastAsia"/>
          <w:szCs w:val="21"/>
          <w:highlight w:val="none"/>
        </w:rPr>
        <w:t xml:space="preserve">高空作业严格执行相关规定，必须做好安全防护措施，应配带安全带, </w:t>
      </w:r>
      <w:r>
        <w:rPr>
          <w:rFonts w:hint="eastAsia" w:asciiTheme="minorEastAsia" w:hAnsiTheme="minorEastAsia" w:eastAsiaTheme="minorEastAsia"/>
          <w:szCs w:val="21"/>
          <w:highlight w:val="none"/>
        </w:rPr>
        <w:t>并有专人监护</w:t>
      </w:r>
      <w:r>
        <w:rPr>
          <w:rFonts w:asciiTheme="minorEastAsia" w:hAnsiTheme="minorEastAsia" w:eastAsiaTheme="minorEastAsia"/>
          <w:szCs w:val="21"/>
          <w:highlight w:val="none"/>
        </w:rPr>
        <w:t xml:space="preserve">, </w:t>
      </w:r>
      <w:r>
        <w:rPr>
          <w:rFonts w:hint="eastAsia" w:asciiTheme="minorEastAsia" w:hAnsiTheme="minorEastAsia" w:eastAsiaTheme="minorEastAsia"/>
          <w:szCs w:val="21"/>
          <w:highlight w:val="none"/>
        </w:rPr>
        <w:t>违反规定每次扣款</w:t>
      </w:r>
      <w:r>
        <w:rPr>
          <w:rFonts w:asciiTheme="minorEastAsia" w:hAnsiTheme="minorEastAsia" w:eastAsiaTheme="minorEastAsia"/>
          <w:szCs w:val="21"/>
          <w:highlight w:val="none"/>
        </w:rPr>
        <w:t>500元。</w:t>
      </w:r>
    </w:p>
    <w:p>
      <w:pPr>
        <w:pStyle w:val="210"/>
        <w:spacing w:line="360" w:lineRule="auto"/>
        <w:ind w:firstLine="371" w:firstLineChars="177"/>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20</w:t>
      </w:r>
      <w:r>
        <w:rPr>
          <w:rFonts w:asciiTheme="minorEastAsia" w:hAnsiTheme="minorEastAsia" w:eastAsiaTheme="minorEastAsia"/>
          <w:szCs w:val="21"/>
          <w:highlight w:val="none"/>
        </w:rPr>
        <w:t>．易燃、易爆等危险品</w:t>
      </w:r>
      <w:r>
        <w:rPr>
          <w:rFonts w:hint="eastAsia" w:asciiTheme="minorEastAsia" w:hAnsiTheme="minorEastAsia" w:eastAsiaTheme="minorEastAsia"/>
          <w:szCs w:val="21"/>
          <w:highlight w:val="none"/>
        </w:rPr>
        <w:t>要求：</w:t>
      </w:r>
      <w:r>
        <w:rPr>
          <w:rFonts w:asciiTheme="minorEastAsia" w:hAnsiTheme="minorEastAsia" w:eastAsiaTheme="minorEastAsia"/>
          <w:szCs w:val="21"/>
          <w:highlight w:val="none"/>
        </w:rPr>
        <w:t xml:space="preserve">工程使用的易燃、易爆等危险品, </w:t>
      </w:r>
      <w:r>
        <w:rPr>
          <w:rFonts w:hint="eastAsia" w:asciiTheme="minorEastAsia" w:hAnsiTheme="minorEastAsia" w:eastAsiaTheme="minorEastAsia"/>
          <w:szCs w:val="21"/>
          <w:highlight w:val="none"/>
        </w:rPr>
        <w:t>应专门存放并由专人负责</w:t>
      </w:r>
      <w:r>
        <w:rPr>
          <w:rFonts w:asciiTheme="minorEastAsia" w:hAnsiTheme="minorEastAsia" w:eastAsiaTheme="minorEastAsia"/>
          <w:szCs w:val="21"/>
          <w:highlight w:val="none"/>
        </w:rPr>
        <w:t xml:space="preserve">, </w:t>
      </w:r>
      <w:r>
        <w:rPr>
          <w:rFonts w:hint="eastAsia" w:asciiTheme="minorEastAsia" w:hAnsiTheme="minorEastAsia" w:eastAsiaTheme="minorEastAsia"/>
          <w:szCs w:val="21"/>
          <w:highlight w:val="none"/>
        </w:rPr>
        <w:t>存放处要配置专用灭火器材，禁止己开启使用的危险品在施工现场存放过夜</w:t>
      </w:r>
      <w:r>
        <w:rPr>
          <w:rFonts w:asciiTheme="minorEastAsia" w:hAnsiTheme="minorEastAsia" w:eastAsiaTheme="minorEastAsia"/>
          <w:szCs w:val="21"/>
          <w:highlight w:val="none"/>
        </w:rPr>
        <w:t xml:space="preserve">, </w:t>
      </w:r>
      <w:r>
        <w:rPr>
          <w:rFonts w:hint="eastAsia" w:asciiTheme="minorEastAsia" w:hAnsiTheme="minorEastAsia" w:eastAsiaTheme="minorEastAsia"/>
          <w:szCs w:val="21"/>
          <w:highlight w:val="none"/>
        </w:rPr>
        <w:t>违反者每次扣款</w:t>
      </w:r>
      <w:r>
        <w:rPr>
          <w:rFonts w:asciiTheme="minorEastAsia" w:hAnsiTheme="minorEastAsia" w:eastAsiaTheme="minorEastAsia"/>
          <w:szCs w:val="21"/>
          <w:highlight w:val="none"/>
        </w:rPr>
        <w:t>300元，未配置专用灭火器材，每次</w:t>
      </w:r>
      <w:r>
        <w:rPr>
          <w:rFonts w:hint="eastAsia" w:asciiTheme="minorEastAsia" w:hAnsiTheme="minorEastAsia" w:eastAsiaTheme="minorEastAsia"/>
          <w:szCs w:val="21"/>
          <w:highlight w:val="none"/>
        </w:rPr>
        <w:t>扣</w:t>
      </w:r>
      <w:r>
        <w:rPr>
          <w:rFonts w:asciiTheme="minorEastAsia" w:hAnsiTheme="minorEastAsia" w:eastAsiaTheme="minorEastAsia"/>
          <w:szCs w:val="21"/>
          <w:highlight w:val="none"/>
        </w:rPr>
        <w:t>款500元。</w:t>
      </w:r>
    </w:p>
    <w:p>
      <w:pPr>
        <w:pStyle w:val="210"/>
        <w:spacing w:line="360" w:lineRule="auto"/>
        <w:ind w:firstLine="371" w:firstLineChars="177"/>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21.动火要求：</w:t>
      </w:r>
      <w:r>
        <w:rPr>
          <w:rFonts w:asciiTheme="minorEastAsia" w:hAnsiTheme="minorEastAsia" w:eastAsiaTheme="minorEastAsia"/>
          <w:szCs w:val="21"/>
          <w:highlight w:val="none"/>
        </w:rPr>
        <w:t>乙方必须严格执行各类防火、防爆制度，重点防火部位如需动火时由甲方责任单位办理动火工作票。</w:t>
      </w:r>
    </w:p>
    <w:p>
      <w:pPr>
        <w:pStyle w:val="210"/>
        <w:spacing w:line="360" w:lineRule="auto"/>
        <w:ind w:firstLine="371" w:firstLineChars="177"/>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22.动土要求：乙方施工作业如需开挖动土作业，则必须按照甲方规定和程序办理动土作业证。</w:t>
      </w:r>
    </w:p>
    <w:p>
      <w:pPr>
        <w:spacing w:line="420" w:lineRule="exact"/>
        <w:ind w:firstLine="420" w:firstLineChars="200"/>
        <w:rPr>
          <w:rFonts w:cs="宋体" w:asciiTheme="minorEastAsia" w:hAnsiTheme="minorEastAsia" w:eastAsiaTheme="minorEastAsia"/>
          <w:color w:val="333333"/>
          <w:kern w:val="0"/>
          <w:szCs w:val="21"/>
          <w:highlight w:val="none"/>
        </w:rPr>
      </w:pPr>
      <w:r>
        <w:rPr>
          <w:rFonts w:hint="eastAsia" w:cs="宋体" w:asciiTheme="minorEastAsia" w:hAnsiTheme="minorEastAsia" w:eastAsiaTheme="minorEastAsia"/>
          <w:color w:val="333333"/>
          <w:kern w:val="0"/>
          <w:szCs w:val="21"/>
          <w:highlight w:val="none"/>
        </w:rPr>
        <w:t>23.施工工具要求：</w:t>
      </w:r>
    </w:p>
    <w:p>
      <w:pPr>
        <w:spacing w:line="420" w:lineRule="exact"/>
        <w:ind w:firstLine="420" w:firstLineChars="200"/>
        <w:rPr>
          <w:rFonts w:cs="宋体" w:asciiTheme="minorEastAsia" w:hAnsiTheme="minorEastAsia" w:eastAsiaTheme="minorEastAsia"/>
          <w:color w:val="333333"/>
          <w:kern w:val="0"/>
          <w:szCs w:val="21"/>
          <w:highlight w:val="none"/>
        </w:rPr>
      </w:pPr>
      <w:r>
        <w:rPr>
          <w:rFonts w:hint="eastAsia" w:cs="宋体" w:asciiTheme="minorEastAsia" w:hAnsiTheme="minorEastAsia" w:eastAsiaTheme="minorEastAsia"/>
          <w:color w:val="333333"/>
          <w:kern w:val="0"/>
          <w:szCs w:val="21"/>
          <w:highlight w:val="none"/>
        </w:rPr>
        <w:t>（1）</w:t>
      </w:r>
      <w:r>
        <w:rPr>
          <w:rFonts w:cs="宋体" w:asciiTheme="minorEastAsia" w:hAnsiTheme="minorEastAsia" w:eastAsiaTheme="minorEastAsia"/>
          <w:color w:val="333333"/>
          <w:kern w:val="0"/>
          <w:szCs w:val="21"/>
          <w:highlight w:val="none"/>
        </w:rPr>
        <w:t>开工前应对施工机械、工器具及安全防护设施进行检查，并符合相关规定</w:t>
      </w:r>
      <w:r>
        <w:rPr>
          <w:rFonts w:hint="eastAsia" w:cs="宋体" w:asciiTheme="minorEastAsia" w:hAnsiTheme="minorEastAsia" w:eastAsiaTheme="minorEastAsia"/>
          <w:color w:val="333333"/>
          <w:kern w:val="0"/>
          <w:szCs w:val="21"/>
          <w:highlight w:val="none"/>
        </w:rPr>
        <w:t>。</w:t>
      </w:r>
    </w:p>
    <w:p>
      <w:pPr>
        <w:spacing w:line="420" w:lineRule="exact"/>
        <w:ind w:firstLine="420" w:firstLineChars="200"/>
        <w:rPr>
          <w:rFonts w:cs="宋体" w:asciiTheme="minorEastAsia" w:hAnsiTheme="minorEastAsia" w:eastAsiaTheme="minorEastAsia"/>
          <w:color w:val="333333"/>
          <w:kern w:val="0"/>
          <w:szCs w:val="21"/>
          <w:highlight w:val="none"/>
        </w:rPr>
      </w:pPr>
      <w:r>
        <w:rPr>
          <w:rFonts w:hint="eastAsia" w:cs="宋体" w:asciiTheme="minorEastAsia" w:hAnsiTheme="minorEastAsia" w:eastAsiaTheme="minorEastAsia"/>
          <w:color w:val="333333"/>
          <w:kern w:val="0"/>
          <w:szCs w:val="21"/>
          <w:highlight w:val="none"/>
        </w:rPr>
        <w:t>（2）</w:t>
      </w:r>
      <w:r>
        <w:rPr>
          <w:rFonts w:cs="宋体" w:asciiTheme="minorEastAsia" w:hAnsiTheme="minorEastAsia" w:eastAsiaTheme="minorEastAsia"/>
          <w:color w:val="333333"/>
          <w:kern w:val="0"/>
          <w:szCs w:val="21"/>
          <w:highlight w:val="none"/>
        </w:rPr>
        <w:t>乙方在施工期间所用的设备以及工具等由乙方自备。如乙方向甲方借用或租赁设备和工具，乙方应进行检验，一经接受，就表示乙方确认所借用或租赁的设备和工具合格，</w:t>
      </w:r>
      <w:r>
        <w:rPr>
          <w:rFonts w:hint="eastAsia" w:cs="宋体" w:asciiTheme="minorEastAsia" w:hAnsiTheme="minorEastAsia" w:eastAsiaTheme="minorEastAsia"/>
          <w:color w:val="333333"/>
          <w:kern w:val="0"/>
          <w:szCs w:val="21"/>
          <w:highlight w:val="none"/>
        </w:rPr>
        <w:t>乙方负责</w:t>
      </w:r>
      <w:r>
        <w:rPr>
          <w:rFonts w:cs="宋体" w:asciiTheme="minorEastAsia" w:hAnsiTheme="minorEastAsia" w:eastAsiaTheme="minorEastAsia"/>
          <w:color w:val="333333"/>
          <w:kern w:val="0"/>
          <w:szCs w:val="21"/>
          <w:highlight w:val="none"/>
        </w:rPr>
        <w:t>设备和工具的保管、维修以及使用过程中产生的故障、损坏修复和赔偿，造成人身事故由乙方承担责任。</w:t>
      </w:r>
    </w:p>
    <w:p>
      <w:pPr>
        <w:spacing w:line="420" w:lineRule="exact"/>
        <w:ind w:firstLine="420" w:firstLineChars="200"/>
        <w:rPr>
          <w:rFonts w:cs="宋体" w:asciiTheme="minorEastAsia" w:hAnsiTheme="minorEastAsia" w:eastAsiaTheme="minorEastAsia"/>
          <w:color w:val="333333"/>
          <w:kern w:val="0"/>
          <w:szCs w:val="21"/>
          <w:highlight w:val="none"/>
        </w:rPr>
      </w:pPr>
      <w:r>
        <w:rPr>
          <w:rFonts w:hint="eastAsia" w:cs="宋体" w:asciiTheme="minorEastAsia" w:hAnsiTheme="minorEastAsia" w:eastAsiaTheme="minorEastAsia"/>
          <w:color w:val="333333"/>
          <w:kern w:val="0"/>
          <w:szCs w:val="21"/>
          <w:highlight w:val="none"/>
        </w:rPr>
        <w:t>24．工程废弃物及生活垃圾要求：乙方必须对施工过程中产生的废弃物（如石棉、含油抹布、废弃电池、废油漆罐、工程垃圾等）单独及时自行回收处理。</w:t>
      </w:r>
      <w:r>
        <w:rPr>
          <w:rFonts w:cs="宋体" w:asciiTheme="minorEastAsia" w:hAnsiTheme="minorEastAsia" w:eastAsiaTheme="minorEastAsia"/>
          <w:color w:val="333333"/>
          <w:kern w:val="0"/>
          <w:szCs w:val="21"/>
          <w:highlight w:val="none"/>
        </w:rPr>
        <w:t>生活垃圾应按规定集中清倒到</w:t>
      </w:r>
      <w:r>
        <w:rPr>
          <w:rFonts w:hint="eastAsia" w:cs="宋体" w:asciiTheme="minorEastAsia" w:hAnsiTheme="minorEastAsia" w:eastAsiaTheme="minorEastAsia"/>
          <w:color w:val="333333"/>
          <w:kern w:val="0"/>
          <w:szCs w:val="21"/>
          <w:highlight w:val="none"/>
        </w:rPr>
        <w:t>甲方</w:t>
      </w:r>
      <w:r>
        <w:rPr>
          <w:rFonts w:cs="宋体" w:asciiTheme="minorEastAsia" w:hAnsiTheme="minorEastAsia" w:eastAsiaTheme="minorEastAsia"/>
          <w:color w:val="333333"/>
          <w:kern w:val="0"/>
          <w:szCs w:val="21"/>
          <w:highlight w:val="none"/>
        </w:rPr>
        <w:t>指定地点,</w:t>
      </w:r>
      <w:r>
        <w:rPr>
          <w:rFonts w:hint="eastAsia" w:cs="宋体" w:asciiTheme="minorEastAsia" w:hAnsiTheme="minorEastAsia" w:eastAsiaTheme="minorEastAsia"/>
          <w:color w:val="333333"/>
          <w:kern w:val="0"/>
          <w:szCs w:val="21"/>
          <w:highlight w:val="none"/>
        </w:rPr>
        <w:t>有违规乱抛乱洒的。每发现一次扣款</w:t>
      </w:r>
      <w:r>
        <w:rPr>
          <w:rFonts w:cs="宋体" w:asciiTheme="minorEastAsia" w:hAnsiTheme="minorEastAsia" w:eastAsiaTheme="minorEastAsia"/>
          <w:color w:val="333333"/>
          <w:kern w:val="0"/>
          <w:szCs w:val="21"/>
          <w:highlight w:val="none"/>
        </w:rPr>
        <w:t>200元</w:t>
      </w:r>
      <w:r>
        <w:rPr>
          <w:rFonts w:hint="eastAsia" w:cs="宋体" w:asciiTheme="minorEastAsia" w:hAnsiTheme="minorEastAsia" w:eastAsiaTheme="minorEastAsia"/>
          <w:color w:val="333333"/>
          <w:kern w:val="0"/>
          <w:szCs w:val="21"/>
          <w:highlight w:val="none"/>
        </w:rPr>
        <w:t>。</w:t>
      </w:r>
    </w:p>
    <w:p>
      <w:pPr>
        <w:spacing w:line="420" w:lineRule="exact"/>
        <w:ind w:firstLine="420" w:firstLineChars="200"/>
        <w:rPr>
          <w:rFonts w:cs="宋体" w:asciiTheme="minorEastAsia" w:hAnsiTheme="minorEastAsia" w:eastAsiaTheme="minorEastAsia"/>
          <w:color w:val="333333"/>
          <w:kern w:val="0"/>
          <w:szCs w:val="21"/>
          <w:highlight w:val="none"/>
        </w:rPr>
      </w:pPr>
      <w:r>
        <w:rPr>
          <w:rFonts w:hint="eastAsia" w:cs="宋体" w:asciiTheme="minorEastAsia" w:hAnsiTheme="minorEastAsia" w:eastAsiaTheme="minorEastAsia"/>
          <w:color w:val="333333"/>
          <w:kern w:val="0"/>
          <w:szCs w:val="21"/>
          <w:highlight w:val="none"/>
        </w:rPr>
        <w:t>25.施工范围周边环境绿化要求：</w:t>
      </w:r>
      <w:r>
        <w:rPr>
          <w:rFonts w:cs="宋体" w:asciiTheme="minorEastAsia" w:hAnsiTheme="minorEastAsia" w:eastAsiaTheme="minorEastAsia"/>
          <w:color w:val="333333"/>
          <w:kern w:val="0"/>
          <w:szCs w:val="21"/>
          <w:highlight w:val="none"/>
        </w:rPr>
        <w:t>乙方</w:t>
      </w:r>
      <w:r>
        <w:rPr>
          <w:rFonts w:hint="eastAsia" w:cs="宋体" w:asciiTheme="minorEastAsia" w:hAnsiTheme="minorEastAsia" w:eastAsiaTheme="minorEastAsia"/>
          <w:color w:val="333333"/>
          <w:kern w:val="0"/>
          <w:szCs w:val="21"/>
          <w:highlight w:val="none"/>
        </w:rPr>
        <w:t>必须</w:t>
      </w:r>
      <w:r>
        <w:rPr>
          <w:rFonts w:cs="宋体" w:asciiTheme="minorEastAsia" w:hAnsiTheme="minorEastAsia" w:eastAsiaTheme="minorEastAsia"/>
          <w:color w:val="333333"/>
          <w:kern w:val="0"/>
          <w:szCs w:val="21"/>
          <w:highlight w:val="none"/>
        </w:rPr>
        <w:t>维护周边现场的绿化</w:t>
      </w:r>
      <w:r>
        <w:rPr>
          <w:rFonts w:hint="eastAsia" w:cs="宋体" w:asciiTheme="minorEastAsia" w:hAnsiTheme="minorEastAsia" w:eastAsiaTheme="minorEastAsia"/>
          <w:color w:val="333333"/>
          <w:kern w:val="0"/>
          <w:szCs w:val="21"/>
          <w:highlight w:val="none"/>
        </w:rPr>
        <w:t>，</w:t>
      </w:r>
      <w:r>
        <w:rPr>
          <w:rFonts w:cs="宋体" w:asciiTheme="minorEastAsia" w:hAnsiTheme="minorEastAsia" w:eastAsiaTheme="minorEastAsia"/>
          <w:color w:val="333333"/>
          <w:kern w:val="0"/>
          <w:szCs w:val="21"/>
          <w:highlight w:val="none"/>
        </w:rPr>
        <w:t>保证周围树木、草皮的正常生长，凡发生损坏树木、草皮的，扣乙方该项事故修复费用的150%。</w:t>
      </w:r>
    </w:p>
    <w:p>
      <w:pPr>
        <w:spacing w:line="420" w:lineRule="exact"/>
        <w:ind w:firstLine="420" w:firstLineChars="200"/>
        <w:rPr>
          <w:rFonts w:cs="宋体" w:asciiTheme="minorEastAsia" w:hAnsiTheme="minorEastAsia" w:eastAsiaTheme="minorEastAsia"/>
          <w:color w:val="333333"/>
          <w:kern w:val="0"/>
          <w:szCs w:val="21"/>
          <w:highlight w:val="none"/>
        </w:rPr>
      </w:pPr>
      <w:r>
        <w:rPr>
          <w:rFonts w:hint="eastAsia" w:cs="宋体" w:asciiTheme="minorEastAsia" w:hAnsiTheme="minorEastAsia" w:eastAsiaTheme="minorEastAsia"/>
          <w:color w:val="333333"/>
          <w:kern w:val="0"/>
          <w:szCs w:val="21"/>
          <w:highlight w:val="none"/>
        </w:rPr>
        <w:t>26.施工作业环境要求：</w:t>
      </w:r>
    </w:p>
    <w:p>
      <w:pPr>
        <w:spacing w:line="420" w:lineRule="exact"/>
        <w:ind w:firstLine="420" w:firstLineChars="200"/>
        <w:rPr>
          <w:rFonts w:cs="宋体" w:asciiTheme="minorEastAsia" w:hAnsiTheme="minorEastAsia" w:eastAsiaTheme="minorEastAsia"/>
          <w:color w:val="333333"/>
          <w:kern w:val="0"/>
          <w:szCs w:val="21"/>
          <w:highlight w:val="none"/>
        </w:rPr>
      </w:pPr>
      <w:r>
        <w:rPr>
          <w:rFonts w:hint="eastAsia" w:cs="宋体" w:asciiTheme="minorEastAsia" w:hAnsiTheme="minorEastAsia" w:eastAsiaTheme="minorEastAsia"/>
          <w:color w:val="333333"/>
          <w:kern w:val="0"/>
          <w:szCs w:val="21"/>
          <w:highlight w:val="none"/>
        </w:rPr>
        <w:t>（1）</w:t>
      </w:r>
      <w:r>
        <w:rPr>
          <w:rFonts w:cs="宋体" w:asciiTheme="minorEastAsia" w:hAnsiTheme="minorEastAsia" w:eastAsiaTheme="minorEastAsia"/>
          <w:color w:val="333333"/>
          <w:kern w:val="0"/>
          <w:szCs w:val="21"/>
          <w:highlight w:val="none"/>
        </w:rPr>
        <w:t>乙方对所处的施工区域、作业环境等应认真检查，发现隐患应及时向甲方反映，落实整改后方可进行施工，一经施工，就表示乙方确认施工场所符合安全要求和处于安全状态。乙方应对施工过程中产生的后果自行负责。</w:t>
      </w:r>
    </w:p>
    <w:p>
      <w:pPr>
        <w:spacing w:line="420" w:lineRule="exact"/>
        <w:ind w:firstLine="420" w:firstLineChars="200"/>
        <w:rPr>
          <w:rFonts w:cs="宋体" w:asciiTheme="minorEastAsia" w:hAnsiTheme="minorEastAsia" w:eastAsiaTheme="minorEastAsia"/>
          <w:color w:val="333333"/>
          <w:kern w:val="0"/>
          <w:szCs w:val="21"/>
          <w:highlight w:val="none"/>
        </w:rPr>
      </w:pPr>
      <w:r>
        <w:rPr>
          <w:rFonts w:hint="eastAsia" w:cs="宋体" w:asciiTheme="minorEastAsia" w:hAnsiTheme="minorEastAsia" w:eastAsiaTheme="minorEastAsia"/>
          <w:color w:val="333333"/>
          <w:kern w:val="0"/>
          <w:szCs w:val="21"/>
          <w:highlight w:val="none"/>
        </w:rPr>
        <w:t>（2）</w:t>
      </w:r>
      <w:r>
        <w:rPr>
          <w:rFonts w:cs="宋体" w:asciiTheme="minorEastAsia" w:hAnsiTheme="minorEastAsia" w:eastAsiaTheme="minorEastAsia"/>
          <w:color w:val="333333"/>
          <w:kern w:val="0"/>
          <w:szCs w:val="21"/>
          <w:highlight w:val="none"/>
        </w:rPr>
        <w:t>乙方在施工中，应保证地下管道、管线、电缆及高低压架空线、通讯线路的安全，遇有问题应及时</w:t>
      </w:r>
      <w:r>
        <w:rPr>
          <w:rFonts w:hint="eastAsia" w:cs="宋体" w:asciiTheme="minorEastAsia" w:hAnsiTheme="minorEastAsia" w:eastAsiaTheme="minorEastAsia"/>
          <w:color w:val="333333"/>
          <w:kern w:val="0"/>
          <w:szCs w:val="21"/>
          <w:highlight w:val="none"/>
        </w:rPr>
        <w:t>与</w:t>
      </w:r>
      <w:r>
        <w:rPr>
          <w:rFonts w:cs="宋体" w:asciiTheme="minorEastAsia" w:hAnsiTheme="minorEastAsia" w:eastAsiaTheme="minorEastAsia"/>
          <w:color w:val="333333"/>
          <w:kern w:val="0"/>
          <w:szCs w:val="21"/>
          <w:highlight w:val="none"/>
        </w:rPr>
        <w:t>甲方联系，采取保护措施。</w:t>
      </w:r>
    </w:p>
    <w:p>
      <w:pPr>
        <w:spacing w:line="420" w:lineRule="exact"/>
        <w:ind w:firstLine="420" w:firstLineChars="200"/>
        <w:rPr>
          <w:rFonts w:cs="宋体" w:asciiTheme="minorEastAsia" w:hAnsiTheme="minorEastAsia" w:eastAsiaTheme="minorEastAsia"/>
          <w:color w:val="333333"/>
          <w:kern w:val="0"/>
          <w:szCs w:val="21"/>
          <w:highlight w:val="none"/>
        </w:rPr>
      </w:pPr>
      <w:r>
        <w:rPr>
          <w:rFonts w:hint="eastAsia" w:cs="宋体" w:asciiTheme="minorEastAsia" w:hAnsiTheme="minorEastAsia" w:eastAsiaTheme="minorEastAsia"/>
          <w:color w:val="333333"/>
          <w:kern w:val="0"/>
          <w:szCs w:val="21"/>
          <w:highlight w:val="none"/>
        </w:rPr>
        <w:t>（3）乙方必须保护好厂区相关设备及建筑物，</w:t>
      </w:r>
      <w:r>
        <w:rPr>
          <w:rFonts w:cs="宋体" w:asciiTheme="minorEastAsia" w:hAnsiTheme="minorEastAsia" w:eastAsiaTheme="minorEastAsia"/>
          <w:color w:val="333333"/>
          <w:kern w:val="0"/>
          <w:szCs w:val="21"/>
          <w:highlight w:val="none"/>
        </w:rPr>
        <w:t>如因乙方原因造成甲方的相关设备及建筑物损坏，乙方除负责修复外,还应按甲方直接经济损失的150%进行赔偿。</w:t>
      </w:r>
    </w:p>
    <w:p>
      <w:pPr>
        <w:spacing w:line="420" w:lineRule="exact"/>
        <w:ind w:firstLine="420" w:firstLineChars="200"/>
        <w:rPr>
          <w:rFonts w:cs="宋体" w:asciiTheme="minorEastAsia" w:hAnsiTheme="minorEastAsia" w:eastAsiaTheme="minorEastAsia"/>
          <w:color w:val="333333"/>
          <w:kern w:val="0"/>
          <w:szCs w:val="21"/>
          <w:highlight w:val="none"/>
        </w:rPr>
      </w:pPr>
      <w:r>
        <w:rPr>
          <w:rFonts w:hint="eastAsia" w:cs="宋体" w:asciiTheme="minorEastAsia" w:hAnsiTheme="minorEastAsia" w:eastAsiaTheme="minorEastAsia"/>
          <w:color w:val="333333"/>
          <w:kern w:val="0"/>
          <w:szCs w:val="21"/>
          <w:highlight w:val="none"/>
        </w:rPr>
        <w:t>（4）甲方各类安全防护设施、遮拦、安全标志牌、警告牌、接地线等不得擅自拆除、更动，如确实需要拆除、更动的，需要经施工负责人和甲乙方指派的安全管理人员同意并办理手续后，并采取必要可靠的安全措施方能拆除、更动现场安全设施。</w:t>
      </w:r>
    </w:p>
    <w:p>
      <w:pPr>
        <w:spacing w:line="420" w:lineRule="exact"/>
        <w:ind w:firstLine="420" w:firstLineChars="200"/>
        <w:rPr>
          <w:rFonts w:cs="宋体" w:asciiTheme="minorEastAsia" w:hAnsiTheme="minorEastAsia" w:eastAsiaTheme="minorEastAsia"/>
          <w:color w:val="333333"/>
          <w:kern w:val="0"/>
          <w:szCs w:val="21"/>
          <w:highlight w:val="none"/>
        </w:rPr>
      </w:pPr>
      <w:r>
        <w:rPr>
          <w:rFonts w:hint="eastAsia" w:cs="宋体" w:asciiTheme="minorEastAsia" w:hAnsiTheme="minorEastAsia" w:eastAsiaTheme="minorEastAsia"/>
          <w:color w:val="333333"/>
          <w:kern w:val="0"/>
          <w:szCs w:val="21"/>
          <w:highlight w:val="none"/>
        </w:rPr>
        <w:t>27.生活区要求：</w:t>
      </w:r>
      <w:r>
        <w:rPr>
          <w:rFonts w:cs="宋体" w:asciiTheme="minorEastAsia" w:hAnsiTheme="minorEastAsia" w:eastAsiaTheme="minorEastAsia"/>
          <w:color w:val="333333"/>
          <w:kern w:val="0"/>
          <w:szCs w:val="21"/>
          <w:highlight w:val="none"/>
        </w:rPr>
        <w:t xml:space="preserve">临时生活区应遵守甲方有关规定, </w:t>
      </w:r>
      <w:r>
        <w:rPr>
          <w:rFonts w:hint="eastAsia" w:cs="宋体" w:asciiTheme="minorEastAsia" w:hAnsiTheme="minorEastAsia" w:eastAsiaTheme="minorEastAsia"/>
          <w:color w:val="333333"/>
          <w:kern w:val="0"/>
          <w:szCs w:val="21"/>
          <w:highlight w:val="none"/>
        </w:rPr>
        <w:t>禁止使用煤气炉以及电炉、电加热棒等不安全用电产品。有违规使用煤气炉、违规用电的，每次扣款</w:t>
      </w:r>
      <w:r>
        <w:rPr>
          <w:rFonts w:cs="宋体" w:asciiTheme="minorEastAsia" w:hAnsiTheme="minorEastAsia" w:eastAsiaTheme="minorEastAsia"/>
          <w:color w:val="333333"/>
          <w:kern w:val="0"/>
          <w:szCs w:val="21"/>
          <w:highlight w:val="none"/>
        </w:rPr>
        <w:t>300元。</w:t>
      </w:r>
    </w:p>
    <w:p>
      <w:pPr>
        <w:spacing w:line="420" w:lineRule="exact"/>
        <w:ind w:firstLine="420" w:firstLineChars="200"/>
        <w:rPr>
          <w:rFonts w:cs="宋体" w:asciiTheme="minorEastAsia" w:hAnsiTheme="minorEastAsia" w:eastAsiaTheme="minorEastAsia"/>
          <w:color w:val="333333"/>
          <w:kern w:val="0"/>
          <w:szCs w:val="21"/>
          <w:highlight w:val="none"/>
        </w:rPr>
      </w:pPr>
      <w:r>
        <w:rPr>
          <w:rFonts w:hint="eastAsia" w:cs="宋体" w:asciiTheme="minorEastAsia" w:hAnsiTheme="minorEastAsia" w:eastAsiaTheme="minorEastAsia"/>
          <w:color w:val="333333"/>
          <w:kern w:val="0"/>
          <w:szCs w:val="21"/>
          <w:highlight w:val="none"/>
        </w:rPr>
        <w:t>28</w:t>
      </w:r>
      <w:r>
        <w:rPr>
          <w:rFonts w:cs="宋体" w:asciiTheme="minorEastAsia" w:hAnsiTheme="minorEastAsia" w:eastAsiaTheme="minorEastAsia"/>
          <w:color w:val="333333"/>
          <w:kern w:val="0"/>
          <w:szCs w:val="21"/>
          <w:highlight w:val="none"/>
        </w:rPr>
        <w:t>.</w:t>
      </w:r>
      <w:r>
        <w:rPr>
          <w:rFonts w:hint="eastAsia" w:cs="宋体" w:asciiTheme="minorEastAsia" w:hAnsiTheme="minorEastAsia" w:eastAsiaTheme="minorEastAsia"/>
          <w:color w:val="333333"/>
          <w:kern w:val="0"/>
          <w:szCs w:val="21"/>
          <w:highlight w:val="none"/>
        </w:rPr>
        <w:t>乙方人员必须遵守甲方厂区安全文明卫生制度，进入工作现场必须佩戴卫生防护用品和戴安全帽，配戴厂牌，没有佩戴卫生防护用品每次扣乙方</w:t>
      </w:r>
      <w:r>
        <w:rPr>
          <w:rFonts w:cs="宋体" w:asciiTheme="minorEastAsia" w:hAnsiTheme="minorEastAsia" w:eastAsiaTheme="minorEastAsia"/>
          <w:color w:val="333333"/>
          <w:kern w:val="0"/>
          <w:szCs w:val="21"/>
          <w:highlight w:val="none"/>
        </w:rPr>
        <w:t>100元</w:t>
      </w:r>
      <w:r>
        <w:rPr>
          <w:rFonts w:hint="eastAsia" w:cs="宋体" w:asciiTheme="minorEastAsia" w:hAnsiTheme="minorEastAsia" w:eastAsiaTheme="minorEastAsia"/>
          <w:color w:val="333333"/>
          <w:kern w:val="0"/>
          <w:szCs w:val="21"/>
          <w:highlight w:val="none"/>
        </w:rPr>
        <w:t>/次/人，没有戴安全帽每次扣罚</w:t>
      </w:r>
      <w:r>
        <w:rPr>
          <w:rFonts w:cs="宋体" w:asciiTheme="minorEastAsia" w:hAnsiTheme="minorEastAsia" w:eastAsiaTheme="minorEastAsia"/>
          <w:color w:val="333333"/>
          <w:kern w:val="0"/>
          <w:szCs w:val="21"/>
          <w:highlight w:val="none"/>
        </w:rPr>
        <w:t>200元</w:t>
      </w:r>
      <w:r>
        <w:rPr>
          <w:rFonts w:hint="eastAsia" w:cs="宋体" w:asciiTheme="minorEastAsia" w:hAnsiTheme="minorEastAsia" w:eastAsiaTheme="minorEastAsia"/>
          <w:color w:val="333333"/>
          <w:kern w:val="0"/>
          <w:szCs w:val="21"/>
          <w:highlight w:val="none"/>
        </w:rPr>
        <w:t>/次/人,</w:t>
      </w:r>
      <w:r>
        <w:rPr>
          <w:rFonts w:cs="宋体" w:asciiTheme="minorEastAsia" w:hAnsiTheme="minorEastAsia" w:eastAsiaTheme="minorEastAsia"/>
          <w:color w:val="333333"/>
          <w:kern w:val="0"/>
          <w:szCs w:val="21"/>
          <w:highlight w:val="none"/>
        </w:rPr>
        <w:t xml:space="preserve"> 每发现一次不</w:t>
      </w:r>
      <w:r>
        <w:rPr>
          <w:rFonts w:hint="eastAsia" w:cs="宋体" w:asciiTheme="minorEastAsia" w:hAnsiTheme="minorEastAsia" w:eastAsiaTheme="minorEastAsia"/>
          <w:color w:val="333333"/>
          <w:kern w:val="0"/>
          <w:szCs w:val="21"/>
          <w:highlight w:val="none"/>
        </w:rPr>
        <w:t>正确佩</w:t>
      </w:r>
      <w:r>
        <w:rPr>
          <w:rFonts w:cs="宋体" w:asciiTheme="minorEastAsia" w:hAnsiTheme="minorEastAsia" w:eastAsiaTheme="minorEastAsia"/>
          <w:color w:val="333333"/>
          <w:kern w:val="0"/>
          <w:szCs w:val="21"/>
          <w:highlight w:val="none"/>
        </w:rPr>
        <w:t>戴安全帽</w:t>
      </w:r>
      <w:r>
        <w:rPr>
          <w:rFonts w:hint="eastAsia" w:cs="宋体" w:asciiTheme="minorEastAsia" w:hAnsiTheme="minorEastAsia" w:eastAsiaTheme="minorEastAsia"/>
          <w:color w:val="333333"/>
          <w:kern w:val="0"/>
          <w:szCs w:val="21"/>
          <w:highlight w:val="none"/>
        </w:rPr>
        <w:t>的</w:t>
      </w:r>
      <w:r>
        <w:rPr>
          <w:rFonts w:cs="宋体" w:asciiTheme="minorEastAsia" w:hAnsiTheme="minorEastAsia" w:eastAsiaTheme="minorEastAsia"/>
          <w:color w:val="333333"/>
          <w:kern w:val="0"/>
          <w:szCs w:val="21"/>
          <w:highlight w:val="none"/>
        </w:rPr>
        <w:t>扣</w:t>
      </w:r>
      <w:r>
        <w:rPr>
          <w:rFonts w:hint="eastAsia" w:cs="宋体" w:asciiTheme="minorEastAsia" w:hAnsiTheme="minorEastAsia" w:eastAsiaTheme="minorEastAsia"/>
          <w:color w:val="333333"/>
          <w:kern w:val="0"/>
          <w:szCs w:val="21"/>
          <w:highlight w:val="none"/>
        </w:rPr>
        <w:t>罚</w:t>
      </w:r>
      <w:r>
        <w:rPr>
          <w:rFonts w:cs="宋体" w:asciiTheme="minorEastAsia" w:hAnsiTheme="minorEastAsia" w:eastAsiaTheme="minorEastAsia"/>
          <w:color w:val="333333"/>
          <w:kern w:val="0"/>
          <w:szCs w:val="21"/>
          <w:highlight w:val="none"/>
        </w:rPr>
        <w:t>乙方</w:t>
      </w:r>
      <w:r>
        <w:rPr>
          <w:rFonts w:hint="eastAsia" w:cs="宋体" w:asciiTheme="minorEastAsia" w:hAnsiTheme="minorEastAsia" w:eastAsiaTheme="minorEastAsia"/>
          <w:color w:val="333333"/>
          <w:kern w:val="0"/>
          <w:szCs w:val="21"/>
          <w:highlight w:val="none"/>
        </w:rPr>
        <w:t>1</w:t>
      </w:r>
      <w:r>
        <w:rPr>
          <w:rFonts w:cs="宋体" w:asciiTheme="minorEastAsia" w:hAnsiTheme="minorEastAsia" w:eastAsiaTheme="minorEastAsia"/>
          <w:color w:val="333333"/>
          <w:kern w:val="0"/>
          <w:szCs w:val="21"/>
          <w:highlight w:val="none"/>
        </w:rPr>
        <w:t>00元</w:t>
      </w:r>
      <w:r>
        <w:rPr>
          <w:rFonts w:hint="eastAsia" w:cs="宋体" w:asciiTheme="minorEastAsia" w:hAnsiTheme="minorEastAsia" w:eastAsiaTheme="minorEastAsia"/>
          <w:color w:val="333333"/>
          <w:kern w:val="0"/>
          <w:szCs w:val="21"/>
          <w:highlight w:val="none"/>
        </w:rPr>
        <w:t>/次/人。乙方在厂区内工作的人员应随时注意避让各种自动移动设备。禁止任何人在移动设备下停留或通过；厂区内非指定区域严禁吸烟、严禁在厂区内赌博，违反扣罚</w:t>
      </w:r>
      <w:r>
        <w:rPr>
          <w:rFonts w:cs="宋体" w:asciiTheme="minorEastAsia" w:hAnsiTheme="minorEastAsia" w:eastAsiaTheme="minorEastAsia"/>
          <w:color w:val="333333"/>
          <w:kern w:val="0"/>
          <w:szCs w:val="21"/>
          <w:highlight w:val="none"/>
        </w:rPr>
        <w:t>500元</w:t>
      </w:r>
      <w:r>
        <w:rPr>
          <w:rFonts w:hint="eastAsia" w:cs="宋体" w:asciiTheme="minorEastAsia" w:hAnsiTheme="minorEastAsia" w:eastAsiaTheme="minorEastAsia"/>
          <w:color w:val="333333"/>
          <w:kern w:val="0"/>
          <w:szCs w:val="21"/>
          <w:highlight w:val="none"/>
        </w:rPr>
        <w:t>/次/人。</w:t>
      </w:r>
    </w:p>
    <w:p>
      <w:pPr>
        <w:spacing w:line="420" w:lineRule="exact"/>
        <w:ind w:firstLine="420" w:firstLineChars="200"/>
        <w:rPr>
          <w:rFonts w:cs="宋体" w:asciiTheme="minorEastAsia" w:hAnsiTheme="minorEastAsia" w:eastAsiaTheme="minorEastAsia"/>
          <w:color w:val="333333"/>
          <w:kern w:val="0"/>
          <w:szCs w:val="21"/>
          <w:highlight w:val="none"/>
        </w:rPr>
      </w:pPr>
      <w:r>
        <w:rPr>
          <w:rFonts w:hint="eastAsia" w:cs="宋体" w:asciiTheme="minorEastAsia" w:hAnsiTheme="minorEastAsia" w:eastAsiaTheme="minorEastAsia"/>
          <w:color w:val="333333"/>
          <w:kern w:val="0"/>
          <w:szCs w:val="21"/>
          <w:highlight w:val="none"/>
        </w:rPr>
        <w:t>29</w:t>
      </w:r>
      <w:r>
        <w:rPr>
          <w:rFonts w:cs="宋体" w:asciiTheme="minorEastAsia" w:hAnsiTheme="minorEastAsia" w:eastAsiaTheme="minorEastAsia"/>
          <w:color w:val="333333"/>
          <w:kern w:val="0"/>
          <w:szCs w:val="21"/>
          <w:highlight w:val="none"/>
        </w:rPr>
        <w:t>.</w:t>
      </w:r>
      <w:r>
        <w:rPr>
          <w:rFonts w:hint="eastAsia" w:cs="宋体" w:asciiTheme="minorEastAsia" w:hAnsiTheme="minorEastAsia" w:eastAsiaTheme="minorEastAsia"/>
          <w:color w:val="333333"/>
          <w:kern w:val="0"/>
          <w:szCs w:val="21"/>
          <w:highlight w:val="none"/>
        </w:rPr>
        <w:t>乙方所有工作人员未经甲方许可禁止进入生产厂房。严禁触动非自身工作范围内的设备、设施。</w:t>
      </w:r>
    </w:p>
    <w:p>
      <w:pPr>
        <w:spacing w:line="420" w:lineRule="exact"/>
        <w:ind w:firstLine="420" w:firstLineChars="200"/>
        <w:rPr>
          <w:rFonts w:asciiTheme="minorEastAsia" w:hAnsiTheme="minorEastAsia" w:eastAsiaTheme="minorEastAsia"/>
          <w:szCs w:val="21"/>
          <w:highlight w:val="none"/>
        </w:rPr>
      </w:pPr>
      <w:r>
        <w:rPr>
          <w:rFonts w:hint="eastAsia" w:cs="宋体" w:asciiTheme="minorEastAsia" w:hAnsiTheme="minorEastAsia" w:eastAsiaTheme="minorEastAsia"/>
          <w:color w:val="333333"/>
          <w:kern w:val="0"/>
          <w:szCs w:val="21"/>
          <w:highlight w:val="none"/>
        </w:rPr>
        <w:t>30</w:t>
      </w:r>
      <w:r>
        <w:rPr>
          <w:rFonts w:cs="宋体" w:asciiTheme="minorEastAsia" w:hAnsiTheme="minorEastAsia" w:eastAsiaTheme="minorEastAsia"/>
          <w:color w:val="333333"/>
          <w:kern w:val="0"/>
          <w:szCs w:val="21"/>
          <w:highlight w:val="none"/>
        </w:rPr>
        <w:t>.</w:t>
      </w:r>
      <w:r>
        <w:rPr>
          <w:rFonts w:hint="eastAsia" w:cs="宋体" w:asciiTheme="minorEastAsia" w:hAnsiTheme="minorEastAsia" w:eastAsiaTheme="minorEastAsia"/>
          <w:color w:val="333333"/>
          <w:kern w:val="0"/>
          <w:szCs w:val="21"/>
          <w:highlight w:val="none"/>
        </w:rPr>
        <w:t>凡发现乙方人员有其他上述未列明</w:t>
      </w:r>
      <w:r>
        <w:rPr>
          <w:rFonts w:hint="eastAsia" w:asciiTheme="minorEastAsia" w:hAnsiTheme="minorEastAsia" w:eastAsiaTheme="minorEastAsia"/>
          <w:szCs w:val="21"/>
          <w:highlight w:val="none"/>
        </w:rPr>
        <w:t>的违章行为及未履行上述责任和义务的，除赔偿甲方损失外，按不低于</w:t>
      </w:r>
      <w:r>
        <w:rPr>
          <w:rFonts w:asciiTheme="minorEastAsia" w:hAnsiTheme="minorEastAsia" w:eastAsiaTheme="minorEastAsia"/>
          <w:szCs w:val="21"/>
          <w:highlight w:val="none"/>
        </w:rPr>
        <w:t>100</w:t>
      </w:r>
      <w:r>
        <w:rPr>
          <w:rFonts w:hint="eastAsia" w:asciiTheme="minorEastAsia" w:hAnsiTheme="minorEastAsia" w:eastAsiaTheme="minorEastAsia"/>
          <w:szCs w:val="21"/>
          <w:highlight w:val="none"/>
        </w:rPr>
        <w:t>元</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项·人</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次的标准扣罚，（参照甲方安健环考核标准执行）并由乙方管理人员对违章人员进行教育。每月累计处罚达</w:t>
      </w:r>
      <w:r>
        <w:rPr>
          <w:rFonts w:asciiTheme="minorEastAsia" w:hAnsiTheme="minorEastAsia" w:eastAsiaTheme="minorEastAsia"/>
          <w:szCs w:val="21"/>
          <w:highlight w:val="none"/>
        </w:rPr>
        <w:t>3</w:t>
      </w:r>
      <w:r>
        <w:rPr>
          <w:rFonts w:hint="eastAsia" w:asciiTheme="minorEastAsia" w:hAnsiTheme="minorEastAsia" w:eastAsiaTheme="minorEastAsia"/>
          <w:szCs w:val="21"/>
          <w:highlight w:val="none"/>
        </w:rPr>
        <w:t>次以上的，从第</w:t>
      </w:r>
      <w:r>
        <w:rPr>
          <w:rFonts w:asciiTheme="minorEastAsia" w:hAnsiTheme="minorEastAsia" w:eastAsiaTheme="minorEastAsia"/>
          <w:szCs w:val="21"/>
          <w:highlight w:val="none"/>
        </w:rPr>
        <w:t>3</w:t>
      </w:r>
      <w:r>
        <w:rPr>
          <w:rFonts w:hint="eastAsia" w:asciiTheme="minorEastAsia" w:hAnsiTheme="minorEastAsia" w:eastAsiaTheme="minorEastAsia"/>
          <w:szCs w:val="21"/>
          <w:highlight w:val="none"/>
        </w:rPr>
        <w:t>次起每次加扣乙方管理责任</w:t>
      </w:r>
      <w:r>
        <w:rPr>
          <w:rFonts w:asciiTheme="minorEastAsia" w:hAnsiTheme="minorEastAsia" w:eastAsiaTheme="minorEastAsia"/>
          <w:szCs w:val="21"/>
          <w:highlight w:val="none"/>
        </w:rPr>
        <w:t>500</w:t>
      </w:r>
      <w:r>
        <w:rPr>
          <w:rFonts w:hint="eastAsia" w:asciiTheme="minorEastAsia" w:hAnsiTheme="minorEastAsia" w:eastAsiaTheme="minorEastAsia"/>
          <w:szCs w:val="21"/>
          <w:highlight w:val="none"/>
        </w:rPr>
        <w:t>元</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次，同一人重复违章的，甲方有权要求乙方更换人员。</w:t>
      </w:r>
    </w:p>
    <w:p>
      <w:pPr>
        <w:spacing w:line="420" w:lineRule="exact"/>
        <w:ind w:firstLine="420" w:firstLineChars="200"/>
        <w:rPr>
          <w:rFonts w:cs="宋体" w:asciiTheme="minorEastAsia" w:hAnsiTheme="minorEastAsia" w:eastAsiaTheme="minorEastAsia"/>
          <w:color w:val="333333"/>
          <w:kern w:val="0"/>
          <w:szCs w:val="21"/>
          <w:highlight w:val="none"/>
        </w:rPr>
      </w:pPr>
      <w:r>
        <w:rPr>
          <w:rFonts w:hint="eastAsia" w:cs="宋体" w:asciiTheme="minorEastAsia" w:hAnsiTheme="minorEastAsia" w:eastAsiaTheme="minorEastAsia"/>
          <w:color w:val="333333"/>
          <w:kern w:val="0"/>
          <w:szCs w:val="21"/>
          <w:highlight w:val="none"/>
        </w:rPr>
        <w:t>（四）</w:t>
      </w:r>
      <w:r>
        <w:rPr>
          <w:rFonts w:hint="eastAsia" w:asciiTheme="minorEastAsia" w:hAnsiTheme="minorEastAsia" w:eastAsiaTheme="minorEastAsia"/>
          <w:szCs w:val="21"/>
          <w:highlight w:val="none"/>
        </w:rPr>
        <w:t>现场安健环管理：</w:t>
      </w:r>
    </w:p>
    <w:p>
      <w:pPr>
        <w:spacing w:line="420" w:lineRule="exact"/>
        <w:ind w:firstLine="420" w:firstLineChars="200"/>
        <w:rPr>
          <w:rFonts w:cs="宋体" w:asciiTheme="minorEastAsia" w:hAnsiTheme="minorEastAsia" w:eastAsiaTheme="minorEastAsia"/>
          <w:color w:val="333333"/>
          <w:kern w:val="0"/>
          <w:szCs w:val="21"/>
          <w:highlight w:val="none"/>
        </w:rPr>
      </w:pPr>
      <w:r>
        <w:rPr>
          <w:rFonts w:hint="eastAsia" w:asciiTheme="minorEastAsia" w:hAnsiTheme="minorEastAsia" w:eastAsiaTheme="minorEastAsia"/>
          <w:szCs w:val="21"/>
          <w:highlight w:val="none"/>
        </w:rPr>
        <w:t>31.</w:t>
      </w:r>
      <w:r>
        <w:rPr>
          <w:rFonts w:cs="宋体" w:asciiTheme="minorEastAsia" w:hAnsiTheme="minorEastAsia" w:eastAsiaTheme="minorEastAsia"/>
          <w:color w:val="333333"/>
          <w:kern w:val="0"/>
          <w:szCs w:val="21"/>
          <w:highlight w:val="none"/>
        </w:rPr>
        <w:t>乙方应接受甲方的安全监督</w:t>
      </w:r>
      <w:r>
        <w:rPr>
          <w:rFonts w:hint="eastAsia" w:cs="宋体" w:asciiTheme="minorEastAsia" w:hAnsiTheme="minorEastAsia" w:eastAsiaTheme="minorEastAsia"/>
          <w:color w:val="333333"/>
          <w:kern w:val="0"/>
          <w:szCs w:val="21"/>
          <w:highlight w:val="none"/>
        </w:rPr>
        <w:t>、检查</w:t>
      </w:r>
      <w:r>
        <w:rPr>
          <w:rFonts w:cs="宋体" w:asciiTheme="minorEastAsia" w:hAnsiTheme="minorEastAsia" w:eastAsiaTheme="minorEastAsia"/>
          <w:color w:val="333333"/>
          <w:kern w:val="0"/>
          <w:szCs w:val="21"/>
          <w:highlight w:val="none"/>
        </w:rPr>
        <w:t>和指导，对甲方的工程管理、</w:t>
      </w:r>
      <w:r>
        <w:rPr>
          <w:rFonts w:hint="eastAsia" w:cs="宋体" w:asciiTheme="minorEastAsia" w:hAnsiTheme="minorEastAsia" w:eastAsiaTheme="minorEastAsia"/>
          <w:color w:val="333333"/>
          <w:kern w:val="0"/>
          <w:szCs w:val="21"/>
          <w:highlight w:val="none"/>
        </w:rPr>
        <w:t>安健环</w:t>
      </w:r>
      <w:r>
        <w:rPr>
          <w:rFonts w:cs="宋体" w:asciiTheme="minorEastAsia" w:hAnsiTheme="minorEastAsia" w:eastAsiaTheme="minorEastAsia"/>
          <w:color w:val="333333"/>
          <w:kern w:val="0"/>
          <w:szCs w:val="21"/>
          <w:highlight w:val="none"/>
        </w:rPr>
        <w:t>部门所提出的意见应及时整改。</w:t>
      </w:r>
    </w:p>
    <w:p>
      <w:pPr>
        <w:spacing w:line="420" w:lineRule="exact"/>
        <w:ind w:firstLine="420" w:firstLineChars="200"/>
        <w:rPr>
          <w:rFonts w:cs="宋体" w:asciiTheme="minorEastAsia" w:hAnsiTheme="minorEastAsia" w:eastAsiaTheme="minorEastAsia"/>
          <w:color w:val="333333"/>
          <w:kern w:val="0"/>
          <w:szCs w:val="21"/>
          <w:highlight w:val="none"/>
        </w:rPr>
      </w:pPr>
      <w:r>
        <w:rPr>
          <w:rFonts w:hint="eastAsia" w:cs="宋体" w:asciiTheme="minorEastAsia" w:hAnsiTheme="minorEastAsia" w:eastAsiaTheme="minorEastAsia"/>
          <w:color w:val="333333"/>
          <w:kern w:val="0"/>
          <w:szCs w:val="21"/>
          <w:highlight w:val="none"/>
        </w:rPr>
        <w:t>32.乙方每月必须组织作业人员进行安全学习，并做好安全学习记录，提交甲方存档备查。</w:t>
      </w:r>
    </w:p>
    <w:p>
      <w:pPr>
        <w:spacing w:line="420" w:lineRule="exact"/>
        <w:ind w:firstLine="420" w:firstLineChars="200"/>
        <w:rPr>
          <w:rFonts w:cs="宋体" w:asciiTheme="minorEastAsia" w:hAnsiTheme="minorEastAsia" w:eastAsiaTheme="minorEastAsia"/>
          <w:color w:val="333333"/>
          <w:kern w:val="0"/>
          <w:szCs w:val="21"/>
          <w:highlight w:val="none"/>
        </w:rPr>
      </w:pPr>
      <w:r>
        <w:rPr>
          <w:rFonts w:hint="eastAsia" w:cs="宋体" w:asciiTheme="minorEastAsia" w:hAnsiTheme="minorEastAsia" w:eastAsiaTheme="minorEastAsia"/>
          <w:color w:val="333333"/>
          <w:kern w:val="0"/>
          <w:szCs w:val="21"/>
          <w:highlight w:val="none"/>
        </w:rPr>
        <w:t>33.乙方每月必须组织施工现场安全大检查，检查安全隐患、检查违章指挥、违章作业等“三违”情况，并限期整改。</w:t>
      </w:r>
    </w:p>
    <w:p>
      <w:pPr>
        <w:pStyle w:val="210"/>
        <w:spacing w:line="360" w:lineRule="auto"/>
        <w:ind w:firstLine="371" w:firstLineChars="177"/>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34</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乙方应指定安全管理人员，每天定期巡查现场，纠正违章，做好各项安健环管理工作。</w:t>
      </w:r>
    </w:p>
    <w:p>
      <w:pPr>
        <w:pStyle w:val="210"/>
        <w:spacing w:line="360" w:lineRule="auto"/>
        <w:ind w:firstLine="371" w:firstLineChars="177"/>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35</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甲方安全管理标准同样适用于乙方，乙方人员应按照有关规程、规范、标准和甲方作业指导书及安健环相关要求进行操作，不得违章作业和野蛮施工，因乙方违章作业和野蛮施工造成的损失由乙方负全责。</w:t>
      </w:r>
    </w:p>
    <w:p>
      <w:pPr>
        <w:pStyle w:val="210"/>
        <w:spacing w:line="360" w:lineRule="auto"/>
        <w:ind w:firstLine="371" w:firstLineChars="177"/>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36</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如乙方不按法规或甲方规章制度的要求落实相关安健环工作的，或者不落实甲方提出的书面整改通知的，除按规定处罚外相关一切后果及损失由乙方全部承担。</w:t>
      </w:r>
    </w:p>
    <w:p>
      <w:pPr>
        <w:pStyle w:val="210"/>
        <w:spacing w:line="360" w:lineRule="auto"/>
        <w:ind w:firstLine="371" w:firstLineChars="177"/>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37</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乙方负责承包项目实施现场的安健环管理并向甲方负责，乙方服从甲方对施工现场的消防安全管理，乙方应配合甲方进行各项专项应急演练，提升乙方人员自救能力。</w:t>
      </w:r>
    </w:p>
    <w:p>
      <w:pPr>
        <w:spacing w:line="42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（五）事故责任及事故异常处理</w:t>
      </w:r>
    </w:p>
    <w:p>
      <w:pPr>
        <w:spacing w:line="42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38.</w:t>
      </w:r>
      <w:r>
        <w:rPr>
          <w:rFonts w:hint="eastAsia" w:cs="宋体" w:asciiTheme="minorEastAsia" w:hAnsiTheme="minorEastAsia" w:eastAsiaTheme="minorEastAsia"/>
          <w:color w:val="333333"/>
          <w:kern w:val="0"/>
          <w:szCs w:val="21"/>
          <w:highlight w:val="none"/>
        </w:rPr>
        <w:t>划分甲乙双方安健环责任的原则是“谁施工谁负责”。</w:t>
      </w:r>
    </w:p>
    <w:p>
      <w:pPr>
        <w:spacing w:line="42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39.</w:t>
      </w:r>
      <w:r>
        <w:rPr>
          <w:rFonts w:asciiTheme="minorEastAsia" w:hAnsiTheme="minorEastAsia" w:eastAsiaTheme="minorEastAsia"/>
          <w:szCs w:val="21"/>
          <w:highlight w:val="none"/>
        </w:rPr>
        <w:t>乙方</w:t>
      </w:r>
      <w:r>
        <w:rPr>
          <w:rFonts w:hint="eastAsia" w:asciiTheme="minorEastAsia" w:hAnsiTheme="minorEastAsia" w:eastAsiaTheme="minorEastAsia"/>
          <w:szCs w:val="21"/>
          <w:highlight w:val="none"/>
        </w:rPr>
        <w:t>对所属的工作人员人身安全负全部责任，</w:t>
      </w:r>
      <w:r>
        <w:rPr>
          <w:rFonts w:asciiTheme="minorEastAsia" w:hAnsiTheme="minorEastAsia" w:eastAsiaTheme="minorEastAsia"/>
          <w:szCs w:val="21"/>
          <w:highlight w:val="none"/>
        </w:rPr>
        <w:t>负责承担因乙方及其工人原因所发生的一切事故的全部</w:t>
      </w:r>
      <w:r>
        <w:rPr>
          <w:rFonts w:hint="eastAsia" w:asciiTheme="minorEastAsia" w:hAnsiTheme="minorEastAsia" w:eastAsiaTheme="minorEastAsia"/>
          <w:szCs w:val="21"/>
          <w:highlight w:val="none"/>
        </w:rPr>
        <w:t>经济责任及法律责任，并承担事故所造成甲方的损失</w:t>
      </w:r>
      <w:r>
        <w:rPr>
          <w:rFonts w:asciiTheme="minorEastAsia" w:hAnsiTheme="minorEastAsia" w:eastAsiaTheme="minorEastAsia"/>
          <w:szCs w:val="21"/>
          <w:highlight w:val="none"/>
        </w:rPr>
        <w:t>。</w:t>
      </w:r>
    </w:p>
    <w:p>
      <w:pPr>
        <w:spacing w:line="420" w:lineRule="exact"/>
        <w:ind w:firstLine="420" w:firstLineChars="200"/>
        <w:rPr>
          <w:rFonts w:asciiTheme="minorEastAsia" w:hAnsiTheme="minorEastAsia" w:eastAsiaTheme="minorEastAsia"/>
          <w:szCs w:val="21"/>
          <w:highlight w:val="none"/>
        </w:rPr>
      </w:pPr>
      <w:r>
        <w:rPr>
          <w:rFonts w:hint="eastAsia" w:cs="宋体" w:asciiTheme="minorEastAsia" w:hAnsiTheme="minorEastAsia" w:eastAsiaTheme="minorEastAsia"/>
          <w:color w:val="333333"/>
          <w:kern w:val="0"/>
          <w:szCs w:val="21"/>
          <w:highlight w:val="none"/>
        </w:rPr>
        <w:t>40.</w:t>
      </w:r>
      <w:r>
        <w:rPr>
          <w:rFonts w:cs="宋体" w:asciiTheme="minorEastAsia" w:hAnsiTheme="minorEastAsia" w:eastAsiaTheme="minorEastAsia"/>
          <w:color w:val="333333"/>
          <w:kern w:val="0"/>
          <w:szCs w:val="21"/>
          <w:highlight w:val="none"/>
        </w:rPr>
        <w:t>发生事故</w:t>
      </w:r>
      <w:r>
        <w:rPr>
          <w:rFonts w:hint="eastAsia" w:cs="宋体" w:asciiTheme="minorEastAsia" w:hAnsiTheme="minorEastAsia" w:eastAsiaTheme="minorEastAsia"/>
          <w:color w:val="333333"/>
          <w:kern w:val="0"/>
          <w:szCs w:val="21"/>
          <w:highlight w:val="none"/>
        </w:rPr>
        <w:t>、异常或</w:t>
      </w:r>
      <w:r>
        <w:rPr>
          <w:rFonts w:cs="宋体" w:asciiTheme="minorEastAsia" w:hAnsiTheme="minorEastAsia" w:eastAsiaTheme="minorEastAsia"/>
          <w:color w:val="333333"/>
          <w:kern w:val="0"/>
          <w:szCs w:val="21"/>
          <w:highlight w:val="none"/>
        </w:rPr>
        <w:t>危及安全生产的情况，</w:t>
      </w:r>
      <w:r>
        <w:rPr>
          <w:rFonts w:hint="eastAsia" w:cs="宋体" w:asciiTheme="minorEastAsia" w:hAnsiTheme="minorEastAsia" w:eastAsiaTheme="minorEastAsia"/>
          <w:color w:val="333333"/>
          <w:kern w:val="0"/>
          <w:szCs w:val="21"/>
          <w:highlight w:val="none"/>
        </w:rPr>
        <w:t>乙方必须立即组织处理、并</w:t>
      </w:r>
      <w:r>
        <w:rPr>
          <w:rFonts w:cs="宋体" w:asciiTheme="minorEastAsia" w:hAnsiTheme="minorEastAsia" w:eastAsiaTheme="minorEastAsia"/>
          <w:color w:val="333333"/>
          <w:kern w:val="0"/>
          <w:szCs w:val="21"/>
          <w:highlight w:val="none"/>
        </w:rPr>
        <w:t>立即报告甲方工程管理、</w:t>
      </w:r>
      <w:r>
        <w:rPr>
          <w:rFonts w:hint="eastAsia" w:cs="宋体" w:asciiTheme="minorEastAsia" w:hAnsiTheme="minorEastAsia" w:eastAsiaTheme="minorEastAsia"/>
          <w:color w:val="333333"/>
          <w:kern w:val="0"/>
          <w:szCs w:val="21"/>
          <w:highlight w:val="none"/>
        </w:rPr>
        <w:t>安健环</w:t>
      </w:r>
      <w:r>
        <w:rPr>
          <w:rFonts w:cs="宋体" w:asciiTheme="minorEastAsia" w:hAnsiTheme="minorEastAsia" w:eastAsiaTheme="minorEastAsia"/>
          <w:color w:val="333333"/>
          <w:kern w:val="0"/>
          <w:szCs w:val="21"/>
          <w:highlight w:val="none"/>
        </w:rPr>
        <w:t>部门。</w:t>
      </w:r>
      <w:r>
        <w:rPr>
          <w:rFonts w:hint="eastAsia" w:asciiTheme="minorEastAsia" w:hAnsiTheme="minorEastAsia" w:eastAsiaTheme="minorEastAsia"/>
          <w:szCs w:val="21"/>
          <w:highlight w:val="none"/>
        </w:rPr>
        <w:t>在</w:t>
      </w:r>
      <w:r>
        <w:rPr>
          <w:rFonts w:asciiTheme="minorEastAsia" w:hAnsiTheme="minorEastAsia" w:eastAsiaTheme="minorEastAsia"/>
          <w:szCs w:val="21"/>
          <w:highlight w:val="none"/>
        </w:rPr>
        <w:t>48</w:t>
      </w:r>
      <w:r>
        <w:rPr>
          <w:rFonts w:hint="eastAsia" w:asciiTheme="minorEastAsia" w:hAnsiTheme="minorEastAsia" w:eastAsiaTheme="minorEastAsia"/>
          <w:szCs w:val="21"/>
          <w:highlight w:val="none"/>
        </w:rPr>
        <w:t>小时内提供人员受伤及分析报告给甲方，甲方有权根据事件起因责成乙方进行整改和处罚。</w:t>
      </w:r>
    </w:p>
    <w:p>
      <w:pPr>
        <w:spacing w:line="360" w:lineRule="auto"/>
        <w:ind w:firstLine="420" w:firstLineChars="200"/>
        <w:rPr>
          <w:rFonts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三、乙方确保达到安全目标：无人员伤亡，无设备损坏，无环境污染、无职业病发生、无治安偷盗案件。</w:t>
      </w:r>
    </w:p>
    <w:p>
      <w:pPr>
        <w:spacing w:line="360" w:lineRule="auto"/>
        <w:ind w:firstLine="420" w:firstLineChars="200"/>
        <w:rPr>
          <w:rFonts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四、乙方负责其工作人员的安全责任（含安全、环保、职业病、消防、治安等方面），因乙方原因造成的一切责任（包括由此所导致的第三方人员及财产损失的经济和法律责任）由乙方完全承担。</w:t>
      </w:r>
    </w:p>
    <w:p>
      <w:pPr>
        <w:spacing w:line="360" w:lineRule="auto"/>
        <w:ind w:firstLine="420" w:firstLineChars="200"/>
        <w:rPr>
          <w:rFonts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五、乙方进入甲方现场的工作人员必须是经体检合格并确认无职业病患者，如乙方在工作人员工作前未能提供工作人员职业病体检证明的不准安排进场工作，由此引起的职业病责任由乙方完全承担。</w:t>
      </w:r>
    </w:p>
    <w:p>
      <w:pPr>
        <w:spacing w:line="360" w:lineRule="auto"/>
        <w:ind w:firstLine="420" w:firstLineChars="200"/>
        <w:rPr>
          <w:rFonts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六、在合同承包期内，乙方在甲方区域内发生的任何安全、消防、职业病、治安等事故（件）的统计考核指标及一切罚款和赔偿计入乙方责任，由乙方承担相应法律和经济责任。</w:t>
      </w:r>
    </w:p>
    <w:p>
      <w:pPr>
        <w:spacing w:line="400" w:lineRule="exact"/>
        <w:ind w:firstLine="420" w:firstLineChars="200"/>
        <w:rPr>
          <w:rFonts w:asciiTheme="minorEastAsia" w:hAnsiTheme="minorEastAsia" w:eastAsiaTheme="minorEastAsia"/>
          <w:color w:val="000000"/>
          <w:szCs w:val="21"/>
          <w:highlight w:val="none"/>
        </w:rPr>
      </w:pPr>
      <w:r>
        <w:rPr>
          <w:rFonts w:hint="eastAsia" w:asciiTheme="minorEastAsia" w:hAnsiTheme="minorEastAsia" w:eastAsiaTheme="minorEastAsia"/>
          <w:szCs w:val="21"/>
          <w:highlight w:val="none"/>
        </w:rPr>
        <w:t>七、本安健环管理协议双方共同遵守执行，如一方违反给对方造成安健环事件或经济损失，均由违反一方按实际损失或双方协商进行赔偿。</w:t>
      </w:r>
    </w:p>
    <w:p>
      <w:pPr>
        <w:spacing w:line="400" w:lineRule="exact"/>
        <w:rPr>
          <w:rFonts w:ascii="宋体" w:hAnsi="宋体"/>
          <w:b/>
          <w:color w:val="000000"/>
          <w:sz w:val="24"/>
          <w:highlight w:val="none"/>
        </w:rPr>
      </w:pPr>
    </w:p>
    <w:p>
      <w:pPr>
        <w:spacing w:line="400" w:lineRule="exact"/>
        <w:rPr>
          <w:rFonts w:ascii="宋体" w:hAnsi="宋体"/>
          <w:b/>
          <w:color w:val="000000"/>
          <w:sz w:val="24"/>
          <w:highlight w:val="none"/>
        </w:rPr>
      </w:pPr>
    </w:p>
    <w:p>
      <w:pPr>
        <w:spacing w:line="400" w:lineRule="exact"/>
        <w:rPr>
          <w:rFonts w:ascii="宋体" w:hAnsi="宋体"/>
          <w:b/>
          <w:color w:val="000000"/>
          <w:sz w:val="24"/>
          <w:highlight w:val="none"/>
        </w:rPr>
      </w:pPr>
    </w:p>
    <w:p>
      <w:pPr>
        <w:ind w:firstLine="241" w:firstLineChars="100"/>
        <w:rPr>
          <w:rFonts w:ascii="宋体" w:hAnsi="宋体"/>
          <w:b/>
          <w:sz w:val="24"/>
          <w:highlight w:val="none"/>
        </w:rPr>
      </w:pPr>
      <w:r>
        <w:rPr>
          <w:rFonts w:hint="eastAsia" w:ascii="宋体" w:hAnsi="宋体"/>
          <w:b/>
          <w:sz w:val="24"/>
          <w:highlight w:val="none"/>
        </w:rPr>
        <w:t>附件3：</w:t>
      </w:r>
    </w:p>
    <w:p>
      <w:pPr>
        <w:ind w:firstLine="241" w:firstLineChars="100"/>
        <w:jc w:val="center"/>
        <w:rPr>
          <w:rFonts w:ascii="宋体" w:hAnsi="宋体"/>
          <w:b/>
          <w:sz w:val="24"/>
          <w:highlight w:val="none"/>
        </w:rPr>
      </w:pPr>
      <w:r>
        <w:rPr>
          <w:rFonts w:hint="eastAsia" w:ascii="宋体" w:hAnsi="宋体"/>
          <w:b/>
          <w:sz w:val="24"/>
          <w:highlight w:val="none"/>
        </w:rPr>
        <w:t>乙方工作人员确认名单</w:t>
      </w:r>
    </w:p>
    <w:p>
      <w:pPr>
        <w:rPr>
          <w:rFonts w:ascii="宋体" w:hAnsi="宋体"/>
          <w:szCs w:val="21"/>
          <w:highlight w:val="none"/>
        </w:rPr>
      </w:pPr>
    </w:p>
    <w:tbl>
      <w:tblPr>
        <w:tblStyle w:val="42"/>
        <w:tblW w:w="98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972"/>
        <w:gridCol w:w="1440"/>
        <w:gridCol w:w="2520"/>
        <w:gridCol w:w="1982"/>
        <w:gridCol w:w="1260"/>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tcPr>
          <w:p>
            <w:pPr>
              <w:jc w:val="center"/>
              <w:rPr>
                <w:rFonts w:ascii="宋体" w:hAnsi="宋体"/>
                <w:szCs w:val="21"/>
                <w:highlight w:val="none"/>
              </w:rPr>
            </w:pPr>
            <w:r>
              <w:rPr>
                <w:rFonts w:hint="eastAsia" w:ascii="宋体" w:hAnsi="宋体"/>
                <w:szCs w:val="21"/>
                <w:highlight w:val="none"/>
              </w:rPr>
              <w:t>序号</w:t>
            </w:r>
          </w:p>
        </w:tc>
        <w:tc>
          <w:tcPr>
            <w:tcW w:w="972" w:type="dxa"/>
          </w:tcPr>
          <w:p>
            <w:pPr>
              <w:jc w:val="center"/>
              <w:rPr>
                <w:rFonts w:ascii="宋体" w:hAnsi="宋体"/>
                <w:szCs w:val="21"/>
                <w:highlight w:val="none"/>
              </w:rPr>
            </w:pPr>
            <w:r>
              <w:rPr>
                <w:rFonts w:hint="eastAsia" w:ascii="宋体" w:hAnsi="宋体"/>
                <w:szCs w:val="21"/>
                <w:highlight w:val="none"/>
              </w:rPr>
              <w:t>姓名</w:t>
            </w:r>
          </w:p>
        </w:tc>
        <w:tc>
          <w:tcPr>
            <w:tcW w:w="1440" w:type="dxa"/>
          </w:tcPr>
          <w:p>
            <w:pPr>
              <w:jc w:val="center"/>
              <w:rPr>
                <w:rFonts w:ascii="宋体" w:hAnsi="宋体"/>
                <w:szCs w:val="21"/>
                <w:highlight w:val="none"/>
              </w:rPr>
            </w:pPr>
            <w:r>
              <w:rPr>
                <w:rFonts w:hint="eastAsia" w:ascii="宋体" w:hAnsi="宋体"/>
                <w:szCs w:val="21"/>
                <w:highlight w:val="none"/>
              </w:rPr>
              <w:t>身份证号码</w:t>
            </w:r>
          </w:p>
        </w:tc>
        <w:tc>
          <w:tcPr>
            <w:tcW w:w="2520" w:type="dxa"/>
          </w:tcPr>
          <w:p>
            <w:pPr>
              <w:jc w:val="center"/>
              <w:rPr>
                <w:rFonts w:ascii="宋体" w:hAnsi="宋体"/>
                <w:szCs w:val="21"/>
                <w:highlight w:val="none"/>
              </w:rPr>
            </w:pPr>
            <w:r>
              <w:rPr>
                <w:rFonts w:hint="eastAsia" w:ascii="宋体" w:hAnsi="宋体"/>
                <w:szCs w:val="21"/>
                <w:highlight w:val="none"/>
              </w:rPr>
              <w:t>与乙方的劳动合同期限</w:t>
            </w:r>
          </w:p>
        </w:tc>
        <w:tc>
          <w:tcPr>
            <w:tcW w:w="1982" w:type="dxa"/>
          </w:tcPr>
          <w:p>
            <w:pPr>
              <w:jc w:val="center"/>
              <w:rPr>
                <w:rFonts w:ascii="宋体" w:hAnsi="宋体"/>
                <w:szCs w:val="21"/>
                <w:highlight w:val="none"/>
              </w:rPr>
            </w:pPr>
            <w:r>
              <w:rPr>
                <w:rFonts w:hint="eastAsia" w:ascii="宋体" w:hAnsi="宋体"/>
                <w:szCs w:val="21"/>
                <w:highlight w:val="none"/>
              </w:rPr>
              <w:t>联系方式</w:t>
            </w:r>
          </w:p>
        </w:tc>
        <w:tc>
          <w:tcPr>
            <w:tcW w:w="1260" w:type="dxa"/>
          </w:tcPr>
          <w:p>
            <w:pPr>
              <w:jc w:val="center"/>
              <w:rPr>
                <w:rFonts w:ascii="宋体" w:hAnsi="宋体"/>
                <w:szCs w:val="21"/>
                <w:highlight w:val="none"/>
              </w:rPr>
            </w:pPr>
            <w:r>
              <w:rPr>
                <w:rFonts w:hint="eastAsia" w:ascii="宋体" w:hAnsi="宋体"/>
                <w:szCs w:val="21"/>
                <w:highlight w:val="none"/>
              </w:rPr>
              <w:t>签名确认</w:t>
            </w:r>
          </w:p>
        </w:tc>
        <w:tc>
          <w:tcPr>
            <w:tcW w:w="880" w:type="dxa"/>
          </w:tcPr>
          <w:p>
            <w:pPr>
              <w:jc w:val="center"/>
              <w:rPr>
                <w:rFonts w:ascii="宋体" w:hAnsi="宋体"/>
                <w:szCs w:val="21"/>
                <w:highlight w:val="none"/>
              </w:rPr>
            </w:pPr>
            <w:r>
              <w:rPr>
                <w:rFonts w:hint="eastAsia" w:ascii="宋体" w:hAnsi="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tcPr>
          <w:p>
            <w:pPr>
              <w:jc w:val="center"/>
              <w:rPr>
                <w:rFonts w:ascii="宋体" w:hAnsi="宋体"/>
                <w:szCs w:val="21"/>
                <w:highlight w:val="none"/>
              </w:rPr>
            </w:pPr>
            <w:r>
              <w:rPr>
                <w:rFonts w:hint="eastAsia" w:ascii="宋体" w:hAnsi="宋体"/>
                <w:szCs w:val="21"/>
                <w:highlight w:val="none"/>
              </w:rPr>
              <w:t>1</w:t>
            </w:r>
          </w:p>
        </w:tc>
        <w:tc>
          <w:tcPr>
            <w:tcW w:w="972" w:type="dxa"/>
          </w:tcPr>
          <w:p>
            <w:pPr>
              <w:rPr>
                <w:rFonts w:ascii="宋体" w:hAnsi="宋体"/>
                <w:szCs w:val="21"/>
                <w:highlight w:val="none"/>
              </w:rPr>
            </w:pPr>
          </w:p>
        </w:tc>
        <w:tc>
          <w:tcPr>
            <w:tcW w:w="1440" w:type="dxa"/>
          </w:tcPr>
          <w:p>
            <w:pPr>
              <w:rPr>
                <w:rFonts w:ascii="宋体" w:hAnsi="宋体"/>
                <w:szCs w:val="21"/>
                <w:highlight w:val="none"/>
              </w:rPr>
            </w:pPr>
          </w:p>
        </w:tc>
        <w:tc>
          <w:tcPr>
            <w:tcW w:w="2520" w:type="dxa"/>
          </w:tcPr>
          <w:p>
            <w:pPr>
              <w:rPr>
                <w:rFonts w:ascii="宋体" w:hAnsi="宋体"/>
                <w:szCs w:val="21"/>
                <w:highlight w:val="none"/>
              </w:rPr>
            </w:pPr>
          </w:p>
        </w:tc>
        <w:tc>
          <w:tcPr>
            <w:tcW w:w="1982" w:type="dxa"/>
          </w:tcPr>
          <w:p>
            <w:pPr>
              <w:rPr>
                <w:rFonts w:ascii="宋体" w:hAnsi="宋体"/>
                <w:szCs w:val="21"/>
                <w:highlight w:val="none"/>
              </w:rPr>
            </w:pPr>
          </w:p>
        </w:tc>
        <w:tc>
          <w:tcPr>
            <w:tcW w:w="1260" w:type="dxa"/>
          </w:tcPr>
          <w:p>
            <w:pPr>
              <w:rPr>
                <w:rFonts w:ascii="宋体" w:hAnsi="宋体"/>
                <w:szCs w:val="21"/>
                <w:highlight w:val="none"/>
              </w:rPr>
            </w:pPr>
          </w:p>
        </w:tc>
        <w:tc>
          <w:tcPr>
            <w:tcW w:w="880" w:type="dxa"/>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tcPr>
          <w:p>
            <w:pPr>
              <w:jc w:val="center"/>
              <w:rPr>
                <w:rFonts w:ascii="宋体" w:hAnsi="宋体"/>
                <w:szCs w:val="21"/>
                <w:highlight w:val="none"/>
              </w:rPr>
            </w:pPr>
            <w:r>
              <w:rPr>
                <w:rFonts w:hint="eastAsia" w:ascii="宋体" w:hAnsi="宋体"/>
                <w:szCs w:val="21"/>
                <w:highlight w:val="none"/>
              </w:rPr>
              <w:t>2</w:t>
            </w:r>
          </w:p>
        </w:tc>
        <w:tc>
          <w:tcPr>
            <w:tcW w:w="972" w:type="dxa"/>
          </w:tcPr>
          <w:p>
            <w:pPr>
              <w:rPr>
                <w:rFonts w:ascii="宋体" w:hAnsi="宋体"/>
                <w:szCs w:val="21"/>
                <w:highlight w:val="none"/>
              </w:rPr>
            </w:pPr>
          </w:p>
        </w:tc>
        <w:tc>
          <w:tcPr>
            <w:tcW w:w="1440" w:type="dxa"/>
          </w:tcPr>
          <w:p>
            <w:pPr>
              <w:rPr>
                <w:rFonts w:ascii="宋体" w:hAnsi="宋体"/>
                <w:szCs w:val="21"/>
                <w:highlight w:val="none"/>
              </w:rPr>
            </w:pPr>
          </w:p>
        </w:tc>
        <w:tc>
          <w:tcPr>
            <w:tcW w:w="2520" w:type="dxa"/>
          </w:tcPr>
          <w:p>
            <w:pPr>
              <w:rPr>
                <w:rFonts w:ascii="宋体" w:hAnsi="宋体"/>
                <w:szCs w:val="21"/>
                <w:highlight w:val="none"/>
              </w:rPr>
            </w:pPr>
          </w:p>
        </w:tc>
        <w:tc>
          <w:tcPr>
            <w:tcW w:w="1982" w:type="dxa"/>
          </w:tcPr>
          <w:p>
            <w:pPr>
              <w:rPr>
                <w:rFonts w:ascii="宋体" w:hAnsi="宋体"/>
                <w:szCs w:val="21"/>
                <w:highlight w:val="none"/>
              </w:rPr>
            </w:pPr>
          </w:p>
        </w:tc>
        <w:tc>
          <w:tcPr>
            <w:tcW w:w="1260" w:type="dxa"/>
          </w:tcPr>
          <w:p>
            <w:pPr>
              <w:rPr>
                <w:rFonts w:ascii="宋体" w:hAnsi="宋体"/>
                <w:szCs w:val="21"/>
                <w:highlight w:val="none"/>
              </w:rPr>
            </w:pPr>
          </w:p>
        </w:tc>
        <w:tc>
          <w:tcPr>
            <w:tcW w:w="880" w:type="dxa"/>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tcPr>
          <w:p>
            <w:pPr>
              <w:jc w:val="center"/>
              <w:rPr>
                <w:rFonts w:ascii="宋体" w:hAnsi="宋体"/>
                <w:szCs w:val="21"/>
                <w:highlight w:val="none"/>
              </w:rPr>
            </w:pPr>
            <w:r>
              <w:rPr>
                <w:rFonts w:hint="eastAsia" w:ascii="宋体" w:hAnsi="宋体"/>
                <w:szCs w:val="21"/>
                <w:highlight w:val="none"/>
              </w:rPr>
              <w:t>3</w:t>
            </w:r>
          </w:p>
        </w:tc>
        <w:tc>
          <w:tcPr>
            <w:tcW w:w="972" w:type="dxa"/>
          </w:tcPr>
          <w:p>
            <w:pPr>
              <w:rPr>
                <w:rFonts w:ascii="宋体" w:hAnsi="宋体"/>
                <w:szCs w:val="21"/>
                <w:highlight w:val="none"/>
              </w:rPr>
            </w:pPr>
          </w:p>
        </w:tc>
        <w:tc>
          <w:tcPr>
            <w:tcW w:w="1440" w:type="dxa"/>
          </w:tcPr>
          <w:p>
            <w:pPr>
              <w:rPr>
                <w:rFonts w:ascii="宋体" w:hAnsi="宋体"/>
                <w:szCs w:val="21"/>
                <w:highlight w:val="none"/>
              </w:rPr>
            </w:pPr>
          </w:p>
        </w:tc>
        <w:tc>
          <w:tcPr>
            <w:tcW w:w="2520" w:type="dxa"/>
          </w:tcPr>
          <w:p>
            <w:pPr>
              <w:rPr>
                <w:rFonts w:ascii="宋体" w:hAnsi="宋体"/>
                <w:szCs w:val="21"/>
                <w:highlight w:val="none"/>
              </w:rPr>
            </w:pPr>
          </w:p>
        </w:tc>
        <w:tc>
          <w:tcPr>
            <w:tcW w:w="1982" w:type="dxa"/>
          </w:tcPr>
          <w:p>
            <w:pPr>
              <w:rPr>
                <w:rFonts w:ascii="宋体" w:hAnsi="宋体"/>
                <w:szCs w:val="21"/>
                <w:highlight w:val="none"/>
              </w:rPr>
            </w:pPr>
          </w:p>
        </w:tc>
        <w:tc>
          <w:tcPr>
            <w:tcW w:w="1260" w:type="dxa"/>
          </w:tcPr>
          <w:p>
            <w:pPr>
              <w:rPr>
                <w:rFonts w:ascii="宋体" w:hAnsi="宋体"/>
                <w:szCs w:val="21"/>
                <w:highlight w:val="none"/>
              </w:rPr>
            </w:pPr>
          </w:p>
        </w:tc>
        <w:tc>
          <w:tcPr>
            <w:tcW w:w="880" w:type="dxa"/>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tcPr>
          <w:p>
            <w:pPr>
              <w:jc w:val="center"/>
              <w:rPr>
                <w:rFonts w:ascii="宋体" w:hAnsi="宋体"/>
                <w:szCs w:val="21"/>
                <w:highlight w:val="none"/>
              </w:rPr>
            </w:pPr>
            <w:r>
              <w:rPr>
                <w:rFonts w:hint="eastAsia" w:ascii="宋体" w:hAnsi="宋体"/>
                <w:szCs w:val="21"/>
                <w:highlight w:val="none"/>
              </w:rPr>
              <w:t>…</w:t>
            </w:r>
          </w:p>
        </w:tc>
        <w:tc>
          <w:tcPr>
            <w:tcW w:w="972" w:type="dxa"/>
          </w:tcPr>
          <w:p>
            <w:pPr>
              <w:rPr>
                <w:rFonts w:ascii="宋体" w:hAnsi="宋体"/>
                <w:szCs w:val="21"/>
                <w:highlight w:val="none"/>
              </w:rPr>
            </w:pPr>
          </w:p>
        </w:tc>
        <w:tc>
          <w:tcPr>
            <w:tcW w:w="1440" w:type="dxa"/>
          </w:tcPr>
          <w:p>
            <w:pPr>
              <w:rPr>
                <w:rFonts w:ascii="宋体" w:hAnsi="宋体"/>
                <w:szCs w:val="21"/>
                <w:highlight w:val="none"/>
              </w:rPr>
            </w:pPr>
          </w:p>
        </w:tc>
        <w:tc>
          <w:tcPr>
            <w:tcW w:w="2520" w:type="dxa"/>
          </w:tcPr>
          <w:p>
            <w:pPr>
              <w:rPr>
                <w:rFonts w:ascii="宋体" w:hAnsi="宋体"/>
                <w:szCs w:val="21"/>
                <w:highlight w:val="none"/>
              </w:rPr>
            </w:pPr>
          </w:p>
        </w:tc>
        <w:tc>
          <w:tcPr>
            <w:tcW w:w="1982" w:type="dxa"/>
          </w:tcPr>
          <w:p>
            <w:pPr>
              <w:rPr>
                <w:rFonts w:ascii="宋体" w:hAnsi="宋体"/>
                <w:szCs w:val="21"/>
                <w:highlight w:val="none"/>
              </w:rPr>
            </w:pPr>
          </w:p>
        </w:tc>
        <w:tc>
          <w:tcPr>
            <w:tcW w:w="1260" w:type="dxa"/>
          </w:tcPr>
          <w:p>
            <w:pPr>
              <w:rPr>
                <w:rFonts w:ascii="宋体" w:hAnsi="宋体"/>
                <w:szCs w:val="21"/>
                <w:highlight w:val="none"/>
              </w:rPr>
            </w:pPr>
          </w:p>
        </w:tc>
        <w:tc>
          <w:tcPr>
            <w:tcW w:w="880" w:type="dxa"/>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tcPr>
          <w:p>
            <w:pPr>
              <w:jc w:val="center"/>
              <w:rPr>
                <w:rFonts w:ascii="宋体" w:hAnsi="宋体"/>
                <w:szCs w:val="21"/>
                <w:highlight w:val="none"/>
              </w:rPr>
            </w:pPr>
          </w:p>
        </w:tc>
        <w:tc>
          <w:tcPr>
            <w:tcW w:w="972" w:type="dxa"/>
          </w:tcPr>
          <w:p>
            <w:pPr>
              <w:rPr>
                <w:rFonts w:ascii="宋体" w:hAnsi="宋体"/>
                <w:szCs w:val="21"/>
                <w:highlight w:val="none"/>
              </w:rPr>
            </w:pPr>
          </w:p>
        </w:tc>
        <w:tc>
          <w:tcPr>
            <w:tcW w:w="1440" w:type="dxa"/>
          </w:tcPr>
          <w:p>
            <w:pPr>
              <w:rPr>
                <w:rFonts w:ascii="宋体" w:hAnsi="宋体"/>
                <w:szCs w:val="21"/>
                <w:highlight w:val="none"/>
              </w:rPr>
            </w:pPr>
          </w:p>
        </w:tc>
        <w:tc>
          <w:tcPr>
            <w:tcW w:w="2520" w:type="dxa"/>
          </w:tcPr>
          <w:p>
            <w:pPr>
              <w:rPr>
                <w:rFonts w:ascii="宋体" w:hAnsi="宋体"/>
                <w:szCs w:val="21"/>
                <w:highlight w:val="none"/>
              </w:rPr>
            </w:pPr>
          </w:p>
        </w:tc>
        <w:tc>
          <w:tcPr>
            <w:tcW w:w="1982" w:type="dxa"/>
          </w:tcPr>
          <w:p>
            <w:pPr>
              <w:rPr>
                <w:rFonts w:ascii="宋体" w:hAnsi="宋体"/>
                <w:szCs w:val="21"/>
                <w:highlight w:val="none"/>
              </w:rPr>
            </w:pPr>
          </w:p>
        </w:tc>
        <w:tc>
          <w:tcPr>
            <w:tcW w:w="1260" w:type="dxa"/>
          </w:tcPr>
          <w:p>
            <w:pPr>
              <w:rPr>
                <w:rFonts w:ascii="宋体" w:hAnsi="宋体"/>
                <w:szCs w:val="21"/>
                <w:highlight w:val="none"/>
              </w:rPr>
            </w:pPr>
          </w:p>
        </w:tc>
        <w:tc>
          <w:tcPr>
            <w:tcW w:w="880" w:type="dxa"/>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tcPr>
          <w:p>
            <w:pPr>
              <w:jc w:val="center"/>
              <w:rPr>
                <w:rFonts w:ascii="宋体" w:hAnsi="宋体"/>
                <w:szCs w:val="21"/>
                <w:highlight w:val="none"/>
              </w:rPr>
            </w:pPr>
          </w:p>
        </w:tc>
        <w:tc>
          <w:tcPr>
            <w:tcW w:w="972" w:type="dxa"/>
          </w:tcPr>
          <w:p>
            <w:pPr>
              <w:rPr>
                <w:rFonts w:ascii="宋体" w:hAnsi="宋体"/>
                <w:szCs w:val="21"/>
                <w:highlight w:val="none"/>
              </w:rPr>
            </w:pPr>
          </w:p>
        </w:tc>
        <w:tc>
          <w:tcPr>
            <w:tcW w:w="1440" w:type="dxa"/>
          </w:tcPr>
          <w:p>
            <w:pPr>
              <w:rPr>
                <w:rFonts w:ascii="宋体" w:hAnsi="宋体"/>
                <w:szCs w:val="21"/>
                <w:highlight w:val="none"/>
              </w:rPr>
            </w:pPr>
          </w:p>
        </w:tc>
        <w:tc>
          <w:tcPr>
            <w:tcW w:w="2520" w:type="dxa"/>
          </w:tcPr>
          <w:p>
            <w:pPr>
              <w:rPr>
                <w:rFonts w:ascii="宋体" w:hAnsi="宋体"/>
                <w:szCs w:val="21"/>
                <w:highlight w:val="none"/>
              </w:rPr>
            </w:pPr>
          </w:p>
        </w:tc>
        <w:tc>
          <w:tcPr>
            <w:tcW w:w="1982" w:type="dxa"/>
          </w:tcPr>
          <w:p>
            <w:pPr>
              <w:rPr>
                <w:rFonts w:ascii="宋体" w:hAnsi="宋体"/>
                <w:szCs w:val="21"/>
                <w:highlight w:val="none"/>
              </w:rPr>
            </w:pPr>
          </w:p>
        </w:tc>
        <w:tc>
          <w:tcPr>
            <w:tcW w:w="1260" w:type="dxa"/>
          </w:tcPr>
          <w:p>
            <w:pPr>
              <w:rPr>
                <w:rFonts w:ascii="宋体" w:hAnsi="宋体"/>
                <w:szCs w:val="21"/>
                <w:highlight w:val="none"/>
              </w:rPr>
            </w:pPr>
          </w:p>
        </w:tc>
        <w:tc>
          <w:tcPr>
            <w:tcW w:w="880" w:type="dxa"/>
          </w:tcPr>
          <w:p>
            <w:pPr>
              <w:rPr>
                <w:rFonts w:ascii="宋体" w:hAnsi="宋体"/>
                <w:szCs w:val="21"/>
                <w:highlight w:val="none"/>
              </w:rPr>
            </w:pPr>
          </w:p>
        </w:tc>
      </w:tr>
    </w:tbl>
    <w:p>
      <w:pPr>
        <w:rPr>
          <w:rFonts w:ascii="宋体" w:hAnsi="宋体"/>
          <w:szCs w:val="21"/>
          <w:highlight w:val="none"/>
        </w:rPr>
      </w:pPr>
    </w:p>
    <w:p>
      <w:pPr>
        <w:spacing w:line="360" w:lineRule="auto"/>
        <w:ind w:firstLine="240" w:firstLineChars="100"/>
        <w:jc w:val="center"/>
        <w:rPr>
          <w:rFonts w:ascii="宋体" w:hAnsi="宋体"/>
          <w:sz w:val="24"/>
          <w:highlight w:val="none"/>
        </w:rPr>
      </w:pPr>
    </w:p>
    <w:p>
      <w:pPr>
        <w:spacing w:line="360" w:lineRule="auto"/>
        <w:ind w:firstLine="241" w:firstLineChars="100"/>
        <w:jc w:val="center"/>
        <w:rPr>
          <w:rFonts w:ascii="宋体" w:hAnsi="宋体"/>
          <w:b/>
          <w:sz w:val="24"/>
          <w:highlight w:val="none"/>
        </w:rPr>
      </w:pPr>
    </w:p>
    <w:p>
      <w:pPr>
        <w:spacing w:line="360" w:lineRule="auto"/>
        <w:ind w:firstLine="241" w:firstLineChars="100"/>
        <w:jc w:val="center"/>
        <w:rPr>
          <w:rFonts w:ascii="宋体" w:hAnsi="宋体"/>
          <w:b/>
          <w:sz w:val="24"/>
          <w:highlight w:val="none"/>
        </w:rPr>
      </w:pPr>
    </w:p>
    <w:p>
      <w:pPr>
        <w:spacing w:line="360" w:lineRule="auto"/>
        <w:ind w:firstLine="241" w:firstLineChars="100"/>
        <w:jc w:val="center"/>
        <w:rPr>
          <w:rFonts w:ascii="宋体" w:hAnsi="宋体"/>
          <w:b/>
          <w:sz w:val="24"/>
          <w:highlight w:val="none"/>
        </w:rPr>
      </w:pPr>
    </w:p>
    <w:p>
      <w:pPr>
        <w:spacing w:line="360" w:lineRule="auto"/>
        <w:rPr>
          <w:rFonts w:ascii="宋体" w:hAnsi="宋体"/>
          <w:b/>
          <w:sz w:val="24"/>
          <w:highlight w:val="none"/>
        </w:rPr>
      </w:pPr>
    </w:p>
    <w:p>
      <w:pPr>
        <w:spacing w:line="360" w:lineRule="auto"/>
        <w:rPr>
          <w:rFonts w:ascii="宋体" w:hAnsi="宋体"/>
          <w:b/>
          <w:sz w:val="24"/>
          <w:highlight w:val="none"/>
        </w:rPr>
      </w:pPr>
    </w:p>
    <w:p>
      <w:pPr>
        <w:spacing w:line="360" w:lineRule="auto"/>
        <w:rPr>
          <w:rFonts w:ascii="宋体" w:hAnsi="宋体"/>
          <w:b/>
          <w:sz w:val="24"/>
          <w:highlight w:val="none"/>
        </w:rPr>
      </w:pPr>
      <w:r>
        <w:rPr>
          <w:rFonts w:hint="eastAsia" w:ascii="宋体" w:hAnsi="宋体"/>
          <w:b/>
          <w:sz w:val="24"/>
          <w:highlight w:val="none"/>
        </w:rPr>
        <w:t>附件4：</w:t>
      </w:r>
    </w:p>
    <w:p>
      <w:pPr>
        <w:spacing w:line="360" w:lineRule="auto"/>
        <w:jc w:val="center"/>
        <w:rPr>
          <w:rFonts w:ascii="宋体" w:hAnsi="宋体"/>
          <w:b/>
          <w:sz w:val="24"/>
          <w:highlight w:val="none"/>
        </w:rPr>
      </w:pPr>
      <w:r>
        <w:rPr>
          <w:rFonts w:hint="eastAsia" w:ascii="宋体" w:hAnsi="宋体"/>
          <w:b/>
          <w:sz w:val="24"/>
          <w:highlight w:val="none"/>
        </w:rPr>
        <w:t>乙方工作人员声明</w:t>
      </w:r>
    </w:p>
    <w:p>
      <w:pPr>
        <w:spacing w:line="360" w:lineRule="auto"/>
        <w:ind w:firstLine="240" w:firstLineChars="100"/>
        <w:rPr>
          <w:rFonts w:ascii="宋体" w:hAnsi="宋体"/>
          <w:sz w:val="24"/>
          <w:highlight w:val="none"/>
        </w:rPr>
      </w:pPr>
    </w:p>
    <w:p>
      <w:pPr>
        <w:spacing w:line="360" w:lineRule="auto"/>
        <w:ind w:firstLine="210" w:firstLineChars="100"/>
        <w:rPr>
          <w:rFonts w:ascii="宋体" w:hAnsi="宋体"/>
          <w:szCs w:val="21"/>
          <w:highlight w:val="none"/>
        </w:rPr>
      </w:pPr>
      <w:r>
        <w:rPr>
          <w:rFonts w:hint="eastAsia" w:ascii="宋体" w:hAnsi="宋体"/>
          <w:szCs w:val="21"/>
          <w:highlight w:val="none"/>
        </w:rPr>
        <w:t>致</w:t>
      </w:r>
      <w:r>
        <w:rPr>
          <w:rFonts w:hint="eastAsia" w:ascii="宋体" w:hAnsi="宋体"/>
          <w:szCs w:val="21"/>
          <w:highlight w:val="none"/>
          <w:u w:val="single"/>
        </w:rPr>
        <w:t xml:space="preserve">    佛山市恒益环保建材有限公司       </w:t>
      </w:r>
      <w:r>
        <w:rPr>
          <w:rFonts w:hint="eastAsia" w:ascii="宋体" w:hAnsi="宋体"/>
          <w:szCs w:val="21"/>
          <w:highlight w:val="none"/>
        </w:rPr>
        <w:t>：</w:t>
      </w:r>
    </w:p>
    <w:p>
      <w:pPr>
        <w:spacing w:line="360" w:lineRule="auto"/>
        <w:ind w:left="210" w:leftChars="100" w:firstLine="420" w:firstLineChars="200"/>
        <w:rPr>
          <w:rFonts w:ascii="宋体" w:hAnsi="宋体"/>
          <w:szCs w:val="21"/>
          <w:highlight w:val="none"/>
        </w:rPr>
      </w:pPr>
      <w:r>
        <w:rPr>
          <w:rFonts w:hint="eastAsia" w:ascii="宋体" w:hAnsi="宋体"/>
          <w:szCs w:val="21"/>
          <w:highlight w:val="none"/>
        </w:rPr>
        <w:t>本人系的职工，与其存在合法的劳动关系。在劳动关系存续期间，已足额支付本人所有的劳动报酬，足额缴纳各项社会保险，并履行了其他所有义务。</w:t>
      </w:r>
    </w:p>
    <w:p>
      <w:pPr>
        <w:spacing w:line="360" w:lineRule="auto"/>
        <w:ind w:left="210" w:leftChars="100" w:firstLine="420" w:firstLineChars="200"/>
        <w:rPr>
          <w:rFonts w:ascii="宋体" w:hAnsi="宋体"/>
          <w:szCs w:val="21"/>
          <w:highlight w:val="none"/>
        </w:rPr>
      </w:pPr>
      <w:r>
        <w:rPr>
          <w:rFonts w:hint="eastAsia" w:ascii="宋体" w:hAnsi="宋体"/>
          <w:szCs w:val="21"/>
          <w:highlight w:val="none"/>
        </w:rPr>
        <w:t>本人作为的员工，不因从事 （） 与贵司签署的《</w:t>
      </w:r>
      <w:r>
        <w:rPr>
          <w:rFonts w:hint="eastAsia" w:ascii="宋体" w:hAnsi="宋体" w:cs="宋体"/>
          <w:szCs w:val="21"/>
          <w:highlight w:val="none"/>
        </w:rPr>
        <w:t>佛山市恒益环保建材有限公司加气砌块生产辅助业务外委项目承包</w:t>
      </w:r>
      <w:r>
        <w:rPr>
          <w:rFonts w:hint="eastAsia" w:ascii="宋体" w:hAnsi="宋体" w:cs="宋体"/>
          <w:bCs/>
          <w:szCs w:val="21"/>
          <w:highlight w:val="none"/>
        </w:rPr>
        <w:t>合同</w:t>
      </w:r>
      <w:r>
        <w:rPr>
          <w:rFonts w:hint="eastAsia" w:ascii="宋体" w:hAnsi="宋体"/>
          <w:szCs w:val="21"/>
          <w:highlight w:val="none"/>
        </w:rPr>
        <w:t>》项下的工作任务而在本人与贵方之间构成雇佣关系或事实劳动关系或其他任何劳动关系。</w:t>
      </w:r>
    </w:p>
    <w:p>
      <w:pPr>
        <w:spacing w:line="360" w:lineRule="auto"/>
        <w:ind w:firstLine="210" w:firstLineChars="100"/>
        <w:rPr>
          <w:rFonts w:ascii="宋体" w:hAnsi="宋体"/>
          <w:szCs w:val="21"/>
          <w:highlight w:val="none"/>
        </w:rPr>
      </w:pPr>
      <w:r>
        <w:rPr>
          <w:rFonts w:hint="eastAsia" w:ascii="宋体" w:hAnsi="宋体"/>
          <w:szCs w:val="21"/>
          <w:highlight w:val="none"/>
        </w:rPr>
        <w:t>本人已认真阅读上述内容且已充分理解其含义，并自愿做出上述声明。</w:t>
      </w:r>
    </w:p>
    <w:p>
      <w:pPr>
        <w:spacing w:line="360" w:lineRule="auto"/>
        <w:rPr>
          <w:rFonts w:ascii="宋体" w:hAnsi="宋体"/>
          <w:szCs w:val="21"/>
          <w:highlight w:val="none"/>
        </w:rPr>
      </w:pPr>
    </w:p>
    <w:p>
      <w:pPr>
        <w:spacing w:line="360" w:lineRule="auto"/>
        <w:ind w:firstLine="210" w:firstLineChars="100"/>
        <w:rPr>
          <w:rFonts w:ascii="宋体" w:hAnsi="宋体"/>
          <w:szCs w:val="21"/>
          <w:highlight w:val="none"/>
          <w:u w:val="single"/>
        </w:rPr>
      </w:pPr>
      <w:r>
        <w:rPr>
          <w:rFonts w:hint="eastAsia" w:ascii="宋体" w:hAnsi="宋体"/>
          <w:szCs w:val="21"/>
          <w:highlight w:val="none"/>
        </w:rPr>
        <w:t>签名：</w:t>
      </w:r>
      <w:r>
        <w:rPr>
          <w:rFonts w:hint="eastAsia" w:ascii="宋体" w:hAnsi="宋体"/>
          <w:szCs w:val="21"/>
          <w:highlight w:val="none"/>
          <w:u w:val="single"/>
        </w:rPr>
        <w:t xml:space="preserve">    （进场工作人员）    </w:t>
      </w:r>
    </w:p>
    <w:p>
      <w:pPr>
        <w:spacing w:line="360" w:lineRule="auto"/>
        <w:ind w:firstLine="210" w:firstLineChars="100"/>
        <w:rPr>
          <w:rFonts w:ascii="仿宋_GB2312" w:eastAsia="仿宋_GB2312"/>
          <w:szCs w:val="21"/>
          <w:highlight w:val="none"/>
        </w:rPr>
      </w:pPr>
      <w:r>
        <w:rPr>
          <w:rFonts w:hint="eastAsia" w:ascii="宋体" w:hAnsi="宋体"/>
          <w:szCs w:val="21"/>
          <w:highlight w:val="none"/>
        </w:rPr>
        <w:t>日期：</w:t>
      </w:r>
    </w:p>
    <w:p>
      <w:pPr>
        <w:rPr>
          <w:rFonts w:ascii="宋体" w:hAnsi="宋体"/>
          <w:b/>
          <w:sz w:val="24"/>
          <w:highlight w:val="none"/>
        </w:rPr>
      </w:pPr>
    </w:p>
    <w:p>
      <w:pPr>
        <w:rPr>
          <w:rFonts w:ascii="宋体" w:hAnsi="宋体"/>
          <w:b/>
          <w:sz w:val="24"/>
          <w:highlight w:val="none"/>
        </w:rPr>
      </w:pPr>
    </w:p>
    <w:p>
      <w:pPr>
        <w:rPr>
          <w:rFonts w:ascii="宋体" w:hAnsi="宋体"/>
          <w:b/>
          <w:sz w:val="24"/>
          <w:highlight w:val="none"/>
        </w:rPr>
      </w:pPr>
    </w:p>
    <w:p>
      <w:pPr>
        <w:rPr>
          <w:rFonts w:ascii="宋体" w:hAnsi="宋体"/>
          <w:b/>
          <w:sz w:val="24"/>
          <w:highlight w:val="none"/>
        </w:rPr>
      </w:pPr>
    </w:p>
    <w:p>
      <w:pPr>
        <w:rPr>
          <w:rFonts w:ascii="宋体" w:hAnsi="宋体"/>
          <w:b/>
          <w:sz w:val="24"/>
          <w:highlight w:val="none"/>
        </w:rPr>
      </w:pPr>
    </w:p>
    <w:p>
      <w:pPr>
        <w:rPr>
          <w:b/>
          <w:bCs/>
          <w:sz w:val="24"/>
          <w:highlight w:val="none"/>
        </w:rPr>
      </w:pPr>
      <w:r>
        <w:rPr>
          <w:rFonts w:hint="eastAsia" w:ascii="宋体" w:hAnsi="宋体"/>
          <w:b/>
          <w:sz w:val="24"/>
          <w:highlight w:val="none"/>
        </w:rPr>
        <w:t>附件5:</w:t>
      </w:r>
    </w:p>
    <w:p>
      <w:pPr>
        <w:adjustRightInd w:val="0"/>
        <w:snapToGrid w:val="0"/>
        <w:spacing w:line="360" w:lineRule="auto"/>
        <w:jc w:val="center"/>
        <w:rPr>
          <w:rFonts w:hint="eastAsia"/>
          <w:b/>
          <w:sz w:val="30"/>
          <w:szCs w:val="30"/>
          <w:highlight w:val="none"/>
        </w:rPr>
      </w:pPr>
      <w:r>
        <w:rPr>
          <w:rFonts w:hint="eastAsia"/>
          <w:b/>
          <w:sz w:val="30"/>
          <w:szCs w:val="30"/>
          <w:highlight w:val="none"/>
        </w:rPr>
        <w:t>佛山市恒益环保建材有限公司加气砌块生产辅助业务外委项目</w:t>
      </w:r>
    </w:p>
    <w:p>
      <w:pPr>
        <w:adjustRightInd w:val="0"/>
        <w:snapToGrid w:val="0"/>
        <w:spacing w:line="360" w:lineRule="auto"/>
        <w:jc w:val="center"/>
        <w:rPr>
          <w:b/>
          <w:sz w:val="30"/>
          <w:szCs w:val="30"/>
          <w:highlight w:val="none"/>
        </w:rPr>
      </w:pPr>
      <w:r>
        <w:rPr>
          <w:rFonts w:hint="eastAsia"/>
          <w:b/>
          <w:sz w:val="30"/>
          <w:szCs w:val="30"/>
          <w:highlight w:val="none"/>
        </w:rPr>
        <w:t>廉洁协议</w:t>
      </w:r>
    </w:p>
    <w:p>
      <w:pPr>
        <w:adjustRightInd w:val="0"/>
        <w:snapToGrid w:val="0"/>
        <w:spacing w:line="360" w:lineRule="auto"/>
        <w:jc w:val="center"/>
        <w:rPr>
          <w:sz w:val="30"/>
          <w:szCs w:val="30"/>
          <w:highlight w:val="none"/>
        </w:rPr>
      </w:pPr>
    </w:p>
    <w:p>
      <w:pPr>
        <w:spacing w:line="5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甲方</w:t>
      </w:r>
      <w:r>
        <w:rPr>
          <w:rFonts w:asciiTheme="minorEastAsia" w:hAnsiTheme="minorEastAsia" w:eastAsiaTheme="minorEastAsia"/>
          <w:szCs w:val="21"/>
          <w:highlight w:val="none"/>
        </w:rPr>
        <w:t xml:space="preserve">: </w:t>
      </w:r>
      <w:r>
        <w:rPr>
          <w:rFonts w:hint="eastAsia" w:asciiTheme="minorEastAsia" w:hAnsiTheme="minorEastAsia" w:eastAsiaTheme="minorEastAsia"/>
          <w:szCs w:val="21"/>
          <w:highlight w:val="none"/>
        </w:rPr>
        <w:t>佛山市恒益环保建材有限公司</w:t>
      </w:r>
    </w:p>
    <w:p>
      <w:pPr>
        <w:spacing w:line="5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乙方</w:t>
      </w:r>
      <w:r>
        <w:rPr>
          <w:rFonts w:asciiTheme="minorEastAsia" w:hAnsiTheme="minorEastAsia" w:eastAsiaTheme="minorEastAsia"/>
          <w:szCs w:val="21"/>
          <w:highlight w:val="none"/>
        </w:rPr>
        <w:t>:</w:t>
      </w:r>
    </w:p>
    <w:p>
      <w:pPr>
        <w:adjustRightInd w:val="0"/>
        <w:snapToGrid w:val="0"/>
        <w:spacing w:line="360" w:lineRule="auto"/>
        <w:rPr>
          <w:szCs w:val="21"/>
          <w:highlight w:val="none"/>
        </w:rPr>
      </w:pP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为了增强甲乙双方依法经营、廉洁从业意识，完善自我约束、自我监督机制，营造守法诚信、廉洁高效的工作环境，防止发生违法违纪行为，保护国家、集体和当事人的合法权益，根据中央、省和佛山市有关党风建设和反腐倡廉工作的各项规定，特订立本廉洁协议：</w:t>
      </w:r>
    </w:p>
    <w:p>
      <w:pPr>
        <w:adjustRightInd w:val="0"/>
        <w:snapToGrid w:val="0"/>
        <w:spacing w:line="360" w:lineRule="auto"/>
        <w:rPr>
          <w:rFonts w:asciiTheme="minorEastAsia" w:hAnsiTheme="minorEastAsia" w:eastAsiaTheme="minorEastAsia"/>
          <w:b/>
          <w:szCs w:val="21"/>
          <w:highlight w:val="none"/>
        </w:rPr>
      </w:pPr>
      <w:r>
        <w:rPr>
          <w:rFonts w:asciiTheme="minorEastAsia" w:hAnsiTheme="minorEastAsia" w:eastAsiaTheme="minorEastAsia"/>
          <w:b/>
          <w:szCs w:val="21"/>
          <w:highlight w:val="none"/>
        </w:rPr>
        <w:t xml:space="preserve"> 第一条 双方共同的责任和义务</w:t>
      </w:r>
    </w:p>
    <w:p>
      <w:pPr>
        <w:adjustRightInd w:val="0"/>
        <w:snapToGrid w:val="0"/>
        <w:spacing w:line="360" w:lineRule="auto"/>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    （一）严格遵守关于市场准入、招标投标、工程建设管理、物资采购、投资并购、国有资产处置等市场经济活动的法律法规制度以及党风建设和反腐倡廉工作的各项规定。</w:t>
      </w:r>
    </w:p>
    <w:p>
      <w:pPr>
        <w:adjustRightInd w:val="0"/>
        <w:snapToGrid w:val="0"/>
        <w:spacing w:line="360" w:lineRule="auto"/>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    （二）严格履行合同约定，自觉承担合同义务。</w:t>
      </w:r>
    </w:p>
    <w:p>
      <w:pPr>
        <w:adjustRightInd w:val="0"/>
        <w:snapToGrid w:val="0"/>
        <w:spacing w:line="360" w:lineRule="auto"/>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    （三）业务活动必须坚持公平、公正、公开和诚实守信的原则（除法律法规另有规定者外），不得为获取不正当利益，损害国家、集体和对方利益。</w:t>
      </w:r>
    </w:p>
    <w:p>
      <w:pPr>
        <w:adjustRightInd w:val="0"/>
        <w:snapToGrid w:val="0"/>
        <w:spacing w:line="360" w:lineRule="auto"/>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    （四）建立健全自我监督机制，开展廉洁教育，公布举报电话，监督并认真查处违法违纪行为。</w:t>
      </w:r>
    </w:p>
    <w:p>
      <w:pPr>
        <w:adjustRightInd w:val="0"/>
        <w:snapToGrid w:val="0"/>
        <w:spacing w:line="360" w:lineRule="auto"/>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    （五）发现对方在业务活动中有违规、违纪、违法行为的，应及时提醒对方，情节严重的，应向有关纪检监察部门举报。</w:t>
      </w:r>
    </w:p>
    <w:p>
      <w:pPr>
        <w:adjustRightInd w:val="0"/>
        <w:snapToGrid w:val="0"/>
        <w:spacing w:line="360" w:lineRule="auto"/>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第二条甲方的责任和义务</w:t>
      </w:r>
    </w:p>
    <w:p>
      <w:pPr>
        <w:adjustRightInd w:val="0"/>
        <w:snapToGrid w:val="0"/>
        <w:spacing w:line="360" w:lineRule="auto"/>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    甲方相关工作人员，在业务活动的事前、事中、事后，应遵守以下规定：</w:t>
      </w:r>
    </w:p>
    <w:p>
      <w:pPr>
        <w:adjustRightInd w:val="0"/>
        <w:snapToGrid w:val="0"/>
        <w:spacing w:line="360" w:lineRule="auto"/>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    （一）贯彻落实佛山市恒益环保建材有限公司有关党风廉政建设责任制及廉洁从业的规定，建立企业诚信档案； </w:t>
      </w:r>
    </w:p>
    <w:p>
      <w:pPr>
        <w:adjustRightInd w:val="0"/>
        <w:snapToGrid w:val="0"/>
        <w:spacing w:line="360" w:lineRule="auto"/>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    （二）按照公平、公正、公开和诚实守信的原则开展各项业务活动，为乙方提供公平的竞争环境与平台； </w:t>
      </w:r>
    </w:p>
    <w:p>
      <w:pPr>
        <w:adjustRightInd w:val="0"/>
        <w:snapToGrid w:val="0"/>
        <w:spacing w:line="360" w:lineRule="auto"/>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    （三）不准向乙方泄漏涉及有关业务活动的内部决策机密； </w:t>
      </w:r>
    </w:p>
    <w:p>
      <w:pPr>
        <w:adjustRightInd w:val="0"/>
        <w:snapToGrid w:val="0"/>
        <w:spacing w:line="360" w:lineRule="auto"/>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    （四）不准向乙方和相关单位索要或接受回扣、红包、礼金、购物卡、有价证券、贵重物品和好处费、感谢费等； </w:t>
      </w:r>
    </w:p>
    <w:p>
      <w:pPr>
        <w:adjustRightInd w:val="0"/>
        <w:snapToGrid w:val="0"/>
        <w:spacing w:line="360" w:lineRule="auto"/>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    （五）不准在乙方和相关单位报销任何应由甲方或个人支付的费用；</w:t>
      </w:r>
    </w:p>
    <w:p>
      <w:pPr>
        <w:adjustRightInd w:val="0"/>
        <w:snapToGrid w:val="0"/>
        <w:spacing w:line="360" w:lineRule="auto"/>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    （六）不准要求、暗示或接受乙方和相关单位为个人装修住房、婚丧嫁娶、配偶子女的工作安排以及境内外旅游等提供方便；</w:t>
      </w:r>
    </w:p>
    <w:p>
      <w:pPr>
        <w:adjustRightInd w:val="0"/>
        <w:snapToGrid w:val="0"/>
        <w:spacing w:line="360" w:lineRule="auto"/>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    （七）不准向乙方介绍配偶、子女、亲属参与</w:t>
      </w:r>
      <w:r>
        <w:rPr>
          <w:rFonts w:hint="eastAsia" w:asciiTheme="minorEastAsia" w:hAnsiTheme="minorEastAsia" w:eastAsiaTheme="minorEastAsia"/>
          <w:szCs w:val="21"/>
          <w:highlight w:val="none"/>
        </w:rPr>
        <w:t>与甲方有关的经济活动，不得以任何理由向乙方和相关单位推荐第三方单位；</w:t>
      </w:r>
    </w:p>
    <w:p>
      <w:pPr>
        <w:adjustRightInd w:val="0"/>
        <w:snapToGrid w:val="0"/>
        <w:spacing w:line="360" w:lineRule="auto"/>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    （八）不准参与影响相关工作正常和公正开展的其他活动；</w:t>
      </w:r>
    </w:p>
    <w:p>
      <w:pPr>
        <w:adjustRightInd w:val="0"/>
        <w:snapToGrid w:val="0"/>
        <w:spacing w:line="360" w:lineRule="auto"/>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    （九）不准违反《中共中央纪委关于严格禁止利用职务上的便利谋取不正当利益的若干规定》的内容。</w:t>
      </w:r>
    </w:p>
    <w:p>
      <w:pPr>
        <w:adjustRightInd w:val="0"/>
        <w:snapToGrid w:val="0"/>
        <w:spacing w:line="360" w:lineRule="auto"/>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第三条乙方的责任和义务</w:t>
      </w:r>
    </w:p>
    <w:p>
      <w:pPr>
        <w:adjustRightInd w:val="0"/>
        <w:snapToGrid w:val="0"/>
        <w:spacing w:line="360" w:lineRule="auto"/>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    乙方及其下属企业相关工作人员，在与甲方业务活动的交往过程中，应遵守以下规定： </w:t>
      </w:r>
    </w:p>
    <w:p>
      <w:pPr>
        <w:adjustRightInd w:val="0"/>
        <w:snapToGrid w:val="0"/>
        <w:spacing w:line="360" w:lineRule="auto"/>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    （一）不准以任何理由为甲方和相关单位报销应由对方或个人支付的费用；</w:t>
      </w:r>
    </w:p>
    <w:p>
      <w:pPr>
        <w:adjustRightInd w:val="0"/>
        <w:snapToGrid w:val="0"/>
        <w:spacing w:line="360" w:lineRule="auto"/>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    （二）不准以任何理由向甲方、甲方的母公司、上级主管部门负责人及其工作人员赠送回扣、红包、礼金、购物卡、有价证券、贵重物品和好处费、感谢费等；</w:t>
      </w:r>
    </w:p>
    <w:p>
      <w:pPr>
        <w:adjustRightInd w:val="0"/>
        <w:snapToGrid w:val="0"/>
        <w:spacing w:line="360" w:lineRule="auto"/>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    （三）不准以任何理由为甲方、与甲方相关的单位或个人提供高消费宴请及娱乐活动；</w:t>
      </w:r>
    </w:p>
    <w:p>
      <w:pPr>
        <w:adjustRightInd w:val="0"/>
        <w:snapToGrid w:val="0"/>
        <w:spacing w:line="360" w:lineRule="auto"/>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    （四）不准以任何理由为甲方、与甲方相关的单位或个人购置或提供通讯工具、交通工具和高档办公用品；</w:t>
      </w:r>
    </w:p>
    <w:p>
      <w:pPr>
        <w:adjustRightInd w:val="0"/>
        <w:snapToGrid w:val="0"/>
        <w:spacing w:line="360" w:lineRule="auto"/>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    （五）不准接受或暗示为甲方、与甲方相关的单位或个人装修住房、婚丧嫁取、配偶子女的工作安排以及境内外旅游等提供方便；</w:t>
      </w:r>
    </w:p>
    <w:p>
      <w:pPr>
        <w:adjustRightInd w:val="0"/>
        <w:snapToGrid w:val="0"/>
        <w:spacing w:line="360" w:lineRule="auto"/>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    （六）不准以谋取非正当利益为目的，擅自与甲方工作人员就业务问题进行私下商谈或者达成利益默契；</w:t>
      </w:r>
    </w:p>
    <w:p>
      <w:pPr>
        <w:adjustRightInd w:val="0"/>
        <w:snapToGrid w:val="0"/>
        <w:spacing w:line="360" w:lineRule="auto"/>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    （七）发现甲方工作人员有违反本廉洁协议规定的，应向甲方单位举报。佛山市恒益环保建材有限公司受理举报部门：纪检监察室；举报电话：0757-87573071；举报传真：0757-87663903</w:t>
      </w:r>
      <w:r>
        <w:rPr>
          <w:rFonts w:hint="eastAsia" w:asciiTheme="minorEastAsia" w:hAnsiTheme="minorEastAsia" w:eastAsiaTheme="minorEastAsia"/>
          <w:szCs w:val="21"/>
          <w:highlight w:val="none"/>
        </w:rPr>
        <w:t>；举报邮箱：</w:t>
      </w:r>
      <w:r>
        <w:rPr>
          <w:rFonts w:asciiTheme="minorEastAsia" w:hAnsiTheme="minorEastAsia" w:eastAsiaTheme="minorEastAsia"/>
          <w:szCs w:val="21"/>
          <w:highlight w:val="none"/>
        </w:rPr>
        <w:t>HYJC_JJJC8@163.com</w:t>
      </w:r>
      <w:r>
        <w:rPr>
          <w:rFonts w:hint="eastAsia" w:asciiTheme="minorEastAsia" w:hAnsiTheme="minorEastAsia" w:eastAsiaTheme="minorEastAsia"/>
          <w:szCs w:val="21"/>
          <w:highlight w:val="none"/>
        </w:rPr>
        <w:t>。</w:t>
      </w:r>
    </w:p>
    <w:p>
      <w:pPr>
        <w:adjustRightInd w:val="0"/>
        <w:snapToGrid w:val="0"/>
        <w:spacing w:line="360" w:lineRule="auto"/>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第四条法律责任</w:t>
      </w:r>
    </w:p>
    <w:p>
      <w:pPr>
        <w:adjustRightInd w:val="0"/>
        <w:snapToGrid w:val="0"/>
        <w:spacing w:line="360" w:lineRule="auto"/>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    （一）甲方有违反本廉洁协议第一条、甲方相关工作人员违反本廉洁协议第二条约定的，经查证属实，严格按照管理权限，依据有关法律法规和规章制度给予相关人员纪律处分或组织处理；给乙方单位造成经济损失的，应依法予以赔偿，涉嫌犯罪的移送司法机关依法追究刑事责任。</w:t>
      </w:r>
    </w:p>
    <w:p>
      <w:pPr>
        <w:adjustRightInd w:val="0"/>
        <w:snapToGrid w:val="0"/>
        <w:spacing w:line="360" w:lineRule="auto"/>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    （二）乙方及其下属企业及其工作人员违反本廉洁协议第一、三条规定的，经查证属实，甲方可视情节轻重对乙方实施一定期限的市场禁入，以及有权立即单方解除与乙方已签订的相关业务合同以终止相关业务合作；给甲方单位造成经济损失的，应依法予以赔偿，涉嫌犯罪的移送司法机关依法追究刑事责任。</w:t>
      </w:r>
    </w:p>
    <w:p>
      <w:pPr>
        <w:adjustRightInd w:val="0"/>
        <w:snapToGrid w:val="0"/>
        <w:spacing w:line="360" w:lineRule="auto"/>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第五条协议生效及法律效力</w:t>
      </w:r>
    </w:p>
    <w:p>
      <w:pPr>
        <w:adjustRightInd w:val="0"/>
        <w:snapToGrid w:val="0"/>
        <w:spacing w:line="360" w:lineRule="auto"/>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    （一）本廉洁协议作为合同的附件，与合同具有同等法律效力。</w:t>
      </w:r>
    </w:p>
    <w:p>
      <w:pPr>
        <w:adjustRightInd w:val="0"/>
        <w:snapToGrid w:val="0"/>
        <w:spacing w:line="360" w:lineRule="auto"/>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    （二）除非甲乙双方另行签订新的廉洁协议，否则本廉洁协议在甲方与乙方存在业务关系期间均对双方产生约束力。</w:t>
      </w:r>
    </w:p>
    <w:p>
      <w:pPr>
        <w:adjustRightInd w:val="0"/>
        <w:snapToGrid w:val="0"/>
        <w:spacing w:line="360" w:lineRule="auto"/>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第六条协议书份数</w:t>
      </w:r>
    </w:p>
    <w:p>
      <w:pPr>
        <w:adjustRightInd w:val="0"/>
        <w:snapToGrid w:val="0"/>
        <w:spacing w:line="360" w:lineRule="auto"/>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    本廉洁协议一式陆份，甲方肆份，乙方贰份。</w:t>
      </w:r>
    </w:p>
    <w:p>
      <w:pPr>
        <w:tabs>
          <w:tab w:val="left" w:pos="1051"/>
        </w:tabs>
        <w:spacing w:line="360" w:lineRule="auto"/>
        <w:ind w:firstLine="420" w:firstLineChars="200"/>
        <w:jc w:val="left"/>
        <w:rPr>
          <w:szCs w:val="21"/>
          <w:highlight w:val="none"/>
        </w:rPr>
      </w:pPr>
      <w:r>
        <w:rPr>
          <w:rFonts w:hint="eastAsia" w:asciiTheme="minorEastAsia" w:hAnsiTheme="minorEastAsia" w:eastAsiaTheme="minorEastAsia"/>
          <w:szCs w:val="21"/>
          <w:highlight w:val="none"/>
        </w:rPr>
        <w:t>甲乙双方确认在签订合同前已仔细阅读廉洁协议条款内容，甲乙双方对本廉洁协议所产生的法律责任已清楚知悉并承诺遵守。</w:t>
      </w:r>
    </w:p>
    <w:p>
      <w:pPr>
        <w:spacing w:line="440" w:lineRule="exact"/>
        <w:rPr>
          <w:szCs w:val="21"/>
          <w:highlight w:val="none"/>
        </w:rPr>
      </w:pPr>
    </w:p>
    <w:p>
      <w:pPr>
        <w:pStyle w:val="35"/>
        <w:spacing w:line="440" w:lineRule="exact"/>
        <w:rPr>
          <w:sz w:val="24"/>
          <w:highlight w:val="none"/>
        </w:rPr>
      </w:pPr>
      <w:r>
        <w:rPr>
          <w:sz w:val="24"/>
          <w:highlight w:val="none"/>
        </w:rPr>
        <w:br w:type="page"/>
      </w:r>
      <w:r>
        <w:rPr>
          <w:rFonts w:hint="eastAsia"/>
          <w:sz w:val="24"/>
          <w:highlight w:val="none"/>
        </w:rPr>
        <w:t>附件6</w:t>
      </w:r>
    </w:p>
    <w:p>
      <w:pPr>
        <w:pStyle w:val="35"/>
        <w:spacing w:line="440" w:lineRule="exact"/>
        <w:ind w:firstLine="3614" w:firstLineChars="1500"/>
        <w:rPr>
          <w:rFonts w:ascii="宋体" w:hAnsi="宋体"/>
          <w:b/>
          <w:bCs/>
          <w:color w:val="000000"/>
          <w:sz w:val="24"/>
          <w:highlight w:val="none"/>
        </w:rPr>
      </w:pPr>
      <w:r>
        <w:rPr>
          <w:rFonts w:ascii="宋体" w:hAnsi="宋体"/>
          <w:b/>
          <w:bCs/>
          <w:color w:val="000000"/>
          <w:sz w:val="24"/>
          <w:highlight w:val="none"/>
        </w:rPr>
        <w:t>综合治理责任书</w:t>
      </w:r>
    </w:p>
    <w:p>
      <w:pPr>
        <w:pStyle w:val="35"/>
        <w:spacing w:line="440" w:lineRule="exact"/>
        <w:jc w:val="center"/>
        <w:rPr>
          <w:rFonts w:ascii="宋体" w:hAnsi="宋体"/>
          <w:b/>
          <w:bCs/>
          <w:color w:val="000000"/>
          <w:sz w:val="24"/>
          <w:highlight w:val="none"/>
        </w:rPr>
      </w:pPr>
    </w:p>
    <w:p>
      <w:pPr>
        <w:pStyle w:val="35"/>
        <w:ind w:firstLine="420" w:firstLineChars="200"/>
        <w:rPr>
          <w:rFonts w:ascii="宋体" w:hAnsi="宋体"/>
          <w:bCs/>
          <w:color w:val="000000"/>
          <w:sz w:val="21"/>
          <w:szCs w:val="21"/>
          <w:highlight w:val="none"/>
        </w:rPr>
      </w:pPr>
      <w:r>
        <w:rPr>
          <w:rFonts w:ascii="宋体" w:hAnsi="宋体"/>
          <w:bCs/>
          <w:color w:val="000000"/>
          <w:sz w:val="21"/>
          <w:szCs w:val="21"/>
          <w:highlight w:val="none"/>
        </w:rPr>
        <w:t>甲方：</w:t>
      </w:r>
      <w:r>
        <w:rPr>
          <w:rFonts w:hint="eastAsia" w:ascii="宋体" w:hAnsi="宋体"/>
          <w:bCs/>
          <w:color w:val="000000"/>
          <w:sz w:val="21"/>
          <w:szCs w:val="21"/>
          <w:highlight w:val="none"/>
        </w:rPr>
        <w:t>佛山市恒益环保建材有限公司</w:t>
      </w:r>
    </w:p>
    <w:p>
      <w:pPr>
        <w:pStyle w:val="35"/>
        <w:spacing w:line="440" w:lineRule="exact"/>
        <w:rPr>
          <w:rFonts w:ascii="宋体" w:hAnsi="宋体"/>
          <w:bCs/>
          <w:color w:val="000000"/>
          <w:sz w:val="21"/>
          <w:szCs w:val="21"/>
          <w:highlight w:val="none"/>
        </w:rPr>
      </w:pPr>
    </w:p>
    <w:p>
      <w:pPr>
        <w:pStyle w:val="35"/>
        <w:ind w:firstLine="420" w:firstLineChars="200"/>
        <w:rPr>
          <w:rFonts w:ascii="宋体" w:hAnsi="宋体"/>
          <w:bCs/>
          <w:color w:val="000000"/>
          <w:sz w:val="21"/>
          <w:szCs w:val="21"/>
          <w:highlight w:val="none"/>
        </w:rPr>
      </w:pPr>
      <w:r>
        <w:rPr>
          <w:rFonts w:ascii="宋体" w:hAnsi="宋体"/>
          <w:bCs/>
          <w:color w:val="000000"/>
          <w:sz w:val="21"/>
          <w:szCs w:val="21"/>
          <w:highlight w:val="none"/>
        </w:rPr>
        <w:t xml:space="preserve">乙方：                                   </w:t>
      </w:r>
    </w:p>
    <w:p>
      <w:pPr>
        <w:pStyle w:val="35"/>
        <w:spacing w:line="440" w:lineRule="exact"/>
        <w:rPr>
          <w:rFonts w:ascii="宋体" w:hAnsi="宋体"/>
          <w:bCs/>
          <w:color w:val="000000"/>
          <w:sz w:val="21"/>
          <w:szCs w:val="21"/>
          <w:highlight w:val="none"/>
        </w:rPr>
      </w:pPr>
    </w:p>
    <w:p>
      <w:pPr>
        <w:pStyle w:val="35"/>
        <w:spacing w:line="440" w:lineRule="exact"/>
        <w:ind w:firstLine="420" w:firstLineChars="200"/>
        <w:rPr>
          <w:rFonts w:ascii="宋体" w:hAnsi="宋体"/>
          <w:bCs/>
          <w:color w:val="000000"/>
          <w:sz w:val="21"/>
          <w:szCs w:val="21"/>
          <w:highlight w:val="none"/>
        </w:rPr>
      </w:pPr>
      <w:r>
        <w:rPr>
          <w:rFonts w:ascii="宋体" w:hAnsi="宋体"/>
          <w:bCs/>
          <w:color w:val="000000"/>
          <w:sz w:val="21"/>
          <w:szCs w:val="21"/>
          <w:highlight w:val="none"/>
        </w:rPr>
        <w:t>为严格执行有关综合治理工作条例，乙方本</w:t>
      </w:r>
      <w:r>
        <w:rPr>
          <w:rFonts w:hint="eastAsia" w:ascii="宋体" w:hAnsi="宋体"/>
          <w:bCs/>
          <w:color w:val="000000"/>
          <w:sz w:val="21"/>
          <w:szCs w:val="21"/>
          <w:highlight w:val="none"/>
        </w:rPr>
        <w:t>业务外委</w:t>
      </w:r>
      <w:r>
        <w:rPr>
          <w:rFonts w:ascii="宋体" w:hAnsi="宋体"/>
          <w:bCs/>
          <w:color w:val="000000"/>
          <w:sz w:val="21"/>
          <w:szCs w:val="21"/>
          <w:highlight w:val="none"/>
        </w:rPr>
        <w:t>项目负责人切实担负起“共保一方平安”的政治责任，认真落实本</w:t>
      </w:r>
      <w:r>
        <w:rPr>
          <w:rFonts w:hint="eastAsia" w:ascii="宋体" w:hAnsi="宋体"/>
          <w:bCs/>
          <w:color w:val="000000"/>
          <w:sz w:val="21"/>
          <w:szCs w:val="21"/>
          <w:highlight w:val="none"/>
        </w:rPr>
        <w:t>业务外委</w:t>
      </w:r>
      <w:r>
        <w:rPr>
          <w:rFonts w:ascii="宋体" w:hAnsi="宋体"/>
          <w:bCs/>
          <w:color w:val="000000"/>
          <w:sz w:val="21"/>
          <w:szCs w:val="21"/>
          <w:highlight w:val="none"/>
        </w:rPr>
        <w:t>各项安全防范管理措施，积极推进社会治安综合治理工作，维护本企业乙方职工队伍的稳定，保障</w:t>
      </w:r>
      <w:r>
        <w:rPr>
          <w:rFonts w:hint="eastAsia" w:ascii="宋体" w:hAnsi="宋体"/>
          <w:bCs/>
          <w:color w:val="000000"/>
          <w:sz w:val="21"/>
          <w:szCs w:val="21"/>
          <w:highlight w:val="none"/>
        </w:rPr>
        <w:t>本业务外委项目</w:t>
      </w:r>
      <w:r>
        <w:rPr>
          <w:rFonts w:ascii="宋体" w:hAnsi="宋体"/>
          <w:bCs/>
          <w:color w:val="000000"/>
          <w:sz w:val="21"/>
          <w:szCs w:val="21"/>
          <w:highlight w:val="none"/>
        </w:rPr>
        <w:t>正常顺利的完成，特制定本责任书：</w:t>
      </w:r>
    </w:p>
    <w:p>
      <w:pPr>
        <w:pStyle w:val="35"/>
        <w:spacing w:line="440" w:lineRule="exact"/>
        <w:rPr>
          <w:rFonts w:ascii="宋体" w:hAnsi="宋体"/>
          <w:bCs/>
          <w:color w:val="000000"/>
          <w:sz w:val="21"/>
          <w:szCs w:val="21"/>
          <w:highlight w:val="none"/>
        </w:rPr>
      </w:pPr>
      <w:r>
        <w:rPr>
          <w:rFonts w:ascii="宋体" w:hAnsi="宋体"/>
          <w:bCs/>
          <w:color w:val="000000"/>
          <w:sz w:val="21"/>
          <w:szCs w:val="21"/>
          <w:highlight w:val="none"/>
        </w:rPr>
        <w:t>一、主要目标</w:t>
      </w:r>
    </w:p>
    <w:p>
      <w:pPr>
        <w:pStyle w:val="35"/>
        <w:spacing w:line="440" w:lineRule="exact"/>
        <w:rPr>
          <w:rFonts w:ascii="宋体" w:hAnsi="宋体"/>
          <w:bCs/>
          <w:color w:val="000000"/>
          <w:sz w:val="21"/>
          <w:szCs w:val="21"/>
          <w:highlight w:val="none"/>
        </w:rPr>
      </w:pPr>
      <w:r>
        <w:rPr>
          <w:rFonts w:ascii="宋体" w:hAnsi="宋体"/>
          <w:bCs/>
          <w:color w:val="000000"/>
          <w:sz w:val="21"/>
          <w:szCs w:val="21"/>
          <w:highlight w:val="none"/>
        </w:rPr>
        <w:t>1、乙方参加本</w:t>
      </w:r>
      <w:r>
        <w:rPr>
          <w:rFonts w:hint="eastAsia" w:ascii="宋体" w:hAnsi="宋体"/>
          <w:bCs/>
          <w:color w:val="000000"/>
          <w:sz w:val="21"/>
          <w:szCs w:val="21"/>
          <w:highlight w:val="none"/>
        </w:rPr>
        <w:t>业务外委项目</w:t>
      </w:r>
      <w:r>
        <w:rPr>
          <w:rFonts w:ascii="宋体" w:hAnsi="宋体"/>
          <w:bCs/>
          <w:color w:val="000000"/>
          <w:sz w:val="21"/>
          <w:szCs w:val="21"/>
          <w:highlight w:val="none"/>
        </w:rPr>
        <w:t>的员</w:t>
      </w:r>
      <w:r>
        <w:rPr>
          <w:rFonts w:hint="eastAsia" w:ascii="宋体" w:hAnsi="宋体"/>
          <w:bCs/>
          <w:color w:val="000000"/>
          <w:sz w:val="21"/>
          <w:szCs w:val="21"/>
          <w:highlight w:val="none"/>
        </w:rPr>
        <w:t>工</w:t>
      </w:r>
      <w:r>
        <w:rPr>
          <w:rFonts w:ascii="宋体" w:hAnsi="宋体"/>
          <w:bCs/>
          <w:color w:val="000000"/>
          <w:sz w:val="21"/>
          <w:szCs w:val="21"/>
          <w:highlight w:val="none"/>
        </w:rPr>
        <w:t>无人参加境外敌对势力和敌对分子煽动、组织的突发事件。</w:t>
      </w:r>
    </w:p>
    <w:p>
      <w:pPr>
        <w:pStyle w:val="35"/>
        <w:spacing w:line="440" w:lineRule="exact"/>
        <w:rPr>
          <w:rFonts w:ascii="宋体" w:hAnsi="宋体"/>
          <w:bCs/>
          <w:color w:val="000000"/>
          <w:sz w:val="21"/>
          <w:szCs w:val="21"/>
          <w:highlight w:val="none"/>
        </w:rPr>
      </w:pPr>
      <w:r>
        <w:rPr>
          <w:rFonts w:ascii="宋体" w:hAnsi="宋体"/>
          <w:bCs/>
          <w:color w:val="000000"/>
          <w:sz w:val="21"/>
          <w:szCs w:val="21"/>
          <w:highlight w:val="none"/>
        </w:rPr>
        <w:t>2、乙方没有发生因人民内部矛盾引发后果严重的非法请愿、罢工、上访、静坐示威和法轮功修炼者闹事等事件。</w:t>
      </w:r>
    </w:p>
    <w:p>
      <w:pPr>
        <w:pStyle w:val="35"/>
        <w:spacing w:line="440" w:lineRule="exact"/>
        <w:rPr>
          <w:rFonts w:ascii="宋体" w:hAnsi="宋体"/>
          <w:bCs/>
          <w:color w:val="000000"/>
          <w:sz w:val="21"/>
          <w:szCs w:val="21"/>
          <w:highlight w:val="none"/>
        </w:rPr>
      </w:pPr>
      <w:r>
        <w:rPr>
          <w:rFonts w:ascii="宋体" w:hAnsi="宋体"/>
          <w:bCs/>
          <w:color w:val="000000"/>
          <w:sz w:val="21"/>
          <w:szCs w:val="21"/>
          <w:highlight w:val="none"/>
        </w:rPr>
        <w:t>3、乙方没有发生贪污、受贿、诈骗、盗窃等刑事、治安案件；无发生造成重大经济损失的经济案件或造成重大火灾、工程工伤、中毒等治安灾害事故。</w:t>
      </w:r>
    </w:p>
    <w:p>
      <w:pPr>
        <w:pStyle w:val="35"/>
        <w:spacing w:line="440" w:lineRule="exact"/>
        <w:rPr>
          <w:rFonts w:ascii="宋体" w:hAnsi="宋体"/>
          <w:bCs/>
          <w:color w:val="000000"/>
          <w:sz w:val="21"/>
          <w:szCs w:val="21"/>
          <w:highlight w:val="none"/>
        </w:rPr>
      </w:pPr>
      <w:r>
        <w:rPr>
          <w:rFonts w:ascii="宋体" w:hAnsi="宋体"/>
          <w:bCs/>
          <w:color w:val="000000"/>
          <w:sz w:val="21"/>
          <w:szCs w:val="21"/>
          <w:highlight w:val="none"/>
        </w:rPr>
        <w:t>4、廉洁自律，无违法犯罪。</w:t>
      </w:r>
    </w:p>
    <w:p>
      <w:pPr>
        <w:pStyle w:val="35"/>
        <w:spacing w:line="440" w:lineRule="exact"/>
        <w:rPr>
          <w:rFonts w:ascii="宋体" w:hAnsi="宋体"/>
          <w:bCs/>
          <w:color w:val="000000"/>
          <w:sz w:val="21"/>
          <w:szCs w:val="21"/>
          <w:highlight w:val="none"/>
        </w:rPr>
      </w:pPr>
      <w:r>
        <w:rPr>
          <w:rFonts w:ascii="宋体" w:hAnsi="宋体"/>
          <w:bCs/>
          <w:color w:val="000000"/>
          <w:sz w:val="21"/>
          <w:szCs w:val="21"/>
          <w:highlight w:val="none"/>
        </w:rPr>
        <w:t>5、无发生人员组织或参与“黄、赌、毒”以及色情活动。</w:t>
      </w:r>
    </w:p>
    <w:p>
      <w:pPr>
        <w:pStyle w:val="35"/>
        <w:spacing w:line="440" w:lineRule="exact"/>
        <w:rPr>
          <w:rFonts w:ascii="宋体" w:hAnsi="宋体"/>
          <w:bCs/>
          <w:color w:val="000000"/>
          <w:sz w:val="21"/>
          <w:szCs w:val="21"/>
          <w:highlight w:val="none"/>
        </w:rPr>
      </w:pPr>
      <w:r>
        <w:rPr>
          <w:rFonts w:ascii="宋体" w:hAnsi="宋体"/>
          <w:bCs/>
          <w:color w:val="000000"/>
          <w:sz w:val="21"/>
          <w:szCs w:val="21"/>
          <w:highlight w:val="none"/>
        </w:rPr>
        <w:t>二、乙方应采取以下主要措施</w:t>
      </w:r>
      <w:r>
        <w:rPr>
          <w:rFonts w:hint="eastAsia" w:ascii="宋体" w:hAnsi="宋体"/>
          <w:bCs/>
          <w:color w:val="000000"/>
          <w:sz w:val="21"/>
          <w:szCs w:val="21"/>
          <w:highlight w:val="none"/>
        </w:rPr>
        <w:t>及负以下责任</w:t>
      </w:r>
    </w:p>
    <w:p>
      <w:pPr>
        <w:pStyle w:val="35"/>
        <w:spacing w:line="440" w:lineRule="exact"/>
        <w:rPr>
          <w:rFonts w:ascii="宋体" w:hAnsi="宋体"/>
          <w:bCs/>
          <w:color w:val="000000"/>
          <w:sz w:val="21"/>
          <w:szCs w:val="21"/>
          <w:highlight w:val="none"/>
        </w:rPr>
      </w:pPr>
      <w:r>
        <w:rPr>
          <w:rFonts w:ascii="宋体" w:hAnsi="宋体"/>
          <w:bCs/>
          <w:color w:val="000000"/>
          <w:sz w:val="21"/>
          <w:szCs w:val="21"/>
          <w:highlight w:val="none"/>
        </w:rPr>
        <w:t>1、本</w:t>
      </w:r>
      <w:r>
        <w:rPr>
          <w:rFonts w:hint="eastAsia" w:ascii="宋体" w:hAnsi="宋体"/>
          <w:bCs/>
          <w:color w:val="000000"/>
          <w:sz w:val="21"/>
          <w:szCs w:val="21"/>
          <w:highlight w:val="none"/>
        </w:rPr>
        <w:t>业务外委</w:t>
      </w:r>
      <w:r>
        <w:rPr>
          <w:rFonts w:ascii="宋体" w:hAnsi="宋体"/>
          <w:bCs/>
          <w:color w:val="000000"/>
          <w:sz w:val="21"/>
          <w:szCs w:val="21"/>
          <w:highlight w:val="none"/>
        </w:rPr>
        <w:t>项目负责人</w:t>
      </w:r>
      <w:r>
        <w:rPr>
          <w:rFonts w:hint="eastAsia" w:ascii="宋体" w:hAnsi="宋体"/>
          <w:bCs/>
          <w:color w:val="000000"/>
          <w:sz w:val="21"/>
          <w:szCs w:val="21"/>
          <w:highlight w:val="none"/>
        </w:rPr>
        <w:t>负责业务范围内</w:t>
      </w:r>
      <w:r>
        <w:rPr>
          <w:rFonts w:ascii="宋体" w:hAnsi="宋体"/>
          <w:bCs/>
          <w:color w:val="000000"/>
          <w:sz w:val="21"/>
          <w:szCs w:val="21"/>
          <w:highlight w:val="none"/>
        </w:rPr>
        <w:t>社会治安综合治理工作，</w:t>
      </w:r>
      <w:r>
        <w:rPr>
          <w:rFonts w:hint="eastAsia" w:ascii="宋体" w:hAnsi="宋体"/>
          <w:bCs/>
          <w:color w:val="000000"/>
          <w:sz w:val="21"/>
          <w:szCs w:val="21"/>
          <w:highlight w:val="none"/>
        </w:rPr>
        <w:t>负责</w:t>
      </w:r>
      <w:r>
        <w:rPr>
          <w:rFonts w:ascii="宋体" w:hAnsi="宋体"/>
          <w:bCs/>
          <w:color w:val="000000"/>
          <w:sz w:val="21"/>
          <w:szCs w:val="21"/>
          <w:highlight w:val="none"/>
        </w:rPr>
        <w:t>对</w:t>
      </w:r>
      <w:r>
        <w:rPr>
          <w:rFonts w:hint="eastAsia" w:ascii="宋体" w:hAnsi="宋体"/>
          <w:bCs/>
          <w:color w:val="000000"/>
          <w:sz w:val="21"/>
          <w:szCs w:val="21"/>
          <w:highlight w:val="none"/>
        </w:rPr>
        <w:t>业务区域内</w:t>
      </w:r>
      <w:r>
        <w:rPr>
          <w:rFonts w:ascii="宋体" w:hAnsi="宋体"/>
          <w:bCs/>
          <w:color w:val="000000"/>
          <w:sz w:val="21"/>
          <w:szCs w:val="21"/>
          <w:highlight w:val="none"/>
        </w:rPr>
        <w:t>综合治理工作</w:t>
      </w:r>
      <w:r>
        <w:rPr>
          <w:rFonts w:hint="eastAsia" w:ascii="宋体" w:hAnsi="宋体"/>
          <w:bCs/>
          <w:color w:val="000000"/>
          <w:sz w:val="21"/>
          <w:szCs w:val="21"/>
          <w:highlight w:val="none"/>
        </w:rPr>
        <w:t>进行监督、化解社会矛盾</w:t>
      </w:r>
      <w:r>
        <w:rPr>
          <w:rFonts w:ascii="宋体" w:hAnsi="宋体"/>
          <w:bCs/>
          <w:color w:val="000000"/>
          <w:sz w:val="21"/>
          <w:szCs w:val="21"/>
          <w:highlight w:val="none"/>
        </w:rPr>
        <w:t>。</w:t>
      </w:r>
    </w:p>
    <w:p>
      <w:pPr>
        <w:pStyle w:val="35"/>
        <w:spacing w:line="440" w:lineRule="exact"/>
        <w:rPr>
          <w:rFonts w:ascii="宋体" w:hAnsi="宋体"/>
          <w:bCs/>
          <w:color w:val="000000"/>
          <w:sz w:val="21"/>
          <w:szCs w:val="21"/>
          <w:highlight w:val="none"/>
        </w:rPr>
      </w:pPr>
      <w:r>
        <w:rPr>
          <w:rFonts w:ascii="宋体" w:hAnsi="宋体"/>
          <w:bCs/>
          <w:color w:val="000000"/>
          <w:sz w:val="21"/>
          <w:szCs w:val="21"/>
          <w:highlight w:val="none"/>
        </w:rPr>
        <w:t>2、密切掌握敌、社情动态，化解矛盾平息事态；做好民事纠纷的调节，预防和减少不稳定因素；关心困难</w:t>
      </w:r>
      <w:r>
        <w:rPr>
          <w:rFonts w:hint="eastAsia" w:ascii="宋体" w:hAnsi="宋体"/>
          <w:bCs/>
          <w:color w:val="000000"/>
          <w:sz w:val="21"/>
          <w:szCs w:val="21"/>
          <w:highlight w:val="none"/>
        </w:rPr>
        <w:t>员</w:t>
      </w:r>
      <w:r>
        <w:rPr>
          <w:rFonts w:ascii="宋体" w:hAnsi="宋体"/>
          <w:bCs/>
          <w:color w:val="000000"/>
          <w:sz w:val="21"/>
          <w:szCs w:val="21"/>
          <w:highlight w:val="none"/>
        </w:rPr>
        <w:t>工，设法保障他们的基本生活；扎实做好对“法轮功”</w:t>
      </w:r>
      <w:r>
        <w:rPr>
          <w:rFonts w:hint="eastAsia" w:ascii="宋体" w:hAnsi="宋体"/>
          <w:bCs/>
          <w:color w:val="000000"/>
          <w:sz w:val="21"/>
          <w:szCs w:val="21"/>
          <w:highlight w:val="none"/>
        </w:rPr>
        <w:t>、非法社团</w:t>
      </w:r>
      <w:r>
        <w:rPr>
          <w:rFonts w:ascii="宋体" w:hAnsi="宋体"/>
          <w:bCs/>
          <w:color w:val="000000"/>
          <w:sz w:val="21"/>
          <w:szCs w:val="21"/>
          <w:highlight w:val="none"/>
        </w:rPr>
        <w:t>人员的教育转化和防控工作。</w:t>
      </w:r>
    </w:p>
    <w:p>
      <w:pPr>
        <w:pStyle w:val="35"/>
        <w:spacing w:line="440" w:lineRule="exact"/>
        <w:rPr>
          <w:rFonts w:ascii="宋体" w:hAnsi="宋体"/>
          <w:bCs/>
          <w:color w:val="000000"/>
          <w:sz w:val="21"/>
          <w:szCs w:val="21"/>
          <w:highlight w:val="none"/>
        </w:rPr>
      </w:pPr>
      <w:r>
        <w:rPr>
          <w:rFonts w:ascii="宋体" w:hAnsi="宋体"/>
          <w:bCs/>
          <w:color w:val="000000"/>
          <w:sz w:val="21"/>
          <w:szCs w:val="21"/>
          <w:highlight w:val="none"/>
        </w:rPr>
        <w:t>3、健全治安防范管理机制，落实“七防”制度，参与义务消防队、治安队等群防群治队伍，做好对重点要害部位的防范措施，发现隐患，及时认真整治，堵塞漏洞，防范</w:t>
      </w:r>
      <w:r>
        <w:rPr>
          <w:rFonts w:hint="eastAsia" w:ascii="宋体" w:hAnsi="宋体"/>
          <w:bCs/>
          <w:color w:val="000000"/>
          <w:sz w:val="21"/>
          <w:szCs w:val="21"/>
          <w:highlight w:val="none"/>
        </w:rPr>
        <w:t>业务区域</w:t>
      </w:r>
      <w:r>
        <w:rPr>
          <w:rFonts w:ascii="宋体" w:hAnsi="宋体"/>
          <w:bCs/>
          <w:color w:val="000000"/>
          <w:sz w:val="21"/>
          <w:szCs w:val="21"/>
          <w:highlight w:val="none"/>
        </w:rPr>
        <w:t>各种治安责任事故发生。</w:t>
      </w:r>
    </w:p>
    <w:p>
      <w:pPr>
        <w:pStyle w:val="35"/>
        <w:spacing w:line="440" w:lineRule="exact"/>
        <w:rPr>
          <w:rFonts w:ascii="宋体" w:hAnsi="宋体"/>
          <w:bCs/>
          <w:color w:val="000000"/>
          <w:sz w:val="21"/>
          <w:szCs w:val="21"/>
          <w:highlight w:val="none"/>
        </w:rPr>
      </w:pPr>
      <w:r>
        <w:rPr>
          <w:rFonts w:ascii="宋体" w:hAnsi="宋体"/>
          <w:bCs/>
          <w:color w:val="000000"/>
          <w:sz w:val="21"/>
          <w:szCs w:val="21"/>
          <w:highlight w:val="none"/>
        </w:rPr>
        <w:t>4、采取多种形式，对员</w:t>
      </w:r>
      <w:r>
        <w:rPr>
          <w:rFonts w:hint="eastAsia" w:ascii="宋体" w:hAnsi="宋体"/>
          <w:bCs/>
          <w:color w:val="000000"/>
          <w:sz w:val="21"/>
          <w:szCs w:val="21"/>
          <w:highlight w:val="none"/>
        </w:rPr>
        <w:t>工</w:t>
      </w:r>
      <w:r>
        <w:rPr>
          <w:rFonts w:ascii="宋体" w:hAnsi="宋体"/>
          <w:bCs/>
          <w:color w:val="000000"/>
          <w:sz w:val="21"/>
          <w:szCs w:val="21"/>
          <w:highlight w:val="none"/>
        </w:rPr>
        <w:t>开展综治、法制与国家安全的宣传教育活动，逐步提高施工人员遵纪守法意识和树立法制观念的自觉性。</w:t>
      </w:r>
    </w:p>
    <w:p>
      <w:pPr>
        <w:pStyle w:val="35"/>
        <w:spacing w:line="440" w:lineRule="exact"/>
        <w:rPr>
          <w:rFonts w:ascii="宋体" w:hAnsi="宋体"/>
          <w:bCs/>
          <w:color w:val="000000"/>
          <w:sz w:val="21"/>
          <w:szCs w:val="21"/>
          <w:highlight w:val="none"/>
        </w:rPr>
      </w:pPr>
      <w:r>
        <w:rPr>
          <w:rFonts w:ascii="宋体" w:hAnsi="宋体"/>
          <w:bCs/>
          <w:color w:val="000000"/>
          <w:sz w:val="21"/>
          <w:szCs w:val="21"/>
          <w:highlight w:val="none"/>
        </w:rPr>
        <w:t>5、健全对员</w:t>
      </w:r>
      <w:r>
        <w:rPr>
          <w:rFonts w:hint="eastAsia" w:ascii="宋体" w:hAnsi="宋体"/>
          <w:bCs/>
          <w:color w:val="000000"/>
          <w:sz w:val="21"/>
          <w:szCs w:val="21"/>
          <w:highlight w:val="none"/>
        </w:rPr>
        <w:t>工</w:t>
      </w:r>
      <w:r>
        <w:rPr>
          <w:rFonts w:ascii="宋体" w:hAnsi="宋体"/>
          <w:bCs/>
          <w:color w:val="000000"/>
          <w:sz w:val="21"/>
          <w:szCs w:val="21"/>
          <w:highlight w:val="none"/>
        </w:rPr>
        <w:t>各项管理制度，落实检查、监督机制，有效防止内部人员违法、违纪、犯罪。</w:t>
      </w:r>
    </w:p>
    <w:p>
      <w:pPr>
        <w:pStyle w:val="35"/>
        <w:spacing w:line="440" w:lineRule="exact"/>
        <w:rPr>
          <w:rFonts w:ascii="宋体" w:hAnsi="宋体"/>
          <w:bCs/>
          <w:color w:val="000000"/>
          <w:sz w:val="21"/>
          <w:szCs w:val="21"/>
          <w:highlight w:val="none"/>
        </w:rPr>
      </w:pPr>
      <w:r>
        <w:rPr>
          <w:rFonts w:ascii="宋体" w:hAnsi="宋体"/>
          <w:bCs/>
          <w:color w:val="000000"/>
          <w:sz w:val="21"/>
          <w:szCs w:val="21"/>
          <w:highlight w:val="none"/>
        </w:rPr>
        <w:t>6、积极支持参与</w:t>
      </w:r>
      <w:r>
        <w:rPr>
          <w:rFonts w:hint="eastAsia" w:ascii="宋体" w:hAnsi="宋体"/>
          <w:bCs/>
          <w:color w:val="000000"/>
          <w:sz w:val="21"/>
          <w:szCs w:val="21"/>
          <w:highlight w:val="none"/>
        </w:rPr>
        <w:t>甲方公司</w:t>
      </w:r>
      <w:r>
        <w:rPr>
          <w:rFonts w:ascii="宋体" w:hAnsi="宋体"/>
          <w:bCs/>
          <w:color w:val="000000"/>
          <w:sz w:val="21"/>
          <w:szCs w:val="21"/>
          <w:highlight w:val="none"/>
        </w:rPr>
        <w:t>所在地的社会治安综合治理工作，搞好联防联治，教育和引导员</w:t>
      </w:r>
      <w:r>
        <w:rPr>
          <w:rFonts w:hint="eastAsia" w:ascii="宋体" w:hAnsi="宋体"/>
          <w:bCs/>
          <w:color w:val="000000"/>
          <w:sz w:val="21"/>
          <w:szCs w:val="21"/>
          <w:highlight w:val="none"/>
        </w:rPr>
        <w:t>工</w:t>
      </w:r>
      <w:r>
        <w:rPr>
          <w:rFonts w:ascii="宋体" w:hAnsi="宋体"/>
          <w:bCs/>
          <w:color w:val="000000"/>
          <w:sz w:val="21"/>
          <w:szCs w:val="21"/>
          <w:highlight w:val="none"/>
        </w:rPr>
        <w:t>积极参与当地共建安全文明社区建设。</w:t>
      </w:r>
    </w:p>
    <w:p>
      <w:pPr>
        <w:pStyle w:val="35"/>
        <w:spacing w:line="440" w:lineRule="exact"/>
        <w:rPr>
          <w:rFonts w:ascii="宋体" w:hAnsi="宋体"/>
          <w:bCs/>
          <w:color w:val="000000"/>
          <w:sz w:val="21"/>
          <w:szCs w:val="21"/>
          <w:highlight w:val="none"/>
        </w:rPr>
      </w:pPr>
      <w:r>
        <w:rPr>
          <w:rFonts w:ascii="宋体" w:hAnsi="宋体"/>
          <w:bCs/>
          <w:color w:val="000000"/>
          <w:sz w:val="21"/>
          <w:szCs w:val="21"/>
          <w:highlight w:val="none"/>
        </w:rPr>
        <w:t>7、积极开展创建安全</w:t>
      </w:r>
      <w:r>
        <w:rPr>
          <w:rFonts w:hint="eastAsia" w:ascii="宋体" w:hAnsi="宋体"/>
          <w:bCs/>
          <w:color w:val="000000"/>
          <w:sz w:val="21"/>
          <w:szCs w:val="21"/>
          <w:highlight w:val="none"/>
        </w:rPr>
        <w:t>生产</w:t>
      </w:r>
      <w:r>
        <w:rPr>
          <w:rFonts w:ascii="宋体" w:hAnsi="宋体"/>
          <w:bCs/>
          <w:color w:val="000000"/>
          <w:sz w:val="21"/>
          <w:szCs w:val="21"/>
          <w:highlight w:val="none"/>
        </w:rPr>
        <w:t>、文明</w:t>
      </w:r>
      <w:r>
        <w:rPr>
          <w:rFonts w:hint="eastAsia" w:ascii="宋体" w:hAnsi="宋体"/>
          <w:bCs/>
          <w:color w:val="000000"/>
          <w:sz w:val="21"/>
          <w:szCs w:val="21"/>
          <w:highlight w:val="none"/>
        </w:rPr>
        <w:t>生产</w:t>
      </w:r>
      <w:r>
        <w:rPr>
          <w:rFonts w:ascii="宋体" w:hAnsi="宋体"/>
          <w:bCs/>
          <w:color w:val="000000"/>
          <w:sz w:val="21"/>
          <w:szCs w:val="21"/>
          <w:highlight w:val="none"/>
        </w:rPr>
        <w:t>单位的活动。</w:t>
      </w:r>
    </w:p>
    <w:p>
      <w:pPr>
        <w:pStyle w:val="35"/>
        <w:spacing w:line="440" w:lineRule="exact"/>
        <w:rPr>
          <w:rFonts w:ascii="宋体" w:hAnsi="宋体"/>
          <w:bCs/>
          <w:color w:val="000000"/>
          <w:sz w:val="21"/>
          <w:szCs w:val="21"/>
          <w:highlight w:val="none"/>
        </w:rPr>
      </w:pPr>
      <w:r>
        <w:rPr>
          <w:rFonts w:ascii="宋体" w:hAnsi="宋体"/>
          <w:bCs/>
          <w:color w:val="000000"/>
          <w:sz w:val="21"/>
          <w:szCs w:val="21"/>
          <w:highlight w:val="none"/>
        </w:rPr>
        <w:t>8、本协议</w:t>
      </w:r>
      <w:r>
        <w:rPr>
          <w:rFonts w:hint="eastAsia" w:ascii="宋体" w:hAnsi="宋体"/>
          <w:bCs/>
          <w:color w:val="000000"/>
          <w:sz w:val="21"/>
          <w:szCs w:val="21"/>
          <w:highlight w:val="none"/>
        </w:rPr>
        <w:t>书为《加气砌块生产辅助业务外委合同》的有效附件。本协议自双方法人代表或被授权人（须经法定代表人书面授权委托）签字并加盖公章后生效。</w:t>
      </w:r>
    </w:p>
    <w:p>
      <w:pPr>
        <w:pStyle w:val="35"/>
        <w:spacing w:line="440" w:lineRule="exact"/>
        <w:rPr>
          <w:rFonts w:ascii="宋体" w:hAnsi="宋体"/>
          <w:bCs/>
          <w:color w:val="000000"/>
          <w:sz w:val="21"/>
          <w:szCs w:val="21"/>
          <w:highlight w:val="none"/>
        </w:rPr>
      </w:pPr>
      <w:r>
        <w:rPr>
          <w:rFonts w:hint="eastAsia" w:ascii="宋体" w:hAnsi="宋体"/>
          <w:bCs/>
          <w:color w:val="000000"/>
          <w:sz w:val="21"/>
          <w:szCs w:val="21"/>
          <w:highlight w:val="none"/>
        </w:rPr>
        <w:t>9、本协议</w:t>
      </w:r>
      <w:r>
        <w:rPr>
          <w:rFonts w:ascii="宋体" w:hAnsi="宋体"/>
          <w:bCs/>
          <w:color w:val="000000"/>
          <w:sz w:val="21"/>
          <w:szCs w:val="21"/>
          <w:highlight w:val="none"/>
        </w:rPr>
        <w:t>壹式陆份，甲方肆份，乙方贰份，具同等法律效力。</w:t>
      </w:r>
    </w:p>
    <w:p>
      <w:pPr>
        <w:pStyle w:val="35"/>
        <w:spacing w:line="440" w:lineRule="exact"/>
        <w:rPr>
          <w:rFonts w:ascii="宋体" w:hAnsi="宋体"/>
          <w:bCs/>
          <w:color w:val="000000"/>
          <w:sz w:val="21"/>
          <w:szCs w:val="21"/>
          <w:highlight w:val="none"/>
        </w:rPr>
      </w:pPr>
    </w:p>
    <w:p>
      <w:pPr>
        <w:pStyle w:val="35"/>
        <w:spacing w:line="440" w:lineRule="exact"/>
        <w:rPr>
          <w:rFonts w:ascii="宋体" w:hAnsi="宋体"/>
          <w:bCs/>
          <w:color w:val="000000"/>
          <w:sz w:val="21"/>
          <w:szCs w:val="21"/>
          <w:highlight w:val="none"/>
        </w:rPr>
      </w:pPr>
    </w:p>
    <w:bookmarkEnd w:id="395"/>
    <w:bookmarkEnd w:id="396"/>
    <w:bookmarkEnd w:id="397"/>
    <w:bookmarkEnd w:id="398"/>
    <w:bookmarkEnd w:id="399"/>
    <w:bookmarkEnd w:id="400"/>
    <w:bookmarkEnd w:id="401"/>
    <w:bookmarkEnd w:id="402"/>
    <w:bookmarkEnd w:id="403"/>
    <w:p>
      <w:pPr>
        <w:pStyle w:val="2"/>
        <w:keepNext w:val="0"/>
        <w:keepLines w:val="0"/>
        <w:snapToGrid w:val="0"/>
        <w:spacing w:before="0" w:after="0" w:line="240" w:lineRule="auto"/>
        <w:jc w:val="center"/>
        <w:rPr>
          <w:rFonts w:ascii="宋体" w:hAnsi="宋体"/>
          <w:highlight w:val="none"/>
        </w:rPr>
      </w:pPr>
      <w:bookmarkStart w:id="422" w:name="_Hlt498163796"/>
      <w:bookmarkEnd w:id="422"/>
      <w:bookmarkStart w:id="423" w:name="_Toc34779160"/>
      <w:bookmarkStart w:id="424" w:name="_Toc38039667"/>
      <w:bookmarkStart w:id="425" w:name="_Toc34822248"/>
      <w:bookmarkStart w:id="426" w:name="_Toc34779206"/>
      <w:bookmarkStart w:id="427" w:name="_Toc34779110"/>
      <w:bookmarkStart w:id="428" w:name="_Toc292434275"/>
      <w:bookmarkStart w:id="429" w:name="_Toc103673743"/>
      <w:bookmarkStart w:id="430" w:name="_Toc35957205"/>
    </w:p>
    <w:p>
      <w:pPr>
        <w:pStyle w:val="2"/>
        <w:keepNext w:val="0"/>
        <w:keepLines w:val="0"/>
        <w:snapToGrid w:val="0"/>
        <w:spacing w:before="0" w:after="0" w:line="240" w:lineRule="auto"/>
        <w:jc w:val="center"/>
        <w:rPr>
          <w:rFonts w:ascii="宋体" w:hAnsi="宋体"/>
          <w:highlight w:val="none"/>
        </w:rPr>
      </w:pPr>
    </w:p>
    <w:p>
      <w:pPr>
        <w:pStyle w:val="2"/>
        <w:keepNext w:val="0"/>
        <w:keepLines w:val="0"/>
        <w:snapToGrid w:val="0"/>
        <w:spacing w:before="0" w:after="0" w:line="240" w:lineRule="auto"/>
        <w:jc w:val="center"/>
        <w:rPr>
          <w:rFonts w:ascii="宋体" w:hAnsi="宋体"/>
          <w:highlight w:val="none"/>
        </w:rPr>
      </w:pPr>
    </w:p>
    <w:p>
      <w:pPr>
        <w:pStyle w:val="2"/>
        <w:keepNext w:val="0"/>
        <w:keepLines w:val="0"/>
        <w:snapToGrid w:val="0"/>
        <w:spacing w:before="0" w:after="0" w:line="240" w:lineRule="auto"/>
        <w:jc w:val="center"/>
        <w:rPr>
          <w:rFonts w:ascii="宋体" w:hAnsi="宋体"/>
          <w:highlight w:val="none"/>
        </w:rPr>
      </w:pPr>
    </w:p>
    <w:p>
      <w:pPr>
        <w:pStyle w:val="2"/>
        <w:keepNext w:val="0"/>
        <w:keepLines w:val="0"/>
        <w:snapToGrid w:val="0"/>
        <w:spacing w:before="0" w:after="0" w:line="240" w:lineRule="auto"/>
        <w:jc w:val="center"/>
        <w:rPr>
          <w:rFonts w:ascii="宋体" w:hAnsi="宋体"/>
          <w:highlight w:val="none"/>
        </w:rPr>
      </w:pPr>
    </w:p>
    <w:p>
      <w:pPr>
        <w:pStyle w:val="2"/>
        <w:keepNext w:val="0"/>
        <w:keepLines w:val="0"/>
        <w:snapToGrid w:val="0"/>
        <w:spacing w:before="0" w:after="0" w:line="240" w:lineRule="auto"/>
        <w:jc w:val="center"/>
        <w:rPr>
          <w:rFonts w:ascii="宋体" w:hAnsi="宋体"/>
          <w:highlight w:val="none"/>
        </w:rPr>
      </w:pPr>
    </w:p>
    <w:p>
      <w:pPr>
        <w:pStyle w:val="2"/>
        <w:keepNext w:val="0"/>
        <w:keepLines w:val="0"/>
        <w:snapToGrid w:val="0"/>
        <w:spacing w:before="0" w:after="0" w:line="240" w:lineRule="auto"/>
        <w:jc w:val="center"/>
        <w:rPr>
          <w:rFonts w:ascii="宋体" w:hAnsi="宋体"/>
          <w:highlight w:val="none"/>
        </w:rPr>
      </w:pPr>
    </w:p>
    <w:p>
      <w:pPr>
        <w:pStyle w:val="2"/>
        <w:keepNext w:val="0"/>
        <w:keepLines w:val="0"/>
        <w:snapToGrid w:val="0"/>
        <w:spacing w:before="0" w:after="0" w:line="240" w:lineRule="auto"/>
        <w:jc w:val="center"/>
        <w:rPr>
          <w:rFonts w:ascii="宋体" w:hAnsi="宋体"/>
          <w:highlight w:val="none"/>
        </w:rPr>
      </w:pPr>
    </w:p>
    <w:p>
      <w:pPr>
        <w:pStyle w:val="2"/>
        <w:keepNext w:val="0"/>
        <w:keepLines w:val="0"/>
        <w:snapToGrid w:val="0"/>
        <w:spacing w:before="0" w:after="0" w:line="240" w:lineRule="auto"/>
        <w:jc w:val="center"/>
        <w:rPr>
          <w:rFonts w:ascii="宋体" w:hAnsi="宋体"/>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pStyle w:val="2"/>
        <w:keepNext w:val="0"/>
        <w:keepLines w:val="0"/>
        <w:numPr>
          <w:ilvl w:val="0"/>
          <w:numId w:val="15"/>
        </w:numPr>
        <w:snapToGrid w:val="0"/>
        <w:spacing w:before="0" w:after="0" w:line="240" w:lineRule="auto"/>
        <w:jc w:val="center"/>
        <w:rPr>
          <w:rFonts w:ascii="宋体" w:hAnsi="宋体"/>
          <w:highlight w:val="none"/>
        </w:rPr>
      </w:pPr>
      <w:bookmarkStart w:id="431" w:name="_Toc13377"/>
      <w:bookmarkStart w:id="432" w:name="_Toc3732"/>
      <w:bookmarkStart w:id="433" w:name="_Toc4913"/>
      <w:bookmarkStart w:id="434" w:name="_Toc13547"/>
      <w:bookmarkStart w:id="435" w:name="_Toc988"/>
      <w:r>
        <w:rPr>
          <w:rFonts w:hint="eastAsia" w:ascii="宋体" w:hAnsi="宋体"/>
          <w:highlight w:val="none"/>
        </w:rPr>
        <w:t xml:space="preserve"> 投标文件格式</w:t>
      </w:r>
      <w:bookmarkEnd w:id="423"/>
      <w:bookmarkEnd w:id="424"/>
      <w:bookmarkEnd w:id="425"/>
      <w:bookmarkEnd w:id="426"/>
      <w:bookmarkEnd w:id="427"/>
      <w:bookmarkEnd w:id="428"/>
      <w:bookmarkEnd w:id="429"/>
      <w:bookmarkEnd w:id="430"/>
      <w:bookmarkEnd w:id="431"/>
      <w:bookmarkEnd w:id="432"/>
      <w:bookmarkEnd w:id="433"/>
    </w:p>
    <w:p>
      <w:pPr>
        <w:pStyle w:val="2"/>
        <w:keepNext w:val="0"/>
        <w:keepLines w:val="0"/>
        <w:numPr>
          <w:ilvl w:val="255"/>
          <w:numId w:val="0"/>
        </w:numPr>
        <w:snapToGrid w:val="0"/>
        <w:spacing w:before="0" w:after="0" w:line="240" w:lineRule="auto"/>
        <w:rPr>
          <w:rFonts w:ascii="宋体" w:hAnsi="宋体"/>
          <w:highlight w:val="none"/>
        </w:rPr>
      </w:pPr>
    </w:p>
    <w:p>
      <w:pPr>
        <w:pStyle w:val="2"/>
        <w:keepNext w:val="0"/>
        <w:keepLines w:val="0"/>
        <w:numPr>
          <w:ilvl w:val="255"/>
          <w:numId w:val="0"/>
        </w:numPr>
        <w:snapToGrid w:val="0"/>
        <w:spacing w:before="0" w:after="0" w:line="240" w:lineRule="auto"/>
        <w:rPr>
          <w:rFonts w:ascii="宋体" w:hAnsi="宋体"/>
          <w:highlight w:val="none"/>
        </w:rPr>
      </w:pPr>
    </w:p>
    <w:p>
      <w:pPr>
        <w:pStyle w:val="2"/>
        <w:keepNext w:val="0"/>
        <w:keepLines w:val="0"/>
        <w:numPr>
          <w:ilvl w:val="255"/>
          <w:numId w:val="0"/>
        </w:numPr>
        <w:snapToGrid w:val="0"/>
        <w:spacing w:before="0" w:after="0" w:line="240" w:lineRule="auto"/>
        <w:rPr>
          <w:rFonts w:ascii="宋体" w:hAnsi="宋体"/>
          <w:highlight w:val="none"/>
        </w:rPr>
      </w:pPr>
    </w:p>
    <w:p>
      <w:pPr>
        <w:pStyle w:val="22"/>
        <w:snapToGrid w:val="0"/>
        <w:spacing w:line="360" w:lineRule="auto"/>
        <w:ind w:firstLine="562" w:firstLineChars="200"/>
        <w:jc w:val="center"/>
        <w:rPr>
          <w:b/>
          <w:bCs/>
          <w:sz w:val="28"/>
          <w:szCs w:val="28"/>
          <w:highlight w:val="none"/>
        </w:rPr>
      </w:pPr>
      <w:r>
        <w:rPr>
          <w:rFonts w:hint="eastAsia"/>
          <w:b/>
          <w:bCs/>
          <w:sz w:val="28"/>
          <w:szCs w:val="28"/>
          <w:highlight w:val="none"/>
        </w:rPr>
        <w:t>温馨提示：</w:t>
      </w:r>
    </w:p>
    <w:p>
      <w:pPr>
        <w:pStyle w:val="22"/>
        <w:numPr>
          <w:ilvl w:val="0"/>
          <w:numId w:val="16"/>
        </w:numPr>
        <w:snapToGrid w:val="0"/>
        <w:spacing w:line="360" w:lineRule="auto"/>
        <w:ind w:firstLine="562" w:firstLineChars="200"/>
        <w:jc w:val="center"/>
        <w:rPr>
          <w:b/>
          <w:bCs/>
          <w:sz w:val="28"/>
          <w:szCs w:val="28"/>
          <w:highlight w:val="none"/>
        </w:rPr>
      </w:pPr>
      <w:r>
        <w:rPr>
          <w:rFonts w:hint="eastAsia"/>
          <w:b/>
          <w:bCs/>
          <w:sz w:val="28"/>
          <w:szCs w:val="28"/>
          <w:highlight w:val="none"/>
        </w:rPr>
        <w:t>投标人应参照招标文件第三章的评审条款（附表1至附表5）对投标文件编制相应的目录索引。</w:t>
      </w:r>
    </w:p>
    <w:p>
      <w:pPr>
        <w:pStyle w:val="22"/>
        <w:numPr>
          <w:ilvl w:val="0"/>
          <w:numId w:val="16"/>
        </w:numPr>
        <w:snapToGrid w:val="0"/>
        <w:spacing w:line="360" w:lineRule="auto"/>
        <w:ind w:firstLine="562" w:firstLineChars="200"/>
        <w:jc w:val="center"/>
        <w:rPr>
          <w:b/>
          <w:bCs/>
          <w:sz w:val="28"/>
          <w:szCs w:val="28"/>
          <w:highlight w:val="none"/>
        </w:rPr>
      </w:pPr>
      <w:r>
        <w:rPr>
          <w:rFonts w:hint="eastAsia"/>
          <w:b/>
          <w:bCs/>
          <w:sz w:val="28"/>
          <w:szCs w:val="28"/>
          <w:highlight w:val="none"/>
        </w:rPr>
        <w:t>按照招标文件第二章“25.投标文件的密封和标记”的要求进行密封与标记。</w:t>
      </w:r>
    </w:p>
    <w:p>
      <w:pPr>
        <w:pStyle w:val="22"/>
        <w:snapToGrid w:val="0"/>
        <w:spacing w:line="360" w:lineRule="auto"/>
        <w:ind w:firstLine="420" w:firstLineChars="200"/>
        <w:jc w:val="center"/>
        <w:rPr>
          <w:szCs w:val="21"/>
          <w:highlight w:val="none"/>
        </w:rPr>
      </w:pPr>
      <w:r>
        <w:rPr>
          <w:rFonts w:hint="eastAsia"/>
          <w:szCs w:val="21"/>
          <w:highlight w:val="none"/>
        </w:rPr>
        <w:br w:type="page"/>
      </w:r>
      <w:bookmarkEnd w:id="434"/>
      <w:bookmarkEnd w:id="435"/>
      <w:bookmarkStart w:id="436" w:name="_Toc318924492"/>
      <w:bookmarkStart w:id="437" w:name="_Toc423602839"/>
      <w:bookmarkStart w:id="438" w:name="_Toc488957737"/>
      <w:bookmarkStart w:id="439" w:name="_Toc337720088"/>
      <w:bookmarkStart w:id="440" w:name="_Toc239216028"/>
      <w:bookmarkStart w:id="441" w:name="_Toc163337617"/>
      <w:bookmarkStart w:id="442" w:name="_Toc226209000"/>
      <w:bookmarkStart w:id="443" w:name="_Toc291443587"/>
      <w:bookmarkStart w:id="444" w:name="_Toc292434277"/>
    </w:p>
    <w:p>
      <w:pPr>
        <w:pStyle w:val="2"/>
        <w:keepNext w:val="0"/>
        <w:keepLines w:val="0"/>
        <w:snapToGrid w:val="0"/>
        <w:spacing w:before="0" w:after="0" w:line="240" w:lineRule="auto"/>
        <w:jc w:val="center"/>
        <w:rPr>
          <w:rFonts w:hAnsi="宋体"/>
          <w:kern w:val="2"/>
          <w:sz w:val="28"/>
          <w:szCs w:val="28"/>
          <w:highlight w:val="none"/>
        </w:rPr>
      </w:pPr>
    </w:p>
    <w:p>
      <w:pPr>
        <w:pStyle w:val="2"/>
        <w:keepNext w:val="0"/>
        <w:keepLines w:val="0"/>
        <w:snapToGrid w:val="0"/>
        <w:spacing w:before="0" w:after="0" w:line="240" w:lineRule="auto"/>
        <w:jc w:val="center"/>
        <w:rPr>
          <w:rFonts w:hAnsi="宋体"/>
          <w:kern w:val="2"/>
          <w:sz w:val="28"/>
          <w:szCs w:val="28"/>
          <w:highlight w:val="none"/>
        </w:rPr>
      </w:pPr>
    </w:p>
    <w:p>
      <w:pPr>
        <w:pStyle w:val="2"/>
        <w:keepNext w:val="0"/>
        <w:keepLines w:val="0"/>
        <w:snapToGrid w:val="0"/>
        <w:spacing w:before="0" w:after="0" w:line="240" w:lineRule="auto"/>
        <w:jc w:val="center"/>
        <w:rPr>
          <w:rFonts w:hAnsi="宋体"/>
          <w:kern w:val="2"/>
          <w:sz w:val="28"/>
          <w:szCs w:val="28"/>
          <w:highlight w:val="none"/>
        </w:rPr>
      </w:pPr>
    </w:p>
    <w:p>
      <w:pPr>
        <w:pStyle w:val="2"/>
        <w:keepNext w:val="0"/>
        <w:keepLines w:val="0"/>
        <w:snapToGrid w:val="0"/>
        <w:spacing w:before="0" w:after="0" w:line="240" w:lineRule="auto"/>
        <w:jc w:val="center"/>
        <w:rPr>
          <w:rFonts w:hAnsi="宋体"/>
          <w:kern w:val="2"/>
          <w:sz w:val="28"/>
          <w:szCs w:val="28"/>
          <w:highlight w:val="none"/>
        </w:rPr>
      </w:pPr>
    </w:p>
    <w:p>
      <w:pPr>
        <w:pStyle w:val="2"/>
        <w:keepNext w:val="0"/>
        <w:keepLines w:val="0"/>
        <w:snapToGrid w:val="0"/>
        <w:spacing w:before="0" w:after="0" w:line="240" w:lineRule="auto"/>
        <w:jc w:val="center"/>
        <w:rPr>
          <w:rFonts w:hAnsi="宋体"/>
          <w:kern w:val="2"/>
          <w:sz w:val="28"/>
          <w:szCs w:val="28"/>
          <w:highlight w:val="none"/>
        </w:rPr>
      </w:pPr>
    </w:p>
    <w:p>
      <w:pPr>
        <w:pStyle w:val="2"/>
        <w:keepNext w:val="0"/>
        <w:keepLines w:val="0"/>
        <w:snapToGrid w:val="0"/>
        <w:spacing w:before="0" w:after="0" w:line="240" w:lineRule="auto"/>
        <w:jc w:val="center"/>
        <w:rPr>
          <w:rFonts w:hAnsi="宋体"/>
          <w:kern w:val="2"/>
          <w:sz w:val="28"/>
          <w:szCs w:val="28"/>
          <w:highlight w:val="none"/>
        </w:rPr>
      </w:pPr>
    </w:p>
    <w:p>
      <w:pPr>
        <w:pStyle w:val="2"/>
        <w:keepNext w:val="0"/>
        <w:keepLines w:val="0"/>
        <w:snapToGrid w:val="0"/>
        <w:spacing w:before="0" w:after="0" w:line="240" w:lineRule="auto"/>
        <w:jc w:val="center"/>
        <w:rPr>
          <w:rFonts w:hAnsi="宋体"/>
          <w:kern w:val="2"/>
          <w:sz w:val="28"/>
          <w:szCs w:val="28"/>
          <w:highlight w:val="none"/>
        </w:rPr>
      </w:pPr>
    </w:p>
    <w:p>
      <w:pPr>
        <w:pStyle w:val="2"/>
        <w:keepNext w:val="0"/>
        <w:keepLines w:val="0"/>
        <w:snapToGrid w:val="0"/>
        <w:spacing w:before="0" w:after="0" w:line="240" w:lineRule="auto"/>
        <w:jc w:val="center"/>
        <w:rPr>
          <w:rFonts w:hAnsi="宋体"/>
          <w:kern w:val="2"/>
          <w:sz w:val="28"/>
          <w:szCs w:val="28"/>
          <w:highlight w:val="none"/>
        </w:rPr>
      </w:pPr>
    </w:p>
    <w:p>
      <w:pPr>
        <w:pStyle w:val="2"/>
        <w:keepNext w:val="0"/>
        <w:keepLines w:val="0"/>
        <w:snapToGrid w:val="0"/>
        <w:spacing w:before="0" w:after="0" w:line="240" w:lineRule="auto"/>
        <w:jc w:val="center"/>
        <w:rPr>
          <w:rFonts w:hAnsi="宋体"/>
          <w:kern w:val="2"/>
          <w:sz w:val="28"/>
          <w:szCs w:val="28"/>
          <w:highlight w:val="none"/>
        </w:rPr>
      </w:pPr>
    </w:p>
    <w:p>
      <w:pPr>
        <w:pStyle w:val="2"/>
        <w:keepNext w:val="0"/>
        <w:keepLines w:val="0"/>
        <w:snapToGrid w:val="0"/>
        <w:spacing w:before="0" w:after="0" w:line="240" w:lineRule="auto"/>
        <w:jc w:val="center"/>
        <w:rPr>
          <w:rFonts w:hAnsi="宋体"/>
          <w:kern w:val="2"/>
          <w:sz w:val="28"/>
          <w:szCs w:val="28"/>
          <w:highlight w:val="none"/>
        </w:rPr>
      </w:pPr>
    </w:p>
    <w:p>
      <w:pPr>
        <w:pStyle w:val="2"/>
        <w:keepNext w:val="0"/>
        <w:keepLines w:val="0"/>
        <w:snapToGrid w:val="0"/>
        <w:spacing w:before="0" w:after="0" w:line="240" w:lineRule="auto"/>
        <w:jc w:val="center"/>
        <w:rPr>
          <w:rFonts w:hAnsi="宋体"/>
          <w:kern w:val="2"/>
          <w:sz w:val="28"/>
          <w:szCs w:val="28"/>
          <w:highlight w:val="none"/>
        </w:rPr>
      </w:pPr>
    </w:p>
    <w:p>
      <w:pPr>
        <w:pStyle w:val="2"/>
        <w:keepNext w:val="0"/>
        <w:keepLines w:val="0"/>
        <w:snapToGrid w:val="0"/>
        <w:spacing w:before="0" w:after="0" w:line="240" w:lineRule="auto"/>
        <w:jc w:val="center"/>
        <w:rPr>
          <w:rFonts w:hAnsi="宋体"/>
          <w:kern w:val="2"/>
          <w:sz w:val="28"/>
          <w:szCs w:val="28"/>
          <w:highlight w:val="none"/>
        </w:rPr>
      </w:pPr>
    </w:p>
    <w:p>
      <w:pPr>
        <w:pStyle w:val="3"/>
        <w:keepNext w:val="0"/>
        <w:keepLines w:val="0"/>
        <w:numPr>
          <w:ilvl w:val="1"/>
          <w:numId w:val="0"/>
        </w:numPr>
        <w:tabs>
          <w:tab w:val="clear" w:pos="840"/>
        </w:tabs>
        <w:adjustRightInd/>
        <w:snapToGrid w:val="0"/>
        <w:spacing w:before="0" w:after="0" w:line="240" w:lineRule="auto"/>
        <w:rPr>
          <w:rFonts w:hAnsi="宋体"/>
          <w:kern w:val="2"/>
          <w:sz w:val="28"/>
          <w:szCs w:val="28"/>
          <w:highlight w:val="none"/>
        </w:rPr>
      </w:pPr>
      <w:bookmarkStart w:id="445" w:name="_Toc24238"/>
      <w:bookmarkStart w:id="446" w:name="_Toc8524"/>
      <w:bookmarkStart w:id="447" w:name="_Toc9598"/>
      <w:bookmarkStart w:id="448" w:name="_Toc27174"/>
      <w:bookmarkStart w:id="449" w:name="_Toc19747"/>
      <w:r>
        <w:rPr>
          <w:rFonts w:hint="eastAsia" w:hAnsi="宋体"/>
          <w:kern w:val="2"/>
          <w:sz w:val="28"/>
          <w:szCs w:val="28"/>
          <w:highlight w:val="none"/>
        </w:rPr>
        <w:t>一、商务投标文件格式</w:t>
      </w:r>
      <w:bookmarkEnd w:id="436"/>
      <w:bookmarkEnd w:id="437"/>
      <w:bookmarkEnd w:id="438"/>
      <w:bookmarkEnd w:id="439"/>
      <w:bookmarkEnd w:id="440"/>
      <w:bookmarkEnd w:id="441"/>
      <w:bookmarkEnd w:id="442"/>
      <w:bookmarkEnd w:id="445"/>
      <w:bookmarkEnd w:id="446"/>
      <w:bookmarkEnd w:id="447"/>
      <w:bookmarkEnd w:id="448"/>
      <w:bookmarkEnd w:id="449"/>
    </w:p>
    <w:p>
      <w:pPr>
        <w:ind w:firstLine="899"/>
        <w:rPr>
          <w:rFonts w:ascii="黑体" w:eastAsia="黑体"/>
          <w:b/>
          <w:sz w:val="44"/>
          <w:highlight w:val="none"/>
        </w:rPr>
      </w:pPr>
    </w:p>
    <w:p>
      <w:pPr>
        <w:ind w:firstLine="899"/>
        <w:rPr>
          <w:rFonts w:ascii="黑体" w:eastAsia="黑体"/>
          <w:b/>
          <w:sz w:val="44"/>
          <w:highlight w:val="none"/>
        </w:rPr>
      </w:pPr>
    </w:p>
    <w:p>
      <w:pPr>
        <w:ind w:firstLine="899"/>
        <w:rPr>
          <w:rFonts w:ascii="黑体" w:eastAsia="黑体"/>
          <w:b/>
          <w:sz w:val="44"/>
          <w:highlight w:val="none"/>
        </w:rPr>
      </w:pPr>
    </w:p>
    <w:p>
      <w:pPr>
        <w:ind w:firstLine="899"/>
        <w:rPr>
          <w:rFonts w:ascii="黑体" w:eastAsia="黑体"/>
          <w:b/>
          <w:sz w:val="44"/>
          <w:highlight w:val="none"/>
        </w:rPr>
      </w:pPr>
    </w:p>
    <w:p>
      <w:pPr>
        <w:ind w:firstLine="899"/>
        <w:rPr>
          <w:rFonts w:ascii="黑体" w:eastAsia="黑体"/>
          <w:b/>
          <w:sz w:val="44"/>
          <w:highlight w:val="none"/>
        </w:rPr>
      </w:pPr>
    </w:p>
    <w:p>
      <w:pPr>
        <w:ind w:firstLine="899"/>
        <w:rPr>
          <w:rFonts w:ascii="黑体" w:eastAsia="黑体"/>
          <w:b/>
          <w:sz w:val="44"/>
          <w:highlight w:val="none"/>
        </w:rPr>
      </w:pPr>
    </w:p>
    <w:p>
      <w:pPr>
        <w:ind w:firstLine="899"/>
        <w:rPr>
          <w:rFonts w:ascii="黑体" w:eastAsia="黑体"/>
          <w:b/>
          <w:sz w:val="44"/>
          <w:highlight w:val="none"/>
        </w:rPr>
      </w:pPr>
    </w:p>
    <w:p>
      <w:pPr>
        <w:ind w:firstLine="899"/>
        <w:rPr>
          <w:rFonts w:ascii="黑体" w:eastAsia="黑体"/>
          <w:b/>
          <w:sz w:val="44"/>
          <w:highlight w:val="none"/>
        </w:rPr>
      </w:pPr>
    </w:p>
    <w:p>
      <w:pPr>
        <w:ind w:firstLine="899"/>
        <w:rPr>
          <w:rFonts w:ascii="黑体" w:eastAsia="黑体"/>
          <w:b/>
          <w:sz w:val="44"/>
          <w:highlight w:val="none"/>
        </w:rPr>
      </w:pPr>
    </w:p>
    <w:p>
      <w:pPr>
        <w:ind w:firstLine="899"/>
        <w:rPr>
          <w:rFonts w:ascii="黑体" w:eastAsia="黑体"/>
          <w:b/>
          <w:sz w:val="44"/>
          <w:highlight w:val="none"/>
        </w:rPr>
      </w:pPr>
    </w:p>
    <w:p>
      <w:pPr>
        <w:ind w:firstLine="899"/>
        <w:rPr>
          <w:rFonts w:ascii="黑体" w:eastAsia="黑体"/>
          <w:b/>
          <w:sz w:val="44"/>
          <w:highlight w:val="none"/>
        </w:rPr>
      </w:pPr>
    </w:p>
    <w:p>
      <w:pPr>
        <w:ind w:firstLine="899"/>
        <w:rPr>
          <w:rFonts w:ascii="黑体" w:eastAsia="黑体"/>
          <w:b/>
          <w:sz w:val="44"/>
          <w:highlight w:val="none"/>
        </w:rPr>
      </w:pPr>
    </w:p>
    <w:p>
      <w:pPr>
        <w:ind w:firstLine="899"/>
        <w:rPr>
          <w:rFonts w:ascii="黑体" w:eastAsia="黑体"/>
          <w:b/>
          <w:sz w:val="44"/>
          <w:highlight w:val="none"/>
        </w:rPr>
      </w:pPr>
    </w:p>
    <w:p>
      <w:pPr>
        <w:ind w:firstLine="899"/>
        <w:rPr>
          <w:rFonts w:ascii="黑体" w:eastAsia="黑体"/>
          <w:b/>
          <w:sz w:val="44"/>
          <w:highlight w:val="none"/>
        </w:rPr>
      </w:pPr>
    </w:p>
    <w:p>
      <w:pPr>
        <w:ind w:firstLine="899"/>
        <w:rPr>
          <w:rFonts w:ascii="黑体" w:eastAsia="黑体"/>
          <w:b/>
          <w:sz w:val="44"/>
          <w:highlight w:val="none"/>
        </w:rPr>
      </w:pPr>
    </w:p>
    <w:p>
      <w:pPr>
        <w:pStyle w:val="3"/>
        <w:numPr>
          <w:ilvl w:val="0"/>
          <w:numId w:val="0"/>
        </w:numPr>
        <w:snapToGrid w:val="0"/>
        <w:spacing w:before="156" w:after="156"/>
        <w:jc w:val="left"/>
        <w:rPr>
          <w:sz w:val="24"/>
          <w:szCs w:val="24"/>
          <w:highlight w:val="none"/>
        </w:rPr>
      </w:pPr>
      <w:bookmarkStart w:id="450" w:name="_Toc31636"/>
      <w:bookmarkStart w:id="451" w:name="_Toc3520"/>
      <w:bookmarkStart w:id="452" w:name="_Toc21109"/>
      <w:bookmarkStart w:id="453" w:name="_Toc6023"/>
      <w:bookmarkStart w:id="454" w:name="_Toc31610"/>
      <w:r>
        <w:rPr>
          <w:rFonts w:hint="eastAsia"/>
          <w:sz w:val="24"/>
          <w:szCs w:val="24"/>
          <w:highlight w:val="none"/>
        </w:rPr>
        <w:t>格式1：投标函格式</w:t>
      </w:r>
      <w:bookmarkEnd w:id="450"/>
      <w:bookmarkEnd w:id="451"/>
      <w:bookmarkEnd w:id="452"/>
      <w:bookmarkEnd w:id="453"/>
      <w:bookmarkEnd w:id="454"/>
    </w:p>
    <w:p>
      <w:pPr>
        <w:spacing w:line="300" w:lineRule="auto"/>
        <w:jc w:val="center"/>
        <w:rPr>
          <w:rFonts w:ascii="宋体"/>
          <w:b/>
          <w:sz w:val="28"/>
          <w:szCs w:val="28"/>
          <w:highlight w:val="none"/>
        </w:rPr>
      </w:pPr>
      <w:r>
        <w:rPr>
          <w:rFonts w:hint="eastAsia" w:ascii="宋体"/>
          <w:b/>
          <w:sz w:val="28"/>
          <w:szCs w:val="28"/>
          <w:highlight w:val="none"/>
        </w:rPr>
        <w:t>投标函</w:t>
      </w:r>
    </w:p>
    <w:p>
      <w:pPr>
        <w:pStyle w:val="22"/>
        <w:spacing w:line="360" w:lineRule="exact"/>
        <w:rPr>
          <w:rFonts w:hAnsi="宋体"/>
          <w:szCs w:val="21"/>
          <w:highlight w:val="none"/>
        </w:rPr>
      </w:pPr>
      <w:r>
        <w:rPr>
          <w:rFonts w:hint="eastAsia"/>
          <w:szCs w:val="21"/>
          <w:highlight w:val="none"/>
        </w:rPr>
        <w:t>致：佛山市恒益环保建材有限公司</w:t>
      </w:r>
    </w:p>
    <w:p>
      <w:pPr>
        <w:snapToGrid w:val="0"/>
        <w:spacing w:line="360" w:lineRule="auto"/>
        <w:rPr>
          <w:rFonts w:ascii="宋体"/>
          <w:szCs w:val="21"/>
          <w:highlight w:val="none"/>
        </w:rPr>
      </w:pPr>
    </w:p>
    <w:p>
      <w:pPr>
        <w:pStyle w:val="22"/>
        <w:snapToGrid w:val="0"/>
        <w:spacing w:line="360" w:lineRule="auto"/>
        <w:ind w:firstLine="420" w:firstLineChars="200"/>
        <w:rPr>
          <w:szCs w:val="21"/>
          <w:highlight w:val="none"/>
        </w:rPr>
      </w:pPr>
      <w:r>
        <w:rPr>
          <w:rFonts w:hint="eastAsia"/>
          <w:szCs w:val="21"/>
          <w:highlight w:val="none"/>
        </w:rPr>
        <w:t>我方确认收到贵方提供的项目编号为</w:t>
      </w:r>
      <w:r>
        <w:rPr>
          <w:rFonts w:hint="eastAsia" w:hAnsi="宋体"/>
          <w:kern w:val="28"/>
          <w:szCs w:val="21"/>
          <w:highlight w:val="none"/>
        </w:rPr>
        <w:t>的</w:t>
      </w:r>
      <w:r>
        <w:rPr>
          <w:rFonts w:hint="eastAsia" w:hAnsi="宋体"/>
          <w:szCs w:val="21"/>
          <w:highlight w:val="none"/>
        </w:rPr>
        <w:t>采购项目</w:t>
      </w:r>
      <w:r>
        <w:rPr>
          <w:rFonts w:hint="eastAsia"/>
          <w:szCs w:val="21"/>
          <w:highlight w:val="none"/>
        </w:rPr>
        <w:t>的招标文件的全部内容，我方：（投标人名称）正式授权（授权代表全名，职务）代表我方进行有关本次投标的一切事宜。</w:t>
      </w:r>
    </w:p>
    <w:p>
      <w:pPr>
        <w:pStyle w:val="22"/>
        <w:snapToGrid w:val="0"/>
        <w:spacing w:line="360" w:lineRule="auto"/>
        <w:ind w:firstLine="420" w:firstLineChars="200"/>
        <w:rPr>
          <w:szCs w:val="21"/>
          <w:highlight w:val="none"/>
        </w:rPr>
      </w:pPr>
      <w:r>
        <w:rPr>
          <w:rFonts w:hint="eastAsia"/>
          <w:szCs w:val="21"/>
          <w:highlight w:val="none"/>
        </w:rPr>
        <w:t>在此提交的投标文件，正本份，副本份，电子文件两份（U盘），包括如下内容：</w:t>
      </w:r>
    </w:p>
    <w:p>
      <w:pPr>
        <w:snapToGrid w:val="0"/>
        <w:spacing w:line="360" w:lineRule="auto"/>
        <w:rPr>
          <w:rFonts w:ascii="宋体" w:hAnsi="宋体"/>
          <w:szCs w:val="21"/>
          <w:highlight w:val="none"/>
        </w:rPr>
      </w:pPr>
      <w:r>
        <w:rPr>
          <w:rFonts w:hint="eastAsia" w:ascii="宋体" w:hAnsi="宋体"/>
          <w:szCs w:val="21"/>
          <w:highlight w:val="none"/>
        </w:rPr>
        <w:t xml:space="preserve">    第一部分  商务、技术投标文件</w:t>
      </w:r>
    </w:p>
    <w:p>
      <w:pPr>
        <w:spacing w:line="360" w:lineRule="auto"/>
        <w:rPr>
          <w:rFonts w:ascii="宋体" w:hAnsi="宋体"/>
          <w:szCs w:val="21"/>
          <w:highlight w:val="none"/>
        </w:rPr>
      </w:pPr>
      <w:r>
        <w:rPr>
          <w:rFonts w:hint="eastAsia" w:ascii="宋体" w:hAnsi="宋体"/>
          <w:szCs w:val="21"/>
          <w:highlight w:val="none"/>
        </w:rPr>
        <w:t xml:space="preserve">    第二部分  价格投标文件</w:t>
      </w:r>
    </w:p>
    <w:p>
      <w:pPr>
        <w:pStyle w:val="22"/>
        <w:snapToGrid w:val="0"/>
        <w:spacing w:line="360" w:lineRule="auto"/>
        <w:ind w:firstLine="420" w:firstLineChars="200"/>
        <w:rPr>
          <w:szCs w:val="21"/>
          <w:highlight w:val="none"/>
        </w:rPr>
      </w:pPr>
      <w:r>
        <w:rPr>
          <w:rFonts w:hint="eastAsia"/>
          <w:szCs w:val="21"/>
          <w:highlight w:val="none"/>
        </w:rPr>
        <w:t>我方已完全明白招标文件的所有条款要求，并重申以下几点：</w:t>
      </w:r>
    </w:p>
    <w:p>
      <w:pPr>
        <w:snapToGrid w:val="0"/>
        <w:spacing w:line="360" w:lineRule="auto"/>
        <w:rPr>
          <w:rFonts w:ascii="宋体" w:hAnsi="宋体"/>
          <w:szCs w:val="21"/>
          <w:highlight w:val="none"/>
        </w:rPr>
      </w:pPr>
      <w:r>
        <w:rPr>
          <w:rFonts w:hint="eastAsia" w:ascii="宋体" w:hAnsi="宋体"/>
          <w:szCs w:val="21"/>
          <w:highlight w:val="none"/>
        </w:rPr>
        <w:t xml:space="preserve">    （1）我方已决定参加 ：项目编号为的投标。</w:t>
      </w:r>
    </w:p>
    <w:p>
      <w:pPr>
        <w:spacing w:line="360" w:lineRule="auto"/>
        <w:ind w:firstLine="420" w:firstLineChars="200"/>
        <w:rPr>
          <w:rFonts w:ascii="宋体" w:hAnsi="宋体"/>
          <w:szCs w:val="21"/>
          <w:highlight w:val="none"/>
        </w:rPr>
      </w:pPr>
      <w:r>
        <w:rPr>
          <w:rFonts w:hint="eastAsia" w:ascii="宋体" w:hAnsi="宋体"/>
          <w:szCs w:val="21"/>
          <w:highlight w:val="none"/>
        </w:rPr>
        <w:t>（2）本投标文件的有效期为投标截止日起天内有效，如获中标权，有效期将延至合同终止日为止。</w:t>
      </w:r>
    </w:p>
    <w:p>
      <w:pPr>
        <w:snapToGrid w:val="0"/>
        <w:spacing w:line="360" w:lineRule="auto"/>
        <w:ind w:firstLine="420" w:firstLineChars="200"/>
        <w:rPr>
          <w:rFonts w:ascii="宋体" w:hAnsi="宋体"/>
          <w:szCs w:val="21"/>
          <w:highlight w:val="none"/>
        </w:rPr>
      </w:pPr>
      <w:r>
        <w:rPr>
          <w:rFonts w:hint="eastAsia" w:ascii="宋体" w:hAnsi="宋体"/>
          <w:szCs w:val="21"/>
          <w:highlight w:val="none"/>
        </w:rPr>
        <w:t xml:space="preserve">（3）我方已详细研究了投标文件的所有内容包括澄清文件（如果有）和所有已收到的参考资料以及有关附件并完全明白, 我方放弃在此方面提出含糊意见或误解的一切权力。 </w:t>
      </w:r>
    </w:p>
    <w:p>
      <w:pPr>
        <w:snapToGrid w:val="0"/>
        <w:spacing w:line="360" w:lineRule="auto"/>
        <w:rPr>
          <w:rFonts w:ascii="宋体" w:hAnsi="宋体"/>
          <w:szCs w:val="21"/>
          <w:highlight w:val="none"/>
        </w:rPr>
      </w:pPr>
      <w:r>
        <w:rPr>
          <w:rFonts w:hint="eastAsia" w:ascii="宋体" w:hAnsi="宋体"/>
          <w:szCs w:val="21"/>
          <w:highlight w:val="none"/>
        </w:rPr>
        <w:t xml:space="preserve">    （4）</w:t>
      </w:r>
      <w:r>
        <w:rPr>
          <w:rFonts w:hint="eastAsia" w:asciiTheme="minorEastAsia" w:hAnsiTheme="minorEastAsia" w:eastAsiaTheme="minorEastAsia"/>
          <w:color w:val="000000"/>
          <w:szCs w:val="21"/>
          <w:highlight w:val="none"/>
        </w:rPr>
        <w:t>我方作为在法律、财务和运作上独立于招标人、招标代理机构的投标人，</w:t>
      </w:r>
      <w:r>
        <w:rPr>
          <w:rFonts w:hint="eastAsia" w:asciiTheme="minorEastAsia" w:hAnsiTheme="minorEastAsia" w:eastAsiaTheme="minorEastAsia"/>
          <w:szCs w:val="21"/>
          <w:highlight w:val="none"/>
        </w:rPr>
        <w:t>承诺投标文件中的一切资料、数据是真实的，并承担由此引起的一切责任。</w:t>
      </w:r>
    </w:p>
    <w:p>
      <w:pPr>
        <w:snapToGrid w:val="0"/>
        <w:spacing w:line="360" w:lineRule="auto"/>
        <w:ind w:firstLine="420" w:firstLineChars="200"/>
        <w:rPr>
          <w:rFonts w:ascii="宋体" w:hAnsi="宋体"/>
          <w:szCs w:val="21"/>
          <w:highlight w:val="none"/>
        </w:rPr>
      </w:pPr>
      <w:r>
        <w:rPr>
          <w:rFonts w:hint="eastAsia" w:ascii="宋体" w:hAnsi="宋体"/>
          <w:szCs w:val="21"/>
          <w:highlight w:val="none"/>
        </w:rPr>
        <w:t>（5）我方明白并愿意在规定的投标时间和日期之后、投标有效期之内若撤回投标，则投标保证金将被贵方没收。</w:t>
      </w:r>
    </w:p>
    <w:p>
      <w:pPr>
        <w:snapToGrid w:val="0"/>
        <w:spacing w:line="360" w:lineRule="auto"/>
        <w:rPr>
          <w:rFonts w:ascii="宋体" w:hAnsi="宋体"/>
          <w:szCs w:val="21"/>
          <w:highlight w:val="none"/>
        </w:rPr>
      </w:pPr>
      <w:r>
        <w:rPr>
          <w:rFonts w:hint="eastAsia" w:ascii="宋体" w:hAnsi="宋体"/>
          <w:szCs w:val="21"/>
          <w:highlight w:val="none"/>
        </w:rPr>
        <w:t xml:space="preserve">    （6）我方同意按照贵方可能提出的要求而提供与投标报价有关的任何其它数据或信息。</w:t>
      </w:r>
    </w:p>
    <w:p>
      <w:pPr>
        <w:snapToGrid w:val="0"/>
        <w:spacing w:line="360" w:lineRule="auto"/>
        <w:ind w:firstLine="420" w:firstLineChars="200"/>
        <w:rPr>
          <w:szCs w:val="21"/>
          <w:highlight w:val="none"/>
        </w:rPr>
      </w:pPr>
      <w:r>
        <w:rPr>
          <w:rFonts w:hint="eastAsia"/>
          <w:szCs w:val="21"/>
          <w:highlight w:val="none"/>
        </w:rPr>
        <w:t>（7）我方理解贵方不一定接受最低报价或贵方可能收到的任何报价。</w:t>
      </w:r>
    </w:p>
    <w:p>
      <w:pPr>
        <w:snapToGrid w:val="0"/>
        <w:spacing w:line="360" w:lineRule="auto"/>
        <w:ind w:firstLine="315" w:firstLineChars="150"/>
        <w:rPr>
          <w:rFonts w:ascii="宋体" w:hAnsi="宋体"/>
          <w:szCs w:val="21"/>
          <w:highlight w:val="none"/>
        </w:rPr>
      </w:pPr>
      <w:r>
        <w:rPr>
          <w:rFonts w:hint="eastAsia" w:ascii="宋体" w:hAnsi="宋体"/>
          <w:szCs w:val="21"/>
          <w:highlight w:val="none"/>
        </w:rPr>
        <w:t xml:space="preserve"> （8）我方如果中标，将保证履行投标文件及投标文件修改书（如果有的话）中的全部责任和义务，按质、按量、按期完成《合同书》中的全部任务。</w:t>
      </w:r>
    </w:p>
    <w:p>
      <w:pPr>
        <w:adjustRightInd w:val="0"/>
        <w:snapToGrid w:val="0"/>
        <w:spacing w:line="276"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（9）我方承诺参与本项目投标不存在挂靠或非法转包的行为，并承担由此引起的一切法律责任。</w:t>
      </w:r>
    </w:p>
    <w:p>
      <w:pPr>
        <w:adjustRightInd w:val="0"/>
        <w:snapToGrid w:val="0"/>
        <w:spacing w:line="276"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（10）我方承诺与招标人不存在同行业竞争关系或者项目实际操作人为同行业负责人</w:t>
      </w:r>
      <w:r>
        <w:rPr>
          <w:rFonts w:hint="eastAsia" w:ascii="宋体" w:hAnsi="宋体"/>
          <w:szCs w:val="21"/>
          <w:highlight w:val="none"/>
        </w:rPr>
        <w:t>。</w:t>
      </w:r>
    </w:p>
    <w:p>
      <w:pPr>
        <w:spacing w:line="276" w:lineRule="auto"/>
        <w:ind w:firstLine="359" w:firstLineChars="171"/>
        <w:rPr>
          <w:rFonts w:asciiTheme="minorEastAsia" w:hAnsiTheme="minorEastAsia" w:eastAsiaTheme="minorEastAsia"/>
          <w:szCs w:val="21"/>
          <w:highlight w:val="none"/>
        </w:rPr>
      </w:pPr>
      <w:r>
        <w:rPr>
          <w:rFonts w:hint="eastAsia" w:asciiTheme="minorEastAsia" w:hAnsiTheme="minorEastAsia" w:eastAsiaTheme="minorEastAsia"/>
          <w:color w:val="000000"/>
          <w:szCs w:val="21"/>
          <w:highlight w:val="none"/>
        </w:rPr>
        <w:t xml:space="preserve">（11）我方投标报价已包含应向知识产权所有权人支付的所有相关税费，并保证我方在提供服务时，如有第三方提出侵犯其知识产权主张的，责任由我方承担。 </w:t>
      </w:r>
    </w:p>
    <w:p>
      <w:pPr>
        <w:snapToGrid w:val="0"/>
        <w:spacing w:line="360" w:lineRule="auto"/>
        <w:rPr>
          <w:rFonts w:ascii="宋体" w:hAnsi="宋体"/>
          <w:szCs w:val="21"/>
          <w:highlight w:val="none"/>
        </w:rPr>
      </w:pPr>
      <w:r>
        <w:rPr>
          <w:rFonts w:hint="eastAsia" w:ascii="宋体" w:hAnsi="宋体"/>
          <w:szCs w:val="21"/>
          <w:highlight w:val="none"/>
        </w:rPr>
        <w:t xml:space="preserve">    （12）所有与本招标项目</w:t>
      </w:r>
      <w:r>
        <w:rPr>
          <w:rFonts w:hint="eastAsia" w:ascii="宋体"/>
          <w:szCs w:val="21"/>
          <w:highlight w:val="none"/>
        </w:rPr>
        <w:t>有关的函件请按下列联系方式发送:</w:t>
      </w:r>
    </w:p>
    <w:p>
      <w:pPr>
        <w:adjustRightInd w:val="0"/>
        <w:snapToGrid w:val="0"/>
        <w:spacing w:line="360" w:lineRule="auto"/>
        <w:ind w:firstLine="4725" w:firstLineChars="2250"/>
        <w:rPr>
          <w:rFonts w:asciiTheme="minorEastAsia" w:hAnsiTheme="minorEastAsia" w:eastAsiaTheme="minorEastAsia"/>
          <w:szCs w:val="21"/>
          <w:highlight w:val="none"/>
        </w:rPr>
      </w:pPr>
    </w:p>
    <w:p>
      <w:pPr>
        <w:adjustRightInd w:val="0"/>
        <w:snapToGrid w:val="0"/>
        <w:spacing w:line="360" w:lineRule="auto"/>
        <w:ind w:firstLine="4725" w:firstLineChars="2250"/>
        <w:rPr>
          <w:rFonts w:asciiTheme="minorEastAsia" w:hAnsiTheme="minorEastAsia" w:eastAsiaTheme="minorEastAsia"/>
          <w:szCs w:val="21"/>
          <w:highlight w:val="none"/>
        </w:rPr>
      </w:pPr>
    </w:p>
    <w:p>
      <w:pPr>
        <w:adjustRightInd w:val="0"/>
        <w:snapToGrid w:val="0"/>
        <w:spacing w:line="360" w:lineRule="auto"/>
        <w:ind w:firstLine="4725" w:firstLineChars="2250"/>
        <w:rPr>
          <w:rFonts w:asciiTheme="minorEastAsia" w:hAnsiTheme="minorEastAsia" w:eastAsiaTheme="minorEastAsia"/>
          <w:szCs w:val="21"/>
          <w:highlight w:val="none"/>
        </w:rPr>
      </w:pPr>
    </w:p>
    <w:p>
      <w:pPr>
        <w:adjustRightInd w:val="0"/>
        <w:snapToGrid w:val="0"/>
        <w:spacing w:line="360" w:lineRule="auto"/>
        <w:ind w:firstLine="4725" w:firstLineChars="2250"/>
        <w:rPr>
          <w:rFonts w:asciiTheme="minorEastAsia" w:hAnsiTheme="minorEastAsia" w:eastAsiaTheme="minorEastAsia"/>
          <w:szCs w:val="21"/>
          <w:highlight w:val="none"/>
        </w:rPr>
      </w:pPr>
    </w:p>
    <w:p>
      <w:pPr>
        <w:adjustRightInd w:val="0"/>
        <w:snapToGrid w:val="0"/>
        <w:spacing w:line="360" w:lineRule="auto"/>
        <w:ind w:firstLine="4725" w:firstLineChars="225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地址：</w:t>
      </w:r>
    </w:p>
    <w:p>
      <w:pPr>
        <w:adjustRightInd w:val="0"/>
        <w:snapToGrid w:val="0"/>
        <w:spacing w:line="360" w:lineRule="auto"/>
        <w:ind w:firstLine="4725" w:firstLineChars="225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邮政编码：</w:t>
      </w:r>
    </w:p>
    <w:p>
      <w:pPr>
        <w:adjustRightInd w:val="0"/>
        <w:snapToGrid w:val="0"/>
        <w:spacing w:line="360" w:lineRule="auto"/>
        <w:ind w:firstLine="4725" w:firstLineChars="225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电话：</w:t>
      </w:r>
    </w:p>
    <w:p>
      <w:pPr>
        <w:adjustRightInd w:val="0"/>
        <w:snapToGrid w:val="0"/>
        <w:spacing w:line="360" w:lineRule="auto"/>
        <w:ind w:firstLine="4725" w:firstLineChars="225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传真：</w:t>
      </w:r>
    </w:p>
    <w:p>
      <w:pPr>
        <w:adjustRightInd w:val="0"/>
        <w:snapToGrid w:val="0"/>
        <w:spacing w:line="360" w:lineRule="auto"/>
        <w:ind w:right="1050"/>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 xml:space="preserve">                                  投标人（</w:t>
      </w:r>
      <w:r>
        <w:rPr>
          <w:rFonts w:hint="eastAsia" w:asciiTheme="minorEastAsia" w:hAnsiTheme="minorEastAsia" w:eastAsiaTheme="minorEastAsia"/>
          <w:b/>
          <w:szCs w:val="21"/>
          <w:highlight w:val="none"/>
        </w:rPr>
        <w:t>加盖公章</w:t>
      </w:r>
      <w:r>
        <w:rPr>
          <w:rFonts w:hint="eastAsia" w:asciiTheme="minorEastAsia" w:hAnsiTheme="minorEastAsia" w:eastAsiaTheme="minorEastAsia"/>
          <w:szCs w:val="21"/>
          <w:highlight w:val="none"/>
        </w:rPr>
        <w:t>）：</w:t>
      </w:r>
    </w:p>
    <w:p>
      <w:pPr>
        <w:wordWrap w:val="0"/>
        <w:adjustRightInd w:val="0"/>
        <w:snapToGrid w:val="0"/>
        <w:spacing w:line="360" w:lineRule="auto"/>
        <w:ind w:right="2310"/>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 xml:space="preserve">                                日期：</w:t>
      </w:r>
    </w:p>
    <w:p>
      <w:pPr>
        <w:pStyle w:val="3"/>
        <w:numPr>
          <w:ilvl w:val="0"/>
          <w:numId w:val="0"/>
        </w:numPr>
        <w:snapToGrid w:val="0"/>
        <w:spacing w:before="120" w:after="120"/>
        <w:jc w:val="left"/>
        <w:rPr>
          <w:sz w:val="24"/>
          <w:szCs w:val="24"/>
          <w:highlight w:val="none"/>
        </w:rPr>
      </w:pPr>
      <w:bookmarkStart w:id="455" w:name="_Toc18338"/>
      <w:bookmarkStart w:id="456" w:name="_Toc8566"/>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highlight w:val="none"/>
        </w:rPr>
      </w:pPr>
    </w:p>
    <w:p>
      <w:pPr>
        <w:pStyle w:val="3"/>
        <w:keepNext w:val="0"/>
        <w:keepLines w:val="0"/>
        <w:numPr>
          <w:ilvl w:val="0"/>
          <w:numId w:val="0"/>
        </w:numPr>
        <w:snapToGrid w:val="0"/>
        <w:spacing w:before="120" w:after="120"/>
        <w:jc w:val="left"/>
        <w:rPr>
          <w:sz w:val="24"/>
          <w:szCs w:val="24"/>
          <w:highlight w:val="none"/>
        </w:rPr>
      </w:pPr>
      <w:bookmarkStart w:id="457" w:name="_Toc28968"/>
      <w:bookmarkStart w:id="458" w:name="_Toc6477"/>
      <w:bookmarkStart w:id="459" w:name="_Toc12647"/>
    </w:p>
    <w:p>
      <w:pPr>
        <w:pStyle w:val="3"/>
        <w:numPr>
          <w:ilvl w:val="0"/>
          <w:numId w:val="0"/>
        </w:numPr>
        <w:snapToGrid w:val="0"/>
        <w:spacing w:before="120" w:after="120"/>
        <w:jc w:val="left"/>
        <w:rPr>
          <w:sz w:val="24"/>
          <w:szCs w:val="24"/>
          <w:highlight w:val="none"/>
        </w:rPr>
      </w:pPr>
      <w:r>
        <w:rPr>
          <w:rFonts w:hint="eastAsia"/>
          <w:sz w:val="24"/>
          <w:szCs w:val="24"/>
          <w:highlight w:val="none"/>
        </w:rPr>
        <w:t>格式2：投标人声明格式</w:t>
      </w:r>
      <w:bookmarkEnd w:id="455"/>
      <w:bookmarkEnd w:id="456"/>
      <w:bookmarkEnd w:id="457"/>
      <w:bookmarkEnd w:id="458"/>
      <w:bookmarkEnd w:id="459"/>
    </w:p>
    <w:p>
      <w:pPr>
        <w:pStyle w:val="221"/>
        <w:ind w:firstLine="0" w:firstLineChars="0"/>
        <w:jc w:val="center"/>
        <w:rPr>
          <w:rFonts w:hAnsi="宋体"/>
          <w:b/>
          <w:highlight w:val="none"/>
        </w:rPr>
      </w:pPr>
      <w:r>
        <w:rPr>
          <w:rFonts w:hint="eastAsia"/>
          <w:b/>
          <w:highlight w:val="none"/>
        </w:rPr>
        <w:t>投标人声明</w:t>
      </w:r>
    </w:p>
    <w:p>
      <w:pPr>
        <w:pStyle w:val="223"/>
        <w:spacing w:line="50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u w:val="single"/>
        </w:rPr>
        <w:t>本招标项目招标人及招标监管机构</w:t>
      </w:r>
      <w:r>
        <w:rPr>
          <w:rFonts w:hint="eastAsia" w:ascii="宋体" w:hAnsi="宋体" w:eastAsia="宋体"/>
          <w:color w:val="auto"/>
          <w:sz w:val="21"/>
          <w:szCs w:val="21"/>
          <w:highlight w:val="none"/>
        </w:rPr>
        <w:t>：</w:t>
      </w:r>
    </w:p>
    <w:p>
      <w:pPr>
        <w:pStyle w:val="223"/>
        <w:spacing w:line="50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本公司就参加投标工作，作出郑重声明：</w:t>
      </w:r>
    </w:p>
    <w:p>
      <w:pPr>
        <w:pStyle w:val="223"/>
        <w:spacing w:line="50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一、本公司保证投标材料都是真实的。</w:t>
      </w:r>
    </w:p>
    <w:p>
      <w:pPr>
        <w:pStyle w:val="223"/>
        <w:spacing w:line="50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二、本公司保证不与其他单位围标、串标，不出让投标资格，不向招标人或评标委员会成员行贿。</w:t>
      </w:r>
    </w:p>
    <w:p>
      <w:pPr>
        <w:pStyle w:val="223"/>
        <w:spacing w:line="50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三、本公司没有履约不良记录；没有处于被责令停业的状态；没有处于被行政主管部门取消投标资格的处罚期内；没有处于财产被接管、冻结、破产的状态；在投标报名截止日期前三年内没有经诉讼的行政主管部门已书面认定的重大质量问题；在人民检察院行贿犯罪档案查询结果中，本公司及项目负责人没有在投标截止时间前三年内被人民法院判决犯有行贿罪的记录；在投标报名截止日期前三年内本公司没有弄虚作假骗取中标、围标串标行为（以行政主管部门或法院或检察院书面认定为准）。；具有良好的银行资信和商业信誉，近三年所承办的同类项目未因自身原因出现过事故；近三年在国内同类项目招投标活动、合同履行、售后服务及产品运行过程中，未受到地市级及以上部门公开通报批评</w:t>
      </w:r>
      <w:r>
        <w:rPr>
          <w:rFonts w:ascii="宋体" w:hAnsi="宋体" w:eastAsia="宋体"/>
          <w:color w:val="auto"/>
          <w:sz w:val="21"/>
          <w:szCs w:val="21"/>
          <w:highlight w:val="none"/>
        </w:rPr>
        <w:t>；</w:t>
      </w:r>
    </w:p>
    <w:p>
      <w:pPr>
        <w:pStyle w:val="223"/>
        <w:spacing w:before="156" w:line="50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四、本公司承诺，与本公司法定代表人（或单位负责人）为同一人或者本公司存在控股、管理关系的其他单位未参与投标，且中标后不转包或违法分包。</w:t>
      </w:r>
    </w:p>
    <w:p>
      <w:pPr>
        <w:pStyle w:val="223"/>
        <w:spacing w:before="156" w:line="50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五、本公司没有被招标人或关联公司列入“不良供应商名单”并处于处罚期内。</w:t>
      </w:r>
    </w:p>
    <w:p>
      <w:pPr>
        <w:pStyle w:val="223"/>
        <w:spacing w:line="50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本公司违反上述保证，或本声明陈述与事实不符，经查实，本公司愿意接受公开通报，承担由此带来的法律后果，并自愿停止参加招标人的招标投标活动。</w:t>
      </w:r>
    </w:p>
    <w:p>
      <w:pPr>
        <w:pStyle w:val="223"/>
        <w:spacing w:line="500" w:lineRule="exact"/>
        <w:ind w:firstLine="426"/>
        <w:rPr>
          <w:rFonts w:ascii="宋体" w:hAnsi="宋体" w:eastAsia="宋体"/>
          <w:color w:val="auto"/>
          <w:sz w:val="21"/>
          <w:szCs w:val="21"/>
          <w:highlight w:val="none"/>
        </w:rPr>
      </w:pPr>
      <w:r>
        <w:rPr>
          <w:rFonts w:hint="eastAsia" w:ascii="宋体" w:hAnsi="宋体" w:eastAsia="宋体"/>
          <w:color w:val="auto"/>
          <w:sz w:val="21"/>
          <w:szCs w:val="21"/>
          <w:highlight w:val="none"/>
        </w:rPr>
        <w:t>特此声明</w:t>
      </w:r>
    </w:p>
    <w:p>
      <w:pPr>
        <w:pStyle w:val="223"/>
        <w:ind w:firstLine="2880"/>
        <w:jc w:val="left"/>
        <w:rPr>
          <w:rFonts w:ascii="宋体" w:hAnsi="宋体" w:eastAsia="宋体"/>
          <w:sz w:val="21"/>
          <w:szCs w:val="21"/>
          <w:highlight w:val="none"/>
        </w:rPr>
      </w:pPr>
    </w:p>
    <w:p>
      <w:pPr>
        <w:pStyle w:val="223"/>
        <w:ind w:firstLine="0"/>
        <w:jc w:val="left"/>
        <w:rPr>
          <w:rFonts w:ascii="宋体" w:hAnsi="宋体" w:eastAsia="宋体"/>
          <w:sz w:val="21"/>
          <w:szCs w:val="21"/>
          <w:highlight w:val="none"/>
        </w:rPr>
      </w:pPr>
      <w:r>
        <w:rPr>
          <w:rFonts w:hint="eastAsia" w:ascii="宋体" w:hAnsi="宋体" w:eastAsia="宋体"/>
          <w:sz w:val="21"/>
          <w:szCs w:val="21"/>
          <w:highlight w:val="none"/>
        </w:rPr>
        <w:t xml:space="preserve">         声明企业：(企业公章)</w:t>
      </w:r>
    </w:p>
    <w:p>
      <w:pPr>
        <w:pStyle w:val="223"/>
        <w:spacing w:line="500" w:lineRule="exact"/>
        <w:ind w:right="2079" w:firstLine="1890" w:firstLineChars="900"/>
        <w:jc w:val="right"/>
        <w:rPr>
          <w:rFonts w:ascii="宋体" w:hAnsi="宋体" w:eastAsia="宋体"/>
          <w:color w:val="auto"/>
          <w:sz w:val="21"/>
          <w:szCs w:val="21"/>
          <w:highlight w:val="none"/>
        </w:rPr>
      </w:pPr>
    </w:p>
    <w:p>
      <w:pPr>
        <w:ind w:firstLine="899"/>
        <w:rPr>
          <w:rFonts w:ascii="黑体" w:eastAsia="黑体"/>
          <w:b/>
          <w:sz w:val="44"/>
          <w:highlight w:val="none"/>
        </w:rPr>
      </w:pPr>
      <w:r>
        <w:rPr>
          <w:rFonts w:hint="eastAsia" w:ascii="宋体" w:hAnsi="宋体"/>
          <w:szCs w:val="21"/>
          <w:highlight w:val="none"/>
        </w:rPr>
        <w:t>法定代表人签字：                  (企业公章)</w:t>
      </w:r>
    </w:p>
    <w:p>
      <w:pPr>
        <w:ind w:firstLine="899"/>
        <w:rPr>
          <w:rFonts w:ascii="宋体" w:hAnsi="宋体"/>
          <w:szCs w:val="21"/>
          <w:highlight w:val="none"/>
        </w:rPr>
      </w:pPr>
    </w:p>
    <w:p>
      <w:pPr>
        <w:rPr>
          <w:rFonts w:ascii="黑体" w:eastAsia="黑体"/>
          <w:b/>
          <w:sz w:val="44"/>
          <w:highlight w:val="none"/>
        </w:rPr>
      </w:pPr>
      <w:r>
        <w:rPr>
          <w:rFonts w:hint="eastAsia" w:ascii="宋体" w:hAnsi="宋体"/>
          <w:szCs w:val="21"/>
          <w:highlight w:val="none"/>
        </w:rPr>
        <w:t>年   月   日</w:t>
      </w:r>
    </w:p>
    <w:p>
      <w:pPr>
        <w:pStyle w:val="3"/>
        <w:numPr>
          <w:ilvl w:val="0"/>
          <w:numId w:val="0"/>
        </w:numPr>
        <w:snapToGrid w:val="0"/>
        <w:spacing w:before="120" w:after="120"/>
        <w:jc w:val="left"/>
        <w:rPr>
          <w:sz w:val="24"/>
          <w:szCs w:val="24"/>
          <w:highlight w:val="none"/>
        </w:rPr>
      </w:pPr>
      <w:bookmarkStart w:id="460" w:name="_Toc2352"/>
      <w:bookmarkStart w:id="461" w:name="_Toc17320"/>
      <w:bookmarkStart w:id="462" w:name="_Toc20880"/>
      <w:bookmarkStart w:id="463" w:name="_Toc7310"/>
      <w:bookmarkStart w:id="464" w:name="_Toc16793"/>
      <w:r>
        <w:rPr>
          <w:rFonts w:hint="eastAsia"/>
          <w:sz w:val="24"/>
          <w:szCs w:val="24"/>
          <w:highlight w:val="none"/>
        </w:rPr>
        <w:t>格式3：法定代表人资格证明书</w:t>
      </w:r>
      <w:bookmarkEnd w:id="460"/>
      <w:bookmarkEnd w:id="461"/>
      <w:bookmarkEnd w:id="462"/>
      <w:bookmarkEnd w:id="463"/>
      <w:bookmarkEnd w:id="464"/>
    </w:p>
    <w:p>
      <w:pPr>
        <w:tabs>
          <w:tab w:val="left" w:pos="7120"/>
        </w:tabs>
        <w:spacing w:line="360" w:lineRule="exact"/>
        <w:jc w:val="center"/>
        <w:rPr>
          <w:rFonts w:ascii="宋体" w:hAnsi="宋体"/>
          <w:b/>
          <w:bCs/>
          <w:szCs w:val="21"/>
          <w:highlight w:val="none"/>
        </w:rPr>
      </w:pPr>
    </w:p>
    <w:p>
      <w:pPr>
        <w:pStyle w:val="221"/>
        <w:ind w:firstLine="498"/>
        <w:jc w:val="center"/>
        <w:rPr>
          <w:rFonts w:ascii="宋体" w:hAnsi="宋体"/>
          <w:b/>
          <w:highlight w:val="none"/>
        </w:rPr>
      </w:pPr>
      <w:r>
        <w:rPr>
          <w:rFonts w:hint="eastAsia" w:ascii="宋体" w:hAnsi="宋体"/>
          <w:b/>
          <w:highlight w:val="none"/>
        </w:rPr>
        <w:t>法定代表人资格证明书</w:t>
      </w:r>
    </w:p>
    <w:p>
      <w:pPr>
        <w:spacing w:line="360" w:lineRule="exact"/>
        <w:jc w:val="center"/>
        <w:rPr>
          <w:rFonts w:ascii="宋体" w:hAnsi="宋体"/>
          <w:b/>
          <w:bCs/>
          <w:szCs w:val="21"/>
          <w:highlight w:val="none"/>
        </w:rPr>
      </w:pPr>
    </w:p>
    <w:p>
      <w:pPr>
        <w:spacing w:line="360" w:lineRule="exact"/>
        <w:ind w:firstLine="210" w:firstLineChars="100"/>
        <w:rPr>
          <w:rFonts w:ascii="宋体" w:hAnsi="宋体"/>
          <w:szCs w:val="21"/>
          <w:highlight w:val="none"/>
          <w:u w:val="single"/>
        </w:rPr>
      </w:pPr>
      <w:r>
        <w:rPr>
          <w:rFonts w:hint="eastAsia" w:ascii="宋体" w:hAnsi="宋体"/>
          <w:szCs w:val="21"/>
          <w:highlight w:val="none"/>
        </w:rPr>
        <w:t>单位名称：</w:t>
      </w:r>
    </w:p>
    <w:p>
      <w:pPr>
        <w:spacing w:line="360" w:lineRule="exact"/>
        <w:ind w:firstLine="210" w:firstLineChars="100"/>
        <w:rPr>
          <w:rFonts w:ascii="宋体" w:hAnsi="宋体"/>
          <w:szCs w:val="21"/>
          <w:highlight w:val="none"/>
          <w:u w:val="single"/>
        </w:rPr>
      </w:pPr>
      <w:r>
        <w:rPr>
          <w:rFonts w:hint="eastAsia" w:ascii="宋体" w:hAnsi="宋体"/>
          <w:szCs w:val="21"/>
          <w:highlight w:val="none"/>
        </w:rPr>
        <w:t>单位性质：</w:t>
      </w:r>
    </w:p>
    <w:p>
      <w:pPr>
        <w:spacing w:line="360" w:lineRule="exact"/>
        <w:ind w:firstLine="210" w:firstLineChars="100"/>
        <w:rPr>
          <w:rFonts w:ascii="宋体" w:hAnsi="宋体"/>
          <w:szCs w:val="21"/>
          <w:highlight w:val="none"/>
          <w:u w:val="single"/>
        </w:rPr>
      </w:pPr>
      <w:r>
        <w:rPr>
          <w:rFonts w:hint="eastAsia" w:ascii="宋体" w:hAnsi="宋体"/>
          <w:szCs w:val="21"/>
          <w:highlight w:val="none"/>
        </w:rPr>
        <w:t>地    址：</w:t>
      </w:r>
    </w:p>
    <w:p>
      <w:pPr>
        <w:spacing w:line="360" w:lineRule="exact"/>
        <w:ind w:firstLine="210" w:firstLineChars="100"/>
        <w:rPr>
          <w:rFonts w:ascii="宋体" w:hAnsi="宋体"/>
          <w:szCs w:val="21"/>
          <w:highlight w:val="none"/>
          <w:u w:val="single"/>
        </w:rPr>
      </w:pPr>
      <w:r>
        <w:rPr>
          <w:rFonts w:hint="eastAsia" w:ascii="宋体" w:hAnsi="宋体"/>
          <w:szCs w:val="21"/>
          <w:highlight w:val="none"/>
        </w:rPr>
        <w:t>成立时间：</w:t>
      </w:r>
    </w:p>
    <w:p>
      <w:pPr>
        <w:spacing w:line="360" w:lineRule="exact"/>
        <w:ind w:firstLine="210" w:firstLineChars="100"/>
        <w:rPr>
          <w:rFonts w:ascii="宋体" w:hAnsi="宋体"/>
          <w:szCs w:val="21"/>
          <w:highlight w:val="none"/>
          <w:u w:val="single"/>
        </w:rPr>
      </w:pPr>
      <w:r>
        <w:rPr>
          <w:rFonts w:hint="eastAsia" w:ascii="宋体" w:hAnsi="宋体"/>
          <w:szCs w:val="21"/>
          <w:highlight w:val="none"/>
        </w:rPr>
        <w:t>经营年限：</w:t>
      </w:r>
    </w:p>
    <w:p>
      <w:pPr>
        <w:spacing w:line="360" w:lineRule="exact"/>
        <w:ind w:firstLine="210" w:firstLineChars="100"/>
        <w:rPr>
          <w:rFonts w:ascii="宋体" w:hAnsi="宋体"/>
          <w:szCs w:val="21"/>
          <w:highlight w:val="none"/>
          <w:u w:val="single"/>
        </w:rPr>
      </w:pPr>
      <w:r>
        <w:rPr>
          <w:rFonts w:hint="eastAsia" w:ascii="宋体" w:hAnsi="宋体"/>
          <w:szCs w:val="21"/>
          <w:highlight w:val="none"/>
        </w:rPr>
        <w:t>姓名：性别：年龄：职务：</w:t>
      </w:r>
    </w:p>
    <w:p>
      <w:pPr>
        <w:spacing w:line="360" w:lineRule="exact"/>
        <w:ind w:firstLine="210" w:firstLineChars="100"/>
        <w:rPr>
          <w:rFonts w:ascii="宋体" w:hAnsi="宋体"/>
          <w:szCs w:val="21"/>
          <w:highlight w:val="none"/>
        </w:rPr>
      </w:pPr>
      <w:r>
        <w:rPr>
          <w:rFonts w:hint="eastAsia" w:ascii="宋体" w:hAnsi="宋体"/>
          <w:szCs w:val="21"/>
          <w:highlight w:val="none"/>
        </w:rPr>
        <w:t>系</w:t>
      </w:r>
      <w:r>
        <w:rPr>
          <w:rFonts w:hint="eastAsia" w:ascii="宋体" w:hAnsi="宋体"/>
          <w:szCs w:val="21"/>
          <w:highlight w:val="none"/>
          <w:u w:val="single"/>
        </w:rPr>
        <w:t xml:space="preserve">   （投标人单位名称）           </w:t>
      </w:r>
      <w:r>
        <w:rPr>
          <w:rFonts w:hint="eastAsia" w:ascii="宋体" w:hAnsi="宋体"/>
          <w:szCs w:val="21"/>
          <w:highlight w:val="none"/>
        </w:rPr>
        <w:t xml:space="preserve"> 的法定代表人。</w:t>
      </w:r>
    </w:p>
    <w:p>
      <w:pPr>
        <w:spacing w:line="360" w:lineRule="exact"/>
        <w:ind w:firstLine="210" w:firstLineChars="100"/>
        <w:rPr>
          <w:rFonts w:ascii="宋体" w:hAnsi="宋体"/>
          <w:szCs w:val="21"/>
          <w:highlight w:val="none"/>
        </w:rPr>
      </w:pPr>
      <w:r>
        <w:rPr>
          <w:rFonts w:hint="eastAsia" w:ascii="宋体" w:hAnsi="宋体"/>
          <w:szCs w:val="21"/>
          <w:highlight w:val="none"/>
        </w:rPr>
        <w:t>特此证明。</w:t>
      </w:r>
    </w:p>
    <w:p>
      <w:pPr>
        <w:spacing w:line="360" w:lineRule="exact"/>
        <w:ind w:firstLine="4200" w:firstLineChars="2000"/>
        <w:rPr>
          <w:rFonts w:ascii="宋体" w:hAnsi="宋体"/>
          <w:szCs w:val="21"/>
          <w:highlight w:val="none"/>
          <w:u w:val="single"/>
        </w:rPr>
      </w:pPr>
      <w:r>
        <w:rPr>
          <w:rFonts w:hint="eastAsia" w:ascii="宋体" w:hAnsi="宋体"/>
          <w:szCs w:val="21"/>
          <w:highlight w:val="none"/>
        </w:rPr>
        <w:t xml:space="preserve"> 投标人：</w:t>
      </w:r>
      <w:r>
        <w:rPr>
          <w:rFonts w:hint="eastAsia" w:ascii="宋体" w:hAnsi="宋体"/>
          <w:szCs w:val="21"/>
          <w:highlight w:val="none"/>
          <w:u w:val="single"/>
        </w:rPr>
        <w:t xml:space="preserve">                （盖章）</w:t>
      </w:r>
    </w:p>
    <w:p>
      <w:pPr>
        <w:ind w:firstLine="902"/>
        <w:rPr>
          <w:rFonts w:ascii="宋体" w:hAnsi="宋体"/>
          <w:szCs w:val="21"/>
          <w:highlight w:val="none"/>
        </w:rPr>
      </w:pPr>
    </w:p>
    <w:p>
      <w:pPr>
        <w:ind w:firstLine="902"/>
        <w:rPr>
          <w:rFonts w:ascii="宋体" w:hAnsi="宋体"/>
          <w:kern w:val="144"/>
          <w:szCs w:val="21"/>
          <w:highlight w:val="none"/>
        </w:rPr>
      </w:pPr>
      <w:r>
        <w:rPr>
          <w:rFonts w:hint="eastAsia" w:ascii="宋体" w:hAnsi="宋体"/>
          <w:kern w:val="144"/>
          <w:szCs w:val="21"/>
          <w:highlight w:val="none"/>
        </w:rPr>
        <w:t xml:space="preserve">      日期：    年    月   日</w:t>
      </w:r>
    </w:p>
    <w:p>
      <w:pPr>
        <w:spacing w:line="360" w:lineRule="exact"/>
        <w:ind w:firstLine="4158" w:firstLineChars="1980"/>
        <w:rPr>
          <w:rFonts w:ascii="宋体" w:hAnsi="宋体"/>
          <w:szCs w:val="21"/>
          <w:highlight w:val="none"/>
        </w:rPr>
      </w:pPr>
    </w:p>
    <w:p>
      <w:pPr>
        <w:spacing w:line="360" w:lineRule="exact"/>
        <w:ind w:firstLine="4158" w:firstLineChars="1980"/>
        <w:rPr>
          <w:rFonts w:ascii="宋体" w:hAnsi="宋体"/>
          <w:szCs w:val="21"/>
          <w:highlight w:val="none"/>
        </w:rPr>
      </w:pPr>
      <w:r>
        <w:rPr>
          <w:highlight w:val="none"/>
        </w:rPr>
        <mc:AlternateContent>
          <mc:Choice Requires="wps">
            <w:drawing>
              <wp:anchor distT="0" distB="0" distL="114300" distR="114300" simplePos="0" relativeHeight="251685888" behindDoc="0" locked="0" layoutInCell="1" allowOverlap="1">
                <wp:simplePos x="0" y="0"/>
                <wp:positionH relativeFrom="column">
                  <wp:posOffset>247650</wp:posOffset>
                </wp:positionH>
                <wp:positionV relativeFrom="paragraph">
                  <wp:posOffset>106045</wp:posOffset>
                </wp:positionV>
                <wp:extent cx="3649345" cy="1971675"/>
                <wp:effectExtent l="4445" t="4445" r="22860" b="5080"/>
                <wp:wrapNone/>
                <wp:docPr id="10" name="流程图: 可选过程 1"/>
                <wp:cNvGraphicFramePr/>
                <a:graphic xmlns:a="http://schemas.openxmlformats.org/drawingml/2006/main">
                  <a:graphicData uri="http://schemas.microsoft.com/office/word/2010/wordprocessingShape">
                    <wps:wsp>
                      <wps:cNvSpPr>
                        <a:spLocks noChangeArrowheads="1"/>
                      </wps:cNvSpPr>
                      <wps:spPr bwMode="auto">
                        <a:xfrm>
                          <a:off x="1025525" y="5779770"/>
                          <a:ext cx="3649345" cy="197167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 w:val="24"/>
                              </w:rPr>
                            </w:pPr>
                          </w:p>
                          <w:p>
                            <w:pPr>
                              <w:jc w:val="center"/>
                              <w:rPr>
                                <w:rFonts w:hAnsi="宋体"/>
                                <w:sz w:val="28"/>
                                <w:szCs w:val="28"/>
                              </w:rPr>
                            </w:pPr>
                            <w:r>
                              <w:rPr>
                                <w:rFonts w:hint="eastAsia" w:hAnsi="宋体"/>
                                <w:sz w:val="28"/>
                                <w:szCs w:val="28"/>
                              </w:rPr>
                              <w:t>法定代表人身份证复印件</w:t>
                            </w:r>
                            <w:r>
                              <w:rPr>
                                <w:rFonts w:hint="eastAsia"/>
                                <w:sz w:val="28"/>
                                <w:szCs w:val="28"/>
                              </w:rPr>
                              <w:t>贴于此处</w:t>
                            </w:r>
                          </w:p>
                          <w:p>
                            <w:pPr>
                              <w:jc w:val="center"/>
                              <w:rPr>
                                <w:rFonts w:hAnsi="宋体"/>
                                <w:sz w:val="28"/>
                                <w:szCs w:val="28"/>
                              </w:rPr>
                            </w:pPr>
                          </w:p>
                          <w:p>
                            <w:pPr>
                              <w:spacing w:line="500" w:lineRule="exact"/>
                              <w:jc w:val="center"/>
                              <w:rPr>
                                <w:rFonts w:ascii="宋体" w:hAnsi="宋体"/>
                                <w:b/>
                                <w:bCs/>
                                <w:color w:val="000000"/>
                                <w:sz w:val="28"/>
                                <w:szCs w:val="28"/>
                              </w:rPr>
                            </w:pPr>
                            <w:r>
                              <w:rPr>
                                <w:rFonts w:ascii="宋体" w:hAnsi="宋体"/>
                                <w:b/>
                                <w:sz w:val="28"/>
                                <w:szCs w:val="28"/>
                              </w:rPr>
                              <w:t>(</w:t>
                            </w:r>
                            <w:r>
                              <w:rPr>
                                <w:rFonts w:hint="eastAsia" w:ascii="宋体" w:hAnsi="宋体"/>
                                <w:b/>
                                <w:sz w:val="28"/>
                                <w:szCs w:val="28"/>
                              </w:rPr>
                              <w:t>请投标人务必提供本身份证复印件正面</w:t>
                            </w:r>
                            <w:r>
                              <w:rPr>
                                <w:rFonts w:ascii="宋体" w:hAnsi="宋体"/>
                                <w:b/>
                                <w:sz w:val="28"/>
                                <w:szCs w:val="28"/>
                              </w:rPr>
                              <w:t>)</w:t>
                            </w:r>
                          </w:p>
                          <w:p>
                            <w:pPr>
                              <w:jc w:val="center"/>
                              <w:rPr>
                                <w:szCs w:val="21"/>
                              </w:rPr>
                            </w:pPr>
                          </w:p>
                        </w:txbxContent>
                      </wps:txbx>
                      <wps:bodyPr rot="0" vert="horz" wrap="square" lIns="91440" tIns="45720" rIns="91440" bIns="45720" anchor="t" anchorCtr="0" upright="1">
                        <a:noAutofit/>
                      </wps:bodyPr>
                    </wps:wsp>
                  </a:graphicData>
                </a:graphic>
              </wp:anchor>
            </w:drawing>
          </mc:Choice>
          <mc:Fallback>
            <w:pict>
              <v:shape id="流程图: 可选过程 1" o:spid="_x0000_s1026" o:spt="176" type="#_x0000_t176" style="position:absolute;left:0pt;margin-left:19.5pt;margin-top:8.35pt;height:155.25pt;width:287.35pt;z-index:251685888;mso-width-relative:page;mso-height-relative:page;" fillcolor="#FFFFFF" filled="t" stroked="t" coordsize="21600,21600" o:gfxdata="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4bhIqtcAAAAJAQAADwAA&#10;AAAAAAABACAAAAAiAAAAZHJzL2Rvd25yZXYueG1sUEsBAhQAFAAAAAgAh07iQD/veUdQAgAAbgQA&#10;AA4AAAAAAAAAAQAgAAAAJgEAAGRycy9lMm9Eb2MueG1sUEsFBgAAAAAGAAYAWQEAAOgFAAAAAA==&#10;">
                <v:fill on="t" focussize="0,0"/>
                <v:stroke color="#000000" miterlimit="8" joinstyle="miter"/>
                <v:imagedata o:title=""/>
                <o:lock v:ext="edit" aspectratio="f"/>
                <v:textbox>
                  <w:txbxContent>
                    <w:p>
                      <w:pPr>
                        <w:jc w:val="center"/>
                        <w:rPr>
                          <w:rFonts w:hAnsi="宋体"/>
                          <w:szCs w:val="21"/>
                        </w:rPr>
                      </w:pPr>
                    </w:p>
                    <w:p>
                      <w:pPr>
                        <w:jc w:val="center"/>
                        <w:rPr>
                          <w:rFonts w:hAnsi="宋体"/>
                          <w:sz w:val="24"/>
                        </w:rPr>
                      </w:pPr>
                    </w:p>
                    <w:p>
                      <w:pPr>
                        <w:jc w:val="center"/>
                        <w:rPr>
                          <w:rFonts w:hAnsi="宋体"/>
                          <w:sz w:val="28"/>
                          <w:szCs w:val="28"/>
                        </w:rPr>
                      </w:pPr>
                      <w:r>
                        <w:rPr>
                          <w:rFonts w:hint="eastAsia" w:hAnsi="宋体"/>
                          <w:sz w:val="28"/>
                          <w:szCs w:val="28"/>
                        </w:rPr>
                        <w:t>法定代表人身份证复印件</w:t>
                      </w:r>
                      <w:r>
                        <w:rPr>
                          <w:rFonts w:hint="eastAsia"/>
                          <w:sz w:val="28"/>
                          <w:szCs w:val="28"/>
                        </w:rPr>
                        <w:t>贴于此处</w:t>
                      </w:r>
                    </w:p>
                    <w:p>
                      <w:pPr>
                        <w:jc w:val="center"/>
                        <w:rPr>
                          <w:rFonts w:hAnsi="宋体"/>
                          <w:sz w:val="28"/>
                          <w:szCs w:val="28"/>
                        </w:rPr>
                      </w:pPr>
                    </w:p>
                    <w:p>
                      <w:pPr>
                        <w:spacing w:line="500" w:lineRule="exact"/>
                        <w:jc w:val="center"/>
                        <w:rPr>
                          <w:rFonts w:ascii="宋体" w:hAnsi="宋体"/>
                          <w:b/>
                          <w:bCs/>
                          <w:color w:val="000000"/>
                          <w:sz w:val="28"/>
                          <w:szCs w:val="28"/>
                        </w:rPr>
                      </w:pPr>
                      <w:r>
                        <w:rPr>
                          <w:rFonts w:ascii="宋体" w:hAnsi="宋体"/>
                          <w:b/>
                          <w:sz w:val="28"/>
                          <w:szCs w:val="28"/>
                        </w:rPr>
                        <w:t>(</w:t>
                      </w:r>
                      <w:r>
                        <w:rPr>
                          <w:rFonts w:hint="eastAsia" w:ascii="宋体" w:hAnsi="宋体"/>
                          <w:b/>
                          <w:sz w:val="28"/>
                          <w:szCs w:val="28"/>
                        </w:rPr>
                        <w:t>请投标人务必提供本身份证复印件正面</w:t>
                      </w:r>
                      <w:r>
                        <w:rPr>
                          <w:rFonts w:ascii="宋体" w:hAnsi="宋体"/>
                          <w:b/>
                          <w:sz w:val="28"/>
                          <w:szCs w:val="28"/>
                        </w:rPr>
                        <w:t>)</w:t>
                      </w:r>
                    </w:p>
                    <w:p>
                      <w:pPr>
                        <w:jc w:val="center"/>
                        <w:rPr>
                          <w:szCs w:val="21"/>
                        </w:rPr>
                      </w:pPr>
                    </w:p>
                  </w:txbxContent>
                </v:textbox>
              </v:shape>
            </w:pict>
          </mc:Fallback>
        </mc:AlternateContent>
      </w:r>
    </w:p>
    <w:p>
      <w:pPr>
        <w:spacing w:line="360" w:lineRule="exact"/>
        <w:ind w:firstLine="4158" w:firstLineChars="1980"/>
        <w:rPr>
          <w:rFonts w:ascii="宋体" w:hAnsi="宋体"/>
          <w:szCs w:val="21"/>
          <w:highlight w:val="none"/>
        </w:rPr>
      </w:pPr>
    </w:p>
    <w:p>
      <w:pPr>
        <w:spacing w:line="360" w:lineRule="exact"/>
        <w:ind w:firstLine="4158" w:firstLineChars="1980"/>
        <w:rPr>
          <w:rFonts w:ascii="宋体" w:hAnsi="宋体"/>
          <w:szCs w:val="21"/>
          <w:highlight w:val="none"/>
        </w:rPr>
      </w:pPr>
    </w:p>
    <w:p>
      <w:pPr>
        <w:spacing w:line="360" w:lineRule="exact"/>
        <w:ind w:firstLine="4158" w:firstLineChars="1980"/>
        <w:rPr>
          <w:rFonts w:ascii="宋体" w:hAnsi="宋体"/>
          <w:szCs w:val="21"/>
          <w:highlight w:val="none"/>
        </w:rPr>
      </w:pPr>
    </w:p>
    <w:p>
      <w:pPr>
        <w:spacing w:line="360" w:lineRule="auto"/>
        <w:rPr>
          <w:rFonts w:ascii="宋体" w:hAnsi="宋体"/>
          <w:b/>
          <w:highlight w:val="none"/>
        </w:rPr>
      </w:pPr>
    </w:p>
    <w:p>
      <w:pPr>
        <w:spacing w:line="360" w:lineRule="auto"/>
        <w:rPr>
          <w:rFonts w:ascii="宋体" w:hAnsi="宋体"/>
          <w:b/>
          <w:highlight w:val="none"/>
        </w:rPr>
      </w:pPr>
    </w:p>
    <w:p>
      <w:pPr>
        <w:spacing w:line="360" w:lineRule="exact"/>
        <w:rPr>
          <w:rFonts w:ascii="宋体" w:hAnsi="宋体"/>
          <w:szCs w:val="21"/>
          <w:highlight w:val="none"/>
        </w:rPr>
      </w:pPr>
    </w:p>
    <w:p>
      <w:pPr>
        <w:spacing w:line="360" w:lineRule="exact"/>
        <w:ind w:firstLine="4200" w:firstLineChars="2000"/>
        <w:rPr>
          <w:rFonts w:ascii="宋体" w:hAnsi="宋体"/>
          <w:szCs w:val="21"/>
          <w:highlight w:val="none"/>
        </w:rPr>
      </w:pPr>
    </w:p>
    <w:p>
      <w:pPr>
        <w:spacing w:line="360" w:lineRule="exact"/>
        <w:ind w:firstLine="4200" w:firstLineChars="2000"/>
        <w:rPr>
          <w:rFonts w:ascii="宋体" w:hAnsi="宋体"/>
          <w:szCs w:val="21"/>
          <w:highlight w:val="none"/>
        </w:rPr>
      </w:pPr>
    </w:p>
    <w:p>
      <w:pPr>
        <w:spacing w:line="360" w:lineRule="exact"/>
        <w:ind w:firstLine="4200" w:firstLineChars="2000"/>
        <w:rPr>
          <w:rFonts w:ascii="宋体" w:hAnsi="宋体"/>
          <w:szCs w:val="21"/>
          <w:highlight w:val="none"/>
        </w:rPr>
      </w:pPr>
      <w:r>
        <w:rPr>
          <w:highlight w:val="none"/>
        </w:rPr>
        <mc:AlternateContent>
          <mc:Choice Requires="wps">
            <w:drawing>
              <wp:anchor distT="0" distB="0" distL="114300" distR="114300" simplePos="0" relativeHeight="251687936" behindDoc="0" locked="0" layoutInCell="1" allowOverlap="1">
                <wp:simplePos x="0" y="0"/>
                <wp:positionH relativeFrom="column">
                  <wp:posOffset>232410</wp:posOffset>
                </wp:positionH>
                <wp:positionV relativeFrom="paragraph">
                  <wp:posOffset>104140</wp:posOffset>
                </wp:positionV>
                <wp:extent cx="3649345" cy="1916430"/>
                <wp:effectExtent l="4445" t="4445" r="22860" b="22225"/>
                <wp:wrapNone/>
                <wp:docPr id="11" name="流程图: 可选过程 2"/>
                <wp:cNvGraphicFramePr/>
                <a:graphic xmlns:a="http://schemas.openxmlformats.org/drawingml/2006/main">
                  <a:graphicData uri="http://schemas.microsoft.com/office/word/2010/wordprocessingShape">
                    <wps:wsp>
                      <wps:cNvSpPr>
                        <a:spLocks noChangeArrowheads="1"/>
                      </wps:cNvSpPr>
                      <wps:spPr bwMode="auto">
                        <a:xfrm>
                          <a:off x="1026160" y="7934325"/>
                          <a:ext cx="3649345" cy="1916430"/>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 w:val="24"/>
                              </w:rPr>
                            </w:pPr>
                          </w:p>
                          <w:p>
                            <w:pPr>
                              <w:jc w:val="center"/>
                              <w:rPr>
                                <w:rFonts w:hAnsi="宋体"/>
                                <w:sz w:val="28"/>
                                <w:szCs w:val="28"/>
                              </w:rPr>
                            </w:pPr>
                            <w:r>
                              <w:rPr>
                                <w:rFonts w:hint="eastAsia" w:hAnsi="宋体"/>
                                <w:sz w:val="28"/>
                                <w:szCs w:val="28"/>
                              </w:rPr>
                              <w:t>法定代表人身份证复印件</w:t>
                            </w:r>
                            <w:r>
                              <w:rPr>
                                <w:rFonts w:hint="eastAsia"/>
                                <w:sz w:val="28"/>
                                <w:szCs w:val="28"/>
                              </w:rPr>
                              <w:t>贴于此处</w:t>
                            </w:r>
                          </w:p>
                          <w:p>
                            <w:pPr>
                              <w:jc w:val="center"/>
                              <w:rPr>
                                <w:rFonts w:hAnsi="宋体"/>
                                <w:sz w:val="28"/>
                                <w:szCs w:val="28"/>
                              </w:rPr>
                            </w:pPr>
                          </w:p>
                          <w:p>
                            <w:pPr>
                              <w:spacing w:line="500" w:lineRule="exact"/>
                              <w:jc w:val="center"/>
                              <w:rPr>
                                <w:rFonts w:ascii="宋体" w:hAnsi="宋体"/>
                                <w:b/>
                                <w:bCs/>
                                <w:color w:val="000000"/>
                                <w:sz w:val="28"/>
                                <w:szCs w:val="28"/>
                              </w:rPr>
                            </w:pPr>
                            <w:r>
                              <w:rPr>
                                <w:rFonts w:ascii="宋体" w:hAnsi="宋体"/>
                                <w:b/>
                                <w:sz w:val="28"/>
                                <w:szCs w:val="28"/>
                              </w:rPr>
                              <w:t>(</w:t>
                            </w:r>
                            <w:r>
                              <w:rPr>
                                <w:rFonts w:hint="eastAsia" w:ascii="宋体" w:hAnsi="宋体"/>
                                <w:b/>
                                <w:sz w:val="28"/>
                                <w:szCs w:val="28"/>
                              </w:rPr>
                              <w:t>请投标人务必提供本身份证复印件背面</w:t>
                            </w:r>
                            <w:r>
                              <w:rPr>
                                <w:rFonts w:ascii="宋体" w:hAnsi="宋体"/>
                                <w:b/>
                                <w:sz w:val="28"/>
                                <w:szCs w:val="28"/>
                              </w:rPr>
                              <w:t>)</w:t>
                            </w:r>
                          </w:p>
                          <w:p>
                            <w:pPr>
                              <w:jc w:val="center"/>
                              <w:rPr>
                                <w:szCs w:val="21"/>
                              </w:rPr>
                            </w:pPr>
                          </w:p>
                        </w:txbxContent>
                      </wps:txbx>
                      <wps:bodyPr rot="0" vert="horz" wrap="square" lIns="91440" tIns="45720" rIns="91440" bIns="45720" anchor="t" anchorCtr="0" upright="1">
                        <a:noAutofit/>
                      </wps:bodyPr>
                    </wps:wsp>
                  </a:graphicData>
                </a:graphic>
              </wp:anchor>
            </w:drawing>
          </mc:Choice>
          <mc:Fallback>
            <w:pict>
              <v:shape id="流程图: 可选过程 2" o:spid="_x0000_s1026" o:spt="176" type="#_x0000_t176" style="position:absolute;left:0pt;margin-left:18.3pt;margin-top:8.2pt;height:150.9pt;width:287.35pt;z-index:251687936;mso-width-relative:page;mso-height-relative:page;" fillcolor="#FFFFFF" filled="t" stroked="t" coordsize="21600,21600" o:gfxdata="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32kWk1QAAAAkBAAAP&#10;AAAAAAAAAAEAIAAAACIAAABkcnMvZG93bnJldi54bWxQSwECFAAUAAAACACHTuJAaxkWQVQCAABu&#10;BAAADgAAAAAAAAABACAAAAAkAQAAZHJzL2Uyb0RvYy54bWxQSwUGAAAAAAYABgBZAQAA6gUAAAAA&#10;">
                <v:fill on="t" focussize="0,0"/>
                <v:stroke color="#000000" miterlimit="8" joinstyle="miter"/>
                <v:imagedata o:title=""/>
                <o:lock v:ext="edit" aspectratio="f"/>
                <v:textbox>
                  <w:txbxContent>
                    <w:p>
                      <w:pPr>
                        <w:jc w:val="center"/>
                        <w:rPr>
                          <w:rFonts w:hAnsi="宋体"/>
                          <w:szCs w:val="21"/>
                        </w:rPr>
                      </w:pPr>
                    </w:p>
                    <w:p>
                      <w:pPr>
                        <w:jc w:val="center"/>
                        <w:rPr>
                          <w:rFonts w:hAnsi="宋体"/>
                          <w:sz w:val="24"/>
                        </w:rPr>
                      </w:pPr>
                    </w:p>
                    <w:p>
                      <w:pPr>
                        <w:jc w:val="center"/>
                        <w:rPr>
                          <w:rFonts w:hAnsi="宋体"/>
                          <w:sz w:val="28"/>
                          <w:szCs w:val="28"/>
                        </w:rPr>
                      </w:pPr>
                      <w:r>
                        <w:rPr>
                          <w:rFonts w:hint="eastAsia" w:hAnsi="宋体"/>
                          <w:sz w:val="28"/>
                          <w:szCs w:val="28"/>
                        </w:rPr>
                        <w:t>法定代表人身份证复印件</w:t>
                      </w:r>
                      <w:r>
                        <w:rPr>
                          <w:rFonts w:hint="eastAsia"/>
                          <w:sz w:val="28"/>
                          <w:szCs w:val="28"/>
                        </w:rPr>
                        <w:t>贴于此处</w:t>
                      </w:r>
                    </w:p>
                    <w:p>
                      <w:pPr>
                        <w:jc w:val="center"/>
                        <w:rPr>
                          <w:rFonts w:hAnsi="宋体"/>
                          <w:sz w:val="28"/>
                          <w:szCs w:val="28"/>
                        </w:rPr>
                      </w:pPr>
                    </w:p>
                    <w:p>
                      <w:pPr>
                        <w:spacing w:line="500" w:lineRule="exact"/>
                        <w:jc w:val="center"/>
                        <w:rPr>
                          <w:rFonts w:ascii="宋体" w:hAnsi="宋体"/>
                          <w:b/>
                          <w:bCs/>
                          <w:color w:val="000000"/>
                          <w:sz w:val="28"/>
                          <w:szCs w:val="28"/>
                        </w:rPr>
                      </w:pPr>
                      <w:r>
                        <w:rPr>
                          <w:rFonts w:ascii="宋体" w:hAnsi="宋体"/>
                          <w:b/>
                          <w:sz w:val="28"/>
                          <w:szCs w:val="28"/>
                        </w:rPr>
                        <w:t>(</w:t>
                      </w:r>
                      <w:r>
                        <w:rPr>
                          <w:rFonts w:hint="eastAsia" w:ascii="宋体" w:hAnsi="宋体"/>
                          <w:b/>
                          <w:sz w:val="28"/>
                          <w:szCs w:val="28"/>
                        </w:rPr>
                        <w:t>请投标人务必提供本身份证复印件背面</w:t>
                      </w:r>
                      <w:r>
                        <w:rPr>
                          <w:rFonts w:ascii="宋体" w:hAnsi="宋体"/>
                          <w:b/>
                          <w:sz w:val="28"/>
                          <w:szCs w:val="28"/>
                        </w:rPr>
                        <w:t>)</w:t>
                      </w:r>
                    </w:p>
                    <w:p>
                      <w:pPr>
                        <w:jc w:val="center"/>
                        <w:rPr>
                          <w:szCs w:val="21"/>
                        </w:rPr>
                      </w:pPr>
                    </w:p>
                  </w:txbxContent>
                </v:textbox>
              </v:shape>
            </w:pict>
          </mc:Fallback>
        </mc:AlternateContent>
      </w:r>
    </w:p>
    <w:p>
      <w:pPr>
        <w:spacing w:line="360" w:lineRule="exact"/>
        <w:ind w:firstLine="4200" w:firstLineChars="2000"/>
        <w:rPr>
          <w:rFonts w:ascii="宋体" w:hAnsi="宋体"/>
          <w:szCs w:val="21"/>
          <w:highlight w:val="none"/>
        </w:rPr>
      </w:pPr>
    </w:p>
    <w:p>
      <w:pPr>
        <w:spacing w:line="360" w:lineRule="exact"/>
        <w:ind w:firstLine="4200" w:firstLineChars="2000"/>
        <w:rPr>
          <w:rFonts w:ascii="宋体" w:hAnsi="宋体"/>
          <w:szCs w:val="21"/>
          <w:highlight w:val="none"/>
        </w:rPr>
      </w:pPr>
    </w:p>
    <w:p>
      <w:pPr>
        <w:spacing w:line="360" w:lineRule="exact"/>
        <w:ind w:firstLine="4200" w:firstLineChars="2000"/>
        <w:rPr>
          <w:rFonts w:ascii="宋体" w:hAnsi="宋体"/>
          <w:szCs w:val="21"/>
          <w:highlight w:val="none"/>
        </w:rPr>
      </w:pPr>
    </w:p>
    <w:p>
      <w:pPr>
        <w:ind w:firstLine="902"/>
        <w:rPr>
          <w:rFonts w:ascii="宋体" w:hAnsi="宋体"/>
          <w:kern w:val="144"/>
          <w:szCs w:val="21"/>
          <w:highlight w:val="none"/>
        </w:rPr>
      </w:pPr>
    </w:p>
    <w:p>
      <w:pPr>
        <w:ind w:firstLine="902"/>
        <w:rPr>
          <w:rFonts w:ascii="宋体" w:hAnsi="宋体"/>
          <w:kern w:val="144"/>
          <w:szCs w:val="21"/>
          <w:highlight w:val="none"/>
        </w:rPr>
      </w:pPr>
    </w:p>
    <w:p>
      <w:pPr>
        <w:ind w:firstLine="902"/>
        <w:rPr>
          <w:rFonts w:ascii="宋体" w:hAnsi="宋体"/>
          <w:kern w:val="144"/>
          <w:szCs w:val="21"/>
          <w:highlight w:val="none"/>
        </w:rPr>
      </w:pPr>
    </w:p>
    <w:p>
      <w:pPr>
        <w:ind w:firstLine="902"/>
        <w:rPr>
          <w:rFonts w:ascii="宋体" w:hAnsi="宋体"/>
          <w:kern w:val="144"/>
          <w:szCs w:val="21"/>
          <w:highlight w:val="none"/>
        </w:rPr>
      </w:pPr>
    </w:p>
    <w:p>
      <w:pPr>
        <w:ind w:firstLine="902"/>
        <w:rPr>
          <w:rFonts w:ascii="宋体" w:hAnsi="宋体"/>
          <w:kern w:val="144"/>
          <w:szCs w:val="21"/>
          <w:highlight w:val="none"/>
        </w:rPr>
      </w:pPr>
    </w:p>
    <w:p>
      <w:pPr>
        <w:rPr>
          <w:rFonts w:ascii="黑体" w:eastAsia="黑体"/>
          <w:b/>
          <w:kern w:val="144"/>
          <w:sz w:val="44"/>
          <w:highlight w:val="none"/>
        </w:rPr>
      </w:pPr>
    </w:p>
    <w:p>
      <w:pPr>
        <w:pStyle w:val="3"/>
        <w:keepNext w:val="0"/>
        <w:keepLines w:val="0"/>
        <w:numPr>
          <w:ilvl w:val="0"/>
          <w:numId w:val="0"/>
        </w:numPr>
        <w:snapToGrid w:val="0"/>
        <w:spacing w:before="120" w:after="120"/>
        <w:jc w:val="left"/>
        <w:rPr>
          <w:sz w:val="24"/>
          <w:szCs w:val="24"/>
          <w:highlight w:val="none"/>
        </w:rPr>
      </w:pPr>
      <w:bookmarkStart w:id="465" w:name="_Toc19843"/>
      <w:bookmarkStart w:id="466" w:name="_Toc974"/>
      <w:bookmarkStart w:id="467" w:name="_Toc22484"/>
      <w:bookmarkStart w:id="468" w:name="_Toc9279"/>
      <w:r>
        <w:rPr>
          <w:rFonts w:hint="eastAsia" w:ascii="宋体" w:hAnsi="宋体" w:eastAsia="宋体"/>
          <w:bCs/>
          <w:kern w:val="2"/>
          <w:sz w:val="21"/>
          <w:szCs w:val="21"/>
          <w:highlight w:val="none"/>
        </w:rPr>
        <w:t>注：法定代表人证明书亦可采用工商行政管理局统一制订的格式。</w:t>
      </w:r>
      <w:r>
        <w:rPr>
          <w:rFonts w:ascii="黑体"/>
          <w:bCs/>
          <w:kern w:val="144"/>
          <w:sz w:val="44"/>
          <w:highlight w:val="none"/>
        </w:rPr>
        <w:br w:type="page"/>
      </w:r>
      <w:bookmarkStart w:id="469" w:name="_Toc15365"/>
      <w:r>
        <w:rPr>
          <w:rFonts w:hint="eastAsia"/>
          <w:sz w:val="24"/>
          <w:szCs w:val="24"/>
          <w:highlight w:val="none"/>
        </w:rPr>
        <w:t>格式4：授权委托证明书</w:t>
      </w:r>
      <w:bookmarkEnd w:id="465"/>
      <w:bookmarkEnd w:id="466"/>
      <w:bookmarkEnd w:id="467"/>
      <w:bookmarkEnd w:id="468"/>
      <w:bookmarkEnd w:id="469"/>
    </w:p>
    <w:p>
      <w:pPr>
        <w:pStyle w:val="221"/>
        <w:ind w:firstLine="498" w:firstLineChars="0"/>
        <w:jc w:val="center"/>
        <w:rPr>
          <w:rFonts w:ascii="宋体" w:hAnsi="宋体"/>
          <w:b/>
          <w:highlight w:val="none"/>
        </w:rPr>
      </w:pPr>
    </w:p>
    <w:p>
      <w:pPr>
        <w:pStyle w:val="221"/>
        <w:ind w:firstLine="498" w:firstLineChars="0"/>
        <w:jc w:val="center"/>
        <w:rPr>
          <w:rFonts w:ascii="宋体" w:hAnsi="宋体"/>
          <w:b/>
          <w:highlight w:val="none"/>
        </w:rPr>
      </w:pPr>
      <w:r>
        <w:rPr>
          <w:rFonts w:hint="eastAsia" w:ascii="宋体" w:hAnsi="宋体"/>
          <w:b/>
          <w:highlight w:val="none"/>
        </w:rPr>
        <w:t>法定代表人</w:t>
      </w:r>
      <w:r>
        <w:rPr>
          <w:rFonts w:ascii="宋体" w:hAnsi="宋体"/>
          <w:b/>
          <w:highlight w:val="none"/>
        </w:rPr>
        <w:t>授权委托书</w:t>
      </w:r>
    </w:p>
    <w:p>
      <w:pPr>
        <w:spacing w:line="360" w:lineRule="exact"/>
        <w:rPr>
          <w:rFonts w:ascii="宋体" w:hAnsi="宋体"/>
          <w:szCs w:val="21"/>
          <w:highlight w:val="none"/>
        </w:rPr>
      </w:pPr>
    </w:p>
    <w:p>
      <w:pPr>
        <w:spacing w:line="360" w:lineRule="exact"/>
        <w:ind w:right="150"/>
        <w:rPr>
          <w:rFonts w:ascii="宋体" w:hAnsi="宋体"/>
          <w:szCs w:val="21"/>
          <w:highlight w:val="none"/>
        </w:rPr>
      </w:pPr>
      <w:r>
        <w:rPr>
          <w:rFonts w:ascii="宋体" w:hAnsi="宋体"/>
          <w:szCs w:val="21"/>
          <w:highlight w:val="none"/>
        </w:rPr>
        <w:t>本授权委托书声明：我（姓名）系（投标单位名称）的法定代表人，现授权委托（姓名）为我公司唯一代理人，以</w:t>
      </w:r>
      <w:r>
        <w:rPr>
          <w:rFonts w:hint="eastAsia" w:ascii="宋体" w:hAnsi="宋体"/>
          <w:szCs w:val="21"/>
          <w:highlight w:val="none"/>
        </w:rPr>
        <w:t>我</w:t>
      </w:r>
      <w:r>
        <w:rPr>
          <w:rFonts w:ascii="宋体" w:hAnsi="宋体"/>
          <w:szCs w:val="21"/>
          <w:highlight w:val="none"/>
        </w:rPr>
        <w:t>公司的名义参加</w:t>
      </w:r>
      <w:r>
        <w:rPr>
          <w:rFonts w:hint="eastAsia" w:ascii="宋体" w:hAnsi="宋体"/>
          <w:szCs w:val="21"/>
          <w:highlight w:val="none"/>
        </w:rPr>
        <w:t>项目</w:t>
      </w:r>
      <w:r>
        <w:rPr>
          <w:rFonts w:ascii="宋体" w:hAnsi="宋体"/>
          <w:szCs w:val="21"/>
          <w:highlight w:val="none"/>
        </w:rPr>
        <w:t>的投标活动。代理人</w:t>
      </w:r>
      <w:r>
        <w:rPr>
          <w:rFonts w:hint="eastAsia" w:ascii="宋体" w:hAnsi="宋体"/>
          <w:szCs w:val="21"/>
          <w:highlight w:val="none"/>
        </w:rPr>
        <w:t>代表我公司签署投标文件、</w:t>
      </w:r>
      <w:r>
        <w:rPr>
          <w:rFonts w:ascii="宋体" w:hAnsi="宋体"/>
          <w:szCs w:val="21"/>
          <w:highlight w:val="none"/>
        </w:rPr>
        <w:t>开标、评标、</w:t>
      </w:r>
      <w:r>
        <w:rPr>
          <w:rFonts w:hint="eastAsia" w:ascii="宋体" w:hAnsi="宋体"/>
          <w:szCs w:val="21"/>
          <w:highlight w:val="none"/>
        </w:rPr>
        <w:t>进行</w:t>
      </w:r>
      <w:r>
        <w:rPr>
          <w:rFonts w:ascii="宋体" w:hAnsi="宋体"/>
          <w:szCs w:val="21"/>
          <w:highlight w:val="none"/>
        </w:rPr>
        <w:t>合同谈判</w:t>
      </w:r>
      <w:r>
        <w:rPr>
          <w:rFonts w:hint="eastAsia" w:ascii="宋体" w:hAnsi="宋体"/>
          <w:szCs w:val="21"/>
          <w:highlight w:val="none"/>
        </w:rPr>
        <w:t>、签订合同和处理与之有关</w:t>
      </w:r>
      <w:r>
        <w:rPr>
          <w:rFonts w:ascii="宋体" w:hAnsi="宋体"/>
          <w:szCs w:val="21"/>
          <w:highlight w:val="none"/>
        </w:rPr>
        <w:t>的一切事务，我</w:t>
      </w:r>
      <w:r>
        <w:rPr>
          <w:rFonts w:hint="eastAsia" w:ascii="宋体" w:hAnsi="宋体"/>
          <w:szCs w:val="21"/>
          <w:highlight w:val="none"/>
        </w:rPr>
        <w:t>公司</w:t>
      </w:r>
      <w:r>
        <w:rPr>
          <w:rFonts w:ascii="宋体" w:hAnsi="宋体"/>
          <w:szCs w:val="21"/>
          <w:highlight w:val="none"/>
        </w:rPr>
        <w:t>均予以承认。</w:t>
      </w:r>
      <w:r>
        <w:rPr>
          <w:rFonts w:hint="eastAsia" w:ascii="宋体" w:hAnsi="宋体"/>
          <w:szCs w:val="21"/>
          <w:highlight w:val="none"/>
        </w:rPr>
        <w:t>代理人的签名真迹如本授权委托书末尾所示。</w:t>
      </w:r>
    </w:p>
    <w:p>
      <w:pPr>
        <w:pStyle w:val="24"/>
        <w:spacing w:line="360" w:lineRule="exact"/>
        <w:ind w:firstLine="420" w:firstLineChars="200"/>
        <w:rPr>
          <w:szCs w:val="21"/>
          <w:highlight w:val="none"/>
        </w:rPr>
      </w:pPr>
      <w:r>
        <w:rPr>
          <w:szCs w:val="21"/>
          <w:highlight w:val="none"/>
        </w:rPr>
        <w:t>代理人无</w:t>
      </w:r>
      <w:r>
        <w:rPr>
          <w:rFonts w:hint="eastAsia"/>
          <w:szCs w:val="21"/>
          <w:highlight w:val="none"/>
        </w:rPr>
        <w:t>权将代理权</w:t>
      </w:r>
      <w:r>
        <w:rPr>
          <w:szCs w:val="21"/>
          <w:highlight w:val="none"/>
        </w:rPr>
        <w:t>转委</w:t>
      </w:r>
      <w:r>
        <w:rPr>
          <w:rFonts w:hint="eastAsia"/>
          <w:szCs w:val="21"/>
          <w:highlight w:val="none"/>
        </w:rPr>
        <w:t>托</w:t>
      </w:r>
      <w:r>
        <w:rPr>
          <w:szCs w:val="21"/>
          <w:highlight w:val="none"/>
        </w:rPr>
        <w:t>。特此委托。</w:t>
      </w:r>
    </w:p>
    <w:p>
      <w:pPr>
        <w:pStyle w:val="17"/>
        <w:spacing w:line="360" w:lineRule="exact"/>
        <w:ind w:firstLine="4131" w:firstLineChars="850"/>
        <w:rPr>
          <w:rFonts w:ascii="宋体" w:hAnsi="宋体"/>
          <w:szCs w:val="21"/>
          <w:highlight w:val="none"/>
        </w:rPr>
      </w:pPr>
    </w:p>
    <w:p>
      <w:pPr>
        <w:pStyle w:val="17"/>
        <w:spacing w:line="440" w:lineRule="exact"/>
        <w:rPr>
          <w:rFonts w:ascii="宋体" w:hAnsi="宋体" w:eastAsia="宋体"/>
          <w:b w:val="0"/>
          <w:color w:val="auto"/>
          <w:sz w:val="21"/>
          <w:szCs w:val="21"/>
          <w:highlight w:val="none"/>
        </w:rPr>
      </w:pPr>
      <w:r>
        <w:rPr>
          <w:rFonts w:hint="eastAsia" w:ascii="宋体" w:hAnsi="宋体" w:eastAsia="宋体"/>
          <w:b w:val="0"/>
          <w:color w:val="auto"/>
          <w:sz w:val="21"/>
          <w:szCs w:val="21"/>
          <w:highlight w:val="none"/>
        </w:rPr>
        <w:t>授权委托</w:t>
      </w:r>
      <w:r>
        <w:rPr>
          <w:rFonts w:ascii="宋体" w:hAnsi="宋体" w:eastAsia="宋体"/>
          <w:b w:val="0"/>
          <w:color w:val="auto"/>
          <w:sz w:val="21"/>
          <w:szCs w:val="21"/>
          <w:highlight w:val="none"/>
        </w:rPr>
        <w:t>单位（盖章）</w:t>
      </w:r>
      <w:r>
        <w:rPr>
          <w:rFonts w:hint="eastAsia" w:ascii="宋体" w:hAnsi="宋体" w:eastAsia="宋体"/>
          <w:b w:val="0"/>
          <w:color w:val="auto"/>
          <w:sz w:val="21"/>
          <w:szCs w:val="21"/>
          <w:highlight w:val="none"/>
        </w:rPr>
        <w:t>：                                                   投标代理人（签名）：</w:t>
      </w:r>
    </w:p>
    <w:p>
      <w:pPr>
        <w:pStyle w:val="17"/>
        <w:spacing w:line="440" w:lineRule="exact"/>
        <w:rPr>
          <w:rFonts w:ascii="宋体" w:hAnsi="宋体" w:eastAsia="宋体"/>
          <w:b w:val="0"/>
          <w:color w:val="auto"/>
          <w:sz w:val="21"/>
          <w:szCs w:val="21"/>
          <w:highlight w:val="none"/>
        </w:rPr>
      </w:pPr>
      <w:r>
        <w:rPr>
          <w:rFonts w:ascii="宋体" w:hAnsi="宋体" w:eastAsia="宋体"/>
          <w:b w:val="0"/>
          <w:color w:val="auto"/>
          <w:sz w:val="21"/>
          <w:szCs w:val="21"/>
          <w:highlight w:val="none"/>
        </w:rPr>
        <w:t>法定代表人：（签字</w:t>
      </w:r>
      <w:r>
        <w:rPr>
          <w:rFonts w:hint="eastAsia" w:ascii="宋体" w:hAnsi="宋体" w:eastAsia="宋体"/>
          <w:b w:val="0"/>
          <w:color w:val="auto"/>
          <w:sz w:val="21"/>
          <w:szCs w:val="21"/>
          <w:highlight w:val="none"/>
        </w:rPr>
        <w:t>或盖章</w:t>
      </w:r>
      <w:r>
        <w:rPr>
          <w:rFonts w:ascii="宋体" w:hAnsi="宋体" w:eastAsia="宋体"/>
          <w:b w:val="0"/>
          <w:color w:val="auto"/>
          <w:sz w:val="21"/>
          <w:szCs w:val="21"/>
          <w:highlight w:val="none"/>
        </w:rPr>
        <w:t>）</w:t>
      </w:r>
      <w:r>
        <w:rPr>
          <w:rFonts w:hint="eastAsia" w:ascii="宋体" w:hAnsi="宋体" w:eastAsia="宋体"/>
          <w:b w:val="0"/>
          <w:color w:val="auto"/>
          <w:sz w:val="21"/>
          <w:szCs w:val="21"/>
          <w:highlight w:val="none"/>
        </w:rPr>
        <w:t xml:space="preserve">                                              身份证号码：</w:t>
      </w:r>
    </w:p>
    <w:p>
      <w:pPr>
        <w:pStyle w:val="17"/>
        <w:spacing w:line="440" w:lineRule="exact"/>
        <w:rPr>
          <w:rFonts w:ascii="宋体" w:hAnsi="宋体" w:eastAsia="宋体"/>
          <w:b w:val="0"/>
          <w:color w:val="auto"/>
          <w:sz w:val="21"/>
          <w:szCs w:val="21"/>
          <w:highlight w:val="none"/>
        </w:rPr>
      </w:pPr>
      <w:r>
        <w:rPr>
          <w:rFonts w:hint="eastAsia" w:ascii="宋体" w:hAnsi="宋体" w:eastAsia="宋体"/>
          <w:b w:val="0"/>
          <w:color w:val="auto"/>
          <w:sz w:val="21"/>
          <w:szCs w:val="21"/>
          <w:highlight w:val="none"/>
        </w:rPr>
        <w:t>地址：                                                                       所在单位：</w:t>
      </w:r>
    </w:p>
    <w:p>
      <w:pPr>
        <w:pStyle w:val="17"/>
        <w:spacing w:line="440" w:lineRule="exact"/>
        <w:rPr>
          <w:rFonts w:ascii="宋体" w:hAnsi="宋体" w:eastAsia="宋体"/>
          <w:b w:val="0"/>
          <w:color w:val="auto"/>
          <w:sz w:val="21"/>
          <w:szCs w:val="21"/>
          <w:highlight w:val="none"/>
        </w:rPr>
      </w:pPr>
      <w:r>
        <w:rPr>
          <w:rFonts w:hint="eastAsia" w:ascii="宋体" w:hAnsi="宋体" w:eastAsia="宋体"/>
          <w:b w:val="0"/>
          <w:color w:val="auto"/>
          <w:sz w:val="21"/>
          <w:szCs w:val="21"/>
          <w:highlight w:val="none"/>
        </w:rPr>
        <w:t>电话：                                                                       联系电话：</w:t>
      </w:r>
    </w:p>
    <w:p>
      <w:pPr>
        <w:ind w:firstLine="902"/>
        <w:rPr>
          <w:rFonts w:ascii="宋体" w:hAnsi="宋体"/>
          <w:szCs w:val="21"/>
          <w:highlight w:val="none"/>
        </w:rPr>
      </w:pPr>
    </w:p>
    <w:p>
      <w:pPr>
        <w:rPr>
          <w:rFonts w:ascii="宋体" w:hAnsi="宋体"/>
          <w:szCs w:val="21"/>
          <w:highlight w:val="none"/>
        </w:rPr>
      </w:pPr>
      <w:r>
        <w:rPr>
          <w:rFonts w:hint="eastAsia" w:ascii="宋体" w:hAnsi="宋体"/>
          <w:szCs w:val="21"/>
          <w:highlight w:val="none"/>
        </w:rPr>
        <w:t>日期：   年   月   日</w:t>
      </w:r>
    </w:p>
    <w:p>
      <w:pPr>
        <w:ind w:firstLine="902"/>
        <w:rPr>
          <w:rFonts w:ascii="宋体" w:hAnsi="宋体"/>
          <w:szCs w:val="21"/>
          <w:highlight w:val="none"/>
        </w:rPr>
      </w:pPr>
    </w:p>
    <w:p>
      <w:pPr>
        <w:ind w:firstLine="902"/>
        <w:rPr>
          <w:rFonts w:ascii="宋体" w:hAnsi="宋体"/>
          <w:szCs w:val="21"/>
          <w:highlight w:val="none"/>
        </w:rPr>
      </w:pPr>
      <w:r>
        <w:rPr>
          <w:highlight w:val="none"/>
        </w:rPr>
        <mc:AlternateContent>
          <mc:Choice Requires="wps">
            <w:drawing>
              <wp:anchor distT="0" distB="0" distL="114300" distR="114300" simplePos="0" relativeHeight="251693056" behindDoc="0" locked="0" layoutInCell="1" allowOverlap="1">
                <wp:simplePos x="0" y="0"/>
                <wp:positionH relativeFrom="column">
                  <wp:posOffset>-92710</wp:posOffset>
                </wp:positionH>
                <wp:positionV relativeFrom="paragraph">
                  <wp:posOffset>77470</wp:posOffset>
                </wp:positionV>
                <wp:extent cx="3633470" cy="1820545"/>
                <wp:effectExtent l="4445" t="4445" r="19685" b="22860"/>
                <wp:wrapNone/>
                <wp:docPr id="12" name="流程图: 可选过程 4"/>
                <wp:cNvGraphicFramePr/>
                <a:graphic xmlns:a="http://schemas.openxmlformats.org/drawingml/2006/main">
                  <a:graphicData uri="http://schemas.microsoft.com/office/word/2010/wordprocessingShape">
                    <wps:wsp>
                      <wps:cNvSpPr>
                        <a:spLocks noChangeArrowheads="1"/>
                      </wps:cNvSpPr>
                      <wps:spPr bwMode="auto">
                        <a:xfrm>
                          <a:off x="1113790" y="6308090"/>
                          <a:ext cx="3633470" cy="1820545"/>
                        </a:xfrm>
                        <a:prstGeom prst="flowChartAlternateProcess">
                          <a:avLst/>
                        </a:prstGeom>
                        <a:solidFill>
                          <a:srgbClr val="FFFFFF"/>
                        </a:solidFill>
                        <a:ln w="9525">
                          <a:solidFill>
                            <a:srgbClr val="000000"/>
                          </a:solidFill>
                          <a:miter lim="800000"/>
                        </a:ln>
                        <a:effectLst/>
                      </wps:spPr>
                      <wps:txbx>
                        <w:txbxContent>
                          <w:p>
                            <w:pPr>
                              <w:jc w:val="center"/>
                              <w:rPr>
                                <w:rFonts w:hAnsi="宋体"/>
                                <w:sz w:val="24"/>
                              </w:rPr>
                            </w:pPr>
                          </w:p>
                          <w:p>
                            <w:pPr>
                              <w:jc w:val="center"/>
                              <w:rPr>
                                <w:rFonts w:hAnsi="宋体"/>
                                <w:sz w:val="28"/>
                                <w:szCs w:val="28"/>
                              </w:rPr>
                            </w:pPr>
                            <w:r>
                              <w:rPr>
                                <w:rFonts w:hint="eastAsia" w:hAnsi="宋体"/>
                                <w:sz w:val="28"/>
                                <w:szCs w:val="28"/>
                              </w:rPr>
                              <w:t>法人授权代理人身份证复印件</w:t>
                            </w:r>
                            <w:r>
                              <w:rPr>
                                <w:rFonts w:hint="eastAsia"/>
                                <w:sz w:val="28"/>
                                <w:szCs w:val="28"/>
                              </w:rPr>
                              <w:t>贴于此处</w:t>
                            </w:r>
                          </w:p>
                          <w:p>
                            <w:pPr>
                              <w:jc w:val="center"/>
                              <w:rPr>
                                <w:rFonts w:hAnsi="宋体"/>
                                <w:sz w:val="28"/>
                                <w:szCs w:val="28"/>
                              </w:rPr>
                            </w:pPr>
                          </w:p>
                          <w:p>
                            <w:pPr>
                              <w:spacing w:line="500" w:lineRule="exact"/>
                              <w:jc w:val="center"/>
                              <w:rPr>
                                <w:rFonts w:ascii="宋体" w:hAnsi="宋体"/>
                                <w:b/>
                                <w:bCs/>
                                <w:color w:val="000000"/>
                                <w:sz w:val="28"/>
                                <w:szCs w:val="28"/>
                              </w:rPr>
                            </w:pPr>
                            <w:r>
                              <w:rPr>
                                <w:rFonts w:ascii="宋体" w:hAnsi="宋体"/>
                                <w:b/>
                                <w:sz w:val="28"/>
                                <w:szCs w:val="28"/>
                              </w:rPr>
                              <w:t>(</w:t>
                            </w:r>
                            <w:r>
                              <w:rPr>
                                <w:rFonts w:hint="eastAsia" w:ascii="宋体" w:hAnsi="宋体"/>
                                <w:b/>
                                <w:sz w:val="28"/>
                                <w:szCs w:val="28"/>
                              </w:rPr>
                              <w:t>请投标人务必提供本身份证复印件正面</w:t>
                            </w:r>
                            <w:r>
                              <w:rPr>
                                <w:rFonts w:ascii="宋体" w:hAnsi="宋体"/>
                                <w:b/>
                                <w:sz w:val="28"/>
                                <w:szCs w:val="28"/>
                              </w:rPr>
                              <w:t>)</w:t>
                            </w:r>
                          </w:p>
                          <w:p>
                            <w:pPr>
                              <w:jc w:val="center"/>
                              <w:rPr>
                                <w:szCs w:val="21"/>
                              </w:rPr>
                            </w:pPr>
                          </w:p>
                        </w:txbxContent>
                      </wps:txbx>
                      <wps:bodyPr rot="0" vert="horz" wrap="square" lIns="91440" tIns="45720" rIns="91440" bIns="45720" anchor="t" anchorCtr="0" upright="1">
                        <a:noAutofit/>
                      </wps:bodyPr>
                    </wps:wsp>
                  </a:graphicData>
                </a:graphic>
              </wp:anchor>
            </w:drawing>
          </mc:Choice>
          <mc:Fallback>
            <w:pict>
              <v:shape id="流程图: 可选过程 4" o:spid="_x0000_s1026" o:spt="176" type="#_x0000_t176" style="position:absolute;left:0pt;margin-left:-7.3pt;margin-top:6.1pt;height:143.35pt;width:286.1pt;z-index:251693056;mso-width-relative:page;mso-height-relative:page;" fillcolor="#FFFFFF" filled="t" stroked="t" coordsize="21600,21600" o:gfxdata="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DeRwvfYAAAA&#10;CgEAAA8AAAAAAAAAAQAgAAAAIgAAAGRycy9kb3ducmV2LnhtbFBLAQIUABQAAAAIAIdO4kAX0n1v&#10;VgIAAG4EAAAOAAAAAAAAAAEAIAAAACcBAABkcnMvZTJvRG9jLnhtbFBLBQYAAAAABgAGAFkBAADv&#10;BQAAAAA=&#10;">
                <v:fill on="t" focussize="0,0"/>
                <v:stroke color="#000000" miterlimit="8" joinstyle="miter"/>
                <v:imagedata o:title=""/>
                <o:lock v:ext="edit" aspectratio="f"/>
                <v:textbox>
                  <w:txbxContent>
                    <w:p>
                      <w:pPr>
                        <w:jc w:val="center"/>
                        <w:rPr>
                          <w:rFonts w:hAnsi="宋体"/>
                          <w:sz w:val="24"/>
                        </w:rPr>
                      </w:pPr>
                    </w:p>
                    <w:p>
                      <w:pPr>
                        <w:jc w:val="center"/>
                        <w:rPr>
                          <w:rFonts w:hAnsi="宋体"/>
                          <w:sz w:val="28"/>
                          <w:szCs w:val="28"/>
                        </w:rPr>
                      </w:pPr>
                      <w:r>
                        <w:rPr>
                          <w:rFonts w:hint="eastAsia" w:hAnsi="宋体"/>
                          <w:sz w:val="28"/>
                          <w:szCs w:val="28"/>
                        </w:rPr>
                        <w:t>法人授权代理人身份证复印件</w:t>
                      </w:r>
                      <w:r>
                        <w:rPr>
                          <w:rFonts w:hint="eastAsia"/>
                          <w:sz w:val="28"/>
                          <w:szCs w:val="28"/>
                        </w:rPr>
                        <w:t>贴于此处</w:t>
                      </w:r>
                    </w:p>
                    <w:p>
                      <w:pPr>
                        <w:jc w:val="center"/>
                        <w:rPr>
                          <w:rFonts w:hAnsi="宋体"/>
                          <w:sz w:val="28"/>
                          <w:szCs w:val="28"/>
                        </w:rPr>
                      </w:pPr>
                    </w:p>
                    <w:p>
                      <w:pPr>
                        <w:spacing w:line="500" w:lineRule="exact"/>
                        <w:jc w:val="center"/>
                        <w:rPr>
                          <w:rFonts w:ascii="宋体" w:hAnsi="宋体"/>
                          <w:b/>
                          <w:bCs/>
                          <w:color w:val="000000"/>
                          <w:sz w:val="28"/>
                          <w:szCs w:val="28"/>
                        </w:rPr>
                      </w:pPr>
                      <w:r>
                        <w:rPr>
                          <w:rFonts w:ascii="宋体" w:hAnsi="宋体"/>
                          <w:b/>
                          <w:sz w:val="28"/>
                          <w:szCs w:val="28"/>
                        </w:rPr>
                        <w:t>(</w:t>
                      </w:r>
                      <w:r>
                        <w:rPr>
                          <w:rFonts w:hint="eastAsia" w:ascii="宋体" w:hAnsi="宋体"/>
                          <w:b/>
                          <w:sz w:val="28"/>
                          <w:szCs w:val="28"/>
                        </w:rPr>
                        <w:t>请投标人务必提供本身份证复印件正面</w:t>
                      </w:r>
                      <w:r>
                        <w:rPr>
                          <w:rFonts w:ascii="宋体" w:hAnsi="宋体"/>
                          <w:b/>
                          <w:sz w:val="28"/>
                          <w:szCs w:val="28"/>
                        </w:rPr>
                        <w:t>)</w:t>
                      </w:r>
                    </w:p>
                    <w:p>
                      <w:pPr>
                        <w:jc w:val="center"/>
                        <w:rPr>
                          <w:szCs w:val="21"/>
                        </w:rPr>
                      </w:pPr>
                    </w:p>
                  </w:txbxContent>
                </v:textbox>
              </v:shape>
            </w:pict>
          </mc:Fallback>
        </mc:AlternateContent>
      </w:r>
    </w:p>
    <w:p>
      <w:pPr>
        <w:spacing w:line="360" w:lineRule="auto"/>
        <w:rPr>
          <w:rFonts w:ascii="宋体" w:hAnsi="宋体"/>
          <w:b/>
          <w:highlight w:val="none"/>
        </w:rPr>
      </w:pPr>
    </w:p>
    <w:p>
      <w:pPr>
        <w:spacing w:line="360" w:lineRule="auto"/>
        <w:rPr>
          <w:rFonts w:ascii="宋体" w:hAnsi="宋体"/>
          <w:b/>
          <w:highlight w:val="none"/>
        </w:rPr>
      </w:pPr>
    </w:p>
    <w:p>
      <w:pPr>
        <w:spacing w:line="360" w:lineRule="auto"/>
        <w:rPr>
          <w:rFonts w:ascii="宋体" w:hAnsi="宋体"/>
          <w:b/>
          <w:highlight w:val="none"/>
        </w:rPr>
      </w:pPr>
    </w:p>
    <w:p>
      <w:pPr>
        <w:spacing w:line="360" w:lineRule="auto"/>
        <w:rPr>
          <w:rFonts w:ascii="宋体" w:hAnsi="宋体"/>
          <w:b/>
          <w:highlight w:val="none"/>
        </w:rPr>
      </w:pPr>
    </w:p>
    <w:p>
      <w:pPr>
        <w:spacing w:line="360" w:lineRule="auto"/>
        <w:rPr>
          <w:rFonts w:ascii="宋体" w:hAnsi="宋体"/>
          <w:b/>
          <w:highlight w:val="none"/>
        </w:rPr>
      </w:pPr>
    </w:p>
    <w:p>
      <w:pPr>
        <w:spacing w:line="360" w:lineRule="auto"/>
        <w:rPr>
          <w:rFonts w:ascii="宋体" w:hAnsi="宋体"/>
          <w:b/>
          <w:highlight w:val="none"/>
        </w:rPr>
      </w:pPr>
    </w:p>
    <w:p>
      <w:pPr>
        <w:spacing w:line="360" w:lineRule="auto"/>
        <w:rPr>
          <w:rFonts w:ascii="宋体" w:hAnsi="宋体"/>
          <w:b/>
          <w:highlight w:val="none"/>
        </w:rPr>
      </w:pPr>
    </w:p>
    <w:p>
      <w:pPr>
        <w:spacing w:line="360" w:lineRule="auto"/>
        <w:rPr>
          <w:rFonts w:ascii="宋体" w:hAnsi="宋体"/>
          <w:b/>
          <w:highlight w:val="none"/>
        </w:rPr>
      </w:pPr>
      <w:r>
        <w:rPr>
          <w:highlight w:val="none"/>
        </w:rPr>
        <mc:AlternateContent>
          <mc:Choice Requires="wps">
            <w:drawing>
              <wp:anchor distT="0" distB="0" distL="114300" distR="114300" simplePos="0" relativeHeight="251699200" behindDoc="0" locked="0" layoutInCell="1" allowOverlap="1">
                <wp:simplePos x="0" y="0"/>
                <wp:positionH relativeFrom="column">
                  <wp:posOffset>-93980</wp:posOffset>
                </wp:positionH>
                <wp:positionV relativeFrom="paragraph">
                  <wp:posOffset>168275</wp:posOffset>
                </wp:positionV>
                <wp:extent cx="3617595" cy="1748790"/>
                <wp:effectExtent l="4445" t="4445" r="16510" b="18415"/>
                <wp:wrapNone/>
                <wp:docPr id="13" name="流程图: 可选过程 3"/>
                <wp:cNvGraphicFramePr/>
                <a:graphic xmlns:a="http://schemas.openxmlformats.org/drawingml/2006/main">
                  <a:graphicData uri="http://schemas.microsoft.com/office/word/2010/wordprocessingShape">
                    <wps:wsp>
                      <wps:cNvSpPr>
                        <a:spLocks noChangeArrowheads="1"/>
                      </wps:cNvSpPr>
                      <wps:spPr bwMode="auto">
                        <a:xfrm>
                          <a:off x="1168400" y="8328025"/>
                          <a:ext cx="3617595" cy="1621790"/>
                        </a:xfrm>
                        <a:prstGeom prst="flowChartAlternateProcess">
                          <a:avLst/>
                        </a:prstGeom>
                        <a:solidFill>
                          <a:srgbClr val="FFFFFF"/>
                        </a:solidFill>
                        <a:ln w="9525">
                          <a:solidFill>
                            <a:srgbClr val="000000"/>
                          </a:solidFill>
                          <a:miter lim="800000"/>
                        </a:ln>
                        <a:effectLst/>
                      </wps:spPr>
                      <wps:txbx>
                        <w:txbxContent>
                          <w:p>
                            <w:pPr>
                              <w:jc w:val="center"/>
                              <w:rPr>
                                <w:rFonts w:hAnsi="宋体"/>
                                <w:sz w:val="28"/>
                                <w:szCs w:val="28"/>
                              </w:rPr>
                            </w:pPr>
                            <w:r>
                              <w:rPr>
                                <w:rFonts w:hint="eastAsia" w:hAnsi="宋体"/>
                                <w:sz w:val="28"/>
                                <w:szCs w:val="28"/>
                              </w:rPr>
                              <w:t>法人授权代理人身份证复印件</w:t>
                            </w:r>
                            <w:r>
                              <w:rPr>
                                <w:rFonts w:hint="eastAsia"/>
                                <w:sz w:val="28"/>
                                <w:szCs w:val="28"/>
                              </w:rPr>
                              <w:t>贴于此处</w:t>
                            </w:r>
                          </w:p>
                          <w:p>
                            <w:pPr>
                              <w:jc w:val="center"/>
                              <w:rPr>
                                <w:rFonts w:hAnsi="宋体"/>
                                <w:sz w:val="28"/>
                                <w:szCs w:val="28"/>
                              </w:rPr>
                            </w:pPr>
                          </w:p>
                          <w:p>
                            <w:pPr>
                              <w:spacing w:line="500" w:lineRule="exact"/>
                              <w:jc w:val="center"/>
                              <w:rPr>
                                <w:rFonts w:ascii="宋体" w:hAnsi="宋体"/>
                                <w:b/>
                                <w:bCs/>
                                <w:color w:val="000000"/>
                                <w:sz w:val="28"/>
                                <w:szCs w:val="28"/>
                              </w:rPr>
                            </w:pPr>
                            <w:r>
                              <w:rPr>
                                <w:rFonts w:ascii="宋体" w:hAnsi="宋体"/>
                                <w:b/>
                                <w:sz w:val="28"/>
                                <w:szCs w:val="28"/>
                              </w:rPr>
                              <w:t>(</w:t>
                            </w:r>
                            <w:r>
                              <w:rPr>
                                <w:rFonts w:hint="eastAsia" w:ascii="宋体" w:hAnsi="宋体"/>
                                <w:b/>
                                <w:sz w:val="28"/>
                                <w:szCs w:val="28"/>
                              </w:rPr>
                              <w:t>请投标人务必提供本身份证复印件背面</w:t>
                            </w:r>
                            <w:r>
                              <w:rPr>
                                <w:rFonts w:ascii="宋体" w:hAnsi="宋体"/>
                                <w:b/>
                                <w:sz w:val="28"/>
                                <w:szCs w:val="28"/>
                              </w:rPr>
                              <w:t>)</w:t>
                            </w:r>
                          </w:p>
                          <w:p>
                            <w:pPr>
                              <w:jc w:val="center"/>
                              <w:rPr>
                                <w:szCs w:val="21"/>
                              </w:rPr>
                            </w:pPr>
                          </w:p>
                        </w:txbxContent>
                      </wps:txbx>
                      <wps:bodyPr rot="0" vert="horz" wrap="square" lIns="91440" tIns="45720" rIns="91440" bIns="45720" anchor="t" anchorCtr="0" upright="1">
                        <a:noAutofit/>
                      </wps:bodyPr>
                    </wps:wsp>
                  </a:graphicData>
                </a:graphic>
              </wp:anchor>
            </w:drawing>
          </mc:Choice>
          <mc:Fallback>
            <w:pict>
              <v:shape id="流程图: 可选过程 3" o:spid="_x0000_s1026" o:spt="176" type="#_x0000_t176" style="position:absolute;left:0pt;margin-left:-7.4pt;margin-top:13.25pt;height:137.7pt;width:284.85pt;z-index:251699200;mso-width-relative:page;mso-height-relative:page;" fillcolor="#FFFFFF" filled="t" stroked="t" coordsize="21600,21600" o:gfxdata="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N7GudHZAAAA&#10;CgEAAA8AAAAAAAAAAQAgAAAAIgAAAGRycy9kb3ducmV2LnhtbFBLAQIUABQAAAAIAIdO4kDH+vCI&#10;VQIAAG4EAAAOAAAAAAAAAAEAIAAAACgBAABkcnMvZTJvRG9jLnhtbFBLBQYAAAAABgAGAFkBAADv&#10;BQAAAAA=&#10;">
                <v:fill on="t" focussize="0,0"/>
                <v:stroke color="#000000" miterlimit="8" joinstyle="miter"/>
                <v:imagedata o:title=""/>
                <o:lock v:ext="edit" aspectratio="f"/>
                <v:textbox>
                  <w:txbxContent>
                    <w:p>
                      <w:pPr>
                        <w:jc w:val="center"/>
                        <w:rPr>
                          <w:rFonts w:hAnsi="宋体"/>
                          <w:sz w:val="28"/>
                          <w:szCs w:val="28"/>
                        </w:rPr>
                      </w:pPr>
                      <w:r>
                        <w:rPr>
                          <w:rFonts w:hint="eastAsia" w:hAnsi="宋体"/>
                          <w:sz w:val="28"/>
                          <w:szCs w:val="28"/>
                        </w:rPr>
                        <w:t>法人授权代理人身份证复印件</w:t>
                      </w:r>
                      <w:r>
                        <w:rPr>
                          <w:rFonts w:hint="eastAsia"/>
                          <w:sz w:val="28"/>
                          <w:szCs w:val="28"/>
                        </w:rPr>
                        <w:t>贴于此处</w:t>
                      </w:r>
                    </w:p>
                    <w:p>
                      <w:pPr>
                        <w:jc w:val="center"/>
                        <w:rPr>
                          <w:rFonts w:hAnsi="宋体"/>
                          <w:sz w:val="28"/>
                          <w:szCs w:val="28"/>
                        </w:rPr>
                      </w:pPr>
                    </w:p>
                    <w:p>
                      <w:pPr>
                        <w:spacing w:line="500" w:lineRule="exact"/>
                        <w:jc w:val="center"/>
                        <w:rPr>
                          <w:rFonts w:ascii="宋体" w:hAnsi="宋体"/>
                          <w:b/>
                          <w:bCs/>
                          <w:color w:val="000000"/>
                          <w:sz w:val="28"/>
                          <w:szCs w:val="28"/>
                        </w:rPr>
                      </w:pPr>
                      <w:r>
                        <w:rPr>
                          <w:rFonts w:ascii="宋体" w:hAnsi="宋体"/>
                          <w:b/>
                          <w:sz w:val="28"/>
                          <w:szCs w:val="28"/>
                        </w:rPr>
                        <w:t>(</w:t>
                      </w:r>
                      <w:r>
                        <w:rPr>
                          <w:rFonts w:hint="eastAsia" w:ascii="宋体" w:hAnsi="宋体"/>
                          <w:b/>
                          <w:sz w:val="28"/>
                          <w:szCs w:val="28"/>
                        </w:rPr>
                        <w:t>请投标人务必提供本身份证复印件背面</w:t>
                      </w:r>
                      <w:r>
                        <w:rPr>
                          <w:rFonts w:ascii="宋体" w:hAnsi="宋体"/>
                          <w:b/>
                          <w:sz w:val="28"/>
                          <w:szCs w:val="28"/>
                        </w:rPr>
                        <w:t>)</w:t>
                      </w:r>
                    </w:p>
                    <w:p>
                      <w:pPr>
                        <w:jc w:val="center"/>
                        <w:rPr>
                          <w:szCs w:val="21"/>
                        </w:rPr>
                      </w:pPr>
                    </w:p>
                  </w:txbxContent>
                </v:textbox>
              </v:shape>
            </w:pict>
          </mc:Fallback>
        </mc:AlternateContent>
      </w:r>
    </w:p>
    <w:p>
      <w:pPr>
        <w:spacing w:line="360" w:lineRule="auto"/>
        <w:rPr>
          <w:rFonts w:ascii="宋体" w:hAnsi="宋体"/>
          <w:b/>
          <w:highlight w:val="none"/>
        </w:rPr>
      </w:pPr>
    </w:p>
    <w:p>
      <w:pPr>
        <w:spacing w:line="360" w:lineRule="auto"/>
        <w:rPr>
          <w:rFonts w:ascii="宋体" w:hAnsi="宋体"/>
          <w:b/>
          <w:highlight w:val="none"/>
        </w:rPr>
      </w:pPr>
    </w:p>
    <w:p>
      <w:pPr>
        <w:spacing w:line="360" w:lineRule="auto"/>
        <w:rPr>
          <w:rFonts w:ascii="宋体" w:hAnsi="宋体"/>
          <w:b/>
          <w:highlight w:val="none"/>
        </w:rPr>
      </w:pPr>
    </w:p>
    <w:p>
      <w:pPr>
        <w:spacing w:line="360" w:lineRule="auto"/>
        <w:rPr>
          <w:rFonts w:ascii="宋体" w:hAnsi="宋体"/>
          <w:b/>
          <w:highlight w:val="none"/>
        </w:rPr>
      </w:pPr>
    </w:p>
    <w:p>
      <w:pPr>
        <w:spacing w:line="360" w:lineRule="auto"/>
        <w:rPr>
          <w:rFonts w:ascii="宋体" w:hAnsi="宋体"/>
          <w:b/>
          <w:highlight w:val="none"/>
        </w:rPr>
      </w:pPr>
    </w:p>
    <w:p>
      <w:pPr>
        <w:spacing w:line="360" w:lineRule="auto"/>
        <w:rPr>
          <w:rFonts w:ascii="宋体" w:hAnsi="宋体"/>
          <w:b/>
          <w:highlight w:val="none"/>
        </w:rPr>
      </w:pPr>
    </w:p>
    <w:p>
      <w:pPr>
        <w:spacing w:line="360" w:lineRule="auto"/>
        <w:rPr>
          <w:rFonts w:ascii="宋体" w:hAnsi="宋体"/>
          <w:b/>
          <w:highlight w:val="none"/>
        </w:rPr>
      </w:pPr>
    </w:p>
    <w:p>
      <w:pPr>
        <w:rPr>
          <w:rFonts w:ascii="宋体" w:hAnsi="宋体"/>
          <w:b/>
          <w:highlight w:val="none"/>
        </w:rPr>
      </w:pPr>
      <w:r>
        <w:rPr>
          <w:rFonts w:hint="eastAsia" w:ascii="宋体" w:hAnsi="宋体"/>
          <w:b/>
          <w:highlight w:val="none"/>
        </w:rPr>
        <w:t>注：授权委托书亦可采用工商行政管理局统一制订的格式。</w:t>
      </w:r>
    </w:p>
    <w:p>
      <w:pPr>
        <w:jc w:val="left"/>
        <w:rPr>
          <w:rFonts w:ascii="黑体" w:hAnsi="黑体" w:eastAsia="黑体"/>
          <w:b/>
          <w:sz w:val="24"/>
          <w:highlight w:val="none"/>
        </w:rPr>
      </w:pPr>
      <w:bookmarkStart w:id="470" w:name="_Toc398839797"/>
      <w:bookmarkStart w:id="471" w:name="_Toc403131969"/>
      <w:r>
        <w:rPr>
          <w:rFonts w:hint="eastAsia" w:ascii="黑体" w:hAnsi="黑体" w:eastAsia="黑体"/>
          <w:b/>
          <w:sz w:val="24"/>
          <w:highlight w:val="none"/>
        </w:rPr>
        <w:t>格式5：承诺书</w:t>
      </w:r>
    </w:p>
    <w:p>
      <w:pPr>
        <w:jc w:val="center"/>
        <w:rPr>
          <w:b/>
          <w:sz w:val="24"/>
          <w:highlight w:val="none"/>
        </w:rPr>
      </w:pPr>
      <w:r>
        <w:rPr>
          <w:rFonts w:hint="eastAsia"/>
          <w:b/>
          <w:sz w:val="24"/>
          <w:highlight w:val="none"/>
        </w:rPr>
        <w:t>投标承诺书</w:t>
      </w:r>
      <w:bookmarkEnd w:id="470"/>
      <w:bookmarkEnd w:id="471"/>
    </w:p>
    <w:p>
      <w:pPr>
        <w:spacing w:line="360" w:lineRule="auto"/>
        <w:rPr>
          <w:rFonts w:ascii="宋体" w:hAnsi="宋体"/>
          <w:highlight w:val="none"/>
        </w:rPr>
      </w:pPr>
    </w:p>
    <w:p>
      <w:pPr>
        <w:spacing w:line="360" w:lineRule="auto"/>
        <w:rPr>
          <w:rFonts w:ascii="宋体" w:hAnsi="宋体"/>
          <w:szCs w:val="30"/>
          <w:highlight w:val="none"/>
        </w:rPr>
      </w:pPr>
      <w:r>
        <w:rPr>
          <w:rFonts w:hint="eastAsia" w:ascii="宋体" w:hAnsi="宋体"/>
          <w:highlight w:val="none"/>
        </w:rPr>
        <w:t>致：</w:t>
      </w:r>
      <w:r>
        <w:rPr>
          <w:rFonts w:hint="eastAsia" w:ascii="宋体" w:hAnsi="宋体"/>
          <w:highlight w:val="none"/>
          <w:u w:val="single"/>
        </w:rPr>
        <w:t>佛山市恒益环保建材有限公司</w:t>
      </w:r>
    </w:p>
    <w:p>
      <w:pPr>
        <w:spacing w:line="360" w:lineRule="auto"/>
        <w:ind w:firstLine="390" w:firstLineChars="186"/>
        <w:rPr>
          <w:rFonts w:ascii="宋体" w:hAnsi="宋体"/>
          <w:highlight w:val="none"/>
        </w:rPr>
      </w:pPr>
      <w:r>
        <w:rPr>
          <w:rFonts w:hint="eastAsia" w:ascii="宋体" w:hAnsi="宋体"/>
          <w:highlight w:val="none"/>
        </w:rPr>
        <w:t>根据你们第</w:t>
      </w:r>
      <w:r>
        <w:rPr>
          <w:rFonts w:hint="eastAsia" w:ascii="宋体" w:hAnsi="宋体"/>
          <w:highlight w:val="none"/>
          <w:u w:val="single"/>
        </w:rPr>
        <w:t>（招标编号）</w:t>
      </w:r>
      <w:r>
        <w:rPr>
          <w:rFonts w:hint="eastAsia" w:ascii="宋体" w:hAnsi="宋体"/>
          <w:highlight w:val="none"/>
        </w:rPr>
        <w:t>号</w:t>
      </w:r>
      <w:r>
        <w:rPr>
          <w:rFonts w:hint="eastAsia" w:ascii="宋体" w:hAnsi="宋体"/>
          <w:highlight w:val="none"/>
          <w:u w:val="single"/>
        </w:rPr>
        <w:t>佛山市恒益环保建材有限公司加气砌块生产辅助业务外项目</w:t>
      </w:r>
      <w:r>
        <w:rPr>
          <w:rFonts w:hint="eastAsia" w:ascii="宋体" w:hAnsi="宋体"/>
          <w:highlight w:val="none"/>
        </w:rPr>
        <w:t>的招标文件要求，</w:t>
      </w:r>
      <w:r>
        <w:rPr>
          <w:rFonts w:hint="eastAsia" w:ascii="宋体" w:hAnsi="宋体"/>
          <w:highlight w:val="none"/>
          <w:u w:val="single"/>
        </w:rPr>
        <w:t xml:space="preserve">  （全名及职衔）</w:t>
      </w:r>
      <w:r>
        <w:rPr>
          <w:rFonts w:hint="eastAsia" w:ascii="宋体" w:hAnsi="宋体"/>
          <w:highlight w:val="none"/>
        </w:rPr>
        <w:t>经正式授权并以投标人为</w:t>
      </w:r>
      <w:r>
        <w:rPr>
          <w:rFonts w:hint="eastAsia" w:ascii="宋体" w:hAnsi="宋体"/>
          <w:highlight w:val="none"/>
          <w:u w:val="single"/>
        </w:rPr>
        <w:t>（投标人名称）</w:t>
      </w:r>
      <w:r>
        <w:rPr>
          <w:rFonts w:hint="eastAsia" w:ascii="宋体" w:hAnsi="宋体"/>
          <w:highlight w:val="none"/>
        </w:rPr>
        <w:t>的名义投标。提交投标文件：1份正本（含电子文件</w:t>
      </w:r>
      <w:r>
        <w:rPr>
          <w:rFonts w:hint="eastAsia" w:ascii="宋体" w:hAnsi="宋体"/>
          <w:highlight w:val="none"/>
          <w:u w:val="single"/>
        </w:rPr>
        <w:t>两</w:t>
      </w:r>
      <w:r>
        <w:rPr>
          <w:rFonts w:hint="eastAsia" w:ascii="宋体" w:hAnsi="宋体"/>
          <w:highlight w:val="none"/>
        </w:rPr>
        <w:t>套），</w:t>
      </w:r>
      <w:r>
        <w:rPr>
          <w:rFonts w:hint="eastAsia" w:ascii="宋体" w:hAnsi="宋体"/>
          <w:highlight w:val="none"/>
          <w:u w:val="single"/>
        </w:rPr>
        <w:t>4</w:t>
      </w:r>
      <w:r>
        <w:rPr>
          <w:rFonts w:hint="eastAsia" w:ascii="宋体" w:hAnsi="宋体"/>
          <w:highlight w:val="none"/>
        </w:rPr>
        <w:t>份副本。</w:t>
      </w:r>
    </w:p>
    <w:p>
      <w:pPr>
        <w:spacing w:line="360" w:lineRule="auto"/>
        <w:ind w:firstLine="315" w:firstLineChars="150"/>
        <w:rPr>
          <w:rFonts w:ascii="宋体" w:hAnsi="宋体"/>
          <w:highlight w:val="none"/>
        </w:rPr>
      </w:pPr>
      <w:r>
        <w:rPr>
          <w:rFonts w:hint="eastAsia" w:ascii="宋体" w:hAnsi="宋体"/>
          <w:highlight w:val="none"/>
        </w:rPr>
        <w:t>签字代表在此声明并同意：</w:t>
      </w:r>
    </w:p>
    <w:p>
      <w:pPr>
        <w:spacing w:line="360" w:lineRule="auto"/>
        <w:ind w:firstLine="315" w:firstLineChars="150"/>
        <w:rPr>
          <w:rFonts w:ascii="宋体" w:hAnsi="宋体"/>
          <w:highlight w:val="none"/>
        </w:rPr>
      </w:pPr>
      <w:r>
        <w:rPr>
          <w:rFonts w:hint="eastAsia" w:ascii="宋体" w:hAnsi="宋体"/>
          <w:highlight w:val="none"/>
        </w:rPr>
        <w:t>1、我们愿意遵守招标文件的各项规定，提供符合“招标文件”所要求的资料。</w:t>
      </w:r>
      <w:r>
        <w:rPr>
          <w:rFonts w:hint="eastAsia" w:ascii="宋体" w:hAnsi="宋体"/>
          <w:szCs w:val="21"/>
          <w:highlight w:val="none"/>
        </w:rPr>
        <w:t>业务外包期限为：</w:t>
      </w:r>
      <w:r>
        <w:rPr>
          <w:rFonts w:hint="eastAsia" w:ascii="宋体" w:hAnsi="宋体"/>
          <w:highlight w:val="none"/>
          <w:u w:val="single"/>
        </w:rPr>
        <w:t>24个月，</w:t>
      </w:r>
      <w:r>
        <w:rPr>
          <w:rFonts w:hint="eastAsia" w:ascii="宋体" w:hAnsi="宋体"/>
          <w:highlight w:val="none"/>
        </w:rPr>
        <w:t>。</w:t>
      </w:r>
    </w:p>
    <w:p>
      <w:pPr>
        <w:spacing w:line="360" w:lineRule="auto"/>
        <w:ind w:firstLine="315" w:firstLineChars="150"/>
        <w:rPr>
          <w:rFonts w:ascii="宋体" w:hAnsi="宋体"/>
          <w:highlight w:val="none"/>
        </w:rPr>
      </w:pPr>
      <w:r>
        <w:rPr>
          <w:rFonts w:hint="eastAsia" w:ascii="宋体" w:hAnsi="宋体"/>
          <w:highlight w:val="none"/>
        </w:rPr>
        <w:t>2、我们同意本投标自投标截止之日起120天内有效。如果我们的投标被接受，则直至合同生效时止，本投标始终有效。</w:t>
      </w:r>
    </w:p>
    <w:p>
      <w:pPr>
        <w:spacing w:line="360" w:lineRule="auto"/>
        <w:ind w:firstLine="315" w:firstLineChars="150"/>
        <w:rPr>
          <w:rFonts w:ascii="宋体" w:hAnsi="宋体"/>
          <w:highlight w:val="none"/>
        </w:rPr>
      </w:pPr>
      <w:r>
        <w:rPr>
          <w:rFonts w:hint="eastAsia" w:ascii="宋体" w:hAnsi="宋体"/>
          <w:highlight w:val="none"/>
        </w:rPr>
        <w:t>3、我们已经详细地阅读了全部招标文件及附件，包括澄清及参考文件（如果有的话），我们完全理解并同意放弃对这方面有不明及误解的权利。</w:t>
      </w:r>
    </w:p>
    <w:p>
      <w:pPr>
        <w:spacing w:line="360" w:lineRule="auto"/>
        <w:ind w:firstLine="315" w:firstLineChars="150"/>
        <w:rPr>
          <w:rFonts w:ascii="宋体" w:hAnsi="宋体"/>
          <w:highlight w:val="none"/>
        </w:rPr>
      </w:pPr>
      <w:r>
        <w:rPr>
          <w:rFonts w:hint="eastAsia" w:ascii="宋体" w:hAnsi="宋体"/>
          <w:highlight w:val="none"/>
        </w:rPr>
        <w:t>4、本投标人如果中标，将保证履行招标文件以及招标文件澄清修改文件（如果有的话）中的全部责任和义务，按质、按量、按期全面履行《合同书》中的全部责任和义务。</w:t>
      </w:r>
    </w:p>
    <w:p>
      <w:pPr>
        <w:spacing w:line="360" w:lineRule="auto"/>
        <w:ind w:firstLine="315" w:firstLineChars="150"/>
        <w:rPr>
          <w:rFonts w:ascii="宋体" w:hAnsi="宋体"/>
          <w:highlight w:val="none"/>
        </w:rPr>
      </w:pPr>
      <w:r>
        <w:rPr>
          <w:rFonts w:hint="eastAsia" w:ascii="宋体" w:hAnsi="宋体"/>
          <w:highlight w:val="none"/>
        </w:rPr>
        <w:t>5、</w:t>
      </w:r>
      <w:r>
        <w:rPr>
          <w:rFonts w:hint="eastAsia" w:ascii="宋体" w:hAnsi="宋体"/>
          <w:szCs w:val="21"/>
          <w:highlight w:val="none"/>
        </w:rPr>
        <w:t>本投标人如果中标，将按照招标人招标范围提供业务承包工作，并保证各项工作符合招标文件的要求。</w:t>
      </w:r>
    </w:p>
    <w:p>
      <w:pPr>
        <w:spacing w:line="360" w:lineRule="auto"/>
        <w:ind w:firstLine="315" w:firstLineChars="150"/>
        <w:rPr>
          <w:rFonts w:ascii="宋体" w:hAnsi="宋体"/>
          <w:highlight w:val="none"/>
        </w:rPr>
      </w:pPr>
      <w:r>
        <w:rPr>
          <w:rFonts w:hint="eastAsia" w:ascii="宋体" w:hAnsi="宋体"/>
          <w:highlight w:val="none"/>
        </w:rPr>
        <w:t>6、</w:t>
      </w:r>
      <w:r>
        <w:rPr>
          <w:rFonts w:hint="eastAsia" w:ascii="宋体" w:hAnsi="宋体"/>
          <w:szCs w:val="21"/>
          <w:highlight w:val="none"/>
        </w:rPr>
        <w:t>在合同执行过程中，由于投标人的原因，若投标人不能履行、或者有事实和行为表明投标人不能履行合同中相关义务时，招标单位有权选择与投标人解除合同，同时有权要求投标人按合同的有关条款的要求予以经济赔偿，并负相应的经济和法律责任，赔偿款从合同履约保证金中扣除，不足部分负责补足。</w:t>
      </w:r>
    </w:p>
    <w:p>
      <w:pPr>
        <w:spacing w:line="360" w:lineRule="auto"/>
        <w:ind w:firstLine="315" w:firstLineChars="150"/>
        <w:rPr>
          <w:rFonts w:ascii="宋体" w:hAnsi="宋体"/>
          <w:highlight w:val="none"/>
        </w:rPr>
      </w:pPr>
      <w:r>
        <w:rPr>
          <w:rFonts w:hint="eastAsia" w:ascii="宋体" w:hAnsi="宋体"/>
          <w:highlight w:val="none"/>
        </w:rPr>
        <w:t>7、</w:t>
      </w:r>
      <w:r>
        <w:rPr>
          <w:rFonts w:hint="eastAsia" w:ascii="宋体" w:hAnsi="宋体"/>
          <w:szCs w:val="21"/>
          <w:highlight w:val="none"/>
        </w:rPr>
        <w:t>投标人的投标总报价已考虑到了项目承包具体实施和合同执行过程中的各种不确定因素以及由这些不确定因素所引起的经济和其他风险，并已在投标总报价中考虑了一定的风险系数，如不可预见费。</w:t>
      </w:r>
    </w:p>
    <w:p>
      <w:pPr>
        <w:spacing w:line="360" w:lineRule="auto"/>
        <w:ind w:firstLine="315" w:firstLineChars="150"/>
        <w:rPr>
          <w:rFonts w:ascii="宋体" w:hAnsi="宋体"/>
          <w:highlight w:val="none"/>
        </w:rPr>
      </w:pPr>
      <w:r>
        <w:rPr>
          <w:rFonts w:hint="eastAsia" w:ascii="宋体" w:hAnsi="宋体"/>
          <w:highlight w:val="none"/>
        </w:rPr>
        <w:t>8、投标人的工程建设投标总报价已考虑到了工程实施和合同执行过程中的各种不确定因素以及由这些不确定因素所引起的经济和其他风险，并已在投标总报价中考虑了一定的风险系数，如不可预见费。</w:t>
      </w:r>
    </w:p>
    <w:p>
      <w:pPr>
        <w:spacing w:line="360" w:lineRule="auto"/>
        <w:ind w:firstLine="315" w:firstLineChars="150"/>
        <w:rPr>
          <w:rFonts w:ascii="宋体" w:hAnsi="宋体"/>
          <w:highlight w:val="none"/>
        </w:rPr>
      </w:pPr>
      <w:r>
        <w:rPr>
          <w:rFonts w:hint="eastAsia" w:ascii="宋体" w:hAnsi="宋体"/>
          <w:highlight w:val="none"/>
        </w:rPr>
        <w:t>9、</w:t>
      </w:r>
      <w:r>
        <w:rPr>
          <w:rFonts w:hint="eastAsia" w:ascii="宋体" w:hAnsi="宋体"/>
          <w:szCs w:val="21"/>
          <w:highlight w:val="none"/>
        </w:rPr>
        <w:t>我们同意提供招标单位要求的有关投标的其他资料。</w:t>
      </w:r>
    </w:p>
    <w:p>
      <w:pPr>
        <w:spacing w:line="360" w:lineRule="auto"/>
        <w:ind w:firstLine="315" w:firstLineChars="150"/>
        <w:rPr>
          <w:rFonts w:ascii="宋体" w:hAnsi="宋体"/>
          <w:highlight w:val="none"/>
        </w:rPr>
      </w:pPr>
      <w:r>
        <w:rPr>
          <w:rFonts w:hint="eastAsia" w:ascii="宋体" w:hAnsi="宋体"/>
          <w:highlight w:val="none"/>
        </w:rPr>
        <w:t>10、</w:t>
      </w:r>
      <w:r>
        <w:rPr>
          <w:rFonts w:hint="eastAsia" w:ascii="宋体" w:hAnsi="宋体"/>
          <w:szCs w:val="21"/>
          <w:highlight w:val="none"/>
        </w:rPr>
        <w:t>我司承诺：</w:t>
      </w:r>
      <w:r>
        <w:rPr>
          <w:rFonts w:hint="eastAsia" w:cs="宋体"/>
          <w:kern w:val="0"/>
          <w:szCs w:val="21"/>
          <w:highlight w:val="none"/>
          <w:lang w:val="zh-CN"/>
        </w:rPr>
        <w:t>我司具有</w:t>
      </w:r>
      <w:r>
        <w:rPr>
          <w:rFonts w:hint="eastAsia" w:ascii="宋体" w:hAnsi="宋体"/>
          <w:szCs w:val="21"/>
          <w:highlight w:val="none"/>
        </w:rPr>
        <w:t>良好的银行资信和商业信誉；近三年所承办的同类项目未因自身原因出现过事故；近三年在国内同类项目招投标活动、合同履行、售后服务及产品运行过程中，未受到地市级及以上部门公开通报批评</w:t>
      </w:r>
      <w:r>
        <w:rPr>
          <w:rFonts w:asciiTheme="minorEastAsia" w:hAnsiTheme="minorEastAsia" w:eastAsiaTheme="minorEastAsia"/>
          <w:szCs w:val="21"/>
          <w:highlight w:val="none"/>
        </w:rPr>
        <w:t>；</w:t>
      </w:r>
      <w:r>
        <w:rPr>
          <w:rFonts w:hint="eastAsia" w:cs="宋体"/>
          <w:kern w:val="0"/>
          <w:szCs w:val="21"/>
          <w:highlight w:val="none"/>
          <w:lang w:val="zh-CN"/>
        </w:rPr>
        <w:t>目前没有处于被责令停业或破产状态，且资产未被重组、接管和冻结，没有处于重大诉讼或仲裁，且财务状况良好，对外没有重大债权债务纠纷。如我司在投标或履行合同阶段，出现与上述承诺不符情况，造成贵公司损失的，我司愿意承担相关法律责任。</w:t>
      </w:r>
    </w:p>
    <w:p>
      <w:pPr>
        <w:spacing w:line="360" w:lineRule="auto"/>
        <w:ind w:firstLine="315" w:firstLineChars="150"/>
        <w:rPr>
          <w:rFonts w:ascii="宋体" w:hAnsi="宋体"/>
          <w:highlight w:val="none"/>
        </w:rPr>
      </w:pPr>
      <w:r>
        <w:rPr>
          <w:rFonts w:hint="eastAsia" w:ascii="宋体" w:hAnsi="宋体"/>
          <w:highlight w:val="none"/>
        </w:rPr>
        <w:t>11、我们理解,招标单位与评标委员会并无义务必须接受最低报价的投标或其他任何投标。</w:t>
      </w:r>
    </w:p>
    <w:p>
      <w:pPr>
        <w:spacing w:line="360" w:lineRule="auto"/>
        <w:ind w:firstLine="315" w:firstLineChars="150"/>
        <w:rPr>
          <w:rFonts w:ascii="宋体" w:hAnsi="宋体"/>
          <w:highlight w:val="none"/>
        </w:rPr>
      </w:pPr>
      <w:r>
        <w:rPr>
          <w:rFonts w:hint="eastAsia" w:ascii="宋体" w:hAnsi="宋体"/>
          <w:highlight w:val="none"/>
        </w:rPr>
        <w:t>12、所有有关本次投标的函电请寄：</w:t>
      </w:r>
    </w:p>
    <w:p>
      <w:pPr>
        <w:spacing w:line="360" w:lineRule="auto"/>
        <w:ind w:left="448"/>
        <w:rPr>
          <w:rFonts w:ascii="宋体" w:hAnsi="宋体"/>
          <w:highlight w:val="none"/>
        </w:rPr>
      </w:pPr>
    </w:p>
    <w:p>
      <w:pPr>
        <w:spacing w:line="480" w:lineRule="auto"/>
        <w:ind w:left="420" w:leftChars="200" w:firstLine="420" w:firstLineChars="200"/>
        <w:rPr>
          <w:rFonts w:ascii="宋体" w:hAnsi="宋体"/>
          <w:highlight w:val="none"/>
          <w:u w:val="single"/>
        </w:rPr>
      </w:pPr>
      <w:r>
        <w:rPr>
          <w:rFonts w:hint="eastAsia" w:ascii="宋体" w:hAnsi="宋体"/>
          <w:highlight w:val="none"/>
        </w:rPr>
        <w:t>法定代表人或其委托代理人（签章）：</w:t>
      </w:r>
    </w:p>
    <w:p>
      <w:pPr>
        <w:spacing w:line="480" w:lineRule="auto"/>
        <w:ind w:left="420" w:leftChars="200" w:firstLine="420" w:firstLineChars="200"/>
        <w:rPr>
          <w:rFonts w:ascii="宋体" w:hAnsi="宋体"/>
          <w:highlight w:val="none"/>
        </w:rPr>
      </w:pPr>
      <w:r>
        <w:rPr>
          <w:rFonts w:hint="eastAsia" w:ascii="宋体" w:hAnsi="宋体"/>
          <w:highlight w:val="none"/>
        </w:rPr>
        <w:t>职      务：</w:t>
      </w:r>
    </w:p>
    <w:p>
      <w:pPr>
        <w:spacing w:line="480" w:lineRule="auto"/>
        <w:ind w:left="420" w:leftChars="200" w:firstLine="420" w:firstLineChars="200"/>
        <w:rPr>
          <w:rFonts w:ascii="宋体" w:hAnsi="宋体"/>
          <w:highlight w:val="none"/>
          <w:u w:val="single"/>
        </w:rPr>
      </w:pPr>
      <w:r>
        <w:rPr>
          <w:rFonts w:hint="eastAsia" w:ascii="宋体" w:hAnsi="宋体"/>
          <w:highlight w:val="none"/>
        </w:rPr>
        <w:t>投标人名称：</w:t>
      </w:r>
      <w:r>
        <w:rPr>
          <w:rFonts w:hint="eastAsia" w:ascii="宋体" w:hAnsi="宋体"/>
          <w:highlight w:val="none"/>
          <w:u w:val="single"/>
        </w:rPr>
        <w:t xml:space="preserve"> （公章）                               </w:t>
      </w:r>
    </w:p>
    <w:p>
      <w:pPr>
        <w:ind w:firstLine="840" w:firstLineChars="400"/>
        <w:rPr>
          <w:rFonts w:ascii="宋体" w:hAnsi="宋体"/>
          <w:b/>
          <w:highlight w:val="none"/>
        </w:rPr>
      </w:pPr>
      <w:r>
        <w:rPr>
          <w:rFonts w:hint="eastAsia" w:ascii="宋体" w:hAnsi="宋体"/>
          <w:highlight w:val="none"/>
        </w:rPr>
        <w:t>电话：   传真： 邮编：</w:t>
      </w:r>
    </w:p>
    <w:p>
      <w:pPr>
        <w:pStyle w:val="3"/>
        <w:numPr>
          <w:ilvl w:val="0"/>
          <w:numId w:val="0"/>
        </w:numPr>
        <w:snapToGrid w:val="0"/>
        <w:spacing w:before="120" w:after="120"/>
        <w:jc w:val="left"/>
        <w:rPr>
          <w:rFonts w:ascii="宋体" w:hAnsi="宋体"/>
          <w:b w:val="0"/>
          <w:highlight w:val="none"/>
        </w:rPr>
      </w:pPr>
      <w:r>
        <w:rPr>
          <w:rFonts w:ascii="宋体" w:hAnsi="宋体"/>
          <w:b w:val="0"/>
          <w:highlight w:val="none"/>
        </w:rPr>
        <w:br w:type="page"/>
      </w:r>
    </w:p>
    <w:p>
      <w:pPr>
        <w:jc w:val="left"/>
        <w:rPr>
          <w:rFonts w:ascii="黑体" w:hAnsi="黑体" w:eastAsia="黑体"/>
          <w:b/>
          <w:sz w:val="24"/>
          <w:highlight w:val="none"/>
        </w:rPr>
      </w:pPr>
      <w:bookmarkStart w:id="472" w:name="_Toc489230115"/>
      <w:bookmarkStart w:id="473" w:name="_Toc501919562"/>
      <w:bookmarkStart w:id="474" w:name="_Toc502759852"/>
      <w:bookmarkStart w:id="475" w:name="_Toc8133596"/>
      <w:bookmarkStart w:id="476" w:name="_Toc534757707"/>
      <w:r>
        <w:rPr>
          <w:rFonts w:hint="eastAsia" w:ascii="黑体" w:hAnsi="黑体" w:eastAsia="黑体"/>
          <w:b/>
          <w:sz w:val="24"/>
          <w:highlight w:val="none"/>
        </w:rPr>
        <w:t>格式</w:t>
      </w:r>
      <w:r>
        <w:rPr>
          <w:rFonts w:ascii="黑体" w:hAnsi="黑体" w:eastAsia="黑体"/>
          <w:b/>
          <w:sz w:val="24"/>
          <w:highlight w:val="none"/>
        </w:rPr>
        <w:t>6</w:t>
      </w:r>
      <w:r>
        <w:rPr>
          <w:rFonts w:hint="eastAsia" w:ascii="黑体" w:hAnsi="黑体" w:eastAsia="黑体"/>
          <w:b/>
          <w:sz w:val="24"/>
          <w:highlight w:val="none"/>
        </w:rPr>
        <w:t>：资格审查资料</w:t>
      </w:r>
      <w:bookmarkEnd w:id="472"/>
      <w:bookmarkEnd w:id="473"/>
      <w:bookmarkEnd w:id="474"/>
      <w:bookmarkEnd w:id="475"/>
      <w:bookmarkEnd w:id="476"/>
    </w:p>
    <w:p>
      <w:pPr>
        <w:spacing w:line="360" w:lineRule="auto"/>
        <w:ind w:firstLine="420" w:firstLineChars="200"/>
        <w:rPr>
          <w:rFonts w:hAnsi="宋体"/>
          <w:szCs w:val="21"/>
          <w:highlight w:val="none"/>
        </w:rPr>
      </w:pPr>
    </w:p>
    <w:p>
      <w:pPr>
        <w:pStyle w:val="22"/>
        <w:spacing w:after="120" w:line="360" w:lineRule="auto"/>
        <w:ind w:firstLine="643" w:firstLineChars="200"/>
        <w:jc w:val="center"/>
        <w:rPr>
          <w:rFonts w:hAnsi="宋体"/>
          <w:szCs w:val="21"/>
          <w:highlight w:val="none"/>
        </w:rPr>
      </w:pPr>
      <w:r>
        <w:rPr>
          <w:rFonts w:hint="eastAsia" w:ascii="Arial" w:hAnsi="Arial" w:eastAsia="黑体"/>
          <w:b/>
          <w:bCs/>
          <w:sz w:val="32"/>
          <w:szCs w:val="32"/>
          <w:highlight w:val="none"/>
        </w:rPr>
        <w:t>资格审查资料</w:t>
      </w:r>
    </w:p>
    <w:p>
      <w:pPr>
        <w:spacing w:line="360" w:lineRule="auto"/>
        <w:ind w:firstLine="420" w:firstLineChars="200"/>
        <w:rPr>
          <w:rFonts w:hAnsi="宋体"/>
          <w:szCs w:val="21"/>
          <w:highlight w:val="none"/>
        </w:rPr>
      </w:pPr>
    </w:p>
    <w:p>
      <w:pPr>
        <w:jc w:val="left"/>
        <w:rPr>
          <w:sz w:val="24"/>
          <w:highlight w:val="none"/>
        </w:rPr>
      </w:pPr>
      <w:r>
        <w:rPr>
          <w:rFonts w:hint="eastAsia" w:asciiTheme="minorEastAsia" w:hAnsiTheme="minorEastAsia" w:eastAsiaTheme="minorEastAsia"/>
          <w:szCs w:val="21"/>
          <w:highlight w:val="none"/>
        </w:rPr>
        <w:t>按本项目招标公告“</w:t>
      </w:r>
      <w:r>
        <w:rPr>
          <w:rFonts w:hint="eastAsia" w:ascii="宋体" w:hAnsi="宋体"/>
          <w:szCs w:val="21"/>
          <w:highlight w:val="none"/>
        </w:rPr>
        <w:t>3、</w:t>
      </w:r>
      <w:r>
        <w:rPr>
          <w:rFonts w:hint="eastAsia" w:ascii="宋体" w:hAnsi="宋体"/>
          <w:b/>
          <w:bCs/>
          <w:szCs w:val="21"/>
          <w:highlight w:val="none"/>
        </w:rPr>
        <w:t>合格的投标人条件</w:t>
      </w:r>
      <w:r>
        <w:rPr>
          <w:rFonts w:hint="eastAsia" w:asciiTheme="minorEastAsia" w:hAnsiTheme="minorEastAsia" w:eastAsiaTheme="minorEastAsia"/>
          <w:szCs w:val="21"/>
          <w:highlight w:val="none"/>
        </w:rPr>
        <w:t>”中的要求提供相应的佐证资料。</w:t>
      </w:r>
    </w:p>
    <w:p>
      <w:pPr>
        <w:widowControl/>
        <w:jc w:val="left"/>
        <w:rPr>
          <w:highlight w:val="none"/>
        </w:rPr>
      </w:pPr>
      <w:r>
        <w:rPr>
          <w:sz w:val="24"/>
          <w:highlight w:val="none"/>
        </w:rPr>
        <w:br w:type="page"/>
      </w:r>
    </w:p>
    <w:p>
      <w:pPr>
        <w:pStyle w:val="3"/>
        <w:numPr>
          <w:ilvl w:val="0"/>
          <w:numId w:val="0"/>
        </w:numPr>
        <w:tabs>
          <w:tab w:val="clear" w:pos="840"/>
        </w:tabs>
        <w:snapToGrid w:val="0"/>
        <w:spacing w:before="120" w:after="120"/>
        <w:jc w:val="left"/>
        <w:rPr>
          <w:rFonts w:hAnsi="宋体"/>
          <w:b w:val="0"/>
          <w:kern w:val="44"/>
          <w:szCs w:val="21"/>
          <w:highlight w:val="none"/>
        </w:rPr>
      </w:pPr>
      <w:bookmarkStart w:id="477" w:name="_Toc16733"/>
      <w:bookmarkStart w:id="478" w:name="_Toc20968"/>
      <w:bookmarkStart w:id="479" w:name="_Toc31602"/>
      <w:bookmarkStart w:id="480" w:name="_Toc25057"/>
      <w:bookmarkStart w:id="481" w:name="_Toc2525"/>
      <w:r>
        <w:rPr>
          <w:rFonts w:hint="eastAsia"/>
          <w:sz w:val="24"/>
          <w:szCs w:val="24"/>
          <w:highlight w:val="none"/>
        </w:rPr>
        <w:t>格式7：合同响应表格式</w:t>
      </w:r>
      <w:bookmarkEnd w:id="477"/>
      <w:bookmarkEnd w:id="478"/>
      <w:bookmarkEnd w:id="479"/>
      <w:bookmarkEnd w:id="480"/>
      <w:bookmarkEnd w:id="481"/>
    </w:p>
    <w:p>
      <w:pPr>
        <w:spacing w:after="120" w:line="400" w:lineRule="exact"/>
        <w:jc w:val="center"/>
        <w:rPr>
          <w:rFonts w:ascii="宋体"/>
          <w:b/>
          <w:sz w:val="28"/>
          <w:szCs w:val="28"/>
          <w:highlight w:val="none"/>
        </w:rPr>
      </w:pPr>
      <w:r>
        <w:rPr>
          <w:rFonts w:hint="eastAsia" w:ascii="宋体"/>
          <w:b/>
          <w:sz w:val="28"/>
          <w:szCs w:val="28"/>
          <w:highlight w:val="none"/>
        </w:rPr>
        <w:t>合同条款响应表</w:t>
      </w:r>
    </w:p>
    <w:p>
      <w:pPr>
        <w:spacing w:after="120" w:line="400" w:lineRule="exact"/>
        <w:rPr>
          <w:rFonts w:ascii="宋体"/>
          <w:szCs w:val="21"/>
          <w:highlight w:val="none"/>
        </w:rPr>
      </w:pPr>
      <w:r>
        <w:rPr>
          <w:rFonts w:hint="eastAsia" w:ascii="宋体"/>
          <w:szCs w:val="21"/>
          <w:highlight w:val="none"/>
        </w:rPr>
        <w:t>[说明]投标人应对照中标文件要求与投标报价的实际情况 ，对中标文件中《合同书》的条款内容作全面响应。完全满足的在“是否响应”栏中写“响应”，若有差异的请在“是否响应”栏中写“偏离”，无论是正偏离还是负偏离，均需并将差异情况（包括优于合同书的有关条款）在“差异描述”栏中说明。</w:t>
      </w:r>
    </w:p>
    <w:tbl>
      <w:tblPr>
        <w:tblStyle w:val="42"/>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1202"/>
        <w:gridCol w:w="3466"/>
        <w:gridCol w:w="1857"/>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4" w:type="dxa"/>
          </w:tcPr>
          <w:p>
            <w:pPr>
              <w:spacing w:after="120" w:line="400" w:lineRule="exact"/>
              <w:jc w:val="center"/>
              <w:rPr>
                <w:rFonts w:ascii="宋体"/>
                <w:szCs w:val="21"/>
                <w:highlight w:val="none"/>
              </w:rPr>
            </w:pPr>
            <w:r>
              <w:rPr>
                <w:rFonts w:hint="eastAsia" w:ascii="宋体"/>
                <w:szCs w:val="21"/>
                <w:highlight w:val="none"/>
              </w:rPr>
              <w:t>序号</w:t>
            </w:r>
          </w:p>
        </w:tc>
        <w:tc>
          <w:tcPr>
            <w:tcW w:w="1202" w:type="dxa"/>
          </w:tcPr>
          <w:p>
            <w:pPr>
              <w:spacing w:after="120" w:line="400" w:lineRule="exact"/>
              <w:jc w:val="center"/>
              <w:rPr>
                <w:rFonts w:ascii="宋体"/>
                <w:szCs w:val="21"/>
                <w:highlight w:val="none"/>
              </w:rPr>
            </w:pPr>
            <w:r>
              <w:rPr>
                <w:rFonts w:hint="eastAsia" w:ascii="宋体"/>
                <w:szCs w:val="21"/>
                <w:highlight w:val="none"/>
              </w:rPr>
              <w:t>条款号</w:t>
            </w:r>
          </w:p>
        </w:tc>
        <w:tc>
          <w:tcPr>
            <w:tcW w:w="3466" w:type="dxa"/>
          </w:tcPr>
          <w:p>
            <w:pPr>
              <w:spacing w:after="120" w:line="400" w:lineRule="exact"/>
              <w:jc w:val="center"/>
              <w:rPr>
                <w:rFonts w:ascii="宋体"/>
                <w:szCs w:val="21"/>
                <w:highlight w:val="none"/>
              </w:rPr>
            </w:pPr>
            <w:r>
              <w:rPr>
                <w:rFonts w:hint="eastAsia" w:ascii="宋体"/>
                <w:szCs w:val="21"/>
                <w:highlight w:val="none"/>
              </w:rPr>
              <w:t>合同条款题目</w:t>
            </w:r>
          </w:p>
        </w:tc>
        <w:tc>
          <w:tcPr>
            <w:tcW w:w="1857" w:type="dxa"/>
          </w:tcPr>
          <w:p>
            <w:pPr>
              <w:spacing w:after="120" w:line="400" w:lineRule="exact"/>
              <w:jc w:val="center"/>
              <w:rPr>
                <w:rFonts w:ascii="宋体"/>
                <w:szCs w:val="21"/>
                <w:highlight w:val="none"/>
              </w:rPr>
            </w:pPr>
            <w:r>
              <w:rPr>
                <w:rFonts w:hint="eastAsia" w:ascii="宋体"/>
                <w:szCs w:val="21"/>
                <w:highlight w:val="none"/>
              </w:rPr>
              <w:t>是否响应</w:t>
            </w:r>
          </w:p>
        </w:tc>
        <w:tc>
          <w:tcPr>
            <w:tcW w:w="1857" w:type="dxa"/>
          </w:tcPr>
          <w:p>
            <w:pPr>
              <w:spacing w:after="120" w:line="400" w:lineRule="exact"/>
              <w:jc w:val="center"/>
              <w:rPr>
                <w:rFonts w:ascii="宋体"/>
                <w:szCs w:val="21"/>
                <w:highlight w:val="none"/>
              </w:rPr>
            </w:pPr>
            <w:r>
              <w:rPr>
                <w:rFonts w:hint="eastAsia" w:ascii="宋体"/>
                <w:szCs w:val="21"/>
                <w:highlight w:val="none"/>
              </w:rPr>
              <w:t>差异描述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4" w:type="dxa"/>
          </w:tcPr>
          <w:p>
            <w:pPr>
              <w:spacing w:after="120" w:line="400" w:lineRule="exact"/>
              <w:rPr>
                <w:rFonts w:ascii="宋体"/>
                <w:szCs w:val="21"/>
                <w:highlight w:val="none"/>
              </w:rPr>
            </w:pPr>
            <w:r>
              <w:rPr>
                <w:rFonts w:hint="eastAsia" w:ascii="宋体"/>
                <w:szCs w:val="21"/>
                <w:highlight w:val="none"/>
              </w:rPr>
              <w:t>1</w:t>
            </w:r>
          </w:p>
        </w:tc>
        <w:tc>
          <w:tcPr>
            <w:tcW w:w="1202" w:type="dxa"/>
          </w:tcPr>
          <w:p>
            <w:pPr>
              <w:spacing w:after="120" w:line="400" w:lineRule="exact"/>
              <w:rPr>
                <w:rFonts w:ascii="宋体"/>
                <w:szCs w:val="21"/>
                <w:highlight w:val="none"/>
              </w:rPr>
            </w:pPr>
          </w:p>
        </w:tc>
        <w:tc>
          <w:tcPr>
            <w:tcW w:w="3466" w:type="dxa"/>
          </w:tcPr>
          <w:p>
            <w:pPr>
              <w:spacing w:after="120" w:line="400" w:lineRule="exact"/>
              <w:rPr>
                <w:rFonts w:ascii="宋体"/>
                <w:szCs w:val="21"/>
                <w:highlight w:val="none"/>
              </w:rPr>
            </w:pPr>
          </w:p>
        </w:tc>
        <w:tc>
          <w:tcPr>
            <w:tcW w:w="1857" w:type="dxa"/>
          </w:tcPr>
          <w:p>
            <w:pPr>
              <w:spacing w:after="120" w:line="400" w:lineRule="exact"/>
              <w:rPr>
                <w:rFonts w:ascii="宋体"/>
                <w:szCs w:val="21"/>
                <w:highlight w:val="none"/>
              </w:rPr>
            </w:pPr>
          </w:p>
        </w:tc>
        <w:tc>
          <w:tcPr>
            <w:tcW w:w="1857" w:type="dxa"/>
          </w:tcPr>
          <w:p>
            <w:pPr>
              <w:spacing w:after="120" w:line="400" w:lineRule="exact"/>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4" w:type="dxa"/>
          </w:tcPr>
          <w:p>
            <w:pPr>
              <w:spacing w:after="120" w:line="400" w:lineRule="exact"/>
              <w:rPr>
                <w:rFonts w:ascii="宋体"/>
                <w:szCs w:val="21"/>
                <w:highlight w:val="none"/>
              </w:rPr>
            </w:pPr>
            <w:r>
              <w:rPr>
                <w:rFonts w:hint="eastAsia" w:ascii="宋体"/>
                <w:szCs w:val="21"/>
                <w:highlight w:val="none"/>
              </w:rPr>
              <w:t>2</w:t>
            </w:r>
          </w:p>
        </w:tc>
        <w:tc>
          <w:tcPr>
            <w:tcW w:w="1202" w:type="dxa"/>
          </w:tcPr>
          <w:p>
            <w:pPr>
              <w:spacing w:after="120" w:line="400" w:lineRule="exact"/>
              <w:rPr>
                <w:rFonts w:ascii="宋体"/>
                <w:szCs w:val="21"/>
                <w:highlight w:val="none"/>
              </w:rPr>
            </w:pPr>
          </w:p>
        </w:tc>
        <w:tc>
          <w:tcPr>
            <w:tcW w:w="3466" w:type="dxa"/>
          </w:tcPr>
          <w:p>
            <w:pPr>
              <w:spacing w:after="120" w:line="400" w:lineRule="exact"/>
              <w:rPr>
                <w:rFonts w:ascii="宋体"/>
                <w:szCs w:val="21"/>
                <w:highlight w:val="none"/>
              </w:rPr>
            </w:pPr>
          </w:p>
        </w:tc>
        <w:tc>
          <w:tcPr>
            <w:tcW w:w="1857" w:type="dxa"/>
          </w:tcPr>
          <w:p>
            <w:pPr>
              <w:spacing w:after="120" w:line="400" w:lineRule="exact"/>
              <w:rPr>
                <w:rFonts w:ascii="宋体"/>
                <w:szCs w:val="21"/>
                <w:highlight w:val="none"/>
              </w:rPr>
            </w:pPr>
          </w:p>
        </w:tc>
        <w:tc>
          <w:tcPr>
            <w:tcW w:w="1857" w:type="dxa"/>
          </w:tcPr>
          <w:p>
            <w:pPr>
              <w:spacing w:after="120" w:line="400" w:lineRule="exact"/>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4" w:type="dxa"/>
          </w:tcPr>
          <w:p>
            <w:pPr>
              <w:spacing w:after="120" w:line="400" w:lineRule="exact"/>
              <w:rPr>
                <w:rFonts w:ascii="宋体"/>
                <w:szCs w:val="21"/>
                <w:highlight w:val="none"/>
              </w:rPr>
            </w:pPr>
            <w:r>
              <w:rPr>
                <w:rFonts w:hint="eastAsia" w:ascii="宋体"/>
                <w:szCs w:val="21"/>
                <w:highlight w:val="none"/>
              </w:rPr>
              <w:t>3</w:t>
            </w:r>
          </w:p>
        </w:tc>
        <w:tc>
          <w:tcPr>
            <w:tcW w:w="1202" w:type="dxa"/>
          </w:tcPr>
          <w:p>
            <w:pPr>
              <w:spacing w:after="120" w:line="400" w:lineRule="exact"/>
              <w:rPr>
                <w:rFonts w:ascii="宋体"/>
                <w:szCs w:val="21"/>
                <w:highlight w:val="none"/>
              </w:rPr>
            </w:pPr>
          </w:p>
        </w:tc>
        <w:tc>
          <w:tcPr>
            <w:tcW w:w="3466" w:type="dxa"/>
          </w:tcPr>
          <w:p>
            <w:pPr>
              <w:spacing w:after="120" w:line="400" w:lineRule="exact"/>
              <w:rPr>
                <w:rFonts w:ascii="宋体"/>
                <w:szCs w:val="21"/>
                <w:highlight w:val="none"/>
              </w:rPr>
            </w:pPr>
          </w:p>
        </w:tc>
        <w:tc>
          <w:tcPr>
            <w:tcW w:w="1857" w:type="dxa"/>
          </w:tcPr>
          <w:p>
            <w:pPr>
              <w:spacing w:after="120" w:line="400" w:lineRule="exact"/>
              <w:rPr>
                <w:rFonts w:ascii="宋体"/>
                <w:szCs w:val="21"/>
                <w:highlight w:val="none"/>
              </w:rPr>
            </w:pPr>
          </w:p>
        </w:tc>
        <w:tc>
          <w:tcPr>
            <w:tcW w:w="1857" w:type="dxa"/>
          </w:tcPr>
          <w:p>
            <w:pPr>
              <w:spacing w:after="120" w:line="400" w:lineRule="exact"/>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4" w:type="dxa"/>
          </w:tcPr>
          <w:p>
            <w:pPr>
              <w:spacing w:after="120" w:line="400" w:lineRule="exact"/>
              <w:rPr>
                <w:rFonts w:ascii="宋体"/>
                <w:szCs w:val="21"/>
                <w:highlight w:val="none"/>
              </w:rPr>
            </w:pPr>
            <w:r>
              <w:rPr>
                <w:rFonts w:hint="eastAsia" w:ascii="宋体"/>
                <w:szCs w:val="21"/>
                <w:highlight w:val="none"/>
              </w:rPr>
              <w:t>4</w:t>
            </w:r>
          </w:p>
        </w:tc>
        <w:tc>
          <w:tcPr>
            <w:tcW w:w="1202" w:type="dxa"/>
          </w:tcPr>
          <w:p>
            <w:pPr>
              <w:spacing w:after="120" w:line="400" w:lineRule="exact"/>
              <w:rPr>
                <w:rFonts w:ascii="宋体"/>
                <w:szCs w:val="21"/>
                <w:highlight w:val="none"/>
              </w:rPr>
            </w:pPr>
          </w:p>
        </w:tc>
        <w:tc>
          <w:tcPr>
            <w:tcW w:w="3466" w:type="dxa"/>
          </w:tcPr>
          <w:p>
            <w:pPr>
              <w:spacing w:after="120" w:line="400" w:lineRule="exact"/>
              <w:rPr>
                <w:rFonts w:ascii="宋体"/>
                <w:szCs w:val="21"/>
                <w:highlight w:val="none"/>
              </w:rPr>
            </w:pPr>
          </w:p>
        </w:tc>
        <w:tc>
          <w:tcPr>
            <w:tcW w:w="1857" w:type="dxa"/>
          </w:tcPr>
          <w:p>
            <w:pPr>
              <w:spacing w:after="120" w:line="400" w:lineRule="exact"/>
              <w:rPr>
                <w:rFonts w:ascii="宋体"/>
                <w:szCs w:val="21"/>
                <w:highlight w:val="none"/>
              </w:rPr>
            </w:pPr>
          </w:p>
        </w:tc>
        <w:tc>
          <w:tcPr>
            <w:tcW w:w="1857" w:type="dxa"/>
          </w:tcPr>
          <w:p>
            <w:pPr>
              <w:spacing w:after="120" w:line="400" w:lineRule="exact"/>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4" w:type="dxa"/>
          </w:tcPr>
          <w:p>
            <w:pPr>
              <w:spacing w:after="120" w:line="400" w:lineRule="exact"/>
              <w:rPr>
                <w:rFonts w:ascii="宋体"/>
                <w:szCs w:val="21"/>
                <w:highlight w:val="none"/>
              </w:rPr>
            </w:pPr>
            <w:r>
              <w:rPr>
                <w:rFonts w:hint="eastAsia" w:ascii="宋体"/>
                <w:szCs w:val="21"/>
                <w:highlight w:val="none"/>
              </w:rPr>
              <w:t>5</w:t>
            </w:r>
          </w:p>
        </w:tc>
        <w:tc>
          <w:tcPr>
            <w:tcW w:w="1202" w:type="dxa"/>
          </w:tcPr>
          <w:p>
            <w:pPr>
              <w:spacing w:after="120" w:line="400" w:lineRule="exact"/>
              <w:rPr>
                <w:rFonts w:ascii="宋体"/>
                <w:szCs w:val="21"/>
                <w:highlight w:val="none"/>
              </w:rPr>
            </w:pPr>
          </w:p>
        </w:tc>
        <w:tc>
          <w:tcPr>
            <w:tcW w:w="3466" w:type="dxa"/>
          </w:tcPr>
          <w:p>
            <w:pPr>
              <w:spacing w:after="120" w:line="400" w:lineRule="exact"/>
              <w:rPr>
                <w:rFonts w:ascii="宋体"/>
                <w:szCs w:val="21"/>
                <w:highlight w:val="none"/>
              </w:rPr>
            </w:pPr>
          </w:p>
        </w:tc>
        <w:tc>
          <w:tcPr>
            <w:tcW w:w="1857" w:type="dxa"/>
          </w:tcPr>
          <w:p>
            <w:pPr>
              <w:spacing w:after="120" w:line="400" w:lineRule="exact"/>
              <w:rPr>
                <w:rFonts w:ascii="宋体"/>
                <w:szCs w:val="21"/>
                <w:highlight w:val="none"/>
              </w:rPr>
            </w:pPr>
          </w:p>
        </w:tc>
        <w:tc>
          <w:tcPr>
            <w:tcW w:w="1857" w:type="dxa"/>
          </w:tcPr>
          <w:p>
            <w:pPr>
              <w:spacing w:after="120" w:line="400" w:lineRule="exact"/>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4" w:type="dxa"/>
          </w:tcPr>
          <w:p>
            <w:pPr>
              <w:spacing w:after="120" w:line="400" w:lineRule="exact"/>
              <w:rPr>
                <w:rFonts w:ascii="宋体"/>
                <w:szCs w:val="21"/>
                <w:highlight w:val="none"/>
              </w:rPr>
            </w:pPr>
            <w:r>
              <w:rPr>
                <w:rFonts w:hint="eastAsia" w:ascii="宋体"/>
                <w:szCs w:val="21"/>
                <w:highlight w:val="none"/>
              </w:rPr>
              <w:t>6</w:t>
            </w:r>
          </w:p>
        </w:tc>
        <w:tc>
          <w:tcPr>
            <w:tcW w:w="1202" w:type="dxa"/>
          </w:tcPr>
          <w:p>
            <w:pPr>
              <w:spacing w:after="120" w:line="400" w:lineRule="exact"/>
              <w:rPr>
                <w:rFonts w:ascii="宋体"/>
                <w:szCs w:val="21"/>
                <w:highlight w:val="none"/>
              </w:rPr>
            </w:pPr>
          </w:p>
        </w:tc>
        <w:tc>
          <w:tcPr>
            <w:tcW w:w="3466" w:type="dxa"/>
          </w:tcPr>
          <w:p>
            <w:pPr>
              <w:spacing w:after="120" w:line="400" w:lineRule="exact"/>
              <w:rPr>
                <w:rFonts w:ascii="宋体"/>
                <w:szCs w:val="21"/>
                <w:highlight w:val="none"/>
              </w:rPr>
            </w:pPr>
          </w:p>
        </w:tc>
        <w:tc>
          <w:tcPr>
            <w:tcW w:w="1857" w:type="dxa"/>
          </w:tcPr>
          <w:p>
            <w:pPr>
              <w:spacing w:after="120" w:line="400" w:lineRule="exact"/>
              <w:rPr>
                <w:rFonts w:ascii="宋体"/>
                <w:szCs w:val="21"/>
                <w:highlight w:val="none"/>
              </w:rPr>
            </w:pPr>
          </w:p>
        </w:tc>
        <w:tc>
          <w:tcPr>
            <w:tcW w:w="1857" w:type="dxa"/>
          </w:tcPr>
          <w:p>
            <w:pPr>
              <w:spacing w:after="120" w:line="400" w:lineRule="exact"/>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4" w:type="dxa"/>
          </w:tcPr>
          <w:p>
            <w:pPr>
              <w:spacing w:after="120" w:line="400" w:lineRule="exact"/>
              <w:rPr>
                <w:rFonts w:ascii="宋体"/>
                <w:szCs w:val="21"/>
                <w:highlight w:val="none"/>
              </w:rPr>
            </w:pPr>
            <w:r>
              <w:rPr>
                <w:rFonts w:hint="eastAsia" w:ascii="宋体"/>
                <w:szCs w:val="21"/>
                <w:highlight w:val="none"/>
              </w:rPr>
              <w:t>7</w:t>
            </w:r>
          </w:p>
        </w:tc>
        <w:tc>
          <w:tcPr>
            <w:tcW w:w="1202" w:type="dxa"/>
          </w:tcPr>
          <w:p>
            <w:pPr>
              <w:spacing w:after="120" w:line="400" w:lineRule="exact"/>
              <w:rPr>
                <w:rFonts w:ascii="宋体"/>
                <w:szCs w:val="21"/>
                <w:highlight w:val="none"/>
              </w:rPr>
            </w:pPr>
          </w:p>
        </w:tc>
        <w:tc>
          <w:tcPr>
            <w:tcW w:w="3466" w:type="dxa"/>
          </w:tcPr>
          <w:p>
            <w:pPr>
              <w:spacing w:after="120" w:line="400" w:lineRule="exact"/>
              <w:rPr>
                <w:rFonts w:ascii="宋体"/>
                <w:szCs w:val="21"/>
                <w:highlight w:val="none"/>
              </w:rPr>
            </w:pPr>
          </w:p>
        </w:tc>
        <w:tc>
          <w:tcPr>
            <w:tcW w:w="1857" w:type="dxa"/>
          </w:tcPr>
          <w:p>
            <w:pPr>
              <w:spacing w:after="120" w:line="400" w:lineRule="exact"/>
              <w:rPr>
                <w:rFonts w:ascii="宋体"/>
                <w:szCs w:val="21"/>
                <w:highlight w:val="none"/>
              </w:rPr>
            </w:pPr>
          </w:p>
        </w:tc>
        <w:tc>
          <w:tcPr>
            <w:tcW w:w="1857" w:type="dxa"/>
          </w:tcPr>
          <w:p>
            <w:pPr>
              <w:spacing w:after="120" w:line="400" w:lineRule="exact"/>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4" w:type="dxa"/>
          </w:tcPr>
          <w:p>
            <w:pPr>
              <w:spacing w:after="120" w:line="400" w:lineRule="exact"/>
              <w:rPr>
                <w:rFonts w:ascii="宋体"/>
                <w:szCs w:val="21"/>
                <w:highlight w:val="none"/>
              </w:rPr>
            </w:pPr>
            <w:r>
              <w:rPr>
                <w:rFonts w:hint="eastAsia" w:ascii="宋体"/>
                <w:szCs w:val="21"/>
                <w:highlight w:val="none"/>
              </w:rPr>
              <w:t>8</w:t>
            </w:r>
          </w:p>
        </w:tc>
        <w:tc>
          <w:tcPr>
            <w:tcW w:w="1202" w:type="dxa"/>
          </w:tcPr>
          <w:p>
            <w:pPr>
              <w:spacing w:after="120" w:line="400" w:lineRule="exact"/>
              <w:rPr>
                <w:rFonts w:ascii="宋体"/>
                <w:szCs w:val="21"/>
                <w:highlight w:val="none"/>
              </w:rPr>
            </w:pPr>
          </w:p>
        </w:tc>
        <w:tc>
          <w:tcPr>
            <w:tcW w:w="3466" w:type="dxa"/>
          </w:tcPr>
          <w:p>
            <w:pPr>
              <w:spacing w:after="120" w:line="400" w:lineRule="exact"/>
              <w:rPr>
                <w:rFonts w:ascii="宋体"/>
                <w:szCs w:val="21"/>
                <w:highlight w:val="none"/>
              </w:rPr>
            </w:pPr>
          </w:p>
        </w:tc>
        <w:tc>
          <w:tcPr>
            <w:tcW w:w="1857" w:type="dxa"/>
          </w:tcPr>
          <w:p>
            <w:pPr>
              <w:spacing w:after="120" w:line="400" w:lineRule="exact"/>
              <w:rPr>
                <w:rFonts w:ascii="宋体"/>
                <w:szCs w:val="21"/>
                <w:highlight w:val="none"/>
              </w:rPr>
            </w:pPr>
          </w:p>
        </w:tc>
        <w:tc>
          <w:tcPr>
            <w:tcW w:w="1857" w:type="dxa"/>
          </w:tcPr>
          <w:p>
            <w:pPr>
              <w:spacing w:after="120" w:line="400" w:lineRule="exact"/>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4" w:type="dxa"/>
          </w:tcPr>
          <w:p>
            <w:pPr>
              <w:spacing w:after="120" w:line="400" w:lineRule="exact"/>
              <w:rPr>
                <w:rFonts w:ascii="宋体"/>
                <w:szCs w:val="21"/>
                <w:highlight w:val="none"/>
              </w:rPr>
            </w:pPr>
          </w:p>
        </w:tc>
        <w:tc>
          <w:tcPr>
            <w:tcW w:w="1202" w:type="dxa"/>
          </w:tcPr>
          <w:p>
            <w:pPr>
              <w:spacing w:after="120" w:line="400" w:lineRule="exact"/>
              <w:rPr>
                <w:rFonts w:ascii="宋体"/>
                <w:szCs w:val="21"/>
                <w:highlight w:val="none"/>
              </w:rPr>
            </w:pPr>
          </w:p>
        </w:tc>
        <w:tc>
          <w:tcPr>
            <w:tcW w:w="3466" w:type="dxa"/>
          </w:tcPr>
          <w:p>
            <w:pPr>
              <w:spacing w:after="120" w:line="400" w:lineRule="exact"/>
              <w:rPr>
                <w:rFonts w:ascii="宋体"/>
                <w:szCs w:val="21"/>
                <w:highlight w:val="none"/>
              </w:rPr>
            </w:pPr>
          </w:p>
        </w:tc>
        <w:tc>
          <w:tcPr>
            <w:tcW w:w="1857" w:type="dxa"/>
          </w:tcPr>
          <w:p>
            <w:pPr>
              <w:spacing w:after="120" w:line="400" w:lineRule="exact"/>
              <w:rPr>
                <w:rFonts w:ascii="宋体"/>
                <w:szCs w:val="21"/>
                <w:highlight w:val="none"/>
              </w:rPr>
            </w:pPr>
          </w:p>
        </w:tc>
        <w:tc>
          <w:tcPr>
            <w:tcW w:w="1857" w:type="dxa"/>
          </w:tcPr>
          <w:p>
            <w:pPr>
              <w:spacing w:after="120" w:line="400" w:lineRule="exact"/>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4" w:type="dxa"/>
          </w:tcPr>
          <w:p>
            <w:pPr>
              <w:spacing w:after="120" w:line="400" w:lineRule="exact"/>
              <w:rPr>
                <w:rFonts w:ascii="宋体"/>
                <w:szCs w:val="21"/>
                <w:highlight w:val="none"/>
              </w:rPr>
            </w:pPr>
          </w:p>
        </w:tc>
        <w:tc>
          <w:tcPr>
            <w:tcW w:w="1202" w:type="dxa"/>
          </w:tcPr>
          <w:p>
            <w:pPr>
              <w:spacing w:after="120" w:line="400" w:lineRule="exact"/>
              <w:rPr>
                <w:rFonts w:ascii="宋体"/>
                <w:szCs w:val="21"/>
                <w:highlight w:val="none"/>
              </w:rPr>
            </w:pPr>
          </w:p>
        </w:tc>
        <w:tc>
          <w:tcPr>
            <w:tcW w:w="3466" w:type="dxa"/>
          </w:tcPr>
          <w:p>
            <w:pPr>
              <w:spacing w:after="120" w:line="400" w:lineRule="exact"/>
              <w:rPr>
                <w:rFonts w:ascii="宋体"/>
                <w:szCs w:val="21"/>
                <w:highlight w:val="none"/>
              </w:rPr>
            </w:pPr>
          </w:p>
        </w:tc>
        <w:tc>
          <w:tcPr>
            <w:tcW w:w="1857" w:type="dxa"/>
          </w:tcPr>
          <w:p>
            <w:pPr>
              <w:spacing w:after="120" w:line="400" w:lineRule="exact"/>
              <w:rPr>
                <w:rFonts w:ascii="宋体"/>
                <w:szCs w:val="21"/>
                <w:highlight w:val="none"/>
              </w:rPr>
            </w:pPr>
          </w:p>
        </w:tc>
        <w:tc>
          <w:tcPr>
            <w:tcW w:w="1857" w:type="dxa"/>
          </w:tcPr>
          <w:p>
            <w:pPr>
              <w:spacing w:after="120" w:line="400" w:lineRule="exact"/>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4" w:type="dxa"/>
          </w:tcPr>
          <w:p>
            <w:pPr>
              <w:spacing w:after="120" w:line="400" w:lineRule="exact"/>
              <w:rPr>
                <w:rFonts w:ascii="宋体"/>
                <w:szCs w:val="21"/>
                <w:highlight w:val="none"/>
              </w:rPr>
            </w:pPr>
          </w:p>
        </w:tc>
        <w:tc>
          <w:tcPr>
            <w:tcW w:w="1202" w:type="dxa"/>
          </w:tcPr>
          <w:p>
            <w:pPr>
              <w:spacing w:after="120" w:line="400" w:lineRule="exact"/>
              <w:rPr>
                <w:rFonts w:ascii="宋体"/>
                <w:szCs w:val="21"/>
                <w:highlight w:val="none"/>
              </w:rPr>
            </w:pPr>
          </w:p>
        </w:tc>
        <w:tc>
          <w:tcPr>
            <w:tcW w:w="3466" w:type="dxa"/>
          </w:tcPr>
          <w:p>
            <w:pPr>
              <w:spacing w:after="120" w:line="400" w:lineRule="exact"/>
              <w:rPr>
                <w:rFonts w:ascii="宋体"/>
                <w:szCs w:val="21"/>
                <w:highlight w:val="none"/>
              </w:rPr>
            </w:pPr>
          </w:p>
        </w:tc>
        <w:tc>
          <w:tcPr>
            <w:tcW w:w="1857" w:type="dxa"/>
          </w:tcPr>
          <w:p>
            <w:pPr>
              <w:spacing w:after="120" w:line="400" w:lineRule="exact"/>
              <w:rPr>
                <w:rFonts w:ascii="宋体"/>
                <w:szCs w:val="21"/>
                <w:highlight w:val="none"/>
              </w:rPr>
            </w:pPr>
          </w:p>
        </w:tc>
        <w:tc>
          <w:tcPr>
            <w:tcW w:w="1857" w:type="dxa"/>
          </w:tcPr>
          <w:p>
            <w:pPr>
              <w:spacing w:after="120" w:line="400" w:lineRule="exact"/>
              <w:rPr>
                <w:rFonts w:ascii="宋体"/>
                <w:szCs w:val="21"/>
                <w:highlight w:val="none"/>
              </w:rPr>
            </w:pPr>
          </w:p>
        </w:tc>
      </w:tr>
    </w:tbl>
    <w:p>
      <w:pPr>
        <w:spacing w:after="120" w:line="400" w:lineRule="exact"/>
        <w:rPr>
          <w:rFonts w:ascii="宋体"/>
          <w:szCs w:val="21"/>
          <w:highlight w:val="none"/>
        </w:rPr>
      </w:pPr>
    </w:p>
    <w:p>
      <w:pPr>
        <w:spacing w:line="360" w:lineRule="auto"/>
        <w:ind w:firstLine="4678" w:firstLineChars="2228"/>
        <w:rPr>
          <w:rFonts w:ascii="宋体"/>
          <w:highlight w:val="none"/>
        </w:rPr>
      </w:pPr>
      <w:r>
        <w:rPr>
          <w:rFonts w:hint="eastAsia" w:ascii="宋体"/>
          <w:highlight w:val="none"/>
        </w:rPr>
        <w:t>投标人（法人公章）：</w:t>
      </w:r>
    </w:p>
    <w:p>
      <w:pPr>
        <w:spacing w:line="360" w:lineRule="auto"/>
        <w:ind w:firstLine="4678" w:firstLineChars="2228"/>
        <w:rPr>
          <w:rFonts w:ascii="宋体"/>
          <w:highlight w:val="none"/>
        </w:rPr>
      </w:pPr>
      <w:r>
        <w:rPr>
          <w:rFonts w:hint="eastAsia" w:ascii="宋体"/>
          <w:highlight w:val="none"/>
        </w:rPr>
        <w:t>授权代表（签字或盖章）：</w:t>
      </w:r>
    </w:p>
    <w:p>
      <w:pPr>
        <w:rPr>
          <w:highlight w:val="none"/>
        </w:rPr>
      </w:pPr>
      <w:r>
        <w:rPr>
          <w:rFonts w:hint="eastAsia"/>
          <w:highlight w:val="none"/>
        </w:rPr>
        <w:t xml:space="preserve">                                             日期：</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rFonts w:ascii="宋体" w:hAnsi="宋体"/>
          <w:b/>
          <w:kern w:val="144"/>
          <w:szCs w:val="21"/>
          <w:highlight w:val="none"/>
        </w:rPr>
      </w:pPr>
    </w:p>
    <w:p>
      <w:pPr>
        <w:pStyle w:val="3"/>
        <w:numPr>
          <w:ilvl w:val="0"/>
          <w:numId w:val="0"/>
        </w:numPr>
        <w:tabs>
          <w:tab w:val="clear" w:pos="840"/>
        </w:tabs>
        <w:snapToGrid w:val="0"/>
        <w:spacing w:before="120" w:after="120"/>
        <w:jc w:val="left"/>
        <w:rPr>
          <w:rFonts w:hAnsi="宋体"/>
          <w:b w:val="0"/>
          <w:kern w:val="44"/>
          <w:szCs w:val="21"/>
          <w:highlight w:val="none"/>
        </w:rPr>
      </w:pPr>
      <w:bookmarkStart w:id="482" w:name="_Toc23421"/>
      <w:bookmarkStart w:id="483" w:name="_Toc16339"/>
      <w:bookmarkStart w:id="484" w:name="_Toc4033"/>
      <w:bookmarkStart w:id="485" w:name="_Toc14848"/>
      <w:bookmarkStart w:id="486" w:name="_Toc14016"/>
      <w:r>
        <w:rPr>
          <w:rFonts w:hint="eastAsia"/>
          <w:sz w:val="24"/>
          <w:szCs w:val="24"/>
          <w:highlight w:val="none"/>
        </w:rPr>
        <w:t>格式8：</w:t>
      </w:r>
      <w:r>
        <w:rPr>
          <w:rFonts w:hint="eastAsia"/>
          <w:sz w:val="24"/>
          <w:highlight w:val="none"/>
        </w:rPr>
        <w:t>投标</w:t>
      </w:r>
      <w:r>
        <w:rPr>
          <w:rFonts w:hint="eastAsia"/>
          <w:sz w:val="24"/>
          <w:szCs w:val="24"/>
          <w:highlight w:val="none"/>
        </w:rPr>
        <w:t>保证金</w:t>
      </w:r>
      <w:r>
        <w:rPr>
          <w:rFonts w:hint="eastAsia"/>
          <w:sz w:val="24"/>
          <w:highlight w:val="none"/>
        </w:rPr>
        <w:t>汇款声明函</w:t>
      </w:r>
      <w:bookmarkEnd w:id="482"/>
      <w:bookmarkEnd w:id="483"/>
      <w:bookmarkEnd w:id="484"/>
      <w:bookmarkEnd w:id="485"/>
      <w:bookmarkEnd w:id="486"/>
    </w:p>
    <w:p>
      <w:pPr>
        <w:spacing w:line="360" w:lineRule="auto"/>
        <w:rPr>
          <w:rFonts w:ascii="宋体" w:hAnsi="宋体" w:cs="Arial"/>
          <w:b/>
          <w:szCs w:val="21"/>
          <w:highlight w:val="none"/>
        </w:rPr>
      </w:pPr>
    </w:p>
    <w:p>
      <w:pPr>
        <w:spacing w:line="360" w:lineRule="auto"/>
        <w:rPr>
          <w:rFonts w:ascii="宋体" w:hAnsi="宋体" w:cs="Arial"/>
          <w:b/>
          <w:szCs w:val="21"/>
          <w:highlight w:val="none"/>
        </w:rPr>
      </w:pPr>
      <w:r>
        <w:rPr>
          <w:rFonts w:hint="eastAsia" w:ascii="宋体" w:hAnsi="宋体" w:cs="Arial"/>
          <w:b/>
          <w:szCs w:val="21"/>
          <w:highlight w:val="none"/>
        </w:rPr>
        <w:t>致：</w:t>
      </w:r>
    </w:p>
    <w:p>
      <w:pPr>
        <w:tabs>
          <w:tab w:val="left" w:pos="1560"/>
        </w:tabs>
        <w:rPr>
          <w:rFonts w:ascii="宋体" w:hAnsi="宋体"/>
          <w:szCs w:val="21"/>
          <w:highlight w:val="none"/>
        </w:rPr>
      </w:pPr>
      <w:r>
        <w:rPr>
          <w:rFonts w:ascii="宋体" w:hAnsi="宋体"/>
          <w:szCs w:val="21"/>
          <w:highlight w:val="none"/>
        </w:rPr>
        <w:tab/>
      </w:r>
    </w:p>
    <w:p>
      <w:pPr>
        <w:spacing w:line="360" w:lineRule="auto"/>
        <w:ind w:firstLine="420" w:firstLineChars="200"/>
        <w:rPr>
          <w:rFonts w:ascii="宋体" w:hAnsi="宋体" w:cs="Arial"/>
          <w:szCs w:val="21"/>
          <w:highlight w:val="none"/>
        </w:rPr>
      </w:pPr>
      <w:r>
        <w:rPr>
          <w:rFonts w:hint="eastAsia" w:ascii="宋体" w:hAnsi="宋体" w:cs="Arial"/>
          <w:szCs w:val="21"/>
          <w:highlight w:val="none"/>
        </w:rPr>
        <w:t>我方为（招标编号：）递交投标保证金人民币    元（大写：人民币元）已于2019年月日以银行主动划账方式划入你方账户。</w:t>
      </w:r>
    </w:p>
    <w:p>
      <w:pPr>
        <w:spacing w:line="360" w:lineRule="auto"/>
        <w:ind w:firstLine="422" w:firstLineChars="200"/>
        <w:rPr>
          <w:rFonts w:ascii="宋体" w:hAnsi="宋体" w:cs="Arial"/>
          <w:b/>
          <w:bCs/>
          <w:szCs w:val="21"/>
          <w:highlight w:val="none"/>
          <w:u w:val="single"/>
        </w:rPr>
      </w:pPr>
      <w:r>
        <w:rPr>
          <w:rFonts w:hint="eastAsia" w:ascii="宋体" w:hAnsi="宋体" w:cs="Arial"/>
          <w:b/>
          <w:bCs/>
          <w:szCs w:val="21"/>
          <w:highlight w:val="none"/>
          <w:u w:val="single"/>
        </w:rPr>
        <w:t>详见附件：银行出具的汇款单或转账凭证复印件。</w:t>
      </w:r>
    </w:p>
    <w:p>
      <w:pPr>
        <w:spacing w:line="360" w:lineRule="auto"/>
        <w:ind w:firstLine="420" w:firstLineChars="200"/>
        <w:rPr>
          <w:rFonts w:ascii="宋体" w:hAnsi="宋体" w:cs="Arial"/>
          <w:szCs w:val="21"/>
          <w:highlight w:val="none"/>
        </w:rPr>
      </w:pPr>
      <w:r>
        <w:rPr>
          <w:rFonts w:hint="eastAsia" w:ascii="宋体" w:hAnsi="宋体" w:cs="Arial"/>
          <w:szCs w:val="21"/>
          <w:highlight w:val="none"/>
        </w:rPr>
        <w:t>退还保证金时请按以下内容划入我方账户。若因内容不全、错误、字迹潦草模糊导致该项目保证金未能及时退还或退还过程中发生错误，我方将自行承担全部责任和损失。</w:t>
      </w:r>
    </w:p>
    <w:tbl>
      <w:tblPr>
        <w:tblStyle w:val="42"/>
        <w:tblW w:w="90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1637"/>
        <w:gridCol w:w="4163"/>
        <w:gridCol w:w="1097"/>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57" w:type="dxa"/>
            <w:vMerge w:val="restart"/>
            <w:textDirection w:val="tbRlV"/>
            <w:vAlign w:val="center"/>
          </w:tcPr>
          <w:p>
            <w:pPr>
              <w:ind w:left="113" w:right="113"/>
              <w:jc w:val="center"/>
              <w:rPr>
                <w:rFonts w:ascii="宋体"/>
                <w:szCs w:val="21"/>
                <w:highlight w:val="none"/>
              </w:rPr>
            </w:pPr>
            <w:r>
              <w:rPr>
                <w:rFonts w:hint="eastAsia" w:ascii="宋体"/>
                <w:szCs w:val="21"/>
                <w:highlight w:val="none"/>
              </w:rPr>
              <w:t>收 款 人</w:t>
            </w:r>
          </w:p>
        </w:tc>
        <w:tc>
          <w:tcPr>
            <w:tcW w:w="1637" w:type="dxa"/>
            <w:vAlign w:val="center"/>
          </w:tcPr>
          <w:p>
            <w:pPr>
              <w:jc w:val="center"/>
              <w:rPr>
                <w:rFonts w:ascii="宋体"/>
                <w:szCs w:val="21"/>
                <w:highlight w:val="none"/>
              </w:rPr>
            </w:pPr>
            <w:r>
              <w:rPr>
                <w:rFonts w:hint="eastAsia" w:ascii="宋体"/>
                <w:szCs w:val="21"/>
                <w:highlight w:val="none"/>
              </w:rPr>
              <w:t>收款人名称</w:t>
            </w:r>
          </w:p>
        </w:tc>
        <w:tc>
          <w:tcPr>
            <w:tcW w:w="6810" w:type="dxa"/>
            <w:gridSpan w:val="3"/>
            <w:vAlign w:val="center"/>
          </w:tcPr>
          <w:p>
            <w:pPr>
              <w:jc w:val="center"/>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57" w:type="dxa"/>
            <w:vMerge w:val="continue"/>
            <w:vAlign w:val="center"/>
          </w:tcPr>
          <w:p>
            <w:pPr>
              <w:jc w:val="center"/>
              <w:rPr>
                <w:rFonts w:ascii="宋体"/>
                <w:szCs w:val="21"/>
                <w:highlight w:val="none"/>
              </w:rPr>
            </w:pPr>
          </w:p>
        </w:tc>
        <w:tc>
          <w:tcPr>
            <w:tcW w:w="1637" w:type="dxa"/>
            <w:vAlign w:val="center"/>
          </w:tcPr>
          <w:p>
            <w:pPr>
              <w:jc w:val="center"/>
              <w:rPr>
                <w:rFonts w:ascii="宋体"/>
                <w:szCs w:val="21"/>
                <w:highlight w:val="none"/>
              </w:rPr>
            </w:pPr>
            <w:r>
              <w:rPr>
                <w:rFonts w:hint="eastAsia" w:ascii="宋体"/>
                <w:szCs w:val="21"/>
                <w:highlight w:val="none"/>
              </w:rPr>
              <w:t>收款人地址</w:t>
            </w:r>
          </w:p>
        </w:tc>
        <w:tc>
          <w:tcPr>
            <w:tcW w:w="6810" w:type="dxa"/>
            <w:gridSpan w:val="3"/>
            <w:vAlign w:val="center"/>
          </w:tcPr>
          <w:p>
            <w:pPr>
              <w:jc w:val="center"/>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jc w:val="center"/>
        </w:trPr>
        <w:tc>
          <w:tcPr>
            <w:tcW w:w="557" w:type="dxa"/>
            <w:vMerge w:val="continue"/>
            <w:vAlign w:val="center"/>
          </w:tcPr>
          <w:p>
            <w:pPr>
              <w:jc w:val="center"/>
              <w:rPr>
                <w:rFonts w:ascii="宋体"/>
                <w:szCs w:val="21"/>
                <w:highlight w:val="none"/>
              </w:rPr>
            </w:pPr>
          </w:p>
        </w:tc>
        <w:tc>
          <w:tcPr>
            <w:tcW w:w="1637" w:type="dxa"/>
            <w:vAlign w:val="center"/>
          </w:tcPr>
          <w:p>
            <w:pPr>
              <w:jc w:val="center"/>
              <w:rPr>
                <w:rFonts w:ascii="宋体"/>
                <w:szCs w:val="21"/>
                <w:highlight w:val="none"/>
              </w:rPr>
            </w:pPr>
            <w:r>
              <w:rPr>
                <w:rFonts w:hint="eastAsia" w:ascii="宋体"/>
                <w:szCs w:val="21"/>
                <w:highlight w:val="none"/>
              </w:rPr>
              <w:t>开户银行</w:t>
            </w:r>
            <w:r>
              <w:rPr>
                <w:rFonts w:ascii="宋体"/>
                <w:szCs w:val="21"/>
                <w:highlight w:val="none"/>
              </w:rPr>
              <w:br w:type="textWrapping"/>
            </w:r>
            <w:r>
              <w:rPr>
                <w:rFonts w:hint="eastAsia" w:ascii="宋体"/>
                <w:szCs w:val="21"/>
                <w:highlight w:val="none"/>
              </w:rPr>
              <w:t>（含汇入地点）</w:t>
            </w:r>
          </w:p>
        </w:tc>
        <w:tc>
          <w:tcPr>
            <w:tcW w:w="4163" w:type="dxa"/>
            <w:vAlign w:val="center"/>
          </w:tcPr>
          <w:p>
            <w:pPr>
              <w:jc w:val="center"/>
              <w:rPr>
                <w:rFonts w:ascii="宋体"/>
                <w:szCs w:val="21"/>
                <w:highlight w:val="none"/>
              </w:rPr>
            </w:pPr>
          </w:p>
        </w:tc>
        <w:tc>
          <w:tcPr>
            <w:tcW w:w="1097" w:type="dxa"/>
            <w:vAlign w:val="center"/>
          </w:tcPr>
          <w:p>
            <w:pPr>
              <w:jc w:val="center"/>
              <w:rPr>
                <w:rFonts w:ascii="宋体"/>
                <w:szCs w:val="21"/>
                <w:highlight w:val="none"/>
              </w:rPr>
            </w:pPr>
            <w:r>
              <w:rPr>
                <w:rFonts w:hint="eastAsia" w:ascii="宋体"/>
                <w:szCs w:val="21"/>
                <w:highlight w:val="none"/>
              </w:rPr>
              <w:t>联系人</w:t>
            </w:r>
          </w:p>
        </w:tc>
        <w:tc>
          <w:tcPr>
            <w:tcW w:w="1550" w:type="dxa"/>
            <w:vAlign w:val="center"/>
          </w:tcPr>
          <w:p>
            <w:pPr>
              <w:jc w:val="center"/>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57" w:type="dxa"/>
            <w:vMerge w:val="continue"/>
            <w:vAlign w:val="center"/>
          </w:tcPr>
          <w:p>
            <w:pPr>
              <w:jc w:val="center"/>
              <w:rPr>
                <w:rFonts w:ascii="宋体"/>
                <w:szCs w:val="21"/>
                <w:highlight w:val="none"/>
              </w:rPr>
            </w:pPr>
          </w:p>
        </w:tc>
        <w:tc>
          <w:tcPr>
            <w:tcW w:w="1637" w:type="dxa"/>
            <w:vAlign w:val="center"/>
          </w:tcPr>
          <w:p>
            <w:pPr>
              <w:jc w:val="center"/>
              <w:rPr>
                <w:rFonts w:ascii="宋体"/>
                <w:szCs w:val="21"/>
                <w:highlight w:val="none"/>
              </w:rPr>
            </w:pPr>
            <w:r>
              <w:rPr>
                <w:rFonts w:hint="eastAsia" w:ascii="宋体"/>
                <w:szCs w:val="21"/>
                <w:highlight w:val="none"/>
              </w:rPr>
              <w:t>帐    号</w:t>
            </w:r>
          </w:p>
        </w:tc>
        <w:tc>
          <w:tcPr>
            <w:tcW w:w="4163" w:type="dxa"/>
            <w:vAlign w:val="center"/>
          </w:tcPr>
          <w:p>
            <w:pPr>
              <w:jc w:val="center"/>
              <w:rPr>
                <w:rFonts w:ascii="宋体"/>
                <w:szCs w:val="21"/>
                <w:highlight w:val="none"/>
              </w:rPr>
            </w:pPr>
          </w:p>
        </w:tc>
        <w:tc>
          <w:tcPr>
            <w:tcW w:w="1097" w:type="dxa"/>
            <w:vAlign w:val="center"/>
          </w:tcPr>
          <w:p>
            <w:pPr>
              <w:jc w:val="center"/>
              <w:rPr>
                <w:rFonts w:ascii="宋体"/>
                <w:szCs w:val="21"/>
                <w:highlight w:val="none"/>
              </w:rPr>
            </w:pPr>
            <w:r>
              <w:rPr>
                <w:rFonts w:hint="eastAsia" w:ascii="宋体"/>
                <w:szCs w:val="21"/>
                <w:highlight w:val="none"/>
              </w:rPr>
              <w:t>联系电话</w:t>
            </w:r>
          </w:p>
        </w:tc>
        <w:tc>
          <w:tcPr>
            <w:tcW w:w="1550" w:type="dxa"/>
            <w:vAlign w:val="center"/>
          </w:tcPr>
          <w:p>
            <w:pPr>
              <w:jc w:val="center"/>
              <w:rPr>
                <w:rFonts w:ascii="宋体"/>
                <w:szCs w:val="21"/>
                <w:highlight w:val="none"/>
              </w:rPr>
            </w:pPr>
          </w:p>
        </w:tc>
      </w:tr>
    </w:tbl>
    <w:p>
      <w:pPr>
        <w:rPr>
          <w:vanish/>
          <w:highlight w:val="none"/>
        </w:rPr>
      </w:pPr>
    </w:p>
    <w:tbl>
      <w:tblPr>
        <w:tblStyle w:val="42"/>
        <w:tblpPr w:leftFromText="180" w:rightFromText="180" w:vertAnchor="text" w:horzAnchor="margin" w:tblpXSpec="center" w:tblpY="500"/>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2" w:hRule="atLeast"/>
        </w:trPr>
        <w:tc>
          <w:tcPr>
            <w:tcW w:w="9004" w:type="dxa"/>
          </w:tcPr>
          <w:p>
            <w:pPr>
              <w:spacing w:line="360" w:lineRule="auto"/>
              <w:ind w:firstLine="3373" w:firstLineChars="1600"/>
              <w:jc w:val="center"/>
              <w:rPr>
                <w:rFonts w:hAnsi="宋体"/>
                <w:b/>
                <w:szCs w:val="21"/>
                <w:highlight w:val="none"/>
              </w:rPr>
            </w:pPr>
          </w:p>
          <w:p>
            <w:pPr>
              <w:spacing w:line="360" w:lineRule="auto"/>
              <w:ind w:firstLine="3373" w:firstLineChars="1600"/>
              <w:jc w:val="center"/>
              <w:rPr>
                <w:rFonts w:hAnsi="宋体"/>
                <w:b/>
                <w:szCs w:val="21"/>
                <w:highlight w:val="none"/>
              </w:rPr>
            </w:pPr>
          </w:p>
          <w:p>
            <w:pPr>
              <w:spacing w:line="360" w:lineRule="auto"/>
              <w:ind w:firstLine="2566" w:firstLineChars="1217"/>
              <w:rPr>
                <w:rFonts w:hAnsi="宋体"/>
                <w:b/>
                <w:szCs w:val="21"/>
                <w:highlight w:val="none"/>
              </w:rPr>
            </w:pPr>
            <w:r>
              <w:rPr>
                <w:rFonts w:hint="eastAsia" w:hAnsi="宋体"/>
                <w:b/>
                <w:szCs w:val="21"/>
                <w:highlight w:val="none"/>
              </w:rPr>
              <w:t>投标保证金汇款单或转账凭证复印件粘贴处</w:t>
            </w:r>
          </w:p>
          <w:p>
            <w:pPr>
              <w:spacing w:line="360" w:lineRule="auto"/>
              <w:ind w:firstLine="4498"/>
              <w:rPr>
                <w:rFonts w:hAnsi="宋体"/>
                <w:b/>
                <w:szCs w:val="21"/>
                <w:highlight w:val="none"/>
              </w:rPr>
            </w:pPr>
          </w:p>
        </w:tc>
      </w:tr>
    </w:tbl>
    <w:p>
      <w:pPr>
        <w:tabs>
          <w:tab w:val="left" w:pos="2520"/>
        </w:tabs>
        <w:spacing w:line="360" w:lineRule="auto"/>
        <w:ind w:firstLine="420" w:firstLineChars="200"/>
        <w:rPr>
          <w:rFonts w:ascii="宋体" w:hAnsi="宋体"/>
          <w:highlight w:val="none"/>
        </w:rPr>
      </w:pPr>
    </w:p>
    <w:p>
      <w:pPr>
        <w:spacing w:line="400" w:lineRule="exact"/>
        <w:rPr>
          <w:rFonts w:ascii="宋体" w:hAnsi="宋体"/>
          <w:szCs w:val="21"/>
          <w:highlight w:val="none"/>
        </w:rPr>
      </w:pPr>
      <w:r>
        <w:rPr>
          <w:rFonts w:hint="eastAsia" w:ascii="宋体" w:hAnsi="宋体"/>
          <w:szCs w:val="21"/>
          <w:highlight w:val="none"/>
        </w:rPr>
        <w:t>投标人：（盖章）</w:t>
      </w:r>
    </w:p>
    <w:p>
      <w:pPr>
        <w:spacing w:line="400" w:lineRule="exact"/>
        <w:rPr>
          <w:rFonts w:ascii="宋体" w:hAnsi="宋体"/>
          <w:szCs w:val="21"/>
          <w:highlight w:val="none"/>
          <w:u w:val="single"/>
        </w:rPr>
      </w:pPr>
      <w:r>
        <w:rPr>
          <w:rFonts w:hint="eastAsia" w:ascii="宋体" w:hAnsi="宋体"/>
          <w:bCs/>
          <w:szCs w:val="21"/>
          <w:highlight w:val="none"/>
        </w:rPr>
        <w:t>法定代表人或法人授权代表：（签名或盖章）</w:t>
      </w:r>
    </w:p>
    <w:p>
      <w:pPr>
        <w:tabs>
          <w:tab w:val="left" w:pos="1440"/>
        </w:tabs>
        <w:spacing w:line="400" w:lineRule="exact"/>
        <w:rPr>
          <w:rFonts w:ascii="宋体" w:hAnsi="宋体"/>
          <w:szCs w:val="21"/>
          <w:highlight w:val="none"/>
        </w:rPr>
      </w:pPr>
      <w:r>
        <w:rPr>
          <w:rFonts w:hint="eastAsia" w:ascii="宋体" w:hAnsi="宋体"/>
          <w:szCs w:val="21"/>
          <w:highlight w:val="none"/>
        </w:rPr>
        <w:t>日期：    年  月   日</w:t>
      </w:r>
    </w:p>
    <w:p>
      <w:pPr>
        <w:spacing w:line="360" w:lineRule="auto"/>
        <w:rPr>
          <w:rFonts w:ascii="宋体" w:hAnsi="宋体"/>
          <w:bCs/>
          <w:szCs w:val="21"/>
          <w:highlight w:val="none"/>
        </w:rPr>
      </w:pPr>
    </w:p>
    <w:p>
      <w:pPr>
        <w:rPr>
          <w:rFonts w:ascii="宋体" w:hAnsi="宋体"/>
          <w:highlight w:val="none"/>
        </w:rPr>
      </w:pPr>
      <w:r>
        <w:rPr>
          <w:rFonts w:hint="eastAsia" w:ascii="宋体" w:hAnsi="宋体"/>
          <w:highlight w:val="none"/>
        </w:rPr>
        <w:t>注：1、投标人应详细填写本文函，以便项目结束后办理保证金的退回手续。</w:t>
      </w:r>
    </w:p>
    <w:p>
      <w:pPr>
        <w:rPr>
          <w:rFonts w:ascii="宋体" w:hAnsi="宋体"/>
          <w:highlight w:val="none"/>
        </w:rPr>
      </w:pPr>
      <w:r>
        <w:rPr>
          <w:rFonts w:hint="eastAsia" w:ascii="宋体" w:hAnsi="宋体"/>
          <w:highlight w:val="none"/>
        </w:rPr>
        <w:t xml:space="preserve">    </w:t>
      </w:r>
    </w:p>
    <w:p>
      <w:pPr>
        <w:rPr>
          <w:rFonts w:ascii="宋体" w:hAnsi="宋体"/>
          <w:highlight w:val="none"/>
        </w:rPr>
      </w:pPr>
      <w:r>
        <w:rPr>
          <w:rFonts w:hint="eastAsia" w:ascii="宋体" w:hAnsi="宋体"/>
          <w:highlight w:val="none"/>
        </w:rPr>
        <w:t xml:space="preserve">    2、投标保证金限定从投标人基本账户转出。</w:t>
      </w:r>
    </w:p>
    <w:p>
      <w:pPr>
        <w:pStyle w:val="3"/>
        <w:numPr>
          <w:ilvl w:val="0"/>
          <w:numId w:val="0"/>
        </w:numPr>
        <w:snapToGrid w:val="0"/>
        <w:spacing w:before="120" w:after="120"/>
        <w:jc w:val="left"/>
        <w:rPr>
          <w:sz w:val="24"/>
          <w:szCs w:val="24"/>
          <w:highlight w:val="none"/>
        </w:rPr>
      </w:pPr>
      <w:bookmarkStart w:id="487" w:name="_Toc520971424"/>
      <w:bookmarkStart w:id="488" w:name="_Toc9407"/>
      <w:bookmarkStart w:id="489" w:name="_Toc1597"/>
      <w:bookmarkStart w:id="490" w:name="_Toc31629"/>
      <w:bookmarkStart w:id="491" w:name="_Toc16047"/>
      <w:bookmarkStart w:id="492" w:name="_Toc489230122"/>
      <w:bookmarkStart w:id="493" w:name="_Toc2245"/>
      <w:r>
        <w:rPr>
          <w:rFonts w:hint="eastAsia"/>
          <w:sz w:val="24"/>
          <w:szCs w:val="24"/>
          <w:highlight w:val="none"/>
        </w:rPr>
        <w:t>格式9：</w:t>
      </w:r>
      <w:bookmarkEnd w:id="487"/>
      <w:r>
        <w:rPr>
          <w:rFonts w:hint="eastAsia"/>
          <w:sz w:val="24"/>
          <w:szCs w:val="24"/>
          <w:highlight w:val="none"/>
        </w:rPr>
        <w:t>企业信誉</w:t>
      </w:r>
      <w:bookmarkEnd w:id="488"/>
      <w:bookmarkEnd w:id="489"/>
      <w:bookmarkEnd w:id="490"/>
    </w:p>
    <w:p>
      <w:pPr>
        <w:tabs>
          <w:tab w:val="left" w:pos="2520"/>
        </w:tabs>
        <w:spacing w:line="360" w:lineRule="auto"/>
        <w:jc w:val="center"/>
        <w:rPr>
          <w:rFonts w:ascii="宋体" w:hAnsi="宋体"/>
          <w:b/>
          <w:highlight w:val="none"/>
        </w:rPr>
      </w:pPr>
      <w:r>
        <w:rPr>
          <w:rFonts w:hint="eastAsia" w:ascii="宋体" w:hAnsi="宋体"/>
          <w:b/>
          <w:highlight w:val="none"/>
        </w:rPr>
        <w:t>（1）奖励</w:t>
      </w:r>
      <w:r>
        <w:rPr>
          <w:rFonts w:ascii="宋体" w:hAnsi="宋体"/>
          <w:b/>
          <w:highlight w:val="none"/>
        </w:rPr>
        <w:t>/证书一览表</w:t>
      </w:r>
    </w:p>
    <w:tbl>
      <w:tblPr>
        <w:tblStyle w:val="43"/>
        <w:tblW w:w="9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6"/>
        <w:gridCol w:w="2386"/>
        <w:gridCol w:w="2387"/>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2386" w:type="dxa"/>
            <w:vAlign w:val="center"/>
          </w:tcPr>
          <w:p>
            <w:pPr>
              <w:jc w:val="center"/>
              <w:rPr>
                <w:rFonts w:ascii="宋体" w:hAnsi="Calibri"/>
                <w:sz w:val="24"/>
                <w:highlight w:val="none"/>
              </w:rPr>
            </w:pPr>
            <w:r>
              <w:rPr>
                <w:rFonts w:hint="eastAsia" w:ascii="宋体" w:hAnsi="Calibri"/>
                <w:sz w:val="24"/>
                <w:highlight w:val="none"/>
              </w:rPr>
              <w:t>证书名称</w:t>
            </w:r>
          </w:p>
        </w:tc>
        <w:tc>
          <w:tcPr>
            <w:tcW w:w="2386" w:type="dxa"/>
            <w:vAlign w:val="center"/>
          </w:tcPr>
          <w:p>
            <w:pPr>
              <w:jc w:val="center"/>
              <w:rPr>
                <w:rFonts w:ascii="宋体" w:hAnsi="Calibri"/>
                <w:sz w:val="24"/>
                <w:highlight w:val="none"/>
              </w:rPr>
            </w:pPr>
            <w:r>
              <w:rPr>
                <w:rFonts w:hint="eastAsia" w:ascii="宋体" w:hAnsi="Calibri"/>
                <w:sz w:val="24"/>
                <w:highlight w:val="none"/>
              </w:rPr>
              <w:t>发证单位</w:t>
            </w:r>
          </w:p>
        </w:tc>
        <w:tc>
          <w:tcPr>
            <w:tcW w:w="2387" w:type="dxa"/>
            <w:vAlign w:val="center"/>
          </w:tcPr>
          <w:p>
            <w:pPr>
              <w:jc w:val="center"/>
              <w:rPr>
                <w:rFonts w:ascii="宋体" w:hAnsi="Calibri"/>
                <w:sz w:val="24"/>
                <w:highlight w:val="none"/>
              </w:rPr>
            </w:pPr>
            <w:r>
              <w:rPr>
                <w:rFonts w:hint="eastAsia" w:ascii="宋体" w:hAnsi="Calibri"/>
                <w:sz w:val="24"/>
                <w:highlight w:val="none"/>
              </w:rPr>
              <w:t>证书等级</w:t>
            </w:r>
          </w:p>
        </w:tc>
        <w:tc>
          <w:tcPr>
            <w:tcW w:w="2387" w:type="dxa"/>
            <w:vAlign w:val="center"/>
          </w:tcPr>
          <w:p>
            <w:pPr>
              <w:jc w:val="center"/>
              <w:rPr>
                <w:rFonts w:ascii="宋体" w:hAnsi="Calibri"/>
                <w:sz w:val="24"/>
                <w:highlight w:val="none"/>
              </w:rPr>
            </w:pPr>
            <w:r>
              <w:rPr>
                <w:rFonts w:hint="eastAsia" w:ascii="宋体" w:hAnsi="Calibri"/>
                <w:sz w:val="24"/>
                <w:highlight w:val="none"/>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386" w:type="dxa"/>
            <w:vAlign w:val="center"/>
          </w:tcPr>
          <w:p>
            <w:pPr>
              <w:jc w:val="center"/>
              <w:rPr>
                <w:rFonts w:ascii="宋体" w:hAnsi="Calibri"/>
                <w:szCs w:val="21"/>
                <w:highlight w:val="none"/>
              </w:rPr>
            </w:pPr>
          </w:p>
        </w:tc>
        <w:tc>
          <w:tcPr>
            <w:tcW w:w="2386" w:type="dxa"/>
            <w:vAlign w:val="center"/>
          </w:tcPr>
          <w:p>
            <w:pPr>
              <w:jc w:val="center"/>
              <w:rPr>
                <w:rFonts w:ascii="宋体" w:hAnsi="Calibri"/>
                <w:szCs w:val="21"/>
                <w:highlight w:val="none"/>
              </w:rPr>
            </w:pPr>
          </w:p>
        </w:tc>
        <w:tc>
          <w:tcPr>
            <w:tcW w:w="2387" w:type="dxa"/>
            <w:vAlign w:val="center"/>
          </w:tcPr>
          <w:p>
            <w:pPr>
              <w:jc w:val="center"/>
              <w:rPr>
                <w:rFonts w:ascii="宋体" w:hAnsi="Calibri"/>
                <w:szCs w:val="21"/>
                <w:highlight w:val="none"/>
              </w:rPr>
            </w:pPr>
          </w:p>
        </w:tc>
        <w:tc>
          <w:tcPr>
            <w:tcW w:w="2387" w:type="dxa"/>
            <w:vAlign w:val="center"/>
          </w:tcPr>
          <w:p>
            <w:pPr>
              <w:jc w:val="center"/>
              <w:rPr>
                <w:rFonts w:ascii="宋体" w:hAnsi="Calibri"/>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386" w:type="dxa"/>
            <w:vAlign w:val="center"/>
          </w:tcPr>
          <w:p>
            <w:pPr>
              <w:jc w:val="center"/>
              <w:rPr>
                <w:rFonts w:ascii="宋体" w:hAnsi="Calibri"/>
                <w:szCs w:val="21"/>
                <w:highlight w:val="none"/>
              </w:rPr>
            </w:pPr>
          </w:p>
        </w:tc>
        <w:tc>
          <w:tcPr>
            <w:tcW w:w="2386" w:type="dxa"/>
            <w:vAlign w:val="center"/>
          </w:tcPr>
          <w:p>
            <w:pPr>
              <w:jc w:val="center"/>
              <w:rPr>
                <w:rFonts w:ascii="宋体" w:hAnsi="Calibri"/>
                <w:szCs w:val="21"/>
                <w:highlight w:val="none"/>
              </w:rPr>
            </w:pPr>
          </w:p>
        </w:tc>
        <w:tc>
          <w:tcPr>
            <w:tcW w:w="2387" w:type="dxa"/>
            <w:vAlign w:val="center"/>
          </w:tcPr>
          <w:p>
            <w:pPr>
              <w:jc w:val="center"/>
              <w:rPr>
                <w:rFonts w:ascii="宋体" w:hAnsi="Calibri"/>
                <w:szCs w:val="21"/>
                <w:highlight w:val="none"/>
              </w:rPr>
            </w:pPr>
          </w:p>
        </w:tc>
        <w:tc>
          <w:tcPr>
            <w:tcW w:w="2387" w:type="dxa"/>
            <w:vAlign w:val="center"/>
          </w:tcPr>
          <w:p>
            <w:pPr>
              <w:jc w:val="center"/>
              <w:rPr>
                <w:rFonts w:ascii="宋体" w:hAnsi="Calibri"/>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386" w:type="dxa"/>
            <w:vAlign w:val="center"/>
          </w:tcPr>
          <w:p>
            <w:pPr>
              <w:jc w:val="center"/>
              <w:rPr>
                <w:rFonts w:ascii="宋体" w:hAnsi="Calibri"/>
                <w:szCs w:val="21"/>
                <w:highlight w:val="none"/>
              </w:rPr>
            </w:pPr>
          </w:p>
        </w:tc>
        <w:tc>
          <w:tcPr>
            <w:tcW w:w="2386" w:type="dxa"/>
            <w:vAlign w:val="center"/>
          </w:tcPr>
          <w:p>
            <w:pPr>
              <w:jc w:val="center"/>
              <w:rPr>
                <w:rFonts w:ascii="宋体" w:hAnsi="Calibri"/>
                <w:szCs w:val="21"/>
                <w:highlight w:val="none"/>
              </w:rPr>
            </w:pPr>
          </w:p>
        </w:tc>
        <w:tc>
          <w:tcPr>
            <w:tcW w:w="2387" w:type="dxa"/>
            <w:vAlign w:val="center"/>
          </w:tcPr>
          <w:p>
            <w:pPr>
              <w:jc w:val="center"/>
              <w:rPr>
                <w:rFonts w:ascii="宋体" w:hAnsi="Calibri"/>
                <w:szCs w:val="21"/>
                <w:highlight w:val="none"/>
              </w:rPr>
            </w:pPr>
          </w:p>
        </w:tc>
        <w:tc>
          <w:tcPr>
            <w:tcW w:w="2387" w:type="dxa"/>
            <w:vAlign w:val="center"/>
          </w:tcPr>
          <w:p>
            <w:pPr>
              <w:jc w:val="center"/>
              <w:rPr>
                <w:rFonts w:ascii="宋体" w:hAnsi="Calibri"/>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2386" w:type="dxa"/>
            <w:vAlign w:val="center"/>
          </w:tcPr>
          <w:p>
            <w:pPr>
              <w:jc w:val="center"/>
              <w:rPr>
                <w:rFonts w:ascii="宋体" w:hAnsi="Calibri"/>
                <w:szCs w:val="21"/>
                <w:highlight w:val="none"/>
              </w:rPr>
            </w:pPr>
          </w:p>
        </w:tc>
        <w:tc>
          <w:tcPr>
            <w:tcW w:w="2386" w:type="dxa"/>
            <w:vAlign w:val="center"/>
          </w:tcPr>
          <w:p>
            <w:pPr>
              <w:jc w:val="center"/>
              <w:rPr>
                <w:rFonts w:ascii="宋体" w:hAnsi="Calibri"/>
                <w:szCs w:val="21"/>
                <w:highlight w:val="none"/>
              </w:rPr>
            </w:pPr>
          </w:p>
        </w:tc>
        <w:tc>
          <w:tcPr>
            <w:tcW w:w="2387" w:type="dxa"/>
            <w:vAlign w:val="center"/>
          </w:tcPr>
          <w:p>
            <w:pPr>
              <w:jc w:val="center"/>
              <w:rPr>
                <w:rFonts w:ascii="宋体" w:hAnsi="Calibri"/>
                <w:szCs w:val="21"/>
                <w:highlight w:val="none"/>
              </w:rPr>
            </w:pPr>
          </w:p>
        </w:tc>
        <w:tc>
          <w:tcPr>
            <w:tcW w:w="2387" w:type="dxa"/>
            <w:vAlign w:val="center"/>
          </w:tcPr>
          <w:p>
            <w:pPr>
              <w:jc w:val="center"/>
              <w:rPr>
                <w:rFonts w:ascii="宋体" w:hAnsi="Calibri"/>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386" w:type="dxa"/>
            <w:vAlign w:val="center"/>
          </w:tcPr>
          <w:p>
            <w:pPr>
              <w:jc w:val="center"/>
              <w:rPr>
                <w:rFonts w:ascii="宋体" w:hAnsi="Calibri"/>
                <w:szCs w:val="21"/>
                <w:highlight w:val="none"/>
              </w:rPr>
            </w:pPr>
          </w:p>
        </w:tc>
        <w:tc>
          <w:tcPr>
            <w:tcW w:w="2386" w:type="dxa"/>
            <w:vAlign w:val="center"/>
          </w:tcPr>
          <w:p>
            <w:pPr>
              <w:jc w:val="center"/>
              <w:rPr>
                <w:rFonts w:ascii="宋体" w:hAnsi="Calibri"/>
                <w:szCs w:val="21"/>
                <w:highlight w:val="none"/>
              </w:rPr>
            </w:pPr>
          </w:p>
        </w:tc>
        <w:tc>
          <w:tcPr>
            <w:tcW w:w="2387" w:type="dxa"/>
            <w:vAlign w:val="center"/>
          </w:tcPr>
          <w:p>
            <w:pPr>
              <w:jc w:val="center"/>
              <w:rPr>
                <w:rFonts w:ascii="宋体" w:hAnsi="Calibri"/>
                <w:szCs w:val="21"/>
                <w:highlight w:val="none"/>
              </w:rPr>
            </w:pPr>
          </w:p>
        </w:tc>
        <w:tc>
          <w:tcPr>
            <w:tcW w:w="2387" w:type="dxa"/>
            <w:vAlign w:val="center"/>
          </w:tcPr>
          <w:p>
            <w:pPr>
              <w:jc w:val="center"/>
              <w:rPr>
                <w:rFonts w:ascii="宋体" w:hAnsi="Calibri"/>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386" w:type="dxa"/>
            <w:vAlign w:val="center"/>
          </w:tcPr>
          <w:p>
            <w:pPr>
              <w:jc w:val="center"/>
              <w:rPr>
                <w:rFonts w:ascii="宋体" w:hAnsi="Calibri"/>
                <w:szCs w:val="21"/>
                <w:highlight w:val="none"/>
              </w:rPr>
            </w:pPr>
          </w:p>
        </w:tc>
        <w:tc>
          <w:tcPr>
            <w:tcW w:w="2386" w:type="dxa"/>
            <w:vAlign w:val="center"/>
          </w:tcPr>
          <w:p>
            <w:pPr>
              <w:jc w:val="center"/>
              <w:rPr>
                <w:rFonts w:ascii="宋体" w:hAnsi="Calibri"/>
                <w:szCs w:val="21"/>
                <w:highlight w:val="none"/>
              </w:rPr>
            </w:pPr>
          </w:p>
        </w:tc>
        <w:tc>
          <w:tcPr>
            <w:tcW w:w="2387" w:type="dxa"/>
            <w:vAlign w:val="center"/>
          </w:tcPr>
          <w:p>
            <w:pPr>
              <w:jc w:val="center"/>
              <w:rPr>
                <w:rFonts w:ascii="宋体" w:hAnsi="Calibri"/>
                <w:szCs w:val="21"/>
                <w:highlight w:val="none"/>
              </w:rPr>
            </w:pPr>
          </w:p>
        </w:tc>
        <w:tc>
          <w:tcPr>
            <w:tcW w:w="2387" w:type="dxa"/>
            <w:vAlign w:val="center"/>
          </w:tcPr>
          <w:p>
            <w:pPr>
              <w:jc w:val="center"/>
              <w:rPr>
                <w:rFonts w:ascii="宋体" w:hAnsi="Calibri"/>
                <w:szCs w:val="21"/>
                <w:highlight w:val="none"/>
              </w:rPr>
            </w:pPr>
          </w:p>
        </w:tc>
      </w:tr>
    </w:tbl>
    <w:p>
      <w:pPr>
        <w:rPr>
          <w:rFonts w:ascii="宋体"/>
          <w:sz w:val="24"/>
          <w:highlight w:val="none"/>
        </w:rPr>
      </w:pPr>
    </w:p>
    <w:p>
      <w:pPr>
        <w:rPr>
          <w:rFonts w:ascii="宋体"/>
          <w:sz w:val="24"/>
          <w:highlight w:val="none"/>
        </w:rPr>
      </w:pPr>
      <w:r>
        <w:rPr>
          <w:rFonts w:hint="eastAsia" w:ascii="宋体"/>
          <w:sz w:val="24"/>
          <w:highlight w:val="none"/>
        </w:rPr>
        <w:t>填写要求：</w:t>
      </w:r>
    </w:p>
    <w:p>
      <w:pPr>
        <w:rPr>
          <w:rFonts w:ascii="宋体" w:hAnsi="宋体"/>
          <w:sz w:val="24"/>
          <w:highlight w:val="none"/>
        </w:rPr>
      </w:pPr>
      <w:r>
        <w:rPr>
          <w:rFonts w:hint="eastAsia" w:ascii="宋体"/>
          <w:sz w:val="24"/>
          <w:highlight w:val="none"/>
        </w:rPr>
        <w:t>1、列出</w:t>
      </w:r>
      <w:r>
        <w:rPr>
          <w:rFonts w:hint="eastAsia" w:ascii="宋体" w:hAnsi="宋体"/>
          <w:sz w:val="24"/>
          <w:highlight w:val="none"/>
        </w:rPr>
        <w:t>国家有关部门或行业协会颁发的资质等级或奖项。</w:t>
      </w:r>
    </w:p>
    <w:p>
      <w:pPr>
        <w:rPr>
          <w:rFonts w:ascii="宋体"/>
          <w:sz w:val="24"/>
          <w:highlight w:val="none"/>
        </w:rPr>
      </w:pPr>
      <w:r>
        <w:rPr>
          <w:rFonts w:hint="eastAsia" w:ascii="宋体"/>
          <w:sz w:val="24"/>
          <w:highlight w:val="none"/>
        </w:rPr>
        <w:t>2、提供所列证书材料复印件。</w:t>
      </w:r>
    </w:p>
    <w:p>
      <w:pPr>
        <w:rPr>
          <w:rFonts w:ascii="宋体"/>
          <w:sz w:val="24"/>
          <w:highlight w:val="none"/>
        </w:rPr>
      </w:pPr>
    </w:p>
    <w:p>
      <w:pPr>
        <w:jc w:val="center"/>
        <w:rPr>
          <w:rFonts w:ascii="宋体"/>
          <w:sz w:val="24"/>
          <w:highlight w:val="none"/>
        </w:rPr>
      </w:pPr>
      <w:r>
        <w:rPr>
          <w:rFonts w:hint="eastAsia" w:ascii="宋体"/>
          <w:sz w:val="24"/>
          <w:highlight w:val="none"/>
        </w:rPr>
        <w:t xml:space="preserve">                                      投标人：（公章）</w:t>
      </w:r>
    </w:p>
    <w:p>
      <w:pPr>
        <w:jc w:val="center"/>
        <w:rPr>
          <w:rFonts w:ascii="宋体"/>
          <w:sz w:val="24"/>
          <w:highlight w:val="none"/>
        </w:rPr>
      </w:pPr>
      <w:r>
        <w:rPr>
          <w:rFonts w:hint="eastAsia" w:ascii="宋体"/>
          <w:sz w:val="24"/>
          <w:highlight w:val="none"/>
        </w:rPr>
        <w:t xml:space="preserve">                         日期：</w:t>
      </w:r>
    </w:p>
    <w:p>
      <w:pPr>
        <w:jc w:val="center"/>
        <w:rPr>
          <w:rFonts w:ascii="宋体"/>
          <w:sz w:val="24"/>
          <w:highlight w:val="none"/>
        </w:rPr>
      </w:pPr>
    </w:p>
    <w:p>
      <w:pPr>
        <w:tabs>
          <w:tab w:val="left" w:pos="2520"/>
        </w:tabs>
        <w:spacing w:line="360" w:lineRule="auto"/>
        <w:jc w:val="center"/>
        <w:rPr>
          <w:rFonts w:ascii="宋体" w:hAnsi="宋体"/>
          <w:b/>
          <w:highlight w:val="none"/>
        </w:rPr>
      </w:pPr>
      <w:r>
        <w:rPr>
          <w:rFonts w:hint="eastAsia" w:ascii="宋体" w:hAnsi="宋体"/>
          <w:b/>
          <w:highlight w:val="none"/>
        </w:rPr>
        <w:t>（2）管理体系</w:t>
      </w:r>
      <w:r>
        <w:rPr>
          <w:rFonts w:ascii="宋体" w:hAnsi="宋体"/>
          <w:b/>
          <w:highlight w:val="none"/>
        </w:rPr>
        <w:t>证书一览表</w:t>
      </w:r>
    </w:p>
    <w:tbl>
      <w:tblPr>
        <w:tblStyle w:val="43"/>
        <w:tblW w:w="7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6"/>
        <w:gridCol w:w="2386"/>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2386" w:type="dxa"/>
            <w:vAlign w:val="center"/>
          </w:tcPr>
          <w:p>
            <w:pPr>
              <w:jc w:val="center"/>
              <w:rPr>
                <w:rFonts w:ascii="宋体" w:hAnsi="Calibri"/>
                <w:sz w:val="24"/>
                <w:highlight w:val="none"/>
              </w:rPr>
            </w:pPr>
            <w:r>
              <w:rPr>
                <w:rFonts w:hint="eastAsia" w:ascii="宋体" w:hAnsi="Calibri"/>
                <w:sz w:val="24"/>
                <w:highlight w:val="none"/>
              </w:rPr>
              <w:t>证书名称</w:t>
            </w:r>
          </w:p>
        </w:tc>
        <w:tc>
          <w:tcPr>
            <w:tcW w:w="2386" w:type="dxa"/>
            <w:vAlign w:val="center"/>
          </w:tcPr>
          <w:p>
            <w:pPr>
              <w:jc w:val="center"/>
              <w:rPr>
                <w:rFonts w:ascii="宋体" w:hAnsi="Calibri"/>
                <w:sz w:val="24"/>
                <w:highlight w:val="none"/>
              </w:rPr>
            </w:pPr>
            <w:r>
              <w:rPr>
                <w:rFonts w:hint="eastAsia" w:ascii="宋体" w:hAnsi="Calibri"/>
                <w:sz w:val="24"/>
                <w:highlight w:val="none"/>
              </w:rPr>
              <w:t>发证单位</w:t>
            </w:r>
          </w:p>
        </w:tc>
        <w:tc>
          <w:tcPr>
            <w:tcW w:w="2387" w:type="dxa"/>
            <w:vAlign w:val="center"/>
          </w:tcPr>
          <w:p>
            <w:pPr>
              <w:jc w:val="center"/>
              <w:rPr>
                <w:rFonts w:ascii="宋体" w:hAnsi="Calibri"/>
                <w:sz w:val="24"/>
                <w:highlight w:val="none"/>
              </w:rPr>
            </w:pPr>
            <w:r>
              <w:rPr>
                <w:rFonts w:hint="eastAsia" w:ascii="宋体" w:hAnsi="Calibri"/>
                <w:sz w:val="24"/>
                <w:highlight w:val="none"/>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386" w:type="dxa"/>
            <w:vAlign w:val="center"/>
          </w:tcPr>
          <w:p>
            <w:pPr>
              <w:jc w:val="center"/>
              <w:rPr>
                <w:rFonts w:ascii="宋体" w:hAnsi="Calibri"/>
                <w:szCs w:val="21"/>
                <w:highlight w:val="none"/>
              </w:rPr>
            </w:pPr>
          </w:p>
        </w:tc>
        <w:tc>
          <w:tcPr>
            <w:tcW w:w="2386" w:type="dxa"/>
            <w:vAlign w:val="center"/>
          </w:tcPr>
          <w:p>
            <w:pPr>
              <w:jc w:val="center"/>
              <w:rPr>
                <w:rFonts w:ascii="宋体" w:hAnsi="Calibri"/>
                <w:szCs w:val="21"/>
                <w:highlight w:val="none"/>
              </w:rPr>
            </w:pPr>
          </w:p>
        </w:tc>
        <w:tc>
          <w:tcPr>
            <w:tcW w:w="2387" w:type="dxa"/>
            <w:vAlign w:val="center"/>
          </w:tcPr>
          <w:p>
            <w:pPr>
              <w:jc w:val="center"/>
              <w:rPr>
                <w:rFonts w:ascii="宋体" w:hAnsi="Calibri"/>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386" w:type="dxa"/>
            <w:vAlign w:val="center"/>
          </w:tcPr>
          <w:p>
            <w:pPr>
              <w:jc w:val="center"/>
              <w:rPr>
                <w:rFonts w:ascii="宋体" w:hAnsi="Calibri"/>
                <w:szCs w:val="21"/>
                <w:highlight w:val="none"/>
              </w:rPr>
            </w:pPr>
          </w:p>
        </w:tc>
        <w:tc>
          <w:tcPr>
            <w:tcW w:w="2386" w:type="dxa"/>
            <w:vAlign w:val="center"/>
          </w:tcPr>
          <w:p>
            <w:pPr>
              <w:jc w:val="center"/>
              <w:rPr>
                <w:rFonts w:ascii="宋体" w:hAnsi="Calibri"/>
                <w:szCs w:val="21"/>
                <w:highlight w:val="none"/>
              </w:rPr>
            </w:pPr>
          </w:p>
        </w:tc>
        <w:tc>
          <w:tcPr>
            <w:tcW w:w="2387" w:type="dxa"/>
            <w:vAlign w:val="center"/>
          </w:tcPr>
          <w:p>
            <w:pPr>
              <w:jc w:val="center"/>
              <w:rPr>
                <w:rFonts w:ascii="宋体" w:hAnsi="Calibri"/>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386" w:type="dxa"/>
            <w:vAlign w:val="center"/>
          </w:tcPr>
          <w:p>
            <w:pPr>
              <w:jc w:val="center"/>
              <w:rPr>
                <w:rFonts w:ascii="宋体" w:hAnsi="Calibri"/>
                <w:szCs w:val="21"/>
                <w:highlight w:val="none"/>
              </w:rPr>
            </w:pPr>
          </w:p>
        </w:tc>
        <w:tc>
          <w:tcPr>
            <w:tcW w:w="2386" w:type="dxa"/>
            <w:vAlign w:val="center"/>
          </w:tcPr>
          <w:p>
            <w:pPr>
              <w:jc w:val="center"/>
              <w:rPr>
                <w:rFonts w:ascii="宋体" w:hAnsi="Calibri"/>
                <w:szCs w:val="21"/>
                <w:highlight w:val="none"/>
              </w:rPr>
            </w:pPr>
          </w:p>
        </w:tc>
        <w:tc>
          <w:tcPr>
            <w:tcW w:w="2387" w:type="dxa"/>
            <w:vAlign w:val="center"/>
          </w:tcPr>
          <w:p>
            <w:pPr>
              <w:jc w:val="center"/>
              <w:rPr>
                <w:rFonts w:ascii="宋体" w:hAnsi="Calibri"/>
                <w:szCs w:val="21"/>
                <w:highlight w:val="none"/>
              </w:rPr>
            </w:pPr>
          </w:p>
        </w:tc>
      </w:tr>
    </w:tbl>
    <w:p>
      <w:pPr>
        <w:rPr>
          <w:rFonts w:ascii="宋体"/>
          <w:sz w:val="24"/>
          <w:highlight w:val="none"/>
        </w:rPr>
      </w:pPr>
    </w:p>
    <w:p>
      <w:pPr>
        <w:rPr>
          <w:rFonts w:ascii="宋体"/>
          <w:sz w:val="24"/>
          <w:highlight w:val="none"/>
        </w:rPr>
      </w:pPr>
      <w:r>
        <w:rPr>
          <w:rFonts w:hint="eastAsia" w:ascii="宋体"/>
          <w:sz w:val="24"/>
          <w:highlight w:val="none"/>
        </w:rPr>
        <w:t>填写要求：</w:t>
      </w:r>
    </w:p>
    <w:p>
      <w:pPr>
        <w:rPr>
          <w:rFonts w:ascii="宋体" w:hAnsi="宋体"/>
          <w:sz w:val="24"/>
          <w:highlight w:val="none"/>
        </w:rPr>
      </w:pPr>
      <w:r>
        <w:rPr>
          <w:rFonts w:hint="eastAsia" w:ascii="宋体" w:hAnsi="宋体"/>
          <w:sz w:val="24"/>
          <w:highlight w:val="none"/>
        </w:rPr>
        <w:t>1、如投标人具备ISO 9001质量管理体系认证证书、OHSAS 18001职业健康和安全管理体系认证证书、ISO14001环境管理体系认证，请在上表中列明。</w:t>
      </w:r>
    </w:p>
    <w:p>
      <w:pPr>
        <w:rPr>
          <w:rFonts w:ascii="宋体" w:hAnsi="宋体"/>
          <w:sz w:val="24"/>
          <w:highlight w:val="none"/>
        </w:rPr>
      </w:pPr>
      <w:r>
        <w:rPr>
          <w:rFonts w:hint="eastAsia" w:ascii="宋体" w:hAnsi="宋体"/>
          <w:sz w:val="24"/>
          <w:highlight w:val="none"/>
        </w:rPr>
        <w:t>2、提供所列证书材料的复印件。</w:t>
      </w:r>
    </w:p>
    <w:p>
      <w:pPr>
        <w:jc w:val="center"/>
        <w:rPr>
          <w:rFonts w:ascii="宋体"/>
          <w:sz w:val="24"/>
          <w:highlight w:val="none"/>
        </w:rPr>
      </w:pPr>
    </w:p>
    <w:p>
      <w:pPr>
        <w:jc w:val="center"/>
        <w:rPr>
          <w:rFonts w:ascii="宋体"/>
          <w:sz w:val="24"/>
          <w:highlight w:val="none"/>
        </w:rPr>
      </w:pPr>
      <w:r>
        <w:rPr>
          <w:rFonts w:hint="eastAsia" w:ascii="宋体"/>
          <w:sz w:val="24"/>
          <w:highlight w:val="none"/>
        </w:rPr>
        <w:t xml:space="preserve">          投标人：（公章）</w:t>
      </w:r>
    </w:p>
    <w:p>
      <w:pPr>
        <w:jc w:val="center"/>
        <w:rPr>
          <w:rFonts w:ascii="宋体"/>
          <w:sz w:val="24"/>
          <w:highlight w:val="none"/>
        </w:rPr>
      </w:pPr>
      <w:r>
        <w:rPr>
          <w:rFonts w:hint="eastAsia" w:ascii="宋体"/>
          <w:sz w:val="24"/>
          <w:highlight w:val="none"/>
        </w:rPr>
        <w:t>日期：</w:t>
      </w:r>
    </w:p>
    <w:p>
      <w:pPr>
        <w:widowControl/>
        <w:jc w:val="left"/>
        <w:rPr>
          <w:rFonts w:ascii="宋体" w:hAnsi="Arial" w:eastAsia="黑体"/>
          <w:b/>
          <w:kern w:val="0"/>
          <w:sz w:val="24"/>
          <w:szCs w:val="20"/>
          <w:highlight w:val="none"/>
        </w:rPr>
      </w:pPr>
    </w:p>
    <w:p>
      <w:pPr>
        <w:pStyle w:val="3"/>
        <w:numPr>
          <w:ilvl w:val="0"/>
          <w:numId w:val="0"/>
        </w:numPr>
        <w:snapToGrid w:val="0"/>
        <w:spacing w:before="120" w:after="120"/>
        <w:jc w:val="left"/>
        <w:rPr>
          <w:sz w:val="24"/>
          <w:szCs w:val="24"/>
          <w:highlight w:val="none"/>
        </w:rPr>
      </w:pPr>
      <w:bookmarkStart w:id="494" w:name="_Toc520971425"/>
      <w:r>
        <w:rPr>
          <w:rFonts w:hint="eastAsia"/>
          <w:sz w:val="24"/>
          <w:szCs w:val="24"/>
          <w:highlight w:val="none"/>
        </w:rPr>
        <w:br w:type="page"/>
      </w:r>
    </w:p>
    <w:p>
      <w:pPr>
        <w:pStyle w:val="3"/>
        <w:numPr>
          <w:ilvl w:val="0"/>
          <w:numId w:val="0"/>
        </w:numPr>
        <w:snapToGrid w:val="0"/>
        <w:spacing w:before="120" w:after="120"/>
        <w:jc w:val="left"/>
        <w:rPr>
          <w:sz w:val="24"/>
          <w:szCs w:val="24"/>
          <w:highlight w:val="none"/>
        </w:rPr>
      </w:pPr>
      <w:bookmarkStart w:id="495" w:name="_Toc15718"/>
      <w:bookmarkStart w:id="496" w:name="_Toc6828"/>
      <w:bookmarkStart w:id="497" w:name="_Toc4579"/>
      <w:r>
        <w:rPr>
          <w:rFonts w:hint="eastAsia"/>
          <w:sz w:val="24"/>
          <w:szCs w:val="24"/>
          <w:highlight w:val="none"/>
        </w:rPr>
        <w:t>格式10：财务状况</w:t>
      </w:r>
      <w:bookmarkEnd w:id="495"/>
      <w:bookmarkEnd w:id="496"/>
      <w:bookmarkEnd w:id="497"/>
    </w:p>
    <w:p>
      <w:pPr>
        <w:jc w:val="center"/>
        <w:rPr>
          <w:rFonts w:ascii="宋体"/>
          <w:b/>
          <w:bCs/>
          <w:szCs w:val="21"/>
          <w:highlight w:val="none"/>
        </w:rPr>
      </w:pPr>
      <w:r>
        <w:rPr>
          <w:rFonts w:hint="eastAsia" w:ascii="宋体"/>
          <w:b/>
          <w:bCs/>
          <w:szCs w:val="21"/>
          <w:highlight w:val="none"/>
        </w:rPr>
        <w:t>（1）投标人近三年（2016-2018）主营业务累计营业额</w:t>
      </w:r>
    </w:p>
    <w:p>
      <w:pPr>
        <w:jc w:val="center"/>
        <w:rPr>
          <w:rFonts w:asciiTheme="minorEastAsia" w:hAnsiTheme="minorEastAsia" w:eastAsiaTheme="minorEastAsia"/>
          <w:szCs w:val="21"/>
          <w:highlight w:val="none"/>
        </w:rPr>
      </w:pPr>
    </w:p>
    <w:p>
      <w:pPr>
        <w:jc w:val="center"/>
        <w:rPr>
          <w:rFonts w:asciiTheme="minorEastAsia" w:hAnsiTheme="minorEastAsia" w:eastAsiaTheme="minorEastAsia"/>
          <w:szCs w:val="21"/>
          <w:highlight w:val="none"/>
        </w:rPr>
      </w:pPr>
    </w:p>
    <w:tbl>
      <w:tblPr>
        <w:tblStyle w:val="43"/>
        <w:tblW w:w="8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6"/>
        <w:gridCol w:w="5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2386" w:type="dxa"/>
            <w:vAlign w:val="center"/>
          </w:tcPr>
          <w:p>
            <w:pPr>
              <w:jc w:val="center"/>
              <w:rPr>
                <w:rFonts w:ascii="宋体" w:hAnsi="Calibri"/>
                <w:sz w:val="24"/>
                <w:highlight w:val="none"/>
              </w:rPr>
            </w:pPr>
            <w:r>
              <w:rPr>
                <w:rFonts w:hint="eastAsia" w:ascii="宋体" w:hAnsi="Calibri"/>
                <w:sz w:val="24"/>
                <w:highlight w:val="none"/>
              </w:rPr>
              <w:t>年度</w:t>
            </w:r>
          </w:p>
        </w:tc>
        <w:tc>
          <w:tcPr>
            <w:tcW w:w="5798" w:type="dxa"/>
            <w:vAlign w:val="center"/>
          </w:tcPr>
          <w:p>
            <w:pPr>
              <w:jc w:val="center"/>
              <w:rPr>
                <w:rFonts w:ascii="宋体" w:hAnsi="Calibri"/>
                <w:sz w:val="24"/>
                <w:highlight w:val="none"/>
              </w:rPr>
            </w:pPr>
            <w:r>
              <w:rPr>
                <w:rFonts w:hint="eastAsia" w:ascii="宋体" w:hAnsi="Calibri"/>
                <w:sz w:val="24"/>
                <w:highlight w:val="none"/>
              </w:rPr>
              <w:t>主营业务营业额</w:t>
            </w:r>
          </w:p>
          <w:p>
            <w:pPr>
              <w:jc w:val="center"/>
              <w:rPr>
                <w:rFonts w:ascii="宋体" w:hAnsi="Calibri"/>
                <w:sz w:val="24"/>
                <w:highlight w:val="none"/>
              </w:rPr>
            </w:pPr>
            <w:r>
              <w:rPr>
                <w:rFonts w:hint="eastAsia" w:ascii="宋体" w:hAnsi="Calibri"/>
                <w:sz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386" w:type="dxa"/>
            <w:vAlign w:val="center"/>
          </w:tcPr>
          <w:p>
            <w:pPr>
              <w:jc w:val="center"/>
              <w:rPr>
                <w:rFonts w:ascii="宋体" w:hAnsi="Calibri"/>
                <w:sz w:val="24"/>
                <w:highlight w:val="none"/>
              </w:rPr>
            </w:pPr>
            <w:r>
              <w:rPr>
                <w:rFonts w:hint="eastAsia" w:ascii="宋体" w:hAnsi="Calibri"/>
                <w:sz w:val="24"/>
                <w:highlight w:val="none"/>
              </w:rPr>
              <w:t>2016</w:t>
            </w:r>
          </w:p>
        </w:tc>
        <w:tc>
          <w:tcPr>
            <w:tcW w:w="5798" w:type="dxa"/>
            <w:vAlign w:val="center"/>
          </w:tcPr>
          <w:p>
            <w:pPr>
              <w:jc w:val="center"/>
              <w:rPr>
                <w:rFonts w:ascii="宋体" w:hAnsi="Calibri"/>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386" w:type="dxa"/>
            <w:vAlign w:val="center"/>
          </w:tcPr>
          <w:p>
            <w:pPr>
              <w:jc w:val="center"/>
              <w:rPr>
                <w:rFonts w:ascii="宋体" w:hAnsi="Calibri"/>
                <w:sz w:val="24"/>
                <w:highlight w:val="none"/>
              </w:rPr>
            </w:pPr>
            <w:r>
              <w:rPr>
                <w:rFonts w:hint="eastAsia" w:ascii="宋体" w:hAnsi="Calibri"/>
                <w:sz w:val="24"/>
                <w:highlight w:val="none"/>
              </w:rPr>
              <w:t>2017</w:t>
            </w:r>
          </w:p>
        </w:tc>
        <w:tc>
          <w:tcPr>
            <w:tcW w:w="5798" w:type="dxa"/>
            <w:vAlign w:val="center"/>
          </w:tcPr>
          <w:p>
            <w:pPr>
              <w:jc w:val="center"/>
              <w:rPr>
                <w:rFonts w:ascii="宋体" w:hAnsi="Calibri"/>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386" w:type="dxa"/>
            <w:vAlign w:val="center"/>
          </w:tcPr>
          <w:p>
            <w:pPr>
              <w:jc w:val="center"/>
              <w:rPr>
                <w:rFonts w:ascii="宋体" w:hAnsi="Calibri"/>
                <w:sz w:val="24"/>
                <w:highlight w:val="none"/>
              </w:rPr>
            </w:pPr>
            <w:r>
              <w:rPr>
                <w:rFonts w:hint="eastAsia" w:ascii="宋体" w:hAnsi="Calibri"/>
                <w:sz w:val="24"/>
                <w:highlight w:val="none"/>
              </w:rPr>
              <w:t>2018</w:t>
            </w:r>
          </w:p>
        </w:tc>
        <w:tc>
          <w:tcPr>
            <w:tcW w:w="5798" w:type="dxa"/>
            <w:vAlign w:val="center"/>
          </w:tcPr>
          <w:p>
            <w:pPr>
              <w:jc w:val="center"/>
              <w:rPr>
                <w:rFonts w:ascii="宋体" w:hAnsi="Calibri"/>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386" w:type="dxa"/>
            <w:vAlign w:val="center"/>
          </w:tcPr>
          <w:p>
            <w:pPr>
              <w:jc w:val="center"/>
              <w:rPr>
                <w:rFonts w:ascii="宋体" w:hAnsi="Calibri"/>
                <w:sz w:val="24"/>
                <w:highlight w:val="none"/>
              </w:rPr>
            </w:pPr>
            <w:r>
              <w:rPr>
                <w:rFonts w:hint="eastAsia" w:ascii="宋体" w:hAnsi="Calibri"/>
                <w:sz w:val="24"/>
                <w:highlight w:val="none"/>
              </w:rPr>
              <w:t>三年累积</w:t>
            </w:r>
          </w:p>
        </w:tc>
        <w:tc>
          <w:tcPr>
            <w:tcW w:w="5798" w:type="dxa"/>
            <w:vAlign w:val="center"/>
          </w:tcPr>
          <w:p>
            <w:pPr>
              <w:jc w:val="center"/>
              <w:rPr>
                <w:rFonts w:ascii="宋体" w:hAnsi="Calibri"/>
                <w:szCs w:val="21"/>
                <w:highlight w:val="none"/>
              </w:rPr>
            </w:pPr>
          </w:p>
        </w:tc>
      </w:tr>
    </w:tbl>
    <w:p>
      <w:pPr>
        <w:jc w:val="center"/>
        <w:rPr>
          <w:rFonts w:asciiTheme="minorEastAsia" w:hAnsiTheme="minorEastAsia" w:eastAsiaTheme="minorEastAsia"/>
          <w:szCs w:val="21"/>
          <w:highlight w:val="none"/>
        </w:rPr>
      </w:pPr>
    </w:p>
    <w:p>
      <w:pPr>
        <w:jc w:val="center"/>
        <w:rPr>
          <w:rFonts w:asciiTheme="minorEastAsia" w:hAnsiTheme="minorEastAsia" w:eastAsiaTheme="minorEastAsia"/>
          <w:szCs w:val="21"/>
          <w:highlight w:val="none"/>
        </w:rPr>
      </w:pPr>
    </w:p>
    <w:p>
      <w:pPr>
        <w:rPr>
          <w:rFonts w:ascii="宋体" w:hAnsi="宋体"/>
          <w:sz w:val="24"/>
          <w:highlight w:val="none"/>
        </w:rPr>
      </w:pPr>
      <w:r>
        <w:rPr>
          <w:rFonts w:hint="eastAsia" w:ascii="宋体" w:hAnsi="宋体"/>
          <w:sz w:val="24"/>
          <w:highlight w:val="none"/>
        </w:rPr>
        <w:t>注：提供经第三方会计师事务所审计的财务报表的复印件。</w:t>
      </w:r>
    </w:p>
    <w:p>
      <w:pPr>
        <w:jc w:val="center"/>
        <w:rPr>
          <w:rFonts w:ascii="宋体"/>
          <w:sz w:val="24"/>
          <w:highlight w:val="none"/>
        </w:rPr>
      </w:pPr>
    </w:p>
    <w:p>
      <w:pPr>
        <w:jc w:val="center"/>
        <w:rPr>
          <w:rFonts w:ascii="宋体"/>
          <w:sz w:val="24"/>
          <w:highlight w:val="none"/>
        </w:rPr>
      </w:pPr>
    </w:p>
    <w:p>
      <w:pPr>
        <w:jc w:val="center"/>
        <w:rPr>
          <w:rFonts w:ascii="宋体"/>
          <w:sz w:val="24"/>
          <w:highlight w:val="none"/>
        </w:rPr>
      </w:pPr>
      <w:r>
        <w:rPr>
          <w:rFonts w:hint="eastAsia" w:ascii="宋体"/>
          <w:sz w:val="24"/>
          <w:highlight w:val="none"/>
        </w:rPr>
        <w:t xml:space="preserve">          投标人：（公章）</w:t>
      </w:r>
    </w:p>
    <w:p>
      <w:pPr>
        <w:jc w:val="center"/>
        <w:rPr>
          <w:rFonts w:ascii="宋体"/>
          <w:sz w:val="24"/>
          <w:highlight w:val="none"/>
        </w:rPr>
      </w:pPr>
      <w:r>
        <w:rPr>
          <w:rFonts w:hint="eastAsia" w:ascii="宋体"/>
          <w:sz w:val="24"/>
          <w:highlight w:val="none"/>
        </w:rPr>
        <w:t>日期：</w:t>
      </w:r>
    </w:p>
    <w:p>
      <w:pPr>
        <w:jc w:val="center"/>
        <w:rPr>
          <w:rFonts w:ascii="宋体"/>
          <w:sz w:val="24"/>
          <w:highlight w:val="none"/>
        </w:rPr>
      </w:pPr>
    </w:p>
    <w:p>
      <w:pPr>
        <w:jc w:val="center"/>
        <w:rPr>
          <w:rFonts w:ascii="宋体"/>
          <w:sz w:val="24"/>
          <w:highlight w:val="none"/>
        </w:rPr>
      </w:pPr>
    </w:p>
    <w:p>
      <w:pPr>
        <w:jc w:val="center"/>
        <w:rPr>
          <w:rFonts w:ascii="宋体"/>
          <w:sz w:val="24"/>
          <w:highlight w:val="none"/>
        </w:rPr>
      </w:pPr>
    </w:p>
    <w:p>
      <w:pPr>
        <w:numPr>
          <w:ilvl w:val="0"/>
          <w:numId w:val="17"/>
        </w:numPr>
        <w:jc w:val="center"/>
        <w:rPr>
          <w:rFonts w:cs="Arial" w:asciiTheme="minorEastAsia" w:hAnsiTheme="minorEastAsia" w:eastAsiaTheme="minorEastAsia"/>
          <w:b/>
          <w:szCs w:val="21"/>
          <w:highlight w:val="none"/>
        </w:rPr>
      </w:pPr>
      <w:r>
        <w:rPr>
          <w:rFonts w:hint="eastAsia" w:ascii="宋体"/>
          <w:b/>
          <w:bCs/>
          <w:szCs w:val="21"/>
          <w:highlight w:val="none"/>
        </w:rPr>
        <w:t>投标人</w:t>
      </w:r>
      <w:r>
        <w:rPr>
          <w:rFonts w:hint="eastAsia" w:cs="Arial" w:asciiTheme="minorEastAsia" w:hAnsiTheme="minorEastAsia" w:eastAsiaTheme="minorEastAsia"/>
          <w:b/>
          <w:szCs w:val="21"/>
          <w:highlight w:val="none"/>
        </w:rPr>
        <w:t>实缴注册资金</w:t>
      </w:r>
    </w:p>
    <w:p>
      <w:pPr>
        <w:rPr>
          <w:rFonts w:ascii="宋体" w:hAnsi="宋体"/>
          <w:sz w:val="24"/>
          <w:highlight w:val="none"/>
        </w:rPr>
      </w:pPr>
    </w:p>
    <w:p>
      <w:pPr>
        <w:rPr>
          <w:rFonts w:ascii="宋体" w:hAnsi="宋体"/>
          <w:sz w:val="24"/>
          <w:highlight w:val="none"/>
        </w:rPr>
      </w:pPr>
      <w:r>
        <w:rPr>
          <w:rFonts w:hint="eastAsia" w:ascii="宋体" w:hAnsi="宋体"/>
          <w:sz w:val="24"/>
          <w:highlight w:val="none"/>
        </w:rPr>
        <w:t>致：佛山市恒益环保建材有限公司</w:t>
      </w:r>
    </w:p>
    <w:p>
      <w:pPr>
        <w:ind w:firstLine="480"/>
        <w:rPr>
          <w:rFonts w:ascii="宋体" w:hAnsi="宋体"/>
          <w:sz w:val="24"/>
          <w:highlight w:val="none"/>
        </w:rPr>
      </w:pPr>
      <w:r>
        <w:rPr>
          <w:rFonts w:hint="eastAsia" w:ascii="宋体" w:hAnsi="宋体"/>
          <w:sz w:val="24"/>
          <w:highlight w:val="none"/>
        </w:rPr>
        <w:t>我司的实缴注册资本为（        ）。</w:t>
      </w:r>
    </w:p>
    <w:p>
      <w:pPr>
        <w:rPr>
          <w:rFonts w:ascii="宋体" w:hAnsi="宋体"/>
          <w:sz w:val="24"/>
          <w:highlight w:val="none"/>
        </w:rPr>
      </w:pPr>
    </w:p>
    <w:p>
      <w:pPr>
        <w:rPr>
          <w:rFonts w:ascii="宋体" w:hAnsi="宋体"/>
          <w:sz w:val="24"/>
          <w:highlight w:val="none"/>
        </w:rPr>
      </w:pPr>
      <w:r>
        <w:rPr>
          <w:rFonts w:hint="eastAsia" w:ascii="宋体" w:hAnsi="宋体"/>
          <w:sz w:val="24"/>
          <w:highlight w:val="none"/>
        </w:rPr>
        <w:t>注：投标人须提供相应的证明文件。</w:t>
      </w:r>
    </w:p>
    <w:p>
      <w:pPr>
        <w:jc w:val="center"/>
        <w:rPr>
          <w:rFonts w:ascii="宋体"/>
          <w:sz w:val="24"/>
          <w:highlight w:val="none"/>
        </w:rPr>
      </w:pPr>
    </w:p>
    <w:p>
      <w:pPr>
        <w:jc w:val="center"/>
        <w:rPr>
          <w:rFonts w:ascii="宋体"/>
          <w:sz w:val="24"/>
          <w:highlight w:val="none"/>
        </w:rPr>
      </w:pPr>
    </w:p>
    <w:p>
      <w:pPr>
        <w:jc w:val="center"/>
        <w:rPr>
          <w:rFonts w:ascii="宋体"/>
          <w:sz w:val="24"/>
          <w:highlight w:val="none"/>
        </w:rPr>
      </w:pPr>
      <w:r>
        <w:rPr>
          <w:rFonts w:hint="eastAsia" w:ascii="宋体"/>
          <w:sz w:val="24"/>
          <w:highlight w:val="none"/>
        </w:rPr>
        <w:t xml:space="preserve">                                      投标人：（公章）</w:t>
      </w:r>
    </w:p>
    <w:p>
      <w:pPr>
        <w:ind w:firstLine="5760" w:firstLineChars="2400"/>
        <w:rPr>
          <w:rFonts w:ascii="宋体"/>
          <w:sz w:val="24"/>
          <w:highlight w:val="none"/>
        </w:rPr>
      </w:pPr>
      <w:r>
        <w:rPr>
          <w:rFonts w:hint="eastAsia" w:ascii="宋体"/>
          <w:sz w:val="24"/>
          <w:highlight w:val="none"/>
        </w:rPr>
        <w:t>日期：</w:t>
      </w:r>
    </w:p>
    <w:p>
      <w:pPr>
        <w:pStyle w:val="3"/>
        <w:numPr>
          <w:ilvl w:val="255"/>
          <w:numId w:val="0"/>
        </w:numPr>
        <w:snapToGrid w:val="0"/>
        <w:spacing w:before="120" w:after="120"/>
        <w:jc w:val="left"/>
        <w:rPr>
          <w:sz w:val="24"/>
          <w:szCs w:val="24"/>
          <w:highlight w:val="none"/>
        </w:rPr>
      </w:pPr>
    </w:p>
    <w:p>
      <w:pPr>
        <w:pStyle w:val="3"/>
        <w:numPr>
          <w:ilvl w:val="0"/>
          <w:numId w:val="0"/>
        </w:numPr>
        <w:snapToGrid w:val="0"/>
        <w:spacing w:before="120" w:after="120"/>
        <w:jc w:val="left"/>
        <w:rPr>
          <w:sz w:val="24"/>
          <w:szCs w:val="24"/>
          <w:highlight w:val="none"/>
        </w:rPr>
      </w:pPr>
      <w:r>
        <w:rPr>
          <w:rFonts w:hint="eastAsia"/>
          <w:sz w:val="24"/>
          <w:szCs w:val="24"/>
          <w:highlight w:val="none"/>
        </w:rPr>
        <w:br w:type="page"/>
      </w:r>
    </w:p>
    <w:p>
      <w:pPr>
        <w:pStyle w:val="3"/>
        <w:numPr>
          <w:ilvl w:val="0"/>
          <w:numId w:val="0"/>
        </w:numPr>
        <w:snapToGrid w:val="0"/>
        <w:spacing w:before="120" w:after="120"/>
        <w:jc w:val="left"/>
        <w:rPr>
          <w:sz w:val="24"/>
          <w:szCs w:val="24"/>
          <w:highlight w:val="none"/>
        </w:rPr>
      </w:pPr>
      <w:bookmarkStart w:id="498" w:name="_Toc16107"/>
      <w:bookmarkStart w:id="499" w:name="_Toc17657"/>
      <w:bookmarkStart w:id="500" w:name="_Toc14140"/>
      <w:r>
        <w:rPr>
          <w:rFonts w:hint="eastAsia"/>
          <w:sz w:val="24"/>
          <w:szCs w:val="24"/>
          <w:highlight w:val="none"/>
        </w:rPr>
        <w:t>格式11：业绩一览表</w:t>
      </w:r>
      <w:bookmarkEnd w:id="494"/>
      <w:bookmarkEnd w:id="498"/>
      <w:bookmarkEnd w:id="499"/>
      <w:bookmarkEnd w:id="500"/>
    </w:p>
    <w:p>
      <w:pPr>
        <w:jc w:val="center"/>
        <w:rPr>
          <w:rFonts w:ascii="宋体"/>
          <w:b/>
          <w:sz w:val="24"/>
          <w:highlight w:val="none"/>
        </w:rPr>
      </w:pPr>
      <w:r>
        <w:rPr>
          <w:rFonts w:hint="eastAsia" w:ascii="宋体"/>
          <w:b/>
          <w:sz w:val="24"/>
          <w:highlight w:val="none"/>
        </w:rPr>
        <w:t>业绩一览表</w:t>
      </w:r>
    </w:p>
    <w:tbl>
      <w:tblPr>
        <w:tblStyle w:val="43"/>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400"/>
        <w:gridCol w:w="1400"/>
        <w:gridCol w:w="1400"/>
        <w:gridCol w:w="1400"/>
        <w:gridCol w:w="1686"/>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93" w:hRule="atLeast"/>
        </w:trPr>
        <w:tc>
          <w:tcPr>
            <w:tcW w:w="829" w:type="dxa"/>
            <w:vAlign w:val="center"/>
          </w:tcPr>
          <w:p>
            <w:pPr>
              <w:jc w:val="center"/>
              <w:rPr>
                <w:rFonts w:ascii="宋体" w:hAnsi="Calibri"/>
                <w:sz w:val="24"/>
                <w:highlight w:val="none"/>
              </w:rPr>
            </w:pPr>
            <w:r>
              <w:rPr>
                <w:rFonts w:hint="eastAsia" w:ascii="宋体" w:hAnsi="Calibri"/>
                <w:sz w:val="24"/>
                <w:highlight w:val="none"/>
              </w:rPr>
              <w:t>序号</w:t>
            </w:r>
          </w:p>
        </w:tc>
        <w:tc>
          <w:tcPr>
            <w:tcW w:w="1400" w:type="dxa"/>
            <w:vAlign w:val="center"/>
          </w:tcPr>
          <w:p>
            <w:pPr>
              <w:jc w:val="center"/>
              <w:rPr>
                <w:rFonts w:ascii="宋体" w:hAnsi="Calibri"/>
                <w:sz w:val="24"/>
                <w:highlight w:val="none"/>
              </w:rPr>
            </w:pPr>
            <w:r>
              <w:rPr>
                <w:rFonts w:hint="eastAsia" w:ascii="宋体" w:hAnsi="Calibri"/>
                <w:sz w:val="24"/>
                <w:highlight w:val="none"/>
              </w:rPr>
              <w:t>项目名称</w:t>
            </w:r>
          </w:p>
        </w:tc>
        <w:tc>
          <w:tcPr>
            <w:tcW w:w="1400" w:type="dxa"/>
            <w:vAlign w:val="center"/>
          </w:tcPr>
          <w:p>
            <w:pPr>
              <w:jc w:val="center"/>
              <w:rPr>
                <w:rFonts w:ascii="宋体" w:hAnsi="Calibri"/>
                <w:sz w:val="24"/>
                <w:highlight w:val="none"/>
              </w:rPr>
            </w:pPr>
            <w:r>
              <w:rPr>
                <w:rFonts w:hint="eastAsia" w:ascii="宋体" w:hAnsi="Calibri"/>
                <w:sz w:val="24"/>
                <w:highlight w:val="none"/>
              </w:rPr>
              <w:t>项目地址</w:t>
            </w:r>
          </w:p>
        </w:tc>
        <w:tc>
          <w:tcPr>
            <w:tcW w:w="1400" w:type="dxa"/>
            <w:vAlign w:val="center"/>
          </w:tcPr>
          <w:p>
            <w:pPr>
              <w:jc w:val="center"/>
              <w:rPr>
                <w:rFonts w:ascii="宋体" w:hAnsi="Calibri"/>
                <w:sz w:val="24"/>
                <w:highlight w:val="none"/>
              </w:rPr>
            </w:pPr>
            <w:r>
              <w:rPr>
                <w:rFonts w:hint="eastAsia" w:ascii="宋体" w:hAnsi="Calibri"/>
                <w:sz w:val="24"/>
                <w:highlight w:val="none"/>
              </w:rPr>
              <w:t>合同总价</w:t>
            </w:r>
          </w:p>
        </w:tc>
        <w:tc>
          <w:tcPr>
            <w:tcW w:w="1400" w:type="dxa"/>
            <w:vAlign w:val="center"/>
          </w:tcPr>
          <w:p>
            <w:pPr>
              <w:jc w:val="center"/>
              <w:rPr>
                <w:rFonts w:ascii="宋体" w:hAnsi="Calibri"/>
                <w:sz w:val="24"/>
                <w:highlight w:val="none"/>
              </w:rPr>
            </w:pPr>
            <w:r>
              <w:rPr>
                <w:rFonts w:hint="eastAsia" w:ascii="宋体" w:hAnsi="Calibri"/>
                <w:sz w:val="24"/>
                <w:highlight w:val="none"/>
              </w:rPr>
              <w:t>服务年限</w:t>
            </w:r>
          </w:p>
        </w:tc>
        <w:tc>
          <w:tcPr>
            <w:tcW w:w="1686" w:type="dxa"/>
            <w:vAlign w:val="center"/>
          </w:tcPr>
          <w:p>
            <w:pPr>
              <w:jc w:val="center"/>
              <w:rPr>
                <w:rFonts w:ascii="宋体" w:hAnsi="Calibri"/>
                <w:sz w:val="24"/>
                <w:highlight w:val="none"/>
              </w:rPr>
            </w:pPr>
            <w:r>
              <w:rPr>
                <w:rFonts w:hint="eastAsia" w:ascii="宋体" w:hAnsi="Calibri"/>
                <w:sz w:val="24"/>
                <w:highlight w:val="none"/>
              </w:rPr>
              <w:t>项目负责人</w:t>
            </w:r>
          </w:p>
        </w:tc>
        <w:tc>
          <w:tcPr>
            <w:tcW w:w="1399" w:type="dxa"/>
            <w:vAlign w:val="center"/>
          </w:tcPr>
          <w:p>
            <w:pPr>
              <w:jc w:val="center"/>
              <w:rPr>
                <w:rFonts w:ascii="宋体" w:hAnsi="Calibri"/>
                <w:sz w:val="24"/>
                <w:highlight w:val="none"/>
              </w:rPr>
            </w:pPr>
            <w:r>
              <w:rPr>
                <w:rFonts w:hint="eastAsia" w:ascii="宋体" w:hAnsi="Calibri"/>
                <w:sz w:val="24"/>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93" w:hRule="atLeast"/>
        </w:trPr>
        <w:tc>
          <w:tcPr>
            <w:tcW w:w="829" w:type="dxa"/>
            <w:vAlign w:val="center"/>
          </w:tcPr>
          <w:p>
            <w:pPr>
              <w:jc w:val="center"/>
              <w:rPr>
                <w:rFonts w:ascii="宋体" w:hAnsi="Calibri"/>
                <w:sz w:val="24"/>
                <w:highlight w:val="none"/>
              </w:rPr>
            </w:pPr>
            <w:r>
              <w:rPr>
                <w:rFonts w:hint="eastAsia" w:ascii="宋体" w:hAnsi="Calibri"/>
                <w:sz w:val="24"/>
                <w:highlight w:val="none"/>
              </w:rPr>
              <w:t>1</w:t>
            </w:r>
          </w:p>
        </w:tc>
        <w:tc>
          <w:tcPr>
            <w:tcW w:w="1400" w:type="dxa"/>
            <w:vAlign w:val="center"/>
          </w:tcPr>
          <w:p>
            <w:pPr>
              <w:jc w:val="center"/>
              <w:rPr>
                <w:rFonts w:ascii="宋体" w:hAnsi="Calibri"/>
                <w:sz w:val="24"/>
                <w:highlight w:val="none"/>
              </w:rPr>
            </w:pPr>
          </w:p>
        </w:tc>
        <w:tc>
          <w:tcPr>
            <w:tcW w:w="1400" w:type="dxa"/>
            <w:vAlign w:val="center"/>
          </w:tcPr>
          <w:p>
            <w:pPr>
              <w:jc w:val="center"/>
              <w:rPr>
                <w:rFonts w:ascii="宋体" w:hAnsi="Calibri"/>
                <w:sz w:val="24"/>
                <w:highlight w:val="none"/>
              </w:rPr>
            </w:pPr>
          </w:p>
        </w:tc>
        <w:tc>
          <w:tcPr>
            <w:tcW w:w="1400" w:type="dxa"/>
            <w:vAlign w:val="center"/>
          </w:tcPr>
          <w:p>
            <w:pPr>
              <w:jc w:val="center"/>
              <w:rPr>
                <w:rFonts w:ascii="宋体" w:hAnsi="Calibri"/>
                <w:sz w:val="24"/>
                <w:highlight w:val="none"/>
              </w:rPr>
            </w:pPr>
          </w:p>
        </w:tc>
        <w:tc>
          <w:tcPr>
            <w:tcW w:w="1400" w:type="dxa"/>
            <w:vAlign w:val="center"/>
          </w:tcPr>
          <w:p>
            <w:pPr>
              <w:jc w:val="center"/>
              <w:rPr>
                <w:rFonts w:ascii="宋体" w:hAnsi="Calibri"/>
                <w:sz w:val="24"/>
                <w:highlight w:val="none"/>
              </w:rPr>
            </w:pPr>
          </w:p>
        </w:tc>
        <w:tc>
          <w:tcPr>
            <w:tcW w:w="1686" w:type="dxa"/>
            <w:vAlign w:val="center"/>
          </w:tcPr>
          <w:p>
            <w:pPr>
              <w:jc w:val="center"/>
              <w:rPr>
                <w:rFonts w:ascii="宋体" w:hAnsi="Calibri"/>
                <w:sz w:val="24"/>
                <w:highlight w:val="none"/>
              </w:rPr>
            </w:pPr>
          </w:p>
        </w:tc>
        <w:tc>
          <w:tcPr>
            <w:tcW w:w="1399" w:type="dxa"/>
            <w:vAlign w:val="center"/>
          </w:tcPr>
          <w:p>
            <w:pPr>
              <w:jc w:val="center"/>
              <w:rPr>
                <w:rFonts w:ascii="宋体" w:hAnsi="Calibri"/>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trPr>
        <w:tc>
          <w:tcPr>
            <w:tcW w:w="829" w:type="dxa"/>
            <w:vAlign w:val="center"/>
          </w:tcPr>
          <w:p>
            <w:pPr>
              <w:jc w:val="center"/>
              <w:rPr>
                <w:rFonts w:ascii="宋体" w:hAnsi="Calibri"/>
                <w:sz w:val="24"/>
                <w:highlight w:val="none"/>
              </w:rPr>
            </w:pPr>
            <w:r>
              <w:rPr>
                <w:rFonts w:hint="eastAsia" w:ascii="宋体" w:hAnsi="Calibri"/>
                <w:sz w:val="24"/>
                <w:highlight w:val="none"/>
              </w:rPr>
              <w:t>2</w:t>
            </w:r>
          </w:p>
        </w:tc>
        <w:tc>
          <w:tcPr>
            <w:tcW w:w="1400" w:type="dxa"/>
            <w:vAlign w:val="center"/>
          </w:tcPr>
          <w:p>
            <w:pPr>
              <w:jc w:val="center"/>
              <w:rPr>
                <w:rFonts w:ascii="宋体" w:hAnsi="Calibri"/>
                <w:sz w:val="24"/>
                <w:highlight w:val="none"/>
              </w:rPr>
            </w:pPr>
          </w:p>
        </w:tc>
        <w:tc>
          <w:tcPr>
            <w:tcW w:w="1400" w:type="dxa"/>
            <w:vAlign w:val="center"/>
          </w:tcPr>
          <w:p>
            <w:pPr>
              <w:jc w:val="center"/>
              <w:rPr>
                <w:rFonts w:ascii="宋体" w:hAnsi="Calibri"/>
                <w:sz w:val="24"/>
                <w:highlight w:val="none"/>
              </w:rPr>
            </w:pPr>
          </w:p>
        </w:tc>
        <w:tc>
          <w:tcPr>
            <w:tcW w:w="1400" w:type="dxa"/>
            <w:vAlign w:val="center"/>
          </w:tcPr>
          <w:p>
            <w:pPr>
              <w:jc w:val="center"/>
              <w:rPr>
                <w:rFonts w:ascii="宋体" w:hAnsi="Calibri"/>
                <w:sz w:val="24"/>
                <w:highlight w:val="none"/>
              </w:rPr>
            </w:pPr>
          </w:p>
        </w:tc>
        <w:tc>
          <w:tcPr>
            <w:tcW w:w="1400" w:type="dxa"/>
            <w:vAlign w:val="center"/>
          </w:tcPr>
          <w:p>
            <w:pPr>
              <w:jc w:val="center"/>
              <w:rPr>
                <w:rFonts w:ascii="宋体" w:hAnsi="Calibri"/>
                <w:sz w:val="24"/>
                <w:highlight w:val="none"/>
              </w:rPr>
            </w:pPr>
          </w:p>
        </w:tc>
        <w:tc>
          <w:tcPr>
            <w:tcW w:w="1686" w:type="dxa"/>
            <w:vAlign w:val="center"/>
          </w:tcPr>
          <w:p>
            <w:pPr>
              <w:jc w:val="center"/>
              <w:rPr>
                <w:rFonts w:ascii="宋体" w:hAnsi="Calibri"/>
                <w:sz w:val="24"/>
                <w:highlight w:val="none"/>
              </w:rPr>
            </w:pPr>
          </w:p>
        </w:tc>
        <w:tc>
          <w:tcPr>
            <w:tcW w:w="1399" w:type="dxa"/>
            <w:vAlign w:val="center"/>
          </w:tcPr>
          <w:p>
            <w:pPr>
              <w:jc w:val="center"/>
              <w:rPr>
                <w:rFonts w:ascii="宋体" w:hAnsi="Calibri"/>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trPr>
        <w:tc>
          <w:tcPr>
            <w:tcW w:w="829" w:type="dxa"/>
            <w:vAlign w:val="center"/>
          </w:tcPr>
          <w:p>
            <w:pPr>
              <w:jc w:val="center"/>
              <w:rPr>
                <w:rFonts w:ascii="宋体" w:hAnsi="Calibri"/>
                <w:sz w:val="24"/>
                <w:highlight w:val="none"/>
              </w:rPr>
            </w:pPr>
            <w:r>
              <w:rPr>
                <w:rFonts w:hint="eastAsia" w:ascii="宋体" w:hAnsi="Calibri"/>
                <w:sz w:val="24"/>
                <w:highlight w:val="none"/>
              </w:rPr>
              <w:t>3</w:t>
            </w:r>
          </w:p>
        </w:tc>
        <w:tc>
          <w:tcPr>
            <w:tcW w:w="1400" w:type="dxa"/>
            <w:vAlign w:val="center"/>
          </w:tcPr>
          <w:p>
            <w:pPr>
              <w:jc w:val="center"/>
              <w:rPr>
                <w:rFonts w:ascii="宋体" w:hAnsi="Calibri"/>
                <w:sz w:val="24"/>
                <w:highlight w:val="none"/>
              </w:rPr>
            </w:pPr>
          </w:p>
        </w:tc>
        <w:tc>
          <w:tcPr>
            <w:tcW w:w="1400" w:type="dxa"/>
            <w:vAlign w:val="center"/>
          </w:tcPr>
          <w:p>
            <w:pPr>
              <w:jc w:val="center"/>
              <w:rPr>
                <w:rFonts w:ascii="宋体" w:hAnsi="Calibri"/>
                <w:sz w:val="24"/>
                <w:highlight w:val="none"/>
              </w:rPr>
            </w:pPr>
          </w:p>
        </w:tc>
        <w:tc>
          <w:tcPr>
            <w:tcW w:w="1400" w:type="dxa"/>
            <w:vAlign w:val="center"/>
          </w:tcPr>
          <w:p>
            <w:pPr>
              <w:jc w:val="center"/>
              <w:rPr>
                <w:rFonts w:ascii="宋体" w:hAnsi="Calibri"/>
                <w:sz w:val="24"/>
                <w:highlight w:val="none"/>
              </w:rPr>
            </w:pPr>
          </w:p>
        </w:tc>
        <w:tc>
          <w:tcPr>
            <w:tcW w:w="1400" w:type="dxa"/>
            <w:vAlign w:val="center"/>
          </w:tcPr>
          <w:p>
            <w:pPr>
              <w:jc w:val="center"/>
              <w:rPr>
                <w:rFonts w:ascii="宋体" w:hAnsi="Calibri"/>
                <w:sz w:val="24"/>
                <w:highlight w:val="none"/>
              </w:rPr>
            </w:pPr>
          </w:p>
        </w:tc>
        <w:tc>
          <w:tcPr>
            <w:tcW w:w="1686" w:type="dxa"/>
            <w:vAlign w:val="center"/>
          </w:tcPr>
          <w:p>
            <w:pPr>
              <w:jc w:val="center"/>
              <w:rPr>
                <w:rFonts w:ascii="宋体" w:hAnsi="Calibri"/>
                <w:sz w:val="24"/>
                <w:highlight w:val="none"/>
              </w:rPr>
            </w:pPr>
          </w:p>
        </w:tc>
        <w:tc>
          <w:tcPr>
            <w:tcW w:w="1399" w:type="dxa"/>
            <w:vAlign w:val="center"/>
          </w:tcPr>
          <w:p>
            <w:pPr>
              <w:jc w:val="center"/>
              <w:rPr>
                <w:rFonts w:ascii="宋体" w:hAnsi="Calibri"/>
                <w:sz w:val="24"/>
                <w:highlight w:val="none"/>
              </w:rPr>
            </w:pPr>
          </w:p>
        </w:tc>
      </w:tr>
    </w:tbl>
    <w:p>
      <w:pPr>
        <w:rPr>
          <w:rFonts w:ascii="宋体"/>
          <w:sz w:val="24"/>
          <w:highlight w:val="none"/>
        </w:rPr>
      </w:pPr>
    </w:p>
    <w:p>
      <w:pPr>
        <w:rPr>
          <w:rFonts w:ascii="宋体"/>
          <w:sz w:val="24"/>
          <w:highlight w:val="none"/>
        </w:rPr>
      </w:pPr>
      <w:r>
        <w:rPr>
          <w:rFonts w:hint="eastAsia" w:ascii="宋体"/>
          <w:sz w:val="24"/>
          <w:highlight w:val="none"/>
        </w:rPr>
        <w:t>填写要求：</w:t>
      </w:r>
    </w:p>
    <w:p>
      <w:pPr>
        <w:autoSpaceDE w:val="0"/>
        <w:autoSpaceDN w:val="0"/>
        <w:spacing w:line="300" w:lineRule="exact"/>
        <w:rPr>
          <w:rFonts w:ascii="宋体" w:hAnsi="宋体" w:cs="Arial"/>
          <w:sz w:val="24"/>
          <w:highlight w:val="none"/>
        </w:rPr>
      </w:pPr>
      <w:r>
        <w:rPr>
          <w:rFonts w:hint="eastAsia" w:ascii="宋体"/>
          <w:sz w:val="24"/>
          <w:highlight w:val="none"/>
        </w:rPr>
        <w:t>1、列出投标人自2</w:t>
      </w:r>
      <w:r>
        <w:rPr>
          <w:rFonts w:ascii="宋体"/>
          <w:sz w:val="24"/>
          <w:highlight w:val="none"/>
        </w:rPr>
        <w:t>016</w:t>
      </w:r>
      <w:r>
        <w:rPr>
          <w:rFonts w:hint="eastAsia" w:ascii="宋体"/>
          <w:sz w:val="24"/>
          <w:highlight w:val="none"/>
        </w:rPr>
        <w:t>年1月1日</w:t>
      </w:r>
      <w:r>
        <w:rPr>
          <w:rFonts w:hint="eastAsia" w:ascii="宋体" w:hAnsi="宋体"/>
          <w:sz w:val="24"/>
          <w:highlight w:val="none"/>
        </w:rPr>
        <w:t>起至投标截止日期止工矿企业的生产辅助服务业绩，业绩有效时间以合同签订时间为准。</w:t>
      </w:r>
    </w:p>
    <w:p>
      <w:pPr>
        <w:rPr>
          <w:rFonts w:ascii="宋体" w:hAnsi="宋体"/>
          <w:sz w:val="24"/>
          <w:highlight w:val="none"/>
        </w:rPr>
      </w:pPr>
      <w:r>
        <w:rPr>
          <w:rFonts w:hint="eastAsia" w:ascii="宋体"/>
          <w:sz w:val="24"/>
          <w:highlight w:val="none"/>
        </w:rPr>
        <w:t>2、提供所列业绩合同关键页复印件，关键页包括封面页、签字盖章页和主要内容页。</w:t>
      </w:r>
    </w:p>
    <w:p>
      <w:pPr>
        <w:rPr>
          <w:rFonts w:ascii="宋体"/>
          <w:sz w:val="24"/>
          <w:highlight w:val="none"/>
        </w:rPr>
      </w:pPr>
    </w:p>
    <w:p>
      <w:pPr>
        <w:jc w:val="right"/>
        <w:rPr>
          <w:rFonts w:ascii="宋体"/>
          <w:sz w:val="24"/>
          <w:highlight w:val="none"/>
        </w:rPr>
      </w:pPr>
    </w:p>
    <w:p>
      <w:pPr>
        <w:jc w:val="right"/>
        <w:rPr>
          <w:rFonts w:ascii="宋体"/>
          <w:sz w:val="24"/>
          <w:highlight w:val="none"/>
        </w:rPr>
      </w:pPr>
    </w:p>
    <w:p>
      <w:pPr>
        <w:jc w:val="right"/>
        <w:rPr>
          <w:rFonts w:ascii="宋体"/>
          <w:sz w:val="24"/>
          <w:highlight w:val="none"/>
        </w:rPr>
      </w:pPr>
      <w:r>
        <w:rPr>
          <w:rFonts w:hint="eastAsia" w:ascii="宋体"/>
          <w:sz w:val="24"/>
          <w:highlight w:val="none"/>
        </w:rPr>
        <w:t>投标人：（公章）</w:t>
      </w:r>
    </w:p>
    <w:p>
      <w:pPr>
        <w:jc w:val="right"/>
        <w:rPr>
          <w:rFonts w:ascii="宋体"/>
          <w:sz w:val="24"/>
          <w:highlight w:val="none"/>
        </w:rPr>
      </w:pPr>
    </w:p>
    <w:p>
      <w:pPr>
        <w:ind w:firstLine="7140" w:firstLineChars="2975"/>
        <w:rPr>
          <w:rFonts w:ascii="黑体" w:hAnsi="黑体" w:eastAsia="黑体"/>
          <w:sz w:val="28"/>
          <w:szCs w:val="28"/>
          <w:highlight w:val="none"/>
        </w:rPr>
      </w:pPr>
      <w:r>
        <w:rPr>
          <w:rFonts w:hint="eastAsia" w:ascii="宋体"/>
          <w:sz w:val="24"/>
          <w:highlight w:val="none"/>
        </w:rPr>
        <w:t>日期：</w:t>
      </w:r>
    </w:p>
    <w:p>
      <w:pPr>
        <w:rPr>
          <w:rFonts w:ascii="黑体" w:hAnsi="黑体" w:eastAsia="黑体"/>
          <w:sz w:val="28"/>
          <w:szCs w:val="28"/>
          <w:highlight w:val="none"/>
        </w:rPr>
      </w:pPr>
    </w:p>
    <w:p>
      <w:pPr>
        <w:rPr>
          <w:rFonts w:ascii="黑体" w:hAnsi="黑体" w:eastAsia="黑体"/>
          <w:sz w:val="28"/>
          <w:szCs w:val="28"/>
          <w:highlight w:val="none"/>
        </w:rPr>
      </w:pPr>
    </w:p>
    <w:p>
      <w:pPr>
        <w:rPr>
          <w:rFonts w:ascii="黑体" w:hAnsi="黑体" w:eastAsia="黑体"/>
          <w:sz w:val="28"/>
          <w:szCs w:val="28"/>
          <w:highlight w:val="none"/>
        </w:rPr>
      </w:pPr>
    </w:p>
    <w:p>
      <w:pPr>
        <w:rPr>
          <w:rFonts w:ascii="黑体" w:hAnsi="黑体" w:eastAsia="黑体"/>
          <w:sz w:val="28"/>
          <w:szCs w:val="28"/>
          <w:highlight w:val="none"/>
        </w:rPr>
      </w:pPr>
    </w:p>
    <w:p>
      <w:pPr>
        <w:rPr>
          <w:rFonts w:ascii="黑体" w:hAnsi="黑体" w:eastAsia="黑体"/>
          <w:sz w:val="28"/>
          <w:szCs w:val="28"/>
          <w:highlight w:val="none"/>
        </w:rPr>
      </w:pPr>
    </w:p>
    <w:p>
      <w:pPr>
        <w:rPr>
          <w:rFonts w:ascii="黑体" w:hAnsi="黑体" w:eastAsia="黑体"/>
          <w:sz w:val="28"/>
          <w:szCs w:val="28"/>
          <w:highlight w:val="none"/>
        </w:rPr>
      </w:pPr>
    </w:p>
    <w:p>
      <w:pPr>
        <w:rPr>
          <w:rFonts w:ascii="黑体" w:hAnsi="黑体" w:eastAsia="黑体"/>
          <w:sz w:val="28"/>
          <w:szCs w:val="28"/>
          <w:highlight w:val="none"/>
        </w:rPr>
      </w:pPr>
    </w:p>
    <w:p>
      <w:pPr>
        <w:rPr>
          <w:rFonts w:ascii="黑体" w:hAnsi="黑体" w:eastAsia="黑体"/>
          <w:sz w:val="28"/>
          <w:szCs w:val="28"/>
          <w:highlight w:val="none"/>
        </w:rPr>
      </w:pPr>
    </w:p>
    <w:p>
      <w:pPr>
        <w:rPr>
          <w:rFonts w:ascii="黑体" w:hAnsi="黑体" w:eastAsia="黑体"/>
          <w:sz w:val="28"/>
          <w:szCs w:val="28"/>
          <w:highlight w:val="none"/>
        </w:rPr>
      </w:pPr>
    </w:p>
    <w:p>
      <w:pPr>
        <w:rPr>
          <w:rFonts w:ascii="黑体" w:hAnsi="黑体" w:eastAsia="黑体"/>
          <w:sz w:val="28"/>
          <w:szCs w:val="28"/>
          <w:highlight w:val="none"/>
        </w:rPr>
      </w:pPr>
    </w:p>
    <w:p>
      <w:pPr>
        <w:rPr>
          <w:rFonts w:ascii="黑体" w:hAnsi="黑体" w:eastAsia="黑体"/>
          <w:sz w:val="28"/>
          <w:szCs w:val="28"/>
          <w:highlight w:val="none"/>
        </w:rPr>
      </w:pPr>
    </w:p>
    <w:p>
      <w:pPr>
        <w:rPr>
          <w:rFonts w:ascii="黑体" w:hAnsi="黑体" w:eastAsia="黑体"/>
          <w:sz w:val="28"/>
          <w:szCs w:val="28"/>
          <w:highlight w:val="none"/>
        </w:rPr>
      </w:pPr>
    </w:p>
    <w:p>
      <w:pPr>
        <w:rPr>
          <w:rFonts w:ascii="黑体" w:hAnsi="黑体" w:eastAsia="黑体"/>
          <w:sz w:val="28"/>
          <w:szCs w:val="28"/>
          <w:highlight w:val="none"/>
        </w:rPr>
      </w:pPr>
    </w:p>
    <w:p>
      <w:pPr>
        <w:rPr>
          <w:rFonts w:ascii="黑体" w:hAnsi="黑体" w:eastAsia="黑体"/>
          <w:sz w:val="28"/>
          <w:szCs w:val="28"/>
          <w:highlight w:val="none"/>
        </w:rPr>
      </w:pPr>
    </w:p>
    <w:p>
      <w:pPr>
        <w:rPr>
          <w:rFonts w:ascii="黑体" w:hAnsi="黑体" w:eastAsia="黑体"/>
          <w:sz w:val="28"/>
          <w:szCs w:val="28"/>
          <w:highlight w:val="none"/>
        </w:rPr>
      </w:pPr>
    </w:p>
    <w:p>
      <w:pPr>
        <w:rPr>
          <w:rFonts w:ascii="黑体" w:hAnsi="黑体" w:eastAsia="黑体"/>
          <w:sz w:val="28"/>
          <w:szCs w:val="28"/>
          <w:highlight w:val="none"/>
        </w:rPr>
      </w:pPr>
    </w:p>
    <w:p>
      <w:pPr>
        <w:rPr>
          <w:rFonts w:ascii="黑体" w:hAnsi="黑体" w:eastAsia="黑体"/>
          <w:sz w:val="28"/>
          <w:szCs w:val="28"/>
          <w:highlight w:val="none"/>
        </w:rPr>
      </w:pPr>
    </w:p>
    <w:p>
      <w:pPr>
        <w:jc w:val="center"/>
        <w:rPr>
          <w:rFonts w:ascii="宋体" w:hAnsi="Courier New"/>
          <w:szCs w:val="21"/>
          <w:highlight w:val="none"/>
        </w:rPr>
      </w:pPr>
      <w:r>
        <w:rPr>
          <w:rFonts w:ascii="黑体" w:hAnsi="黑体" w:eastAsia="黑体"/>
          <w:sz w:val="28"/>
          <w:szCs w:val="28"/>
          <w:highlight w:val="none"/>
        </w:rPr>
        <w:t>二、技术投标文件格式</w:t>
      </w:r>
    </w:p>
    <w:p>
      <w:pPr>
        <w:rPr>
          <w:rFonts w:ascii="宋体" w:hAnsi="Courier New"/>
          <w:szCs w:val="21"/>
          <w:highlight w:val="none"/>
        </w:rPr>
      </w:pPr>
    </w:p>
    <w:p>
      <w:pPr>
        <w:rPr>
          <w:rFonts w:ascii="宋体" w:hAnsi="Courier New"/>
          <w:szCs w:val="21"/>
          <w:highlight w:val="none"/>
        </w:rPr>
      </w:pPr>
    </w:p>
    <w:p>
      <w:pPr>
        <w:widowControl/>
        <w:jc w:val="left"/>
        <w:rPr>
          <w:rFonts w:ascii="宋体" w:hAnsi="宋体"/>
          <w:sz w:val="24"/>
          <w:highlight w:val="none"/>
        </w:rPr>
      </w:pPr>
      <w:bookmarkStart w:id="501" w:name="_Toc520971427"/>
      <w:r>
        <w:rPr>
          <w:highlight w:val="none"/>
        </w:rPr>
        <w:br w:type="page"/>
      </w:r>
    </w:p>
    <w:p>
      <w:pPr>
        <w:pStyle w:val="3"/>
        <w:numPr>
          <w:ilvl w:val="0"/>
          <w:numId w:val="0"/>
        </w:numPr>
        <w:snapToGrid w:val="0"/>
        <w:spacing w:before="120" w:after="120"/>
        <w:jc w:val="left"/>
        <w:rPr>
          <w:sz w:val="24"/>
          <w:szCs w:val="24"/>
          <w:highlight w:val="none"/>
        </w:rPr>
      </w:pPr>
      <w:bookmarkStart w:id="502" w:name="_Toc21241"/>
      <w:bookmarkStart w:id="503" w:name="_Toc24963"/>
      <w:bookmarkStart w:id="504" w:name="_Toc11502"/>
      <w:r>
        <w:rPr>
          <w:rFonts w:hint="eastAsia"/>
          <w:sz w:val="24"/>
          <w:szCs w:val="24"/>
          <w:highlight w:val="none"/>
        </w:rPr>
        <w:t>格式12：技术力量</w:t>
      </w:r>
      <w:bookmarkEnd w:id="501"/>
      <w:bookmarkEnd w:id="502"/>
      <w:bookmarkEnd w:id="503"/>
      <w:bookmarkEnd w:id="504"/>
    </w:p>
    <w:p>
      <w:pPr>
        <w:spacing w:line="360" w:lineRule="auto"/>
        <w:jc w:val="center"/>
        <w:rPr>
          <w:rFonts w:ascii="Arial" w:hAnsi="Arial"/>
          <w:b/>
          <w:bCs/>
          <w:sz w:val="24"/>
          <w:highlight w:val="none"/>
        </w:rPr>
      </w:pPr>
    </w:p>
    <w:p>
      <w:pPr>
        <w:spacing w:line="360" w:lineRule="auto"/>
        <w:jc w:val="center"/>
        <w:rPr>
          <w:rFonts w:ascii="Arial" w:hAnsi="Arial"/>
          <w:sz w:val="24"/>
          <w:highlight w:val="none"/>
        </w:rPr>
      </w:pPr>
      <w:r>
        <w:rPr>
          <w:rFonts w:hint="eastAsia" w:ascii="Arial" w:hAnsi="Arial"/>
          <w:b/>
          <w:bCs/>
          <w:sz w:val="24"/>
          <w:highlight w:val="none"/>
        </w:rPr>
        <w:t>（1）应急保障能力</w:t>
      </w:r>
    </w:p>
    <w:p>
      <w:pPr>
        <w:pStyle w:val="3"/>
        <w:keepNext w:val="0"/>
        <w:keepLines w:val="0"/>
        <w:numPr>
          <w:ilvl w:val="0"/>
          <w:numId w:val="0"/>
        </w:numPr>
        <w:tabs>
          <w:tab w:val="clear" w:pos="840"/>
        </w:tabs>
        <w:snapToGrid w:val="0"/>
        <w:spacing w:before="120" w:after="120"/>
        <w:jc w:val="left"/>
        <w:rPr>
          <w:rFonts w:eastAsia="宋体"/>
          <w:b w:val="0"/>
          <w:kern w:val="2"/>
          <w:sz w:val="21"/>
          <w:szCs w:val="21"/>
          <w:highlight w:val="none"/>
        </w:rPr>
      </w:pPr>
      <w:bookmarkStart w:id="505" w:name="_Toc19525"/>
      <w:bookmarkStart w:id="506" w:name="_Toc25150"/>
      <w:bookmarkStart w:id="507" w:name="_Toc28274"/>
      <w:r>
        <w:rPr>
          <w:rFonts w:hint="eastAsia" w:eastAsia="宋体"/>
          <w:b w:val="0"/>
          <w:kern w:val="2"/>
          <w:sz w:val="21"/>
          <w:szCs w:val="21"/>
          <w:highlight w:val="none"/>
        </w:rPr>
        <w:t>注：投标人须依据本项目的实际需求编制相应的应急保障方案，格式与内容自拟。</w:t>
      </w:r>
      <w:bookmarkEnd w:id="505"/>
      <w:bookmarkEnd w:id="506"/>
      <w:bookmarkEnd w:id="507"/>
    </w:p>
    <w:p>
      <w:pPr>
        <w:rPr>
          <w:rFonts w:ascii="Arial" w:hAnsi="Arial"/>
          <w:szCs w:val="21"/>
          <w:highlight w:val="none"/>
        </w:rPr>
      </w:pPr>
    </w:p>
    <w:p>
      <w:pPr>
        <w:rPr>
          <w:rFonts w:ascii="Arial" w:hAnsi="Arial"/>
          <w:szCs w:val="21"/>
          <w:highlight w:val="none"/>
        </w:rPr>
      </w:pPr>
    </w:p>
    <w:p>
      <w:pPr>
        <w:rPr>
          <w:highlight w:val="none"/>
        </w:rPr>
      </w:pPr>
    </w:p>
    <w:p>
      <w:pPr>
        <w:numPr>
          <w:ilvl w:val="255"/>
          <w:numId w:val="0"/>
        </w:numPr>
        <w:snapToGrid w:val="0"/>
        <w:spacing w:before="120" w:after="120" w:line="360" w:lineRule="auto"/>
        <w:jc w:val="center"/>
        <w:rPr>
          <w:rFonts w:ascii="Arial" w:hAnsi="Arial"/>
          <w:b/>
          <w:bCs/>
          <w:sz w:val="24"/>
          <w:highlight w:val="none"/>
        </w:rPr>
      </w:pPr>
      <w:r>
        <w:rPr>
          <w:rFonts w:hint="eastAsia" w:ascii="Arial" w:hAnsi="Arial"/>
          <w:b/>
          <w:bCs/>
          <w:sz w:val="24"/>
          <w:highlight w:val="none"/>
        </w:rPr>
        <w:t>（2）服务管理方案</w:t>
      </w:r>
    </w:p>
    <w:p>
      <w:pPr>
        <w:autoSpaceDE w:val="0"/>
        <w:autoSpaceDN w:val="0"/>
        <w:snapToGrid w:val="0"/>
        <w:spacing w:before="120" w:after="120" w:line="300" w:lineRule="exact"/>
        <w:jc w:val="left"/>
        <w:rPr>
          <w:rFonts w:ascii="Arial" w:hAnsi="Arial"/>
          <w:b/>
          <w:bCs/>
          <w:sz w:val="24"/>
          <w:highlight w:val="none"/>
        </w:rPr>
      </w:pPr>
      <w:r>
        <w:rPr>
          <w:rFonts w:hint="eastAsia" w:cs="宋体" w:asciiTheme="minorEastAsia" w:hAnsiTheme="minorEastAsia" w:eastAsiaTheme="minorEastAsia"/>
          <w:szCs w:val="21"/>
          <w:highlight w:val="none"/>
        </w:rPr>
        <w:t>注：投标人须提供完整且具有可操作性的</w:t>
      </w:r>
      <w:r>
        <w:rPr>
          <w:rFonts w:cs="宋体" w:asciiTheme="minorEastAsia" w:hAnsiTheme="minorEastAsia" w:eastAsiaTheme="minorEastAsia"/>
          <w:szCs w:val="21"/>
          <w:highlight w:val="none"/>
        </w:rPr>
        <w:t>服务管理方案(</w:t>
      </w:r>
      <w:r>
        <w:rPr>
          <w:rFonts w:hint="eastAsia" w:cs="宋体" w:asciiTheme="minorEastAsia" w:hAnsiTheme="minorEastAsia" w:eastAsiaTheme="minorEastAsia"/>
          <w:szCs w:val="21"/>
          <w:highlight w:val="none"/>
        </w:rPr>
        <w:t>应</w:t>
      </w:r>
      <w:r>
        <w:rPr>
          <w:rFonts w:cs="宋体" w:asciiTheme="minorEastAsia" w:hAnsiTheme="minorEastAsia" w:eastAsiaTheme="minorEastAsia"/>
          <w:szCs w:val="21"/>
          <w:highlight w:val="none"/>
        </w:rPr>
        <w:t>涉及到人员架构、驻场管理、安全文明生产管理</w:t>
      </w:r>
      <w:r>
        <w:rPr>
          <w:rFonts w:hint="eastAsia" w:cs="宋体" w:asciiTheme="minorEastAsia" w:hAnsiTheme="minorEastAsia" w:eastAsiaTheme="minorEastAsia"/>
          <w:szCs w:val="21"/>
          <w:highlight w:val="none"/>
        </w:rPr>
        <w:t>等方面</w:t>
      </w:r>
      <w:r>
        <w:rPr>
          <w:rFonts w:cs="宋体" w:asciiTheme="minorEastAsia" w:hAnsiTheme="minorEastAsia" w:eastAsiaTheme="minorEastAsia"/>
          <w:szCs w:val="21"/>
          <w:highlight w:val="none"/>
        </w:rPr>
        <w:t>）；</w:t>
      </w:r>
      <w:r>
        <w:rPr>
          <w:rFonts w:hint="eastAsia" w:cs="宋体" w:asciiTheme="minorEastAsia" w:hAnsiTheme="minorEastAsia" w:eastAsiaTheme="minorEastAsia"/>
          <w:szCs w:val="21"/>
          <w:highlight w:val="none"/>
        </w:rPr>
        <w:t>人员架构参考格式15中的（2）编制，其他内容格式自拟。</w:t>
      </w:r>
    </w:p>
    <w:p>
      <w:pPr>
        <w:spacing w:line="360" w:lineRule="auto"/>
        <w:jc w:val="center"/>
        <w:rPr>
          <w:highlight w:val="none"/>
        </w:rPr>
      </w:pPr>
    </w:p>
    <w:p>
      <w:pPr>
        <w:pStyle w:val="12"/>
        <w:rPr>
          <w:szCs w:val="24"/>
          <w:highlight w:val="none"/>
        </w:rPr>
      </w:pPr>
    </w:p>
    <w:p>
      <w:pPr>
        <w:pStyle w:val="12"/>
        <w:rPr>
          <w:szCs w:val="24"/>
          <w:highlight w:val="none"/>
        </w:rPr>
      </w:pPr>
    </w:p>
    <w:p>
      <w:pPr>
        <w:pStyle w:val="12"/>
        <w:rPr>
          <w:szCs w:val="24"/>
          <w:highlight w:val="none"/>
        </w:rPr>
      </w:pPr>
    </w:p>
    <w:p>
      <w:pPr>
        <w:pStyle w:val="12"/>
        <w:rPr>
          <w:szCs w:val="24"/>
          <w:highlight w:val="none"/>
        </w:rPr>
      </w:pPr>
    </w:p>
    <w:p>
      <w:pPr>
        <w:pStyle w:val="12"/>
        <w:rPr>
          <w:szCs w:val="24"/>
          <w:highlight w:val="none"/>
        </w:rPr>
      </w:pPr>
    </w:p>
    <w:p>
      <w:pPr>
        <w:pStyle w:val="12"/>
        <w:rPr>
          <w:szCs w:val="24"/>
          <w:highlight w:val="none"/>
        </w:rPr>
      </w:pPr>
    </w:p>
    <w:p>
      <w:pPr>
        <w:pStyle w:val="12"/>
        <w:rPr>
          <w:szCs w:val="24"/>
          <w:highlight w:val="none"/>
        </w:rPr>
      </w:pPr>
    </w:p>
    <w:p>
      <w:pPr>
        <w:pStyle w:val="12"/>
        <w:rPr>
          <w:szCs w:val="24"/>
          <w:highlight w:val="none"/>
        </w:rPr>
      </w:pPr>
    </w:p>
    <w:p>
      <w:pPr>
        <w:pStyle w:val="12"/>
        <w:rPr>
          <w:szCs w:val="24"/>
          <w:highlight w:val="none"/>
        </w:rPr>
      </w:pPr>
      <w:r>
        <w:rPr>
          <w:szCs w:val="24"/>
          <w:highlight w:val="none"/>
        </w:rPr>
        <w:br w:type="page"/>
      </w:r>
    </w:p>
    <w:p>
      <w:pPr>
        <w:pStyle w:val="3"/>
        <w:keepNext w:val="0"/>
        <w:keepLines w:val="0"/>
        <w:numPr>
          <w:ilvl w:val="0"/>
          <w:numId w:val="0"/>
        </w:numPr>
        <w:tabs>
          <w:tab w:val="clear" w:pos="840"/>
        </w:tabs>
        <w:snapToGrid w:val="0"/>
        <w:spacing w:before="120" w:after="120"/>
        <w:jc w:val="left"/>
        <w:rPr>
          <w:sz w:val="24"/>
          <w:szCs w:val="24"/>
          <w:highlight w:val="none"/>
        </w:rPr>
      </w:pPr>
      <w:bookmarkStart w:id="508" w:name="_Toc28839"/>
      <w:bookmarkStart w:id="509" w:name="_Toc6156"/>
      <w:bookmarkStart w:id="510" w:name="_Toc8947"/>
      <w:r>
        <w:rPr>
          <w:rFonts w:hint="eastAsia"/>
          <w:sz w:val="24"/>
          <w:szCs w:val="24"/>
          <w:highlight w:val="none"/>
        </w:rPr>
        <w:t>格式13：用户需求书响应表格式</w:t>
      </w:r>
      <w:bookmarkEnd w:id="491"/>
      <w:bookmarkEnd w:id="492"/>
      <w:bookmarkEnd w:id="493"/>
      <w:bookmarkEnd w:id="508"/>
      <w:bookmarkEnd w:id="509"/>
      <w:bookmarkEnd w:id="510"/>
    </w:p>
    <w:p>
      <w:pPr>
        <w:spacing w:before="240" w:line="360" w:lineRule="auto"/>
        <w:jc w:val="center"/>
        <w:rPr>
          <w:b/>
          <w:sz w:val="22"/>
          <w:szCs w:val="22"/>
          <w:highlight w:val="none"/>
        </w:rPr>
      </w:pPr>
      <w:r>
        <w:rPr>
          <w:rFonts w:hint="eastAsia"/>
          <w:b/>
          <w:sz w:val="22"/>
          <w:szCs w:val="22"/>
          <w:highlight w:val="none"/>
        </w:rPr>
        <w:t>用户需求书响应表</w:t>
      </w:r>
    </w:p>
    <w:p>
      <w:pPr>
        <w:spacing w:before="240" w:line="360" w:lineRule="auto"/>
        <w:ind w:firstLine="420" w:firstLineChars="200"/>
        <w:rPr>
          <w:szCs w:val="21"/>
          <w:highlight w:val="none"/>
        </w:rPr>
      </w:pPr>
      <w:r>
        <w:rPr>
          <w:rFonts w:hint="eastAsia"/>
          <w:szCs w:val="21"/>
          <w:highlight w:val="none"/>
        </w:rPr>
        <w:t>[说明]投标人应对照招标文件要求与投标的实际情况对招标文件中《用户需求书》的条款内容作全面响应。完全满足的在“是否响应”栏中写“响应”，有差异的请在“是否响应”栏中写“偏离”。如“偏离”，无论是正偏离还是负偏离，均需并将差异情况（包括优于需求书的有关条款）在“差异描述”栏中说明。</w:t>
      </w:r>
    </w:p>
    <w:tbl>
      <w:tblPr>
        <w:tblStyle w:val="42"/>
        <w:tblW w:w="9130" w:type="dxa"/>
        <w:tblInd w:w="0" w:type="dxa"/>
        <w:tblLayout w:type="fixed"/>
        <w:tblCellMar>
          <w:top w:w="0" w:type="dxa"/>
          <w:left w:w="30" w:type="dxa"/>
          <w:bottom w:w="0" w:type="dxa"/>
          <w:right w:w="30" w:type="dxa"/>
        </w:tblCellMar>
      </w:tblPr>
      <w:tblGrid>
        <w:gridCol w:w="918"/>
        <w:gridCol w:w="845"/>
        <w:gridCol w:w="3796"/>
        <w:gridCol w:w="1141"/>
        <w:gridCol w:w="2430"/>
      </w:tblGrid>
      <w:tr>
        <w:tblPrEx>
          <w:tblLayout w:type="fixed"/>
          <w:tblCellMar>
            <w:top w:w="0" w:type="dxa"/>
            <w:left w:w="30" w:type="dxa"/>
            <w:bottom w:w="0" w:type="dxa"/>
            <w:right w:w="30" w:type="dxa"/>
          </w:tblCellMar>
        </w:tblPrEx>
        <w:trPr>
          <w:cantSplit/>
          <w:trHeight w:val="1221" w:hRule="atLeast"/>
        </w:trPr>
        <w:tc>
          <w:tcPr>
            <w:tcW w:w="918" w:type="dxa"/>
            <w:tcBorders>
              <w:top w:val="single" w:color="auto" w:sz="12" w:space="0"/>
              <w:left w:val="single" w:color="auto" w:sz="12" w:space="0"/>
              <w:right w:val="single" w:color="auto" w:sz="6" w:space="0"/>
            </w:tcBorders>
            <w:vAlign w:val="center"/>
          </w:tcPr>
          <w:p>
            <w:pPr>
              <w:autoSpaceDE w:val="0"/>
              <w:autoSpaceDN w:val="0"/>
              <w:adjustRightInd w:val="0"/>
              <w:jc w:val="center"/>
              <w:rPr>
                <w:rFonts w:ascii="宋体"/>
                <w:highlight w:val="none"/>
              </w:rPr>
            </w:pPr>
            <w:r>
              <w:rPr>
                <w:rFonts w:hint="eastAsia" w:ascii="宋体"/>
                <w:highlight w:val="none"/>
              </w:rPr>
              <w:t>序号</w:t>
            </w:r>
          </w:p>
        </w:tc>
        <w:tc>
          <w:tcPr>
            <w:tcW w:w="845" w:type="dxa"/>
            <w:tcBorders>
              <w:top w:val="single" w:color="auto" w:sz="12" w:space="0"/>
              <w:left w:val="single" w:color="auto" w:sz="6" w:space="0"/>
            </w:tcBorders>
            <w:vAlign w:val="center"/>
          </w:tcPr>
          <w:p>
            <w:pPr>
              <w:spacing w:before="240" w:line="360" w:lineRule="auto"/>
              <w:jc w:val="center"/>
              <w:rPr>
                <w:szCs w:val="21"/>
                <w:highlight w:val="none"/>
              </w:rPr>
            </w:pPr>
            <w:r>
              <w:rPr>
                <w:rFonts w:hint="eastAsia"/>
                <w:szCs w:val="21"/>
                <w:highlight w:val="none"/>
              </w:rPr>
              <w:t>需求书条款号</w:t>
            </w:r>
          </w:p>
        </w:tc>
        <w:tc>
          <w:tcPr>
            <w:tcW w:w="3796" w:type="dxa"/>
            <w:tcBorders>
              <w:top w:val="single" w:color="auto" w:sz="12" w:space="0"/>
              <w:left w:val="single" w:color="auto" w:sz="6" w:space="0"/>
            </w:tcBorders>
            <w:vAlign w:val="center"/>
          </w:tcPr>
          <w:p>
            <w:pPr>
              <w:spacing w:before="240" w:line="360" w:lineRule="auto"/>
              <w:jc w:val="center"/>
              <w:rPr>
                <w:szCs w:val="21"/>
                <w:highlight w:val="none"/>
              </w:rPr>
            </w:pPr>
            <w:r>
              <w:rPr>
                <w:rFonts w:hint="eastAsia"/>
                <w:szCs w:val="21"/>
                <w:highlight w:val="none"/>
              </w:rPr>
              <w:t>需求书条款题目</w:t>
            </w:r>
          </w:p>
        </w:tc>
        <w:tc>
          <w:tcPr>
            <w:tcW w:w="1141" w:type="dxa"/>
            <w:tcBorders>
              <w:top w:val="single" w:color="auto" w:sz="12" w:space="0"/>
              <w:left w:val="single" w:color="auto" w:sz="6" w:space="0"/>
              <w:right w:val="single" w:color="auto" w:sz="12" w:space="0"/>
            </w:tcBorders>
            <w:vAlign w:val="center"/>
          </w:tcPr>
          <w:p>
            <w:pPr>
              <w:spacing w:before="240" w:line="360" w:lineRule="auto"/>
              <w:jc w:val="center"/>
              <w:rPr>
                <w:szCs w:val="21"/>
                <w:highlight w:val="none"/>
              </w:rPr>
            </w:pPr>
            <w:r>
              <w:rPr>
                <w:rFonts w:hint="eastAsia"/>
                <w:szCs w:val="21"/>
                <w:highlight w:val="none"/>
              </w:rPr>
              <w:t>是否响应</w:t>
            </w:r>
          </w:p>
        </w:tc>
        <w:tc>
          <w:tcPr>
            <w:tcW w:w="2430" w:type="dxa"/>
            <w:tcBorders>
              <w:top w:val="single" w:color="auto" w:sz="12" w:space="0"/>
              <w:left w:val="single" w:color="auto" w:sz="6" w:space="0"/>
              <w:right w:val="single" w:color="auto" w:sz="12" w:space="0"/>
            </w:tcBorders>
            <w:vAlign w:val="center"/>
          </w:tcPr>
          <w:p>
            <w:pPr>
              <w:spacing w:before="240" w:line="360" w:lineRule="auto"/>
              <w:jc w:val="center"/>
              <w:rPr>
                <w:szCs w:val="21"/>
                <w:highlight w:val="none"/>
              </w:rPr>
            </w:pPr>
            <w:r>
              <w:rPr>
                <w:rFonts w:hint="eastAsia"/>
                <w:szCs w:val="21"/>
                <w:highlight w:val="none"/>
              </w:rPr>
              <w:t>差异描述</w:t>
            </w:r>
          </w:p>
        </w:tc>
      </w:tr>
      <w:tr>
        <w:tblPrEx>
          <w:tblLayout w:type="fixed"/>
          <w:tblCellMar>
            <w:top w:w="0" w:type="dxa"/>
            <w:left w:w="30" w:type="dxa"/>
            <w:bottom w:w="0" w:type="dxa"/>
            <w:right w:w="30" w:type="dxa"/>
          </w:tblCellMar>
        </w:tblPrEx>
        <w:trPr>
          <w:cantSplit/>
          <w:trHeight w:val="340" w:hRule="atLeast"/>
        </w:trPr>
        <w:tc>
          <w:tcPr>
            <w:tcW w:w="91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sz w:val="18"/>
                <w:szCs w:val="18"/>
                <w:highlight w:val="none"/>
              </w:rPr>
            </w:pPr>
            <w:r>
              <w:rPr>
                <w:rFonts w:hint="eastAsia" w:ascii="宋体" w:hAnsi="宋体"/>
                <w:sz w:val="18"/>
                <w:szCs w:val="18"/>
                <w:highlight w:val="none"/>
              </w:rPr>
              <w:t>1</w:t>
            </w:r>
          </w:p>
        </w:tc>
        <w:tc>
          <w:tcPr>
            <w:tcW w:w="8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 w:val="18"/>
                <w:szCs w:val="18"/>
                <w:highlight w:val="none"/>
              </w:rPr>
            </w:pPr>
          </w:p>
        </w:tc>
        <w:tc>
          <w:tcPr>
            <w:tcW w:w="37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 w:val="18"/>
                <w:szCs w:val="18"/>
                <w:highlight w:val="none"/>
              </w:rPr>
            </w:pPr>
          </w:p>
        </w:tc>
        <w:tc>
          <w:tcPr>
            <w:tcW w:w="11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outlineLvl w:val="0"/>
              <w:rPr>
                <w:rFonts w:ascii="宋体" w:hAnsi="宋体"/>
                <w:sz w:val="18"/>
                <w:szCs w:val="18"/>
                <w:highlight w:val="none"/>
              </w:rPr>
            </w:pPr>
          </w:p>
        </w:tc>
        <w:tc>
          <w:tcPr>
            <w:tcW w:w="2430"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sz w:val="18"/>
                <w:szCs w:val="18"/>
                <w:highlight w:val="none"/>
              </w:rPr>
            </w:pPr>
          </w:p>
        </w:tc>
      </w:tr>
      <w:tr>
        <w:tblPrEx>
          <w:tblLayout w:type="fixed"/>
          <w:tblCellMar>
            <w:top w:w="0" w:type="dxa"/>
            <w:left w:w="30" w:type="dxa"/>
            <w:bottom w:w="0" w:type="dxa"/>
            <w:right w:w="30" w:type="dxa"/>
          </w:tblCellMar>
        </w:tblPrEx>
        <w:trPr>
          <w:cantSplit/>
          <w:trHeight w:val="340" w:hRule="atLeast"/>
        </w:trPr>
        <w:tc>
          <w:tcPr>
            <w:tcW w:w="91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sz w:val="18"/>
                <w:szCs w:val="18"/>
                <w:highlight w:val="none"/>
              </w:rPr>
            </w:pPr>
            <w:r>
              <w:rPr>
                <w:rFonts w:hint="eastAsia" w:ascii="宋体" w:hAnsi="宋体"/>
                <w:sz w:val="18"/>
                <w:szCs w:val="18"/>
                <w:highlight w:val="none"/>
              </w:rPr>
              <w:t>2</w:t>
            </w:r>
          </w:p>
        </w:tc>
        <w:tc>
          <w:tcPr>
            <w:tcW w:w="8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 w:val="18"/>
                <w:szCs w:val="18"/>
                <w:highlight w:val="none"/>
              </w:rPr>
            </w:pPr>
          </w:p>
        </w:tc>
        <w:tc>
          <w:tcPr>
            <w:tcW w:w="37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 w:val="18"/>
                <w:szCs w:val="18"/>
                <w:highlight w:val="none"/>
              </w:rPr>
            </w:pPr>
          </w:p>
        </w:tc>
        <w:tc>
          <w:tcPr>
            <w:tcW w:w="11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outlineLvl w:val="0"/>
              <w:rPr>
                <w:rFonts w:ascii="宋体" w:hAnsi="宋体"/>
                <w:sz w:val="18"/>
                <w:szCs w:val="18"/>
                <w:highlight w:val="none"/>
              </w:rPr>
            </w:pPr>
          </w:p>
        </w:tc>
        <w:tc>
          <w:tcPr>
            <w:tcW w:w="2430"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sz w:val="18"/>
                <w:szCs w:val="18"/>
                <w:highlight w:val="none"/>
              </w:rPr>
            </w:pPr>
          </w:p>
        </w:tc>
      </w:tr>
      <w:tr>
        <w:tblPrEx>
          <w:tblLayout w:type="fixed"/>
          <w:tblCellMar>
            <w:top w:w="0" w:type="dxa"/>
            <w:left w:w="30" w:type="dxa"/>
            <w:bottom w:w="0" w:type="dxa"/>
            <w:right w:w="30" w:type="dxa"/>
          </w:tblCellMar>
        </w:tblPrEx>
        <w:trPr>
          <w:cantSplit/>
          <w:trHeight w:val="340" w:hRule="atLeast"/>
        </w:trPr>
        <w:tc>
          <w:tcPr>
            <w:tcW w:w="91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sz w:val="18"/>
                <w:szCs w:val="18"/>
                <w:highlight w:val="none"/>
              </w:rPr>
            </w:pPr>
            <w:r>
              <w:rPr>
                <w:rFonts w:hint="eastAsia" w:ascii="宋体" w:hAnsi="宋体"/>
                <w:sz w:val="18"/>
                <w:szCs w:val="18"/>
                <w:highlight w:val="none"/>
              </w:rPr>
              <w:t>3</w:t>
            </w:r>
          </w:p>
        </w:tc>
        <w:tc>
          <w:tcPr>
            <w:tcW w:w="8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 w:val="18"/>
                <w:szCs w:val="18"/>
                <w:highlight w:val="none"/>
              </w:rPr>
            </w:pPr>
          </w:p>
        </w:tc>
        <w:tc>
          <w:tcPr>
            <w:tcW w:w="37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 w:val="18"/>
                <w:szCs w:val="18"/>
                <w:highlight w:val="none"/>
              </w:rPr>
            </w:pPr>
          </w:p>
        </w:tc>
        <w:tc>
          <w:tcPr>
            <w:tcW w:w="11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outlineLvl w:val="0"/>
              <w:rPr>
                <w:rFonts w:ascii="宋体" w:hAnsi="宋体"/>
                <w:sz w:val="18"/>
                <w:szCs w:val="18"/>
                <w:highlight w:val="none"/>
              </w:rPr>
            </w:pPr>
          </w:p>
        </w:tc>
        <w:tc>
          <w:tcPr>
            <w:tcW w:w="2430"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sz w:val="18"/>
                <w:szCs w:val="18"/>
                <w:highlight w:val="none"/>
              </w:rPr>
            </w:pPr>
          </w:p>
        </w:tc>
      </w:tr>
      <w:tr>
        <w:tblPrEx>
          <w:tblLayout w:type="fixed"/>
          <w:tblCellMar>
            <w:top w:w="0" w:type="dxa"/>
            <w:left w:w="30" w:type="dxa"/>
            <w:bottom w:w="0" w:type="dxa"/>
            <w:right w:w="30" w:type="dxa"/>
          </w:tblCellMar>
        </w:tblPrEx>
        <w:trPr>
          <w:cantSplit/>
          <w:trHeight w:val="340" w:hRule="atLeast"/>
        </w:trPr>
        <w:tc>
          <w:tcPr>
            <w:tcW w:w="918"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hAnsi="宋体"/>
                <w:sz w:val="18"/>
                <w:szCs w:val="18"/>
                <w:highlight w:val="none"/>
              </w:rPr>
            </w:pPr>
            <w:r>
              <w:rPr>
                <w:rFonts w:ascii="宋体" w:hAnsi="宋体"/>
                <w:sz w:val="18"/>
                <w:szCs w:val="18"/>
                <w:highlight w:val="none"/>
              </w:rPr>
              <w:t>……</w:t>
            </w:r>
          </w:p>
        </w:tc>
        <w:tc>
          <w:tcPr>
            <w:tcW w:w="845"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jc w:val="center"/>
              <w:rPr>
                <w:rFonts w:ascii="宋体" w:hAnsi="宋体"/>
                <w:sz w:val="18"/>
                <w:szCs w:val="18"/>
                <w:highlight w:val="none"/>
              </w:rPr>
            </w:pPr>
          </w:p>
        </w:tc>
        <w:tc>
          <w:tcPr>
            <w:tcW w:w="3796"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rPr>
                <w:rFonts w:ascii="宋体" w:hAnsi="宋体"/>
                <w:sz w:val="18"/>
                <w:szCs w:val="18"/>
                <w:highlight w:val="none"/>
              </w:rPr>
            </w:pPr>
          </w:p>
        </w:tc>
        <w:tc>
          <w:tcPr>
            <w:tcW w:w="1141"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outlineLvl w:val="0"/>
              <w:rPr>
                <w:rFonts w:ascii="宋体" w:hAnsi="宋体"/>
                <w:sz w:val="18"/>
                <w:szCs w:val="18"/>
                <w:highlight w:val="none"/>
              </w:rPr>
            </w:pPr>
          </w:p>
        </w:tc>
        <w:tc>
          <w:tcPr>
            <w:tcW w:w="2430"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hAnsi="宋体"/>
                <w:sz w:val="18"/>
                <w:szCs w:val="18"/>
                <w:highlight w:val="none"/>
              </w:rPr>
            </w:pPr>
          </w:p>
        </w:tc>
      </w:tr>
    </w:tbl>
    <w:p>
      <w:pPr>
        <w:tabs>
          <w:tab w:val="left" w:pos="676"/>
          <w:tab w:val="left" w:pos="2330"/>
          <w:tab w:val="left" w:pos="9230"/>
        </w:tabs>
        <w:autoSpaceDE w:val="0"/>
        <w:autoSpaceDN w:val="0"/>
        <w:adjustRightInd w:val="0"/>
        <w:spacing w:line="360" w:lineRule="auto"/>
        <w:ind w:left="4700" w:leftChars="2238"/>
        <w:rPr>
          <w:rFonts w:ascii="宋体"/>
          <w:highlight w:val="none"/>
        </w:rPr>
      </w:pPr>
    </w:p>
    <w:p>
      <w:pPr>
        <w:tabs>
          <w:tab w:val="left" w:pos="676"/>
          <w:tab w:val="left" w:pos="2330"/>
          <w:tab w:val="left" w:pos="9230"/>
        </w:tabs>
        <w:autoSpaceDE w:val="0"/>
        <w:autoSpaceDN w:val="0"/>
        <w:adjustRightInd w:val="0"/>
        <w:spacing w:line="360" w:lineRule="auto"/>
        <w:ind w:left="4700" w:leftChars="2238"/>
        <w:rPr>
          <w:rFonts w:ascii="宋体"/>
          <w:highlight w:val="none"/>
        </w:rPr>
      </w:pPr>
      <w:r>
        <w:rPr>
          <w:rFonts w:hint="eastAsia" w:ascii="宋体"/>
          <w:highlight w:val="none"/>
        </w:rPr>
        <w:t>投标人（法人公章）：</w:t>
      </w:r>
    </w:p>
    <w:p>
      <w:pPr>
        <w:tabs>
          <w:tab w:val="left" w:pos="676"/>
          <w:tab w:val="left" w:pos="2330"/>
          <w:tab w:val="left" w:pos="9230"/>
        </w:tabs>
        <w:autoSpaceDE w:val="0"/>
        <w:autoSpaceDN w:val="0"/>
        <w:adjustRightInd w:val="0"/>
        <w:spacing w:line="360" w:lineRule="auto"/>
        <w:ind w:left="4700" w:leftChars="2238"/>
        <w:rPr>
          <w:rFonts w:ascii="宋体"/>
          <w:highlight w:val="none"/>
        </w:rPr>
      </w:pPr>
      <w:r>
        <w:rPr>
          <w:rFonts w:hint="eastAsia" w:ascii="宋体"/>
          <w:highlight w:val="none"/>
        </w:rPr>
        <w:t>授权代表（签名或盖章）：</w:t>
      </w:r>
    </w:p>
    <w:p>
      <w:pPr>
        <w:rPr>
          <w:highlight w:val="none"/>
        </w:rPr>
      </w:pPr>
      <w:r>
        <w:rPr>
          <w:highlight w:val="none"/>
        </w:rPr>
        <w:t>日期：</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pStyle w:val="3"/>
        <w:numPr>
          <w:ilvl w:val="0"/>
          <w:numId w:val="0"/>
        </w:numPr>
        <w:tabs>
          <w:tab w:val="clear" w:pos="840"/>
        </w:tabs>
        <w:snapToGrid w:val="0"/>
        <w:spacing w:before="120" w:after="120"/>
        <w:jc w:val="left"/>
        <w:rPr>
          <w:sz w:val="24"/>
          <w:szCs w:val="24"/>
          <w:highlight w:val="none"/>
        </w:rPr>
      </w:pPr>
      <w:bookmarkStart w:id="511" w:name="_Toc489230123"/>
      <w:bookmarkStart w:id="512" w:name="_Toc18973"/>
      <w:bookmarkStart w:id="513" w:name="_Toc19480"/>
      <w:bookmarkStart w:id="514" w:name="_Toc30789"/>
      <w:bookmarkStart w:id="515" w:name="_Toc1620"/>
      <w:bookmarkStart w:id="516" w:name="_Toc17790"/>
      <w:r>
        <w:rPr>
          <w:rFonts w:hint="eastAsia"/>
          <w:sz w:val="24"/>
          <w:szCs w:val="24"/>
          <w:highlight w:val="none"/>
        </w:rPr>
        <w:t>格式14：投标人简介</w:t>
      </w:r>
      <w:bookmarkEnd w:id="511"/>
      <w:bookmarkEnd w:id="512"/>
      <w:bookmarkEnd w:id="513"/>
      <w:bookmarkEnd w:id="514"/>
      <w:bookmarkEnd w:id="515"/>
      <w:bookmarkEnd w:id="516"/>
    </w:p>
    <w:p>
      <w:pPr>
        <w:snapToGrid w:val="0"/>
        <w:spacing w:line="320" w:lineRule="exact"/>
        <w:rPr>
          <w:b/>
          <w:kern w:val="44"/>
          <w:sz w:val="28"/>
          <w:szCs w:val="28"/>
          <w:highlight w:val="none"/>
        </w:rPr>
      </w:pPr>
    </w:p>
    <w:p>
      <w:pPr>
        <w:snapToGrid w:val="0"/>
        <w:spacing w:line="320" w:lineRule="exact"/>
        <w:jc w:val="center"/>
        <w:rPr>
          <w:b/>
          <w:kern w:val="44"/>
          <w:sz w:val="28"/>
          <w:szCs w:val="28"/>
          <w:highlight w:val="none"/>
        </w:rPr>
      </w:pPr>
    </w:p>
    <w:p>
      <w:pPr>
        <w:autoSpaceDE w:val="0"/>
        <w:autoSpaceDN w:val="0"/>
        <w:adjustRightInd w:val="0"/>
        <w:jc w:val="center"/>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投标人企业概况</w:t>
      </w:r>
    </w:p>
    <w:p>
      <w:pPr>
        <w:autoSpaceDE w:val="0"/>
        <w:autoSpaceDN w:val="0"/>
        <w:adjustRightInd w:val="0"/>
        <w:jc w:val="center"/>
        <w:rPr>
          <w:rFonts w:cs="宋体" w:asciiTheme="minorEastAsia" w:hAnsiTheme="minorEastAsia" w:eastAsiaTheme="minorEastAsia"/>
          <w:color w:val="000000"/>
          <w:sz w:val="24"/>
          <w:highlight w:val="none"/>
        </w:rPr>
      </w:pPr>
    </w:p>
    <w:tbl>
      <w:tblPr>
        <w:tblStyle w:val="42"/>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1815"/>
        <w:gridCol w:w="900"/>
        <w:gridCol w:w="1620"/>
        <w:gridCol w:w="90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425" w:type="dxa"/>
            <w:vAlign w:val="bottom"/>
          </w:tcPr>
          <w:p>
            <w:pPr>
              <w:spacing w:line="360" w:lineRule="auto"/>
              <w:rPr>
                <w:rFonts w:asciiTheme="minorEastAsia" w:hAnsiTheme="minorEastAsia" w:eastAsiaTheme="minorEastAsia"/>
                <w:color w:val="000000"/>
                <w:szCs w:val="21"/>
                <w:highlight w:val="none"/>
              </w:rPr>
            </w:pPr>
            <w:r>
              <w:rPr>
                <w:rFonts w:hint="eastAsia" w:asciiTheme="minorEastAsia" w:hAnsiTheme="minorEastAsia" w:eastAsiaTheme="minorEastAsia"/>
                <w:color w:val="000000"/>
                <w:szCs w:val="21"/>
                <w:highlight w:val="none"/>
              </w:rPr>
              <w:t>企业名称</w:t>
            </w:r>
          </w:p>
        </w:tc>
        <w:tc>
          <w:tcPr>
            <w:tcW w:w="2715" w:type="dxa"/>
            <w:gridSpan w:val="2"/>
            <w:vAlign w:val="bottom"/>
          </w:tcPr>
          <w:p>
            <w:pPr>
              <w:spacing w:line="360" w:lineRule="auto"/>
              <w:rPr>
                <w:rFonts w:asciiTheme="minorEastAsia" w:hAnsiTheme="minorEastAsia" w:eastAsiaTheme="minorEastAsia"/>
                <w:color w:val="000000"/>
                <w:szCs w:val="21"/>
                <w:highlight w:val="none"/>
              </w:rPr>
            </w:pPr>
          </w:p>
        </w:tc>
        <w:tc>
          <w:tcPr>
            <w:tcW w:w="1620" w:type="dxa"/>
            <w:vAlign w:val="bottom"/>
          </w:tcPr>
          <w:p>
            <w:pPr>
              <w:spacing w:line="360" w:lineRule="auto"/>
              <w:rPr>
                <w:rFonts w:asciiTheme="minorEastAsia" w:hAnsiTheme="minorEastAsia" w:eastAsiaTheme="minorEastAsia"/>
                <w:color w:val="000000"/>
                <w:szCs w:val="21"/>
                <w:highlight w:val="none"/>
              </w:rPr>
            </w:pPr>
            <w:r>
              <w:rPr>
                <w:rFonts w:hint="eastAsia" w:asciiTheme="minorEastAsia" w:hAnsiTheme="minorEastAsia" w:eastAsiaTheme="minorEastAsia"/>
                <w:color w:val="000000"/>
                <w:szCs w:val="21"/>
                <w:highlight w:val="none"/>
              </w:rPr>
              <w:t>法定代表人</w:t>
            </w:r>
          </w:p>
        </w:tc>
        <w:tc>
          <w:tcPr>
            <w:tcW w:w="3240" w:type="dxa"/>
            <w:gridSpan w:val="2"/>
            <w:vAlign w:val="bottom"/>
          </w:tcPr>
          <w:p>
            <w:pPr>
              <w:spacing w:line="360" w:lineRule="auto"/>
              <w:rPr>
                <w:rFonts w:asciiTheme="minorEastAsia" w:hAnsiTheme="minorEastAsia" w:eastAsiaTheme="minorEastAsia"/>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425" w:type="dxa"/>
            <w:vAlign w:val="bottom"/>
          </w:tcPr>
          <w:p>
            <w:pPr>
              <w:spacing w:line="360" w:lineRule="auto"/>
              <w:rPr>
                <w:rFonts w:asciiTheme="minorEastAsia" w:hAnsiTheme="minorEastAsia" w:eastAsiaTheme="minorEastAsia"/>
                <w:color w:val="000000"/>
                <w:szCs w:val="21"/>
                <w:highlight w:val="none"/>
              </w:rPr>
            </w:pPr>
            <w:r>
              <w:rPr>
                <w:rFonts w:hint="eastAsia" w:asciiTheme="minorEastAsia" w:hAnsiTheme="minorEastAsia" w:eastAsiaTheme="minorEastAsia"/>
                <w:color w:val="000000"/>
                <w:szCs w:val="21"/>
                <w:highlight w:val="none"/>
              </w:rPr>
              <w:t>注册地址</w:t>
            </w:r>
          </w:p>
        </w:tc>
        <w:tc>
          <w:tcPr>
            <w:tcW w:w="2715" w:type="dxa"/>
            <w:gridSpan w:val="2"/>
            <w:vAlign w:val="bottom"/>
          </w:tcPr>
          <w:p>
            <w:pPr>
              <w:spacing w:line="360" w:lineRule="auto"/>
              <w:rPr>
                <w:rFonts w:asciiTheme="minorEastAsia" w:hAnsiTheme="minorEastAsia" w:eastAsiaTheme="minorEastAsia"/>
                <w:color w:val="000000"/>
                <w:szCs w:val="21"/>
                <w:highlight w:val="none"/>
              </w:rPr>
            </w:pPr>
          </w:p>
        </w:tc>
        <w:tc>
          <w:tcPr>
            <w:tcW w:w="1620" w:type="dxa"/>
            <w:vAlign w:val="bottom"/>
          </w:tcPr>
          <w:p>
            <w:pPr>
              <w:spacing w:line="360" w:lineRule="auto"/>
              <w:rPr>
                <w:rFonts w:asciiTheme="minorEastAsia" w:hAnsiTheme="minorEastAsia" w:eastAsiaTheme="minorEastAsia"/>
                <w:color w:val="000000"/>
                <w:szCs w:val="21"/>
                <w:highlight w:val="none"/>
              </w:rPr>
            </w:pPr>
            <w:r>
              <w:rPr>
                <w:rFonts w:hint="eastAsia" w:asciiTheme="minorEastAsia" w:hAnsiTheme="minorEastAsia" w:eastAsiaTheme="minorEastAsia"/>
                <w:color w:val="000000"/>
                <w:szCs w:val="21"/>
                <w:highlight w:val="none"/>
              </w:rPr>
              <w:t>邮政编码</w:t>
            </w:r>
          </w:p>
        </w:tc>
        <w:tc>
          <w:tcPr>
            <w:tcW w:w="3240" w:type="dxa"/>
            <w:gridSpan w:val="2"/>
            <w:vAlign w:val="bottom"/>
          </w:tcPr>
          <w:p>
            <w:pPr>
              <w:spacing w:line="360" w:lineRule="auto"/>
              <w:rPr>
                <w:rFonts w:asciiTheme="minorEastAsia" w:hAnsiTheme="minorEastAsia" w:eastAsiaTheme="minorEastAsia"/>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425" w:type="dxa"/>
            <w:vAlign w:val="bottom"/>
          </w:tcPr>
          <w:p>
            <w:pPr>
              <w:spacing w:line="360" w:lineRule="auto"/>
              <w:rPr>
                <w:rFonts w:asciiTheme="minorEastAsia" w:hAnsiTheme="minorEastAsia" w:eastAsiaTheme="minorEastAsia"/>
                <w:color w:val="000000"/>
                <w:szCs w:val="21"/>
                <w:highlight w:val="none"/>
              </w:rPr>
            </w:pPr>
            <w:r>
              <w:rPr>
                <w:rFonts w:hint="eastAsia" w:asciiTheme="minorEastAsia" w:hAnsiTheme="minorEastAsia" w:eastAsiaTheme="minorEastAsia"/>
                <w:color w:val="000000"/>
                <w:szCs w:val="21"/>
                <w:highlight w:val="none"/>
              </w:rPr>
              <w:t>成立时间</w:t>
            </w:r>
          </w:p>
        </w:tc>
        <w:tc>
          <w:tcPr>
            <w:tcW w:w="1815" w:type="dxa"/>
            <w:vAlign w:val="bottom"/>
          </w:tcPr>
          <w:p>
            <w:pPr>
              <w:spacing w:line="360" w:lineRule="auto"/>
              <w:rPr>
                <w:rFonts w:asciiTheme="minorEastAsia" w:hAnsiTheme="minorEastAsia" w:eastAsiaTheme="minorEastAsia"/>
                <w:color w:val="000000"/>
                <w:szCs w:val="21"/>
                <w:highlight w:val="none"/>
              </w:rPr>
            </w:pPr>
          </w:p>
        </w:tc>
        <w:tc>
          <w:tcPr>
            <w:tcW w:w="900" w:type="dxa"/>
            <w:vAlign w:val="bottom"/>
          </w:tcPr>
          <w:p>
            <w:pPr>
              <w:spacing w:line="360" w:lineRule="auto"/>
              <w:rPr>
                <w:rFonts w:asciiTheme="minorEastAsia" w:hAnsiTheme="minorEastAsia" w:eastAsiaTheme="minorEastAsia"/>
                <w:color w:val="000000"/>
                <w:szCs w:val="21"/>
                <w:highlight w:val="none"/>
              </w:rPr>
            </w:pPr>
            <w:r>
              <w:rPr>
                <w:rFonts w:hint="eastAsia" w:asciiTheme="minorEastAsia" w:hAnsiTheme="minorEastAsia" w:eastAsiaTheme="minorEastAsia"/>
                <w:color w:val="000000"/>
                <w:szCs w:val="21"/>
                <w:highlight w:val="none"/>
              </w:rPr>
              <w:t>电话</w:t>
            </w:r>
          </w:p>
        </w:tc>
        <w:tc>
          <w:tcPr>
            <w:tcW w:w="1620" w:type="dxa"/>
            <w:vAlign w:val="bottom"/>
          </w:tcPr>
          <w:p>
            <w:pPr>
              <w:spacing w:line="360" w:lineRule="auto"/>
              <w:rPr>
                <w:rFonts w:asciiTheme="minorEastAsia" w:hAnsiTheme="minorEastAsia" w:eastAsiaTheme="minorEastAsia"/>
                <w:color w:val="000000"/>
                <w:szCs w:val="21"/>
                <w:highlight w:val="none"/>
              </w:rPr>
            </w:pPr>
          </w:p>
        </w:tc>
        <w:tc>
          <w:tcPr>
            <w:tcW w:w="900" w:type="dxa"/>
            <w:vAlign w:val="bottom"/>
          </w:tcPr>
          <w:p>
            <w:pPr>
              <w:spacing w:line="360" w:lineRule="auto"/>
              <w:rPr>
                <w:rFonts w:asciiTheme="minorEastAsia" w:hAnsiTheme="minorEastAsia" w:eastAsiaTheme="minorEastAsia"/>
                <w:color w:val="000000"/>
                <w:szCs w:val="21"/>
                <w:highlight w:val="none"/>
              </w:rPr>
            </w:pPr>
            <w:r>
              <w:rPr>
                <w:rFonts w:hint="eastAsia" w:asciiTheme="minorEastAsia" w:hAnsiTheme="minorEastAsia" w:eastAsiaTheme="minorEastAsia"/>
                <w:color w:val="000000"/>
                <w:szCs w:val="21"/>
                <w:highlight w:val="none"/>
              </w:rPr>
              <w:t>传真</w:t>
            </w:r>
          </w:p>
        </w:tc>
        <w:tc>
          <w:tcPr>
            <w:tcW w:w="2340" w:type="dxa"/>
            <w:vAlign w:val="bottom"/>
          </w:tcPr>
          <w:p>
            <w:pPr>
              <w:spacing w:line="360" w:lineRule="auto"/>
              <w:rPr>
                <w:rFonts w:asciiTheme="minorEastAsia" w:hAnsiTheme="minorEastAsia" w:eastAsiaTheme="minorEastAsia"/>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425" w:type="dxa"/>
            <w:vAlign w:val="bottom"/>
          </w:tcPr>
          <w:p>
            <w:pPr>
              <w:spacing w:line="360" w:lineRule="auto"/>
              <w:rPr>
                <w:rFonts w:asciiTheme="minorEastAsia" w:hAnsiTheme="minorEastAsia" w:eastAsiaTheme="minorEastAsia"/>
                <w:color w:val="000000"/>
                <w:szCs w:val="21"/>
                <w:highlight w:val="none"/>
              </w:rPr>
            </w:pPr>
            <w:r>
              <w:rPr>
                <w:rFonts w:hint="eastAsia" w:asciiTheme="minorEastAsia" w:hAnsiTheme="minorEastAsia" w:eastAsiaTheme="minorEastAsia"/>
                <w:color w:val="000000"/>
                <w:szCs w:val="21"/>
                <w:highlight w:val="none"/>
              </w:rPr>
              <w:t>资质等级</w:t>
            </w:r>
          </w:p>
        </w:tc>
        <w:tc>
          <w:tcPr>
            <w:tcW w:w="2715" w:type="dxa"/>
            <w:gridSpan w:val="2"/>
            <w:vAlign w:val="bottom"/>
          </w:tcPr>
          <w:p>
            <w:pPr>
              <w:spacing w:line="360" w:lineRule="auto"/>
              <w:rPr>
                <w:rFonts w:asciiTheme="minorEastAsia" w:hAnsiTheme="minorEastAsia" w:eastAsiaTheme="minorEastAsia"/>
                <w:color w:val="000000"/>
                <w:szCs w:val="21"/>
                <w:highlight w:val="none"/>
              </w:rPr>
            </w:pPr>
          </w:p>
        </w:tc>
        <w:tc>
          <w:tcPr>
            <w:tcW w:w="1620" w:type="dxa"/>
            <w:vAlign w:val="bottom"/>
          </w:tcPr>
          <w:p>
            <w:pPr>
              <w:spacing w:line="360" w:lineRule="auto"/>
              <w:rPr>
                <w:rFonts w:asciiTheme="minorEastAsia" w:hAnsiTheme="minorEastAsia" w:eastAsiaTheme="minorEastAsia"/>
                <w:color w:val="000000"/>
                <w:szCs w:val="21"/>
                <w:highlight w:val="none"/>
              </w:rPr>
            </w:pPr>
            <w:r>
              <w:rPr>
                <w:rFonts w:hint="eastAsia" w:asciiTheme="minorEastAsia" w:hAnsiTheme="minorEastAsia" w:eastAsiaTheme="minorEastAsia"/>
                <w:color w:val="000000"/>
                <w:szCs w:val="21"/>
                <w:highlight w:val="none"/>
              </w:rPr>
              <w:t>营业执照</w:t>
            </w:r>
          </w:p>
        </w:tc>
        <w:tc>
          <w:tcPr>
            <w:tcW w:w="3240" w:type="dxa"/>
            <w:gridSpan w:val="2"/>
            <w:vAlign w:val="bottom"/>
          </w:tcPr>
          <w:p>
            <w:pPr>
              <w:spacing w:line="360" w:lineRule="auto"/>
              <w:rPr>
                <w:rFonts w:asciiTheme="minorEastAsia" w:hAnsiTheme="minorEastAsia" w:eastAsiaTheme="minorEastAsia"/>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425" w:type="dxa"/>
            <w:vAlign w:val="bottom"/>
          </w:tcPr>
          <w:p>
            <w:pPr>
              <w:spacing w:line="360" w:lineRule="auto"/>
              <w:rPr>
                <w:rFonts w:asciiTheme="minorEastAsia" w:hAnsiTheme="minorEastAsia" w:eastAsiaTheme="minorEastAsia"/>
                <w:color w:val="000000"/>
                <w:szCs w:val="21"/>
                <w:highlight w:val="none"/>
              </w:rPr>
            </w:pPr>
            <w:r>
              <w:rPr>
                <w:rFonts w:hint="eastAsia" w:asciiTheme="minorEastAsia" w:hAnsiTheme="minorEastAsia" w:eastAsiaTheme="minorEastAsia"/>
                <w:color w:val="000000"/>
                <w:szCs w:val="21"/>
                <w:highlight w:val="none"/>
              </w:rPr>
              <w:t>职工人数</w:t>
            </w:r>
          </w:p>
        </w:tc>
        <w:tc>
          <w:tcPr>
            <w:tcW w:w="7575" w:type="dxa"/>
            <w:gridSpan w:val="5"/>
            <w:vAlign w:val="bottom"/>
          </w:tcPr>
          <w:p>
            <w:pPr>
              <w:spacing w:line="360" w:lineRule="auto"/>
              <w:rPr>
                <w:rFonts w:asciiTheme="minorEastAsia" w:hAnsiTheme="minorEastAsia" w:eastAsiaTheme="minorEastAsia"/>
                <w:color w:val="000000"/>
                <w:szCs w:val="21"/>
                <w:highlight w:val="none"/>
              </w:rPr>
            </w:pPr>
            <w:r>
              <w:rPr>
                <w:rFonts w:hint="eastAsia" w:asciiTheme="minorEastAsia" w:hAnsiTheme="minorEastAsia" w:eastAsiaTheme="minorEastAsia"/>
                <w:color w:val="000000"/>
                <w:szCs w:val="21"/>
                <w:highlight w:val="none"/>
              </w:rPr>
              <w:t>总人数：技术人员：行政人员：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2" w:hRule="atLeast"/>
          <w:jc w:val="center"/>
        </w:trPr>
        <w:tc>
          <w:tcPr>
            <w:tcW w:w="1425" w:type="dxa"/>
            <w:vAlign w:val="center"/>
          </w:tcPr>
          <w:p>
            <w:pPr>
              <w:spacing w:line="360" w:lineRule="auto"/>
              <w:rPr>
                <w:rFonts w:asciiTheme="minorEastAsia" w:hAnsiTheme="minorEastAsia" w:eastAsiaTheme="minorEastAsia"/>
                <w:color w:val="000000"/>
                <w:szCs w:val="21"/>
                <w:highlight w:val="none"/>
              </w:rPr>
            </w:pPr>
            <w:r>
              <w:rPr>
                <w:rFonts w:hint="eastAsia" w:asciiTheme="minorEastAsia" w:hAnsiTheme="minorEastAsia" w:eastAsiaTheme="minorEastAsia"/>
                <w:color w:val="000000"/>
                <w:szCs w:val="21"/>
                <w:highlight w:val="none"/>
              </w:rPr>
              <w:t>公司主要</w:t>
            </w:r>
          </w:p>
          <w:p>
            <w:pPr>
              <w:spacing w:line="360" w:lineRule="auto"/>
              <w:rPr>
                <w:rFonts w:asciiTheme="minorEastAsia" w:hAnsiTheme="minorEastAsia" w:eastAsiaTheme="minorEastAsia"/>
                <w:color w:val="000000"/>
                <w:szCs w:val="21"/>
                <w:highlight w:val="none"/>
              </w:rPr>
            </w:pPr>
            <w:r>
              <w:rPr>
                <w:rFonts w:hint="eastAsia" w:asciiTheme="minorEastAsia" w:hAnsiTheme="minorEastAsia" w:eastAsiaTheme="minorEastAsia"/>
                <w:color w:val="000000"/>
                <w:szCs w:val="21"/>
                <w:highlight w:val="none"/>
              </w:rPr>
              <w:t>业务概况</w:t>
            </w:r>
          </w:p>
        </w:tc>
        <w:tc>
          <w:tcPr>
            <w:tcW w:w="7575" w:type="dxa"/>
            <w:gridSpan w:val="5"/>
          </w:tcPr>
          <w:p>
            <w:pPr>
              <w:spacing w:line="360" w:lineRule="auto"/>
              <w:rPr>
                <w:rFonts w:asciiTheme="minorEastAsia" w:hAnsiTheme="minorEastAsia" w:eastAsiaTheme="minorEastAsia"/>
                <w:color w:val="000000"/>
                <w:szCs w:val="21"/>
                <w:highlight w:val="none"/>
              </w:rPr>
            </w:pPr>
          </w:p>
          <w:p>
            <w:pPr>
              <w:spacing w:line="360" w:lineRule="auto"/>
              <w:rPr>
                <w:rFonts w:asciiTheme="minorEastAsia" w:hAnsiTheme="minorEastAsia" w:eastAsiaTheme="minorEastAsia"/>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9" w:hRule="atLeast"/>
          <w:jc w:val="center"/>
        </w:trPr>
        <w:tc>
          <w:tcPr>
            <w:tcW w:w="9000" w:type="dxa"/>
            <w:gridSpan w:val="6"/>
          </w:tcPr>
          <w:p>
            <w:pPr>
              <w:spacing w:line="360" w:lineRule="auto"/>
              <w:rPr>
                <w:rFonts w:asciiTheme="minorEastAsia" w:hAnsiTheme="minorEastAsia" w:eastAsiaTheme="minorEastAsia"/>
                <w:color w:val="000000"/>
                <w:szCs w:val="21"/>
                <w:highlight w:val="none"/>
              </w:rPr>
            </w:pPr>
            <w:r>
              <w:rPr>
                <w:rFonts w:hint="eastAsia" w:asciiTheme="minorEastAsia" w:hAnsiTheme="minorEastAsia" w:eastAsiaTheme="minorEastAsia"/>
                <w:color w:val="000000"/>
                <w:szCs w:val="21"/>
                <w:highlight w:val="none"/>
              </w:rPr>
              <w:t>组织机构框图</w:t>
            </w:r>
          </w:p>
          <w:p>
            <w:pPr>
              <w:spacing w:line="360" w:lineRule="auto"/>
              <w:rPr>
                <w:rFonts w:asciiTheme="minorEastAsia" w:hAnsiTheme="minorEastAsia" w:eastAsiaTheme="minorEastAsia"/>
                <w:color w:val="000000"/>
                <w:szCs w:val="21"/>
                <w:highlight w:val="none"/>
              </w:rPr>
            </w:pPr>
            <w:r>
              <w:rPr>
                <w:rFonts w:hint="eastAsia" w:asciiTheme="minorEastAsia" w:hAnsiTheme="minorEastAsia" w:eastAsiaTheme="minorEastAsia"/>
                <w:color w:val="000000"/>
                <w:szCs w:val="21"/>
                <w:highlight w:val="none"/>
              </w:rPr>
              <w:t>（包括结构、领导成员、主要技术人员及数量等情况）</w:t>
            </w:r>
          </w:p>
          <w:p>
            <w:pPr>
              <w:spacing w:line="360" w:lineRule="auto"/>
              <w:rPr>
                <w:rFonts w:asciiTheme="minorEastAsia" w:hAnsiTheme="minorEastAsia" w:eastAsiaTheme="minorEastAsia"/>
                <w:color w:val="000000"/>
                <w:szCs w:val="21"/>
                <w:highlight w:val="none"/>
              </w:rPr>
            </w:pPr>
          </w:p>
          <w:p>
            <w:pPr>
              <w:spacing w:line="360" w:lineRule="auto"/>
              <w:rPr>
                <w:rFonts w:asciiTheme="minorEastAsia" w:hAnsiTheme="minorEastAsia" w:eastAsiaTheme="minorEastAsia"/>
                <w:color w:val="000000"/>
                <w:szCs w:val="21"/>
                <w:highlight w:val="none"/>
              </w:rPr>
            </w:pPr>
          </w:p>
        </w:tc>
      </w:tr>
    </w:tbl>
    <w:p>
      <w:pPr>
        <w:spacing w:line="360" w:lineRule="auto"/>
        <w:rPr>
          <w:rFonts w:asciiTheme="minorEastAsia" w:hAnsiTheme="minorEastAsia" w:eastAsiaTheme="minorEastAsia"/>
          <w:b/>
          <w:color w:val="000000"/>
          <w:szCs w:val="21"/>
          <w:highlight w:val="none"/>
        </w:rPr>
      </w:pPr>
    </w:p>
    <w:p>
      <w:pPr>
        <w:autoSpaceDE w:val="0"/>
        <w:autoSpaceDN w:val="0"/>
        <w:adjustRightInd w:val="0"/>
        <w:spacing w:line="480" w:lineRule="auto"/>
        <w:ind w:firstLine="315" w:firstLineChars="150"/>
        <w:rPr>
          <w:rFonts w:asciiTheme="minorEastAsia" w:hAnsiTheme="minorEastAsia" w:eastAsiaTheme="minorEastAsia"/>
          <w:color w:val="000000"/>
          <w:szCs w:val="21"/>
          <w:highlight w:val="none"/>
        </w:rPr>
      </w:pPr>
      <w:r>
        <w:rPr>
          <w:rFonts w:hint="eastAsia" w:asciiTheme="minorEastAsia" w:hAnsiTheme="minorEastAsia" w:eastAsiaTheme="minorEastAsia"/>
          <w:color w:val="000000"/>
          <w:szCs w:val="21"/>
          <w:highlight w:val="none"/>
        </w:rPr>
        <w:t>投标人名称：（盖章）</w:t>
      </w:r>
    </w:p>
    <w:p>
      <w:pPr>
        <w:autoSpaceDE w:val="0"/>
        <w:autoSpaceDN w:val="0"/>
        <w:adjustRightInd w:val="0"/>
        <w:spacing w:line="480" w:lineRule="auto"/>
        <w:ind w:firstLine="315" w:firstLineChars="150"/>
        <w:rPr>
          <w:rFonts w:asciiTheme="minorEastAsia" w:hAnsiTheme="minorEastAsia" w:eastAsiaTheme="minorEastAsia"/>
          <w:color w:val="000000"/>
          <w:szCs w:val="21"/>
          <w:highlight w:val="none"/>
        </w:rPr>
      </w:pPr>
      <w:r>
        <w:rPr>
          <w:rFonts w:hint="eastAsia" w:asciiTheme="minorEastAsia" w:hAnsiTheme="minorEastAsia" w:eastAsiaTheme="minorEastAsia"/>
          <w:color w:val="000000"/>
          <w:szCs w:val="21"/>
          <w:highlight w:val="none"/>
        </w:rPr>
        <w:t>投标人法人代表（或其授权代理人）：（签字或盖章）</w:t>
      </w:r>
    </w:p>
    <w:p>
      <w:pPr>
        <w:spacing w:line="360" w:lineRule="auto"/>
        <w:ind w:firstLine="315" w:firstLineChars="150"/>
        <w:rPr>
          <w:rFonts w:asciiTheme="minorEastAsia" w:hAnsiTheme="minorEastAsia" w:eastAsiaTheme="minorEastAsia"/>
          <w:color w:val="000000"/>
          <w:szCs w:val="21"/>
          <w:highlight w:val="none"/>
        </w:rPr>
      </w:pPr>
      <w:r>
        <w:rPr>
          <w:rFonts w:hint="eastAsia" w:asciiTheme="minorEastAsia" w:hAnsiTheme="minorEastAsia" w:eastAsiaTheme="minorEastAsia"/>
          <w:color w:val="000000"/>
          <w:szCs w:val="21"/>
          <w:highlight w:val="none"/>
        </w:rPr>
        <w:t>日期：</w:t>
      </w:r>
      <w:r>
        <w:rPr>
          <w:rFonts w:asciiTheme="minorEastAsia" w:hAnsiTheme="minorEastAsia" w:eastAsiaTheme="minorEastAsia"/>
          <w:color w:val="000000"/>
          <w:szCs w:val="21"/>
          <w:highlight w:val="none"/>
        </w:rPr>
        <w:t>201</w:t>
      </w:r>
      <w:r>
        <w:rPr>
          <w:rFonts w:hint="eastAsia" w:asciiTheme="minorEastAsia" w:hAnsiTheme="minorEastAsia" w:eastAsiaTheme="minorEastAsia"/>
          <w:color w:val="000000"/>
          <w:szCs w:val="21"/>
          <w:highlight w:val="none"/>
        </w:rPr>
        <w:t>9年月日</w:t>
      </w:r>
    </w:p>
    <w:p>
      <w:pPr>
        <w:rPr>
          <w:rFonts w:ascii="黑体" w:eastAsia="黑体"/>
          <w:b/>
          <w:kern w:val="144"/>
          <w:sz w:val="44"/>
          <w:highlight w:val="none"/>
        </w:rPr>
      </w:pPr>
    </w:p>
    <w:p>
      <w:pPr>
        <w:rPr>
          <w:rFonts w:ascii="黑体" w:eastAsia="黑体"/>
          <w:b/>
          <w:kern w:val="144"/>
          <w:sz w:val="44"/>
          <w:highlight w:val="none"/>
        </w:rPr>
      </w:pPr>
    </w:p>
    <w:p>
      <w:pPr>
        <w:pStyle w:val="3"/>
        <w:numPr>
          <w:ilvl w:val="255"/>
          <w:numId w:val="0"/>
        </w:numPr>
        <w:tabs>
          <w:tab w:val="clear" w:pos="840"/>
        </w:tabs>
        <w:snapToGrid w:val="0"/>
        <w:spacing w:before="156" w:after="156"/>
        <w:jc w:val="left"/>
        <w:rPr>
          <w:b w:val="0"/>
          <w:kern w:val="44"/>
          <w:sz w:val="28"/>
          <w:szCs w:val="28"/>
          <w:highlight w:val="none"/>
        </w:rPr>
      </w:pPr>
      <w:bookmarkStart w:id="517" w:name="_Toc18027"/>
      <w:bookmarkStart w:id="518" w:name="_Toc8133605"/>
      <w:bookmarkStart w:id="519" w:name="_Toc534757718"/>
      <w:bookmarkStart w:id="520" w:name="_Toc8261"/>
      <w:bookmarkStart w:id="521" w:name="_Toc17326"/>
      <w:bookmarkStart w:id="522" w:name="_Toc24870"/>
      <w:r>
        <w:rPr>
          <w:rFonts w:hint="eastAsia"/>
          <w:sz w:val="24"/>
          <w:szCs w:val="24"/>
          <w:highlight w:val="none"/>
        </w:rPr>
        <w:t>格式15：项目人员配置</w:t>
      </w:r>
      <w:bookmarkEnd w:id="517"/>
      <w:bookmarkEnd w:id="518"/>
      <w:bookmarkEnd w:id="519"/>
      <w:bookmarkEnd w:id="520"/>
      <w:bookmarkEnd w:id="521"/>
      <w:bookmarkEnd w:id="522"/>
    </w:p>
    <w:p>
      <w:pPr>
        <w:spacing w:beforeLines="100" w:afterLines="100" w:line="440" w:lineRule="exact"/>
        <w:jc w:val="center"/>
        <w:rPr>
          <w:rFonts w:ascii="Arial" w:hAnsi="Arial" w:eastAsia="黑体"/>
          <w:b/>
          <w:bCs/>
          <w:sz w:val="24"/>
          <w:szCs w:val="32"/>
          <w:highlight w:val="none"/>
        </w:rPr>
      </w:pPr>
      <w:bookmarkStart w:id="523" w:name="_Toc332188245"/>
      <w:bookmarkStart w:id="524" w:name="_Toc246997114"/>
      <w:bookmarkStart w:id="525" w:name="_Toc179632825"/>
      <w:bookmarkStart w:id="526" w:name="_Toc246996371"/>
      <w:bookmarkStart w:id="527" w:name="_Toc144974873"/>
      <w:bookmarkStart w:id="528" w:name="_Toc326223616"/>
      <w:bookmarkStart w:id="529" w:name="_Toc152042594"/>
      <w:bookmarkStart w:id="530" w:name="_Toc334766998"/>
      <w:bookmarkStart w:id="531" w:name="_Toc247085889"/>
      <w:bookmarkStart w:id="532" w:name="_Toc152045805"/>
      <w:r>
        <w:rPr>
          <w:rFonts w:ascii="Arial" w:hAnsi="Arial" w:eastAsia="黑体"/>
          <w:b/>
          <w:bCs/>
          <w:sz w:val="24"/>
          <w:szCs w:val="32"/>
          <w:highlight w:val="none"/>
        </w:rPr>
        <w:t>（</w:t>
      </w:r>
      <w:r>
        <w:rPr>
          <w:rFonts w:hint="eastAsia" w:ascii="Arial" w:hAnsi="Arial" w:eastAsia="黑体"/>
          <w:b/>
          <w:bCs/>
          <w:sz w:val="24"/>
          <w:szCs w:val="32"/>
          <w:highlight w:val="none"/>
        </w:rPr>
        <w:t>1</w:t>
      </w:r>
      <w:r>
        <w:rPr>
          <w:rFonts w:ascii="Arial" w:hAnsi="Arial" w:eastAsia="黑体"/>
          <w:b/>
          <w:bCs/>
          <w:sz w:val="24"/>
          <w:szCs w:val="32"/>
          <w:highlight w:val="none"/>
        </w:rPr>
        <w:t>）</w:t>
      </w:r>
      <w:r>
        <w:rPr>
          <w:rFonts w:hint="eastAsia" w:ascii="Arial" w:hAnsi="Arial" w:eastAsia="黑体"/>
          <w:b/>
          <w:bCs/>
          <w:sz w:val="24"/>
          <w:szCs w:val="32"/>
          <w:highlight w:val="none"/>
        </w:rPr>
        <w:t>项目负责人</w:t>
      </w:r>
      <w:r>
        <w:rPr>
          <w:rFonts w:ascii="Arial" w:hAnsi="Arial" w:eastAsia="黑体"/>
          <w:b/>
          <w:bCs/>
          <w:sz w:val="24"/>
          <w:szCs w:val="32"/>
          <w:highlight w:val="none"/>
        </w:rPr>
        <w:t>简历表</w:t>
      </w:r>
      <w:bookmarkEnd w:id="523"/>
      <w:bookmarkEnd w:id="524"/>
      <w:bookmarkEnd w:id="525"/>
      <w:bookmarkEnd w:id="526"/>
      <w:bookmarkEnd w:id="527"/>
      <w:bookmarkEnd w:id="528"/>
      <w:bookmarkEnd w:id="529"/>
      <w:bookmarkEnd w:id="530"/>
      <w:bookmarkEnd w:id="531"/>
      <w:bookmarkEnd w:id="532"/>
    </w:p>
    <w:p>
      <w:pPr>
        <w:spacing w:line="400" w:lineRule="exact"/>
        <w:ind w:firstLine="420" w:firstLineChars="200"/>
        <w:rPr>
          <w:highlight w:val="none"/>
        </w:rPr>
      </w:pPr>
      <w:r>
        <w:rPr>
          <w:rFonts w:hint="eastAsia" w:ascii="宋体" w:hAnsi="宋体" w:cs="宋体"/>
          <w:szCs w:val="21"/>
          <w:highlight w:val="none"/>
        </w:rPr>
        <w:t>投标人拟派本项目的项目负责人共1名，作为本项目专职联系人，请提供该项目负责人简历表，身份证、职称证、学历证明扫描件、业绩经验、劳动合同等证明材料）</w:t>
      </w:r>
    </w:p>
    <w:tbl>
      <w:tblPr>
        <w:tblStyle w:val="4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160"/>
        <w:gridCol w:w="1106"/>
        <w:gridCol w:w="291"/>
        <w:gridCol w:w="861"/>
        <w:gridCol w:w="626"/>
        <w:gridCol w:w="574"/>
        <w:gridCol w:w="658"/>
        <w:gridCol w:w="1019"/>
        <w:gridCol w:w="302"/>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gridSpan w:val="2"/>
            <w:vAlign w:val="center"/>
          </w:tcPr>
          <w:p>
            <w:pPr>
              <w:jc w:val="center"/>
              <w:rPr>
                <w:rFonts w:ascii="宋体" w:hAnsi="宋体"/>
                <w:szCs w:val="21"/>
                <w:highlight w:val="none"/>
              </w:rPr>
            </w:pPr>
            <w:r>
              <w:rPr>
                <w:rFonts w:ascii="宋体" w:hAnsi="宋体"/>
                <w:szCs w:val="21"/>
                <w:highlight w:val="none"/>
              </w:rPr>
              <w:t>姓  名</w:t>
            </w:r>
          </w:p>
        </w:tc>
        <w:tc>
          <w:tcPr>
            <w:tcW w:w="1397" w:type="dxa"/>
            <w:gridSpan w:val="2"/>
            <w:vAlign w:val="center"/>
          </w:tcPr>
          <w:p>
            <w:pPr>
              <w:jc w:val="center"/>
              <w:rPr>
                <w:rFonts w:ascii="宋体" w:hAnsi="宋体"/>
                <w:szCs w:val="21"/>
                <w:highlight w:val="none"/>
              </w:rPr>
            </w:pPr>
          </w:p>
        </w:tc>
        <w:tc>
          <w:tcPr>
            <w:tcW w:w="861" w:type="dxa"/>
            <w:vAlign w:val="center"/>
          </w:tcPr>
          <w:p>
            <w:pPr>
              <w:jc w:val="center"/>
              <w:rPr>
                <w:rFonts w:ascii="宋体" w:hAnsi="宋体"/>
                <w:szCs w:val="21"/>
                <w:highlight w:val="none"/>
              </w:rPr>
            </w:pPr>
            <w:r>
              <w:rPr>
                <w:rFonts w:ascii="宋体" w:hAnsi="宋体"/>
                <w:szCs w:val="21"/>
                <w:highlight w:val="none"/>
              </w:rPr>
              <w:t>年 龄</w:t>
            </w:r>
          </w:p>
        </w:tc>
        <w:tc>
          <w:tcPr>
            <w:tcW w:w="1200" w:type="dxa"/>
            <w:gridSpan w:val="2"/>
            <w:vAlign w:val="center"/>
          </w:tcPr>
          <w:p>
            <w:pPr>
              <w:jc w:val="center"/>
              <w:rPr>
                <w:rFonts w:ascii="宋体" w:hAnsi="宋体"/>
                <w:szCs w:val="21"/>
                <w:highlight w:val="none"/>
              </w:rPr>
            </w:pPr>
          </w:p>
        </w:tc>
        <w:tc>
          <w:tcPr>
            <w:tcW w:w="1979" w:type="dxa"/>
            <w:gridSpan w:val="3"/>
            <w:vAlign w:val="center"/>
          </w:tcPr>
          <w:p>
            <w:pPr>
              <w:jc w:val="center"/>
              <w:rPr>
                <w:rFonts w:ascii="宋体" w:hAnsi="宋体"/>
                <w:szCs w:val="21"/>
                <w:highlight w:val="none"/>
              </w:rPr>
            </w:pPr>
            <w:r>
              <w:rPr>
                <w:rFonts w:ascii="宋体" w:hAnsi="宋体"/>
                <w:szCs w:val="21"/>
                <w:highlight w:val="none"/>
              </w:rPr>
              <w:t>学历</w:t>
            </w:r>
          </w:p>
        </w:tc>
        <w:tc>
          <w:tcPr>
            <w:tcW w:w="1984" w:type="dxa"/>
            <w:vAlign w:val="center"/>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gridSpan w:val="2"/>
            <w:vAlign w:val="center"/>
          </w:tcPr>
          <w:p>
            <w:pPr>
              <w:jc w:val="center"/>
              <w:rPr>
                <w:rFonts w:ascii="宋体" w:hAnsi="宋体"/>
                <w:szCs w:val="21"/>
                <w:highlight w:val="none"/>
              </w:rPr>
            </w:pPr>
            <w:r>
              <w:rPr>
                <w:rFonts w:ascii="宋体" w:hAnsi="宋体"/>
                <w:szCs w:val="21"/>
                <w:highlight w:val="none"/>
              </w:rPr>
              <w:t>职  称</w:t>
            </w:r>
          </w:p>
        </w:tc>
        <w:tc>
          <w:tcPr>
            <w:tcW w:w="1397" w:type="dxa"/>
            <w:gridSpan w:val="2"/>
            <w:vAlign w:val="center"/>
          </w:tcPr>
          <w:p>
            <w:pPr>
              <w:jc w:val="center"/>
              <w:rPr>
                <w:rFonts w:ascii="宋体" w:hAnsi="宋体"/>
                <w:szCs w:val="21"/>
                <w:highlight w:val="none"/>
              </w:rPr>
            </w:pPr>
          </w:p>
        </w:tc>
        <w:tc>
          <w:tcPr>
            <w:tcW w:w="861" w:type="dxa"/>
            <w:vAlign w:val="center"/>
          </w:tcPr>
          <w:p>
            <w:pPr>
              <w:jc w:val="center"/>
              <w:rPr>
                <w:rFonts w:ascii="宋体" w:hAnsi="宋体"/>
                <w:szCs w:val="21"/>
                <w:highlight w:val="none"/>
              </w:rPr>
            </w:pPr>
            <w:r>
              <w:rPr>
                <w:rFonts w:ascii="宋体" w:hAnsi="宋体"/>
                <w:szCs w:val="21"/>
                <w:highlight w:val="none"/>
              </w:rPr>
              <w:t>职 务</w:t>
            </w:r>
          </w:p>
        </w:tc>
        <w:tc>
          <w:tcPr>
            <w:tcW w:w="1200" w:type="dxa"/>
            <w:gridSpan w:val="2"/>
            <w:vAlign w:val="center"/>
          </w:tcPr>
          <w:p>
            <w:pPr>
              <w:jc w:val="center"/>
              <w:rPr>
                <w:rFonts w:ascii="宋体" w:hAnsi="宋体"/>
                <w:szCs w:val="21"/>
                <w:highlight w:val="none"/>
              </w:rPr>
            </w:pPr>
          </w:p>
        </w:tc>
        <w:tc>
          <w:tcPr>
            <w:tcW w:w="1979" w:type="dxa"/>
            <w:gridSpan w:val="3"/>
            <w:vAlign w:val="center"/>
          </w:tcPr>
          <w:p>
            <w:pPr>
              <w:jc w:val="center"/>
              <w:rPr>
                <w:rFonts w:ascii="宋体" w:hAnsi="宋体"/>
                <w:szCs w:val="21"/>
                <w:highlight w:val="none"/>
              </w:rPr>
            </w:pPr>
            <w:r>
              <w:rPr>
                <w:rFonts w:ascii="宋体" w:hAnsi="宋体"/>
                <w:szCs w:val="21"/>
                <w:highlight w:val="none"/>
              </w:rPr>
              <w:t>拟在本合同任职</w:t>
            </w:r>
          </w:p>
        </w:tc>
        <w:tc>
          <w:tcPr>
            <w:tcW w:w="1984" w:type="dxa"/>
            <w:vAlign w:val="center"/>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gridSpan w:val="2"/>
            <w:vAlign w:val="center"/>
          </w:tcPr>
          <w:p>
            <w:pPr>
              <w:rPr>
                <w:rFonts w:ascii="宋体" w:hAnsi="宋体"/>
                <w:szCs w:val="21"/>
                <w:highlight w:val="none"/>
              </w:rPr>
            </w:pPr>
            <w:r>
              <w:rPr>
                <w:rFonts w:ascii="宋体" w:hAnsi="宋体"/>
                <w:szCs w:val="21"/>
                <w:highlight w:val="none"/>
              </w:rPr>
              <w:t>毕业学校</w:t>
            </w:r>
          </w:p>
        </w:tc>
        <w:tc>
          <w:tcPr>
            <w:tcW w:w="7421" w:type="dxa"/>
            <w:gridSpan w:val="9"/>
          </w:tcPr>
          <w:p>
            <w:pPr>
              <w:rPr>
                <w:rFonts w:ascii="宋体" w:hAnsi="宋体"/>
                <w:szCs w:val="21"/>
                <w:highlight w:val="none"/>
              </w:rPr>
            </w:pPr>
            <w:r>
              <w:rPr>
                <w:rFonts w:ascii="宋体" w:hAnsi="宋体"/>
                <w:szCs w:val="21"/>
                <w:highlight w:val="none"/>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1101" w:type="dxa"/>
            <w:gridSpan w:val="2"/>
            <w:vAlign w:val="center"/>
          </w:tcPr>
          <w:p>
            <w:pPr>
              <w:rPr>
                <w:rFonts w:ascii="宋体" w:hAnsi="宋体"/>
                <w:szCs w:val="21"/>
                <w:highlight w:val="none"/>
              </w:rPr>
            </w:pPr>
            <w:r>
              <w:rPr>
                <w:rFonts w:hint="eastAsia" w:ascii="宋体" w:hAnsi="宋体"/>
                <w:szCs w:val="21"/>
                <w:highlight w:val="none"/>
              </w:rPr>
              <w:t>同类项目工作年限</w:t>
            </w:r>
          </w:p>
          <w:p>
            <w:pPr>
              <w:rPr>
                <w:rFonts w:ascii="宋体" w:hAnsi="宋体"/>
                <w:szCs w:val="21"/>
                <w:highlight w:val="none"/>
              </w:rPr>
            </w:pPr>
            <w:r>
              <w:rPr>
                <w:rFonts w:hint="eastAsia" w:ascii="宋体" w:hAnsi="宋体"/>
                <w:szCs w:val="21"/>
                <w:highlight w:val="none"/>
              </w:rPr>
              <w:t>（年）：</w:t>
            </w:r>
          </w:p>
        </w:tc>
        <w:tc>
          <w:tcPr>
            <w:tcW w:w="7421" w:type="dxa"/>
            <w:gridSpan w:val="9"/>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11"/>
            <w:vAlign w:val="center"/>
          </w:tcPr>
          <w:p>
            <w:pPr>
              <w:rPr>
                <w:rFonts w:ascii="宋体" w:hAnsi="宋体"/>
                <w:szCs w:val="21"/>
                <w:highlight w:val="none"/>
              </w:rPr>
            </w:pPr>
            <w:r>
              <w:rPr>
                <w:rFonts w:ascii="宋体" w:hAnsi="宋体"/>
                <w:szCs w:val="21"/>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41" w:type="dxa"/>
            <w:vAlign w:val="center"/>
          </w:tcPr>
          <w:p>
            <w:pPr>
              <w:rPr>
                <w:rFonts w:ascii="宋体" w:hAnsi="宋体"/>
                <w:szCs w:val="21"/>
                <w:highlight w:val="none"/>
              </w:rPr>
            </w:pPr>
            <w:r>
              <w:rPr>
                <w:rFonts w:ascii="宋体" w:hAnsi="宋体"/>
                <w:szCs w:val="21"/>
                <w:highlight w:val="none"/>
              </w:rPr>
              <w:t>时  间</w:t>
            </w:r>
          </w:p>
        </w:tc>
        <w:tc>
          <w:tcPr>
            <w:tcW w:w="1266" w:type="dxa"/>
            <w:gridSpan w:val="2"/>
            <w:vAlign w:val="center"/>
          </w:tcPr>
          <w:p>
            <w:pPr>
              <w:rPr>
                <w:rFonts w:ascii="宋体" w:hAnsi="宋体"/>
                <w:szCs w:val="21"/>
                <w:highlight w:val="none"/>
              </w:rPr>
            </w:pPr>
            <w:r>
              <w:rPr>
                <w:rFonts w:hint="eastAsia" w:ascii="宋体" w:hAnsi="宋体"/>
                <w:szCs w:val="21"/>
                <w:highlight w:val="none"/>
              </w:rPr>
              <w:t>甲方名称</w:t>
            </w:r>
          </w:p>
        </w:tc>
        <w:tc>
          <w:tcPr>
            <w:tcW w:w="1778" w:type="dxa"/>
            <w:gridSpan w:val="3"/>
            <w:vAlign w:val="center"/>
          </w:tcPr>
          <w:p>
            <w:pPr>
              <w:rPr>
                <w:rFonts w:ascii="宋体" w:hAnsi="宋体"/>
                <w:szCs w:val="21"/>
                <w:highlight w:val="none"/>
              </w:rPr>
            </w:pPr>
            <w:r>
              <w:rPr>
                <w:rFonts w:ascii="宋体" w:hAnsi="宋体"/>
                <w:szCs w:val="21"/>
                <w:highlight w:val="none"/>
              </w:rPr>
              <w:t>参加过的类似项目</w:t>
            </w:r>
            <w:r>
              <w:rPr>
                <w:rFonts w:hint="eastAsia" w:ascii="宋体" w:hAnsi="宋体"/>
                <w:szCs w:val="21"/>
                <w:highlight w:val="none"/>
              </w:rPr>
              <w:t>(项目名称)</w:t>
            </w:r>
          </w:p>
        </w:tc>
        <w:tc>
          <w:tcPr>
            <w:tcW w:w="1232" w:type="dxa"/>
            <w:gridSpan w:val="2"/>
            <w:vAlign w:val="center"/>
          </w:tcPr>
          <w:p>
            <w:pPr>
              <w:rPr>
                <w:rFonts w:ascii="宋体" w:hAnsi="宋体"/>
                <w:szCs w:val="21"/>
                <w:highlight w:val="none"/>
              </w:rPr>
            </w:pPr>
            <w:r>
              <w:rPr>
                <w:rFonts w:hint="eastAsia" w:ascii="宋体" w:hAnsi="宋体"/>
                <w:szCs w:val="21"/>
                <w:highlight w:val="none"/>
              </w:rPr>
              <w:t>年合同金额（万元）</w:t>
            </w:r>
          </w:p>
        </w:tc>
        <w:tc>
          <w:tcPr>
            <w:tcW w:w="1019" w:type="dxa"/>
            <w:vAlign w:val="center"/>
          </w:tcPr>
          <w:p>
            <w:pPr>
              <w:rPr>
                <w:rFonts w:ascii="宋体" w:hAnsi="宋体"/>
                <w:szCs w:val="21"/>
                <w:highlight w:val="none"/>
              </w:rPr>
            </w:pPr>
            <w:r>
              <w:rPr>
                <w:rFonts w:ascii="宋体" w:hAnsi="宋体"/>
                <w:szCs w:val="21"/>
                <w:highlight w:val="none"/>
              </w:rPr>
              <w:t>担任职务</w:t>
            </w:r>
          </w:p>
        </w:tc>
        <w:tc>
          <w:tcPr>
            <w:tcW w:w="2286" w:type="dxa"/>
            <w:gridSpan w:val="2"/>
            <w:vAlign w:val="center"/>
          </w:tcPr>
          <w:p>
            <w:pPr>
              <w:rPr>
                <w:rFonts w:ascii="宋体" w:hAnsi="宋体"/>
                <w:szCs w:val="21"/>
                <w:highlight w:val="none"/>
              </w:rPr>
            </w:pPr>
            <w:r>
              <w:rPr>
                <w:rFonts w:hint="eastAsia" w:ascii="宋体" w:hAnsi="宋体"/>
                <w:szCs w:val="21"/>
                <w:highlight w:val="none"/>
              </w:rPr>
              <w:t>甲方联系人</w:t>
            </w:r>
            <w:r>
              <w:rPr>
                <w:rFonts w:ascii="宋体" w:hAnsi="宋体"/>
                <w:szCs w:val="21"/>
                <w:highlight w:val="none"/>
              </w:rPr>
              <w:t>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941" w:type="dxa"/>
          </w:tcPr>
          <w:p>
            <w:pPr>
              <w:rPr>
                <w:rFonts w:eastAsia="黑体"/>
                <w:szCs w:val="21"/>
                <w:highlight w:val="none"/>
              </w:rPr>
            </w:pPr>
          </w:p>
        </w:tc>
        <w:tc>
          <w:tcPr>
            <w:tcW w:w="1266" w:type="dxa"/>
            <w:gridSpan w:val="2"/>
          </w:tcPr>
          <w:p>
            <w:pPr>
              <w:rPr>
                <w:rFonts w:eastAsia="黑体"/>
                <w:szCs w:val="21"/>
                <w:highlight w:val="none"/>
              </w:rPr>
            </w:pPr>
          </w:p>
        </w:tc>
        <w:tc>
          <w:tcPr>
            <w:tcW w:w="1778" w:type="dxa"/>
            <w:gridSpan w:val="3"/>
          </w:tcPr>
          <w:p>
            <w:pPr>
              <w:rPr>
                <w:rFonts w:eastAsia="黑体"/>
                <w:szCs w:val="21"/>
                <w:highlight w:val="none"/>
              </w:rPr>
            </w:pPr>
          </w:p>
        </w:tc>
        <w:tc>
          <w:tcPr>
            <w:tcW w:w="1232" w:type="dxa"/>
            <w:gridSpan w:val="2"/>
          </w:tcPr>
          <w:p>
            <w:pPr>
              <w:rPr>
                <w:rFonts w:eastAsia="黑体"/>
                <w:szCs w:val="21"/>
                <w:highlight w:val="none"/>
              </w:rPr>
            </w:pPr>
          </w:p>
        </w:tc>
        <w:tc>
          <w:tcPr>
            <w:tcW w:w="1019" w:type="dxa"/>
          </w:tcPr>
          <w:p>
            <w:pPr>
              <w:rPr>
                <w:rFonts w:eastAsia="黑体"/>
                <w:szCs w:val="21"/>
                <w:highlight w:val="none"/>
              </w:rPr>
            </w:pPr>
          </w:p>
        </w:tc>
        <w:tc>
          <w:tcPr>
            <w:tcW w:w="2286" w:type="dxa"/>
            <w:gridSpan w:val="2"/>
          </w:tcPr>
          <w:p>
            <w:pPr>
              <w:rPr>
                <w:rFonts w:eastAsia="黑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941" w:type="dxa"/>
          </w:tcPr>
          <w:p>
            <w:pPr>
              <w:rPr>
                <w:rFonts w:eastAsia="黑体"/>
                <w:szCs w:val="21"/>
                <w:highlight w:val="none"/>
              </w:rPr>
            </w:pPr>
          </w:p>
        </w:tc>
        <w:tc>
          <w:tcPr>
            <w:tcW w:w="1266" w:type="dxa"/>
            <w:gridSpan w:val="2"/>
          </w:tcPr>
          <w:p>
            <w:pPr>
              <w:rPr>
                <w:rFonts w:eastAsia="黑体"/>
                <w:szCs w:val="21"/>
                <w:highlight w:val="none"/>
              </w:rPr>
            </w:pPr>
          </w:p>
        </w:tc>
        <w:tc>
          <w:tcPr>
            <w:tcW w:w="1778" w:type="dxa"/>
            <w:gridSpan w:val="3"/>
          </w:tcPr>
          <w:p>
            <w:pPr>
              <w:rPr>
                <w:rFonts w:eastAsia="黑体"/>
                <w:szCs w:val="21"/>
                <w:highlight w:val="none"/>
              </w:rPr>
            </w:pPr>
          </w:p>
        </w:tc>
        <w:tc>
          <w:tcPr>
            <w:tcW w:w="1232" w:type="dxa"/>
            <w:gridSpan w:val="2"/>
          </w:tcPr>
          <w:p>
            <w:pPr>
              <w:rPr>
                <w:rFonts w:eastAsia="黑体"/>
                <w:szCs w:val="21"/>
                <w:highlight w:val="none"/>
              </w:rPr>
            </w:pPr>
          </w:p>
        </w:tc>
        <w:tc>
          <w:tcPr>
            <w:tcW w:w="1019" w:type="dxa"/>
          </w:tcPr>
          <w:p>
            <w:pPr>
              <w:rPr>
                <w:rFonts w:eastAsia="黑体"/>
                <w:szCs w:val="21"/>
                <w:highlight w:val="none"/>
              </w:rPr>
            </w:pPr>
          </w:p>
        </w:tc>
        <w:tc>
          <w:tcPr>
            <w:tcW w:w="2286" w:type="dxa"/>
            <w:gridSpan w:val="2"/>
          </w:tcPr>
          <w:p>
            <w:pPr>
              <w:rPr>
                <w:rFonts w:eastAsia="黑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941" w:type="dxa"/>
          </w:tcPr>
          <w:p>
            <w:pPr>
              <w:rPr>
                <w:rFonts w:eastAsia="黑体"/>
                <w:szCs w:val="21"/>
                <w:highlight w:val="none"/>
              </w:rPr>
            </w:pPr>
          </w:p>
        </w:tc>
        <w:tc>
          <w:tcPr>
            <w:tcW w:w="1266" w:type="dxa"/>
            <w:gridSpan w:val="2"/>
          </w:tcPr>
          <w:p>
            <w:pPr>
              <w:rPr>
                <w:rFonts w:eastAsia="黑体"/>
                <w:szCs w:val="21"/>
                <w:highlight w:val="none"/>
              </w:rPr>
            </w:pPr>
          </w:p>
        </w:tc>
        <w:tc>
          <w:tcPr>
            <w:tcW w:w="1778" w:type="dxa"/>
            <w:gridSpan w:val="3"/>
          </w:tcPr>
          <w:p>
            <w:pPr>
              <w:rPr>
                <w:rFonts w:eastAsia="黑体"/>
                <w:szCs w:val="21"/>
                <w:highlight w:val="none"/>
              </w:rPr>
            </w:pPr>
          </w:p>
        </w:tc>
        <w:tc>
          <w:tcPr>
            <w:tcW w:w="1232" w:type="dxa"/>
            <w:gridSpan w:val="2"/>
          </w:tcPr>
          <w:p>
            <w:pPr>
              <w:rPr>
                <w:rFonts w:eastAsia="黑体"/>
                <w:szCs w:val="21"/>
                <w:highlight w:val="none"/>
              </w:rPr>
            </w:pPr>
          </w:p>
        </w:tc>
        <w:tc>
          <w:tcPr>
            <w:tcW w:w="1019" w:type="dxa"/>
          </w:tcPr>
          <w:p>
            <w:pPr>
              <w:rPr>
                <w:rFonts w:eastAsia="黑体"/>
                <w:szCs w:val="21"/>
                <w:highlight w:val="none"/>
              </w:rPr>
            </w:pPr>
          </w:p>
        </w:tc>
        <w:tc>
          <w:tcPr>
            <w:tcW w:w="2286" w:type="dxa"/>
            <w:gridSpan w:val="2"/>
          </w:tcPr>
          <w:p>
            <w:pPr>
              <w:rPr>
                <w:rFonts w:eastAsia="黑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941" w:type="dxa"/>
          </w:tcPr>
          <w:p>
            <w:pPr>
              <w:rPr>
                <w:rFonts w:eastAsia="黑体"/>
                <w:szCs w:val="21"/>
                <w:highlight w:val="none"/>
              </w:rPr>
            </w:pPr>
          </w:p>
        </w:tc>
        <w:tc>
          <w:tcPr>
            <w:tcW w:w="1266" w:type="dxa"/>
            <w:gridSpan w:val="2"/>
          </w:tcPr>
          <w:p>
            <w:pPr>
              <w:rPr>
                <w:rFonts w:eastAsia="黑体"/>
                <w:szCs w:val="21"/>
                <w:highlight w:val="none"/>
              </w:rPr>
            </w:pPr>
          </w:p>
        </w:tc>
        <w:tc>
          <w:tcPr>
            <w:tcW w:w="1778" w:type="dxa"/>
            <w:gridSpan w:val="3"/>
          </w:tcPr>
          <w:p>
            <w:pPr>
              <w:rPr>
                <w:rFonts w:eastAsia="黑体"/>
                <w:szCs w:val="21"/>
                <w:highlight w:val="none"/>
              </w:rPr>
            </w:pPr>
          </w:p>
        </w:tc>
        <w:tc>
          <w:tcPr>
            <w:tcW w:w="1232" w:type="dxa"/>
            <w:gridSpan w:val="2"/>
          </w:tcPr>
          <w:p>
            <w:pPr>
              <w:rPr>
                <w:rFonts w:eastAsia="黑体"/>
                <w:szCs w:val="21"/>
                <w:highlight w:val="none"/>
              </w:rPr>
            </w:pPr>
          </w:p>
        </w:tc>
        <w:tc>
          <w:tcPr>
            <w:tcW w:w="1019" w:type="dxa"/>
          </w:tcPr>
          <w:p>
            <w:pPr>
              <w:rPr>
                <w:rFonts w:eastAsia="黑体"/>
                <w:szCs w:val="21"/>
                <w:highlight w:val="none"/>
              </w:rPr>
            </w:pPr>
          </w:p>
        </w:tc>
        <w:tc>
          <w:tcPr>
            <w:tcW w:w="2286" w:type="dxa"/>
            <w:gridSpan w:val="2"/>
          </w:tcPr>
          <w:p>
            <w:pPr>
              <w:rPr>
                <w:rFonts w:eastAsia="黑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941" w:type="dxa"/>
          </w:tcPr>
          <w:p>
            <w:pPr>
              <w:rPr>
                <w:rFonts w:eastAsia="黑体"/>
                <w:szCs w:val="21"/>
                <w:highlight w:val="none"/>
              </w:rPr>
            </w:pPr>
          </w:p>
        </w:tc>
        <w:tc>
          <w:tcPr>
            <w:tcW w:w="1266" w:type="dxa"/>
            <w:gridSpan w:val="2"/>
          </w:tcPr>
          <w:p>
            <w:pPr>
              <w:rPr>
                <w:rFonts w:eastAsia="黑体"/>
                <w:szCs w:val="21"/>
                <w:highlight w:val="none"/>
              </w:rPr>
            </w:pPr>
          </w:p>
        </w:tc>
        <w:tc>
          <w:tcPr>
            <w:tcW w:w="1778" w:type="dxa"/>
            <w:gridSpan w:val="3"/>
          </w:tcPr>
          <w:p>
            <w:pPr>
              <w:rPr>
                <w:rFonts w:eastAsia="黑体"/>
                <w:szCs w:val="21"/>
                <w:highlight w:val="none"/>
              </w:rPr>
            </w:pPr>
          </w:p>
        </w:tc>
        <w:tc>
          <w:tcPr>
            <w:tcW w:w="1232" w:type="dxa"/>
            <w:gridSpan w:val="2"/>
          </w:tcPr>
          <w:p>
            <w:pPr>
              <w:rPr>
                <w:rFonts w:eastAsia="黑体"/>
                <w:szCs w:val="21"/>
                <w:highlight w:val="none"/>
              </w:rPr>
            </w:pPr>
          </w:p>
        </w:tc>
        <w:tc>
          <w:tcPr>
            <w:tcW w:w="1019" w:type="dxa"/>
          </w:tcPr>
          <w:p>
            <w:pPr>
              <w:rPr>
                <w:rFonts w:eastAsia="黑体"/>
                <w:szCs w:val="21"/>
                <w:highlight w:val="none"/>
              </w:rPr>
            </w:pPr>
          </w:p>
        </w:tc>
        <w:tc>
          <w:tcPr>
            <w:tcW w:w="2286" w:type="dxa"/>
            <w:gridSpan w:val="2"/>
          </w:tcPr>
          <w:p>
            <w:pPr>
              <w:rPr>
                <w:rFonts w:eastAsia="黑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941" w:type="dxa"/>
          </w:tcPr>
          <w:p>
            <w:pPr>
              <w:rPr>
                <w:rFonts w:eastAsia="黑体"/>
                <w:szCs w:val="21"/>
                <w:highlight w:val="none"/>
              </w:rPr>
            </w:pPr>
          </w:p>
        </w:tc>
        <w:tc>
          <w:tcPr>
            <w:tcW w:w="1266" w:type="dxa"/>
            <w:gridSpan w:val="2"/>
          </w:tcPr>
          <w:p>
            <w:pPr>
              <w:rPr>
                <w:rFonts w:eastAsia="黑体"/>
                <w:szCs w:val="21"/>
                <w:highlight w:val="none"/>
              </w:rPr>
            </w:pPr>
          </w:p>
        </w:tc>
        <w:tc>
          <w:tcPr>
            <w:tcW w:w="1778" w:type="dxa"/>
            <w:gridSpan w:val="3"/>
          </w:tcPr>
          <w:p>
            <w:pPr>
              <w:rPr>
                <w:rFonts w:eastAsia="黑体"/>
                <w:szCs w:val="21"/>
                <w:highlight w:val="none"/>
              </w:rPr>
            </w:pPr>
          </w:p>
        </w:tc>
        <w:tc>
          <w:tcPr>
            <w:tcW w:w="1232" w:type="dxa"/>
            <w:gridSpan w:val="2"/>
          </w:tcPr>
          <w:p>
            <w:pPr>
              <w:rPr>
                <w:rFonts w:eastAsia="黑体"/>
                <w:szCs w:val="21"/>
                <w:highlight w:val="none"/>
              </w:rPr>
            </w:pPr>
          </w:p>
        </w:tc>
        <w:tc>
          <w:tcPr>
            <w:tcW w:w="1019" w:type="dxa"/>
          </w:tcPr>
          <w:p>
            <w:pPr>
              <w:rPr>
                <w:rFonts w:eastAsia="黑体"/>
                <w:szCs w:val="21"/>
                <w:highlight w:val="none"/>
              </w:rPr>
            </w:pPr>
          </w:p>
        </w:tc>
        <w:tc>
          <w:tcPr>
            <w:tcW w:w="2286" w:type="dxa"/>
            <w:gridSpan w:val="2"/>
          </w:tcPr>
          <w:p>
            <w:pPr>
              <w:rPr>
                <w:rFonts w:eastAsia="黑体"/>
                <w:szCs w:val="21"/>
                <w:highlight w:val="none"/>
              </w:rPr>
            </w:pPr>
          </w:p>
        </w:tc>
      </w:tr>
    </w:tbl>
    <w:p>
      <w:pPr>
        <w:rPr>
          <w:rFonts w:hAnsi="宋体"/>
          <w:b/>
          <w:sz w:val="22"/>
          <w:szCs w:val="32"/>
          <w:highlight w:val="none"/>
        </w:rPr>
      </w:pPr>
      <w:bookmarkStart w:id="533" w:name="_六、投标人须知前附表条款点对点应答投标人须知偏离表"/>
      <w:bookmarkEnd w:id="533"/>
      <w:r>
        <w:rPr>
          <w:rFonts w:hint="eastAsia" w:hAnsi="宋体"/>
          <w:b/>
          <w:sz w:val="22"/>
          <w:szCs w:val="32"/>
          <w:highlight w:val="none"/>
        </w:rPr>
        <w:t>相关证明材料：</w:t>
      </w:r>
    </w:p>
    <w:p>
      <w:pPr>
        <w:pStyle w:val="119"/>
        <w:widowControl/>
        <w:numPr>
          <w:ilvl w:val="0"/>
          <w:numId w:val="18"/>
        </w:numPr>
        <w:ind w:firstLineChars="0"/>
        <w:jc w:val="left"/>
        <w:rPr>
          <w:rFonts w:hAnsi="宋体"/>
          <w:szCs w:val="21"/>
          <w:highlight w:val="none"/>
        </w:rPr>
      </w:pPr>
      <w:r>
        <w:rPr>
          <w:rFonts w:hint="eastAsia" w:hAnsi="宋体"/>
          <w:szCs w:val="21"/>
          <w:highlight w:val="none"/>
        </w:rPr>
        <w:t>身份证复印件</w:t>
      </w:r>
    </w:p>
    <w:p>
      <w:pPr>
        <w:pStyle w:val="119"/>
        <w:numPr>
          <w:ilvl w:val="0"/>
          <w:numId w:val="18"/>
        </w:numPr>
        <w:topLinePunct/>
        <w:spacing w:line="440" w:lineRule="exact"/>
        <w:ind w:firstLineChars="0"/>
        <w:jc w:val="left"/>
        <w:rPr>
          <w:rFonts w:hAnsi="宋体"/>
          <w:szCs w:val="21"/>
          <w:highlight w:val="none"/>
        </w:rPr>
      </w:pPr>
      <w:r>
        <w:rPr>
          <w:rFonts w:hint="eastAsia" w:hAnsi="宋体"/>
          <w:szCs w:val="21"/>
          <w:highlight w:val="none"/>
        </w:rPr>
        <w:t>学历证明复印件</w:t>
      </w:r>
    </w:p>
    <w:p>
      <w:pPr>
        <w:pStyle w:val="119"/>
        <w:numPr>
          <w:ilvl w:val="0"/>
          <w:numId w:val="18"/>
        </w:numPr>
        <w:topLinePunct/>
        <w:spacing w:line="440" w:lineRule="exact"/>
        <w:ind w:firstLineChars="0"/>
        <w:jc w:val="left"/>
        <w:rPr>
          <w:rFonts w:hAnsi="宋体"/>
          <w:szCs w:val="21"/>
          <w:highlight w:val="none"/>
        </w:rPr>
      </w:pPr>
      <w:r>
        <w:rPr>
          <w:rFonts w:hint="eastAsia" w:hAnsi="宋体"/>
          <w:szCs w:val="21"/>
          <w:highlight w:val="none"/>
        </w:rPr>
        <w:t>职称或技能证书复印件（如有）</w:t>
      </w:r>
    </w:p>
    <w:p>
      <w:pPr>
        <w:pStyle w:val="119"/>
        <w:numPr>
          <w:ilvl w:val="0"/>
          <w:numId w:val="18"/>
        </w:numPr>
        <w:topLinePunct/>
        <w:spacing w:line="440" w:lineRule="exact"/>
        <w:ind w:firstLineChars="0"/>
        <w:jc w:val="left"/>
        <w:rPr>
          <w:rFonts w:hAnsi="宋体"/>
          <w:szCs w:val="21"/>
          <w:highlight w:val="none"/>
        </w:rPr>
      </w:pPr>
      <w:r>
        <w:rPr>
          <w:rFonts w:hint="eastAsia" w:hAnsi="宋体"/>
          <w:szCs w:val="21"/>
          <w:highlight w:val="none"/>
        </w:rPr>
        <w:t>业绩经验证明材料</w:t>
      </w:r>
      <w:bookmarkStart w:id="534" w:name="_Toc332188244"/>
      <w:bookmarkStart w:id="535" w:name="_Toc247085888"/>
      <w:bookmarkStart w:id="536" w:name="_Toc152042593"/>
      <w:bookmarkStart w:id="537" w:name="_Toc179632824"/>
      <w:bookmarkStart w:id="538" w:name="_Toc246997113"/>
      <w:bookmarkStart w:id="539" w:name="_Toc334766997"/>
      <w:bookmarkStart w:id="540" w:name="_Toc152045804"/>
      <w:bookmarkStart w:id="541" w:name="_Toc246996370"/>
      <w:bookmarkStart w:id="542" w:name="_Toc326223615"/>
      <w:bookmarkStart w:id="543" w:name="_Toc144974872"/>
      <w:r>
        <w:rPr>
          <w:rFonts w:hint="eastAsia" w:hAnsi="宋体"/>
          <w:szCs w:val="21"/>
          <w:highlight w:val="none"/>
        </w:rPr>
        <w:t>或业主证明（须能体现项目名称、项目内容、签署盖章页及项目负责人姓名）的复印件。</w:t>
      </w:r>
    </w:p>
    <w:p>
      <w:pPr>
        <w:pStyle w:val="119"/>
        <w:numPr>
          <w:ilvl w:val="0"/>
          <w:numId w:val="18"/>
        </w:numPr>
        <w:topLinePunct/>
        <w:spacing w:line="440" w:lineRule="exact"/>
        <w:ind w:firstLineChars="0"/>
        <w:jc w:val="left"/>
        <w:rPr>
          <w:rFonts w:hAnsi="宋体"/>
          <w:szCs w:val="21"/>
          <w:highlight w:val="none"/>
        </w:rPr>
      </w:pPr>
      <w:r>
        <w:rPr>
          <w:rFonts w:hint="eastAsia" w:hAnsi="宋体"/>
          <w:szCs w:val="21"/>
          <w:highlight w:val="none"/>
        </w:rPr>
        <w:t>劳动合同或社保缴纳证明复印件</w:t>
      </w:r>
    </w:p>
    <w:p>
      <w:pPr>
        <w:pStyle w:val="119"/>
        <w:numPr>
          <w:ilvl w:val="255"/>
          <w:numId w:val="0"/>
        </w:numPr>
        <w:topLinePunct/>
        <w:spacing w:line="440" w:lineRule="exact"/>
        <w:jc w:val="left"/>
        <w:rPr>
          <w:rFonts w:hAnsi="宋体"/>
          <w:szCs w:val="21"/>
          <w:highlight w:val="none"/>
        </w:rPr>
      </w:pPr>
    </w:p>
    <w:p>
      <w:pPr>
        <w:autoSpaceDE w:val="0"/>
        <w:autoSpaceDN w:val="0"/>
        <w:snapToGrid w:val="0"/>
        <w:spacing w:line="240" w:lineRule="atLeast"/>
        <w:rPr>
          <w:rFonts w:ascii="宋体" w:hAnsi="宋体"/>
          <w:color w:val="000000"/>
          <w:szCs w:val="21"/>
          <w:highlight w:val="none"/>
        </w:rPr>
      </w:pPr>
      <w:r>
        <w:rPr>
          <w:rFonts w:hint="eastAsia" w:ascii="宋体" w:hAnsi="宋体"/>
          <w:color w:val="000000"/>
          <w:szCs w:val="21"/>
          <w:highlight w:val="none"/>
        </w:rPr>
        <w:t>投标人：（公章）</w:t>
      </w:r>
    </w:p>
    <w:p>
      <w:pPr>
        <w:autoSpaceDE w:val="0"/>
        <w:autoSpaceDN w:val="0"/>
        <w:snapToGrid w:val="0"/>
        <w:spacing w:line="240" w:lineRule="atLeast"/>
        <w:rPr>
          <w:rFonts w:ascii="宋体" w:hAnsi="宋体"/>
          <w:color w:val="000000"/>
          <w:szCs w:val="21"/>
          <w:highlight w:val="none"/>
        </w:rPr>
      </w:pPr>
    </w:p>
    <w:p>
      <w:pPr>
        <w:autoSpaceDE w:val="0"/>
        <w:autoSpaceDN w:val="0"/>
        <w:snapToGrid w:val="0"/>
        <w:spacing w:line="240" w:lineRule="atLeast"/>
        <w:rPr>
          <w:rFonts w:ascii="宋体" w:hAnsi="宋体"/>
          <w:color w:val="000000"/>
          <w:szCs w:val="21"/>
          <w:highlight w:val="none"/>
        </w:rPr>
      </w:pPr>
      <w:r>
        <w:rPr>
          <w:rFonts w:hint="eastAsia" w:ascii="宋体" w:hAnsi="宋体"/>
          <w:color w:val="000000"/>
          <w:szCs w:val="21"/>
          <w:highlight w:val="none"/>
        </w:rPr>
        <w:t>日期：</w:t>
      </w:r>
    </w:p>
    <w:p>
      <w:pPr>
        <w:spacing w:line="360" w:lineRule="auto"/>
        <w:jc w:val="center"/>
        <w:rPr>
          <w:rFonts w:ascii="Arial" w:hAnsi="Arial"/>
          <w:sz w:val="24"/>
          <w:highlight w:val="none"/>
        </w:rPr>
      </w:pPr>
      <w:r>
        <w:rPr>
          <w:rFonts w:hint="eastAsia" w:ascii="Arial" w:hAnsi="Arial"/>
          <w:b/>
          <w:bCs/>
          <w:sz w:val="24"/>
          <w:highlight w:val="none"/>
        </w:rPr>
        <w:t>（2）投标人为本次投标</w:t>
      </w:r>
      <w:r>
        <w:rPr>
          <w:rFonts w:hint="eastAsia" w:ascii="Arial" w:hAnsi="Arial"/>
          <w:b/>
          <w:sz w:val="24"/>
          <w:highlight w:val="none"/>
        </w:rPr>
        <w:t>项目配置人员一览表</w:t>
      </w:r>
    </w:p>
    <w:tbl>
      <w:tblPr>
        <w:tblStyle w:val="42"/>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1"/>
        <w:gridCol w:w="1369"/>
        <w:gridCol w:w="1368"/>
        <w:gridCol w:w="3642"/>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1" w:type="dxa"/>
            <w:tcBorders>
              <w:top w:val="double" w:color="auto" w:sz="4" w:space="0"/>
              <w:left w:val="double" w:color="auto" w:sz="4" w:space="0"/>
            </w:tcBorders>
            <w:vAlign w:val="center"/>
          </w:tcPr>
          <w:p>
            <w:pPr>
              <w:spacing w:before="120" w:line="360" w:lineRule="auto"/>
              <w:jc w:val="center"/>
              <w:rPr>
                <w:rFonts w:ascii="Arial" w:hAnsi="Arial"/>
                <w:b/>
                <w:bCs/>
                <w:highlight w:val="none"/>
              </w:rPr>
            </w:pPr>
            <w:r>
              <w:rPr>
                <w:rFonts w:hint="eastAsia" w:ascii="Arial" w:hAnsi="Arial"/>
                <w:b/>
                <w:bCs/>
                <w:highlight w:val="none"/>
              </w:rPr>
              <w:t>姓名</w:t>
            </w:r>
          </w:p>
        </w:tc>
        <w:tc>
          <w:tcPr>
            <w:tcW w:w="1369" w:type="dxa"/>
            <w:tcBorders>
              <w:top w:val="double" w:color="auto" w:sz="4" w:space="0"/>
            </w:tcBorders>
            <w:vAlign w:val="center"/>
          </w:tcPr>
          <w:p>
            <w:pPr>
              <w:spacing w:before="120" w:line="360" w:lineRule="auto"/>
              <w:jc w:val="center"/>
              <w:rPr>
                <w:rFonts w:ascii="Arial" w:hAnsi="Arial"/>
                <w:b/>
                <w:bCs/>
                <w:highlight w:val="none"/>
              </w:rPr>
            </w:pPr>
            <w:r>
              <w:rPr>
                <w:rFonts w:hint="eastAsia" w:ascii="Arial" w:hAnsi="Arial"/>
                <w:b/>
                <w:bCs/>
                <w:highlight w:val="none"/>
              </w:rPr>
              <w:t>职务</w:t>
            </w:r>
          </w:p>
        </w:tc>
        <w:tc>
          <w:tcPr>
            <w:tcW w:w="1368" w:type="dxa"/>
            <w:tcBorders>
              <w:top w:val="double" w:color="auto" w:sz="4" w:space="0"/>
            </w:tcBorders>
            <w:vAlign w:val="center"/>
          </w:tcPr>
          <w:p>
            <w:pPr>
              <w:spacing w:before="120" w:line="360" w:lineRule="auto"/>
              <w:jc w:val="center"/>
              <w:rPr>
                <w:rFonts w:ascii="Arial" w:hAnsi="Arial"/>
                <w:b/>
                <w:bCs/>
                <w:highlight w:val="none"/>
              </w:rPr>
            </w:pPr>
            <w:r>
              <w:rPr>
                <w:rFonts w:hint="eastAsia" w:ascii="Arial" w:hAnsi="Arial"/>
                <w:b/>
                <w:bCs/>
                <w:highlight w:val="none"/>
              </w:rPr>
              <w:t>职称</w:t>
            </w:r>
          </w:p>
        </w:tc>
        <w:tc>
          <w:tcPr>
            <w:tcW w:w="3642" w:type="dxa"/>
            <w:tcBorders>
              <w:top w:val="double" w:color="auto" w:sz="4" w:space="0"/>
            </w:tcBorders>
            <w:vAlign w:val="center"/>
          </w:tcPr>
          <w:p>
            <w:pPr>
              <w:spacing w:before="120" w:line="360" w:lineRule="auto"/>
              <w:jc w:val="center"/>
              <w:rPr>
                <w:rFonts w:ascii="Arial" w:hAnsi="Arial"/>
                <w:b/>
                <w:bCs/>
                <w:highlight w:val="none"/>
              </w:rPr>
            </w:pPr>
            <w:r>
              <w:rPr>
                <w:rFonts w:hint="eastAsia" w:ascii="Arial" w:hAnsi="Arial"/>
                <w:b/>
                <w:bCs/>
                <w:highlight w:val="none"/>
              </w:rPr>
              <w:t>相关资格</w:t>
            </w:r>
          </w:p>
        </w:tc>
        <w:tc>
          <w:tcPr>
            <w:tcW w:w="1764" w:type="dxa"/>
            <w:tcBorders>
              <w:top w:val="double" w:color="auto" w:sz="4" w:space="0"/>
              <w:right w:val="double" w:color="auto" w:sz="4" w:space="0"/>
            </w:tcBorders>
            <w:vAlign w:val="center"/>
          </w:tcPr>
          <w:p>
            <w:pPr>
              <w:spacing w:before="120" w:line="360" w:lineRule="auto"/>
              <w:jc w:val="center"/>
              <w:rPr>
                <w:rFonts w:ascii="Arial" w:hAnsi="Arial"/>
                <w:b/>
                <w:bCs/>
                <w:highlight w:val="none"/>
              </w:rPr>
            </w:pPr>
            <w:r>
              <w:rPr>
                <w:rFonts w:hint="eastAsia" w:ascii="Arial" w:hAnsi="Arial"/>
                <w:b/>
                <w:bCs/>
                <w:highlight w:val="none"/>
              </w:rPr>
              <w:t>履历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1" w:type="dxa"/>
            <w:tcBorders>
              <w:left w:val="double" w:color="auto" w:sz="4" w:space="0"/>
            </w:tcBorders>
            <w:vAlign w:val="center"/>
          </w:tcPr>
          <w:p>
            <w:pPr>
              <w:spacing w:line="360" w:lineRule="auto"/>
              <w:jc w:val="center"/>
              <w:rPr>
                <w:rFonts w:ascii="Arial" w:hAnsi="Arial"/>
                <w:highlight w:val="none"/>
              </w:rPr>
            </w:pPr>
          </w:p>
        </w:tc>
        <w:tc>
          <w:tcPr>
            <w:tcW w:w="1369" w:type="dxa"/>
            <w:vAlign w:val="center"/>
          </w:tcPr>
          <w:p>
            <w:pPr>
              <w:spacing w:line="360" w:lineRule="auto"/>
              <w:jc w:val="center"/>
              <w:rPr>
                <w:rFonts w:ascii="Arial" w:hAnsi="Arial"/>
                <w:highlight w:val="none"/>
              </w:rPr>
            </w:pPr>
          </w:p>
        </w:tc>
        <w:tc>
          <w:tcPr>
            <w:tcW w:w="1368" w:type="dxa"/>
            <w:vAlign w:val="center"/>
          </w:tcPr>
          <w:p>
            <w:pPr>
              <w:spacing w:line="360" w:lineRule="auto"/>
              <w:jc w:val="center"/>
              <w:rPr>
                <w:rFonts w:ascii="Arial" w:hAnsi="Arial"/>
                <w:highlight w:val="none"/>
              </w:rPr>
            </w:pPr>
          </w:p>
        </w:tc>
        <w:tc>
          <w:tcPr>
            <w:tcW w:w="3642" w:type="dxa"/>
            <w:vAlign w:val="center"/>
          </w:tcPr>
          <w:p>
            <w:pPr>
              <w:spacing w:line="360" w:lineRule="auto"/>
              <w:jc w:val="center"/>
              <w:rPr>
                <w:rFonts w:ascii="Arial" w:hAnsi="Arial"/>
                <w:highlight w:val="none"/>
              </w:rPr>
            </w:pPr>
          </w:p>
        </w:tc>
        <w:tc>
          <w:tcPr>
            <w:tcW w:w="1764" w:type="dxa"/>
            <w:tcBorders>
              <w:right w:val="double" w:color="auto" w:sz="4" w:space="0"/>
            </w:tcBorders>
            <w:vAlign w:val="center"/>
          </w:tcPr>
          <w:p>
            <w:pPr>
              <w:spacing w:line="360" w:lineRule="auto"/>
              <w:jc w:val="center"/>
              <w:rPr>
                <w:rFonts w:ascii="Arial" w:hAnsi="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1" w:type="dxa"/>
            <w:tcBorders>
              <w:left w:val="double" w:color="auto" w:sz="4" w:space="0"/>
            </w:tcBorders>
            <w:vAlign w:val="center"/>
          </w:tcPr>
          <w:p>
            <w:pPr>
              <w:spacing w:line="360" w:lineRule="auto"/>
              <w:jc w:val="center"/>
              <w:rPr>
                <w:rFonts w:ascii="Arial" w:hAnsi="Arial"/>
                <w:highlight w:val="none"/>
              </w:rPr>
            </w:pPr>
          </w:p>
        </w:tc>
        <w:tc>
          <w:tcPr>
            <w:tcW w:w="1369" w:type="dxa"/>
            <w:vAlign w:val="center"/>
          </w:tcPr>
          <w:p>
            <w:pPr>
              <w:spacing w:line="360" w:lineRule="auto"/>
              <w:jc w:val="center"/>
              <w:rPr>
                <w:rFonts w:ascii="Arial" w:hAnsi="Arial"/>
                <w:highlight w:val="none"/>
              </w:rPr>
            </w:pPr>
          </w:p>
        </w:tc>
        <w:tc>
          <w:tcPr>
            <w:tcW w:w="1368" w:type="dxa"/>
            <w:vAlign w:val="center"/>
          </w:tcPr>
          <w:p>
            <w:pPr>
              <w:spacing w:line="360" w:lineRule="auto"/>
              <w:jc w:val="center"/>
              <w:rPr>
                <w:rFonts w:ascii="Arial" w:hAnsi="Arial"/>
                <w:highlight w:val="none"/>
              </w:rPr>
            </w:pPr>
          </w:p>
        </w:tc>
        <w:tc>
          <w:tcPr>
            <w:tcW w:w="3642" w:type="dxa"/>
            <w:vAlign w:val="center"/>
          </w:tcPr>
          <w:p>
            <w:pPr>
              <w:spacing w:line="360" w:lineRule="auto"/>
              <w:jc w:val="center"/>
              <w:rPr>
                <w:rFonts w:ascii="Arial" w:hAnsi="Arial"/>
                <w:highlight w:val="none"/>
              </w:rPr>
            </w:pPr>
          </w:p>
        </w:tc>
        <w:tc>
          <w:tcPr>
            <w:tcW w:w="1764" w:type="dxa"/>
            <w:tcBorders>
              <w:right w:val="double" w:color="auto" w:sz="4" w:space="0"/>
            </w:tcBorders>
            <w:vAlign w:val="center"/>
          </w:tcPr>
          <w:p>
            <w:pPr>
              <w:spacing w:line="360" w:lineRule="auto"/>
              <w:jc w:val="center"/>
              <w:rPr>
                <w:rFonts w:ascii="Arial" w:hAnsi="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1" w:type="dxa"/>
            <w:tcBorders>
              <w:left w:val="double" w:color="auto" w:sz="4" w:space="0"/>
            </w:tcBorders>
            <w:vAlign w:val="center"/>
          </w:tcPr>
          <w:p>
            <w:pPr>
              <w:spacing w:line="360" w:lineRule="auto"/>
              <w:jc w:val="center"/>
              <w:rPr>
                <w:rFonts w:ascii="Arial" w:hAnsi="Arial"/>
                <w:highlight w:val="none"/>
              </w:rPr>
            </w:pPr>
          </w:p>
        </w:tc>
        <w:tc>
          <w:tcPr>
            <w:tcW w:w="1369" w:type="dxa"/>
            <w:vAlign w:val="center"/>
          </w:tcPr>
          <w:p>
            <w:pPr>
              <w:spacing w:line="360" w:lineRule="auto"/>
              <w:jc w:val="center"/>
              <w:rPr>
                <w:rFonts w:ascii="Arial" w:hAnsi="Arial"/>
                <w:highlight w:val="none"/>
              </w:rPr>
            </w:pPr>
          </w:p>
        </w:tc>
        <w:tc>
          <w:tcPr>
            <w:tcW w:w="1368" w:type="dxa"/>
            <w:vAlign w:val="center"/>
          </w:tcPr>
          <w:p>
            <w:pPr>
              <w:spacing w:line="360" w:lineRule="auto"/>
              <w:jc w:val="center"/>
              <w:rPr>
                <w:rFonts w:ascii="Arial" w:hAnsi="Arial"/>
                <w:highlight w:val="none"/>
              </w:rPr>
            </w:pPr>
          </w:p>
        </w:tc>
        <w:tc>
          <w:tcPr>
            <w:tcW w:w="3642" w:type="dxa"/>
            <w:vAlign w:val="center"/>
          </w:tcPr>
          <w:p>
            <w:pPr>
              <w:spacing w:line="360" w:lineRule="auto"/>
              <w:jc w:val="center"/>
              <w:rPr>
                <w:rFonts w:ascii="Arial" w:hAnsi="Arial"/>
                <w:highlight w:val="none"/>
              </w:rPr>
            </w:pPr>
          </w:p>
        </w:tc>
        <w:tc>
          <w:tcPr>
            <w:tcW w:w="1764" w:type="dxa"/>
            <w:tcBorders>
              <w:right w:val="double" w:color="auto" w:sz="4" w:space="0"/>
            </w:tcBorders>
            <w:vAlign w:val="center"/>
          </w:tcPr>
          <w:p>
            <w:pPr>
              <w:spacing w:line="360" w:lineRule="auto"/>
              <w:jc w:val="center"/>
              <w:rPr>
                <w:rFonts w:ascii="Arial" w:hAnsi="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1" w:type="dxa"/>
            <w:tcBorders>
              <w:left w:val="double" w:color="auto" w:sz="4" w:space="0"/>
            </w:tcBorders>
            <w:vAlign w:val="center"/>
          </w:tcPr>
          <w:p>
            <w:pPr>
              <w:spacing w:line="360" w:lineRule="auto"/>
              <w:jc w:val="center"/>
              <w:rPr>
                <w:rFonts w:ascii="Arial" w:hAnsi="Arial"/>
                <w:highlight w:val="none"/>
              </w:rPr>
            </w:pPr>
          </w:p>
        </w:tc>
        <w:tc>
          <w:tcPr>
            <w:tcW w:w="1369" w:type="dxa"/>
            <w:vAlign w:val="center"/>
          </w:tcPr>
          <w:p>
            <w:pPr>
              <w:spacing w:line="360" w:lineRule="auto"/>
              <w:jc w:val="center"/>
              <w:rPr>
                <w:rFonts w:ascii="Arial" w:hAnsi="Arial"/>
                <w:highlight w:val="none"/>
              </w:rPr>
            </w:pPr>
          </w:p>
        </w:tc>
        <w:tc>
          <w:tcPr>
            <w:tcW w:w="1368" w:type="dxa"/>
            <w:vAlign w:val="center"/>
          </w:tcPr>
          <w:p>
            <w:pPr>
              <w:spacing w:line="360" w:lineRule="auto"/>
              <w:jc w:val="center"/>
              <w:rPr>
                <w:rFonts w:ascii="Arial" w:hAnsi="Arial"/>
                <w:highlight w:val="none"/>
              </w:rPr>
            </w:pPr>
          </w:p>
        </w:tc>
        <w:tc>
          <w:tcPr>
            <w:tcW w:w="3642" w:type="dxa"/>
            <w:vAlign w:val="center"/>
          </w:tcPr>
          <w:p>
            <w:pPr>
              <w:spacing w:line="360" w:lineRule="auto"/>
              <w:jc w:val="center"/>
              <w:rPr>
                <w:rFonts w:ascii="Arial" w:hAnsi="Arial"/>
                <w:highlight w:val="none"/>
              </w:rPr>
            </w:pPr>
          </w:p>
        </w:tc>
        <w:tc>
          <w:tcPr>
            <w:tcW w:w="1764" w:type="dxa"/>
            <w:tcBorders>
              <w:right w:val="double" w:color="auto" w:sz="4" w:space="0"/>
            </w:tcBorders>
            <w:vAlign w:val="center"/>
          </w:tcPr>
          <w:p>
            <w:pPr>
              <w:spacing w:line="360" w:lineRule="auto"/>
              <w:jc w:val="center"/>
              <w:rPr>
                <w:rFonts w:ascii="Arial" w:hAnsi="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1" w:type="dxa"/>
            <w:tcBorders>
              <w:left w:val="double" w:color="auto" w:sz="4" w:space="0"/>
            </w:tcBorders>
            <w:vAlign w:val="center"/>
          </w:tcPr>
          <w:p>
            <w:pPr>
              <w:spacing w:line="360" w:lineRule="auto"/>
              <w:jc w:val="center"/>
              <w:rPr>
                <w:rFonts w:ascii="Arial" w:hAnsi="Arial"/>
                <w:highlight w:val="none"/>
              </w:rPr>
            </w:pPr>
          </w:p>
        </w:tc>
        <w:tc>
          <w:tcPr>
            <w:tcW w:w="1369" w:type="dxa"/>
            <w:vAlign w:val="center"/>
          </w:tcPr>
          <w:p>
            <w:pPr>
              <w:spacing w:line="360" w:lineRule="auto"/>
              <w:jc w:val="center"/>
              <w:rPr>
                <w:rFonts w:ascii="Arial" w:hAnsi="Arial"/>
                <w:highlight w:val="none"/>
              </w:rPr>
            </w:pPr>
          </w:p>
        </w:tc>
        <w:tc>
          <w:tcPr>
            <w:tcW w:w="1368" w:type="dxa"/>
            <w:vAlign w:val="center"/>
          </w:tcPr>
          <w:p>
            <w:pPr>
              <w:spacing w:line="360" w:lineRule="auto"/>
              <w:jc w:val="center"/>
              <w:rPr>
                <w:rFonts w:ascii="Arial" w:hAnsi="Arial"/>
                <w:highlight w:val="none"/>
              </w:rPr>
            </w:pPr>
          </w:p>
        </w:tc>
        <w:tc>
          <w:tcPr>
            <w:tcW w:w="3642" w:type="dxa"/>
            <w:vAlign w:val="center"/>
          </w:tcPr>
          <w:p>
            <w:pPr>
              <w:spacing w:line="360" w:lineRule="auto"/>
              <w:jc w:val="center"/>
              <w:rPr>
                <w:rFonts w:ascii="Arial" w:hAnsi="Arial"/>
                <w:highlight w:val="none"/>
              </w:rPr>
            </w:pPr>
          </w:p>
        </w:tc>
        <w:tc>
          <w:tcPr>
            <w:tcW w:w="1764" w:type="dxa"/>
            <w:tcBorders>
              <w:right w:val="double" w:color="auto" w:sz="4" w:space="0"/>
            </w:tcBorders>
            <w:vAlign w:val="center"/>
          </w:tcPr>
          <w:p>
            <w:pPr>
              <w:spacing w:line="360" w:lineRule="auto"/>
              <w:jc w:val="center"/>
              <w:rPr>
                <w:rFonts w:ascii="Arial" w:hAnsi="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1" w:type="dxa"/>
            <w:tcBorders>
              <w:left w:val="double" w:color="auto" w:sz="4" w:space="0"/>
              <w:bottom w:val="double" w:color="auto" w:sz="4" w:space="0"/>
            </w:tcBorders>
            <w:vAlign w:val="center"/>
          </w:tcPr>
          <w:p>
            <w:pPr>
              <w:spacing w:line="360" w:lineRule="auto"/>
              <w:jc w:val="center"/>
              <w:rPr>
                <w:rFonts w:ascii="Arial" w:hAnsi="Arial"/>
                <w:highlight w:val="none"/>
              </w:rPr>
            </w:pPr>
          </w:p>
        </w:tc>
        <w:tc>
          <w:tcPr>
            <w:tcW w:w="1369" w:type="dxa"/>
            <w:tcBorders>
              <w:bottom w:val="double" w:color="auto" w:sz="4" w:space="0"/>
            </w:tcBorders>
            <w:vAlign w:val="center"/>
          </w:tcPr>
          <w:p>
            <w:pPr>
              <w:spacing w:line="360" w:lineRule="auto"/>
              <w:jc w:val="center"/>
              <w:rPr>
                <w:rFonts w:ascii="Arial" w:hAnsi="Arial"/>
                <w:highlight w:val="none"/>
              </w:rPr>
            </w:pPr>
          </w:p>
        </w:tc>
        <w:tc>
          <w:tcPr>
            <w:tcW w:w="1368" w:type="dxa"/>
            <w:tcBorders>
              <w:bottom w:val="double" w:color="auto" w:sz="4" w:space="0"/>
            </w:tcBorders>
            <w:vAlign w:val="center"/>
          </w:tcPr>
          <w:p>
            <w:pPr>
              <w:spacing w:line="360" w:lineRule="auto"/>
              <w:jc w:val="center"/>
              <w:rPr>
                <w:rFonts w:ascii="Arial" w:hAnsi="Arial"/>
                <w:highlight w:val="none"/>
              </w:rPr>
            </w:pPr>
          </w:p>
        </w:tc>
        <w:tc>
          <w:tcPr>
            <w:tcW w:w="3642" w:type="dxa"/>
            <w:tcBorders>
              <w:bottom w:val="double" w:color="auto" w:sz="4" w:space="0"/>
            </w:tcBorders>
            <w:vAlign w:val="center"/>
          </w:tcPr>
          <w:p>
            <w:pPr>
              <w:spacing w:line="360" w:lineRule="auto"/>
              <w:jc w:val="center"/>
              <w:rPr>
                <w:rFonts w:ascii="Arial" w:hAnsi="Arial"/>
                <w:highlight w:val="none"/>
              </w:rPr>
            </w:pPr>
          </w:p>
        </w:tc>
        <w:tc>
          <w:tcPr>
            <w:tcW w:w="1764" w:type="dxa"/>
            <w:tcBorders>
              <w:bottom w:val="double" w:color="auto" w:sz="4" w:space="0"/>
              <w:right w:val="double" w:color="auto" w:sz="4" w:space="0"/>
            </w:tcBorders>
            <w:vAlign w:val="center"/>
          </w:tcPr>
          <w:p>
            <w:pPr>
              <w:spacing w:line="360" w:lineRule="auto"/>
              <w:jc w:val="center"/>
              <w:rPr>
                <w:rFonts w:ascii="Arial" w:hAnsi="Arial"/>
                <w:highlight w:val="none"/>
              </w:rPr>
            </w:pPr>
          </w:p>
        </w:tc>
      </w:tr>
    </w:tbl>
    <w:p>
      <w:pPr>
        <w:spacing w:before="120"/>
        <w:rPr>
          <w:rFonts w:ascii="Arial" w:hAnsi="Arial"/>
          <w:szCs w:val="21"/>
          <w:highlight w:val="none"/>
        </w:rPr>
      </w:pPr>
      <w:r>
        <w:rPr>
          <w:rFonts w:hint="eastAsia" w:ascii="Arial" w:hAnsi="Arial"/>
          <w:szCs w:val="21"/>
          <w:highlight w:val="none"/>
        </w:rPr>
        <w:t>注：1、投标人须提供上表所列人员的资历、资格文件、工作履历证明材料复印件；</w:t>
      </w:r>
    </w:p>
    <w:p>
      <w:pPr>
        <w:spacing w:before="120"/>
        <w:ind w:firstLine="420" w:firstLineChars="200"/>
        <w:rPr>
          <w:rFonts w:ascii="Arial" w:hAnsi="Arial"/>
          <w:szCs w:val="21"/>
          <w:highlight w:val="none"/>
        </w:rPr>
      </w:pPr>
      <w:r>
        <w:rPr>
          <w:rFonts w:hint="eastAsia" w:ascii="Arial" w:hAnsi="Arial"/>
          <w:szCs w:val="21"/>
          <w:highlight w:val="none"/>
        </w:rPr>
        <w:t>2、投标人须结合上表设置合理的组织机构（具备24小时生产的人员配置，须画出组织机构图或进行详细的文字表述）；</w:t>
      </w:r>
    </w:p>
    <w:p>
      <w:pPr>
        <w:spacing w:before="120"/>
        <w:rPr>
          <w:rFonts w:ascii="Arial" w:hAnsi="Arial"/>
          <w:szCs w:val="21"/>
          <w:highlight w:val="none"/>
        </w:rPr>
      </w:pPr>
    </w:p>
    <w:p>
      <w:pPr>
        <w:spacing w:line="360" w:lineRule="auto"/>
        <w:ind w:firstLine="420" w:firstLineChars="200"/>
        <w:rPr>
          <w:highlight w:val="none"/>
        </w:rPr>
      </w:pPr>
    </w:p>
    <w:p>
      <w:pPr>
        <w:spacing w:line="360" w:lineRule="auto"/>
        <w:ind w:firstLine="4678" w:firstLineChars="2228"/>
        <w:rPr>
          <w:rFonts w:ascii="宋体" w:hAnsi="Courier New"/>
          <w:szCs w:val="21"/>
          <w:highlight w:val="none"/>
        </w:rPr>
      </w:pPr>
      <w:r>
        <w:rPr>
          <w:rFonts w:hint="eastAsia" w:ascii="宋体" w:hAnsi="Courier New"/>
          <w:szCs w:val="21"/>
          <w:highlight w:val="none"/>
        </w:rPr>
        <w:t>投标人（公章）：</w:t>
      </w:r>
    </w:p>
    <w:p>
      <w:pPr>
        <w:ind w:firstLine="4830" w:firstLineChars="2300"/>
        <w:rPr>
          <w:rFonts w:ascii="宋体" w:hAnsi="Courier New"/>
          <w:szCs w:val="21"/>
          <w:highlight w:val="none"/>
        </w:rPr>
      </w:pPr>
      <w:r>
        <w:rPr>
          <w:rFonts w:hint="eastAsia" w:ascii="宋体" w:hAnsi="Courier New"/>
          <w:szCs w:val="21"/>
          <w:highlight w:val="none"/>
        </w:rPr>
        <w:t>日    期：</w:t>
      </w:r>
    </w:p>
    <w:p>
      <w:pPr>
        <w:pStyle w:val="119"/>
        <w:numPr>
          <w:ilvl w:val="255"/>
          <w:numId w:val="0"/>
        </w:numPr>
        <w:topLinePunct/>
        <w:spacing w:line="440" w:lineRule="exact"/>
        <w:jc w:val="left"/>
        <w:rPr>
          <w:rFonts w:hAnsi="宋体"/>
          <w:szCs w:val="21"/>
          <w:highlight w:val="none"/>
        </w:rPr>
      </w:pPr>
    </w:p>
    <w:bookmarkEnd w:id="534"/>
    <w:bookmarkEnd w:id="535"/>
    <w:bookmarkEnd w:id="536"/>
    <w:bookmarkEnd w:id="537"/>
    <w:bookmarkEnd w:id="538"/>
    <w:bookmarkEnd w:id="539"/>
    <w:bookmarkEnd w:id="540"/>
    <w:bookmarkEnd w:id="541"/>
    <w:bookmarkEnd w:id="542"/>
    <w:bookmarkEnd w:id="543"/>
    <w:p>
      <w:pPr>
        <w:rPr>
          <w:rFonts w:ascii="黑体" w:eastAsia="黑体"/>
          <w:b/>
          <w:kern w:val="144"/>
          <w:sz w:val="44"/>
          <w:highlight w:val="none"/>
        </w:rPr>
      </w:pPr>
      <w:r>
        <w:rPr>
          <w:rFonts w:ascii="黑体" w:eastAsia="黑体"/>
          <w:b/>
          <w:kern w:val="144"/>
          <w:sz w:val="44"/>
          <w:highlight w:val="none"/>
        </w:rPr>
        <w:br w:type="page"/>
      </w:r>
    </w:p>
    <w:bookmarkEnd w:id="443"/>
    <w:bookmarkEnd w:id="444"/>
    <w:p>
      <w:pPr>
        <w:pStyle w:val="3"/>
        <w:numPr>
          <w:ilvl w:val="255"/>
          <w:numId w:val="0"/>
        </w:numPr>
        <w:tabs>
          <w:tab w:val="clear" w:pos="840"/>
        </w:tabs>
        <w:snapToGrid w:val="0"/>
        <w:spacing w:before="156" w:after="156"/>
        <w:jc w:val="left"/>
        <w:rPr>
          <w:sz w:val="24"/>
          <w:szCs w:val="24"/>
          <w:highlight w:val="none"/>
        </w:rPr>
      </w:pPr>
      <w:bookmarkStart w:id="544" w:name="_Toc534757720"/>
      <w:bookmarkStart w:id="545" w:name="_Toc8133606"/>
      <w:bookmarkStart w:id="546" w:name="_Toc8577"/>
      <w:bookmarkStart w:id="547" w:name="_Toc26189"/>
      <w:bookmarkStart w:id="548" w:name="_Toc31038"/>
      <w:bookmarkStart w:id="549" w:name="_Toc4748"/>
      <w:bookmarkStart w:id="550" w:name="_Toc182885494"/>
      <w:r>
        <w:rPr>
          <w:rFonts w:hint="eastAsia"/>
          <w:sz w:val="24"/>
          <w:szCs w:val="24"/>
          <w:highlight w:val="none"/>
        </w:rPr>
        <w:t>格式16：其它资料格式</w:t>
      </w:r>
      <w:bookmarkEnd w:id="544"/>
      <w:bookmarkEnd w:id="545"/>
      <w:bookmarkEnd w:id="546"/>
      <w:bookmarkEnd w:id="547"/>
      <w:bookmarkEnd w:id="548"/>
      <w:bookmarkEnd w:id="549"/>
    </w:p>
    <w:p>
      <w:pPr>
        <w:spacing w:line="360" w:lineRule="auto"/>
        <w:rPr>
          <w:rFonts w:ascii="宋体"/>
          <w:highlight w:val="none"/>
        </w:rPr>
      </w:pPr>
      <w:r>
        <w:rPr>
          <w:rFonts w:hint="eastAsia" w:ascii="宋体"/>
          <w:highlight w:val="none"/>
        </w:rPr>
        <w:t>投标人认为有必要提供的其它资料。</w:t>
      </w:r>
    </w:p>
    <w:p>
      <w:pPr>
        <w:pStyle w:val="12"/>
        <w:spacing w:beforeLines="50" w:line="400" w:lineRule="exact"/>
        <w:ind w:firstLine="0"/>
        <w:rPr>
          <w:b/>
          <w:sz w:val="44"/>
          <w:szCs w:val="44"/>
          <w:highlight w:val="none"/>
        </w:rPr>
      </w:pPr>
    </w:p>
    <w:p>
      <w:pPr>
        <w:pStyle w:val="12"/>
        <w:spacing w:beforeLines="50" w:line="400" w:lineRule="exact"/>
        <w:ind w:firstLine="964"/>
        <w:jc w:val="center"/>
        <w:rPr>
          <w:b/>
          <w:sz w:val="28"/>
          <w:szCs w:val="28"/>
          <w:highlight w:val="none"/>
        </w:rPr>
      </w:pPr>
    </w:p>
    <w:p>
      <w:pPr>
        <w:pStyle w:val="12"/>
        <w:spacing w:beforeLines="50" w:line="400" w:lineRule="exact"/>
        <w:ind w:firstLine="964"/>
        <w:jc w:val="center"/>
        <w:rPr>
          <w:b/>
          <w:sz w:val="28"/>
          <w:szCs w:val="28"/>
          <w:highlight w:val="none"/>
        </w:rPr>
      </w:pPr>
    </w:p>
    <w:p>
      <w:pPr>
        <w:pStyle w:val="3"/>
        <w:keepNext w:val="0"/>
        <w:keepLines w:val="0"/>
        <w:numPr>
          <w:ilvl w:val="0"/>
          <w:numId w:val="0"/>
        </w:numPr>
        <w:spacing w:before="0" w:afterLines="50" w:line="360" w:lineRule="auto"/>
        <w:jc w:val="left"/>
        <w:rPr>
          <w:rFonts w:ascii="宋体" w:hAnsi="宋体"/>
          <w:sz w:val="28"/>
          <w:szCs w:val="28"/>
          <w:highlight w:val="none"/>
          <w:lang w:val="en-GB"/>
        </w:rPr>
      </w:pPr>
    </w:p>
    <w:p>
      <w:pPr>
        <w:pStyle w:val="12"/>
        <w:spacing w:beforeLines="50" w:line="400" w:lineRule="exact"/>
        <w:ind w:firstLine="2670" w:firstLineChars="950"/>
        <w:jc w:val="left"/>
        <w:outlineLvl w:val="1"/>
        <w:rPr>
          <w:b/>
          <w:sz w:val="28"/>
          <w:szCs w:val="28"/>
          <w:highlight w:val="none"/>
        </w:rPr>
      </w:pPr>
      <w:bookmarkStart w:id="551" w:name="_Toc31503"/>
    </w:p>
    <w:p>
      <w:pPr>
        <w:pStyle w:val="12"/>
        <w:spacing w:beforeLines="50" w:line="400" w:lineRule="exact"/>
        <w:ind w:firstLine="2670" w:firstLineChars="950"/>
        <w:jc w:val="left"/>
        <w:outlineLvl w:val="1"/>
        <w:rPr>
          <w:b/>
          <w:sz w:val="28"/>
          <w:szCs w:val="28"/>
          <w:highlight w:val="none"/>
        </w:rPr>
      </w:pPr>
    </w:p>
    <w:p>
      <w:pPr>
        <w:pStyle w:val="12"/>
        <w:spacing w:beforeLines="50" w:line="400" w:lineRule="exact"/>
        <w:ind w:firstLine="2670" w:firstLineChars="950"/>
        <w:jc w:val="left"/>
        <w:outlineLvl w:val="1"/>
        <w:rPr>
          <w:b/>
          <w:sz w:val="28"/>
          <w:szCs w:val="28"/>
          <w:highlight w:val="none"/>
        </w:rPr>
      </w:pPr>
    </w:p>
    <w:p>
      <w:pPr>
        <w:pStyle w:val="12"/>
        <w:spacing w:beforeLines="50" w:line="400" w:lineRule="exact"/>
        <w:ind w:firstLine="2670" w:firstLineChars="950"/>
        <w:jc w:val="left"/>
        <w:outlineLvl w:val="1"/>
        <w:rPr>
          <w:b/>
          <w:sz w:val="28"/>
          <w:szCs w:val="28"/>
          <w:highlight w:val="none"/>
        </w:rPr>
      </w:pPr>
    </w:p>
    <w:p>
      <w:pPr>
        <w:pStyle w:val="12"/>
        <w:spacing w:beforeLines="50" w:line="400" w:lineRule="exact"/>
        <w:ind w:firstLine="2670" w:firstLineChars="950"/>
        <w:jc w:val="left"/>
        <w:outlineLvl w:val="1"/>
        <w:rPr>
          <w:b/>
          <w:sz w:val="28"/>
          <w:szCs w:val="28"/>
          <w:highlight w:val="none"/>
        </w:rPr>
      </w:pPr>
    </w:p>
    <w:p>
      <w:pPr>
        <w:pStyle w:val="12"/>
        <w:spacing w:beforeLines="50" w:line="400" w:lineRule="exact"/>
        <w:ind w:firstLine="2670" w:firstLineChars="950"/>
        <w:jc w:val="left"/>
        <w:outlineLvl w:val="1"/>
        <w:rPr>
          <w:b/>
          <w:sz w:val="28"/>
          <w:szCs w:val="28"/>
          <w:highlight w:val="none"/>
        </w:rPr>
      </w:pPr>
    </w:p>
    <w:p>
      <w:pPr>
        <w:pStyle w:val="12"/>
        <w:spacing w:beforeLines="50" w:line="400" w:lineRule="exact"/>
        <w:ind w:firstLine="2670" w:firstLineChars="950"/>
        <w:jc w:val="left"/>
        <w:outlineLvl w:val="1"/>
        <w:rPr>
          <w:b/>
          <w:sz w:val="28"/>
          <w:szCs w:val="28"/>
          <w:highlight w:val="none"/>
        </w:rPr>
      </w:pPr>
    </w:p>
    <w:p>
      <w:pPr>
        <w:pStyle w:val="12"/>
        <w:spacing w:beforeLines="50" w:line="400" w:lineRule="exact"/>
        <w:ind w:firstLine="2670" w:firstLineChars="950"/>
        <w:jc w:val="left"/>
        <w:outlineLvl w:val="1"/>
        <w:rPr>
          <w:b/>
          <w:sz w:val="28"/>
          <w:szCs w:val="28"/>
          <w:highlight w:val="none"/>
        </w:rPr>
      </w:pPr>
    </w:p>
    <w:p>
      <w:pPr>
        <w:pStyle w:val="12"/>
        <w:spacing w:beforeLines="50" w:line="400" w:lineRule="exact"/>
        <w:ind w:firstLine="2670" w:firstLineChars="950"/>
        <w:jc w:val="left"/>
        <w:outlineLvl w:val="1"/>
        <w:rPr>
          <w:b/>
          <w:sz w:val="28"/>
          <w:szCs w:val="28"/>
          <w:highlight w:val="none"/>
        </w:rPr>
      </w:pPr>
    </w:p>
    <w:p>
      <w:pPr>
        <w:pStyle w:val="12"/>
        <w:spacing w:beforeLines="50" w:line="400" w:lineRule="exact"/>
        <w:ind w:firstLine="2670" w:firstLineChars="950"/>
        <w:jc w:val="left"/>
        <w:outlineLvl w:val="1"/>
        <w:rPr>
          <w:b/>
          <w:sz w:val="28"/>
          <w:szCs w:val="28"/>
          <w:highlight w:val="none"/>
        </w:rPr>
      </w:pPr>
    </w:p>
    <w:p>
      <w:pPr>
        <w:pStyle w:val="12"/>
        <w:spacing w:beforeLines="50" w:line="400" w:lineRule="exact"/>
        <w:ind w:firstLine="2670" w:firstLineChars="950"/>
        <w:jc w:val="left"/>
        <w:outlineLvl w:val="1"/>
        <w:rPr>
          <w:b/>
          <w:sz w:val="28"/>
          <w:szCs w:val="28"/>
          <w:highlight w:val="none"/>
        </w:rPr>
      </w:pPr>
    </w:p>
    <w:p>
      <w:pPr>
        <w:pStyle w:val="12"/>
        <w:spacing w:beforeLines="50" w:line="400" w:lineRule="exact"/>
        <w:ind w:firstLine="2670" w:firstLineChars="950"/>
        <w:jc w:val="left"/>
        <w:outlineLvl w:val="1"/>
        <w:rPr>
          <w:b/>
          <w:sz w:val="28"/>
          <w:szCs w:val="28"/>
          <w:highlight w:val="none"/>
        </w:rPr>
      </w:pPr>
    </w:p>
    <w:p>
      <w:pPr>
        <w:pStyle w:val="12"/>
        <w:spacing w:beforeLines="50" w:line="400" w:lineRule="exact"/>
        <w:ind w:firstLine="2670" w:firstLineChars="950"/>
        <w:jc w:val="left"/>
        <w:outlineLvl w:val="1"/>
        <w:rPr>
          <w:b/>
          <w:sz w:val="28"/>
          <w:szCs w:val="28"/>
          <w:highlight w:val="none"/>
        </w:rPr>
      </w:pPr>
    </w:p>
    <w:p>
      <w:pPr>
        <w:pStyle w:val="12"/>
        <w:spacing w:beforeLines="50" w:line="400" w:lineRule="exact"/>
        <w:ind w:firstLine="2670" w:firstLineChars="950"/>
        <w:jc w:val="left"/>
        <w:outlineLvl w:val="1"/>
        <w:rPr>
          <w:b/>
          <w:sz w:val="28"/>
          <w:szCs w:val="28"/>
          <w:highlight w:val="none"/>
        </w:rPr>
      </w:pPr>
    </w:p>
    <w:p>
      <w:pPr>
        <w:pStyle w:val="12"/>
        <w:spacing w:beforeLines="50" w:line="400" w:lineRule="exact"/>
        <w:ind w:firstLine="2670" w:firstLineChars="950"/>
        <w:jc w:val="left"/>
        <w:outlineLvl w:val="1"/>
        <w:rPr>
          <w:b/>
          <w:sz w:val="28"/>
          <w:szCs w:val="28"/>
          <w:highlight w:val="none"/>
        </w:rPr>
      </w:pPr>
    </w:p>
    <w:p>
      <w:pPr>
        <w:pStyle w:val="12"/>
        <w:spacing w:beforeLines="50" w:line="400" w:lineRule="exact"/>
        <w:ind w:firstLine="2670" w:firstLineChars="950"/>
        <w:jc w:val="left"/>
        <w:outlineLvl w:val="1"/>
        <w:rPr>
          <w:b/>
          <w:sz w:val="28"/>
          <w:szCs w:val="28"/>
          <w:highlight w:val="none"/>
        </w:rPr>
      </w:pPr>
    </w:p>
    <w:p>
      <w:pPr>
        <w:pStyle w:val="12"/>
        <w:spacing w:beforeLines="50" w:line="400" w:lineRule="exact"/>
        <w:ind w:firstLine="2670" w:firstLineChars="950"/>
        <w:jc w:val="left"/>
        <w:outlineLvl w:val="1"/>
        <w:rPr>
          <w:b/>
          <w:sz w:val="28"/>
          <w:szCs w:val="28"/>
          <w:highlight w:val="none"/>
        </w:rPr>
      </w:pPr>
    </w:p>
    <w:p>
      <w:pPr>
        <w:pStyle w:val="12"/>
        <w:spacing w:beforeLines="50" w:line="400" w:lineRule="exact"/>
        <w:ind w:firstLine="2670" w:firstLineChars="950"/>
        <w:jc w:val="left"/>
        <w:outlineLvl w:val="1"/>
        <w:rPr>
          <w:b/>
          <w:sz w:val="28"/>
          <w:szCs w:val="28"/>
          <w:highlight w:val="none"/>
        </w:rPr>
      </w:pPr>
    </w:p>
    <w:p>
      <w:pPr>
        <w:pStyle w:val="12"/>
        <w:spacing w:beforeLines="50" w:line="400" w:lineRule="exact"/>
        <w:ind w:firstLine="2670" w:firstLineChars="950"/>
        <w:jc w:val="left"/>
        <w:outlineLvl w:val="1"/>
        <w:rPr>
          <w:b/>
          <w:sz w:val="28"/>
          <w:szCs w:val="28"/>
          <w:highlight w:val="none"/>
        </w:rPr>
      </w:pPr>
    </w:p>
    <w:p>
      <w:pPr>
        <w:pStyle w:val="12"/>
        <w:spacing w:beforeLines="50" w:line="400" w:lineRule="exact"/>
        <w:ind w:firstLine="2670" w:firstLineChars="950"/>
        <w:jc w:val="left"/>
        <w:outlineLvl w:val="1"/>
        <w:rPr>
          <w:b/>
          <w:sz w:val="28"/>
          <w:szCs w:val="28"/>
          <w:highlight w:val="none"/>
        </w:rPr>
      </w:pPr>
    </w:p>
    <w:p>
      <w:pPr>
        <w:pStyle w:val="12"/>
        <w:spacing w:beforeLines="50" w:line="400" w:lineRule="exact"/>
        <w:ind w:firstLine="2670" w:firstLineChars="950"/>
        <w:jc w:val="left"/>
        <w:outlineLvl w:val="1"/>
        <w:rPr>
          <w:b/>
          <w:sz w:val="28"/>
          <w:szCs w:val="28"/>
          <w:highlight w:val="none"/>
        </w:rPr>
      </w:pPr>
    </w:p>
    <w:p>
      <w:pPr>
        <w:pStyle w:val="12"/>
        <w:spacing w:beforeLines="50" w:line="400" w:lineRule="exact"/>
        <w:ind w:firstLine="2670" w:firstLineChars="950"/>
        <w:jc w:val="left"/>
        <w:outlineLvl w:val="1"/>
        <w:rPr>
          <w:b/>
          <w:sz w:val="28"/>
          <w:szCs w:val="28"/>
          <w:highlight w:val="none"/>
        </w:rPr>
      </w:pPr>
    </w:p>
    <w:p>
      <w:pPr>
        <w:pStyle w:val="12"/>
        <w:spacing w:beforeLines="50" w:line="400" w:lineRule="exact"/>
        <w:ind w:firstLine="2670" w:firstLineChars="950"/>
        <w:jc w:val="left"/>
        <w:outlineLvl w:val="1"/>
        <w:rPr>
          <w:b/>
          <w:sz w:val="28"/>
          <w:szCs w:val="28"/>
          <w:highlight w:val="none"/>
        </w:rPr>
      </w:pPr>
    </w:p>
    <w:p>
      <w:pPr>
        <w:pStyle w:val="12"/>
        <w:spacing w:beforeLines="50" w:line="400" w:lineRule="exact"/>
        <w:ind w:firstLine="2670" w:firstLineChars="950"/>
        <w:jc w:val="left"/>
        <w:outlineLvl w:val="1"/>
        <w:rPr>
          <w:b/>
          <w:sz w:val="28"/>
          <w:szCs w:val="28"/>
          <w:highlight w:val="none"/>
        </w:rPr>
      </w:pPr>
    </w:p>
    <w:p>
      <w:pPr>
        <w:pStyle w:val="12"/>
        <w:spacing w:beforeLines="50" w:line="400" w:lineRule="exact"/>
        <w:ind w:firstLine="2670" w:firstLineChars="950"/>
        <w:jc w:val="left"/>
        <w:outlineLvl w:val="1"/>
        <w:rPr>
          <w:b/>
          <w:sz w:val="28"/>
          <w:szCs w:val="28"/>
          <w:highlight w:val="none"/>
        </w:rPr>
      </w:pPr>
    </w:p>
    <w:p>
      <w:pPr>
        <w:pStyle w:val="12"/>
        <w:spacing w:beforeLines="50" w:line="400" w:lineRule="exact"/>
        <w:ind w:firstLine="2670" w:firstLineChars="950"/>
        <w:jc w:val="left"/>
        <w:outlineLvl w:val="1"/>
        <w:rPr>
          <w:b/>
          <w:sz w:val="28"/>
          <w:szCs w:val="28"/>
          <w:highlight w:val="none"/>
        </w:rPr>
      </w:pPr>
    </w:p>
    <w:p>
      <w:pPr>
        <w:pStyle w:val="12"/>
        <w:spacing w:beforeLines="50" w:line="400" w:lineRule="exact"/>
        <w:ind w:firstLine="2670" w:firstLineChars="950"/>
        <w:jc w:val="left"/>
        <w:outlineLvl w:val="1"/>
        <w:rPr>
          <w:b/>
          <w:sz w:val="28"/>
          <w:szCs w:val="28"/>
          <w:highlight w:val="none"/>
        </w:rPr>
      </w:pPr>
    </w:p>
    <w:p>
      <w:pPr>
        <w:pStyle w:val="12"/>
        <w:spacing w:beforeLines="50" w:line="400" w:lineRule="exact"/>
        <w:ind w:firstLine="2670" w:firstLineChars="950"/>
        <w:jc w:val="left"/>
        <w:outlineLvl w:val="1"/>
        <w:rPr>
          <w:b/>
          <w:sz w:val="28"/>
          <w:szCs w:val="28"/>
          <w:highlight w:val="none"/>
        </w:rPr>
      </w:pPr>
    </w:p>
    <w:p>
      <w:pPr>
        <w:pStyle w:val="12"/>
        <w:spacing w:beforeLines="50" w:line="400" w:lineRule="exact"/>
        <w:ind w:firstLine="2670" w:firstLineChars="950"/>
        <w:jc w:val="left"/>
        <w:outlineLvl w:val="1"/>
        <w:rPr>
          <w:b/>
          <w:sz w:val="28"/>
          <w:szCs w:val="28"/>
          <w:highlight w:val="none"/>
        </w:rPr>
      </w:pPr>
    </w:p>
    <w:p>
      <w:pPr>
        <w:pStyle w:val="12"/>
        <w:spacing w:beforeLines="50" w:line="400" w:lineRule="exact"/>
        <w:ind w:firstLine="2670" w:firstLineChars="950"/>
        <w:jc w:val="left"/>
        <w:outlineLvl w:val="1"/>
        <w:rPr>
          <w:b/>
          <w:sz w:val="28"/>
          <w:szCs w:val="28"/>
          <w:highlight w:val="none"/>
        </w:rPr>
      </w:pPr>
    </w:p>
    <w:p>
      <w:pPr>
        <w:pStyle w:val="12"/>
        <w:spacing w:beforeLines="50" w:line="400" w:lineRule="exact"/>
        <w:ind w:firstLine="2670" w:firstLineChars="950"/>
        <w:jc w:val="left"/>
        <w:outlineLvl w:val="1"/>
        <w:rPr>
          <w:b/>
          <w:sz w:val="28"/>
          <w:szCs w:val="28"/>
          <w:highlight w:val="none"/>
        </w:rPr>
      </w:pPr>
    </w:p>
    <w:p>
      <w:pPr>
        <w:pStyle w:val="12"/>
        <w:spacing w:beforeLines="50" w:line="400" w:lineRule="exact"/>
        <w:ind w:firstLine="2670" w:firstLineChars="950"/>
        <w:jc w:val="left"/>
        <w:outlineLvl w:val="1"/>
        <w:rPr>
          <w:b/>
          <w:sz w:val="28"/>
          <w:szCs w:val="28"/>
          <w:highlight w:val="none"/>
        </w:rPr>
      </w:pPr>
    </w:p>
    <w:p>
      <w:pPr>
        <w:pStyle w:val="12"/>
        <w:spacing w:beforeLines="50" w:line="400" w:lineRule="exact"/>
        <w:ind w:firstLine="2670" w:firstLineChars="950"/>
        <w:jc w:val="left"/>
        <w:outlineLvl w:val="1"/>
        <w:rPr>
          <w:b/>
          <w:bCs/>
          <w:sz w:val="28"/>
          <w:szCs w:val="28"/>
          <w:highlight w:val="none"/>
        </w:rPr>
      </w:pPr>
      <w:bookmarkStart w:id="552" w:name="_Toc28497"/>
      <w:bookmarkStart w:id="553" w:name="_Toc3814"/>
      <w:bookmarkStart w:id="554" w:name="_Toc19181"/>
      <w:bookmarkStart w:id="555" w:name="_Toc21010"/>
      <w:r>
        <w:rPr>
          <w:rFonts w:hint="eastAsia"/>
          <w:b/>
          <w:sz w:val="28"/>
          <w:szCs w:val="28"/>
          <w:highlight w:val="none"/>
        </w:rPr>
        <w:t>三、</w:t>
      </w:r>
      <w:r>
        <w:rPr>
          <w:rFonts w:hint="eastAsia"/>
          <w:b/>
          <w:bCs/>
          <w:sz w:val="28"/>
          <w:szCs w:val="28"/>
          <w:highlight w:val="none"/>
        </w:rPr>
        <w:t>价格投标文件格式</w:t>
      </w:r>
      <w:bookmarkEnd w:id="551"/>
      <w:bookmarkEnd w:id="552"/>
      <w:bookmarkEnd w:id="553"/>
      <w:bookmarkEnd w:id="554"/>
      <w:bookmarkEnd w:id="555"/>
    </w:p>
    <w:p>
      <w:pPr>
        <w:pStyle w:val="12"/>
        <w:spacing w:beforeLines="50" w:line="400" w:lineRule="exact"/>
        <w:ind w:firstLine="641"/>
        <w:jc w:val="center"/>
        <w:outlineLvl w:val="0"/>
        <w:rPr>
          <w:b/>
          <w:bCs/>
          <w:sz w:val="21"/>
          <w:szCs w:val="21"/>
          <w:highlight w:val="none"/>
        </w:rPr>
      </w:pPr>
    </w:p>
    <w:p>
      <w:pPr>
        <w:pStyle w:val="12"/>
        <w:spacing w:beforeLines="50" w:line="400" w:lineRule="exact"/>
        <w:ind w:firstLine="643"/>
        <w:jc w:val="center"/>
        <w:rPr>
          <w:b/>
          <w:bCs/>
          <w:sz w:val="21"/>
          <w:szCs w:val="21"/>
          <w:highlight w:val="none"/>
        </w:rPr>
      </w:pPr>
    </w:p>
    <w:p>
      <w:pPr>
        <w:pStyle w:val="12"/>
        <w:spacing w:beforeLines="50" w:line="400" w:lineRule="exact"/>
        <w:ind w:firstLine="643"/>
        <w:jc w:val="center"/>
        <w:rPr>
          <w:b/>
          <w:bCs/>
          <w:sz w:val="21"/>
          <w:szCs w:val="21"/>
          <w:highlight w:val="none"/>
        </w:rPr>
      </w:pPr>
    </w:p>
    <w:p>
      <w:pPr>
        <w:pStyle w:val="12"/>
        <w:spacing w:beforeLines="50" w:line="400" w:lineRule="exact"/>
        <w:ind w:firstLine="643"/>
        <w:jc w:val="center"/>
        <w:rPr>
          <w:b/>
          <w:bCs/>
          <w:sz w:val="21"/>
          <w:szCs w:val="21"/>
          <w:highlight w:val="none"/>
        </w:rPr>
      </w:pPr>
    </w:p>
    <w:bookmarkEnd w:id="550"/>
    <w:p>
      <w:pPr>
        <w:widowControl/>
        <w:jc w:val="left"/>
        <w:rPr>
          <w:rFonts w:ascii="宋体" w:hAnsi="宋体"/>
          <w:highlight w:val="none"/>
        </w:rPr>
        <w:sectPr>
          <w:pgSz w:w="11906" w:h="16838"/>
          <w:pgMar w:top="1797" w:right="1440" w:bottom="1797" w:left="1440" w:header="794" w:footer="794" w:gutter="0"/>
          <w:cols w:space="0" w:num="1"/>
          <w:docGrid w:linePitch="312" w:charSpace="0"/>
        </w:sectPr>
      </w:pPr>
    </w:p>
    <w:p>
      <w:pPr>
        <w:pStyle w:val="3"/>
        <w:keepNext w:val="0"/>
        <w:keepLines w:val="0"/>
        <w:numPr>
          <w:ilvl w:val="0"/>
          <w:numId w:val="0"/>
        </w:numPr>
        <w:spacing w:before="0" w:afterLines="50" w:line="360" w:lineRule="auto"/>
        <w:jc w:val="left"/>
        <w:rPr>
          <w:rFonts w:ascii="宋体" w:hAnsi="宋体" w:eastAsia="宋体"/>
          <w:bCs/>
          <w:kern w:val="2"/>
          <w:sz w:val="24"/>
          <w:szCs w:val="24"/>
          <w:highlight w:val="none"/>
        </w:rPr>
      </w:pPr>
      <w:bookmarkStart w:id="556" w:name="_Toc1790"/>
      <w:bookmarkStart w:id="557" w:name="_Toc6281"/>
      <w:bookmarkStart w:id="558" w:name="_Toc21080"/>
      <w:bookmarkStart w:id="559" w:name="_Toc27598"/>
      <w:bookmarkStart w:id="560" w:name="_Toc17829"/>
      <w:r>
        <w:rPr>
          <w:rFonts w:hint="eastAsia"/>
          <w:sz w:val="24"/>
          <w:szCs w:val="24"/>
          <w:highlight w:val="none"/>
        </w:rPr>
        <w:t>格式17：报价单格式</w:t>
      </w:r>
      <w:bookmarkEnd w:id="556"/>
      <w:bookmarkEnd w:id="557"/>
      <w:bookmarkEnd w:id="558"/>
      <w:bookmarkEnd w:id="559"/>
      <w:bookmarkEnd w:id="560"/>
    </w:p>
    <w:p>
      <w:pPr>
        <w:pStyle w:val="3"/>
        <w:keepNext w:val="0"/>
        <w:keepLines w:val="0"/>
        <w:numPr>
          <w:ilvl w:val="0"/>
          <w:numId w:val="0"/>
        </w:numPr>
        <w:spacing w:before="0" w:afterLines="50" w:line="360" w:lineRule="auto"/>
        <w:rPr>
          <w:rFonts w:ascii="宋体" w:hAnsi="宋体" w:eastAsia="宋体"/>
          <w:sz w:val="24"/>
          <w:szCs w:val="24"/>
          <w:highlight w:val="none"/>
        </w:rPr>
      </w:pPr>
      <w:bookmarkStart w:id="561" w:name="_Toc20273"/>
      <w:bookmarkStart w:id="562" w:name="_Toc32125"/>
      <w:bookmarkStart w:id="563" w:name="_Toc16463"/>
      <w:bookmarkStart w:id="564" w:name="_Toc11937"/>
      <w:bookmarkStart w:id="565" w:name="_Toc12801"/>
      <w:bookmarkStart w:id="566" w:name="_Toc11374"/>
      <w:r>
        <w:rPr>
          <w:rFonts w:hint="eastAsia" w:ascii="宋体" w:hAnsi="宋体" w:eastAsia="宋体"/>
          <w:bCs/>
          <w:kern w:val="2"/>
          <w:sz w:val="24"/>
          <w:szCs w:val="24"/>
          <w:highlight w:val="none"/>
        </w:rPr>
        <w:t>报价单</w:t>
      </w:r>
      <w:bookmarkEnd w:id="561"/>
      <w:bookmarkEnd w:id="562"/>
      <w:bookmarkEnd w:id="563"/>
      <w:bookmarkEnd w:id="564"/>
      <w:bookmarkEnd w:id="565"/>
      <w:bookmarkEnd w:id="566"/>
    </w:p>
    <w:p>
      <w:pPr>
        <w:pStyle w:val="22"/>
        <w:spacing w:before="120" w:line="500" w:lineRule="exact"/>
        <w:rPr>
          <w:rFonts w:asciiTheme="minorEastAsia" w:hAnsiTheme="minorEastAsia" w:eastAsiaTheme="minorEastAsia"/>
          <w:szCs w:val="21"/>
          <w:highlight w:val="none"/>
          <w:u w:val="single"/>
        </w:rPr>
      </w:pPr>
      <w:r>
        <w:rPr>
          <w:rFonts w:hint="eastAsia" w:asciiTheme="minorEastAsia" w:hAnsiTheme="minorEastAsia" w:eastAsiaTheme="minorEastAsia"/>
          <w:szCs w:val="21"/>
          <w:highlight w:val="none"/>
        </w:rPr>
        <w:t>致：</w:t>
      </w:r>
      <w:r>
        <w:rPr>
          <w:rFonts w:hint="eastAsia" w:asciiTheme="minorEastAsia" w:hAnsiTheme="minorEastAsia" w:eastAsiaTheme="minorEastAsia"/>
          <w:szCs w:val="21"/>
          <w:highlight w:val="none"/>
          <w:u w:val="single"/>
        </w:rPr>
        <w:t>佛山市恒益环保建材有限公司</w:t>
      </w:r>
    </w:p>
    <w:p>
      <w:pPr>
        <w:pStyle w:val="22"/>
        <w:spacing w:line="500" w:lineRule="exact"/>
        <w:ind w:firstLine="404" w:firstLineChars="200"/>
        <w:jc w:val="left"/>
        <w:rPr>
          <w:rFonts w:asciiTheme="minorEastAsia" w:hAnsiTheme="minorEastAsia" w:eastAsiaTheme="minorEastAsia"/>
          <w:spacing w:val="-4"/>
          <w:szCs w:val="21"/>
          <w:highlight w:val="none"/>
        </w:rPr>
      </w:pPr>
      <w:r>
        <w:rPr>
          <w:rFonts w:hint="eastAsia" w:asciiTheme="minorEastAsia" w:hAnsiTheme="minorEastAsia" w:eastAsiaTheme="minorEastAsia"/>
          <w:spacing w:val="-4"/>
          <w:szCs w:val="21"/>
          <w:highlight w:val="none"/>
        </w:rPr>
        <w:t>我公司的</w:t>
      </w:r>
      <w:r>
        <w:rPr>
          <w:rFonts w:asciiTheme="minorEastAsia" w:hAnsiTheme="minorEastAsia" w:eastAsiaTheme="minorEastAsia"/>
          <w:spacing w:val="-4"/>
          <w:szCs w:val="21"/>
          <w:highlight w:val="none"/>
          <w:lang w:val="zh-CN"/>
        </w:rPr>
        <w:t>佛山市恒益环保建材有限公司</w:t>
      </w:r>
      <w:r>
        <w:rPr>
          <w:rFonts w:hint="eastAsia" w:asciiTheme="minorEastAsia" w:hAnsiTheme="minorEastAsia" w:eastAsiaTheme="minorEastAsia"/>
          <w:spacing w:val="-4"/>
          <w:szCs w:val="21"/>
          <w:highlight w:val="none"/>
          <w:lang w:val="zh-CN"/>
        </w:rPr>
        <w:t>加气砌块生产辅助业务外委</w:t>
      </w:r>
      <w:r>
        <w:rPr>
          <w:rFonts w:asciiTheme="minorEastAsia" w:hAnsiTheme="minorEastAsia" w:eastAsiaTheme="minorEastAsia"/>
          <w:spacing w:val="-4"/>
          <w:szCs w:val="21"/>
          <w:highlight w:val="none"/>
        </w:rPr>
        <w:t>项目</w:t>
      </w:r>
      <w:r>
        <w:rPr>
          <w:rFonts w:hint="eastAsia" w:asciiTheme="minorEastAsia" w:hAnsiTheme="minorEastAsia" w:eastAsiaTheme="minorEastAsia"/>
          <w:spacing w:val="-4"/>
          <w:szCs w:val="21"/>
          <w:highlight w:val="none"/>
        </w:rPr>
        <w:t>报价如下表，本报价单的有效日期至</w:t>
      </w:r>
      <w:r>
        <w:rPr>
          <w:rFonts w:hint="eastAsia" w:asciiTheme="minorEastAsia" w:hAnsiTheme="minorEastAsia" w:eastAsiaTheme="minorEastAsia"/>
          <w:spacing w:val="-4"/>
          <w:szCs w:val="21"/>
          <w:highlight w:val="none"/>
          <w:u w:val="single"/>
        </w:rPr>
        <w:t>（与投标文件有效期相同）</w:t>
      </w:r>
      <w:r>
        <w:rPr>
          <w:rFonts w:hint="eastAsia" w:asciiTheme="minorEastAsia" w:hAnsiTheme="minorEastAsia" w:eastAsiaTheme="minorEastAsia"/>
          <w:spacing w:val="-4"/>
          <w:szCs w:val="21"/>
          <w:highlight w:val="none"/>
        </w:rPr>
        <w:t>。本报价单中的价格为固定不变价。</w:t>
      </w:r>
    </w:p>
    <w:tbl>
      <w:tblPr>
        <w:tblStyle w:val="43"/>
        <w:tblW w:w="9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1237"/>
        <w:gridCol w:w="1225"/>
        <w:gridCol w:w="938"/>
        <w:gridCol w:w="662"/>
        <w:gridCol w:w="263"/>
        <w:gridCol w:w="912"/>
        <w:gridCol w:w="125"/>
        <w:gridCol w:w="1188"/>
        <w:gridCol w:w="1100"/>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3" w:hRule="atLeast"/>
        </w:trPr>
        <w:tc>
          <w:tcPr>
            <w:tcW w:w="1113" w:type="dxa"/>
            <w:vAlign w:val="center"/>
          </w:tcPr>
          <w:p>
            <w:pPr>
              <w:jc w:val="center"/>
              <w:rPr>
                <w:rFonts w:asciiTheme="minorEastAsia" w:hAnsiTheme="minorEastAsia" w:eastAsiaTheme="minorEastAsia"/>
                <w:szCs w:val="21"/>
                <w:highlight w:val="none"/>
                <w:u w:val="single"/>
              </w:rPr>
            </w:pPr>
            <w:r>
              <w:rPr>
                <w:rFonts w:hint="eastAsia" w:ascii="宋体" w:hAnsi="宋体"/>
                <w:bCs/>
                <w:color w:val="000000"/>
                <w:szCs w:val="21"/>
                <w:highlight w:val="none"/>
                <w:lang w:val="zh-CN"/>
              </w:rPr>
              <w:t>项目名</w:t>
            </w:r>
            <w:r>
              <w:rPr>
                <w:rFonts w:hint="eastAsia" w:ascii="宋体" w:hAnsi="宋体"/>
                <w:bCs/>
                <w:szCs w:val="21"/>
                <w:highlight w:val="none"/>
                <w:lang w:val="zh-CN"/>
              </w:rPr>
              <w:t>称</w:t>
            </w:r>
          </w:p>
        </w:tc>
        <w:tc>
          <w:tcPr>
            <w:tcW w:w="1237" w:type="dxa"/>
            <w:vAlign w:val="center"/>
          </w:tcPr>
          <w:p>
            <w:pPr>
              <w:jc w:val="center"/>
              <w:rPr>
                <w:rFonts w:asciiTheme="minorEastAsia" w:hAnsiTheme="minorEastAsia" w:eastAsiaTheme="minorEastAsia"/>
                <w:szCs w:val="21"/>
                <w:highlight w:val="none"/>
                <w:u w:val="single"/>
              </w:rPr>
            </w:pPr>
            <w:r>
              <w:rPr>
                <w:rFonts w:hint="eastAsia" w:cs="宋体" w:asciiTheme="minorEastAsia" w:hAnsiTheme="minorEastAsia" w:eastAsiaTheme="minorEastAsia"/>
                <w:color w:val="000000"/>
                <w:kern w:val="0"/>
                <w:szCs w:val="21"/>
                <w:highlight w:val="none"/>
              </w:rPr>
              <w:t>开具发票类型</w:t>
            </w:r>
          </w:p>
        </w:tc>
        <w:tc>
          <w:tcPr>
            <w:tcW w:w="1225" w:type="dxa"/>
            <w:vAlign w:val="center"/>
          </w:tcPr>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税率</w:t>
            </w:r>
          </w:p>
          <w:p>
            <w:pPr>
              <w:widowControl/>
              <w:jc w:val="center"/>
              <w:rPr>
                <w:rFonts w:cs="宋体" w:asciiTheme="minorEastAsia" w:hAnsiTheme="minorEastAsia" w:eastAsiaTheme="minorEastAsia"/>
                <w:color w:val="000000"/>
                <w:kern w:val="0"/>
                <w:szCs w:val="21"/>
                <w:highlight w:val="none"/>
              </w:rPr>
            </w:pPr>
            <w:r>
              <w:rPr>
                <w:rFonts w:hint="eastAsia" w:cs="宋体" w:asciiTheme="minorEastAsia" w:hAnsiTheme="minorEastAsia" w:eastAsiaTheme="minorEastAsia"/>
                <w:color w:val="000000"/>
                <w:kern w:val="0"/>
                <w:szCs w:val="21"/>
                <w:highlight w:val="none"/>
              </w:rPr>
              <w:t>仅限开具增值税专用发票单位勾选</w:t>
            </w:r>
          </w:p>
        </w:tc>
        <w:tc>
          <w:tcPr>
            <w:tcW w:w="938" w:type="dxa"/>
            <w:vAlign w:val="center"/>
          </w:tcPr>
          <w:p>
            <w:pPr>
              <w:jc w:val="center"/>
              <w:rPr>
                <w:rFonts w:asciiTheme="minorEastAsia" w:hAnsiTheme="minorEastAsia" w:eastAsiaTheme="minorEastAsia"/>
                <w:szCs w:val="21"/>
                <w:highlight w:val="none"/>
                <w:u w:val="single"/>
              </w:rPr>
            </w:pPr>
            <w:r>
              <w:rPr>
                <w:rFonts w:hint="eastAsia" w:ascii="宋体" w:hAnsi="宋体"/>
                <w:bCs/>
                <w:szCs w:val="21"/>
                <w:highlight w:val="none"/>
                <w:lang w:val="zh-CN"/>
              </w:rPr>
              <w:t>业务估量</w:t>
            </w:r>
          </w:p>
        </w:tc>
        <w:tc>
          <w:tcPr>
            <w:tcW w:w="925" w:type="dxa"/>
            <w:gridSpan w:val="2"/>
            <w:vAlign w:val="center"/>
          </w:tcPr>
          <w:p>
            <w:pPr>
              <w:jc w:val="center"/>
              <w:rPr>
                <w:rFonts w:ascii="宋体" w:hAnsi="宋体"/>
                <w:bCs/>
                <w:szCs w:val="21"/>
                <w:highlight w:val="none"/>
                <w:lang w:val="zh-CN"/>
              </w:rPr>
            </w:pPr>
            <w:r>
              <w:rPr>
                <w:rFonts w:hint="eastAsia" w:ascii="宋体" w:hAnsi="宋体"/>
                <w:bCs/>
                <w:szCs w:val="21"/>
                <w:highlight w:val="none"/>
                <w:lang w:val="zh-CN"/>
              </w:rPr>
              <w:t>单价（不含税）</w:t>
            </w:r>
          </w:p>
        </w:tc>
        <w:tc>
          <w:tcPr>
            <w:tcW w:w="1037" w:type="dxa"/>
            <w:gridSpan w:val="2"/>
            <w:vAlign w:val="center"/>
          </w:tcPr>
          <w:p>
            <w:pPr>
              <w:jc w:val="center"/>
              <w:rPr>
                <w:rFonts w:asciiTheme="minorEastAsia" w:hAnsiTheme="minorEastAsia" w:eastAsiaTheme="minorEastAsia"/>
                <w:szCs w:val="21"/>
                <w:highlight w:val="none"/>
                <w:u w:val="single"/>
              </w:rPr>
            </w:pPr>
            <w:r>
              <w:rPr>
                <w:rFonts w:hint="eastAsia" w:ascii="宋体" w:hAnsi="宋体"/>
                <w:bCs/>
                <w:szCs w:val="21"/>
                <w:highlight w:val="none"/>
                <w:lang w:val="zh-CN"/>
              </w:rPr>
              <w:t>单价（含税）</w:t>
            </w:r>
          </w:p>
        </w:tc>
        <w:tc>
          <w:tcPr>
            <w:tcW w:w="1188" w:type="dxa"/>
            <w:vAlign w:val="center"/>
          </w:tcPr>
          <w:p>
            <w:pPr>
              <w:jc w:val="center"/>
              <w:rPr>
                <w:rFonts w:ascii="宋体" w:hAnsi="宋体"/>
                <w:bCs/>
                <w:szCs w:val="21"/>
                <w:highlight w:val="none"/>
                <w:lang w:val="zh-CN"/>
              </w:rPr>
            </w:pPr>
            <w:r>
              <w:rPr>
                <w:rFonts w:hint="eastAsia" w:ascii="宋体" w:hAnsi="宋体"/>
                <w:bCs/>
                <w:szCs w:val="21"/>
                <w:highlight w:val="none"/>
                <w:lang w:val="zh-CN"/>
              </w:rPr>
              <w:t>单项不含税总价（</w:t>
            </w:r>
            <w:r>
              <w:rPr>
                <w:rFonts w:hint="eastAsia" w:ascii="宋体" w:hAnsi="宋体"/>
                <w:bCs/>
                <w:szCs w:val="21"/>
                <w:highlight w:val="none"/>
              </w:rPr>
              <w:t>2年</w:t>
            </w:r>
            <w:r>
              <w:rPr>
                <w:rFonts w:ascii="宋体" w:hAnsi="宋体"/>
                <w:bCs/>
                <w:szCs w:val="21"/>
                <w:highlight w:val="none"/>
                <w:lang w:val="zh-CN"/>
              </w:rPr>
              <w:t>）</w:t>
            </w:r>
          </w:p>
        </w:tc>
        <w:tc>
          <w:tcPr>
            <w:tcW w:w="1100" w:type="dxa"/>
            <w:vAlign w:val="center"/>
          </w:tcPr>
          <w:p>
            <w:pPr>
              <w:jc w:val="center"/>
              <w:rPr>
                <w:rFonts w:asciiTheme="minorEastAsia" w:hAnsiTheme="minorEastAsia" w:eastAsiaTheme="minorEastAsia"/>
                <w:szCs w:val="21"/>
                <w:highlight w:val="none"/>
                <w:u w:val="single"/>
              </w:rPr>
            </w:pPr>
            <w:r>
              <w:rPr>
                <w:rFonts w:hint="eastAsia" w:ascii="宋体" w:hAnsi="宋体"/>
                <w:bCs/>
                <w:szCs w:val="21"/>
                <w:highlight w:val="none"/>
                <w:lang w:val="zh-CN"/>
              </w:rPr>
              <w:t>单项含税总价（</w:t>
            </w:r>
            <w:r>
              <w:rPr>
                <w:rFonts w:hint="eastAsia" w:ascii="宋体" w:hAnsi="宋体"/>
                <w:bCs/>
                <w:szCs w:val="21"/>
                <w:highlight w:val="none"/>
              </w:rPr>
              <w:t>2年</w:t>
            </w:r>
            <w:r>
              <w:rPr>
                <w:rFonts w:ascii="宋体" w:hAnsi="宋体"/>
                <w:bCs/>
                <w:szCs w:val="21"/>
                <w:highlight w:val="none"/>
                <w:lang w:val="zh-CN"/>
              </w:rPr>
              <w:t>）</w:t>
            </w:r>
          </w:p>
        </w:tc>
        <w:tc>
          <w:tcPr>
            <w:tcW w:w="1175" w:type="dxa"/>
            <w:vAlign w:val="center"/>
          </w:tcPr>
          <w:p>
            <w:pPr>
              <w:jc w:val="center"/>
              <w:rPr>
                <w:rFonts w:asciiTheme="minorEastAsia" w:hAnsiTheme="minorEastAsia" w:eastAsiaTheme="minorEastAsia"/>
                <w:szCs w:val="21"/>
                <w:highlight w:val="none"/>
                <w:u w:val="single"/>
              </w:rPr>
            </w:pPr>
            <w:r>
              <w:rPr>
                <w:rFonts w:hint="eastAsia" w:ascii="宋体" w:hAnsi="宋体"/>
                <w:bCs/>
                <w:szCs w:val="21"/>
                <w:highlight w:val="none"/>
                <w:lang w:val="zh-CN"/>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3" w:type="dxa"/>
            <w:vAlign w:val="center"/>
          </w:tcPr>
          <w:p>
            <w:pPr>
              <w:autoSpaceDE w:val="0"/>
              <w:autoSpaceDN w:val="0"/>
              <w:adjustRightInd w:val="0"/>
              <w:jc w:val="center"/>
              <w:rPr>
                <w:rFonts w:ascii="宋体" w:hAnsi="宋体"/>
                <w:bCs/>
                <w:szCs w:val="21"/>
                <w:highlight w:val="none"/>
                <w:lang w:val="zh-CN"/>
              </w:rPr>
            </w:pPr>
            <w:r>
              <w:rPr>
                <w:rFonts w:hint="eastAsia" w:ascii="宋体" w:hAnsi="宋体"/>
                <w:bCs/>
                <w:szCs w:val="21"/>
                <w:highlight w:val="none"/>
                <w:lang w:val="zh-CN"/>
              </w:rPr>
              <w:t>物料转运</w:t>
            </w:r>
          </w:p>
          <w:p>
            <w:pPr>
              <w:jc w:val="center"/>
              <w:rPr>
                <w:rFonts w:asciiTheme="minorEastAsia" w:hAnsiTheme="minorEastAsia" w:eastAsiaTheme="minorEastAsia"/>
                <w:szCs w:val="21"/>
                <w:highlight w:val="none"/>
                <w:u w:val="single"/>
              </w:rPr>
            </w:pPr>
            <w:r>
              <w:rPr>
                <w:rFonts w:hint="eastAsia" w:ascii="宋体" w:hAnsi="宋体"/>
                <w:bCs/>
                <w:szCs w:val="21"/>
                <w:highlight w:val="none"/>
                <w:lang w:val="zh-CN"/>
              </w:rPr>
              <w:t>（元</w:t>
            </w:r>
            <w:r>
              <w:rPr>
                <w:rFonts w:ascii="宋体" w:hAnsi="宋体"/>
                <w:bCs/>
                <w:szCs w:val="21"/>
                <w:highlight w:val="none"/>
                <w:lang w:val="zh-CN"/>
              </w:rPr>
              <w:t>/吨）</w:t>
            </w:r>
          </w:p>
        </w:tc>
        <w:tc>
          <w:tcPr>
            <w:tcW w:w="1237" w:type="dxa"/>
            <w:vMerge w:val="restart"/>
            <w:vAlign w:val="center"/>
          </w:tcPr>
          <w:p>
            <w:pPr>
              <w:ind w:left="315" w:leftChars="150"/>
              <w:jc w:val="center"/>
              <w:rPr>
                <w:rFonts w:ascii="Calibri" w:hAnsi="Calibri"/>
                <w:szCs w:val="21"/>
                <w:highlight w:val="none"/>
              </w:rPr>
            </w:pPr>
            <w:r>
              <w:rPr>
                <w:rFonts w:ascii="Calibri" w:hAnsi="Calibri"/>
                <w:szCs w:val="21"/>
                <w:highlight w:val="none"/>
              </w:rPr>
              <mc:AlternateContent>
                <mc:Choice Requires="wps">
                  <w:drawing>
                    <wp:anchor distT="0" distB="0" distL="114300" distR="114300" simplePos="0" relativeHeight="251676672" behindDoc="0" locked="0" layoutInCell="1" allowOverlap="1">
                      <wp:simplePos x="0" y="0"/>
                      <wp:positionH relativeFrom="column">
                        <wp:posOffset>-13970</wp:posOffset>
                      </wp:positionH>
                      <wp:positionV relativeFrom="paragraph">
                        <wp:posOffset>56515</wp:posOffset>
                      </wp:positionV>
                      <wp:extent cx="189865" cy="91440"/>
                      <wp:effectExtent l="4445" t="4445" r="15240" b="18415"/>
                      <wp:wrapNone/>
                      <wp:docPr id="3" name="矩形 31"/>
                      <wp:cNvGraphicFramePr/>
                      <a:graphic xmlns:a="http://schemas.openxmlformats.org/drawingml/2006/main">
                        <a:graphicData uri="http://schemas.microsoft.com/office/word/2010/wordprocessingShape">
                          <wps:wsp>
                            <wps:cNvSpPr/>
                            <wps:spPr>
                              <a:xfrm>
                                <a:off x="0" y="0"/>
                                <a:ext cx="189865" cy="91440"/>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矩形 31" o:spid="_x0000_s1026" o:spt="1" style="position:absolute;left:0pt;margin-left:-1.1pt;margin-top:4.45pt;height:7.2pt;width:14.95pt;z-index:251676672;mso-width-relative:page;mso-height-relative:page;" fillcolor="#FFFFFF" filled="t" stroked="t" coordsize="21600,21600" o:gfxdata="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1zDG3VAAAA&#10;BgEAAA8AAAAAAAAAAQAgAAAAIgAAAGRycy9kb3ducmV2LnhtbFBLAQIUABQAAAAIAIdO4kClgx65&#10;5wEAAN0DAAAOAAAAAAAAAAEAIAAAACQBAABkcnMvZTJvRG9jLnhtbFBLBQYAAAAABgAGAFkBAAB9&#10;BQAAAAA=&#10;">
                      <v:fill on="t" focussize="0,0"/>
                      <v:stroke color="#000000" joinstyle="miter"/>
                      <v:imagedata o:title=""/>
                      <o:lock v:ext="edit" aspectratio="f"/>
                    </v:rect>
                  </w:pict>
                </mc:Fallback>
              </mc:AlternateContent>
            </w:r>
            <w:r>
              <w:rPr>
                <w:rFonts w:hint="eastAsia" w:ascii="Calibri" w:hAnsi="Calibri"/>
                <w:szCs w:val="21"/>
                <w:highlight w:val="none"/>
              </w:rPr>
              <w:t>增值税普通发票</w:t>
            </w:r>
          </w:p>
          <w:p>
            <w:pPr>
              <w:ind w:left="315" w:leftChars="150"/>
              <w:jc w:val="center"/>
              <w:rPr>
                <w:rFonts w:ascii="Calibri" w:hAnsi="Calibri"/>
                <w:szCs w:val="21"/>
                <w:highlight w:val="none"/>
              </w:rPr>
            </w:pPr>
            <w:r>
              <w:rPr>
                <w:rFonts w:ascii="Calibri" w:hAnsi="Calibri"/>
                <w:szCs w:val="21"/>
                <w:highlight w:val="none"/>
              </w:rPr>
              <mc:AlternateContent>
                <mc:Choice Requires="wps">
                  <w:drawing>
                    <wp:anchor distT="0" distB="0" distL="114300" distR="114300" simplePos="0" relativeHeight="251677696" behindDoc="0" locked="0" layoutInCell="1" allowOverlap="1">
                      <wp:simplePos x="0" y="0"/>
                      <wp:positionH relativeFrom="column">
                        <wp:posOffset>-12065</wp:posOffset>
                      </wp:positionH>
                      <wp:positionV relativeFrom="paragraph">
                        <wp:posOffset>40640</wp:posOffset>
                      </wp:positionV>
                      <wp:extent cx="189865" cy="90805"/>
                      <wp:effectExtent l="4445" t="4445" r="15240" b="19050"/>
                      <wp:wrapNone/>
                      <wp:docPr id="4" name="矩形 32"/>
                      <wp:cNvGraphicFramePr/>
                      <a:graphic xmlns:a="http://schemas.openxmlformats.org/drawingml/2006/main">
                        <a:graphicData uri="http://schemas.microsoft.com/office/word/2010/wordprocessingShape">
                          <wps:wsp>
                            <wps:cNvSpPr/>
                            <wps:spPr>
                              <a:xfrm>
                                <a:off x="0" y="0"/>
                                <a:ext cx="189865" cy="90805"/>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矩形 32" o:spid="_x0000_s1026" o:spt="1" style="position:absolute;left:0pt;margin-left:-0.95pt;margin-top:3.2pt;height:7.15pt;width:14.95pt;z-index:251677696;mso-width-relative:page;mso-height-relative:page;" fillcolor="#FFFFFF" filled="t" stroked="t" coordsize="21600,21600" o:gfxdata="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xpCzzWAAAABgEA&#10;AA8AAAAAAAAAAQAgAAAAIgAAAGRycy9kb3ducmV2LnhtbFBLAQIUABQAAAAIAIdO4kD8Wx0o4wEA&#10;AN0DAAAOAAAAAAAAAAEAIAAAACUBAABkcnMvZTJvRG9jLnhtbFBLBQYAAAAABgAGAFkBAAB6BQAA&#10;AAA=&#10;">
                      <v:fill on="t" focussize="0,0"/>
                      <v:stroke color="#000000" joinstyle="miter"/>
                      <v:imagedata o:title=""/>
                      <o:lock v:ext="edit" aspectratio="f"/>
                    </v:rect>
                  </w:pict>
                </mc:Fallback>
              </mc:AlternateContent>
            </w:r>
            <w:r>
              <w:rPr>
                <w:rFonts w:hint="eastAsia" w:ascii="Calibri" w:hAnsi="Calibri"/>
                <w:szCs w:val="21"/>
                <w:highlight w:val="none"/>
              </w:rPr>
              <w:t>增值税专用发票</w:t>
            </w:r>
          </w:p>
          <w:p>
            <w:pPr>
              <w:jc w:val="center"/>
              <w:rPr>
                <w:rFonts w:asciiTheme="minorEastAsia" w:hAnsiTheme="minorEastAsia" w:eastAsiaTheme="minorEastAsia"/>
                <w:szCs w:val="21"/>
                <w:highlight w:val="none"/>
                <w:u w:val="single"/>
              </w:rPr>
            </w:pPr>
            <w:r>
              <w:rPr>
                <w:rFonts w:ascii="宋体" w:hAnsi="宋体" w:cs="宋体"/>
                <w:kern w:val="0"/>
                <w:szCs w:val="21"/>
                <w:highlight w:val="none"/>
              </w:rPr>
              <mc:AlternateContent>
                <mc:Choice Requires="wps">
                  <w:drawing>
                    <wp:anchor distT="0" distB="0" distL="114300" distR="114300" simplePos="0" relativeHeight="251678720" behindDoc="0" locked="0" layoutInCell="1" allowOverlap="1">
                      <wp:simplePos x="0" y="0"/>
                      <wp:positionH relativeFrom="column">
                        <wp:posOffset>-11430</wp:posOffset>
                      </wp:positionH>
                      <wp:positionV relativeFrom="paragraph">
                        <wp:posOffset>52070</wp:posOffset>
                      </wp:positionV>
                      <wp:extent cx="189865" cy="90805"/>
                      <wp:effectExtent l="4445" t="4445" r="15240" b="19050"/>
                      <wp:wrapNone/>
                      <wp:docPr id="5" name="矩形 33"/>
                      <wp:cNvGraphicFramePr/>
                      <a:graphic xmlns:a="http://schemas.openxmlformats.org/drawingml/2006/main">
                        <a:graphicData uri="http://schemas.microsoft.com/office/word/2010/wordprocessingShape">
                          <wps:wsp>
                            <wps:cNvSpPr/>
                            <wps:spPr>
                              <a:xfrm>
                                <a:off x="0" y="0"/>
                                <a:ext cx="189865" cy="90805"/>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矩形 33" o:spid="_x0000_s1026" o:spt="1" style="position:absolute;left:0pt;margin-left:-0.9pt;margin-top:4.1pt;height:7.15pt;width:14.95pt;z-index:251678720;mso-width-relative:page;mso-height-relative:page;" fillcolor="#FFFFFF" filled="t" stroked="t" coordsize="21600,21600" o:gfxdata="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v7pzONUAAAAGAQAA&#10;DwAAAAAAAAABACAAAAAiAAAAZHJzL2Rvd25yZXYueG1sUEsBAhQAFAAAAAgAh07iQK+9Gg7jAQAA&#10;3QMAAA4AAAAAAAAAAQAgAAAAJAEAAGRycy9lMm9Eb2MueG1sUEsFBgAAAAAGAAYAWQEAAHkFAAAA&#10;AA==&#10;">
                      <v:fill on="t" focussize="0,0"/>
                      <v:stroke color="#000000" joinstyle="miter"/>
                      <v:imagedata o:title=""/>
                      <o:lock v:ext="edit" aspectratio="f"/>
                    </v:rect>
                  </w:pict>
                </mc:Fallback>
              </mc:AlternateContent>
            </w:r>
            <w:r>
              <w:rPr>
                <w:rFonts w:hint="eastAsia" w:ascii="Calibri" w:hAnsi="Calibri"/>
                <w:szCs w:val="21"/>
                <w:highlight w:val="none"/>
              </w:rPr>
              <w:t xml:space="preserve">   其他发票</w:t>
            </w:r>
          </w:p>
        </w:tc>
        <w:tc>
          <w:tcPr>
            <w:tcW w:w="1225" w:type="dxa"/>
            <w:vMerge w:val="restart"/>
          </w:tcPr>
          <w:p>
            <w:pPr>
              <w:rPr>
                <w:rFonts w:asciiTheme="minorEastAsia" w:hAnsiTheme="minorEastAsia" w:eastAsiaTheme="minorEastAsia"/>
                <w:highlight w:val="none"/>
              </w:rPr>
            </w:pPr>
          </w:p>
          <w:p>
            <w:pPr>
              <w:rPr>
                <w:rFonts w:asciiTheme="minorEastAsia" w:hAnsiTheme="minorEastAsia" w:eastAsiaTheme="minorEastAsia"/>
                <w:highlight w:val="none"/>
              </w:rPr>
            </w:pPr>
          </w:p>
          <w:p>
            <w:pPr>
              <w:ind w:firstLine="420" w:firstLineChars="200"/>
              <w:rPr>
                <w:rFonts w:asciiTheme="minorEastAsia" w:hAnsiTheme="minorEastAsia" w:eastAsiaTheme="minorEastAsia"/>
                <w:highlight w:val="none"/>
              </w:rPr>
            </w:pPr>
            <w:r>
              <w:rPr>
                <w:rFonts w:asciiTheme="minorEastAsia" w:hAnsiTheme="minorEastAsia" w:eastAsiaTheme="minorEastAsia"/>
                <w:highlight w:val="none"/>
              </w:rPr>
              <mc:AlternateContent>
                <mc:Choice Requires="wps">
                  <w:drawing>
                    <wp:anchor distT="0" distB="0" distL="114300" distR="114300" simplePos="0" relativeHeight="251679744" behindDoc="0" locked="0" layoutInCell="1" allowOverlap="1">
                      <wp:simplePos x="0" y="0"/>
                      <wp:positionH relativeFrom="column">
                        <wp:posOffset>-21590</wp:posOffset>
                      </wp:positionH>
                      <wp:positionV relativeFrom="paragraph">
                        <wp:posOffset>57785</wp:posOffset>
                      </wp:positionV>
                      <wp:extent cx="189865" cy="91440"/>
                      <wp:effectExtent l="4445" t="4445" r="15240" b="18415"/>
                      <wp:wrapNone/>
                      <wp:docPr id="6" name="矩形 34"/>
                      <wp:cNvGraphicFramePr/>
                      <a:graphic xmlns:a="http://schemas.openxmlformats.org/drawingml/2006/main">
                        <a:graphicData uri="http://schemas.microsoft.com/office/word/2010/wordprocessingShape">
                          <wps:wsp>
                            <wps:cNvSpPr/>
                            <wps:spPr>
                              <a:xfrm>
                                <a:off x="0" y="0"/>
                                <a:ext cx="189865" cy="91440"/>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矩形 34" o:spid="_x0000_s1026" o:spt="1" style="position:absolute;left:0pt;margin-left:-1.7pt;margin-top:4.55pt;height:7.2pt;width:14.95pt;z-index:251679744;mso-width-relative:page;mso-height-relative:page;" fillcolor="#FFFFFF" filled="t" stroked="t" coordsize="21600,21600" o:gfxdata="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sJixE1gAA&#10;AAYBAAAPAAAAAAAAAAEAIAAAACIAAABkcnMvZG93bnJldi54bWxQSwECFAAUAAAACACHTuJAuvwG&#10;B+cBAADdAwAADgAAAAAAAAABACAAAAAlAQAAZHJzL2Uyb0RvYy54bWxQSwUGAAAAAAYABgBZAQAA&#10;fgUAAAAA&#10;">
                      <v:fill on="t" focussize="0,0"/>
                      <v:stroke color="#000000" joinstyle="miter"/>
                      <v:imagedata o:title=""/>
                      <o:lock v:ext="edit" aspectratio="f"/>
                    </v:rect>
                  </w:pict>
                </mc:Fallback>
              </mc:AlternateContent>
            </w:r>
            <w:r>
              <w:rPr>
                <w:rFonts w:asciiTheme="minorEastAsia" w:hAnsiTheme="minorEastAsia" w:eastAsiaTheme="minorEastAsia"/>
                <w:highlight w:val="none"/>
              </w:rPr>
              <w:t>1</w:t>
            </w:r>
            <w:r>
              <w:rPr>
                <w:rFonts w:hint="eastAsia" w:asciiTheme="minorEastAsia" w:hAnsiTheme="minorEastAsia" w:eastAsiaTheme="minorEastAsia"/>
                <w:highlight w:val="none"/>
              </w:rPr>
              <w:t>3</w:t>
            </w:r>
            <w:r>
              <w:rPr>
                <w:rFonts w:asciiTheme="minorEastAsia" w:hAnsiTheme="minorEastAsia" w:eastAsiaTheme="minorEastAsia"/>
                <w:highlight w:val="none"/>
              </w:rPr>
              <w:t>%</w:t>
            </w:r>
          </w:p>
          <w:p>
            <w:pPr>
              <w:ind w:firstLine="420" w:firstLineChars="200"/>
              <w:rPr>
                <w:rFonts w:asciiTheme="minorEastAsia" w:hAnsiTheme="minorEastAsia" w:eastAsiaTheme="minorEastAsia"/>
                <w:b/>
                <w:sz w:val="28"/>
                <w:highlight w:val="none"/>
              </w:rPr>
            </w:pPr>
            <w:r>
              <w:rPr>
                <w:rFonts w:asciiTheme="minorEastAsia" w:hAnsiTheme="minorEastAsia" w:eastAsiaTheme="minorEastAsia"/>
                <w:highlight w:val="none"/>
              </w:rPr>
              <mc:AlternateContent>
                <mc:Choice Requires="wps">
                  <w:drawing>
                    <wp:anchor distT="0" distB="0" distL="114300" distR="114300" simplePos="0" relativeHeight="251680768" behindDoc="0" locked="0" layoutInCell="1" allowOverlap="1">
                      <wp:simplePos x="0" y="0"/>
                      <wp:positionH relativeFrom="column">
                        <wp:posOffset>-21590</wp:posOffset>
                      </wp:positionH>
                      <wp:positionV relativeFrom="paragraph">
                        <wp:posOffset>37465</wp:posOffset>
                      </wp:positionV>
                      <wp:extent cx="189865" cy="91440"/>
                      <wp:effectExtent l="4445" t="4445" r="15240" b="18415"/>
                      <wp:wrapNone/>
                      <wp:docPr id="7" name="矩形 35"/>
                      <wp:cNvGraphicFramePr/>
                      <a:graphic xmlns:a="http://schemas.openxmlformats.org/drawingml/2006/main">
                        <a:graphicData uri="http://schemas.microsoft.com/office/word/2010/wordprocessingShape">
                          <wps:wsp>
                            <wps:cNvSpPr/>
                            <wps:spPr>
                              <a:xfrm>
                                <a:off x="0" y="0"/>
                                <a:ext cx="189865" cy="91440"/>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矩形 35" o:spid="_x0000_s1026" o:spt="1" style="position:absolute;left:0pt;margin-left:-1.7pt;margin-top:2.95pt;height:7.2pt;width:14.95pt;z-index:251680768;mso-width-relative:page;mso-height-relative:page;" fillcolor="#FFFFFF" filled="t" stroked="t" coordsize="21600,21600" o:gfxdata="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ko7PTVAAAA&#10;BgEAAA8AAAAAAAAAAQAgAAAAIgAAAGRycy9kb3ducmV2LnhtbFBLAQIUABQAAAAIAIdO4kDpGgEh&#10;5wEAAN0DAAAOAAAAAAAAAAEAIAAAACQBAABkcnMvZTJvRG9jLnhtbFBLBQYAAAAABgAGAFkBAAB9&#10;BQAAAAA=&#10;">
                      <v:fill on="t" focussize="0,0"/>
                      <v:stroke color="#000000" joinstyle="miter"/>
                      <v:imagedata o:title=""/>
                      <o:lock v:ext="edit" aspectratio="f"/>
                    </v:rect>
                  </w:pict>
                </mc:Fallback>
              </mc:AlternateContent>
            </w:r>
            <w:r>
              <w:rPr>
                <w:rFonts w:hint="eastAsia" w:asciiTheme="minorEastAsia" w:hAnsiTheme="minorEastAsia" w:eastAsiaTheme="minorEastAsia"/>
                <w:highlight w:val="none"/>
              </w:rPr>
              <w:t>9</w:t>
            </w:r>
            <w:r>
              <w:rPr>
                <w:rFonts w:asciiTheme="minorEastAsia" w:hAnsiTheme="minorEastAsia" w:eastAsiaTheme="minorEastAsia"/>
                <w:highlight w:val="none"/>
              </w:rPr>
              <w:t>%</w:t>
            </w:r>
          </w:p>
          <w:p>
            <w:pPr>
              <w:ind w:firstLine="420" w:firstLineChars="200"/>
              <w:rPr>
                <w:rFonts w:asciiTheme="minorEastAsia" w:hAnsiTheme="minorEastAsia" w:eastAsiaTheme="minorEastAsia"/>
                <w:b/>
                <w:sz w:val="24"/>
                <w:highlight w:val="none"/>
              </w:rPr>
            </w:pPr>
            <w:r>
              <w:rPr>
                <w:rFonts w:asciiTheme="minorEastAsia" w:hAnsiTheme="minorEastAsia" w:eastAsiaTheme="minorEastAsia"/>
                <w:highlight w:val="none"/>
              </w:rPr>
              <mc:AlternateContent>
                <mc:Choice Requires="wps">
                  <w:drawing>
                    <wp:anchor distT="0" distB="0" distL="114300" distR="114300" simplePos="0" relativeHeight="251681792" behindDoc="0" locked="0" layoutInCell="1" allowOverlap="1">
                      <wp:simplePos x="0" y="0"/>
                      <wp:positionH relativeFrom="column">
                        <wp:posOffset>-21590</wp:posOffset>
                      </wp:positionH>
                      <wp:positionV relativeFrom="paragraph">
                        <wp:posOffset>41275</wp:posOffset>
                      </wp:positionV>
                      <wp:extent cx="189865" cy="91440"/>
                      <wp:effectExtent l="4445" t="4445" r="15240" b="18415"/>
                      <wp:wrapNone/>
                      <wp:docPr id="8" name="矩形 36"/>
                      <wp:cNvGraphicFramePr/>
                      <a:graphic xmlns:a="http://schemas.openxmlformats.org/drawingml/2006/main">
                        <a:graphicData uri="http://schemas.microsoft.com/office/word/2010/wordprocessingShape">
                          <wps:wsp>
                            <wps:cNvSpPr/>
                            <wps:spPr>
                              <a:xfrm>
                                <a:off x="0" y="0"/>
                                <a:ext cx="189865" cy="91440"/>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矩形 36" o:spid="_x0000_s1026" o:spt="1" style="position:absolute;left:0pt;margin-left:-1.7pt;margin-top:3.25pt;height:7.2pt;width:14.95pt;z-index:251681792;mso-width-relative:page;mso-height-relative:page;" fillcolor="#FFFFFF" filled="t" stroked="t" coordsize="21600,21600" o:gfxdata="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kusav1AAAAAYB&#10;AAAPAAAAAAAAAAEAIAAAACIAAABkcnMvZG93bnJldi54bWxQSwECFAAUAAAACACHTuJARCKQmOYB&#10;AADdAwAADgAAAAAAAAABACAAAAAjAQAAZHJzL2Uyb0RvYy54bWxQSwUGAAAAAAYABgBZAQAAewUA&#10;AAAA&#10;">
                      <v:fill on="t" focussize="0,0"/>
                      <v:stroke color="#000000" joinstyle="miter"/>
                      <v:imagedata o:title=""/>
                      <o:lock v:ext="edit" aspectratio="f"/>
                    </v:rect>
                  </w:pict>
                </mc:Fallback>
              </mc:AlternateContent>
            </w:r>
            <w:r>
              <w:rPr>
                <w:rFonts w:asciiTheme="minorEastAsia" w:hAnsiTheme="minorEastAsia" w:eastAsiaTheme="minorEastAsia"/>
                <w:highlight w:val="none"/>
              </w:rPr>
              <w:t>6%</w:t>
            </w:r>
          </w:p>
          <w:p>
            <w:pPr>
              <w:ind w:firstLine="420" w:firstLineChars="200"/>
              <w:rPr>
                <w:rFonts w:asciiTheme="minorEastAsia" w:hAnsiTheme="minorEastAsia" w:eastAsiaTheme="minorEastAsia"/>
                <w:szCs w:val="21"/>
                <w:highlight w:val="none"/>
                <w:u w:val="single"/>
              </w:rPr>
            </w:pPr>
            <w:r>
              <w:rPr>
                <w:rFonts w:asciiTheme="minorEastAsia" w:hAnsiTheme="minorEastAsia" w:eastAsiaTheme="minorEastAsia"/>
                <w:highlight w:val="none"/>
              </w:rPr>
              <mc:AlternateContent>
                <mc:Choice Requires="wps">
                  <w:drawing>
                    <wp:anchor distT="0" distB="0" distL="114300" distR="114300" simplePos="0" relativeHeight="251682816" behindDoc="0" locked="0" layoutInCell="1" allowOverlap="1">
                      <wp:simplePos x="0" y="0"/>
                      <wp:positionH relativeFrom="column">
                        <wp:posOffset>-21590</wp:posOffset>
                      </wp:positionH>
                      <wp:positionV relativeFrom="paragraph">
                        <wp:posOffset>87630</wp:posOffset>
                      </wp:positionV>
                      <wp:extent cx="189865" cy="91440"/>
                      <wp:effectExtent l="4445" t="4445" r="15240" b="18415"/>
                      <wp:wrapNone/>
                      <wp:docPr id="9" name="矩形 37"/>
                      <wp:cNvGraphicFramePr/>
                      <a:graphic xmlns:a="http://schemas.openxmlformats.org/drawingml/2006/main">
                        <a:graphicData uri="http://schemas.microsoft.com/office/word/2010/wordprocessingShape">
                          <wps:wsp>
                            <wps:cNvSpPr/>
                            <wps:spPr>
                              <a:xfrm>
                                <a:off x="0" y="0"/>
                                <a:ext cx="189865" cy="91440"/>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矩形 37" o:spid="_x0000_s1026" o:spt="1" style="position:absolute;left:0pt;margin-left:-1.7pt;margin-top:6.9pt;height:7.2pt;width:14.95pt;z-index:251682816;mso-width-relative:page;mso-height-relative:page;" fillcolor="#FFFFFF" filled="t" stroked="t" coordsize="21600,21600" o:gfxdata="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6a021gAA&#10;AAcBAAAPAAAAAAAAAAEAIAAAACIAAABkcnMvZG93bnJldi54bWxQSwECFAAUAAAACACHTuJAF8SX&#10;vucBAADdAwAADgAAAAAAAAABACAAAAAlAQAAZHJzL2Uyb0RvYy54bWxQSwUGAAAAAAYABgBZAQAA&#10;fgUAAAAA&#10;">
                      <v:fill on="t" focussize="0,0"/>
                      <v:stroke color="#000000" joinstyle="miter"/>
                      <v:imagedata o:title=""/>
                      <o:lock v:ext="edit" aspectratio="f"/>
                    </v:rect>
                  </w:pict>
                </mc:Fallback>
              </mc:AlternateContent>
            </w:r>
            <w:r>
              <w:rPr>
                <w:rFonts w:asciiTheme="minorEastAsia" w:hAnsiTheme="minorEastAsia" w:eastAsiaTheme="minorEastAsia"/>
                <w:highlight w:val="none"/>
              </w:rPr>
              <w:t>3%</w:t>
            </w:r>
          </w:p>
        </w:tc>
        <w:tc>
          <w:tcPr>
            <w:tcW w:w="938" w:type="dxa"/>
            <w:vAlign w:val="center"/>
          </w:tcPr>
          <w:p>
            <w:pPr>
              <w:jc w:val="center"/>
              <w:rPr>
                <w:rFonts w:asciiTheme="minorEastAsia" w:hAnsiTheme="minorEastAsia" w:eastAsiaTheme="minorEastAsia"/>
                <w:szCs w:val="21"/>
                <w:highlight w:val="none"/>
                <w:u w:val="single"/>
              </w:rPr>
            </w:pPr>
            <w:r>
              <w:rPr>
                <w:rFonts w:ascii="宋体" w:hAnsi="宋体"/>
                <w:bCs/>
                <w:szCs w:val="21"/>
                <w:highlight w:val="none"/>
                <w:lang w:val="zh-CN"/>
              </w:rPr>
              <w:t>1.65万吨／年</w:t>
            </w:r>
          </w:p>
        </w:tc>
        <w:tc>
          <w:tcPr>
            <w:tcW w:w="925" w:type="dxa"/>
            <w:gridSpan w:val="2"/>
          </w:tcPr>
          <w:p>
            <w:pPr>
              <w:rPr>
                <w:rFonts w:asciiTheme="minorEastAsia" w:hAnsiTheme="minorEastAsia" w:eastAsiaTheme="minorEastAsia"/>
                <w:szCs w:val="21"/>
                <w:highlight w:val="none"/>
                <w:u w:val="single"/>
              </w:rPr>
            </w:pPr>
          </w:p>
        </w:tc>
        <w:tc>
          <w:tcPr>
            <w:tcW w:w="1037" w:type="dxa"/>
            <w:gridSpan w:val="2"/>
          </w:tcPr>
          <w:p>
            <w:pPr>
              <w:rPr>
                <w:rFonts w:asciiTheme="minorEastAsia" w:hAnsiTheme="minorEastAsia" w:eastAsiaTheme="minorEastAsia"/>
                <w:szCs w:val="21"/>
                <w:highlight w:val="none"/>
                <w:u w:val="single"/>
              </w:rPr>
            </w:pPr>
          </w:p>
        </w:tc>
        <w:tc>
          <w:tcPr>
            <w:tcW w:w="1188" w:type="dxa"/>
          </w:tcPr>
          <w:p>
            <w:pPr>
              <w:rPr>
                <w:rFonts w:asciiTheme="minorEastAsia" w:hAnsiTheme="minorEastAsia" w:eastAsiaTheme="minorEastAsia"/>
                <w:szCs w:val="21"/>
                <w:highlight w:val="none"/>
                <w:u w:val="single"/>
              </w:rPr>
            </w:pPr>
          </w:p>
        </w:tc>
        <w:tc>
          <w:tcPr>
            <w:tcW w:w="1100" w:type="dxa"/>
          </w:tcPr>
          <w:p>
            <w:pPr>
              <w:rPr>
                <w:rFonts w:asciiTheme="minorEastAsia" w:hAnsiTheme="minorEastAsia" w:eastAsiaTheme="minorEastAsia"/>
                <w:szCs w:val="21"/>
                <w:highlight w:val="none"/>
                <w:u w:val="single"/>
              </w:rPr>
            </w:pPr>
          </w:p>
        </w:tc>
        <w:tc>
          <w:tcPr>
            <w:tcW w:w="1175" w:type="dxa"/>
            <w:vAlign w:val="center"/>
          </w:tcPr>
          <w:p>
            <w:pPr>
              <w:jc w:val="center"/>
              <w:rPr>
                <w:rFonts w:asciiTheme="minorEastAsia" w:hAnsiTheme="minorEastAsia" w:eastAsiaTheme="minorEastAsia"/>
                <w:szCs w:val="21"/>
                <w:highlight w:val="none"/>
                <w:u w:val="single"/>
              </w:rPr>
            </w:pPr>
            <w:r>
              <w:rPr>
                <w:rFonts w:hint="eastAsia" w:ascii="宋体" w:hAnsi="宋体"/>
                <w:bCs/>
                <w:spacing w:val="-6"/>
                <w:szCs w:val="21"/>
                <w:highlight w:val="none"/>
                <w:lang w:val="zh-CN"/>
              </w:rPr>
              <w:t>转运石膏</w:t>
            </w:r>
            <w:r>
              <w:rPr>
                <w:rFonts w:ascii="宋体" w:hAnsi="宋体"/>
                <w:bCs/>
                <w:spacing w:val="-6"/>
                <w:szCs w:val="21"/>
                <w:highlight w:val="none"/>
                <w:lang w:val="zh-CN"/>
              </w:rPr>
              <w:t>1.1万吨</w:t>
            </w:r>
            <w:r>
              <w:rPr>
                <w:rFonts w:hint="eastAsia" w:ascii="宋体" w:hAnsi="宋体"/>
                <w:bCs/>
                <w:szCs w:val="21"/>
                <w:highlight w:val="none"/>
                <w:lang w:val="zh-CN"/>
              </w:rPr>
              <w:t>／年</w:t>
            </w:r>
            <w:r>
              <w:rPr>
                <w:rFonts w:hint="eastAsia" w:ascii="宋体" w:hAnsi="宋体"/>
                <w:bCs/>
                <w:spacing w:val="-6"/>
                <w:szCs w:val="21"/>
                <w:highlight w:val="none"/>
                <w:lang w:val="zh-CN"/>
              </w:rPr>
              <w:t>、炉渣</w:t>
            </w:r>
            <w:r>
              <w:rPr>
                <w:rFonts w:ascii="宋体" w:hAnsi="宋体"/>
                <w:bCs/>
                <w:spacing w:val="-6"/>
                <w:szCs w:val="21"/>
                <w:highlight w:val="none"/>
                <w:lang w:val="zh-CN"/>
              </w:rPr>
              <w:t>0.55万吨</w:t>
            </w:r>
            <w:r>
              <w:rPr>
                <w:rFonts w:hint="eastAsia" w:ascii="宋体" w:hAnsi="宋体"/>
                <w:bCs/>
                <w:szCs w:val="21"/>
                <w:highlight w:val="none"/>
                <w:lang w:val="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trPr>
        <w:tc>
          <w:tcPr>
            <w:tcW w:w="1113" w:type="dxa"/>
            <w:vAlign w:val="center"/>
          </w:tcPr>
          <w:p>
            <w:pPr>
              <w:autoSpaceDE w:val="0"/>
              <w:autoSpaceDN w:val="0"/>
              <w:adjustRightInd w:val="0"/>
              <w:jc w:val="center"/>
              <w:rPr>
                <w:rFonts w:ascii="宋体" w:hAnsi="宋体"/>
                <w:bCs/>
                <w:szCs w:val="21"/>
                <w:highlight w:val="none"/>
                <w:lang w:val="zh-CN"/>
              </w:rPr>
            </w:pPr>
            <w:r>
              <w:rPr>
                <w:rFonts w:hint="eastAsia" w:ascii="宋体" w:hAnsi="宋体"/>
                <w:bCs/>
                <w:szCs w:val="21"/>
                <w:highlight w:val="none"/>
                <w:lang w:val="zh-CN"/>
              </w:rPr>
              <w:t>业务外委</w:t>
            </w:r>
          </w:p>
          <w:p>
            <w:pPr>
              <w:jc w:val="center"/>
              <w:rPr>
                <w:rFonts w:asciiTheme="minorEastAsia" w:hAnsiTheme="minorEastAsia" w:eastAsiaTheme="minorEastAsia"/>
                <w:szCs w:val="21"/>
                <w:highlight w:val="none"/>
                <w:u w:val="single"/>
              </w:rPr>
            </w:pPr>
            <w:r>
              <w:rPr>
                <w:rFonts w:hint="eastAsia" w:ascii="宋体" w:hAnsi="宋体"/>
                <w:bCs/>
                <w:szCs w:val="21"/>
                <w:highlight w:val="none"/>
                <w:lang w:val="zh-CN"/>
              </w:rPr>
              <w:t>（元</w:t>
            </w:r>
            <w:r>
              <w:rPr>
                <w:rFonts w:ascii="宋体" w:hAnsi="宋体"/>
                <w:bCs/>
                <w:szCs w:val="21"/>
                <w:highlight w:val="none"/>
                <w:lang w:val="zh-CN"/>
              </w:rPr>
              <w:t>/立方）</w:t>
            </w:r>
          </w:p>
        </w:tc>
        <w:tc>
          <w:tcPr>
            <w:tcW w:w="1237" w:type="dxa"/>
            <w:vMerge w:val="continue"/>
          </w:tcPr>
          <w:p>
            <w:pPr>
              <w:rPr>
                <w:rFonts w:asciiTheme="minorEastAsia" w:hAnsiTheme="minorEastAsia" w:eastAsiaTheme="minorEastAsia"/>
                <w:szCs w:val="21"/>
                <w:highlight w:val="none"/>
                <w:u w:val="single"/>
              </w:rPr>
            </w:pPr>
          </w:p>
        </w:tc>
        <w:tc>
          <w:tcPr>
            <w:tcW w:w="1225" w:type="dxa"/>
            <w:vMerge w:val="continue"/>
          </w:tcPr>
          <w:p>
            <w:pPr>
              <w:rPr>
                <w:rFonts w:asciiTheme="minorEastAsia" w:hAnsiTheme="minorEastAsia" w:eastAsiaTheme="minorEastAsia"/>
                <w:szCs w:val="21"/>
                <w:highlight w:val="none"/>
                <w:u w:val="single"/>
              </w:rPr>
            </w:pPr>
          </w:p>
        </w:tc>
        <w:tc>
          <w:tcPr>
            <w:tcW w:w="938" w:type="dxa"/>
            <w:vAlign w:val="center"/>
          </w:tcPr>
          <w:p>
            <w:pPr>
              <w:jc w:val="center"/>
              <w:rPr>
                <w:rFonts w:asciiTheme="minorEastAsia" w:hAnsiTheme="minorEastAsia" w:eastAsiaTheme="minorEastAsia"/>
                <w:szCs w:val="21"/>
                <w:highlight w:val="none"/>
                <w:u w:val="single"/>
              </w:rPr>
            </w:pPr>
            <w:r>
              <w:rPr>
                <w:rFonts w:ascii="宋体" w:hAnsi="宋体"/>
                <w:bCs/>
                <w:szCs w:val="21"/>
                <w:highlight w:val="none"/>
                <w:lang w:val="zh-CN"/>
              </w:rPr>
              <w:t>30万立方／年</w:t>
            </w:r>
          </w:p>
        </w:tc>
        <w:tc>
          <w:tcPr>
            <w:tcW w:w="925" w:type="dxa"/>
            <w:gridSpan w:val="2"/>
          </w:tcPr>
          <w:p>
            <w:pPr>
              <w:rPr>
                <w:rFonts w:asciiTheme="minorEastAsia" w:hAnsiTheme="minorEastAsia" w:eastAsiaTheme="minorEastAsia"/>
                <w:szCs w:val="21"/>
                <w:highlight w:val="none"/>
                <w:u w:val="single"/>
              </w:rPr>
            </w:pPr>
          </w:p>
        </w:tc>
        <w:tc>
          <w:tcPr>
            <w:tcW w:w="1037" w:type="dxa"/>
            <w:gridSpan w:val="2"/>
          </w:tcPr>
          <w:p>
            <w:pPr>
              <w:rPr>
                <w:rFonts w:asciiTheme="minorEastAsia" w:hAnsiTheme="minorEastAsia" w:eastAsiaTheme="minorEastAsia"/>
                <w:szCs w:val="21"/>
                <w:highlight w:val="none"/>
                <w:u w:val="single"/>
              </w:rPr>
            </w:pPr>
          </w:p>
        </w:tc>
        <w:tc>
          <w:tcPr>
            <w:tcW w:w="1188" w:type="dxa"/>
          </w:tcPr>
          <w:p>
            <w:pPr>
              <w:rPr>
                <w:rFonts w:asciiTheme="minorEastAsia" w:hAnsiTheme="minorEastAsia" w:eastAsiaTheme="minorEastAsia"/>
                <w:szCs w:val="21"/>
                <w:highlight w:val="none"/>
                <w:u w:val="single"/>
              </w:rPr>
            </w:pPr>
          </w:p>
        </w:tc>
        <w:tc>
          <w:tcPr>
            <w:tcW w:w="1100" w:type="dxa"/>
          </w:tcPr>
          <w:p>
            <w:pPr>
              <w:rPr>
                <w:rFonts w:asciiTheme="minorEastAsia" w:hAnsiTheme="minorEastAsia" w:eastAsiaTheme="minorEastAsia"/>
                <w:szCs w:val="21"/>
                <w:highlight w:val="none"/>
                <w:u w:val="single"/>
              </w:rPr>
            </w:pPr>
          </w:p>
        </w:tc>
        <w:tc>
          <w:tcPr>
            <w:tcW w:w="1175" w:type="dxa"/>
            <w:vAlign w:val="center"/>
          </w:tcPr>
          <w:p>
            <w:pPr>
              <w:jc w:val="center"/>
              <w:rPr>
                <w:rFonts w:asciiTheme="minorEastAsia" w:hAnsiTheme="minorEastAsia" w:eastAsiaTheme="minorEastAsia"/>
                <w:szCs w:val="21"/>
                <w:highlight w:val="none"/>
                <w:u w:val="single"/>
              </w:rPr>
            </w:pPr>
            <w:r>
              <w:rPr>
                <w:rFonts w:hint="eastAsia" w:ascii="宋体" w:hAnsi="宋体"/>
                <w:bCs/>
                <w:spacing w:val="-6"/>
                <w:szCs w:val="21"/>
                <w:highlight w:val="none"/>
                <w:lang w:val="zh-CN"/>
              </w:rPr>
              <w:t>年产量</w:t>
            </w:r>
            <w:r>
              <w:rPr>
                <w:rFonts w:ascii="宋体" w:hAnsi="宋体"/>
                <w:bCs/>
                <w:spacing w:val="-6"/>
                <w:szCs w:val="21"/>
                <w:highlight w:val="none"/>
                <w:lang w:val="zh-CN"/>
              </w:rPr>
              <w:t>30万立方加气砌块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3" w:type="dxa"/>
            <w:vAlign w:val="center"/>
          </w:tcPr>
          <w:p>
            <w:pPr>
              <w:jc w:val="center"/>
              <w:rPr>
                <w:rFonts w:asciiTheme="minorEastAsia" w:hAnsiTheme="minorEastAsia" w:eastAsiaTheme="minorEastAsia"/>
                <w:szCs w:val="21"/>
                <w:highlight w:val="none"/>
                <w:u w:val="single"/>
              </w:rPr>
            </w:pPr>
            <w:r>
              <w:rPr>
                <w:rFonts w:hint="eastAsia" w:ascii="宋体" w:hAnsi="宋体"/>
                <w:bCs/>
                <w:szCs w:val="21"/>
                <w:highlight w:val="none"/>
                <w:lang w:val="zh-CN"/>
              </w:rPr>
              <w:t>不含税总</w:t>
            </w:r>
            <w:r>
              <w:rPr>
                <w:rFonts w:ascii="宋体" w:hAnsi="宋体"/>
                <w:bCs/>
                <w:szCs w:val="21"/>
                <w:highlight w:val="none"/>
                <w:lang w:val="zh-CN"/>
              </w:rPr>
              <w:t>价</w:t>
            </w:r>
            <w:r>
              <w:rPr>
                <w:rFonts w:hint="eastAsia" w:ascii="宋体" w:hAnsi="宋体"/>
                <w:bCs/>
                <w:szCs w:val="21"/>
                <w:highlight w:val="none"/>
                <w:lang w:val="zh-CN"/>
              </w:rPr>
              <w:t>：（万元）</w:t>
            </w:r>
          </w:p>
        </w:tc>
        <w:tc>
          <w:tcPr>
            <w:tcW w:w="4062" w:type="dxa"/>
            <w:gridSpan w:val="4"/>
          </w:tcPr>
          <w:p>
            <w:pPr>
              <w:rPr>
                <w:rFonts w:asciiTheme="minorEastAsia" w:hAnsiTheme="minorEastAsia" w:eastAsiaTheme="minorEastAsia"/>
                <w:szCs w:val="21"/>
                <w:highlight w:val="none"/>
                <w:u w:val="single"/>
              </w:rPr>
            </w:pPr>
          </w:p>
        </w:tc>
        <w:tc>
          <w:tcPr>
            <w:tcW w:w="1175" w:type="dxa"/>
            <w:gridSpan w:val="2"/>
          </w:tcPr>
          <w:p>
            <w:pPr>
              <w:rPr>
                <w:rFonts w:asciiTheme="minorEastAsia" w:hAnsiTheme="minorEastAsia" w:eastAsiaTheme="minorEastAsia"/>
                <w:szCs w:val="21"/>
                <w:highlight w:val="none"/>
                <w:u w:val="single"/>
              </w:rPr>
            </w:pPr>
            <w:r>
              <w:rPr>
                <w:rFonts w:hint="eastAsia" w:ascii="宋体" w:hAnsi="宋体"/>
                <w:bCs/>
                <w:szCs w:val="21"/>
                <w:highlight w:val="none"/>
                <w:lang w:val="zh-CN"/>
              </w:rPr>
              <w:t>含税总</w:t>
            </w:r>
            <w:r>
              <w:rPr>
                <w:rFonts w:ascii="宋体" w:hAnsi="宋体"/>
                <w:bCs/>
                <w:szCs w:val="21"/>
                <w:highlight w:val="none"/>
                <w:lang w:val="zh-CN"/>
              </w:rPr>
              <w:t>价</w:t>
            </w:r>
            <w:r>
              <w:rPr>
                <w:rFonts w:hint="eastAsia" w:ascii="宋体" w:hAnsi="宋体"/>
                <w:bCs/>
                <w:szCs w:val="21"/>
                <w:highlight w:val="none"/>
                <w:lang w:val="zh-CN"/>
              </w:rPr>
              <w:t>：（万元）</w:t>
            </w:r>
          </w:p>
        </w:tc>
        <w:tc>
          <w:tcPr>
            <w:tcW w:w="3588" w:type="dxa"/>
            <w:gridSpan w:val="4"/>
          </w:tcPr>
          <w:p>
            <w:pPr>
              <w:rPr>
                <w:rFonts w:asciiTheme="minorEastAsia" w:hAnsiTheme="minorEastAsia" w:eastAsiaTheme="minorEastAsia"/>
                <w:szCs w:val="21"/>
                <w:highlight w:val="none"/>
                <w:u w:val="single"/>
              </w:rPr>
            </w:pPr>
          </w:p>
        </w:tc>
      </w:tr>
    </w:tbl>
    <w:p>
      <w:pPr>
        <w:spacing w:line="500" w:lineRule="exact"/>
        <w:rPr>
          <w:rFonts w:asciiTheme="minorEastAsia" w:hAnsiTheme="minorEastAsia" w:eastAsiaTheme="minorEastAsia"/>
          <w:szCs w:val="21"/>
          <w:highlight w:val="none"/>
          <w:u w:val="single"/>
        </w:rPr>
      </w:pPr>
    </w:p>
    <w:p>
      <w:pPr>
        <w:pStyle w:val="235"/>
        <w:tabs>
          <w:tab w:val="left" w:pos="709"/>
        </w:tabs>
        <w:autoSpaceDE w:val="0"/>
        <w:autoSpaceDN w:val="0"/>
        <w:adjustRightInd w:val="0"/>
        <w:spacing w:line="360" w:lineRule="auto"/>
        <w:ind w:firstLine="0" w:firstLineChars="0"/>
        <w:rPr>
          <w:rFonts w:asciiTheme="minorEastAsia" w:hAnsiTheme="minorEastAsia" w:eastAsiaTheme="minorEastAsia"/>
          <w:spacing w:val="-4"/>
          <w:highlight w:val="none"/>
          <w:lang w:val="zh-CN"/>
        </w:rPr>
      </w:pPr>
      <w:r>
        <w:rPr>
          <w:rFonts w:hint="eastAsia" w:asciiTheme="minorEastAsia" w:hAnsiTheme="minorEastAsia" w:eastAsiaTheme="minorEastAsia"/>
          <w:spacing w:val="-4"/>
          <w:highlight w:val="none"/>
          <w:lang w:val="zh-CN"/>
        </w:rPr>
        <w:t>说明：</w:t>
      </w:r>
      <w:r>
        <w:rPr>
          <w:rFonts w:asciiTheme="minorEastAsia" w:hAnsiTheme="minorEastAsia" w:eastAsiaTheme="minorEastAsia"/>
          <w:highlight w:val="none"/>
        </w:rPr>
        <w:t>1、开具发票类型：增值税普通发票、增值税专用发票或其它发票；</w:t>
      </w:r>
    </w:p>
    <w:p>
      <w:pPr>
        <w:pStyle w:val="235"/>
        <w:tabs>
          <w:tab w:val="left" w:pos="709"/>
        </w:tabs>
        <w:autoSpaceDE w:val="0"/>
        <w:autoSpaceDN w:val="0"/>
        <w:adjustRightInd w:val="0"/>
        <w:spacing w:line="360" w:lineRule="auto"/>
        <w:ind w:firstLine="630" w:firstLineChars="300"/>
        <w:rPr>
          <w:rFonts w:asciiTheme="minorEastAsia" w:hAnsiTheme="minorEastAsia" w:eastAsiaTheme="minorEastAsia"/>
          <w:highlight w:val="none"/>
        </w:rPr>
      </w:pPr>
      <w:r>
        <w:rPr>
          <w:rFonts w:asciiTheme="minorEastAsia" w:hAnsiTheme="minorEastAsia" w:eastAsiaTheme="minorEastAsia"/>
          <w:highlight w:val="none"/>
        </w:rPr>
        <w:t>2、税率：开具增值税专用发票的单位填报，现行增值税率有1</w:t>
      </w:r>
      <w:r>
        <w:rPr>
          <w:rFonts w:hint="eastAsia" w:asciiTheme="minorEastAsia" w:hAnsiTheme="minorEastAsia" w:eastAsiaTheme="minorEastAsia"/>
          <w:highlight w:val="none"/>
        </w:rPr>
        <w:t>3</w:t>
      </w:r>
      <w:r>
        <w:rPr>
          <w:rFonts w:asciiTheme="minorEastAsia" w:hAnsiTheme="minorEastAsia" w:eastAsiaTheme="minorEastAsia"/>
          <w:highlight w:val="none"/>
        </w:rPr>
        <w:t>%、</w:t>
      </w:r>
      <w:r>
        <w:rPr>
          <w:rFonts w:hint="eastAsia" w:asciiTheme="minorEastAsia" w:hAnsiTheme="minorEastAsia" w:eastAsiaTheme="minorEastAsia"/>
          <w:highlight w:val="none"/>
        </w:rPr>
        <w:t>9</w:t>
      </w:r>
      <w:r>
        <w:rPr>
          <w:rFonts w:asciiTheme="minorEastAsia" w:hAnsiTheme="minorEastAsia" w:eastAsiaTheme="minorEastAsia"/>
          <w:highlight w:val="none"/>
        </w:rPr>
        <w:t>%、6%及3%。</w:t>
      </w:r>
    </w:p>
    <w:p>
      <w:pPr>
        <w:pStyle w:val="235"/>
        <w:tabs>
          <w:tab w:val="left" w:pos="709"/>
        </w:tabs>
        <w:autoSpaceDE w:val="0"/>
        <w:autoSpaceDN w:val="0"/>
        <w:adjustRightInd w:val="0"/>
        <w:spacing w:line="360" w:lineRule="auto"/>
        <w:ind w:firstLine="630" w:firstLineChars="300"/>
        <w:rPr>
          <w:rFonts w:asciiTheme="minorEastAsia" w:hAnsiTheme="minorEastAsia" w:eastAsiaTheme="minorEastAsia"/>
          <w:highlight w:val="none"/>
        </w:rPr>
      </w:pPr>
      <w:r>
        <w:rPr>
          <w:rFonts w:asciiTheme="minorEastAsia" w:hAnsiTheme="minorEastAsia" w:eastAsiaTheme="minorEastAsia"/>
          <w:highlight w:val="none"/>
        </w:rPr>
        <w:t>3、报价：按项目实际要求，报单价、单项总价及总价。</w:t>
      </w:r>
    </w:p>
    <w:p>
      <w:pPr>
        <w:pStyle w:val="235"/>
        <w:tabs>
          <w:tab w:val="left" w:pos="709"/>
        </w:tabs>
        <w:autoSpaceDE w:val="0"/>
        <w:autoSpaceDN w:val="0"/>
        <w:adjustRightInd w:val="0"/>
        <w:spacing w:line="360" w:lineRule="auto"/>
        <w:ind w:firstLine="606" w:firstLineChars="300"/>
        <w:rPr>
          <w:rFonts w:ascii="宋体" w:hAnsi="宋体"/>
          <w:bCs/>
          <w:highlight w:val="none"/>
          <w:lang w:val="zh-CN"/>
        </w:rPr>
      </w:pPr>
      <w:r>
        <w:rPr>
          <w:rFonts w:asciiTheme="minorEastAsia" w:hAnsiTheme="minorEastAsia" w:eastAsiaTheme="minorEastAsia"/>
          <w:spacing w:val="-4"/>
          <w:highlight w:val="none"/>
          <w:lang w:val="zh-CN"/>
        </w:rPr>
        <w:t>4、</w:t>
      </w:r>
      <w:r>
        <w:rPr>
          <w:rFonts w:hint="eastAsia" w:asciiTheme="minorEastAsia" w:hAnsiTheme="minorEastAsia" w:eastAsiaTheme="minorEastAsia"/>
          <w:bCs/>
          <w:highlight w:val="none"/>
          <w:lang w:val="zh-CN"/>
        </w:rPr>
        <w:t>总</w:t>
      </w:r>
      <w:r>
        <w:rPr>
          <w:rFonts w:asciiTheme="minorEastAsia" w:hAnsiTheme="minorEastAsia" w:eastAsiaTheme="minorEastAsia"/>
          <w:bCs/>
          <w:highlight w:val="none"/>
          <w:lang w:val="zh-CN"/>
        </w:rPr>
        <w:t>价=</w:t>
      </w:r>
      <w:r>
        <w:rPr>
          <w:rFonts w:hint="eastAsia" w:ascii="宋体" w:hAnsi="宋体"/>
          <w:bCs/>
          <w:highlight w:val="none"/>
          <w:lang w:val="zh-CN"/>
        </w:rPr>
        <w:t>物料转运和业务外委</w:t>
      </w:r>
      <w:r>
        <w:rPr>
          <w:rFonts w:asciiTheme="minorEastAsia" w:hAnsiTheme="minorEastAsia" w:eastAsiaTheme="minorEastAsia"/>
          <w:bCs/>
          <w:highlight w:val="none"/>
          <w:lang w:val="zh-CN"/>
        </w:rPr>
        <w:t>单项总价之和。</w:t>
      </w:r>
    </w:p>
    <w:p>
      <w:pPr>
        <w:pStyle w:val="235"/>
        <w:tabs>
          <w:tab w:val="left" w:pos="709"/>
        </w:tabs>
        <w:autoSpaceDE w:val="0"/>
        <w:autoSpaceDN w:val="0"/>
        <w:adjustRightInd w:val="0"/>
        <w:spacing w:line="360" w:lineRule="auto"/>
        <w:rPr>
          <w:rFonts w:asciiTheme="minorEastAsia" w:hAnsiTheme="minorEastAsia" w:eastAsiaTheme="minorEastAsia"/>
          <w:bCs/>
          <w:highlight w:val="none"/>
        </w:rPr>
      </w:pPr>
      <w:r>
        <w:rPr>
          <w:rFonts w:hint="eastAsia" w:asciiTheme="minorEastAsia" w:hAnsiTheme="minorEastAsia" w:eastAsiaTheme="minorEastAsia"/>
          <w:bCs/>
          <w:highlight w:val="none"/>
        </w:rPr>
        <w:t xml:space="preserve">  5、如出现投标人的开票类型或者可开增值税发票税率不一致时，按投标人的不含税报价进行评审。</w:t>
      </w:r>
    </w:p>
    <w:p>
      <w:pPr>
        <w:pStyle w:val="235"/>
        <w:tabs>
          <w:tab w:val="left" w:pos="709"/>
        </w:tabs>
        <w:autoSpaceDE w:val="0"/>
        <w:autoSpaceDN w:val="0"/>
        <w:adjustRightInd w:val="0"/>
        <w:spacing w:line="360" w:lineRule="auto"/>
        <w:ind w:firstLine="630" w:firstLineChars="300"/>
        <w:rPr>
          <w:rFonts w:cs="宋体"/>
          <w:color w:val="000000"/>
          <w:highlight w:val="none"/>
          <w:shd w:val="clear" w:color="auto" w:fill="FFFFFF"/>
        </w:rPr>
      </w:pPr>
      <w:r>
        <w:rPr>
          <w:rFonts w:hint="eastAsia" w:asciiTheme="minorEastAsia" w:hAnsiTheme="minorEastAsia" w:eastAsiaTheme="minorEastAsia"/>
          <w:bCs/>
          <w:highlight w:val="none"/>
        </w:rPr>
        <w:t>6、</w:t>
      </w:r>
      <w:r>
        <w:rPr>
          <w:rFonts w:cs="宋体"/>
          <w:color w:val="000000"/>
          <w:highlight w:val="none"/>
          <w:shd w:val="clear" w:color="auto" w:fill="FFFFFF"/>
        </w:rPr>
        <w:t>如因国家税收政策调整或其他任何原因，承包人实际开具增值税专用发票税率与上述税率不一致的，应按不含税价格不变的原则调整本合同价格</w:t>
      </w:r>
      <w:r>
        <w:rPr>
          <w:rFonts w:hint="eastAsia" w:cs="宋体"/>
          <w:color w:val="000000"/>
          <w:highlight w:val="none"/>
          <w:shd w:val="clear" w:color="auto" w:fill="FFFFFF"/>
        </w:rPr>
        <w:t>。</w:t>
      </w:r>
    </w:p>
    <w:p>
      <w:pPr>
        <w:pStyle w:val="235"/>
        <w:tabs>
          <w:tab w:val="left" w:pos="709"/>
        </w:tabs>
        <w:autoSpaceDE w:val="0"/>
        <w:autoSpaceDN w:val="0"/>
        <w:adjustRightInd w:val="0"/>
        <w:spacing w:line="360" w:lineRule="auto"/>
        <w:ind w:firstLine="630" w:firstLineChars="300"/>
        <w:rPr>
          <w:rFonts w:cs="宋体"/>
          <w:color w:val="000000"/>
          <w:highlight w:val="none"/>
          <w:shd w:val="clear" w:color="auto" w:fill="FFFFFF"/>
        </w:rPr>
      </w:pPr>
      <w:r>
        <w:rPr>
          <w:rFonts w:hint="eastAsia" w:cs="宋体"/>
          <w:color w:val="000000"/>
          <w:highlight w:val="none"/>
          <w:shd w:val="clear" w:color="auto" w:fill="FFFFFF"/>
        </w:rPr>
        <w:t>7、以上报价保留2位小数。</w:t>
      </w:r>
    </w:p>
    <w:p>
      <w:pPr>
        <w:pStyle w:val="235"/>
        <w:tabs>
          <w:tab w:val="left" w:pos="709"/>
        </w:tabs>
        <w:autoSpaceDE w:val="0"/>
        <w:autoSpaceDN w:val="0"/>
        <w:adjustRightInd w:val="0"/>
        <w:spacing w:line="360" w:lineRule="auto"/>
        <w:ind w:firstLine="606" w:firstLineChars="300"/>
        <w:rPr>
          <w:rFonts w:asciiTheme="minorEastAsia" w:hAnsiTheme="minorEastAsia" w:eastAsiaTheme="minorEastAsia"/>
          <w:spacing w:val="-4"/>
          <w:highlight w:val="none"/>
          <w:lang w:val="zh-CN"/>
        </w:rPr>
      </w:pPr>
      <w:r>
        <w:rPr>
          <w:rFonts w:hint="eastAsia" w:asciiTheme="minorEastAsia" w:hAnsiTheme="minorEastAsia" w:eastAsiaTheme="minorEastAsia"/>
          <w:spacing w:val="-4"/>
          <w:highlight w:val="none"/>
        </w:rPr>
        <w:t>7</w:t>
      </w:r>
      <w:r>
        <w:rPr>
          <w:rFonts w:asciiTheme="minorEastAsia" w:hAnsiTheme="minorEastAsia" w:eastAsiaTheme="minorEastAsia"/>
          <w:spacing w:val="-4"/>
          <w:highlight w:val="none"/>
          <w:lang w:val="zh-CN"/>
        </w:rPr>
        <w:t>、物料转运为由电厂脱硫石膏库、炉渣仓内脱硫石膏、炉渣通过装载车辆转运到发包方厂区指定的石膏库和炉渣堆场中。</w:t>
      </w:r>
    </w:p>
    <w:p>
      <w:pPr>
        <w:pStyle w:val="235"/>
        <w:tabs>
          <w:tab w:val="left" w:pos="851"/>
        </w:tabs>
        <w:autoSpaceDE w:val="0"/>
        <w:autoSpaceDN w:val="0"/>
        <w:adjustRightInd w:val="0"/>
        <w:spacing w:line="348" w:lineRule="auto"/>
        <w:ind w:firstLine="606" w:firstLineChars="300"/>
        <w:rPr>
          <w:rFonts w:asciiTheme="minorEastAsia" w:hAnsiTheme="minorEastAsia" w:eastAsiaTheme="minorEastAsia"/>
          <w:spacing w:val="-4"/>
          <w:highlight w:val="none"/>
          <w:lang w:val="zh-CN"/>
        </w:rPr>
      </w:pPr>
      <w:r>
        <w:rPr>
          <w:rFonts w:hint="eastAsia" w:asciiTheme="minorEastAsia" w:hAnsiTheme="minorEastAsia" w:eastAsiaTheme="minorEastAsia"/>
          <w:spacing w:val="-4"/>
          <w:highlight w:val="none"/>
        </w:rPr>
        <w:t>8</w:t>
      </w:r>
      <w:r>
        <w:rPr>
          <w:rFonts w:asciiTheme="minorEastAsia" w:hAnsiTheme="minorEastAsia" w:eastAsiaTheme="minorEastAsia"/>
          <w:spacing w:val="-4"/>
          <w:highlight w:val="none"/>
          <w:lang w:val="zh-CN"/>
        </w:rPr>
        <w:t>、业务外</w:t>
      </w:r>
      <w:r>
        <w:rPr>
          <w:rFonts w:hint="eastAsia" w:asciiTheme="minorEastAsia" w:hAnsiTheme="minorEastAsia" w:eastAsiaTheme="minorEastAsia"/>
          <w:spacing w:val="-4"/>
          <w:highlight w:val="none"/>
          <w:lang w:val="zh-CN"/>
        </w:rPr>
        <w:t>委为除物料转运外其他加气砌块生产辅助业务外包的所有项目。</w:t>
      </w:r>
    </w:p>
    <w:p>
      <w:pPr>
        <w:pStyle w:val="235"/>
        <w:tabs>
          <w:tab w:val="left" w:pos="851"/>
        </w:tabs>
        <w:autoSpaceDE w:val="0"/>
        <w:autoSpaceDN w:val="0"/>
        <w:adjustRightInd w:val="0"/>
        <w:spacing w:line="348" w:lineRule="auto"/>
        <w:ind w:firstLine="606" w:firstLineChars="300"/>
        <w:rPr>
          <w:rFonts w:asciiTheme="minorEastAsia" w:hAnsiTheme="minorEastAsia" w:eastAsiaTheme="minorEastAsia"/>
          <w:spacing w:val="-4"/>
          <w:highlight w:val="none"/>
          <w:lang w:val="zh-CN"/>
        </w:rPr>
      </w:pPr>
      <w:r>
        <w:rPr>
          <w:rFonts w:hint="eastAsia" w:asciiTheme="minorEastAsia" w:hAnsiTheme="minorEastAsia" w:eastAsiaTheme="minorEastAsia"/>
          <w:spacing w:val="-4"/>
          <w:highlight w:val="none"/>
        </w:rPr>
        <w:t>9</w:t>
      </w:r>
      <w:r>
        <w:rPr>
          <w:rFonts w:asciiTheme="minorEastAsia" w:hAnsiTheme="minorEastAsia" w:eastAsiaTheme="minorEastAsia"/>
          <w:spacing w:val="-4"/>
          <w:highlight w:val="none"/>
          <w:lang w:val="zh-CN"/>
        </w:rPr>
        <w:t>、</w:t>
      </w:r>
      <w:r>
        <w:rPr>
          <w:rFonts w:hint="eastAsia" w:asciiTheme="minorEastAsia" w:hAnsiTheme="minorEastAsia" w:eastAsiaTheme="minorEastAsia"/>
          <w:highlight w:val="none"/>
        </w:rPr>
        <w:t>采购人</w:t>
      </w:r>
      <w:r>
        <w:rPr>
          <w:rFonts w:asciiTheme="minorEastAsia" w:hAnsiTheme="minorEastAsia" w:eastAsiaTheme="minorEastAsia"/>
          <w:highlight w:val="none"/>
        </w:rPr>
        <w:t>提供的项目业务估量仅供</w:t>
      </w:r>
      <w:r>
        <w:rPr>
          <w:rFonts w:hint="eastAsia" w:asciiTheme="minorEastAsia" w:hAnsiTheme="minorEastAsia" w:eastAsiaTheme="minorEastAsia"/>
          <w:highlight w:val="none"/>
        </w:rPr>
        <w:t>投标人</w:t>
      </w:r>
      <w:r>
        <w:rPr>
          <w:rFonts w:asciiTheme="minorEastAsia" w:hAnsiTheme="minorEastAsia" w:eastAsiaTheme="minorEastAsia"/>
          <w:highlight w:val="none"/>
        </w:rPr>
        <w:t>报价参考</w:t>
      </w:r>
      <w:r>
        <w:rPr>
          <w:rFonts w:hint="eastAsia" w:asciiTheme="minorEastAsia" w:hAnsiTheme="minorEastAsia" w:eastAsiaTheme="minorEastAsia"/>
          <w:highlight w:val="none"/>
        </w:rPr>
        <w:t>，</w:t>
      </w:r>
      <w:r>
        <w:rPr>
          <w:rFonts w:asciiTheme="minorEastAsia" w:hAnsiTheme="minorEastAsia" w:eastAsiaTheme="minorEastAsia"/>
          <w:highlight w:val="none"/>
        </w:rPr>
        <w:t>不作为合同结算依据</w:t>
      </w:r>
      <w:r>
        <w:rPr>
          <w:rFonts w:hint="eastAsia" w:asciiTheme="minorEastAsia" w:hAnsiTheme="minorEastAsia" w:eastAsiaTheme="minorEastAsia"/>
          <w:highlight w:val="none"/>
        </w:rPr>
        <w:t>，最终以合同单价及实际发生的业务量结算。</w:t>
      </w:r>
    </w:p>
    <w:p>
      <w:pPr>
        <w:pStyle w:val="235"/>
        <w:tabs>
          <w:tab w:val="left" w:pos="851"/>
        </w:tabs>
        <w:autoSpaceDE w:val="0"/>
        <w:autoSpaceDN w:val="0"/>
        <w:adjustRightInd w:val="0"/>
        <w:spacing w:line="348" w:lineRule="auto"/>
        <w:ind w:firstLine="606" w:firstLineChars="300"/>
        <w:rPr>
          <w:rFonts w:asciiTheme="minorEastAsia" w:hAnsiTheme="minorEastAsia" w:eastAsiaTheme="minorEastAsia"/>
          <w:spacing w:val="-4"/>
          <w:highlight w:val="none"/>
          <w:lang w:val="zh-CN"/>
        </w:rPr>
      </w:pPr>
      <w:r>
        <w:rPr>
          <w:rFonts w:hint="eastAsia" w:asciiTheme="minorEastAsia" w:hAnsiTheme="minorEastAsia" w:eastAsiaTheme="minorEastAsia"/>
          <w:spacing w:val="-4"/>
          <w:highlight w:val="none"/>
        </w:rPr>
        <w:t>10</w:t>
      </w:r>
      <w:r>
        <w:rPr>
          <w:rFonts w:asciiTheme="minorEastAsia" w:hAnsiTheme="minorEastAsia" w:eastAsiaTheme="minorEastAsia"/>
          <w:spacing w:val="-4"/>
          <w:highlight w:val="none"/>
          <w:lang w:val="zh-CN"/>
        </w:rPr>
        <w:t>、以上价格包含加气砌块生产辅助业务外</w:t>
      </w:r>
      <w:r>
        <w:rPr>
          <w:rFonts w:hint="eastAsia" w:asciiTheme="minorEastAsia" w:hAnsiTheme="minorEastAsia" w:eastAsiaTheme="minorEastAsia"/>
          <w:spacing w:val="-4"/>
          <w:highlight w:val="none"/>
          <w:lang w:val="zh-CN"/>
        </w:rPr>
        <w:t>委项目执行过程中所产生的可预见费用和不可预见费用</w:t>
      </w:r>
      <w:r>
        <w:rPr>
          <w:rFonts w:hint="eastAsia" w:asciiTheme="minorEastAsia" w:hAnsiTheme="minorEastAsia" w:eastAsiaTheme="minorEastAsia"/>
          <w:spacing w:val="-4"/>
          <w:highlight w:val="none"/>
        </w:rPr>
        <w:t>。</w:t>
      </w:r>
    </w:p>
    <w:p>
      <w:pPr>
        <w:pStyle w:val="22"/>
        <w:ind w:firstLine="210" w:firstLineChars="100"/>
        <w:rPr>
          <w:rFonts w:asciiTheme="minorEastAsia" w:hAnsiTheme="minorEastAsia" w:eastAsiaTheme="minorEastAsia"/>
          <w:szCs w:val="21"/>
          <w:highlight w:val="none"/>
        </w:rPr>
      </w:pPr>
    </w:p>
    <w:p>
      <w:pPr>
        <w:pStyle w:val="22"/>
        <w:ind w:firstLine="210" w:firstLineChars="100"/>
        <w:rPr>
          <w:rFonts w:asciiTheme="minorEastAsia" w:hAnsiTheme="minorEastAsia" w:eastAsiaTheme="minorEastAsia"/>
          <w:szCs w:val="21"/>
          <w:highlight w:val="none"/>
        </w:rPr>
      </w:pPr>
    </w:p>
    <w:p>
      <w:pPr>
        <w:pStyle w:val="22"/>
        <w:ind w:firstLine="210" w:firstLineChars="100"/>
        <w:rPr>
          <w:rFonts w:asciiTheme="minorEastAsia" w:hAnsiTheme="minorEastAsia" w:eastAsiaTheme="minorEastAsia"/>
          <w:szCs w:val="21"/>
          <w:highlight w:val="none"/>
        </w:rPr>
      </w:pPr>
    </w:p>
    <w:p>
      <w:pPr>
        <w:pStyle w:val="22"/>
        <w:ind w:firstLine="210" w:firstLineChars="1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投标人认为有必要说明的事项：</w:t>
      </w:r>
    </w:p>
    <w:p>
      <w:pPr>
        <w:pStyle w:val="22"/>
        <w:spacing w:line="360" w:lineRule="atLeast"/>
        <w:rPr>
          <w:rFonts w:asciiTheme="minorEastAsia" w:hAnsiTheme="minorEastAsia" w:eastAsiaTheme="minorEastAsia"/>
          <w:szCs w:val="21"/>
          <w:highlight w:val="none"/>
        </w:rPr>
      </w:pPr>
    </w:p>
    <w:p>
      <w:pPr>
        <w:autoSpaceDE w:val="0"/>
        <w:autoSpaceDN w:val="0"/>
        <w:adjustRightInd w:val="0"/>
        <w:spacing w:line="480" w:lineRule="auto"/>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 xml:space="preserve">  投标人名称：（盖章）</w:t>
      </w:r>
    </w:p>
    <w:p>
      <w:pPr>
        <w:autoSpaceDE w:val="0"/>
        <w:autoSpaceDN w:val="0"/>
        <w:adjustRightInd w:val="0"/>
        <w:spacing w:line="480" w:lineRule="auto"/>
        <w:ind w:firstLine="210" w:firstLineChars="1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投标人法人代表（或其委托代理人）：（签字或盖章）</w:t>
      </w:r>
    </w:p>
    <w:p>
      <w:pPr>
        <w:pStyle w:val="22"/>
        <w:spacing w:line="360" w:lineRule="atLeast"/>
        <w:ind w:left="6521" w:firstLine="210" w:firstLineChars="100"/>
        <w:rPr>
          <w:rFonts w:asciiTheme="minorEastAsia" w:hAnsiTheme="minorEastAsia" w:eastAsiaTheme="minorEastAsia"/>
          <w:szCs w:val="21"/>
          <w:highlight w:val="none"/>
          <w:u w:val="single"/>
        </w:rPr>
      </w:pPr>
      <w:r>
        <w:rPr>
          <w:rFonts w:hint="eastAsia" w:asciiTheme="minorEastAsia" w:hAnsiTheme="minorEastAsia" w:eastAsiaTheme="minorEastAsia"/>
          <w:szCs w:val="21"/>
          <w:highlight w:val="none"/>
        </w:rPr>
        <w:t>日期：</w:t>
      </w:r>
      <w:r>
        <w:rPr>
          <w:rFonts w:asciiTheme="minorEastAsia" w:hAnsiTheme="minorEastAsia" w:eastAsiaTheme="minorEastAsia"/>
          <w:szCs w:val="21"/>
          <w:highlight w:val="none"/>
        </w:rPr>
        <w:t>201</w:t>
      </w:r>
      <w:r>
        <w:rPr>
          <w:rFonts w:hint="eastAsia" w:asciiTheme="minorEastAsia" w:hAnsiTheme="minorEastAsia" w:eastAsiaTheme="minorEastAsia"/>
          <w:szCs w:val="21"/>
          <w:highlight w:val="none"/>
        </w:rPr>
        <w:t>9年月日</w:t>
      </w:r>
    </w:p>
    <w:sectPr>
      <w:pgSz w:w="11906" w:h="16838"/>
      <w:pgMar w:top="1797" w:right="1440" w:bottom="1797" w:left="1440" w:header="794" w:footer="794"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幼圆">
    <w:altName w:val="宋体"/>
    <w:panose1 w:val="0201050906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Calisto MT">
    <w:altName w:val="Segoe Print"/>
    <w:panose1 w:val="02040603050505030304"/>
    <w:charset w:val="00"/>
    <w:family w:val="roma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left="1260" w:hanging="1260"/>
      <w:jc w:val="center"/>
    </w:pPr>
    <w:r>
      <w:fldChar w:fldCharType="begin"/>
    </w:r>
    <w:r>
      <w:instrText xml:space="preserve"> PAGE   \* MERGEFORMAT </w:instrText>
    </w:r>
    <w:r>
      <w:fldChar w:fldCharType="separate"/>
    </w:r>
    <w:r>
      <w:rPr>
        <w:lang w:val="zh-CN"/>
      </w:rPr>
      <w:t>3</w:t>
    </w:r>
    <w:r>
      <w:rPr>
        <w:lang w:val="zh-CN"/>
      </w:rPr>
      <w:fldChar w:fldCharType="end"/>
    </w: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szCs w:val="18"/>
      </w:rPr>
    </w:pPr>
    <w:r>
      <w:fldChar w:fldCharType="begin"/>
    </w:r>
    <w:r>
      <w:instrText xml:space="preserve"> PAGE   \* MERGEFORMAT </w:instrText>
    </w:r>
    <w:r>
      <w:fldChar w:fldCharType="separate"/>
    </w:r>
    <w:r>
      <w:t>5</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6CE"/>
    <w:multiLevelType w:val="multilevel"/>
    <w:tmpl w:val="04D176C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6D13EBD"/>
    <w:multiLevelType w:val="multilevel"/>
    <w:tmpl w:val="06D13EBD"/>
    <w:lvl w:ilvl="0" w:tentative="0">
      <w:start w:val="1"/>
      <w:numFmt w:val="decimal"/>
      <w:pStyle w:val="104"/>
      <w:lvlText w:val="表%1"/>
      <w:lvlJc w:val="left"/>
      <w:pPr>
        <w:tabs>
          <w:tab w:val="left" w:pos="1266"/>
        </w:tabs>
        <w:ind w:left="1266" w:hanging="840"/>
      </w:pPr>
      <w:rPr>
        <w:rFonts w:hint="default" w:ascii="Times New Roman" w:hAnsi="Times New Roman" w:cs="Times New Roman"/>
      </w:rPr>
    </w:lvl>
    <w:lvl w:ilvl="1" w:tentative="0">
      <w:start w:val="1"/>
      <w:numFmt w:val="lowerLetter"/>
      <w:pStyle w:val="3"/>
      <w:lvlText w:val="%2)"/>
      <w:lvlJc w:val="left"/>
      <w:pPr>
        <w:tabs>
          <w:tab w:val="left" w:pos="840"/>
        </w:tabs>
        <w:ind w:left="840" w:hanging="420"/>
      </w:pPr>
    </w:lvl>
    <w:lvl w:ilvl="2" w:tentative="0">
      <w:start w:val="1"/>
      <w:numFmt w:val="lowerRoman"/>
      <w:pStyle w:val="4"/>
      <w:lvlText w:val="%3."/>
      <w:lvlJc w:val="right"/>
      <w:pPr>
        <w:tabs>
          <w:tab w:val="left" w:pos="1260"/>
        </w:tabs>
        <w:ind w:left="1260" w:hanging="420"/>
      </w:pPr>
    </w:lvl>
    <w:lvl w:ilvl="3" w:tentative="0">
      <w:start w:val="1"/>
      <w:numFmt w:val="decimal"/>
      <w:pStyle w:val="5"/>
      <w:lvlText w:val="%4."/>
      <w:lvlJc w:val="left"/>
      <w:pPr>
        <w:tabs>
          <w:tab w:val="left" w:pos="2880"/>
        </w:tabs>
        <w:ind w:left="2880" w:hanging="360"/>
      </w:pPr>
    </w:lvl>
    <w:lvl w:ilvl="4" w:tentative="0">
      <w:start w:val="1"/>
      <w:numFmt w:val="decimal"/>
      <w:pStyle w:val="6"/>
      <w:lvlText w:val="%5."/>
      <w:lvlJc w:val="left"/>
      <w:pPr>
        <w:tabs>
          <w:tab w:val="left" w:pos="3600"/>
        </w:tabs>
        <w:ind w:left="3600" w:hanging="360"/>
      </w:pPr>
    </w:lvl>
    <w:lvl w:ilvl="5" w:tentative="0">
      <w:start w:val="1"/>
      <w:numFmt w:val="decimal"/>
      <w:pStyle w:val="7"/>
      <w:lvlText w:val="%6."/>
      <w:lvlJc w:val="left"/>
      <w:pPr>
        <w:tabs>
          <w:tab w:val="left" w:pos="4320"/>
        </w:tabs>
        <w:ind w:left="4320" w:hanging="360"/>
      </w:pPr>
    </w:lvl>
    <w:lvl w:ilvl="6" w:tentative="0">
      <w:start w:val="1"/>
      <w:numFmt w:val="decimal"/>
      <w:pStyle w:val="8"/>
      <w:lvlText w:val="%7."/>
      <w:lvlJc w:val="left"/>
      <w:pPr>
        <w:tabs>
          <w:tab w:val="left" w:pos="5040"/>
        </w:tabs>
        <w:ind w:left="5040" w:hanging="360"/>
      </w:pPr>
    </w:lvl>
    <w:lvl w:ilvl="7" w:tentative="0">
      <w:start w:val="1"/>
      <w:numFmt w:val="decimal"/>
      <w:pStyle w:val="9"/>
      <w:lvlText w:val="%8."/>
      <w:lvlJc w:val="left"/>
      <w:pPr>
        <w:tabs>
          <w:tab w:val="left" w:pos="5760"/>
        </w:tabs>
        <w:ind w:left="5760" w:hanging="360"/>
      </w:pPr>
    </w:lvl>
    <w:lvl w:ilvl="8" w:tentative="0">
      <w:start w:val="1"/>
      <w:numFmt w:val="decimal"/>
      <w:pStyle w:val="10"/>
      <w:lvlText w:val="%9."/>
      <w:lvlJc w:val="left"/>
      <w:pPr>
        <w:tabs>
          <w:tab w:val="left" w:pos="6480"/>
        </w:tabs>
        <w:ind w:left="6480" w:hanging="360"/>
      </w:pPr>
    </w:lvl>
  </w:abstractNum>
  <w:abstractNum w:abstractNumId="2">
    <w:nsid w:val="0D4678E3"/>
    <w:multiLevelType w:val="multilevel"/>
    <w:tmpl w:val="0D4678E3"/>
    <w:lvl w:ilvl="0" w:tentative="0">
      <w:start w:val="5"/>
      <w:numFmt w:val="decimal"/>
      <w:lvlText w:val="%1."/>
      <w:lvlJc w:val="left"/>
      <w:pPr>
        <w:tabs>
          <w:tab w:val="left" w:pos="420"/>
        </w:tabs>
        <w:ind w:left="420" w:hanging="420"/>
      </w:pPr>
      <w:rPr>
        <w:rFonts w:hint="eastAsia"/>
      </w:rPr>
    </w:lvl>
    <w:lvl w:ilvl="1" w:tentative="0">
      <w:start w:val="1"/>
      <w:numFmt w:val="decimal"/>
      <w:isLgl/>
      <w:lvlText w:val="%1.%2"/>
      <w:lvlJc w:val="left"/>
      <w:pPr>
        <w:tabs>
          <w:tab w:val="left" w:pos="840"/>
        </w:tabs>
        <w:ind w:left="840" w:hanging="840"/>
      </w:pPr>
      <w:rPr>
        <w:rFonts w:hint="default"/>
      </w:rPr>
    </w:lvl>
    <w:lvl w:ilvl="2" w:tentative="0">
      <w:start w:val="1"/>
      <w:numFmt w:val="decimal"/>
      <w:isLgl/>
      <w:lvlText w:val="%1.%2.%3"/>
      <w:lvlJc w:val="left"/>
      <w:pPr>
        <w:tabs>
          <w:tab w:val="left" w:pos="1080"/>
        </w:tabs>
        <w:ind w:left="1080" w:hanging="1080"/>
      </w:pPr>
      <w:rPr>
        <w:rFonts w:hint="default"/>
      </w:rPr>
    </w:lvl>
    <w:lvl w:ilvl="3" w:tentative="0">
      <w:start w:val="1"/>
      <w:numFmt w:val="decimal"/>
      <w:isLgl/>
      <w:lvlText w:val="%1.%2.%3.%4"/>
      <w:lvlJc w:val="left"/>
      <w:pPr>
        <w:tabs>
          <w:tab w:val="left" w:pos="1440"/>
        </w:tabs>
        <w:ind w:left="1440" w:hanging="1440"/>
      </w:pPr>
      <w:rPr>
        <w:rFonts w:hint="default"/>
      </w:rPr>
    </w:lvl>
    <w:lvl w:ilvl="4" w:tentative="0">
      <w:start w:val="1"/>
      <w:numFmt w:val="decimal"/>
      <w:isLgl/>
      <w:lvlText w:val="%1.%2.%3.%4.%5"/>
      <w:lvlJc w:val="left"/>
      <w:pPr>
        <w:tabs>
          <w:tab w:val="left" w:pos="2160"/>
        </w:tabs>
        <w:ind w:left="2160" w:hanging="2160"/>
      </w:pPr>
      <w:rPr>
        <w:rFonts w:hint="default"/>
      </w:rPr>
    </w:lvl>
    <w:lvl w:ilvl="5" w:tentative="0">
      <w:start w:val="1"/>
      <w:numFmt w:val="decimal"/>
      <w:isLgl/>
      <w:lvlText w:val="%1.%2.%3.%4.%5.%6"/>
      <w:lvlJc w:val="left"/>
      <w:pPr>
        <w:tabs>
          <w:tab w:val="left" w:pos="2520"/>
        </w:tabs>
        <w:ind w:left="2520" w:hanging="2520"/>
      </w:pPr>
      <w:rPr>
        <w:rFonts w:hint="default"/>
      </w:rPr>
    </w:lvl>
    <w:lvl w:ilvl="6" w:tentative="0">
      <w:start w:val="1"/>
      <w:numFmt w:val="decimal"/>
      <w:isLgl/>
      <w:lvlText w:val="%1.%2.%3.%4.%5.%6.%7"/>
      <w:lvlJc w:val="left"/>
      <w:pPr>
        <w:tabs>
          <w:tab w:val="left" w:pos="2880"/>
        </w:tabs>
        <w:ind w:left="2880" w:hanging="2880"/>
      </w:pPr>
      <w:rPr>
        <w:rFonts w:hint="default"/>
      </w:rPr>
    </w:lvl>
    <w:lvl w:ilvl="7" w:tentative="0">
      <w:start w:val="1"/>
      <w:numFmt w:val="decimal"/>
      <w:isLgl/>
      <w:lvlText w:val="%1.%2.%3.%4.%5.%6.%7.%8"/>
      <w:lvlJc w:val="left"/>
      <w:pPr>
        <w:tabs>
          <w:tab w:val="left" w:pos="3240"/>
        </w:tabs>
        <w:ind w:left="3240" w:hanging="3240"/>
      </w:pPr>
      <w:rPr>
        <w:rFonts w:hint="default"/>
      </w:rPr>
    </w:lvl>
    <w:lvl w:ilvl="8" w:tentative="0">
      <w:start w:val="1"/>
      <w:numFmt w:val="decimal"/>
      <w:isLgl/>
      <w:lvlText w:val="%1.%2.%3.%4.%5.%6.%7.%8.%9"/>
      <w:lvlJc w:val="left"/>
      <w:pPr>
        <w:tabs>
          <w:tab w:val="left" w:pos="3600"/>
        </w:tabs>
        <w:ind w:left="3600" w:hanging="3600"/>
      </w:pPr>
      <w:rPr>
        <w:rFonts w:hint="default"/>
      </w:rPr>
    </w:lvl>
  </w:abstractNum>
  <w:abstractNum w:abstractNumId="3">
    <w:nsid w:val="0F3E7DD0"/>
    <w:multiLevelType w:val="multilevel"/>
    <w:tmpl w:val="0F3E7DD0"/>
    <w:lvl w:ilvl="0" w:tentative="0">
      <w:start w:val="1"/>
      <w:numFmt w:val="decimal"/>
      <w:lvlText w:val="%1."/>
      <w:lvlJc w:val="left"/>
      <w:pPr>
        <w:ind w:left="704" w:hanging="420"/>
      </w:pPr>
      <w:rPr>
        <w:rFonts w:hint="eastAsia"/>
      </w:rPr>
    </w:lvl>
    <w:lvl w:ilvl="1" w:tentative="0">
      <w:start w:val="1"/>
      <w:numFmt w:val="decimal"/>
      <w:lvlText w:val="%1.%2"/>
      <w:lvlJc w:val="left"/>
      <w:pPr>
        <w:ind w:left="1332" w:hanging="420"/>
      </w:pPr>
      <w:rPr>
        <w:rFonts w:hint="eastAsia"/>
      </w:rPr>
    </w:lvl>
    <w:lvl w:ilvl="2" w:tentative="0">
      <w:start w:val="1"/>
      <w:numFmt w:val="lowerRoman"/>
      <w:lvlText w:val="%3."/>
      <w:lvlJc w:val="right"/>
      <w:pPr>
        <w:ind w:left="1752" w:hanging="420"/>
      </w:pPr>
      <w:rPr>
        <w:rFonts w:hint="eastAsia"/>
      </w:rPr>
    </w:lvl>
    <w:lvl w:ilvl="3" w:tentative="0">
      <w:start w:val="1"/>
      <w:numFmt w:val="decimal"/>
      <w:lvlText w:val="%4."/>
      <w:lvlJc w:val="left"/>
      <w:pPr>
        <w:ind w:left="2172" w:hanging="420"/>
      </w:pPr>
      <w:rPr>
        <w:rFonts w:hint="eastAsia"/>
      </w:rPr>
    </w:lvl>
    <w:lvl w:ilvl="4" w:tentative="0">
      <w:start w:val="1"/>
      <w:numFmt w:val="lowerLetter"/>
      <w:lvlText w:val="%5)"/>
      <w:lvlJc w:val="left"/>
      <w:pPr>
        <w:ind w:left="2592" w:hanging="420"/>
      </w:pPr>
      <w:rPr>
        <w:rFonts w:hint="eastAsia"/>
      </w:rPr>
    </w:lvl>
    <w:lvl w:ilvl="5" w:tentative="0">
      <w:start w:val="1"/>
      <w:numFmt w:val="lowerRoman"/>
      <w:lvlText w:val="%6."/>
      <w:lvlJc w:val="right"/>
      <w:pPr>
        <w:ind w:left="3012" w:hanging="420"/>
      </w:pPr>
      <w:rPr>
        <w:rFonts w:hint="eastAsia"/>
      </w:rPr>
    </w:lvl>
    <w:lvl w:ilvl="6" w:tentative="0">
      <w:start w:val="1"/>
      <w:numFmt w:val="decimal"/>
      <w:lvlText w:val="%7."/>
      <w:lvlJc w:val="left"/>
      <w:pPr>
        <w:ind w:left="3432" w:hanging="420"/>
      </w:pPr>
      <w:rPr>
        <w:rFonts w:hint="eastAsia"/>
      </w:rPr>
    </w:lvl>
    <w:lvl w:ilvl="7" w:tentative="0">
      <w:start w:val="1"/>
      <w:numFmt w:val="lowerLetter"/>
      <w:lvlText w:val="%8)"/>
      <w:lvlJc w:val="left"/>
      <w:pPr>
        <w:ind w:left="3852" w:hanging="420"/>
      </w:pPr>
      <w:rPr>
        <w:rFonts w:hint="eastAsia"/>
      </w:rPr>
    </w:lvl>
    <w:lvl w:ilvl="8" w:tentative="0">
      <w:start w:val="1"/>
      <w:numFmt w:val="lowerRoman"/>
      <w:lvlText w:val="%9."/>
      <w:lvlJc w:val="right"/>
      <w:pPr>
        <w:ind w:left="4272" w:hanging="420"/>
      </w:pPr>
      <w:rPr>
        <w:rFonts w:hint="eastAsia"/>
      </w:rPr>
    </w:lvl>
  </w:abstractNum>
  <w:abstractNum w:abstractNumId="4">
    <w:nsid w:val="19E1120D"/>
    <w:multiLevelType w:val="multilevel"/>
    <w:tmpl w:val="19E1120D"/>
    <w:lvl w:ilvl="0" w:tentative="0">
      <w:start w:val="1"/>
      <w:numFmt w:val="decimal"/>
      <w:lvlText w:val="%1、"/>
      <w:lvlJc w:val="left"/>
      <w:pPr>
        <w:tabs>
          <w:tab w:val="left" w:pos="720"/>
        </w:tabs>
        <w:ind w:left="720" w:hanging="360"/>
      </w:pPr>
      <w:rPr>
        <w:rFonts w:hint="eastAsia"/>
      </w:rPr>
    </w:lvl>
    <w:lvl w:ilvl="1" w:tentative="0">
      <w:start w:val="1"/>
      <w:numFmt w:val="decimal"/>
      <w:lvlText w:val="（%2）"/>
      <w:lvlJc w:val="left"/>
      <w:pPr>
        <w:tabs>
          <w:tab w:val="left" w:pos="567"/>
        </w:tabs>
        <w:ind w:left="851" w:firstLine="49"/>
      </w:pPr>
      <w:rPr>
        <w:rFonts w:hint="eastAsia"/>
        <w:lang w:val="en-US"/>
      </w:rPr>
    </w:lvl>
    <w:lvl w:ilvl="2" w:tentative="0">
      <w:start w:val="1"/>
      <w:numFmt w:val="lowerLetter"/>
      <w:lvlText w:val="%3."/>
      <w:lvlJc w:val="left"/>
      <w:pPr>
        <w:tabs>
          <w:tab w:val="left" w:pos="1560"/>
        </w:tabs>
        <w:ind w:left="1560" w:hanging="360"/>
      </w:pPr>
      <w:rPr>
        <w:rFonts w:hint="default"/>
      </w:rPr>
    </w:lvl>
    <w:lvl w:ilvl="3" w:tentative="0">
      <w:start w:val="1"/>
      <w:numFmt w:val="upperLetter"/>
      <w:lvlText w:val="%4．"/>
      <w:lvlJc w:val="left"/>
      <w:pPr>
        <w:tabs>
          <w:tab w:val="left" w:pos="1980"/>
        </w:tabs>
        <w:ind w:left="1980" w:hanging="360"/>
      </w:pPr>
      <w:rPr>
        <w:rFonts w:hint="default"/>
      </w:rPr>
    </w:lvl>
    <w:lvl w:ilvl="4" w:tentative="0">
      <w:start w:val="1"/>
      <w:numFmt w:val="decimal"/>
      <w:lvlText w:val="%5."/>
      <w:lvlJc w:val="left"/>
      <w:pPr>
        <w:ind w:left="2400" w:hanging="360"/>
      </w:pPr>
      <w:rPr>
        <w:rFonts w:hint="default"/>
      </w:rPr>
    </w:lvl>
    <w:lvl w:ilvl="5" w:tentative="0">
      <w:start w:val="1"/>
      <w:numFmt w:val="japaneseCounting"/>
      <w:lvlText w:val="（%6）"/>
      <w:lvlJc w:val="left"/>
      <w:pPr>
        <w:ind w:left="3180" w:hanging="720"/>
      </w:pPr>
      <w:rPr>
        <w:rFonts w:hint="default"/>
      </w:rPr>
    </w:lvl>
    <w:lvl w:ilvl="6" w:tentative="0">
      <w:start w:val="5"/>
      <w:numFmt w:val="decimal"/>
      <w:lvlText w:val="%7．"/>
      <w:lvlJc w:val="left"/>
      <w:pPr>
        <w:ind w:left="3240" w:hanging="360"/>
      </w:pPr>
      <w:rPr>
        <w:rFonts w:hint="default"/>
      </w:r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5">
    <w:nsid w:val="2C7A01A0"/>
    <w:multiLevelType w:val="multilevel"/>
    <w:tmpl w:val="2C7A01A0"/>
    <w:lvl w:ilvl="0" w:tentative="0">
      <w:start w:val="1"/>
      <w:numFmt w:val="decimal"/>
      <w:lvlText w:val="%1."/>
      <w:lvlJc w:val="left"/>
      <w:pPr>
        <w:ind w:left="900" w:hanging="420"/>
      </w:pPr>
      <w:rPr>
        <w:rFonts w:hint="eastAsia"/>
      </w:rPr>
    </w:lvl>
    <w:lvl w:ilvl="1" w:tentative="0">
      <w:start w:val="1"/>
      <w:numFmt w:val="decimal"/>
      <w:isLgl/>
      <w:lvlText w:val="%1.%2"/>
      <w:lvlJc w:val="left"/>
      <w:pPr>
        <w:ind w:left="1610" w:hanging="900"/>
      </w:pPr>
      <w:rPr>
        <w:rFonts w:hint="default"/>
      </w:rPr>
    </w:lvl>
    <w:lvl w:ilvl="2" w:tentative="0">
      <w:start w:val="1"/>
      <w:numFmt w:val="decimal"/>
      <w:isLgl/>
      <w:lvlText w:val="%1.%2.%3"/>
      <w:lvlJc w:val="left"/>
      <w:pPr>
        <w:ind w:left="1380" w:hanging="900"/>
      </w:pPr>
      <w:rPr>
        <w:rFonts w:hint="default"/>
      </w:rPr>
    </w:lvl>
    <w:lvl w:ilvl="3" w:tentative="0">
      <w:start w:val="1"/>
      <w:numFmt w:val="decimal"/>
      <w:isLgl/>
      <w:lvlText w:val="%1.%2.%3.%4"/>
      <w:lvlJc w:val="left"/>
      <w:pPr>
        <w:ind w:left="1380" w:hanging="900"/>
      </w:pPr>
      <w:rPr>
        <w:rFonts w:hint="default"/>
      </w:rPr>
    </w:lvl>
    <w:lvl w:ilvl="4" w:tentative="0">
      <w:start w:val="1"/>
      <w:numFmt w:val="decimal"/>
      <w:isLgl/>
      <w:lvlText w:val="%1.%2.%3.%4.%5"/>
      <w:lvlJc w:val="left"/>
      <w:pPr>
        <w:ind w:left="1560" w:hanging="1080"/>
      </w:pPr>
      <w:rPr>
        <w:rFonts w:hint="default"/>
      </w:rPr>
    </w:lvl>
    <w:lvl w:ilvl="5" w:tentative="0">
      <w:start w:val="1"/>
      <w:numFmt w:val="decimal"/>
      <w:isLgl/>
      <w:lvlText w:val="%1.%2.%3.%4.%5.%6"/>
      <w:lvlJc w:val="left"/>
      <w:pPr>
        <w:ind w:left="1560" w:hanging="1080"/>
      </w:pPr>
      <w:rPr>
        <w:rFonts w:hint="default"/>
      </w:rPr>
    </w:lvl>
    <w:lvl w:ilvl="6" w:tentative="0">
      <w:start w:val="1"/>
      <w:numFmt w:val="decimal"/>
      <w:isLgl/>
      <w:lvlText w:val="%1.%2.%3.%4.%5.%6.%7"/>
      <w:lvlJc w:val="left"/>
      <w:pPr>
        <w:ind w:left="1920" w:hanging="1440"/>
      </w:pPr>
      <w:rPr>
        <w:rFonts w:hint="default"/>
      </w:rPr>
    </w:lvl>
    <w:lvl w:ilvl="7" w:tentative="0">
      <w:start w:val="1"/>
      <w:numFmt w:val="decimal"/>
      <w:isLgl/>
      <w:lvlText w:val="%1.%2.%3.%4.%5.%6.%7.%8"/>
      <w:lvlJc w:val="left"/>
      <w:pPr>
        <w:ind w:left="1920" w:hanging="1440"/>
      </w:pPr>
      <w:rPr>
        <w:rFonts w:hint="default"/>
      </w:rPr>
    </w:lvl>
    <w:lvl w:ilvl="8" w:tentative="0">
      <w:start w:val="1"/>
      <w:numFmt w:val="decimal"/>
      <w:isLgl/>
      <w:lvlText w:val="%1.%2.%3.%4.%5.%6.%7.%8.%9"/>
      <w:lvlJc w:val="left"/>
      <w:pPr>
        <w:ind w:left="2280" w:hanging="1800"/>
      </w:pPr>
      <w:rPr>
        <w:rFonts w:hint="default"/>
      </w:rPr>
    </w:lvl>
  </w:abstractNum>
  <w:abstractNum w:abstractNumId="6">
    <w:nsid w:val="46642398"/>
    <w:multiLevelType w:val="multilevel"/>
    <w:tmpl w:val="4664239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7578150"/>
    <w:multiLevelType w:val="singleLevel"/>
    <w:tmpl w:val="57578150"/>
    <w:lvl w:ilvl="0" w:tentative="0">
      <w:start w:val="1"/>
      <w:numFmt w:val="decimal"/>
      <w:suff w:val="nothing"/>
      <w:lvlText w:val="%1、"/>
      <w:lvlJc w:val="left"/>
    </w:lvl>
  </w:abstractNum>
  <w:abstractNum w:abstractNumId="8">
    <w:nsid w:val="5880B2C8"/>
    <w:multiLevelType w:val="multilevel"/>
    <w:tmpl w:val="5880B2C8"/>
    <w:lvl w:ilvl="0" w:tentative="0">
      <w:start w:val="1"/>
      <w:numFmt w:val="decimal"/>
      <w:lvlText w:val="%1."/>
      <w:lvlJc w:val="left"/>
      <w:pPr>
        <w:tabs>
          <w:tab w:val="left" w:pos="425"/>
        </w:tabs>
        <w:ind w:left="425" w:hanging="425"/>
      </w:pPr>
      <w:rPr>
        <w:rFonts w:hint="default"/>
        <w:i w:val="0"/>
      </w:rPr>
    </w:lvl>
    <w:lvl w:ilvl="1" w:tentative="0">
      <w:start w:val="1"/>
      <w:numFmt w:val="decimal"/>
      <w:lvlText w:val="%1.%2."/>
      <w:lvlJc w:val="left"/>
      <w:pPr>
        <w:tabs>
          <w:tab w:val="left" w:pos="567"/>
        </w:tabs>
        <w:ind w:left="567" w:hanging="567"/>
      </w:pPr>
      <w:rPr>
        <w:rFonts w:hint="default" w:ascii="宋体" w:hAnsi="宋体" w:eastAsia="宋体" w:cs="宋体"/>
      </w:rPr>
    </w:lvl>
    <w:lvl w:ilvl="2" w:tentative="0">
      <w:start w:val="1"/>
      <w:numFmt w:val="decimal"/>
      <w:lvlText w:val="%1.%2.%3."/>
      <w:lvlJc w:val="left"/>
      <w:pPr>
        <w:tabs>
          <w:tab w:val="left" w:pos="709"/>
        </w:tabs>
        <w:ind w:left="709" w:hanging="709"/>
      </w:pPr>
      <w:rPr>
        <w:rFonts w:hint="default"/>
      </w:rPr>
    </w:lvl>
    <w:lvl w:ilvl="3" w:tentative="0">
      <w:start w:val="1"/>
      <w:numFmt w:val="decimal"/>
      <w:lvlText w:val="%1.%2.%3.%4."/>
      <w:lvlJc w:val="left"/>
      <w:pPr>
        <w:tabs>
          <w:tab w:val="left" w:pos="850"/>
        </w:tabs>
        <w:ind w:left="850" w:hanging="850"/>
      </w:pPr>
      <w:rPr>
        <w:rFonts w:hint="default"/>
      </w:rPr>
    </w:lvl>
    <w:lvl w:ilvl="4" w:tentative="0">
      <w:start w:val="1"/>
      <w:numFmt w:val="decimal"/>
      <w:lvlText w:val="%1.%2.%3.%4.%5."/>
      <w:lvlJc w:val="left"/>
      <w:pPr>
        <w:tabs>
          <w:tab w:val="left" w:pos="991"/>
        </w:tabs>
        <w:ind w:left="991" w:hanging="991"/>
      </w:pPr>
      <w:rPr>
        <w:rFonts w:hint="default"/>
      </w:rPr>
    </w:lvl>
    <w:lvl w:ilvl="5" w:tentative="0">
      <w:start w:val="1"/>
      <w:numFmt w:val="decimal"/>
      <w:lvlText w:val="%1.%2.%3.%4.%5.%6."/>
      <w:lvlJc w:val="left"/>
      <w:pPr>
        <w:tabs>
          <w:tab w:val="left" w:pos="1134"/>
        </w:tabs>
        <w:ind w:left="1134" w:hanging="1134"/>
      </w:pPr>
      <w:rPr>
        <w:rFonts w:hint="default"/>
      </w:rPr>
    </w:lvl>
    <w:lvl w:ilvl="6" w:tentative="0">
      <w:start w:val="1"/>
      <w:numFmt w:val="decimal"/>
      <w:lvlText w:val="%1.%2.%3.%4.%5.%6.%7."/>
      <w:lvlJc w:val="left"/>
      <w:pPr>
        <w:tabs>
          <w:tab w:val="left" w:pos="1275"/>
        </w:tabs>
        <w:ind w:left="1275" w:hanging="1275"/>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8"/>
        </w:tabs>
        <w:ind w:left="1558" w:hanging="1558"/>
      </w:pPr>
      <w:rPr>
        <w:rFonts w:hint="default"/>
      </w:rPr>
    </w:lvl>
  </w:abstractNum>
  <w:abstractNum w:abstractNumId="9">
    <w:nsid w:val="5CAB01A2"/>
    <w:multiLevelType w:val="singleLevel"/>
    <w:tmpl w:val="5CAB01A2"/>
    <w:lvl w:ilvl="0" w:tentative="0">
      <w:start w:val="5"/>
      <w:numFmt w:val="decimal"/>
      <w:suff w:val="nothing"/>
      <w:lvlText w:val="%1、"/>
      <w:lvlJc w:val="left"/>
    </w:lvl>
  </w:abstractNum>
  <w:abstractNum w:abstractNumId="10">
    <w:nsid w:val="5D6E1B62"/>
    <w:multiLevelType w:val="singleLevel"/>
    <w:tmpl w:val="5D6E1B62"/>
    <w:lvl w:ilvl="0" w:tentative="0">
      <w:start w:val="2"/>
      <w:numFmt w:val="decimal"/>
      <w:suff w:val="nothing"/>
      <w:lvlText w:val="（%1）"/>
      <w:lvlJc w:val="left"/>
    </w:lvl>
  </w:abstractNum>
  <w:abstractNum w:abstractNumId="11">
    <w:nsid w:val="5D6E3114"/>
    <w:multiLevelType w:val="singleLevel"/>
    <w:tmpl w:val="5D6E3114"/>
    <w:lvl w:ilvl="0" w:tentative="0">
      <w:start w:val="6"/>
      <w:numFmt w:val="chineseCounting"/>
      <w:suff w:val="space"/>
      <w:lvlText w:val="第%1章"/>
      <w:lvlJc w:val="left"/>
    </w:lvl>
  </w:abstractNum>
  <w:abstractNum w:abstractNumId="12">
    <w:nsid w:val="5D6E31A2"/>
    <w:multiLevelType w:val="singleLevel"/>
    <w:tmpl w:val="5D6E31A2"/>
    <w:lvl w:ilvl="0" w:tentative="0">
      <w:start w:val="1"/>
      <w:numFmt w:val="decimal"/>
      <w:suff w:val="nothing"/>
      <w:lvlText w:val="%1、"/>
      <w:lvlJc w:val="left"/>
    </w:lvl>
  </w:abstractNum>
  <w:abstractNum w:abstractNumId="13">
    <w:nsid w:val="5D6F7285"/>
    <w:multiLevelType w:val="singleLevel"/>
    <w:tmpl w:val="5D6F7285"/>
    <w:lvl w:ilvl="0" w:tentative="0">
      <w:start w:val="2"/>
      <w:numFmt w:val="decimal"/>
      <w:suff w:val="nothing"/>
      <w:lvlText w:val="%1、"/>
      <w:lvlJc w:val="left"/>
    </w:lvl>
  </w:abstractNum>
  <w:abstractNum w:abstractNumId="14">
    <w:nsid w:val="60E04EB6"/>
    <w:multiLevelType w:val="multilevel"/>
    <w:tmpl w:val="60E04EB6"/>
    <w:lvl w:ilvl="0" w:tentative="0">
      <w:start w:val="1"/>
      <w:numFmt w:val="decimal"/>
      <w:lvlText w:val="%1."/>
      <w:lvlJc w:val="left"/>
      <w:pPr>
        <w:ind w:left="704" w:hanging="420"/>
      </w:pPr>
      <w:rPr>
        <w:rFonts w:hint="eastAsia"/>
      </w:rPr>
    </w:lvl>
    <w:lvl w:ilvl="1" w:tentative="0">
      <w:start w:val="1"/>
      <w:numFmt w:val="decimal"/>
      <w:lvlText w:val="%1.%2"/>
      <w:lvlJc w:val="left"/>
      <w:pPr>
        <w:ind w:left="1332" w:hanging="420"/>
      </w:pPr>
      <w:rPr>
        <w:rFonts w:hint="eastAsia"/>
      </w:rPr>
    </w:lvl>
    <w:lvl w:ilvl="2" w:tentative="0">
      <w:start w:val="1"/>
      <w:numFmt w:val="lowerRoman"/>
      <w:lvlText w:val="%3."/>
      <w:lvlJc w:val="right"/>
      <w:pPr>
        <w:ind w:left="1752" w:hanging="420"/>
      </w:pPr>
      <w:rPr>
        <w:rFonts w:hint="eastAsia"/>
      </w:rPr>
    </w:lvl>
    <w:lvl w:ilvl="3" w:tentative="0">
      <w:start w:val="1"/>
      <w:numFmt w:val="decimal"/>
      <w:lvlText w:val="%4."/>
      <w:lvlJc w:val="left"/>
      <w:pPr>
        <w:ind w:left="2172" w:hanging="420"/>
      </w:pPr>
      <w:rPr>
        <w:rFonts w:hint="eastAsia"/>
      </w:rPr>
    </w:lvl>
    <w:lvl w:ilvl="4" w:tentative="0">
      <w:start w:val="1"/>
      <w:numFmt w:val="lowerLetter"/>
      <w:lvlText w:val="%5)"/>
      <w:lvlJc w:val="left"/>
      <w:pPr>
        <w:ind w:left="2592" w:hanging="420"/>
      </w:pPr>
      <w:rPr>
        <w:rFonts w:hint="eastAsia"/>
      </w:rPr>
    </w:lvl>
    <w:lvl w:ilvl="5" w:tentative="0">
      <w:start w:val="1"/>
      <w:numFmt w:val="lowerRoman"/>
      <w:lvlText w:val="%6."/>
      <w:lvlJc w:val="right"/>
      <w:pPr>
        <w:ind w:left="3012" w:hanging="420"/>
      </w:pPr>
      <w:rPr>
        <w:rFonts w:hint="eastAsia"/>
      </w:rPr>
    </w:lvl>
    <w:lvl w:ilvl="6" w:tentative="0">
      <w:start w:val="1"/>
      <w:numFmt w:val="decimal"/>
      <w:lvlText w:val="%7."/>
      <w:lvlJc w:val="left"/>
      <w:pPr>
        <w:ind w:left="3432" w:hanging="420"/>
      </w:pPr>
      <w:rPr>
        <w:rFonts w:hint="eastAsia"/>
      </w:rPr>
    </w:lvl>
    <w:lvl w:ilvl="7" w:tentative="0">
      <w:start w:val="1"/>
      <w:numFmt w:val="lowerLetter"/>
      <w:lvlText w:val="%8)"/>
      <w:lvlJc w:val="left"/>
      <w:pPr>
        <w:ind w:left="3852" w:hanging="420"/>
      </w:pPr>
      <w:rPr>
        <w:rFonts w:hint="eastAsia"/>
      </w:rPr>
    </w:lvl>
    <w:lvl w:ilvl="8" w:tentative="0">
      <w:start w:val="1"/>
      <w:numFmt w:val="lowerRoman"/>
      <w:lvlText w:val="%9."/>
      <w:lvlJc w:val="right"/>
      <w:pPr>
        <w:ind w:left="4272" w:hanging="420"/>
      </w:pPr>
      <w:rPr>
        <w:rFonts w:hint="eastAsia"/>
      </w:rPr>
    </w:lvl>
  </w:abstractNum>
  <w:abstractNum w:abstractNumId="15">
    <w:nsid w:val="68D632E7"/>
    <w:multiLevelType w:val="multilevel"/>
    <w:tmpl w:val="68D632E7"/>
    <w:lvl w:ilvl="0" w:tentative="0">
      <w:start w:val="22"/>
      <w:numFmt w:val="decimal"/>
      <w:lvlText w:val="%1"/>
      <w:lvlJc w:val="left"/>
      <w:pPr>
        <w:tabs>
          <w:tab w:val="left" w:pos="420"/>
        </w:tabs>
        <w:ind w:left="420" w:hanging="420"/>
      </w:pPr>
      <w:rPr>
        <w:rFonts w:hint="default"/>
      </w:rPr>
    </w:lvl>
    <w:lvl w:ilvl="1" w:tentative="0">
      <w:start w:val="1"/>
      <w:numFmt w:val="decimal"/>
      <w:lvlText w:val="%1.%2"/>
      <w:lvlJc w:val="left"/>
      <w:pPr>
        <w:tabs>
          <w:tab w:val="left" w:pos="1021"/>
        </w:tabs>
        <w:ind w:left="1021" w:hanging="420"/>
      </w:pPr>
      <w:rPr>
        <w:rFonts w:hint="default"/>
      </w:rPr>
    </w:lvl>
    <w:lvl w:ilvl="2" w:tentative="0">
      <w:start w:val="1"/>
      <w:numFmt w:val="decimal"/>
      <w:lvlText w:val="%1.%2.%3"/>
      <w:lvlJc w:val="left"/>
      <w:pPr>
        <w:tabs>
          <w:tab w:val="left" w:pos="1922"/>
        </w:tabs>
        <w:ind w:left="1922" w:hanging="720"/>
      </w:pPr>
      <w:rPr>
        <w:rFonts w:hint="default"/>
      </w:rPr>
    </w:lvl>
    <w:lvl w:ilvl="3" w:tentative="0">
      <w:start w:val="1"/>
      <w:numFmt w:val="decimal"/>
      <w:lvlText w:val="%1.%2.%3.%4"/>
      <w:lvlJc w:val="left"/>
      <w:pPr>
        <w:tabs>
          <w:tab w:val="left" w:pos="2883"/>
        </w:tabs>
        <w:ind w:left="2883" w:hanging="1080"/>
      </w:pPr>
      <w:rPr>
        <w:rFonts w:hint="default"/>
      </w:rPr>
    </w:lvl>
    <w:lvl w:ilvl="4" w:tentative="0">
      <w:start w:val="1"/>
      <w:numFmt w:val="decimal"/>
      <w:lvlText w:val="%1.%2.%3.%4.%5"/>
      <w:lvlJc w:val="left"/>
      <w:pPr>
        <w:tabs>
          <w:tab w:val="left" w:pos="3484"/>
        </w:tabs>
        <w:ind w:left="3484" w:hanging="1080"/>
      </w:pPr>
      <w:rPr>
        <w:rFonts w:hint="default"/>
      </w:rPr>
    </w:lvl>
    <w:lvl w:ilvl="5" w:tentative="0">
      <w:start w:val="1"/>
      <w:numFmt w:val="decimal"/>
      <w:lvlText w:val="%1.%2.%3.%4.%5.%6"/>
      <w:lvlJc w:val="left"/>
      <w:pPr>
        <w:tabs>
          <w:tab w:val="left" w:pos="4445"/>
        </w:tabs>
        <w:ind w:left="4445" w:hanging="1440"/>
      </w:pPr>
      <w:rPr>
        <w:rFonts w:hint="default"/>
      </w:rPr>
    </w:lvl>
    <w:lvl w:ilvl="6" w:tentative="0">
      <w:start w:val="1"/>
      <w:numFmt w:val="decimal"/>
      <w:lvlText w:val="%1.%2.%3.%4.%5.%6.%7"/>
      <w:lvlJc w:val="left"/>
      <w:pPr>
        <w:tabs>
          <w:tab w:val="left" w:pos="5046"/>
        </w:tabs>
        <w:ind w:left="5046" w:hanging="1440"/>
      </w:pPr>
      <w:rPr>
        <w:rFonts w:hint="default"/>
      </w:rPr>
    </w:lvl>
    <w:lvl w:ilvl="7" w:tentative="0">
      <w:start w:val="1"/>
      <w:numFmt w:val="decimal"/>
      <w:lvlText w:val="%1.%2.%3.%4.%5.%6.%7.%8"/>
      <w:lvlJc w:val="left"/>
      <w:pPr>
        <w:tabs>
          <w:tab w:val="left" w:pos="6007"/>
        </w:tabs>
        <w:ind w:left="6007" w:hanging="1800"/>
      </w:pPr>
      <w:rPr>
        <w:rFonts w:hint="default"/>
      </w:rPr>
    </w:lvl>
    <w:lvl w:ilvl="8" w:tentative="0">
      <w:start w:val="1"/>
      <w:numFmt w:val="decimal"/>
      <w:lvlText w:val="%1.%2.%3.%4.%5.%6.%7.%8.%9"/>
      <w:lvlJc w:val="left"/>
      <w:pPr>
        <w:tabs>
          <w:tab w:val="left" w:pos="6608"/>
        </w:tabs>
        <w:ind w:left="6608" w:hanging="1800"/>
      </w:pPr>
      <w:rPr>
        <w:rFonts w:hint="default"/>
      </w:rPr>
    </w:lvl>
  </w:abstractNum>
  <w:abstractNum w:abstractNumId="16">
    <w:nsid w:val="69C56DFE"/>
    <w:multiLevelType w:val="multilevel"/>
    <w:tmpl w:val="69C56DFE"/>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7">
    <w:nsid w:val="7D1C6BC3"/>
    <w:multiLevelType w:val="multilevel"/>
    <w:tmpl w:val="7D1C6BC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7"/>
  </w:num>
  <w:num w:numId="3">
    <w:abstractNumId w:val="9"/>
  </w:num>
  <w:num w:numId="4">
    <w:abstractNumId w:val="4"/>
  </w:num>
  <w:num w:numId="5">
    <w:abstractNumId w:val="0"/>
  </w:num>
  <w:num w:numId="6">
    <w:abstractNumId w:val="8"/>
  </w:num>
  <w:num w:numId="7">
    <w:abstractNumId w:val="15"/>
  </w:num>
  <w:num w:numId="8">
    <w:abstractNumId w:val="3"/>
  </w:num>
  <w:num w:numId="9">
    <w:abstractNumId w:val="14"/>
  </w:num>
  <w:num w:numId="10">
    <w:abstractNumId w:val="16"/>
  </w:num>
  <w:num w:numId="11">
    <w:abstractNumId w:val="5"/>
  </w:num>
  <w:num w:numId="12">
    <w:abstractNumId w:val="13"/>
  </w:num>
  <w:num w:numId="13">
    <w:abstractNumId w:val="6"/>
  </w:num>
  <w:num w:numId="14">
    <w:abstractNumId w:val="2"/>
  </w:num>
  <w:num w:numId="15">
    <w:abstractNumId w:val="11"/>
  </w:num>
  <w:num w:numId="16">
    <w:abstractNumId w:val="12"/>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documentProtection w:edit="readOnly" w:formatting="1"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397"/>
    <w:rsid w:val="00003BA5"/>
    <w:rsid w:val="0000412F"/>
    <w:rsid w:val="00004C6B"/>
    <w:rsid w:val="000072CD"/>
    <w:rsid w:val="00007C87"/>
    <w:rsid w:val="00007E7F"/>
    <w:rsid w:val="0001035F"/>
    <w:rsid w:val="00011739"/>
    <w:rsid w:val="00014426"/>
    <w:rsid w:val="0001699D"/>
    <w:rsid w:val="00020E21"/>
    <w:rsid w:val="0002242B"/>
    <w:rsid w:val="00024276"/>
    <w:rsid w:val="00025BF4"/>
    <w:rsid w:val="00031671"/>
    <w:rsid w:val="000345FA"/>
    <w:rsid w:val="00034EEE"/>
    <w:rsid w:val="000375EF"/>
    <w:rsid w:val="000377F4"/>
    <w:rsid w:val="00037E7A"/>
    <w:rsid w:val="00037F16"/>
    <w:rsid w:val="000415B3"/>
    <w:rsid w:val="00042F23"/>
    <w:rsid w:val="00043A74"/>
    <w:rsid w:val="00043B6E"/>
    <w:rsid w:val="00043D26"/>
    <w:rsid w:val="000461D4"/>
    <w:rsid w:val="000463A8"/>
    <w:rsid w:val="00046637"/>
    <w:rsid w:val="00046810"/>
    <w:rsid w:val="00050F72"/>
    <w:rsid w:val="0005207E"/>
    <w:rsid w:val="00053A1D"/>
    <w:rsid w:val="00060376"/>
    <w:rsid w:val="0006117B"/>
    <w:rsid w:val="00062B21"/>
    <w:rsid w:val="00064276"/>
    <w:rsid w:val="000648F9"/>
    <w:rsid w:val="000664A3"/>
    <w:rsid w:val="000669CD"/>
    <w:rsid w:val="00066FD9"/>
    <w:rsid w:val="000727B5"/>
    <w:rsid w:val="00087443"/>
    <w:rsid w:val="0009264C"/>
    <w:rsid w:val="00094328"/>
    <w:rsid w:val="000A0C33"/>
    <w:rsid w:val="000A260F"/>
    <w:rsid w:val="000A4E69"/>
    <w:rsid w:val="000A6FA7"/>
    <w:rsid w:val="000A75B9"/>
    <w:rsid w:val="000A7755"/>
    <w:rsid w:val="000B02CA"/>
    <w:rsid w:val="000B0698"/>
    <w:rsid w:val="000C1AE1"/>
    <w:rsid w:val="000C23EC"/>
    <w:rsid w:val="000C5386"/>
    <w:rsid w:val="000C6434"/>
    <w:rsid w:val="000C65FA"/>
    <w:rsid w:val="000C7B88"/>
    <w:rsid w:val="000D0245"/>
    <w:rsid w:val="000D5109"/>
    <w:rsid w:val="000E120A"/>
    <w:rsid w:val="000E14BC"/>
    <w:rsid w:val="000E6890"/>
    <w:rsid w:val="000F1451"/>
    <w:rsid w:val="000F1659"/>
    <w:rsid w:val="000F2526"/>
    <w:rsid w:val="000F33D0"/>
    <w:rsid w:val="000F667B"/>
    <w:rsid w:val="000F748A"/>
    <w:rsid w:val="00100795"/>
    <w:rsid w:val="001019CA"/>
    <w:rsid w:val="00101C47"/>
    <w:rsid w:val="001121D4"/>
    <w:rsid w:val="001136DF"/>
    <w:rsid w:val="0011373E"/>
    <w:rsid w:val="00113D07"/>
    <w:rsid w:val="001140AF"/>
    <w:rsid w:val="00115580"/>
    <w:rsid w:val="0012040F"/>
    <w:rsid w:val="00120FFD"/>
    <w:rsid w:val="001214D1"/>
    <w:rsid w:val="00123991"/>
    <w:rsid w:val="0012691B"/>
    <w:rsid w:val="0012691D"/>
    <w:rsid w:val="001278F5"/>
    <w:rsid w:val="00132C51"/>
    <w:rsid w:val="00133019"/>
    <w:rsid w:val="001336ED"/>
    <w:rsid w:val="001337CF"/>
    <w:rsid w:val="00135B74"/>
    <w:rsid w:val="0013746C"/>
    <w:rsid w:val="001409EE"/>
    <w:rsid w:val="00140A6A"/>
    <w:rsid w:val="00141A53"/>
    <w:rsid w:val="00150152"/>
    <w:rsid w:val="001507C0"/>
    <w:rsid w:val="00150C01"/>
    <w:rsid w:val="001514E3"/>
    <w:rsid w:val="001549D6"/>
    <w:rsid w:val="00154E79"/>
    <w:rsid w:val="001559DC"/>
    <w:rsid w:val="0015624A"/>
    <w:rsid w:val="00156C88"/>
    <w:rsid w:val="0016250D"/>
    <w:rsid w:val="00165456"/>
    <w:rsid w:val="00170F3B"/>
    <w:rsid w:val="00172559"/>
    <w:rsid w:val="00172A27"/>
    <w:rsid w:val="00173D7C"/>
    <w:rsid w:val="00174295"/>
    <w:rsid w:val="001754D1"/>
    <w:rsid w:val="00176F89"/>
    <w:rsid w:val="00177415"/>
    <w:rsid w:val="00185940"/>
    <w:rsid w:val="001862FC"/>
    <w:rsid w:val="001900DC"/>
    <w:rsid w:val="001904A5"/>
    <w:rsid w:val="001926C5"/>
    <w:rsid w:val="00195A05"/>
    <w:rsid w:val="0019709B"/>
    <w:rsid w:val="001A0BF5"/>
    <w:rsid w:val="001A3169"/>
    <w:rsid w:val="001A37E9"/>
    <w:rsid w:val="001A3FB4"/>
    <w:rsid w:val="001A6B17"/>
    <w:rsid w:val="001A76E0"/>
    <w:rsid w:val="001B0601"/>
    <w:rsid w:val="001B4E5D"/>
    <w:rsid w:val="001B527E"/>
    <w:rsid w:val="001B5F1D"/>
    <w:rsid w:val="001C0364"/>
    <w:rsid w:val="001C0F1C"/>
    <w:rsid w:val="001C528D"/>
    <w:rsid w:val="001C7278"/>
    <w:rsid w:val="001C75D8"/>
    <w:rsid w:val="001D07B0"/>
    <w:rsid w:val="001D34C2"/>
    <w:rsid w:val="001D3903"/>
    <w:rsid w:val="001D47EF"/>
    <w:rsid w:val="001D5C26"/>
    <w:rsid w:val="001E0BED"/>
    <w:rsid w:val="001E0DC3"/>
    <w:rsid w:val="001E2303"/>
    <w:rsid w:val="001E437D"/>
    <w:rsid w:val="001E578C"/>
    <w:rsid w:val="001E6E44"/>
    <w:rsid w:val="001F3716"/>
    <w:rsid w:val="001F4926"/>
    <w:rsid w:val="001F5E40"/>
    <w:rsid w:val="001F69D4"/>
    <w:rsid w:val="00204307"/>
    <w:rsid w:val="00205C79"/>
    <w:rsid w:val="0020701D"/>
    <w:rsid w:val="00207A7A"/>
    <w:rsid w:val="00211338"/>
    <w:rsid w:val="00211594"/>
    <w:rsid w:val="00213AD8"/>
    <w:rsid w:val="00213DE4"/>
    <w:rsid w:val="00216CD0"/>
    <w:rsid w:val="00220648"/>
    <w:rsid w:val="002213B1"/>
    <w:rsid w:val="00221C4C"/>
    <w:rsid w:val="00222A30"/>
    <w:rsid w:val="002246D5"/>
    <w:rsid w:val="00225ABE"/>
    <w:rsid w:val="00226CD1"/>
    <w:rsid w:val="00230EC3"/>
    <w:rsid w:val="002338E8"/>
    <w:rsid w:val="002339FB"/>
    <w:rsid w:val="00243D96"/>
    <w:rsid w:val="002519E9"/>
    <w:rsid w:val="002529FD"/>
    <w:rsid w:val="00252C7C"/>
    <w:rsid w:val="00253380"/>
    <w:rsid w:val="00257CDA"/>
    <w:rsid w:val="002630FF"/>
    <w:rsid w:val="0026445B"/>
    <w:rsid w:val="00267C49"/>
    <w:rsid w:val="00270F9F"/>
    <w:rsid w:val="0027433B"/>
    <w:rsid w:val="0027452B"/>
    <w:rsid w:val="00276AB5"/>
    <w:rsid w:val="00280F0A"/>
    <w:rsid w:val="0028111C"/>
    <w:rsid w:val="00286026"/>
    <w:rsid w:val="00287A7A"/>
    <w:rsid w:val="00294458"/>
    <w:rsid w:val="00295E28"/>
    <w:rsid w:val="002A0A90"/>
    <w:rsid w:val="002A51AD"/>
    <w:rsid w:val="002A7BD3"/>
    <w:rsid w:val="002A7CBA"/>
    <w:rsid w:val="002B1414"/>
    <w:rsid w:val="002B4AE1"/>
    <w:rsid w:val="002B5563"/>
    <w:rsid w:val="002B6DF7"/>
    <w:rsid w:val="002B7D67"/>
    <w:rsid w:val="002C0D49"/>
    <w:rsid w:val="002C5D9C"/>
    <w:rsid w:val="002D260C"/>
    <w:rsid w:val="002D5131"/>
    <w:rsid w:val="002D5702"/>
    <w:rsid w:val="002E0595"/>
    <w:rsid w:val="002E14A9"/>
    <w:rsid w:val="002E55D2"/>
    <w:rsid w:val="002E58DD"/>
    <w:rsid w:val="002F129F"/>
    <w:rsid w:val="002F31A6"/>
    <w:rsid w:val="002F324A"/>
    <w:rsid w:val="00301712"/>
    <w:rsid w:val="003024B6"/>
    <w:rsid w:val="003026A1"/>
    <w:rsid w:val="00303166"/>
    <w:rsid w:val="0030592A"/>
    <w:rsid w:val="00306061"/>
    <w:rsid w:val="00306AE1"/>
    <w:rsid w:val="00312306"/>
    <w:rsid w:val="00313EBE"/>
    <w:rsid w:val="00316C15"/>
    <w:rsid w:val="003210F5"/>
    <w:rsid w:val="0032134A"/>
    <w:rsid w:val="00324604"/>
    <w:rsid w:val="0033029B"/>
    <w:rsid w:val="003322FD"/>
    <w:rsid w:val="0033492C"/>
    <w:rsid w:val="00336155"/>
    <w:rsid w:val="00337F87"/>
    <w:rsid w:val="00341403"/>
    <w:rsid w:val="00343BF7"/>
    <w:rsid w:val="003456F6"/>
    <w:rsid w:val="003460E5"/>
    <w:rsid w:val="00351340"/>
    <w:rsid w:val="00351BE9"/>
    <w:rsid w:val="003539BD"/>
    <w:rsid w:val="0035508A"/>
    <w:rsid w:val="00360443"/>
    <w:rsid w:val="00361280"/>
    <w:rsid w:val="00361749"/>
    <w:rsid w:val="00361B53"/>
    <w:rsid w:val="0036200C"/>
    <w:rsid w:val="00363682"/>
    <w:rsid w:val="00366A91"/>
    <w:rsid w:val="00366ACB"/>
    <w:rsid w:val="003708AF"/>
    <w:rsid w:val="0037166C"/>
    <w:rsid w:val="0037184E"/>
    <w:rsid w:val="00373B26"/>
    <w:rsid w:val="00376F7C"/>
    <w:rsid w:val="00377F92"/>
    <w:rsid w:val="00383E12"/>
    <w:rsid w:val="0038456C"/>
    <w:rsid w:val="00385EE2"/>
    <w:rsid w:val="00386639"/>
    <w:rsid w:val="00387962"/>
    <w:rsid w:val="00387F22"/>
    <w:rsid w:val="0039152E"/>
    <w:rsid w:val="00391A0C"/>
    <w:rsid w:val="0039246C"/>
    <w:rsid w:val="0039248F"/>
    <w:rsid w:val="00393AF1"/>
    <w:rsid w:val="003A45F7"/>
    <w:rsid w:val="003A6D26"/>
    <w:rsid w:val="003B1632"/>
    <w:rsid w:val="003B1ED2"/>
    <w:rsid w:val="003B4706"/>
    <w:rsid w:val="003B5E33"/>
    <w:rsid w:val="003C0AC3"/>
    <w:rsid w:val="003C1018"/>
    <w:rsid w:val="003C1FA0"/>
    <w:rsid w:val="003D070B"/>
    <w:rsid w:val="003D280D"/>
    <w:rsid w:val="003D2FF3"/>
    <w:rsid w:val="003D436C"/>
    <w:rsid w:val="003E5D66"/>
    <w:rsid w:val="003F01D1"/>
    <w:rsid w:val="003F475D"/>
    <w:rsid w:val="003F496E"/>
    <w:rsid w:val="003F7780"/>
    <w:rsid w:val="004014AA"/>
    <w:rsid w:val="00404A73"/>
    <w:rsid w:val="00406668"/>
    <w:rsid w:val="004140DC"/>
    <w:rsid w:val="00417A86"/>
    <w:rsid w:val="0042400D"/>
    <w:rsid w:val="004275F7"/>
    <w:rsid w:val="00432943"/>
    <w:rsid w:val="00434AF7"/>
    <w:rsid w:val="0043593B"/>
    <w:rsid w:val="00437BAC"/>
    <w:rsid w:val="0044025A"/>
    <w:rsid w:val="0044095D"/>
    <w:rsid w:val="00444A22"/>
    <w:rsid w:val="00450D18"/>
    <w:rsid w:val="00451A5E"/>
    <w:rsid w:val="00451F22"/>
    <w:rsid w:val="00452CDB"/>
    <w:rsid w:val="0045430A"/>
    <w:rsid w:val="00456FA8"/>
    <w:rsid w:val="00457887"/>
    <w:rsid w:val="0046068C"/>
    <w:rsid w:val="004641EB"/>
    <w:rsid w:val="00471FBD"/>
    <w:rsid w:val="004731F0"/>
    <w:rsid w:val="0047618F"/>
    <w:rsid w:val="00477E33"/>
    <w:rsid w:val="004812FC"/>
    <w:rsid w:val="00483281"/>
    <w:rsid w:val="0048637D"/>
    <w:rsid w:val="00490D2B"/>
    <w:rsid w:val="004A2860"/>
    <w:rsid w:val="004A402E"/>
    <w:rsid w:val="004A5855"/>
    <w:rsid w:val="004A7A9C"/>
    <w:rsid w:val="004A7E7A"/>
    <w:rsid w:val="004B6891"/>
    <w:rsid w:val="004B6E53"/>
    <w:rsid w:val="004B7922"/>
    <w:rsid w:val="004C334C"/>
    <w:rsid w:val="004C4FF7"/>
    <w:rsid w:val="004D0BFE"/>
    <w:rsid w:val="004E0A08"/>
    <w:rsid w:val="004E0FD4"/>
    <w:rsid w:val="004E1A75"/>
    <w:rsid w:val="004E2C61"/>
    <w:rsid w:val="004E5E96"/>
    <w:rsid w:val="004E7739"/>
    <w:rsid w:val="004F7761"/>
    <w:rsid w:val="004F7A5E"/>
    <w:rsid w:val="00501B23"/>
    <w:rsid w:val="00503A61"/>
    <w:rsid w:val="0050537F"/>
    <w:rsid w:val="00505657"/>
    <w:rsid w:val="00506DC5"/>
    <w:rsid w:val="00507F5E"/>
    <w:rsid w:val="005114A0"/>
    <w:rsid w:val="00512484"/>
    <w:rsid w:val="0051274F"/>
    <w:rsid w:val="00513207"/>
    <w:rsid w:val="00514FFD"/>
    <w:rsid w:val="005157EF"/>
    <w:rsid w:val="00515D48"/>
    <w:rsid w:val="00516C92"/>
    <w:rsid w:val="00520487"/>
    <w:rsid w:val="00520F73"/>
    <w:rsid w:val="0052107A"/>
    <w:rsid w:val="00522365"/>
    <w:rsid w:val="00523799"/>
    <w:rsid w:val="00526EEE"/>
    <w:rsid w:val="00527F93"/>
    <w:rsid w:val="005301F9"/>
    <w:rsid w:val="00530270"/>
    <w:rsid w:val="00537A6E"/>
    <w:rsid w:val="005400C9"/>
    <w:rsid w:val="00540C94"/>
    <w:rsid w:val="00542F5A"/>
    <w:rsid w:val="00546252"/>
    <w:rsid w:val="005503A7"/>
    <w:rsid w:val="00563474"/>
    <w:rsid w:val="00565931"/>
    <w:rsid w:val="00566BAD"/>
    <w:rsid w:val="0057158E"/>
    <w:rsid w:val="005720C7"/>
    <w:rsid w:val="00576269"/>
    <w:rsid w:val="005769CB"/>
    <w:rsid w:val="00581426"/>
    <w:rsid w:val="0058318C"/>
    <w:rsid w:val="00583EB8"/>
    <w:rsid w:val="005842DA"/>
    <w:rsid w:val="005868C7"/>
    <w:rsid w:val="00587333"/>
    <w:rsid w:val="00591D6A"/>
    <w:rsid w:val="00594C3B"/>
    <w:rsid w:val="00597A8C"/>
    <w:rsid w:val="005A0C50"/>
    <w:rsid w:val="005A140E"/>
    <w:rsid w:val="005A1A9D"/>
    <w:rsid w:val="005A3ADD"/>
    <w:rsid w:val="005A4E71"/>
    <w:rsid w:val="005A5382"/>
    <w:rsid w:val="005A5CE5"/>
    <w:rsid w:val="005A5FB7"/>
    <w:rsid w:val="005A6ED6"/>
    <w:rsid w:val="005A6FD1"/>
    <w:rsid w:val="005A70C5"/>
    <w:rsid w:val="005B005A"/>
    <w:rsid w:val="005B097D"/>
    <w:rsid w:val="005B1B34"/>
    <w:rsid w:val="005B3525"/>
    <w:rsid w:val="005B5EC8"/>
    <w:rsid w:val="005B6467"/>
    <w:rsid w:val="005C38FE"/>
    <w:rsid w:val="005D20A7"/>
    <w:rsid w:val="005D2B23"/>
    <w:rsid w:val="005D72AA"/>
    <w:rsid w:val="005E0463"/>
    <w:rsid w:val="005E4D02"/>
    <w:rsid w:val="005E532C"/>
    <w:rsid w:val="005E7013"/>
    <w:rsid w:val="005F0926"/>
    <w:rsid w:val="005F1A4F"/>
    <w:rsid w:val="005F206B"/>
    <w:rsid w:val="005F2975"/>
    <w:rsid w:val="005F7D4C"/>
    <w:rsid w:val="00603664"/>
    <w:rsid w:val="00605696"/>
    <w:rsid w:val="00606BEF"/>
    <w:rsid w:val="00621A2A"/>
    <w:rsid w:val="0062363B"/>
    <w:rsid w:val="00631CB2"/>
    <w:rsid w:val="00635BDD"/>
    <w:rsid w:val="0063718B"/>
    <w:rsid w:val="00640148"/>
    <w:rsid w:val="00640AD7"/>
    <w:rsid w:val="00640BFD"/>
    <w:rsid w:val="00641E23"/>
    <w:rsid w:val="00644872"/>
    <w:rsid w:val="00645296"/>
    <w:rsid w:val="006453D5"/>
    <w:rsid w:val="006461D8"/>
    <w:rsid w:val="006468CE"/>
    <w:rsid w:val="006504E5"/>
    <w:rsid w:val="0065087C"/>
    <w:rsid w:val="0065136C"/>
    <w:rsid w:val="00651C26"/>
    <w:rsid w:val="0065579D"/>
    <w:rsid w:val="00655FE3"/>
    <w:rsid w:val="0065707A"/>
    <w:rsid w:val="006574B0"/>
    <w:rsid w:val="00662E99"/>
    <w:rsid w:val="00665050"/>
    <w:rsid w:val="00665F04"/>
    <w:rsid w:val="0066713D"/>
    <w:rsid w:val="00670C48"/>
    <w:rsid w:val="006810D1"/>
    <w:rsid w:val="00684745"/>
    <w:rsid w:val="00686021"/>
    <w:rsid w:val="00687494"/>
    <w:rsid w:val="0069129F"/>
    <w:rsid w:val="0069607E"/>
    <w:rsid w:val="00696511"/>
    <w:rsid w:val="00697BAC"/>
    <w:rsid w:val="006A0409"/>
    <w:rsid w:val="006A0FA2"/>
    <w:rsid w:val="006A2713"/>
    <w:rsid w:val="006A2C60"/>
    <w:rsid w:val="006A3802"/>
    <w:rsid w:val="006A43EB"/>
    <w:rsid w:val="006A5383"/>
    <w:rsid w:val="006A6820"/>
    <w:rsid w:val="006B3311"/>
    <w:rsid w:val="006B5B6A"/>
    <w:rsid w:val="006C301D"/>
    <w:rsid w:val="006C5464"/>
    <w:rsid w:val="006C5FDE"/>
    <w:rsid w:val="006C7C3A"/>
    <w:rsid w:val="006D058A"/>
    <w:rsid w:val="006D32F8"/>
    <w:rsid w:val="006D398B"/>
    <w:rsid w:val="006D68C8"/>
    <w:rsid w:val="006D7E9C"/>
    <w:rsid w:val="006E1423"/>
    <w:rsid w:val="006E2CE9"/>
    <w:rsid w:val="006E5CE6"/>
    <w:rsid w:val="006E629F"/>
    <w:rsid w:val="006E7DF4"/>
    <w:rsid w:val="006F072C"/>
    <w:rsid w:val="006F090D"/>
    <w:rsid w:val="006F5A7D"/>
    <w:rsid w:val="006F5FA2"/>
    <w:rsid w:val="006F7C64"/>
    <w:rsid w:val="006F7E9C"/>
    <w:rsid w:val="00703EE3"/>
    <w:rsid w:val="0070464D"/>
    <w:rsid w:val="007127EB"/>
    <w:rsid w:val="00714A8D"/>
    <w:rsid w:val="00715AD8"/>
    <w:rsid w:val="007201F0"/>
    <w:rsid w:val="00722CDA"/>
    <w:rsid w:val="00723A73"/>
    <w:rsid w:val="007256B9"/>
    <w:rsid w:val="007258E6"/>
    <w:rsid w:val="00731BFE"/>
    <w:rsid w:val="00732BDE"/>
    <w:rsid w:val="00733BFB"/>
    <w:rsid w:val="007353EE"/>
    <w:rsid w:val="0074194B"/>
    <w:rsid w:val="007435FE"/>
    <w:rsid w:val="007443B4"/>
    <w:rsid w:val="00747E9F"/>
    <w:rsid w:val="00750391"/>
    <w:rsid w:val="00752D32"/>
    <w:rsid w:val="00754984"/>
    <w:rsid w:val="0075574A"/>
    <w:rsid w:val="00761A6D"/>
    <w:rsid w:val="007647D4"/>
    <w:rsid w:val="00766B56"/>
    <w:rsid w:val="0077021C"/>
    <w:rsid w:val="00774503"/>
    <w:rsid w:val="00780200"/>
    <w:rsid w:val="00783D32"/>
    <w:rsid w:val="00785FC7"/>
    <w:rsid w:val="0078795E"/>
    <w:rsid w:val="00792187"/>
    <w:rsid w:val="00793156"/>
    <w:rsid w:val="007941AB"/>
    <w:rsid w:val="007941B1"/>
    <w:rsid w:val="00795AF9"/>
    <w:rsid w:val="00795F13"/>
    <w:rsid w:val="00796C84"/>
    <w:rsid w:val="007A0198"/>
    <w:rsid w:val="007A0912"/>
    <w:rsid w:val="007A202F"/>
    <w:rsid w:val="007A2AC2"/>
    <w:rsid w:val="007A2E17"/>
    <w:rsid w:val="007A4C57"/>
    <w:rsid w:val="007A7C77"/>
    <w:rsid w:val="007A7CAF"/>
    <w:rsid w:val="007B0243"/>
    <w:rsid w:val="007B0E2F"/>
    <w:rsid w:val="007C4811"/>
    <w:rsid w:val="007C489F"/>
    <w:rsid w:val="007C695C"/>
    <w:rsid w:val="007C7416"/>
    <w:rsid w:val="007C7C02"/>
    <w:rsid w:val="007D0697"/>
    <w:rsid w:val="007E1777"/>
    <w:rsid w:val="007E279D"/>
    <w:rsid w:val="007E379D"/>
    <w:rsid w:val="007E3A0A"/>
    <w:rsid w:val="007E605F"/>
    <w:rsid w:val="007E610A"/>
    <w:rsid w:val="007F0E8C"/>
    <w:rsid w:val="007F2713"/>
    <w:rsid w:val="007F3C85"/>
    <w:rsid w:val="007F4387"/>
    <w:rsid w:val="007F4EBE"/>
    <w:rsid w:val="0080066D"/>
    <w:rsid w:val="00802CCE"/>
    <w:rsid w:val="00803365"/>
    <w:rsid w:val="00803EA2"/>
    <w:rsid w:val="0080580F"/>
    <w:rsid w:val="00806338"/>
    <w:rsid w:val="0081067A"/>
    <w:rsid w:val="008126C4"/>
    <w:rsid w:val="008139A2"/>
    <w:rsid w:val="00815C6D"/>
    <w:rsid w:val="00817BCC"/>
    <w:rsid w:val="008202D2"/>
    <w:rsid w:val="0082314A"/>
    <w:rsid w:val="00823265"/>
    <w:rsid w:val="00823438"/>
    <w:rsid w:val="00823F03"/>
    <w:rsid w:val="008256CE"/>
    <w:rsid w:val="00827480"/>
    <w:rsid w:val="00832349"/>
    <w:rsid w:val="008329A7"/>
    <w:rsid w:val="00833377"/>
    <w:rsid w:val="008348CE"/>
    <w:rsid w:val="00835EDF"/>
    <w:rsid w:val="008363F1"/>
    <w:rsid w:val="008423C3"/>
    <w:rsid w:val="008501F1"/>
    <w:rsid w:val="008512E9"/>
    <w:rsid w:val="008518C9"/>
    <w:rsid w:val="00856026"/>
    <w:rsid w:val="00856333"/>
    <w:rsid w:val="008627D2"/>
    <w:rsid w:val="00864909"/>
    <w:rsid w:val="0086548C"/>
    <w:rsid w:val="0086627F"/>
    <w:rsid w:val="008701E3"/>
    <w:rsid w:val="00870CA3"/>
    <w:rsid w:val="00871AAE"/>
    <w:rsid w:val="00872F18"/>
    <w:rsid w:val="00874255"/>
    <w:rsid w:val="00875152"/>
    <w:rsid w:val="00880C45"/>
    <w:rsid w:val="00884517"/>
    <w:rsid w:val="00884CAA"/>
    <w:rsid w:val="00884F76"/>
    <w:rsid w:val="0088579D"/>
    <w:rsid w:val="0088782A"/>
    <w:rsid w:val="00892E33"/>
    <w:rsid w:val="00895F05"/>
    <w:rsid w:val="0089788C"/>
    <w:rsid w:val="008A1012"/>
    <w:rsid w:val="008A2A93"/>
    <w:rsid w:val="008A4641"/>
    <w:rsid w:val="008A6B8E"/>
    <w:rsid w:val="008A7A64"/>
    <w:rsid w:val="008A7E4C"/>
    <w:rsid w:val="008B027E"/>
    <w:rsid w:val="008B0C12"/>
    <w:rsid w:val="008B11A6"/>
    <w:rsid w:val="008B204E"/>
    <w:rsid w:val="008B261E"/>
    <w:rsid w:val="008C4B1D"/>
    <w:rsid w:val="008D05A9"/>
    <w:rsid w:val="008D0604"/>
    <w:rsid w:val="008D23B3"/>
    <w:rsid w:val="008D5E10"/>
    <w:rsid w:val="008D64BA"/>
    <w:rsid w:val="008D65CF"/>
    <w:rsid w:val="008E01A9"/>
    <w:rsid w:val="008E3720"/>
    <w:rsid w:val="008E4AE0"/>
    <w:rsid w:val="008E59AC"/>
    <w:rsid w:val="008E5EAF"/>
    <w:rsid w:val="008F47E0"/>
    <w:rsid w:val="008F4D19"/>
    <w:rsid w:val="008F5B16"/>
    <w:rsid w:val="009002FD"/>
    <w:rsid w:val="009010A3"/>
    <w:rsid w:val="00902517"/>
    <w:rsid w:val="00902861"/>
    <w:rsid w:val="0090440B"/>
    <w:rsid w:val="00905B37"/>
    <w:rsid w:val="00906CDB"/>
    <w:rsid w:val="00910994"/>
    <w:rsid w:val="00911CCC"/>
    <w:rsid w:val="00917940"/>
    <w:rsid w:val="00920BA6"/>
    <w:rsid w:val="00922F6E"/>
    <w:rsid w:val="00923EA5"/>
    <w:rsid w:val="009241ED"/>
    <w:rsid w:val="00924698"/>
    <w:rsid w:val="00924D4B"/>
    <w:rsid w:val="009256B6"/>
    <w:rsid w:val="009265C0"/>
    <w:rsid w:val="00926824"/>
    <w:rsid w:val="009274EC"/>
    <w:rsid w:val="00930902"/>
    <w:rsid w:val="00931F2B"/>
    <w:rsid w:val="00932918"/>
    <w:rsid w:val="00934367"/>
    <w:rsid w:val="009357D5"/>
    <w:rsid w:val="009401BA"/>
    <w:rsid w:val="00940395"/>
    <w:rsid w:val="00940F2C"/>
    <w:rsid w:val="0094523C"/>
    <w:rsid w:val="00945281"/>
    <w:rsid w:val="009453FB"/>
    <w:rsid w:val="00947B59"/>
    <w:rsid w:val="00947D58"/>
    <w:rsid w:val="009500CB"/>
    <w:rsid w:val="00950A98"/>
    <w:rsid w:val="009512D9"/>
    <w:rsid w:val="00952E35"/>
    <w:rsid w:val="00953B6C"/>
    <w:rsid w:val="00956158"/>
    <w:rsid w:val="00957AC4"/>
    <w:rsid w:val="009634A0"/>
    <w:rsid w:val="009650F9"/>
    <w:rsid w:val="00967020"/>
    <w:rsid w:val="00967036"/>
    <w:rsid w:val="00970AE5"/>
    <w:rsid w:val="0097269B"/>
    <w:rsid w:val="00972777"/>
    <w:rsid w:val="00972A8E"/>
    <w:rsid w:val="00972C38"/>
    <w:rsid w:val="0097578E"/>
    <w:rsid w:val="0098087C"/>
    <w:rsid w:val="00980F3B"/>
    <w:rsid w:val="00980FA2"/>
    <w:rsid w:val="0098574C"/>
    <w:rsid w:val="009902A4"/>
    <w:rsid w:val="00990EB0"/>
    <w:rsid w:val="0099139F"/>
    <w:rsid w:val="009936D0"/>
    <w:rsid w:val="009956BE"/>
    <w:rsid w:val="009A1BCC"/>
    <w:rsid w:val="009A45ED"/>
    <w:rsid w:val="009A6CB4"/>
    <w:rsid w:val="009B6162"/>
    <w:rsid w:val="009B61BB"/>
    <w:rsid w:val="009B790C"/>
    <w:rsid w:val="009C60F6"/>
    <w:rsid w:val="009D1EBC"/>
    <w:rsid w:val="009D253A"/>
    <w:rsid w:val="009D367F"/>
    <w:rsid w:val="009D6966"/>
    <w:rsid w:val="009E3472"/>
    <w:rsid w:val="009E3647"/>
    <w:rsid w:val="009F0225"/>
    <w:rsid w:val="009F044A"/>
    <w:rsid w:val="009F1F96"/>
    <w:rsid w:val="009F2A7B"/>
    <w:rsid w:val="009F3CBC"/>
    <w:rsid w:val="009F7A13"/>
    <w:rsid w:val="00A01AE8"/>
    <w:rsid w:val="00A07006"/>
    <w:rsid w:val="00A071AC"/>
    <w:rsid w:val="00A126C5"/>
    <w:rsid w:val="00A126F9"/>
    <w:rsid w:val="00A13C5A"/>
    <w:rsid w:val="00A17C12"/>
    <w:rsid w:val="00A17CC5"/>
    <w:rsid w:val="00A201C7"/>
    <w:rsid w:val="00A20EF6"/>
    <w:rsid w:val="00A215A2"/>
    <w:rsid w:val="00A22E80"/>
    <w:rsid w:val="00A24166"/>
    <w:rsid w:val="00A24B95"/>
    <w:rsid w:val="00A25BE2"/>
    <w:rsid w:val="00A27BB5"/>
    <w:rsid w:val="00A27C74"/>
    <w:rsid w:val="00A30500"/>
    <w:rsid w:val="00A30598"/>
    <w:rsid w:val="00A306F8"/>
    <w:rsid w:val="00A30B95"/>
    <w:rsid w:val="00A31FFB"/>
    <w:rsid w:val="00A325CD"/>
    <w:rsid w:val="00A3289D"/>
    <w:rsid w:val="00A36C76"/>
    <w:rsid w:val="00A373D5"/>
    <w:rsid w:val="00A37F40"/>
    <w:rsid w:val="00A416F6"/>
    <w:rsid w:val="00A41792"/>
    <w:rsid w:val="00A429DC"/>
    <w:rsid w:val="00A47B4F"/>
    <w:rsid w:val="00A509E5"/>
    <w:rsid w:val="00A52C85"/>
    <w:rsid w:val="00A53C02"/>
    <w:rsid w:val="00A54A51"/>
    <w:rsid w:val="00A54B2C"/>
    <w:rsid w:val="00A600CA"/>
    <w:rsid w:val="00A652F4"/>
    <w:rsid w:val="00A67EDF"/>
    <w:rsid w:val="00A74A2F"/>
    <w:rsid w:val="00A751F4"/>
    <w:rsid w:val="00A76E10"/>
    <w:rsid w:val="00A82D3C"/>
    <w:rsid w:val="00A83D58"/>
    <w:rsid w:val="00A83E9D"/>
    <w:rsid w:val="00A851E5"/>
    <w:rsid w:val="00A85281"/>
    <w:rsid w:val="00A86125"/>
    <w:rsid w:val="00A90251"/>
    <w:rsid w:val="00A91633"/>
    <w:rsid w:val="00A91EE0"/>
    <w:rsid w:val="00A93068"/>
    <w:rsid w:val="00A953C1"/>
    <w:rsid w:val="00A96305"/>
    <w:rsid w:val="00A973C8"/>
    <w:rsid w:val="00AA1926"/>
    <w:rsid w:val="00AA564F"/>
    <w:rsid w:val="00AA6489"/>
    <w:rsid w:val="00AA71F4"/>
    <w:rsid w:val="00AB0805"/>
    <w:rsid w:val="00AB2C0F"/>
    <w:rsid w:val="00AB3D4F"/>
    <w:rsid w:val="00AB4EF2"/>
    <w:rsid w:val="00AB6A75"/>
    <w:rsid w:val="00AC0406"/>
    <w:rsid w:val="00AC1788"/>
    <w:rsid w:val="00AC34FA"/>
    <w:rsid w:val="00AC520B"/>
    <w:rsid w:val="00AD28B7"/>
    <w:rsid w:val="00AD7F3B"/>
    <w:rsid w:val="00AF000B"/>
    <w:rsid w:val="00AF5BEC"/>
    <w:rsid w:val="00B00318"/>
    <w:rsid w:val="00B03422"/>
    <w:rsid w:val="00B036BC"/>
    <w:rsid w:val="00B03A0A"/>
    <w:rsid w:val="00B05505"/>
    <w:rsid w:val="00B06596"/>
    <w:rsid w:val="00B07991"/>
    <w:rsid w:val="00B1020E"/>
    <w:rsid w:val="00B127ED"/>
    <w:rsid w:val="00B131D9"/>
    <w:rsid w:val="00B14D1C"/>
    <w:rsid w:val="00B14FBE"/>
    <w:rsid w:val="00B245A7"/>
    <w:rsid w:val="00B2794B"/>
    <w:rsid w:val="00B33EE9"/>
    <w:rsid w:val="00B36BCC"/>
    <w:rsid w:val="00B408D1"/>
    <w:rsid w:val="00B40B0E"/>
    <w:rsid w:val="00B410AA"/>
    <w:rsid w:val="00B42919"/>
    <w:rsid w:val="00B45475"/>
    <w:rsid w:val="00B46267"/>
    <w:rsid w:val="00B512DC"/>
    <w:rsid w:val="00B57CFC"/>
    <w:rsid w:val="00B620BB"/>
    <w:rsid w:val="00B62FA4"/>
    <w:rsid w:val="00B637FB"/>
    <w:rsid w:val="00B6567D"/>
    <w:rsid w:val="00B66D63"/>
    <w:rsid w:val="00B67C39"/>
    <w:rsid w:val="00B726F3"/>
    <w:rsid w:val="00B744BE"/>
    <w:rsid w:val="00B77471"/>
    <w:rsid w:val="00B8096F"/>
    <w:rsid w:val="00B833E9"/>
    <w:rsid w:val="00B84007"/>
    <w:rsid w:val="00B91D4B"/>
    <w:rsid w:val="00B9206C"/>
    <w:rsid w:val="00B927B4"/>
    <w:rsid w:val="00B92F25"/>
    <w:rsid w:val="00B94B01"/>
    <w:rsid w:val="00B95711"/>
    <w:rsid w:val="00BA03C0"/>
    <w:rsid w:val="00BA2975"/>
    <w:rsid w:val="00BA3A26"/>
    <w:rsid w:val="00BA50F1"/>
    <w:rsid w:val="00BA59F6"/>
    <w:rsid w:val="00BA7A53"/>
    <w:rsid w:val="00BA7C06"/>
    <w:rsid w:val="00BB024F"/>
    <w:rsid w:val="00BB28ED"/>
    <w:rsid w:val="00BB2D78"/>
    <w:rsid w:val="00BB30E3"/>
    <w:rsid w:val="00BB3FC6"/>
    <w:rsid w:val="00BB4B9C"/>
    <w:rsid w:val="00BB5DD9"/>
    <w:rsid w:val="00BC1B4F"/>
    <w:rsid w:val="00BC1E4B"/>
    <w:rsid w:val="00BC6131"/>
    <w:rsid w:val="00BD1936"/>
    <w:rsid w:val="00BD326D"/>
    <w:rsid w:val="00BD358E"/>
    <w:rsid w:val="00BD3951"/>
    <w:rsid w:val="00BD5AEC"/>
    <w:rsid w:val="00BD73D7"/>
    <w:rsid w:val="00BE0B99"/>
    <w:rsid w:val="00BE253C"/>
    <w:rsid w:val="00BE5219"/>
    <w:rsid w:val="00BF52E2"/>
    <w:rsid w:val="00BF57B9"/>
    <w:rsid w:val="00BF6AF9"/>
    <w:rsid w:val="00C02359"/>
    <w:rsid w:val="00C02918"/>
    <w:rsid w:val="00C063F7"/>
    <w:rsid w:val="00C10E24"/>
    <w:rsid w:val="00C111B5"/>
    <w:rsid w:val="00C11BBF"/>
    <w:rsid w:val="00C14A2C"/>
    <w:rsid w:val="00C221ED"/>
    <w:rsid w:val="00C23BC1"/>
    <w:rsid w:val="00C25C7A"/>
    <w:rsid w:val="00C27906"/>
    <w:rsid w:val="00C31748"/>
    <w:rsid w:val="00C34943"/>
    <w:rsid w:val="00C34E32"/>
    <w:rsid w:val="00C354B6"/>
    <w:rsid w:val="00C3673B"/>
    <w:rsid w:val="00C3722F"/>
    <w:rsid w:val="00C41064"/>
    <w:rsid w:val="00C4357C"/>
    <w:rsid w:val="00C436CF"/>
    <w:rsid w:val="00C45611"/>
    <w:rsid w:val="00C46236"/>
    <w:rsid w:val="00C5028B"/>
    <w:rsid w:val="00C51D71"/>
    <w:rsid w:val="00C51F88"/>
    <w:rsid w:val="00C52F39"/>
    <w:rsid w:val="00C53E36"/>
    <w:rsid w:val="00C5666E"/>
    <w:rsid w:val="00C56702"/>
    <w:rsid w:val="00C601B8"/>
    <w:rsid w:val="00C61E2C"/>
    <w:rsid w:val="00C63DC5"/>
    <w:rsid w:val="00C65475"/>
    <w:rsid w:val="00C71C7D"/>
    <w:rsid w:val="00C72EE5"/>
    <w:rsid w:val="00C736E7"/>
    <w:rsid w:val="00C76B9F"/>
    <w:rsid w:val="00C773CF"/>
    <w:rsid w:val="00C77947"/>
    <w:rsid w:val="00C77C01"/>
    <w:rsid w:val="00C82644"/>
    <w:rsid w:val="00C842E4"/>
    <w:rsid w:val="00C85408"/>
    <w:rsid w:val="00C85E55"/>
    <w:rsid w:val="00C874C1"/>
    <w:rsid w:val="00C87560"/>
    <w:rsid w:val="00C879BD"/>
    <w:rsid w:val="00C95179"/>
    <w:rsid w:val="00CA2CBB"/>
    <w:rsid w:val="00CA5773"/>
    <w:rsid w:val="00CA5DBF"/>
    <w:rsid w:val="00CB1C0E"/>
    <w:rsid w:val="00CB415E"/>
    <w:rsid w:val="00CB6A25"/>
    <w:rsid w:val="00CB6B25"/>
    <w:rsid w:val="00CB6F66"/>
    <w:rsid w:val="00CB6FE8"/>
    <w:rsid w:val="00CC0CF5"/>
    <w:rsid w:val="00CC172E"/>
    <w:rsid w:val="00CC1F2A"/>
    <w:rsid w:val="00CC245B"/>
    <w:rsid w:val="00CC2727"/>
    <w:rsid w:val="00CC3988"/>
    <w:rsid w:val="00CC3D02"/>
    <w:rsid w:val="00CC4EA0"/>
    <w:rsid w:val="00CC7B1F"/>
    <w:rsid w:val="00CD0939"/>
    <w:rsid w:val="00CD36DC"/>
    <w:rsid w:val="00CD4A29"/>
    <w:rsid w:val="00CE0EA6"/>
    <w:rsid w:val="00CE1BAE"/>
    <w:rsid w:val="00CE1BDC"/>
    <w:rsid w:val="00CE3E7F"/>
    <w:rsid w:val="00CE4E9C"/>
    <w:rsid w:val="00CE5D78"/>
    <w:rsid w:val="00CF22D6"/>
    <w:rsid w:val="00CF6871"/>
    <w:rsid w:val="00D004A4"/>
    <w:rsid w:val="00D03874"/>
    <w:rsid w:val="00D047DB"/>
    <w:rsid w:val="00D05569"/>
    <w:rsid w:val="00D1005F"/>
    <w:rsid w:val="00D1055D"/>
    <w:rsid w:val="00D13D4F"/>
    <w:rsid w:val="00D152D3"/>
    <w:rsid w:val="00D20A25"/>
    <w:rsid w:val="00D3122F"/>
    <w:rsid w:val="00D34A84"/>
    <w:rsid w:val="00D35773"/>
    <w:rsid w:val="00D35FCD"/>
    <w:rsid w:val="00D41F1B"/>
    <w:rsid w:val="00D42D37"/>
    <w:rsid w:val="00D4631C"/>
    <w:rsid w:val="00D47858"/>
    <w:rsid w:val="00D47F1B"/>
    <w:rsid w:val="00D501C0"/>
    <w:rsid w:val="00D50326"/>
    <w:rsid w:val="00D52C74"/>
    <w:rsid w:val="00D567D9"/>
    <w:rsid w:val="00D568B3"/>
    <w:rsid w:val="00D60217"/>
    <w:rsid w:val="00D6123B"/>
    <w:rsid w:val="00D65474"/>
    <w:rsid w:val="00D72AD4"/>
    <w:rsid w:val="00D7306B"/>
    <w:rsid w:val="00D7333D"/>
    <w:rsid w:val="00D736C5"/>
    <w:rsid w:val="00D74348"/>
    <w:rsid w:val="00D743F9"/>
    <w:rsid w:val="00D7649F"/>
    <w:rsid w:val="00D83207"/>
    <w:rsid w:val="00D84649"/>
    <w:rsid w:val="00D8580E"/>
    <w:rsid w:val="00D90C92"/>
    <w:rsid w:val="00D92BE8"/>
    <w:rsid w:val="00D939AC"/>
    <w:rsid w:val="00D97A97"/>
    <w:rsid w:val="00D97E72"/>
    <w:rsid w:val="00DA0428"/>
    <w:rsid w:val="00DA442E"/>
    <w:rsid w:val="00DA4469"/>
    <w:rsid w:val="00DA505C"/>
    <w:rsid w:val="00DA5BA6"/>
    <w:rsid w:val="00DB0CAE"/>
    <w:rsid w:val="00DB7B04"/>
    <w:rsid w:val="00DC2459"/>
    <w:rsid w:val="00DC2D02"/>
    <w:rsid w:val="00DD463B"/>
    <w:rsid w:val="00DD4AA0"/>
    <w:rsid w:val="00DD73ED"/>
    <w:rsid w:val="00DD773A"/>
    <w:rsid w:val="00DD7C06"/>
    <w:rsid w:val="00DE788C"/>
    <w:rsid w:val="00DF04F4"/>
    <w:rsid w:val="00DF10F3"/>
    <w:rsid w:val="00DF2E14"/>
    <w:rsid w:val="00DF3195"/>
    <w:rsid w:val="00DF3281"/>
    <w:rsid w:val="00DF7258"/>
    <w:rsid w:val="00E02559"/>
    <w:rsid w:val="00E025A3"/>
    <w:rsid w:val="00E02FAB"/>
    <w:rsid w:val="00E034E3"/>
    <w:rsid w:val="00E0582B"/>
    <w:rsid w:val="00E073EF"/>
    <w:rsid w:val="00E10423"/>
    <w:rsid w:val="00E1195E"/>
    <w:rsid w:val="00E11B81"/>
    <w:rsid w:val="00E154AA"/>
    <w:rsid w:val="00E16E0C"/>
    <w:rsid w:val="00E24BFD"/>
    <w:rsid w:val="00E2674A"/>
    <w:rsid w:val="00E27A88"/>
    <w:rsid w:val="00E40D7D"/>
    <w:rsid w:val="00E47963"/>
    <w:rsid w:val="00E511EC"/>
    <w:rsid w:val="00E52856"/>
    <w:rsid w:val="00E53999"/>
    <w:rsid w:val="00E60CE5"/>
    <w:rsid w:val="00E62904"/>
    <w:rsid w:val="00E62A0E"/>
    <w:rsid w:val="00E65637"/>
    <w:rsid w:val="00E72167"/>
    <w:rsid w:val="00E7256B"/>
    <w:rsid w:val="00E75BE7"/>
    <w:rsid w:val="00E75DF7"/>
    <w:rsid w:val="00E83C35"/>
    <w:rsid w:val="00E84829"/>
    <w:rsid w:val="00E84A8C"/>
    <w:rsid w:val="00E90881"/>
    <w:rsid w:val="00E93CDA"/>
    <w:rsid w:val="00E95588"/>
    <w:rsid w:val="00E974FD"/>
    <w:rsid w:val="00EA0000"/>
    <w:rsid w:val="00EA0C48"/>
    <w:rsid w:val="00EA0D2B"/>
    <w:rsid w:val="00EA0D65"/>
    <w:rsid w:val="00EA18EE"/>
    <w:rsid w:val="00EA1FE9"/>
    <w:rsid w:val="00EA2C19"/>
    <w:rsid w:val="00EA5C6A"/>
    <w:rsid w:val="00EB19B8"/>
    <w:rsid w:val="00EB3154"/>
    <w:rsid w:val="00EB368E"/>
    <w:rsid w:val="00EB45BD"/>
    <w:rsid w:val="00EB4986"/>
    <w:rsid w:val="00EB5DD7"/>
    <w:rsid w:val="00EB6F9A"/>
    <w:rsid w:val="00EB7F9E"/>
    <w:rsid w:val="00EC291D"/>
    <w:rsid w:val="00EC2B37"/>
    <w:rsid w:val="00EC32EF"/>
    <w:rsid w:val="00EC37F8"/>
    <w:rsid w:val="00EC56C8"/>
    <w:rsid w:val="00EC67EF"/>
    <w:rsid w:val="00EC69E7"/>
    <w:rsid w:val="00EC6F40"/>
    <w:rsid w:val="00ED273D"/>
    <w:rsid w:val="00ED4DB5"/>
    <w:rsid w:val="00ED4DF4"/>
    <w:rsid w:val="00ED4F57"/>
    <w:rsid w:val="00ED50FC"/>
    <w:rsid w:val="00ED6895"/>
    <w:rsid w:val="00ED7087"/>
    <w:rsid w:val="00EE1521"/>
    <w:rsid w:val="00EE4D8C"/>
    <w:rsid w:val="00EF0485"/>
    <w:rsid w:val="00EF1EC4"/>
    <w:rsid w:val="00EF6965"/>
    <w:rsid w:val="00F02042"/>
    <w:rsid w:val="00F066FD"/>
    <w:rsid w:val="00F078AB"/>
    <w:rsid w:val="00F13A6B"/>
    <w:rsid w:val="00F15A86"/>
    <w:rsid w:val="00F15BDD"/>
    <w:rsid w:val="00F2195F"/>
    <w:rsid w:val="00F2468E"/>
    <w:rsid w:val="00F32698"/>
    <w:rsid w:val="00F3705A"/>
    <w:rsid w:val="00F41E26"/>
    <w:rsid w:val="00F42751"/>
    <w:rsid w:val="00F45FB3"/>
    <w:rsid w:val="00F503DC"/>
    <w:rsid w:val="00F503E8"/>
    <w:rsid w:val="00F505F3"/>
    <w:rsid w:val="00F549A6"/>
    <w:rsid w:val="00F558A5"/>
    <w:rsid w:val="00F60195"/>
    <w:rsid w:val="00F6413E"/>
    <w:rsid w:val="00F66AAD"/>
    <w:rsid w:val="00F6775C"/>
    <w:rsid w:val="00F678D6"/>
    <w:rsid w:val="00F769C3"/>
    <w:rsid w:val="00F76F98"/>
    <w:rsid w:val="00F76FC0"/>
    <w:rsid w:val="00F81C2B"/>
    <w:rsid w:val="00F830A7"/>
    <w:rsid w:val="00F83E41"/>
    <w:rsid w:val="00F87A0B"/>
    <w:rsid w:val="00F910B4"/>
    <w:rsid w:val="00F94F87"/>
    <w:rsid w:val="00F96111"/>
    <w:rsid w:val="00F96125"/>
    <w:rsid w:val="00FA0001"/>
    <w:rsid w:val="00FA0E62"/>
    <w:rsid w:val="00FA69FB"/>
    <w:rsid w:val="00FA6A03"/>
    <w:rsid w:val="00FA7C12"/>
    <w:rsid w:val="00FB22DA"/>
    <w:rsid w:val="00FB3866"/>
    <w:rsid w:val="00FB3CD4"/>
    <w:rsid w:val="00FB45AC"/>
    <w:rsid w:val="00FB5607"/>
    <w:rsid w:val="00FB5C5B"/>
    <w:rsid w:val="00FC13D7"/>
    <w:rsid w:val="00FC20B9"/>
    <w:rsid w:val="00FC72FC"/>
    <w:rsid w:val="00FC7F10"/>
    <w:rsid w:val="00FD1679"/>
    <w:rsid w:val="00FD2B0F"/>
    <w:rsid w:val="00FD4BC2"/>
    <w:rsid w:val="00FD7FBA"/>
    <w:rsid w:val="00FE02A0"/>
    <w:rsid w:val="00FE17A5"/>
    <w:rsid w:val="00FE1B03"/>
    <w:rsid w:val="00FE29A8"/>
    <w:rsid w:val="00FE2B4F"/>
    <w:rsid w:val="00FE398E"/>
    <w:rsid w:val="00FE42E3"/>
    <w:rsid w:val="00FE5AB8"/>
    <w:rsid w:val="00FE797D"/>
    <w:rsid w:val="00FF0280"/>
    <w:rsid w:val="00FF3118"/>
    <w:rsid w:val="00FF3B1B"/>
    <w:rsid w:val="00FF50A8"/>
    <w:rsid w:val="00FF5B2C"/>
    <w:rsid w:val="00FF7C0D"/>
    <w:rsid w:val="010A5DC4"/>
    <w:rsid w:val="025C30AD"/>
    <w:rsid w:val="02D02EBD"/>
    <w:rsid w:val="02EC7DF2"/>
    <w:rsid w:val="05163E75"/>
    <w:rsid w:val="055030E1"/>
    <w:rsid w:val="05764449"/>
    <w:rsid w:val="05D83309"/>
    <w:rsid w:val="061F2B3B"/>
    <w:rsid w:val="06551025"/>
    <w:rsid w:val="06790348"/>
    <w:rsid w:val="06C757C6"/>
    <w:rsid w:val="06F71C65"/>
    <w:rsid w:val="08634C0A"/>
    <w:rsid w:val="09357A62"/>
    <w:rsid w:val="0A011410"/>
    <w:rsid w:val="0A04689F"/>
    <w:rsid w:val="0A2B2E23"/>
    <w:rsid w:val="0B507CFD"/>
    <w:rsid w:val="0BB71275"/>
    <w:rsid w:val="0BFA3567"/>
    <w:rsid w:val="0C631761"/>
    <w:rsid w:val="0D312794"/>
    <w:rsid w:val="0D60594A"/>
    <w:rsid w:val="0D6841DD"/>
    <w:rsid w:val="0EDA7342"/>
    <w:rsid w:val="0F326BC7"/>
    <w:rsid w:val="0F945CDD"/>
    <w:rsid w:val="107227BA"/>
    <w:rsid w:val="1092136E"/>
    <w:rsid w:val="11AE2892"/>
    <w:rsid w:val="12055B04"/>
    <w:rsid w:val="13203087"/>
    <w:rsid w:val="135E172B"/>
    <w:rsid w:val="151376B5"/>
    <w:rsid w:val="165C79D0"/>
    <w:rsid w:val="1711350C"/>
    <w:rsid w:val="17B9462A"/>
    <w:rsid w:val="18221F39"/>
    <w:rsid w:val="183550CB"/>
    <w:rsid w:val="19C64A67"/>
    <w:rsid w:val="19D72A04"/>
    <w:rsid w:val="1A4A16E2"/>
    <w:rsid w:val="1A515E18"/>
    <w:rsid w:val="1A9D519C"/>
    <w:rsid w:val="1AD12C6B"/>
    <w:rsid w:val="1AE06E72"/>
    <w:rsid w:val="1B7F79E7"/>
    <w:rsid w:val="1BD602FB"/>
    <w:rsid w:val="1BFD2A58"/>
    <w:rsid w:val="1C451FDD"/>
    <w:rsid w:val="1C615856"/>
    <w:rsid w:val="1D585515"/>
    <w:rsid w:val="1D8A4C34"/>
    <w:rsid w:val="1E2F26BA"/>
    <w:rsid w:val="1E371D50"/>
    <w:rsid w:val="1EC23F7A"/>
    <w:rsid w:val="1FE73A9D"/>
    <w:rsid w:val="1FF65426"/>
    <w:rsid w:val="201F7326"/>
    <w:rsid w:val="20D37767"/>
    <w:rsid w:val="21D8433B"/>
    <w:rsid w:val="21D91125"/>
    <w:rsid w:val="220228BD"/>
    <w:rsid w:val="231D08DA"/>
    <w:rsid w:val="234C4E76"/>
    <w:rsid w:val="249D634D"/>
    <w:rsid w:val="257F2624"/>
    <w:rsid w:val="26067DA8"/>
    <w:rsid w:val="27E31E23"/>
    <w:rsid w:val="28A7731B"/>
    <w:rsid w:val="28BB4B42"/>
    <w:rsid w:val="28EB2967"/>
    <w:rsid w:val="296F549E"/>
    <w:rsid w:val="2A7B0A07"/>
    <w:rsid w:val="2AE474A0"/>
    <w:rsid w:val="2C732E69"/>
    <w:rsid w:val="2DDB77E7"/>
    <w:rsid w:val="30B252C5"/>
    <w:rsid w:val="30D55E8A"/>
    <w:rsid w:val="30DC223B"/>
    <w:rsid w:val="3190581E"/>
    <w:rsid w:val="321B6897"/>
    <w:rsid w:val="329324F4"/>
    <w:rsid w:val="32CB0750"/>
    <w:rsid w:val="338E1C3D"/>
    <w:rsid w:val="33CC7C1C"/>
    <w:rsid w:val="345A75A6"/>
    <w:rsid w:val="357E5107"/>
    <w:rsid w:val="36486E63"/>
    <w:rsid w:val="367671FC"/>
    <w:rsid w:val="37115A12"/>
    <w:rsid w:val="37EE566A"/>
    <w:rsid w:val="38123E8E"/>
    <w:rsid w:val="38295B83"/>
    <w:rsid w:val="38A772B6"/>
    <w:rsid w:val="38C23882"/>
    <w:rsid w:val="38E11085"/>
    <w:rsid w:val="393C46DC"/>
    <w:rsid w:val="396732DD"/>
    <w:rsid w:val="39EF1A84"/>
    <w:rsid w:val="39F73CBB"/>
    <w:rsid w:val="3B41629F"/>
    <w:rsid w:val="3B724BE7"/>
    <w:rsid w:val="3BAF4E25"/>
    <w:rsid w:val="3C2C2A3A"/>
    <w:rsid w:val="3C751E7C"/>
    <w:rsid w:val="3C924357"/>
    <w:rsid w:val="3C926AEF"/>
    <w:rsid w:val="3CCF2115"/>
    <w:rsid w:val="3E333A4A"/>
    <w:rsid w:val="3EB57949"/>
    <w:rsid w:val="3F1F0229"/>
    <w:rsid w:val="3F290FFD"/>
    <w:rsid w:val="3F4B1440"/>
    <w:rsid w:val="3FB543D5"/>
    <w:rsid w:val="3FCD708C"/>
    <w:rsid w:val="40382E3C"/>
    <w:rsid w:val="40A83A58"/>
    <w:rsid w:val="40C50AE6"/>
    <w:rsid w:val="420D3133"/>
    <w:rsid w:val="42375D42"/>
    <w:rsid w:val="42D617B4"/>
    <w:rsid w:val="42E02AD8"/>
    <w:rsid w:val="43216FC5"/>
    <w:rsid w:val="447635B3"/>
    <w:rsid w:val="45187212"/>
    <w:rsid w:val="45690969"/>
    <w:rsid w:val="45F42DD1"/>
    <w:rsid w:val="46F14131"/>
    <w:rsid w:val="46FE1274"/>
    <w:rsid w:val="487945F8"/>
    <w:rsid w:val="48D12F0F"/>
    <w:rsid w:val="48DD5BDC"/>
    <w:rsid w:val="49397237"/>
    <w:rsid w:val="49444B04"/>
    <w:rsid w:val="49510466"/>
    <w:rsid w:val="49B03735"/>
    <w:rsid w:val="4A303C67"/>
    <w:rsid w:val="4B6B1792"/>
    <w:rsid w:val="4B711678"/>
    <w:rsid w:val="4B814839"/>
    <w:rsid w:val="4C5705A8"/>
    <w:rsid w:val="4DB41023"/>
    <w:rsid w:val="4E0F2E26"/>
    <w:rsid w:val="4E2E6107"/>
    <w:rsid w:val="4EF11995"/>
    <w:rsid w:val="4F8540F7"/>
    <w:rsid w:val="502F4D8F"/>
    <w:rsid w:val="50A372E6"/>
    <w:rsid w:val="50A8559F"/>
    <w:rsid w:val="51137A93"/>
    <w:rsid w:val="514C5D6B"/>
    <w:rsid w:val="51E56B04"/>
    <w:rsid w:val="522254B2"/>
    <w:rsid w:val="52582329"/>
    <w:rsid w:val="535E0B3A"/>
    <w:rsid w:val="544E1BE6"/>
    <w:rsid w:val="547A31B7"/>
    <w:rsid w:val="56315DBC"/>
    <w:rsid w:val="56701E3F"/>
    <w:rsid w:val="571B0E29"/>
    <w:rsid w:val="57802C1F"/>
    <w:rsid w:val="57DB7C0C"/>
    <w:rsid w:val="58391CC2"/>
    <w:rsid w:val="590C34B1"/>
    <w:rsid w:val="594249DF"/>
    <w:rsid w:val="59476C19"/>
    <w:rsid w:val="59DF4B3F"/>
    <w:rsid w:val="5AAF3C9D"/>
    <w:rsid w:val="5C1F2723"/>
    <w:rsid w:val="5D8D6186"/>
    <w:rsid w:val="5DF75B8C"/>
    <w:rsid w:val="5EC50D29"/>
    <w:rsid w:val="5F661B46"/>
    <w:rsid w:val="5F812757"/>
    <w:rsid w:val="60AE4DBC"/>
    <w:rsid w:val="615C21DF"/>
    <w:rsid w:val="621F19FF"/>
    <w:rsid w:val="626F724C"/>
    <w:rsid w:val="62917FE8"/>
    <w:rsid w:val="62C94E34"/>
    <w:rsid w:val="62C973B9"/>
    <w:rsid w:val="631005F5"/>
    <w:rsid w:val="63471A40"/>
    <w:rsid w:val="63D6319A"/>
    <w:rsid w:val="646C5FE2"/>
    <w:rsid w:val="654C73E8"/>
    <w:rsid w:val="65977BA9"/>
    <w:rsid w:val="65CD2DA8"/>
    <w:rsid w:val="671F1577"/>
    <w:rsid w:val="67CC08BC"/>
    <w:rsid w:val="68337A1B"/>
    <w:rsid w:val="68490BA5"/>
    <w:rsid w:val="68E41620"/>
    <w:rsid w:val="6AE2367C"/>
    <w:rsid w:val="6B8443EB"/>
    <w:rsid w:val="6C9F1FDB"/>
    <w:rsid w:val="6D923173"/>
    <w:rsid w:val="6ED201BC"/>
    <w:rsid w:val="6ED54F3F"/>
    <w:rsid w:val="70E70DEA"/>
    <w:rsid w:val="729B119D"/>
    <w:rsid w:val="72A056BA"/>
    <w:rsid w:val="72EE7A5E"/>
    <w:rsid w:val="7398206F"/>
    <w:rsid w:val="74207BA7"/>
    <w:rsid w:val="75C3789C"/>
    <w:rsid w:val="7630704B"/>
    <w:rsid w:val="76476523"/>
    <w:rsid w:val="77514D90"/>
    <w:rsid w:val="77707145"/>
    <w:rsid w:val="79886C33"/>
    <w:rsid w:val="79FB0CBC"/>
    <w:rsid w:val="7A85308B"/>
    <w:rsid w:val="7AAB1005"/>
    <w:rsid w:val="7B5004DB"/>
    <w:rsid w:val="7C5C3A1E"/>
    <w:rsid w:val="7C7E64EF"/>
    <w:rsid w:val="7D2968CD"/>
    <w:rsid w:val="7D3313D6"/>
    <w:rsid w:val="7E466AB8"/>
    <w:rsid w:val="7E8178B7"/>
    <w:rsid w:val="7F3A06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qFormat="1" w:unhideWhenUsed="0" w:uiPriority="0" w:name="footnote text"/>
    <w:lsdException w:qFormat="1" w:unhideWhenUsed="0" w:uiPriority="99"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qFormat="1" w:unhideWhenUsed="0" w:uiPriority="0" w:semiHidden="0" w:name="List 2"/>
    <w:lsdException w:qFormat="1" w:unhideWhenUsed="0" w:uiPriority="0"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iPriority="99"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qFormat="1" w:unhideWhenUsed="0" w:uiPriority="0" w:semiHidden="0" w:name="HTML Acronym"/>
    <w:lsdException w:qFormat="1" w:unhideWhenUsed="0" w:uiPriority="0" w:semiHidden="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5"/>
    <w:qFormat/>
    <w:uiPriority w:val="9"/>
    <w:pPr>
      <w:keepNext/>
      <w:keepLines/>
      <w:spacing w:before="340" w:after="330" w:line="576" w:lineRule="auto"/>
      <w:outlineLvl w:val="0"/>
    </w:pPr>
    <w:rPr>
      <w:b/>
      <w:bCs/>
      <w:kern w:val="44"/>
      <w:sz w:val="44"/>
      <w:szCs w:val="44"/>
    </w:rPr>
  </w:style>
  <w:style w:type="paragraph" w:styleId="3">
    <w:name w:val="heading 2"/>
    <w:basedOn w:val="1"/>
    <w:next w:val="1"/>
    <w:link w:val="84"/>
    <w:qFormat/>
    <w:uiPriority w:val="9"/>
    <w:pPr>
      <w:keepNext/>
      <w:keepLines/>
      <w:numPr>
        <w:ilvl w:val="1"/>
        <w:numId w:val="1"/>
      </w:numPr>
      <w:adjustRightInd w:val="0"/>
      <w:spacing w:before="260" w:after="260" w:line="416" w:lineRule="atLeast"/>
      <w:jc w:val="center"/>
      <w:outlineLvl w:val="1"/>
    </w:pPr>
    <w:rPr>
      <w:rFonts w:ascii="Arial" w:hAnsi="Arial" w:eastAsia="黑体"/>
      <w:b/>
      <w:kern w:val="0"/>
      <w:sz w:val="32"/>
      <w:szCs w:val="20"/>
    </w:rPr>
  </w:style>
  <w:style w:type="paragraph" w:styleId="4">
    <w:name w:val="heading 3"/>
    <w:basedOn w:val="1"/>
    <w:next w:val="1"/>
    <w:link w:val="90"/>
    <w:qFormat/>
    <w:uiPriority w:val="0"/>
    <w:pPr>
      <w:keepNext/>
      <w:keepLines/>
      <w:numPr>
        <w:ilvl w:val="2"/>
        <w:numId w:val="1"/>
      </w:numPr>
      <w:adjustRightInd w:val="0"/>
      <w:spacing w:before="260" w:after="260" w:line="416" w:lineRule="atLeast"/>
      <w:outlineLvl w:val="2"/>
    </w:pPr>
    <w:rPr>
      <w:b/>
      <w:kern w:val="0"/>
      <w:sz w:val="32"/>
      <w:szCs w:val="20"/>
    </w:rPr>
  </w:style>
  <w:style w:type="paragraph" w:styleId="5">
    <w:name w:val="heading 4"/>
    <w:basedOn w:val="1"/>
    <w:next w:val="1"/>
    <w:link w:val="72"/>
    <w:qFormat/>
    <w:uiPriority w:val="0"/>
    <w:pPr>
      <w:keepNext/>
      <w:keepLines/>
      <w:numPr>
        <w:ilvl w:val="3"/>
        <w:numId w:val="1"/>
      </w:numPr>
      <w:adjustRightInd w:val="0"/>
      <w:spacing w:before="280" w:after="290" w:line="376" w:lineRule="atLeast"/>
      <w:outlineLvl w:val="3"/>
    </w:pPr>
    <w:rPr>
      <w:rFonts w:ascii="Arial" w:hAnsi="Arial" w:eastAsia="黑体"/>
      <w:b/>
      <w:kern w:val="0"/>
      <w:sz w:val="28"/>
      <w:szCs w:val="20"/>
    </w:rPr>
  </w:style>
  <w:style w:type="paragraph" w:styleId="6">
    <w:name w:val="heading 5"/>
    <w:basedOn w:val="1"/>
    <w:next w:val="1"/>
    <w:link w:val="89"/>
    <w:qFormat/>
    <w:uiPriority w:val="0"/>
    <w:pPr>
      <w:keepNext/>
      <w:keepLines/>
      <w:numPr>
        <w:ilvl w:val="4"/>
        <w:numId w:val="1"/>
      </w:numPr>
      <w:adjustRightInd w:val="0"/>
      <w:spacing w:before="280" w:after="290" w:line="376" w:lineRule="atLeast"/>
      <w:outlineLvl w:val="4"/>
    </w:pPr>
    <w:rPr>
      <w:b/>
      <w:kern w:val="0"/>
      <w:sz w:val="28"/>
      <w:szCs w:val="20"/>
    </w:rPr>
  </w:style>
  <w:style w:type="paragraph" w:styleId="7">
    <w:name w:val="heading 6"/>
    <w:basedOn w:val="1"/>
    <w:next w:val="1"/>
    <w:link w:val="87"/>
    <w:qFormat/>
    <w:uiPriority w:val="0"/>
    <w:pPr>
      <w:keepNext/>
      <w:keepLines/>
      <w:numPr>
        <w:ilvl w:val="5"/>
        <w:numId w:val="1"/>
      </w:numPr>
      <w:adjustRightInd w:val="0"/>
      <w:spacing w:before="240" w:after="64" w:line="320" w:lineRule="atLeast"/>
      <w:outlineLvl w:val="5"/>
    </w:pPr>
    <w:rPr>
      <w:rFonts w:ascii="Arial" w:hAnsi="Arial" w:eastAsia="黑体"/>
      <w:b/>
      <w:kern w:val="0"/>
      <w:sz w:val="24"/>
      <w:szCs w:val="20"/>
    </w:rPr>
  </w:style>
  <w:style w:type="paragraph" w:styleId="8">
    <w:name w:val="heading 7"/>
    <w:basedOn w:val="1"/>
    <w:next w:val="1"/>
    <w:link w:val="73"/>
    <w:qFormat/>
    <w:uiPriority w:val="0"/>
    <w:pPr>
      <w:keepNext/>
      <w:keepLines/>
      <w:numPr>
        <w:ilvl w:val="6"/>
        <w:numId w:val="1"/>
      </w:numPr>
      <w:adjustRightInd w:val="0"/>
      <w:spacing w:before="240" w:after="64" w:line="320" w:lineRule="atLeast"/>
      <w:outlineLvl w:val="6"/>
    </w:pPr>
    <w:rPr>
      <w:b/>
      <w:kern w:val="0"/>
      <w:sz w:val="24"/>
      <w:szCs w:val="20"/>
    </w:rPr>
  </w:style>
  <w:style w:type="paragraph" w:styleId="9">
    <w:name w:val="heading 8"/>
    <w:basedOn w:val="1"/>
    <w:next w:val="1"/>
    <w:link w:val="82"/>
    <w:qFormat/>
    <w:uiPriority w:val="0"/>
    <w:pPr>
      <w:keepNext/>
      <w:keepLines/>
      <w:numPr>
        <w:ilvl w:val="7"/>
        <w:numId w:val="1"/>
      </w:numPr>
      <w:adjustRightInd w:val="0"/>
      <w:spacing w:before="240" w:after="64" w:line="320" w:lineRule="atLeast"/>
      <w:outlineLvl w:val="7"/>
    </w:pPr>
    <w:rPr>
      <w:rFonts w:ascii="Arial" w:hAnsi="Arial" w:eastAsia="黑体"/>
      <w:kern w:val="0"/>
      <w:sz w:val="24"/>
      <w:szCs w:val="20"/>
    </w:rPr>
  </w:style>
  <w:style w:type="paragraph" w:styleId="10">
    <w:name w:val="heading 9"/>
    <w:basedOn w:val="1"/>
    <w:next w:val="1"/>
    <w:link w:val="83"/>
    <w:qFormat/>
    <w:uiPriority w:val="0"/>
    <w:pPr>
      <w:keepNext/>
      <w:keepLines/>
      <w:numPr>
        <w:ilvl w:val="8"/>
        <w:numId w:val="1"/>
      </w:numPr>
      <w:adjustRightInd w:val="0"/>
      <w:spacing w:before="240" w:after="64" w:line="320" w:lineRule="atLeast"/>
      <w:outlineLvl w:val="8"/>
    </w:pPr>
    <w:rPr>
      <w:rFonts w:ascii="Arial" w:hAnsi="Arial" w:eastAsia="黑体"/>
      <w:kern w:val="0"/>
      <w:szCs w:val="20"/>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style>
  <w:style w:type="paragraph" w:styleId="12">
    <w:name w:val="Normal Indent"/>
    <w:basedOn w:val="1"/>
    <w:link w:val="77"/>
    <w:qFormat/>
    <w:uiPriority w:val="99"/>
    <w:pPr>
      <w:ind w:firstLine="420"/>
    </w:pPr>
    <w:rPr>
      <w:rFonts w:ascii="宋体" w:hAnsi="宋体"/>
      <w:sz w:val="24"/>
      <w:szCs w:val="20"/>
    </w:rPr>
  </w:style>
  <w:style w:type="paragraph" w:styleId="13">
    <w:name w:val="Document Map"/>
    <w:basedOn w:val="1"/>
    <w:link w:val="88"/>
    <w:semiHidden/>
    <w:qFormat/>
    <w:uiPriority w:val="0"/>
    <w:pPr>
      <w:shd w:val="clear" w:color="auto" w:fill="000080"/>
    </w:pPr>
    <w:rPr>
      <w:rFonts w:ascii="宋体" w:hAnsi="宋体"/>
    </w:rPr>
  </w:style>
  <w:style w:type="paragraph" w:styleId="14">
    <w:name w:val="annotation text"/>
    <w:basedOn w:val="1"/>
    <w:link w:val="74"/>
    <w:semiHidden/>
    <w:qFormat/>
    <w:uiPriority w:val="99"/>
    <w:pPr>
      <w:widowControl/>
      <w:jc w:val="left"/>
    </w:pPr>
    <w:rPr>
      <w:rFonts w:ascii="宋体" w:hAnsi="宋体"/>
      <w:kern w:val="0"/>
      <w:sz w:val="20"/>
      <w:szCs w:val="20"/>
    </w:rPr>
  </w:style>
  <w:style w:type="paragraph" w:styleId="15">
    <w:name w:val="Salutation"/>
    <w:basedOn w:val="1"/>
    <w:next w:val="1"/>
    <w:link w:val="231"/>
    <w:unhideWhenUsed/>
    <w:qFormat/>
    <w:uiPriority w:val="99"/>
    <w:pPr>
      <w:widowControl/>
      <w:adjustRightInd w:val="0"/>
      <w:spacing w:line="312" w:lineRule="atLeast"/>
      <w:ind w:firstLine="200" w:firstLineChars="200"/>
      <w:jc w:val="left"/>
      <w:textAlignment w:val="baseline"/>
    </w:pPr>
    <w:rPr>
      <w:rFonts w:ascii="仿宋_GB2312" w:hAnsi="Calibri" w:eastAsia="仿宋_GB2312"/>
      <w:kern w:val="0"/>
      <w:sz w:val="24"/>
      <w:lang w:eastAsia="en-US"/>
    </w:rPr>
  </w:style>
  <w:style w:type="paragraph" w:styleId="16">
    <w:name w:val="Body Text 3"/>
    <w:basedOn w:val="1"/>
    <w:link w:val="71"/>
    <w:qFormat/>
    <w:uiPriority w:val="0"/>
    <w:pPr>
      <w:spacing w:after="120"/>
    </w:pPr>
    <w:rPr>
      <w:rFonts w:ascii="宋体" w:hAnsi="宋体"/>
      <w:sz w:val="16"/>
      <w:szCs w:val="16"/>
    </w:rPr>
  </w:style>
  <w:style w:type="paragraph" w:styleId="17">
    <w:name w:val="Body Text"/>
    <w:basedOn w:val="1"/>
    <w:link w:val="57"/>
    <w:qFormat/>
    <w:uiPriority w:val="99"/>
    <w:rPr>
      <w:rFonts w:ascii="黑体" w:eastAsia="黑体"/>
      <w:b/>
      <w:color w:val="FF0000"/>
      <w:spacing w:val="-18"/>
      <w:kern w:val="0"/>
      <w:sz w:val="52"/>
      <w:szCs w:val="20"/>
    </w:rPr>
  </w:style>
  <w:style w:type="paragraph" w:styleId="18">
    <w:name w:val="Body Text Indent"/>
    <w:basedOn w:val="1"/>
    <w:link w:val="86"/>
    <w:qFormat/>
    <w:uiPriority w:val="0"/>
    <w:pPr>
      <w:spacing w:line="360" w:lineRule="auto"/>
      <w:ind w:left="479" w:leftChars="228"/>
    </w:pPr>
    <w:rPr>
      <w:rFonts w:ascii="宋体" w:hAnsi="宋体"/>
      <w:sz w:val="24"/>
    </w:rPr>
  </w:style>
  <w:style w:type="paragraph" w:styleId="19">
    <w:name w:val="List 2"/>
    <w:basedOn w:val="1"/>
    <w:qFormat/>
    <w:uiPriority w:val="0"/>
    <w:pPr>
      <w:ind w:left="100" w:leftChars="200" w:hanging="200" w:hangingChars="200"/>
    </w:pPr>
  </w:style>
  <w:style w:type="paragraph" w:styleId="20">
    <w:name w:val="HTML Address"/>
    <w:basedOn w:val="1"/>
    <w:link w:val="96"/>
    <w:qFormat/>
    <w:uiPriority w:val="0"/>
    <w:rPr>
      <w:rFonts w:ascii="宋体" w:hAnsi="宋体"/>
      <w:i/>
      <w:iCs/>
    </w:rPr>
  </w:style>
  <w:style w:type="paragraph" w:styleId="21">
    <w:name w:val="toc 3"/>
    <w:basedOn w:val="1"/>
    <w:next w:val="1"/>
    <w:qFormat/>
    <w:uiPriority w:val="39"/>
    <w:pPr>
      <w:tabs>
        <w:tab w:val="right" w:leader="dot" w:pos="8303"/>
      </w:tabs>
      <w:ind w:left="840" w:leftChars="400" w:firstLine="210" w:firstLineChars="100"/>
      <w:jc w:val="left"/>
    </w:pPr>
  </w:style>
  <w:style w:type="paragraph" w:styleId="22">
    <w:name w:val="Plain Text"/>
    <w:basedOn w:val="1"/>
    <w:link w:val="67"/>
    <w:qFormat/>
    <w:uiPriority w:val="99"/>
    <w:rPr>
      <w:rFonts w:ascii="宋体" w:hAnsi="Courier New"/>
      <w:szCs w:val="20"/>
    </w:rPr>
  </w:style>
  <w:style w:type="paragraph" w:styleId="23">
    <w:name w:val="Date"/>
    <w:basedOn w:val="1"/>
    <w:next w:val="1"/>
    <w:link w:val="68"/>
    <w:qFormat/>
    <w:uiPriority w:val="0"/>
    <w:pPr>
      <w:ind w:left="100"/>
    </w:pPr>
    <w:rPr>
      <w:rFonts w:ascii="宋体" w:hAnsi="宋体"/>
      <w:szCs w:val="20"/>
    </w:rPr>
  </w:style>
  <w:style w:type="paragraph" w:styleId="24">
    <w:name w:val="Body Text Indent 2"/>
    <w:basedOn w:val="1"/>
    <w:link w:val="75"/>
    <w:qFormat/>
    <w:uiPriority w:val="0"/>
    <w:pPr>
      <w:ind w:firstLine="403"/>
    </w:pPr>
    <w:rPr>
      <w:rFonts w:ascii="宋体" w:hAnsi="宋体"/>
      <w:szCs w:val="20"/>
    </w:rPr>
  </w:style>
  <w:style w:type="paragraph" w:styleId="25">
    <w:name w:val="Balloon Text"/>
    <w:basedOn w:val="1"/>
    <w:link w:val="94"/>
    <w:qFormat/>
    <w:uiPriority w:val="99"/>
    <w:rPr>
      <w:rFonts w:ascii="宋体" w:hAnsi="宋体"/>
      <w:sz w:val="18"/>
      <w:szCs w:val="18"/>
    </w:rPr>
  </w:style>
  <w:style w:type="paragraph" w:styleId="26">
    <w:name w:val="footer"/>
    <w:basedOn w:val="1"/>
    <w:link w:val="76"/>
    <w:qFormat/>
    <w:uiPriority w:val="99"/>
    <w:pPr>
      <w:tabs>
        <w:tab w:val="center" w:pos="4153"/>
        <w:tab w:val="right" w:pos="8306"/>
      </w:tabs>
      <w:snapToGrid w:val="0"/>
      <w:jc w:val="left"/>
    </w:pPr>
    <w:rPr>
      <w:rFonts w:ascii="宋体" w:hAnsi="宋体"/>
      <w:sz w:val="18"/>
      <w:szCs w:val="20"/>
    </w:rPr>
  </w:style>
  <w:style w:type="paragraph" w:styleId="27">
    <w:name w:val="header"/>
    <w:basedOn w:val="1"/>
    <w:link w:val="97"/>
    <w:qFormat/>
    <w:uiPriority w:val="0"/>
    <w:pPr>
      <w:pBdr>
        <w:bottom w:val="single" w:color="auto" w:sz="6" w:space="1"/>
      </w:pBdr>
      <w:tabs>
        <w:tab w:val="center" w:pos="4153"/>
        <w:tab w:val="right" w:pos="8306"/>
      </w:tabs>
      <w:snapToGrid w:val="0"/>
      <w:jc w:val="center"/>
    </w:pPr>
    <w:rPr>
      <w:rFonts w:ascii="宋体" w:hAnsi="宋体"/>
      <w:sz w:val="18"/>
      <w:szCs w:val="20"/>
    </w:rPr>
  </w:style>
  <w:style w:type="paragraph" w:styleId="28">
    <w:name w:val="toc 1"/>
    <w:basedOn w:val="1"/>
    <w:next w:val="1"/>
    <w:qFormat/>
    <w:uiPriority w:val="39"/>
    <w:pPr>
      <w:spacing w:before="120" w:after="120"/>
      <w:jc w:val="left"/>
    </w:pPr>
    <w:rPr>
      <w:b/>
      <w:bCs/>
      <w:caps/>
      <w:sz w:val="20"/>
      <w:szCs w:val="20"/>
    </w:rPr>
  </w:style>
  <w:style w:type="paragraph" w:styleId="29">
    <w:name w:val="toc 4"/>
    <w:basedOn w:val="1"/>
    <w:next w:val="1"/>
    <w:qFormat/>
    <w:uiPriority w:val="0"/>
    <w:pPr>
      <w:ind w:left="630"/>
      <w:jc w:val="left"/>
    </w:pPr>
    <w:rPr>
      <w:sz w:val="18"/>
      <w:szCs w:val="18"/>
    </w:rPr>
  </w:style>
  <w:style w:type="paragraph" w:styleId="30">
    <w:name w:val="List"/>
    <w:basedOn w:val="1"/>
    <w:qFormat/>
    <w:uiPriority w:val="0"/>
    <w:pPr>
      <w:adjustRightInd w:val="0"/>
      <w:spacing w:line="360" w:lineRule="atLeast"/>
      <w:ind w:left="200" w:hanging="200" w:hangingChars="200"/>
      <w:jc w:val="left"/>
    </w:pPr>
    <w:rPr>
      <w:kern w:val="0"/>
      <w:sz w:val="24"/>
      <w:szCs w:val="20"/>
    </w:rPr>
  </w:style>
  <w:style w:type="paragraph" w:styleId="31">
    <w:name w:val="footnote text"/>
    <w:basedOn w:val="1"/>
    <w:link w:val="55"/>
    <w:semiHidden/>
    <w:qFormat/>
    <w:uiPriority w:val="0"/>
    <w:pPr>
      <w:snapToGrid w:val="0"/>
      <w:jc w:val="center"/>
    </w:pPr>
    <w:rPr>
      <w:rFonts w:ascii="宋体" w:hAnsi="宋体"/>
      <w:kern w:val="0"/>
      <w:sz w:val="18"/>
      <w:szCs w:val="18"/>
    </w:rPr>
  </w:style>
  <w:style w:type="paragraph" w:styleId="32">
    <w:name w:val="Body Text Indent 3"/>
    <w:basedOn w:val="1"/>
    <w:link w:val="65"/>
    <w:qFormat/>
    <w:uiPriority w:val="0"/>
    <w:pPr>
      <w:ind w:firstLine="502"/>
    </w:pPr>
    <w:rPr>
      <w:rFonts w:ascii="宋体" w:hAnsi="宋体"/>
      <w:sz w:val="24"/>
      <w:szCs w:val="20"/>
    </w:rPr>
  </w:style>
  <w:style w:type="paragraph" w:styleId="33">
    <w:name w:val="toc 2"/>
    <w:basedOn w:val="1"/>
    <w:next w:val="1"/>
    <w:qFormat/>
    <w:uiPriority w:val="39"/>
    <w:pPr>
      <w:ind w:left="210"/>
      <w:jc w:val="left"/>
    </w:pPr>
    <w:rPr>
      <w:smallCaps/>
      <w:sz w:val="20"/>
      <w:szCs w:val="20"/>
    </w:rPr>
  </w:style>
  <w:style w:type="paragraph" w:styleId="34">
    <w:name w:val="Body Text 2"/>
    <w:basedOn w:val="1"/>
    <w:link w:val="66"/>
    <w:qFormat/>
    <w:uiPriority w:val="0"/>
    <w:pPr>
      <w:spacing w:line="440" w:lineRule="exact"/>
    </w:pPr>
    <w:rPr>
      <w:rFonts w:ascii="宋体" w:hAnsi="宋体"/>
      <w:sz w:val="24"/>
    </w:rPr>
  </w:style>
  <w:style w:type="paragraph" w:styleId="35">
    <w:name w:val="HTML Preformatted"/>
    <w:basedOn w:val="1"/>
    <w:link w:val="9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36">
    <w:name w:val="Normal (Web)"/>
    <w:basedOn w:val="1"/>
    <w:qFormat/>
    <w:uiPriority w:val="99"/>
    <w:pPr>
      <w:widowControl/>
      <w:spacing w:before="100" w:beforeAutospacing="1" w:after="100" w:afterAutospacing="1"/>
      <w:jc w:val="left"/>
    </w:pPr>
    <w:rPr>
      <w:rFonts w:ascii="宋体" w:hAnsi="宋体"/>
      <w:kern w:val="0"/>
      <w:sz w:val="24"/>
    </w:rPr>
  </w:style>
  <w:style w:type="paragraph" w:styleId="37">
    <w:name w:val="index 1"/>
    <w:basedOn w:val="1"/>
    <w:next w:val="1"/>
    <w:semiHidden/>
    <w:qFormat/>
    <w:uiPriority w:val="0"/>
    <w:pPr>
      <w:spacing w:line="400" w:lineRule="exact"/>
      <w:jc w:val="center"/>
    </w:pPr>
    <w:rPr>
      <w:rFonts w:ascii="宋体"/>
      <w:iCs/>
      <w:sz w:val="18"/>
    </w:rPr>
  </w:style>
  <w:style w:type="paragraph" w:styleId="38">
    <w:name w:val="Title"/>
    <w:next w:val="2"/>
    <w:link w:val="70"/>
    <w:qFormat/>
    <w:uiPriority w:val="0"/>
    <w:pPr>
      <w:spacing w:beforeLines="50"/>
      <w:jc w:val="center"/>
    </w:pPr>
    <w:rPr>
      <w:rFonts w:ascii="Arial" w:hAnsi="Arial" w:eastAsia="宋体" w:cs="Arial"/>
      <w:b/>
      <w:bCs/>
      <w:sz w:val="32"/>
      <w:szCs w:val="32"/>
      <w:lang w:val="en-US" w:eastAsia="zh-CN" w:bidi="ar-SA"/>
    </w:rPr>
  </w:style>
  <w:style w:type="paragraph" w:styleId="39">
    <w:name w:val="annotation subject"/>
    <w:basedOn w:val="14"/>
    <w:next w:val="14"/>
    <w:link w:val="64"/>
    <w:qFormat/>
    <w:uiPriority w:val="0"/>
    <w:pPr>
      <w:widowControl w:val="0"/>
    </w:pPr>
    <w:rPr>
      <w:b/>
      <w:bCs/>
      <w:kern w:val="2"/>
      <w:sz w:val="21"/>
      <w:szCs w:val="24"/>
    </w:rPr>
  </w:style>
  <w:style w:type="paragraph" w:styleId="40">
    <w:name w:val="Body Text First Indent"/>
    <w:basedOn w:val="17"/>
    <w:link w:val="56"/>
    <w:qFormat/>
    <w:uiPriority w:val="99"/>
    <w:pPr>
      <w:spacing w:after="120"/>
      <w:ind w:firstLine="420" w:firstLineChars="100"/>
    </w:pPr>
    <w:rPr>
      <w:rFonts w:ascii="宋体" w:hAnsi="宋体" w:eastAsia="宋体"/>
      <w:sz w:val="21"/>
      <w:szCs w:val="24"/>
    </w:rPr>
  </w:style>
  <w:style w:type="paragraph" w:styleId="41">
    <w:name w:val="Body Text First Indent 2"/>
    <w:basedOn w:val="18"/>
    <w:link w:val="85"/>
    <w:qFormat/>
    <w:uiPriority w:val="0"/>
    <w:pPr>
      <w:spacing w:after="120" w:line="240" w:lineRule="auto"/>
      <w:ind w:left="420" w:leftChars="200" w:firstLine="420" w:firstLineChars="200"/>
    </w:pPr>
    <w:rPr>
      <w:sz w:val="21"/>
    </w:rPr>
  </w:style>
  <w:style w:type="table" w:styleId="43">
    <w:name w:val="Table Grid"/>
    <w:basedOn w:val="42"/>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5">
    <w:name w:val="page number"/>
    <w:basedOn w:val="44"/>
    <w:unhideWhenUsed/>
    <w:qFormat/>
    <w:uiPriority w:val="99"/>
  </w:style>
  <w:style w:type="character" w:styleId="46">
    <w:name w:val="FollowedHyperlink"/>
    <w:qFormat/>
    <w:uiPriority w:val="99"/>
    <w:rPr>
      <w:color w:val="800080"/>
      <w:u w:val="single"/>
    </w:rPr>
  </w:style>
  <w:style w:type="character" w:styleId="47">
    <w:name w:val="HTML Definition"/>
    <w:basedOn w:val="44"/>
    <w:qFormat/>
    <w:uiPriority w:val="0"/>
    <w:rPr>
      <w:i/>
      <w:iCs/>
    </w:rPr>
  </w:style>
  <w:style w:type="character" w:styleId="48">
    <w:name w:val="HTML Typewriter"/>
    <w:basedOn w:val="44"/>
    <w:qFormat/>
    <w:uiPriority w:val="0"/>
    <w:rPr>
      <w:rFonts w:hint="default" w:ascii="Courier New" w:hAnsi="Courier New" w:eastAsia="Times New Roman" w:cs="Times New Roman"/>
      <w:sz w:val="24"/>
      <w:szCs w:val="24"/>
    </w:rPr>
  </w:style>
  <w:style w:type="character" w:styleId="49">
    <w:name w:val="HTML Acronym"/>
    <w:basedOn w:val="44"/>
    <w:qFormat/>
    <w:uiPriority w:val="0"/>
  </w:style>
  <w:style w:type="character" w:styleId="50">
    <w:name w:val="Hyperlink"/>
    <w:qFormat/>
    <w:uiPriority w:val="99"/>
    <w:rPr>
      <w:color w:val="0000FF"/>
      <w:u w:val="single"/>
    </w:rPr>
  </w:style>
  <w:style w:type="character" w:styleId="51">
    <w:name w:val="HTML Code"/>
    <w:basedOn w:val="44"/>
    <w:qFormat/>
    <w:uiPriority w:val="0"/>
    <w:rPr>
      <w:rFonts w:hint="default" w:ascii="Courier New" w:hAnsi="Courier New" w:eastAsia="Times New Roman" w:cs="Times New Roman"/>
      <w:sz w:val="24"/>
      <w:szCs w:val="24"/>
    </w:rPr>
  </w:style>
  <w:style w:type="character" w:styleId="52">
    <w:name w:val="annotation reference"/>
    <w:qFormat/>
    <w:uiPriority w:val="99"/>
    <w:rPr>
      <w:sz w:val="21"/>
      <w:szCs w:val="21"/>
    </w:rPr>
  </w:style>
  <w:style w:type="character" w:styleId="53">
    <w:name w:val="HTML Keyboard"/>
    <w:basedOn w:val="44"/>
    <w:qFormat/>
    <w:uiPriority w:val="0"/>
    <w:rPr>
      <w:rFonts w:hint="default" w:ascii="Courier New" w:hAnsi="Courier New" w:eastAsia="Times New Roman" w:cs="Times New Roman"/>
      <w:sz w:val="24"/>
      <w:szCs w:val="24"/>
    </w:rPr>
  </w:style>
  <w:style w:type="character" w:styleId="54">
    <w:name w:val="HTML Sample"/>
    <w:basedOn w:val="44"/>
    <w:qFormat/>
    <w:uiPriority w:val="0"/>
    <w:rPr>
      <w:rFonts w:hint="default" w:ascii="Courier New" w:hAnsi="Courier New" w:eastAsia="Times New Roman" w:cs="Times New Roman"/>
    </w:rPr>
  </w:style>
  <w:style w:type="character" w:customStyle="1" w:styleId="55">
    <w:name w:val="脚注文本 Char"/>
    <w:basedOn w:val="44"/>
    <w:link w:val="31"/>
    <w:qFormat/>
    <w:uiPriority w:val="0"/>
    <w:rPr>
      <w:rFonts w:ascii="宋体" w:hAnsi="宋体" w:eastAsia="宋体"/>
      <w:sz w:val="18"/>
      <w:szCs w:val="18"/>
      <w:lang w:val="en-US" w:eastAsia="zh-CN" w:bidi="ar-SA"/>
    </w:rPr>
  </w:style>
  <w:style w:type="character" w:customStyle="1" w:styleId="56">
    <w:name w:val="正文首行缩进 Char"/>
    <w:basedOn w:val="57"/>
    <w:link w:val="40"/>
    <w:qFormat/>
    <w:uiPriority w:val="0"/>
    <w:rPr>
      <w:rFonts w:ascii="宋体" w:hAnsi="宋体" w:eastAsia="宋体"/>
      <w:color w:val="FF0000"/>
      <w:spacing w:val="-18"/>
      <w:sz w:val="21"/>
      <w:szCs w:val="24"/>
      <w:lang w:val="en-US" w:eastAsia="zh-CN" w:bidi="ar-SA"/>
    </w:rPr>
  </w:style>
  <w:style w:type="character" w:customStyle="1" w:styleId="57">
    <w:name w:val="正文文本 Char"/>
    <w:basedOn w:val="44"/>
    <w:link w:val="17"/>
    <w:qFormat/>
    <w:uiPriority w:val="0"/>
    <w:rPr>
      <w:rFonts w:ascii="黑体" w:eastAsia="黑体"/>
      <w:b/>
      <w:color w:val="FF0000"/>
      <w:spacing w:val="-18"/>
      <w:sz w:val="52"/>
      <w:lang w:val="en-US" w:eastAsia="zh-CN" w:bidi="ar-SA"/>
    </w:rPr>
  </w:style>
  <w:style w:type="character" w:customStyle="1" w:styleId="58">
    <w:name w:val="正文 Char Char"/>
    <w:link w:val="59"/>
    <w:qFormat/>
    <w:locked/>
    <w:uiPriority w:val="0"/>
    <w:rPr>
      <w:rFonts w:ascii="宋体" w:hAnsi="宋体" w:eastAsia="宋体"/>
      <w:sz w:val="24"/>
      <w:lang w:val="en-US" w:eastAsia="zh-CN" w:bidi="ar-SA"/>
    </w:rPr>
  </w:style>
  <w:style w:type="paragraph" w:customStyle="1" w:styleId="59">
    <w:name w:val="正文1"/>
    <w:basedOn w:val="1"/>
    <w:link w:val="58"/>
    <w:qFormat/>
    <w:uiPriority w:val="0"/>
    <w:pPr>
      <w:adjustRightInd w:val="0"/>
      <w:spacing w:line="360" w:lineRule="atLeast"/>
      <w:jc w:val="left"/>
    </w:pPr>
    <w:rPr>
      <w:rFonts w:ascii="宋体" w:hAnsi="宋体"/>
      <w:kern w:val="0"/>
      <w:sz w:val="24"/>
      <w:szCs w:val="20"/>
    </w:rPr>
  </w:style>
  <w:style w:type="character" w:customStyle="1" w:styleId="60">
    <w:name w:val="金正文1 Char Char"/>
    <w:basedOn w:val="58"/>
    <w:link w:val="61"/>
    <w:qFormat/>
    <w:locked/>
    <w:uiPriority w:val="0"/>
    <w:rPr>
      <w:rFonts w:ascii="宋体" w:hAnsi="宋体" w:eastAsia="宋体"/>
      <w:sz w:val="24"/>
      <w:lang w:val="en-US" w:eastAsia="zh-CN" w:bidi="ar-SA"/>
    </w:rPr>
  </w:style>
  <w:style w:type="paragraph" w:customStyle="1" w:styleId="61">
    <w:name w:val="金正文1"/>
    <w:basedOn w:val="59"/>
    <w:link w:val="60"/>
    <w:qFormat/>
    <w:uiPriority w:val="0"/>
    <w:pPr>
      <w:adjustRightInd/>
      <w:spacing w:line="360" w:lineRule="auto"/>
    </w:pPr>
  </w:style>
  <w:style w:type="character" w:customStyle="1" w:styleId="62">
    <w:name w:val="金正文 Char Char"/>
    <w:basedOn w:val="58"/>
    <w:link w:val="63"/>
    <w:qFormat/>
    <w:locked/>
    <w:uiPriority w:val="0"/>
    <w:rPr>
      <w:rFonts w:ascii="宋体" w:hAnsi="宋体" w:eastAsia="宋体"/>
      <w:sz w:val="24"/>
      <w:lang w:val="en-US" w:eastAsia="zh-CN" w:bidi="ar-SA"/>
    </w:rPr>
  </w:style>
  <w:style w:type="paragraph" w:customStyle="1" w:styleId="63">
    <w:name w:val="金正文"/>
    <w:basedOn w:val="59"/>
    <w:next w:val="17"/>
    <w:link w:val="62"/>
    <w:qFormat/>
    <w:uiPriority w:val="0"/>
    <w:pPr>
      <w:adjustRightInd/>
      <w:spacing w:line="360" w:lineRule="auto"/>
      <w:ind w:firstLine="200" w:firstLineChars="200"/>
    </w:pPr>
  </w:style>
  <w:style w:type="character" w:customStyle="1" w:styleId="64">
    <w:name w:val="批注主题 Char"/>
    <w:link w:val="39"/>
    <w:qFormat/>
    <w:uiPriority w:val="0"/>
    <w:rPr>
      <w:rFonts w:ascii="宋体" w:hAnsi="宋体" w:eastAsia="宋体"/>
      <w:b/>
      <w:bCs/>
      <w:kern w:val="2"/>
      <w:sz w:val="21"/>
      <w:szCs w:val="24"/>
      <w:lang w:bidi="ar-SA"/>
    </w:rPr>
  </w:style>
  <w:style w:type="character" w:customStyle="1" w:styleId="65">
    <w:name w:val="正文文本缩进 3 Char"/>
    <w:basedOn w:val="44"/>
    <w:link w:val="32"/>
    <w:qFormat/>
    <w:uiPriority w:val="0"/>
    <w:rPr>
      <w:rFonts w:ascii="宋体" w:hAnsi="宋体" w:eastAsia="宋体"/>
      <w:kern w:val="2"/>
      <w:sz w:val="24"/>
      <w:lang w:val="en-US" w:eastAsia="zh-CN" w:bidi="ar-SA"/>
    </w:rPr>
  </w:style>
  <w:style w:type="character" w:customStyle="1" w:styleId="66">
    <w:name w:val="正文文本 2 Char"/>
    <w:basedOn w:val="44"/>
    <w:link w:val="34"/>
    <w:qFormat/>
    <w:uiPriority w:val="0"/>
    <w:rPr>
      <w:rFonts w:ascii="宋体" w:hAnsi="宋体" w:eastAsia="宋体"/>
      <w:kern w:val="2"/>
      <w:sz w:val="24"/>
      <w:szCs w:val="24"/>
      <w:lang w:val="en-US" w:eastAsia="zh-CN" w:bidi="ar-SA"/>
    </w:rPr>
  </w:style>
  <w:style w:type="character" w:customStyle="1" w:styleId="67">
    <w:name w:val="纯文本 Char"/>
    <w:basedOn w:val="44"/>
    <w:link w:val="22"/>
    <w:qFormat/>
    <w:uiPriority w:val="0"/>
    <w:rPr>
      <w:rFonts w:ascii="宋体" w:hAnsi="Courier New" w:eastAsia="宋体"/>
      <w:kern w:val="2"/>
      <w:sz w:val="21"/>
      <w:lang w:val="en-US" w:eastAsia="zh-CN" w:bidi="ar-SA"/>
    </w:rPr>
  </w:style>
  <w:style w:type="character" w:customStyle="1" w:styleId="68">
    <w:name w:val="日期 Char"/>
    <w:basedOn w:val="44"/>
    <w:link w:val="23"/>
    <w:qFormat/>
    <w:uiPriority w:val="0"/>
    <w:rPr>
      <w:rFonts w:ascii="宋体" w:hAnsi="宋体" w:eastAsia="宋体"/>
      <w:kern w:val="2"/>
      <w:sz w:val="21"/>
      <w:lang w:val="en-US" w:eastAsia="zh-CN" w:bidi="ar-SA"/>
    </w:rPr>
  </w:style>
  <w:style w:type="character" w:customStyle="1" w:styleId="69">
    <w:name w:val="发布"/>
    <w:basedOn w:val="44"/>
    <w:qFormat/>
    <w:uiPriority w:val="0"/>
    <w:rPr>
      <w:rFonts w:hint="eastAsia" w:ascii="黑体" w:eastAsia="黑体"/>
      <w:spacing w:val="22"/>
      <w:w w:val="100"/>
      <w:position w:val="3"/>
      <w:sz w:val="28"/>
    </w:rPr>
  </w:style>
  <w:style w:type="character" w:customStyle="1" w:styleId="70">
    <w:name w:val="标题 Char"/>
    <w:basedOn w:val="44"/>
    <w:link w:val="38"/>
    <w:qFormat/>
    <w:uiPriority w:val="0"/>
    <w:rPr>
      <w:rFonts w:ascii="Arial" w:hAnsi="Arial" w:cs="Arial"/>
      <w:b/>
      <w:bCs/>
      <w:sz w:val="32"/>
      <w:szCs w:val="32"/>
      <w:lang w:val="en-US" w:eastAsia="zh-CN" w:bidi="ar-SA"/>
    </w:rPr>
  </w:style>
  <w:style w:type="character" w:customStyle="1" w:styleId="71">
    <w:name w:val="正文文本 3 Char"/>
    <w:basedOn w:val="44"/>
    <w:link w:val="16"/>
    <w:qFormat/>
    <w:uiPriority w:val="0"/>
    <w:rPr>
      <w:rFonts w:ascii="宋体" w:hAnsi="宋体" w:eastAsia="宋体"/>
      <w:kern w:val="2"/>
      <w:sz w:val="16"/>
      <w:szCs w:val="16"/>
      <w:lang w:val="en-US" w:eastAsia="zh-CN" w:bidi="ar-SA"/>
    </w:rPr>
  </w:style>
  <w:style w:type="character" w:customStyle="1" w:styleId="72">
    <w:name w:val="标题 4 Char"/>
    <w:basedOn w:val="44"/>
    <w:link w:val="5"/>
    <w:qFormat/>
    <w:uiPriority w:val="0"/>
    <w:rPr>
      <w:rFonts w:ascii="Arial" w:hAnsi="Arial" w:eastAsia="黑体"/>
      <w:b/>
      <w:sz w:val="28"/>
      <w:lang w:val="en-US" w:eastAsia="zh-CN" w:bidi="ar-SA"/>
    </w:rPr>
  </w:style>
  <w:style w:type="character" w:customStyle="1" w:styleId="73">
    <w:name w:val="标题 7 Char"/>
    <w:basedOn w:val="44"/>
    <w:link w:val="8"/>
    <w:qFormat/>
    <w:uiPriority w:val="0"/>
    <w:rPr>
      <w:rFonts w:eastAsia="宋体"/>
      <w:b/>
      <w:sz w:val="24"/>
      <w:lang w:val="en-US" w:eastAsia="zh-CN" w:bidi="ar-SA"/>
    </w:rPr>
  </w:style>
  <w:style w:type="character" w:customStyle="1" w:styleId="74">
    <w:name w:val="批注文字 Char"/>
    <w:basedOn w:val="44"/>
    <w:link w:val="14"/>
    <w:qFormat/>
    <w:uiPriority w:val="99"/>
    <w:rPr>
      <w:rFonts w:ascii="宋体" w:hAnsi="宋体" w:eastAsia="宋体"/>
      <w:lang w:val="en-US" w:eastAsia="zh-CN" w:bidi="ar-SA"/>
    </w:rPr>
  </w:style>
  <w:style w:type="character" w:customStyle="1" w:styleId="75">
    <w:name w:val="正文文本缩进 2 Char"/>
    <w:basedOn w:val="44"/>
    <w:link w:val="24"/>
    <w:qFormat/>
    <w:uiPriority w:val="0"/>
    <w:rPr>
      <w:rFonts w:ascii="宋体" w:hAnsi="宋体" w:eastAsia="宋体"/>
      <w:kern w:val="2"/>
      <w:sz w:val="21"/>
      <w:lang w:val="en-US" w:eastAsia="zh-CN" w:bidi="ar-SA"/>
    </w:rPr>
  </w:style>
  <w:style w:type="character" w:customStyle="1" w:styleId="76">
    <w:name w:val="页脚 Char"/>
    <w:basedOn w:val="44"/>
    <w:link w:val="26"/>
    <w:qFormat/>
    <w:uiPriority w:val="99"/>
    <w:rPr>
      <w:rFonts w:ascii="宋体" w:hAnsi="宋体" w:eastAsia="宋体"/>
      <w:kern w:val="2"/>
      <w:sz w:val="18"/>
      <w:lang w:val="en-US" w:eastAsia="zh-CN" w:bidi="ar-SA"/>
    </w:rPr>
  </w:style>
  <w:style w:type="character" w:customStyle="1" w:styleId="77">
    <w:name w:val="正文缩进 Char"/>
    <w:link w:val="12"/>
    <w:qFormat/>
    <w:uiPriority w:val="0"/>
    <w:rPr>
      <w:rFonts w:ascii="宋体" w:hAnsi="宋体" w:eastAsia="宋体"/>
      <w:kern w:val="2"/>
      <w:sz w:val="24"/>
      <w:lang w:val="en-US" w:eastAsia="zh-CN" w:bidi="ar-SA"/>
    </w:rPr>
  </w:style>
  <w:style w:type="character" w:customStyle="1" w:styleId="78">
    <w:name w:val="Char Char9"/>
    <w:basedOn w:val="44"/>
    <w:semiHidden/>
    <w:qFormat/>
    <w:uiPriority w:val="0"/>
    <w:rPr>
      <w:rFonts w:eastAsia="宋体"/>
      <w:lang w:val="en-US" w:eastAsia="zh-CN" w:bidi="ar-SA"/>
    </w:rPr>
  </w:style>
  <w:style w:type="character" w:customStyle="1" w:styleId="79">
    <w:name w:val="金2 Char Char"/>
    <w:link w:val="80"/>
    <w:qFormat/>
    <w:locked/>
    <w:uiPriority w:val="0"/>
    <w:rPr>
      <w:rFonts w:eastAsia="宋体"/>
      <w:b/>
      <w:kern w:val="2"/>
      <w:sz w:val="24"/>
      <w:lang w:val="en-US" w:eastAsia="zh-CN" w:bidi="ar-SA"/>
    </w:rPr>
  </w:style>
  <w:style w:type="paragraph" w:customStyle="1" w:styleId="80">
    <w:name w:val="金2"/>
    <w:basedOn w:val="1"/>
    <w:next w:val="63"/>
    <w:link w:val="79"/>
    <w:qFormat/>
    <w:uiPriority w:val="0"/>
    <w:pPr>
      <w:spacing w:line="360" w:lineRule="auto"/>
      <w:jc w:val="left"/>
    </w:pPr>
    <w:rPr>
      <w:b/>
      <w:sz w:val="24"/>
      <w:szCs w:val="20"/>
    </w:rPr>
  </w:style>
  <w:style w:type="character" w:customStyle="1" w:styleId="81">
    <w:name w:val="b1 Char Char"/>
    <w:basedOn w:val="44"/>
    <w:qFormat/>
    <w:uiPriority w:val="0"/>
    <w:rPr>
      <w:rFonts w:hint="eastAsia" w:ascii="宋体" w:hAnsi="宋体" w:eastAsia="宋体"/>
      <w:b/>
      <w:bCs/>
      <w:kern w:val="44"/>
      <w:sz w:val="44"/>
      <w:szCs w:val="44"/>
      <w:lang w:val="en-US" w:eastAsia="zh-CN" w:bidi="ar-SA"/>
    </w:rPr>
  </w:style>
  <w:style w:type="character" w:customStyle="1" w:styleId="82">
    <w:name w:val="标题 8 Char"/>
    <w:basedOn w:val="44"/>
    <w:link w:val="9"/>
    <w:qFormat/>
    <w:uiPriority w:val="0"/>
    <w:rPr>
      <w:rFonts w:ascii="Arial" w:hAnsi="Arial" w:eastAsia="黑体"/>
      <w:sz w:val="24"/>
      <w:lang w:val="en-US" w:eastAsia="zh-CN" w:bidi="ar-SA"/>
    </w:rPr>
  </w:style>
  <w:style w:type="character" w:customStyle="1" w:styleId="83">
    <w:name w:val="标题 9 Char"/>
    <w:basedOn w:val="44"/>
    <w:link w:val="10"/>
    <w:qFormat/>
    <w:uiPriority w:val="0"/>
    <w:rPr>
      <w:rFonts w:ascii="Arial" w:hAnsi="Arial" w:eastAsia="黑体"/>
      <w:sz w:val="21"/>
      <w:lang w:val="en-US" w:eastAsia="zh-CN" w:bidi="ar-SA"/>
    </w:rPr>
  </w:style>
  <w:style w:type="character" w:customStyle="1" w:styleId="84">
    <w:name w:val="标题 2 Char"/>
    <w:basedOn w:val="44"/>
    <w:link w:val="3"/>
    <w:qFormat/>
    <w:uiPriority w:val="0"/>
    <w:rPr>
      <w:rFonts w:ascii="Arial" w:hAnsi="Arial" w:eastAsia="黑体"/>
      <w:b/>
      <w:sz w:val="32"/>
      <w:lang w:val="en-US" w:eastAsia="zh-CN" w:bidi="ar-SA"/>
    </w:rPr>
  </w:style>
  <w:style w:type="character" w:customStyle="1" w:styleId="85">
    <w:name w:val="正文首行缩进 2 Char"/>
    <w:basedOn w:val="86"/>
    <w:link w:val="41"/>
    <w:qFormat/>
    <w:uiPriority w:val="0"/>
    <w:rPr>
      <w:rFonts w:ascii="宋体" w:hAnsi="宋体" w:eastAsia="宋体"/>
      <w:kern w:val="2"/>
      <w:sz w:val="21"/>
      <w:szCs w:val="24"/>
      <w:lang w:val="en-US" w:eastAsia="zh-CN" w:bidi="ar-SA"/>
    </w:rPr>
  </w:style>
  <w:style w:type="character" w:customStyle="1" w:styleId="86">
    <w:name w:val="正文文本缩进 Char"/>
    <w:basedOn w:val="44"/>
    <w:link w:val="18"/>
    <w:qFormat/>
    <w:uiPriority w:val="0"/>
    <w:rPr>
      <w:rFonts w:ascii="宋体" w:hAnsi="宋体" w:eastAsia="宋体"/>
      <w:kern w:val="2"/>
      <w:sz w:val="24"/>
      <w:szCs w:val="24"/>
      <w:lang w:val="en-US" w:eastAsia="zh-CN" w:bidi="ar-SA"/>
    </w:rPr>
  </w:style>
  <w:style w:type="character" w:customStyle="1" w:styleId="87">
    <w:name w:val="标题 6 Char"/>
    <w:basedOn w:val="44"/>
    <w:link w:val="7"/>
    <w:qFormat/>
    <w:uiPriority w:val="0"/>
    <w:rPr>
      <w:rFonts w:ascii="Arial" w:hAnsi="Arial" w:eastAsia="黑体"/>
      <w:b/>
      <w:sz w:val="24"/>
      <w:lang w:val="en-US" w:eastAsia="zh-CN" w:bidi="ar-SA"/>
    </w:rPr>
  </w:style>
  <w:style w:type="character" w:customStyle="1" w:styleId="88">
    <w:name w:val="文档结构图 Char"/>
    <w:basedOn w:val="44"/>
    <w:link w:val="13"/>
    <w:qFormat/>
    <w:uiPriority w:val="0"/>
    <w:rPr>
      <w:rFonts w:ascii="宋体" w:hAnsi="宋体" w:eastAsia="宋体"/>
      <w:kern w:val="2"/>
      <w:sz w:val="21"/>
      <w:szCs w:val="24"/>
      <w:lang w:val="en-US" w:eastAsia="zh-CN" w:bidi="ar-SA"/>
    </w:rPr>
  </w:style>
  <w:style w:type="character" w:customStyle="1" w:styleId="89">
    <w:name w:val="标题 5 Char"/>
    <w:basedOn w:val="44"/>
    <w:link w:val="6"/>
    <w:qFormat/>
    <w:uiPriority w:val="0"/>
    <w:rPr>
      <w:rFonts w:eastAsia="宋体"/>
      <w:b/>
      <w:sz w:val="28"/>
      <w:lang w:val="en-US" w:eastAsia="zh-CN" w:bidi="ar-SA"/>
    </w:rPr>
  </w:style>
  <w:style w:type="character" w:customStyle="1" w:styleId="90">
    <w:name w:val="标题 3 Char"/>
    <w:basedOn w:val="44"/>
    <w:link w:val="4"/>
    <w:qFormat/>
    <w:uiPriority w:val="0"/>
    <w:rPr>
      <w:rFonts w:eastAsia="宋体"/>
      <w:b/>
      <w:sz w:val="32"/>
      <w:lang w:val="en-US" w:eastAsia="zh-CN" w:bidi="ar-SA"/>
    </w:rPr>
  </w:style>
  <w:style w:type="character" w:customStyle="1" w:styleId="91">
    <w:name w:val="HTML 预设格式 Char"/>
    <w:basedOn w:val="44"/>
    <w:link w:val="35"/>
    <w:qFormat/>
    <w:uiPriority w:val="0"/>
    <w:rPr>
      <w:rFonts w:ascii="Courier New" w:hAnsi="Courier New" w:eastAsia="宋体" w:cs="Courier New"/>
      <w:kern w:val="2"/>
      <w:lang w:val="en-US" w:eastAsia="zh-CN" w:bidi="ar-SA"/>
    </w:rPr>
  </w:style>
  <w:style w:type="character" w:customStyle="1" w:styleId="92">
    <w:name w:val="无间隔 Char"/>
    <w:basedOn w:val="44"/>
    <w:link w:val="93"/>
    <w:qFormat/>
    <w:uiPriority w:val="99"/>
    <w:rPr>
      <w:rFonts w:ascii="Calibri" w:hAnsi="Calibri"/>
      <w:sz w:val="22"/>
      <w:szCs w:val="22"/>
      <w:lang w:val="en-US" w:eastAsia="zh-CN" w:bidi="ar-SA"/>
    </w:rPr>
  </w:style>
  <w:style w:type="paragraph" w:customStyle="1" w:styleId="93">
    <w:name w:val="无间隔1"/>
    <w:link w:val="92"/>
    <w:qFormat/>
    <w:uiPriority w:val="99"/>
    <w:rPr>
      <w:rFonts w:ascii="Calibri" w:hAnsi="Calibri" w:eastAsia="宋体" w:cs="Times New Roman"/>
      <w:sz w:val="22"/>
      <w:szCs w:val="22"/>
      <w:lang w:val="en-US" w:eastAsia="zh-CN" w:bidi="ar-SA"/>
    </w:rPr>
  </w:style>
  <w:style w:type="character" w:customStyle="1" w:styleId="94">
    <w:name w:val="批注框文本 Char"/>
    <w:basedOn w:val="44"/>
    <w:link w:val="25"/>
    <w:qFormat/>
    <w:uiPriority w:val="99"/>
    <w:rPr>
      <w:rFonts w:ascii="宋体" w:hAnsi="宋体" w:eastAsia="宋体"/>
      <w:kern w:val="2"/>
      <w:sz w:val="18"/>
      <w:szCs w:val="18"/>
      <w:lang w:val="en-US" w:eastAsia="zh-CN" w:bidi="ar-SA"/>
    </w:rPr>
  </w:style>
  <w:style w:type="character" w:customStyle="1" w:styleId="95">
    <w:name w:val="标题 1 Char"/>
    <w:link w:val="2"/>
    <w:qFormat/>
    <w:uiPriority w:val="0"/>
    <w:rPr>
      <w:rFonts w:eastAsia="宋体"/>
      <w:b/>
      <w:bCs/>
      <w:kern w:val="44"/>
      <w:sz w:val="44"/>
      <w:szCs w:val="44"/>
      <w:lang w:val="en-US" w:eastAsia="zh-CN" w:bidi="ar-SA"/>
    </w:rPr>
  </w:style>
  <w:style w:type="character" w:customStyle="1" w:styleId="96">
    <w:name w:val="HTML 地址 Char"/>
    <w:basedOn w:val="44"/>
    <w:link w:val="20"/>
    <w:qFormat/>
    <w:uiPriority w:val="0"/>
    <w:rPr>
      <w:rFonts w:ascii="宋体" w:hAnsi="宋体" w:eastAsia="宋体"/>
      <w:i/>
      <w:iCs/>
      <w:kern w:val="2"/>
      <w:sz w:val="21"/>
      <w:szCs w:val="24"/>
      <w:lang w:val="en-US" w:eastAsia="zh-CN" w:bidi="ar-SA"/>
    </w:rPr>
  </w:style>
  <w:style w:type="character" w:customStyle="1" w:styleId="97">
    <w:name w:val="页眉 Char"/>
    <w:basedOn w:val="44"/>
    <w:link w:val="27"/>
    <w:qFormat/>
    <w:uiPriority w:val="99"/>
    <w:rPr>
      <w:rFonts w:ascii="宋体" w:hAnsi="宋体" w:eastAsia="宋体"/>
      <w:kern w:val="2"/>
      <w:sz w:val="18"/>
      <w:lang w:val="en-US" w:eastAsia="zh-CN" w:bidi="ar-SA"/>
    </w:rPr>
  </w:style>
  <w:style w:type="character" w:customStyle="1" w:styleId="98">
    <w:name w:val="Char Char21"/>
    <w:basedOn w:val="44"/>
    <w:qFormat/>
    <w:uiPriority w:val="0"/>
    <w:rPr>
      <w:kern w:val="2"/>
      <w:sz w:val="24"/>
    </w:rPr>
  </w:style>
  <w:style w:type="paragraph" w:customStyle="1" w:styleId="99">
    <w:name w:val="mjd"/>
    <w:basedOn w:val="1"/>
    <w:qFormat/>
    <w:uiPriority w:val="0"/>
    <w:pPr>
      <w:tabs>
        <w:tab w:val="left" w:pos="1080"/>
        <w:tab w:val="left" w:pos="6960"/>
      </w:tabs>
      <w:autoSpaceDE w:val="0"/>
      <w:autoSpaceDN w:val="0"/>
      <w:adjustRightInd w:val="0"/>
      <w:spacing w:line="312" w:lineRule="atLeast"/>
      <w:ind w:left="1080" w:hanging="1080"/>
      <w:jc w:val="left"/>
    </w:pPr>
    <w:rPr>
      <w:rFonts w:ascii="宋体" w:hAnsi="Tms Rmn"/>
      <w:kern w:val="0"/>
      <w:szCs w:val="20"/>
    </w:rPr>
  </w:style>
  <w:style w:type="paragraph" w:customStyle="1" w:styleId="100">
    <w:name w:val="附录章标题"/>
    <w:next w:val="101"/>
    <w:qFormat/>
    <w:uiPriority w:val="0"/>
    <w:pPr>
      <w:tabs>
        <w:tab w:val="left" w:pos="780"/>
      </w:tabs>
      <w:wordWrap w:val="0"/>
      <w:overflowPunct w:val="0"/>
      <w:autoSpaceDE w:val="0"/>
      <w:spacing w:beforeLines="50" w:afterLines="50"/>
      <w:ind w:left="1560" w:hanging="360"/>
      <w:jc w:val="both"/>
      <w:outlineLvl w:val="1"/>
    </w:pPr>
    <w:rPr>
      <w:rFonts w:ascii="黑体" w:hAnsi="Times New Roman" w:eastAsia="黑体" w:cs="Times New Roman"/>
      <w:kern w:val="21"/>
      <w:sz w:val="21"/>
      <w:lang w:val="en-US" w:eastAsia="zh-CN" w:bidi="ar-SA"/>
    </w:rPr>
  </w:style>
  <w:style w:type="paragraph" w:customStyle="1" w:styleId="101">
    <w:name w:val="段"/>
    <w:qFormat/>
    <w:uiPriority w:val="0"/>
    <w:pPr>
      <w:autoSpaceDE w:val="0"/>
      <w:autoSpaceDN w:val="0"/>
      <w:ind w:firstLine="200"/>
      <w:jc w:val="both"/>
    </w:pPr>
    <w:rPr>
      <w:rFonts w:ascii="宋体" w:hAnsi="Times New Roman" w:eastAsia="宋体" w:cs="Times New Roman"/>
      <w:sz w:val="21"/>
      <w:lang w:val="en-US" w:eastAsia="zh-CN" w:bidi="ar-SA"/>
    </w:rPr>
  </w:style>
  <w:style w:type="paragraph" w:customStyle="1" w:styleId="102">
    <w:name w:val="二级条标题"/>
    <w:basedOn w:val="103"/>
    <w:next w:val="1"/>
    <w:qFormat/>
    <w:uiPriority w:val="0"/>
    <w:pPr>
      <w:ind w:left="945"/>
      <w:outlineLvl w:val="3"/>
    </w:pPr>
  </w:style>
  <w:style w:type="paragraph" w:customStyle="1" w:styleId="103">
    <w:name w:val="一级条标题"/>
    <w:next w:val="1"/>
    <w:qFormat/>
    <w:uiPriority w:val="0"/>
    <w:pPr>
      <w:outlineLvl w:val="2"/>
    </w:pPr>
    <w:rPr>
      <w:rFonts w:ascii="Times New Roman" w:hAnsi="Times New Roman" w:eastAsia="黑体" w:cs="Times New Roman"/>
      <w:sz w:val="21"/>
      <w:lang w:val="en-US" w:eastAsia="zh-CN" w:bidi="ar-SA"/>
    </w:rPr>
  </w:style>
  <w:style w:type="paragraph" w:customStyle="1" w:styleId="104">
    <w:name w:val="小标题"/>
    <w:qFormat/>
    <w:uiPriority w:val="0"/>
    <w:pPr>
      <w:widowControl w:val="0"/>
      <w:numPr>
        <w:ilvl w:val="0"/>
        <w:numId w:val="1"/>
      </w:numPr>
      <w:tabs>
        <w:tab w:val="left" w:pos="120"/>
        <w:tab w:val="left" w:pos="1680"/>
        <w:tab w:val="clear" w:pos="1266"/>
      </w:tabs>
      <w:adjustRightInd w:val="0"/>
      <w:snapToGrid w:val="0"/>
      <w:spacing w:line="300" w:lineRule="auto"/>
      <w:ind w:left="1680" w:hanging="420"/>
      <w:jc w:val="both"/>
      <w:outlineLvl w:val="3"/>
    </w:pPr>
    <w:rPr>
      <w:rFonts w:ascii="Arial" w:hAnsi="Arial" w:eastAsia="宋体" w:cs="Times New Roman"/>
      <w:sz w:val="24"/>
      <w:lang w:val="en-US" w:eastAsia="en-US" w:bidi="ar-SA"/>
    </w:rPr>
  </w:style>
  <w:style w:type="paragraph" w:customStyle="1" w:styleId="105">
    <w:name w:val="标准书眉一"/>
    <w:qFormat/>
    <w:uiPriority w:val="0"/>
    <w:pPr>
      <w:jc w:val="both"/>
    </w:pPr>
    <w:rPr>
      <w:rFonts w:ascii="Times New Roman" w:hAnsi="Times New Roman" w:eastAsia="宋体" w:cs="Times New Roman"/>
      <w:lang w:val="en-US" w:eastAsia="zh-CN" w:bidi="ar-SA"/>
    </w:rPr>
  </w:style>
  <w:style w:type="paragraph" w:customStyle="1" w:styleId="106">
    <w:name w:val="样式 首行缩进:  2 字符"/>
    <w:basedOn w:val="1"/>
    <w:qFormat/>
    <w:uiPriority w:val="0"/>
    <w:pPr>
      <w:spacing w:beforeLines="50" w:afterLines="50" w:line="360" w:lineRule="exact"/>
      <w:ind w:left="-2" w:leftChars="-1"/>
    </w:pPr>
    <w:rPr>
      <w:sz w:val="24"/>
      <w:szCs w:val="20"/>
    </w:rPr>
  </w:style>
  <w:style w:type="paragraph" w:customStyle="1" w:styleId="107">
    <w:name w:val="前言、引言标题"/>
    <w:next w:val="1"/>
    <w:qFormat/>
    <w:uiPriority w:val="0"/>
    <w:pPr>
      <w:shd w:val="clear" w:color="auto" w:fill="FFFFFF"/>
      <w:spacing w:before="640" w:after="560"/>
      <w:jc w:val="center"/>
      <w:outlineLvl w:val="0"/>
    </w:pPr>
    <w:rPr>
      <w:rFonts w:ascii="黑体" w:hAnsi="Times New Roman" w:eastAsia="黑体" w:cs="Times New Roman"/>
      <w:sz w:val="32"/>
      <w:lang w:val="en-US" w:eastAsia="zh-CN" w:bidi="ar-SA"/>
    </w:rPr>
  </w:style>
  <w:style w:type="paragraph" w:customStyle="1" w:styleId="108">
    <w:name w:val="金1"/>
    <w:basedOn w:val="1"/>
    <w:next w:val="80"/>
    <w:qFormat/>
    <w:uiPriority w:val="0"/>
    <w:pPr>
      <w:spacing w:line="360" w:lineRule="auto"/>
      <w:jc w:val="left"/>
    </w:pPr>
    <w:rPr>
      <w:b/>
      <w:sz w:val="28"/>
      <w:szCs w:val="20"/>
    </w:rPr>
  </w:style>
  <w:style w:type="paragraph" w:customStyle="1" w:styleId="109">
    <w:name w:val="纯文本1"/>
    <w:basedOn w:val="1"/>
    <w:qFormat/>
    <w:uiPriority w:val="0"/>
    <w:pPr>
      <w:adjustRightInd w:val="0"/>
      <w:spacing w:line="312" w:lineRule="atLeast"/>
    </w:pPr>
    <w:rPr>
      <w:rFonts w:ascii="宋体" w:hAnsi="Courier New"/>
      <w:kern w:val="0"/>
      <w:szCs w:val="20"/>
    </w:rPr>
  </w:style>
  <w:style w:type="paragraph" w:customStyle="1" w:styleId="110">
    <w:name w:val="图表文字"/>
    <w:basedOn w:val="1"/>
    <w:qFormat/>
    <w:uiPriority w:val="0"/>
    <w:pPr>
      <w:widowControl/>
      <w:adjustRightInd w:val="0"/>
      <w:spacing w:before="120" w:after="120"/>
      <w:jc w:val="center"/>
    </w:pPr>
    <w:rPr>
      <w:rFonts w:ascii="黑体" w:eastAsia="黑体"/>
      <w:kern w:val="0"/>
      <w:sz w:val="28"/>
      <w:szCs w:val="20"/>
    </w:rPr>
  </w:style>
  <w:style w:type="paragraph" w:customStyle="1" w:styleId="111">
    <w:name w:val="标题2（新） Char Char"/>
    <w:basedOn w:val="3"/>
    <w:qFormat/>
    <w:uiPriority w:val="0"/>
    <w:pPr>
      <w:widowControl/>
      <w:numPr>
        <w:numId w:val="0"/>
      </w:numPr>
      <w:adjustRightInd/>
      <w:snapToGrid w:val="0"/>
      <w:spacing w:before="0" w:after="0" w:line="440" w:lineRule="exact"/>
      <w:jc w:val="left"/>
    </w:pPr>
    <w:rPr>
      <w:rFonts w:ascii="Times New Roman" w:hAnsi="Times New Roman" w:eastAsia="宋体" w:cs="宋体"/>
      <w:bCs/>
      <w:sz w:val="28"/>
      <w:szCs w:val="28"/>
    </w:rPr>
  </w:style>
  <w:style w:type="paragraph" w:customStyle="1" w:styleId="112">
    <w:name w:val="标准书眉_偶数页"/>
    <w:basedOn w:val="113"/>
    <w:next w:val="1"/>
    <w:qFormat/>
    <w:uiPriority w:val="0"/>
    <w:pPr>
      <w:tabs>
        <w:tab w:val="center" w:pos="4154"/>
        <w:tab w:val="right" w:pos="8306"/>
      </w:tabs>
      <w:jc w:val="left"/>
    </w:pPr>
  </w:style>
  <w:style w:type="paragraph" w:customStyle="1" w:styleId="11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14">
    <w:name w:val="附录四级条标题"/>
    <w:basedOn w:val="115"/>
    <w:next w:val="101"/>
    <w:qFormat/>
    <w:uiPriority w:val="0"/>
    <w:pPr>
      <w:outlineLvl w:val="5"/>
    </w:pPr>
  </w:style>
  <w:style w:type="paragraph" w:customStyle="1" w:styleId="115">
    <w:name w:val="附录三级条标题"/>
    <w:basedOn w:val="116"/>
    <w:next w:val="101"/>
    <w:qFormat/>
    <w:uiPriority w:val="0"/>
    <w:pPr>
      <w:outlineLvl w:val="4"/>
    </w:pPr>
  </w:style>
  <w:style w:type="paragraph" w:customStyle="1" w:styleId="116">
    <w:name w:val="附录二级条标题"/>
    <w:basedOn w:val="117"/>
    <w:next w:val="101"/>
    <w:qFormat/>
    <w:uiPriority w:val="0"/>
    <w:pPr>
      <w:outlineLvl w:val="3"/>
    </w:pPr>
  </w:style>
  <w:style w:type="paragraph" w:customStyle="1" w:styleId="117">
    <w:name w:val="附录一级条标题"/>
    <w:basedOn w:val="100"/>
    <w:next w:val="101"/>
    <w:qFormat/>
    <w:uiPriority w:val="0"/>
    <w:pPr>
      <w:tabs>
        <w:tab w:val="clear" w:pos="780"/>
      </w:tabs>
      <w:autoSpaceDN w:val="0"/>
      <w:spacing w:beforeLines="0"/>
      <w:ind w:left="0" w:firstLine="0"/>
      <w:outlineLvl w:val="2"/>
    </w:pPr>
  </w:style>
  <w:style w:type="paragraph" w:customStyle="1" w:styleId="118">
    <w:name w:val="默认段落字体 Para Char"/>
    <w:basedOn w:val="1"/>
    <w:qFormat/>
    <w:uiPriority w:val="0"/>
    <w:rPr>
      <w:rFonts w:ascii="Tahoma" w:hAnsi="Tahoma"/>
      <w:sz w:val="24"/>
      <w:szCs w:val="20"/>
    </w:rPr>
  </w:style>
  <w:style w:type="paragraph" w:customStyle="1" w:styleId="119">
    <w:name w:val="列出段落1"/>
    <w:basedOn w:val="1"/>
    <w:qFormat/>
    <w:uiPriority w:val="34"/>
    <w:pPr>
      <w:ind w:firstLine="420" w:firstLineChars="200"/>
    </w:pPr>
  </w:style>
  <w:style w:type="paragraph" w:customStyle="1" w:styleId="120">
    <w:name w:val="样式5"/>
    <w:basedOn w:val="121"/>
    <w:next w:val="3"/>
    <w:qFormat/>
    <w:uiPriority w:val="0"/>
  </w:style>
  <w:style w:type="paragraph" w:customStyle="1" w:styleId="121">
    <w:name w:val="样式4"/>
    <w:basedOn w:val="122"/>
    <w:next w:val="124"/>
    <w:qFormat/>
    <w:uiPriority w:val="0"/>
  </w:style>
  <w:style w:type="paragraph" w:customStyle="1" w:styleId="122">
    <w:name w:val="样式 宋体 三号 加粗 居中 行距: 固定值 21.1 磅"/>
    <w:basedOn w:val="123"/>
    <w:next w:val="4"/>
    <w:qFormat/>
    <w:uiPriority w:val="0"/>
    <w:pPr>
      <w:spacing w:line="422" w:lineRule="exact"/>
      <w:jc w:val="center"/>
    </w:pPr>
    <w:rPr>
      <w:b w:val="0"/>
      <w:bCs w:val="0"/>
    </w:rPr>
  </w:style>
  <w:style w:type="paragraph" w:customStyle="1" w:styleId="123">
    <w:name w:val="样式 宋体 三号 加粗 行距: 1.5 倍行距"/>
    <w:basedOn w:val="1"/>
    <w:next w:val="4"/>
    <w:qFormat/>
    <w:uiPriority w:val="0"/>
    <w:pPr>
      <w:adjustRightInd w:val="0"/>
      <w:spacing w:line="360" w:lineRule="auto"/>
      <w:jc w:val="left"/>
    </w:pPr>
    <w:rPr>
      <w:rFonts w:ascii="宋体" w:hAnsi="宋体" w:cs="宋体"/>
      <w:b/>
      <w:bCs/>
      <w:kern w:val="0"/>
      <w:sz w:val="32"/>
      <w:szCs w:val="20"/>
    </w:rPr>
  </w:style>
  <w:style w:type="paragraph" w:customStyle="1" w:styleId="124">
    <w:name w:val="样式3"/>
    <w:basedOn w:val="1"/>
    <w:qFormat/>
    <w:uiPriority w:val="0"/>
    <w:pPr>
      <w:tabs>
        <w:tab w:val="left" w:pos="360"/>
        <w:tab w:val="left" w:pos="1191"/>
      </w:tabs>
      <w:spacing w:before="20" w:after="20" w:line="420" w:lineRule="exact"/>
      <w:ind w:left="1191" w:hanging="851"/>
    </w:pPr>
  </w:style>
  <w:style w:type="paragraph" w:customStyle="1" w:styleId="125">
    <w:name w:val="普通 (Web)"/>
    <w:basedOn w:val="1"/>
    <w:qFormat/>
    <w:uiPriority w:val="0"/>
    <w:pPr>
      <w:widowControl/>
      <w:spacing w:before="100" w:after="100"/>
      <w:jc w:val="left"/>
    </w:pPr>
    <w:rPr>
      <w:rFonts w:ascii="Arial Unicode MS" w:hAnsi="Arial Unicode MS" w:eastAsia="Arial Unicode MS"/>
      <w:kern w:val="0"/>
      <w:sz w:val="24"/>
      <w:szCs w:val="20"/>
    </w:rPr>
  </w:style>
  <w:style w:type="paragraph" w:customStyle="1" w:styleId="126">
    <w:name w:val="x正文"/>
    <w:basedOn w:val="1"/>
    <w:qFormat/>
    <w:uiPriority w:val="0"/>
    <w:pPr>
      <w:tabs>
        <w:tab w:val="left" w:pos="851"/>
      </w:tabs>
      <w:spacing w:line="360" w:lineRule="auto"/>
      <w:ind w:firstLine="480" w:firstLineChars="200"/>
    </w:pPr>
    <w:rPr>
      <w:color w:val="000000"/>
      <w:sz w:val="24"/>
    </w:rPr>
  </w:style>
  <w:style w:type="paragraph" w:customStyle="1" w:styleId="127">
    <w:name w:val="正文文本 21"/>
    <w:basedOn w:val="1"/>
    <w:qFormat/>
    <w:uiPriority w:val="0"/>
    <w:pPr>
      <w:adjustRightInd w:val="0"/>
      <w:ind w:firstLine="570"/>
    </w:pPr>
    <w:rPr>
      <w:sz w:val="28"/>
      <w:szCs w:val="20"/>
    </w:rPr>
  </w:style>
  <w:style w:type="paragraph" w:customStyle="1" w:styleId="128">
    <w:name w:val="样式 居中"/>
    <w:basedOn w:val="120"/>
    <w:next w:val="3"/>
    <w:qFormat/>
    <w:uiPriority w:val="0"/>
  </w:style>
  <w:style w:type="paragraph" w:customStyle="1" w:styleId="129">
    <w:name w:val="Plain Text1"/>
    <w:basedOn w:val="1"/>
    <w:qFormat/>
    <w:uiPriority w:val="0"/>
    <w:pPr>
      <w:autoSpaceDE w:val="0"/>
      <w:autoSpaceDN w:val="0"/>
      <w:adjustRightInd w:val="0"/>
    </w:pPr>
    <w:rPr>
      <w:rFonts w:ascii="宋体"/>
      <w:szCs w:val="20"/>
    </w:rPr>
  </w:style>
  <w:style w:type="paragraph" w:customStyle="1" w:styleId="130">
    <w:name w:val="附录图标题"/>
    <w:next w:val="101"/>
    <w:qFormat/>
    <w:uiPriority w:val="0"/>
    <w:pPr>
      <w:tabs>
        <w:tab w:val="left" w:pos="360"/>
      </w:tabs>
      <w:jc w:val="center"/>
    </w:pPr>
    <w:rPr>
      <w:rFonts w:ascii="黑体" w:hAnsi="Times New Roman" w:eastAsia="黑体" w:cs="Times New Roman"/>
      <w:sz w:val="21"/>
      <w:lang w:val="en-US" w:eastAsia="zh-CN" w:bidi="ar-SA"/>
    </w:rPr>
  </w:style>
  <w:style w:type="paragraph" w:customStyle="1" w:styleId="131">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32">
    <w:name w:val="表头"/>
    <w:basedOn w:val="1"/>
    <w:qFormat/>
    <w:uiPriority w:val="0"/>
    <w:pPr>
      <w:spacing w:line="360" w:lineRule="auto"/>
      <w:jc w:val="center"/>
    </w:pPr>
    <w:rPr>
      <w:rFonts w:ascii="黑体" w:eastAsia="黑体"/>
      <w:kern w:val="0"/>
      <w:sz w:val="24"/>
      <w:szCs w:val="20"/>
    </w:rPr>
  </w:style>
  <w:style w:type="paragraph" w:customStyle="1" w:styleId="133">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34">
    <w:name w:val="xl25"/>
    <w:basedOn w:val="1"/>
    <w:qFormat/>
    <w:uiPriority w:val="0"/>
    <w:pPr>
      <w:widowControl/>
      <w:pBdr>
        <w:top w:val="single" w:color="auto" w:sz="4" w:space="0"/>
        <w:left w:val="single" w:color="auto" w:sz="4" w:space="0"/>
        <w:bottom w:val="single" w:color="auto" w:sz="4" w:space="0"/>
      </w:pBdr>
      <w:shd w:val="clear" w:color="auto" w:fill="CCFFFF"/>
      <w:spacing w:before="100" w:beforeAutospacing="1" w:after="100" w:afterAutospacing="1"/>
      <w:jc w:val="center"/>
    </w:pPr>
    <w:rPr>
      <w:rFonts w:ascii="宋体" w:hAnsi="宋体" w:cs="宋体"/>
      <w:kern w:val="0"/>
      <w:sz w:val="24"/>
    </w:rPr>
  </w:style>
  <w:style w:type="paragraph" w:customStyle="1" w:styleId="135">
    <w:name w:val="font7"/>
    <w:basedOn w:val="1"/>
    <w:qFormat/>
    <w:uiPriority w:val="0"/>
    <w:pPr>
      <w:widowControl/>
      <w:spacing w:before="100" w:beforeAutospacing="1" w:after="100" w:afterAutospacing="1"/>
      <w:jc w:val="left"/>
    </w:pPr>
    <w:rPr>
      <w:kern w:val="0"/>
      <w:sz w:val="24"/>
    </w:rPr>
  </w:style>
  <w:style w:type="paragraph" w:customStyle="1" w:styleId="136">
    <w:name w:val="发布部门"/>
    <w:next w:val="101"/>
    <w:qFormat/>
    <w:uiPriority w:val="0"/>
    <w:pPr>
      <w:jc w:val="center"/>
    </w:pPr>
    <w:rPr>
      <w:rFonts w:ascii="宋体" w:hAnsi="Times New Roman" w:eastAsia="宋体" w:cs="Times New Roman"/>
      <w:b/>
      <w:spacing w:val="20"/>
      <w:w w:val="135"/>
      <w:sz w:val="36"/>
      <w:lang w:val="en-US" w:eastAsia="zh-CN" w:bidi="ar-SA"/>
    </w:rPr>
  </w:style>
  <w:style w:type="paragraph" w:customStyle="1" w:styleId="13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38">
    <w:name w:val="Char Char Char Char Char Char Char Char Char Char Char Char Char Char"/>
    <w:basedOn w:val="1"/>
    <w:qFormat/>
    <w:uiPriority w:val="0"/>
    <w:pPr>
      <w:spacing w:line="360" w:lineRule="auto"/>
      <w:ind w:firstLine="200" w:firstLineChars="200"/>
    </w:pPr>
    <w:rPr>
      <w:rFonts w:ascii="宋体" w:hAnsi="宋体" w:cs="宋体"/>
      <w:sz w:val="24"/>
    </w:rPr>
  </w:style>
  <w:style w:type="paragraph" w:customStyle="1" w:styleId="139">
    <w:name w:val="五级条标题"/>
    <w:basedOn w:val="1"/>
    <w:next w:val="1"/>
    <w:qFormat/>
    <w:uiPriority w:val="0"/>
    <w:pPr>
      <w:widowControl/>
      <w:jc w:val="left"/>
      <w:outlineLvl w:val="6"/>
    </w:pPr>
    <w:rPr>
      <w:rFonts w:eastAsia="黑体"/>
      <w:kern w:val="0"/>
      <w:szCs w:val="20"/>
    </w:rPr>
  </w:style>
  <w:style w:type="paragraph" w:customStyle="1" w:styleId="140">
    <w:name w:val="附录五级条标题"/>
    <w:basedOn w:val="114"/>
    <w:next w:val="101"/>
    <w:qFormat/>
    <w:uiPriority w:val="0"/>
    <w:pPr>
      <w:tabs>
        <w:tab w:val="left" w:pos="2940"/>
      </w:tabs>
      <w:ind w:left="2940" w:hanging="420"/>
      <w:outlineLvl w:val="6"/>
    </w:pPr>
  </w:style>
  <w:style w:type="paragraph" w:customStyle="1" w:styleId="141">
    <w:name w:val="封面正文"/>
    <w:qFormat/>
    <w:uiPriority w:val="0"/>
    <w:pPr>
      <w:jc w:val="both"/>
    </w:pPr>
    <w:rPr>
      <w:rFonts w:ascii="Times New Roman" w:hAnsi="Times New Roman" w:eastAsia="宋体" w:cs="Times New Roman"/>
      <w:lang w:val="en-US" w:eastAsia="zh-CN" w:bidi="ar-SA"/>
    </w:rPr>
  </w:style>
  <w:style w:type="paragraph" w:customStyle="1" w:styleId="142">
    <w:name w:val="附录标识"/>
    <w:basedOn w:val="107"/>
    <w:qFormat/>
    <w:uiPriority w:val="0"/>
    <w:pPr>
      <w:tabs>
        <w:tab w:val="left" w:pos="360"/>
        <w:tab w:val="left" w:pos="6405"/>
      </w:tabs>
      <w:spacing w:after="200"/>
      <w:ind w:left="360" w:hanging="360"/>
    </w:pPr>
    <w:rPr>
      <w:sz w:val="21"/>
    </w:rPr>
  </w:style>
  <w:style w:type="paragraph" w:customStyle="1" w:styleId="143">
    <w:name w:val="Char Char Char"/>
    <w:basedOn w:val="1"/>
    <w:qFormat/>
    <w:uiPriority w:val="0"/>
    <w:rPr>
      <w:szCs w:val="20"/>
    </w:rPr>
  </w:style>
  <w:style w:type="paragraph" w:customStyle="1" w:styleId="14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45">
    <w:name w:val="封面标准号2"/>
    <w:basedOn w:val="146"/>
    <w:qFormat/>
    <w:uiPriority w:val="0"/>
    <w:pPr>
      <w:adjustRightInd w:val="0"/>
      <w:spacing w:before="357" w:line="280" w:lineRule="exact"/>
    </w:pPr>
  </w:style>
  <w:style w:type="paragraph" w:customStyle="1" w:styleId="146">
    <w:name w:val="封面标准号1"/>
    <w:qFormat/>
    <w:uiPriority w:val="0"/>
    <w:pPr>
      <w:widowControl w:val="0"/>
      <w:kinsoku w:val="0"/>
      <w:overflowPunct w:val="0"/>
      <w:autoSpaceDE w:val="0"/>
      <w:autoSpaceDN w:val="0"/>
      <w:spacing w:before="308"/>
      <w:jc w:val="right"/>
    </w:pPr>
    <w:rPr>
      <w:rFonts w:ascii="Times New Roman" w:hAnsi="Times New Roman" w:eastAsia="宋体" w:cs="Times New Roman"/>
      <w:sz w:val="28"/>
      <w:lang w:val="en-US" w:eastAsia="zh-CN" w:bidi="ar-SA"/>
    </w:rPr>
  </w:style>
  <w:style w:type="paragraph" w:customStyle="1" w:styleId="147">
    <w:name w:val="font0"/>
    <w:basedOn w:val="1"/>
    <w:qFormat/>
    <w:uiPriority w:val="0"/>
    <w:pPr>
      <w:widowControl/>
      <w:spacing w:before="100" w:beforeAutospacing="1" w:after="100" w:afterAutospacing="1"/>
      <w:jc w:val="left"/>
    </w:pPr>
    <w:rPr>
      <w:rFonts w:ascii="宋体" w:hAnsi="宋体" w:cs="宋体"/>
      <w:kern w:val="0"/>
      <w:sz w:val="24"/>
    </w:rPr>
  </w:style>
  <w:style w:type="paragraph" w:customStyle="1" w:styleId="148">
    <w:name w:val="列项●（二级）"/>
    <w:qFormat/>
    <w:uiPriority w:val="0"/>
    <w:pPr>
      <w:tabs>
        <w:tab w:val="left" w:pos="760"/>
      </w:tabs>
      <w:ind w:left="600" w:leftChars="400" w:hanging="200" w:hangingChars="200"/>
      <w:jc w:val="both"/>
    </w:pPr>
    <w:rPr>
      <w:rFonts w:ascii="宋体" w:hAnsi="Times New Roman" w:eastAsia="宋体" w:cs="Times New Roman"/>
      <w:sz w:val="21"/>
      <w:lang w:val="en-US" w:eastAsia="zh-CN" w:bidi="ar-SA"/>
    </w:rPr>
  </w:style>
  <w:style w:type="paragraph" w:customStyle="1" w:styleId="149">
    <w:name w:val="标题1 Char Char Char"/>
    <w:basedOn w:val="2"/>
    <w:qFormat/>
    <w:uiPriority w:val="0"/>
    <w:pPr>
      <w:tabs>
        <w:tab w:val="center" w:pos="4512"/>
        <w:tab w:val="center" w:pos="4606"/>
      </w:tabs>
      <w:adjustRightInd w:val="0"/>
      <w:snapToGrid w:val="0"/>
      <w:spacing w:beforeLines="50" w:afterLines="50" w:line="400" w:lineRule="exact"/>
    </w:pPr>
    <w:rPr>
      <w:rFonts w:ascii="宋体" w:hAnsi="宋体"/>
      <w:bCs w:val="0"/>
      <w:sz w:val="21"/>
      <w:szCs w:val="21"/>
    </w:rPr>
  </w:style>
  <w:style w:type="paragraph" w:customStyle="1" w:styleId="150">
    <w:name w:val="注："/>
    <w:next w:val="101"/>
    <w:qFormat/>
    <w:uiPriority w:val="0"/>
    <w:pPr>
      <w:widowControl w:val="0"/>
      <w:tabs>
        <w:tab w:val="left" w:pos="420"/>
      </w:tabs>
      <w:autoSpaceDE w:val="0"/>
      <w:autoSpaceDN w:val="0"/>
      <w:ind w:left="420" w:hanging="420"/>
      <w:jc w:val="both"/>
    </w:pPr>
    <w:rPr>
      <w:rFonts w:ascii="宋体" w:hAnsi="Times New Roman" w:eastAsia="宋体" w:cs="Times New Roman"/>
      <w:sz w:val="18"/>
      <w:lang w:val="en-US" w:eastAsia="zh-CN" w:bidi="ar-SA"/>
    </w:rPr>
  </w:style>
  <w:style w:type="paragraph" w:customStyle="1" w:styleId="151">
    <w:name w:val="font8"/>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152">
    <w:name w:val="目次、索引正文"/>
    <w:qFormat/>
    <w:uiPriority w:val="0"/>
    <w:pPr>
      <w:tabs>
        <w:tab w:val="left" w:pos="2880"/>
      </w:tabs>
      <w:spacing w:line="320" w:lineRule="exact"/>
      <w:ind w:left="2880" w:hanging="360"/>
      <w:jc w:val="both"/>
    </w:pPr>
    <w:rPr>
      <w:rFonts w:ascii="宋体" w:hAnsi="Times New Roman" w:eastAsia="宋体" w:cs="Times New Roman"/>
      <w:sz w:val="21"/>
      <w:lang w:val="en-US" w:eastAsia="zh-CN" w:bidi="ar-SA"/>
    </w:rPr>
  </w:style>
  <w:style w:type="paragraph" w:customStyle="1" w:styleId="153">
    <w:name w:val="表格文字"/>
    <w:basedOn w:val="1"/>
    <w:next w:val="1"/>
    <w:qFormat/>
    <w:uiPriority w:val="0"/>
    <w:pPr>
      <w:snapToGrid w:val="0"/>
      <w:spacing w:line="360" w:lineRule="atLeast"/>
      <w:jc w:val="center"/>
    </w:pPr>
    <w:rPr>
      <w:rFonts w:ascii="宋体" w:eastAsia="幼圆"/>
      <w:szCs w:val="20"/>
    </w:rPr>
  </w:style>
  <w:style w:type="paragraph" w:customStyle="1" w:styleId="154">
    <w:name w:val="标题2正文"/>
    <w:basedOn w:val="3"/>
    <w:qFormat/>
    <w:uiPriority w:val="0"/>
    <w:pPr>
      <w:keepNext w:val="0"/>
      <w:keepLines w:val="0"/>
      <w:numPr>
        <w:numId w:val="0"/>
      </w:numPr>
      <w:tabs>
        <w:tab w:val="left" w:pos="900"/>
      </w:tabs>
      <w:snapToGrid w:val="0"/>
      <w:spacing w:beforeLines="150" w:after="156" w:line="240" w:lineRule="auto"/>
      <w:ind w:left="1800" w:right="200" w:rightChars="200" w:hanging="480"/>
    </w:pPr>
    <w:rPr>
      <w:rFonts w:ascii="Times New Roman" w:hAnsi="Times New Roman"/>
      <w:b w:val="0"/>
      <w:bCs/>
      <w:kern w:val="2"/>
      <w:sz w:val="24"/>
    </w:rPr>
  </w:style>
  <w:style w:type="paragraph" w:customStyle="1" w:styleId="155">
    <w:name w:val="文献分类号"/>
    <w:qFormat/>
    <w:uiPriority w:val="0"/>
    <w:pPr>
      <w:widowControl w:val="0"/>
      <w:tabs>
        <w:tab w:val="left" w:pos="760"/>
        <w:tab w:val="left" w:pos="840"/>
      </w:tabs>
    </w:pPr>
    <w:rPr>
      <w:rFonts w:ascii="Times New Roman" w:hAnsi="Times New Roman" w:eastAsia="黑体" w:cs="Times New Roman"/>
      <w:sz w:val="21"/>
      <w:lang w:val="en-US" w:eastAsia="zh-CN" w:bidi="ar-SA"/>
    </w:rPr>
  </w:style>
  <w:style w:type="paragraph" w:customStyle="1" w:styleId="156">
    <w:name w:val="注×："/>
    <w:qFormat/>
    <w:uiPriority w:val="0"/>
    <w:pPr>
      <w:widowControl w:val="0"/>
      <w:tabs>
        <w:tab w:val="left" w:pos="420"/>
        <w:tab w:val="left" w:pos="630"/>
      </w:tabs>
      <w:autoSpaceDE w:val="0"/>
      <w:autoSpaceDN w:val="0"/>
      <w:ind w:left="420" w:hanging="420"/>
      <w:jc w:val="both"/>
    </w:pPr>
    <w:rPr>
      <w:rFonts w:ascii="宋体" w:hAnsi="Times New Roman" w:eastAsia="宋体" w:cs="Times New Roman"/>
      <w:sz w:val="18"/>
      <w:lang w:val="en-US" w:eastAsia="zh-CN" w:bidi="ar-SA"/>
    </w:rPr>
  </w:style>
  <w:style w:type="paragraph" w:customStyle="1" w:styleId="157">
    <w:name w:val="xl27"/>
    <w:basedOn w:val="1"/>
    <w:qFormat/>
    <w:uiPriority w:val="0"/>
    <w:pPr>
      <w:widowControl/>
      <w:pBdr>
        <w:top w:val="single" w:color="auto" w:sz="4" w:space="0"/>
        <w:bottom w:val="single" w:color="auto" w:sz="4" w:space="0"/>
        <w:right w:val="single" w:color="auto" w:sz="4" w:space="0"/>
      </w:pBdr>
      <w:shd w:val="clear" w:color="auto" w:fill="CCFFFF"/>
      <w:spacing w:before="100" w:beforeAutospacing="1" w:after="100" w:afterAutospacing="1"/>
      <w:jc w:val="center"/>
    </w:pPr>
    <w:rPr>
      <w:rFonts w:ascii="宋体" w:hAnsi="宋体" w:cs="宋体"/>
      <w:kern w:val="0"/>
      <w:sz w:val="24"/>
    </w:rPr>
  </w:style>
  <w:style w:type="paragraph" w:customStyle="1" w:styleId="158">
    <w:name w:val="其他发布部门"/>
    <w:basedOn w:val="136"/>
    <w:qFormat/>
    <w:uiPriority w:val="0"/>
    <w:pPr>
      <w:tabs>
        <w:tab w:val="left" w:pos="1266"/>
      </w:tabs>
      <w:spacing w:line="0" w:lineRule="atLeast"/>
      <w:ind w:left="1266" w:hanging="840"/>
    </w:pPr>
    <w:rPr>
      <w:rFonts w:ascii="黑体" w:eastAsia="黑体"/>
      <w:b w:val="0"/>
    </w:rPr>
  </w:style>
  <w:style w:type="paragraph" w:customStyle="1" w:styleId="159">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60">
    <w:name w:val="标题2"/>
    <w:basedOn w:val="3"/>
    <w:qFormat/>
    <w:uiPriority w:val="0"/>
    <w:pPr>
      <w:numPr>
        <w:numId w:val="0"/>
      </w:numPr>
      <w:spacing w:before="0" w:after="0" w:line="360" w:lineRule="auto"/>
      <w:ind w:left="840" w:hanging="420"/>
      <w:jc w:val="both"/>
    </w:pPr>
    <w:rPr>
      <w:rFonts w:ascii="Times New Roman" w:hAnsi="Times New Roman" w:eastAsia="宋体"/>
      <w:b w:val="0"/>
      <w:sz w:val="24"/>
    </w:rPr>
  </w:style>
  <w:style w:type="paragraph" w:customStyle="1" w:styleId="161">
    <w:name w:val="实施日期"/>
    <w:basedOn w:val="162"/>
    <w:qFormat/>
    <w:uiPriority w:val="0"/>
    <w:pPr>
      <w:jc w:val="right"/>
    </w:pPr>
  </w:style>
  <w:style w:type="paragraph" w:customStyle="1" w:styleId="162">
    <w:name w:val="发布日期"/>
    <w:qFormat/>
    <w:uiPriority w:val="0"/>
    <w:rPr>
      <w:rFonts w:ascii="Times New Roman" w:hAnsi="Times New Roman" w:eastAsia="黑体" w:cs="Times New Roman"/>
      <w:sz w:val="28"/>
      <w:lang w:val="en-US" w:eastAsia="zh-CN" w:bidi="ar-SA"/>
    </w:rPr>
  </w:style>
  <w:style w:type="paragraph" w:customStyle="1" w:styleId="16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64">
    <w:name w:val="Char"/>
    <w:basedOn w:val="1"/>
    <w:qFormat/>
    <w:uiPriority w:val="0"/>
  </w:style>
  <w:style w:type="paragraph" w:customStyle="1" w:styleId="165">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66">
    <w:name w:val="样式2"/>
    <w:basedOn w:val="1"/>
    <w:qFormat/>
    <w:uiPriority w:val="0"/>
    <w:pPr>
      <w:adjustRightInd w:val="0"/>
      <w:spacing w:before="120" w:after="120"/>
      <w:jc w:val="center"/>
    </w:pPr>
    <w:rPr>
      <w:rFonts w:ascii="Arial" w:hAnsi="Arial"/>
      <w:spacing w:val="60"/>
      <w:kern w:val="0"/>
      <w:sz w:val="24"/>
      <w:szCs w:val="20"/>
    </w:rPr>
  </w:style>
  <w:style w:type="paragraph" w:customStyle="1" w:styleId="167">
    <w:name w:val="font9"/>
    <w:basedOn w:val="1"/>
    <w:qFormat/>
    <w:uiPriority w:val="0"/>
    <w:pPr>
      <w:widowControl/>
      <w:spacing w:before="100" w:beforeAutospacing="1" w:after="100" w:afterAutospacing="1"/>
      <w:jc w:val="left"/>
    </w:pPr>
    <w:rPr>
      <w:rFonts w:ascii="宋体" w:hAnsi="宋体" w:cs="宋体"/>
      <w:b/>
      <w:bCs/>
      <w:color w:val="000000"/>
      <w:kern w:val="0"/>
      <w:sz w:val="18"/>
      <w:szCs w:val="18"/>
    </w:rPr>
  </w:style>
  <w:style w:type="paragraph" w:customStyle="1" w:styleId="168">
    <w:name w:val="Char1"/>
    <w:basedOn w:val="1"/>
    <w:qFormat/>
    <w:uiPriority w:val="0"/>
    <w:pPr>
      <w:snapToGrid w:val="0"/>
    </w:pPr>
    <w:rPr>
      <w:rFonts w:ascii="Arial" w:hAnsi="Arial"/>
      <w:szCs w:val="21"/>
    </w:rPr>
  </w:style>
  <w:style w:type="paragraph" w:customStyle="1" w:styleId="169">
    <w:name w:val="正文表标题"/>
    <w:next w:val="101"/>
    <w:qFormat/>
    <w:uiPriority w:val="0"/>
    <w:pPr>
      <w:jc w:val="center"/>
    </w:pPr>
    <w:rPr>
      <w:rFonts w:ascii="黑体" w:hAnsi="Times New Roman" w:eastAsia="黑体" w:cs="Times New Roman"/>
      <w:sz w:val="21"/>
      <w:lang w:val="en-US" w:eastAsia="zh-CN" w:bidi="ar-SA"/>
    </w:rPr>
  </w:style>
  <w:style w:type="paragraph" w:customStyle="1" w:styleId="170">
    <w:name w:val="标题1"/>
    <w:basedOn w:val="2"/>
    <w:qFormat/>
    <w:uiPriority w:val="0"/>
    <w:pPr>
      <w:keepNext w:val="0"/>
      <w:spacing w:before="0" w:after="0" w:line="360" w:lineRule="auto"/>
      <w:ind w:left="851" w:hanging="851"/>
      <w:jc w:val="center"/>
    </w:pPr>
    <w:rPr>
      <w:sz w:val="30"/>
      <w:szCs w:val="30"/>
    </w:rPr>
  </w:style>
  <w:style w:type="paragraph" w:customStyle="1" w:styleId="171">
    <w:name w:val="JY附件"/>
    <w:basedOn w:val="1"/>
    <w:qFormat/>
    <w:uiPriority w:val="0"/>
    <w:pPr>
      <w:tabs>
        <w:tab w:val="left" w:pos="-288"/>
      </w:tabs>
      <w:snapToGrid w:val="0"/>
      <w:spacing w:beforeLines="50" w:line="480" w:lineRule="exact"/>
      <w:ind w:left="-288" w:leftChars="-1" w:firstLine="600"/>
      <w:jc w:val="left"/>
      <w:outlineLvl w:val="0"/>
    </w:pPr>
    <w:rPr>
      <w:rFonts w:ascii="黑体" w:eastAsia="黑体"/>
      <w:color w:val="000000"/>
      <w:kern w:val="0"/>
      <w:sz w:val="30"/>
      <w:szCs w:val="30"/>
    </w:rPr>
  </w:style>
  <w:style w:type="paragraph" w:customStyle="1" w:styleId="172">
    <w:name w:val="xl26"/>
    <w:basedOn w:val="1"/>
    <w:qFormat/>
    <w:uiPriority w:val="0"/>
    <w:pPr>
      <w:widowControl/>
      <w:pBdr>
        <w:top w:val="single" w:color="auto" w:sz="4" w:space="0"/>
        <w:bottom w:val="single" w:color="auto" w:sz="4" w:space="0"/>
      </w:pBdr>
      <w:shd w:val="clear" w:color="auto" w:fill="CCFFFF"/>
      <w:spacing w:before="100" w:beforeAutospacing="1" w:after="100" w:afterAutospacing="1"/>
      <w:jc w:val="center"/>
    </w:pPr>
    <w:rPr>
      <w:rFonts w:ascii="宋体" w:hAnsi="宋体" w:cs="宋体"/>
      <w:kern w:val="0"/>
      <w:sz w:val="24"/>
    </w:rPr>
  </w:style>
  <w:style w:type="paragraph" w:customStyle="1" w:styleId="173">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74">
    <w:name w:val="biao"/>
    <w:basedOn w:val="1"/>
    <w:qFormat/>
    <w:uiPriority w:val="0"/>
    <w:pPr>
      <w:tabs>
        <w:tab w:val="left" w:pos="2340"/>
      </w:tabs>
      <w:autoSpaceDE w:val="0"/>
      <w:autoSpaceDN w:val="0"/>
      <w:adjustRightInd w:val="0"/>
      <w:spacing w:line="240" w:lineRule="atLeast"/>
      <w:jc w:val="center"/>
    </w:pPr>
    <w:rPr>
      <w:rFonts w:ascii="黑体" w:hAnsi="Tms Rmn" w:eastAsia="黑体"/>
      <w:kern w:val="0"/>
      <w:sz w:val="30"/>
      <w:szCs w:val="20"/>
    </w:rPr>
  </w:style>
  <w:style w:type="paragraph" w:customStyle="1" w:styleId="175">
    <w:name w:val="金"/>
    <w:basedOn w:val="1"/>
    <w:next w:val="108"/>
    <w:qFormat/>
    <w:uiPriority w:val="0"/>
    <w:pPr>
      <w:spacing w:before="240" w:after="240" w:line="360" w:lineRule="auto"/>
      <w:ind w:left="359" w:leftChars="171"/>
      <w:jc w:val="center"/>
    </w:pPr>
    <w:rPr>
      <w:b/>
      <w:sz w:val="36"/>
      <w:szCs w:val="20"/>
    </w:rPr>
  </w:style>
  <w:style w:type="paragraph" w:customStyle="1" w:styleId="176">
    <w:name w:val="附录表标题"/>
    <w:next w:val="101"/>
    <w:qFormat/>
    <w:uiPriority w:val="0"/>
    <w:pPr>
      <w:tabs>
        <w:tab w:val="left" w:pos="360"/>
      </w:tabs>
      <w:jc w:val="center"/>
    </w:pPr>
    <w:rPr>
      <w:rFonts w:ascii="黑体" w:hAnsi="Times New Roman" w:eastAsia="黑体" w:cs="Times New Roman"/>
      <w:kern w:val="21"/>
      <w:sz w:val="21"/>
      <w:lang w:val="en-US" w:eastAsia="zh-CN" w:bidi="ar-SA"/>
    </w:rPr>
  </w:style>
  <w:style w:type="paragraph" w:customStyle="1" w:styleId="177">
    <w:name w:val="正文图标题"/>
    <w:next w:val="101"/>
    <w:qFormat/>
    <w:uiPriority w:val="0"/>
    <w:pPr>
      <w:tabs>
        <w:tab w:val="left" w:pos="420"/>
      </w:tabs>
      <w:ind w:left="420" w:hanging="420"/>
      <w:jc w:val="center"/>
    </w:pPr>
    <w:rPr>
      <w:rFonts w:ascii="黑体" w:hAnsi="Times New Roman" w:eastAsia="黑体" w:cs="Times New Roman"/>
      <w:sz w:val="21"/>
      <w:lang w:val="en-US" w:eastAsia="zh-CN" w:bidi="ar-SA"/>
    </w:rPr>
  </w:style>
  <w:style w:type="paragraph" w:customStyle="1" w:styleId="178">
    <w:name w:val="正文文本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79">
    <w:name w:val="封面标准代替信息"/>
    <w:basedOn w:val="145"/>
    <w:qFormat/>
    <w:uiPriority w:val="0"/>
    <w:pPr>
      <w:spacing w:before="57"/>
    </w:pPr>
    <w:rPr>
      <w:rFonts w:ascii="宋体"/>
      <w:sz w:val="21"/>
    </w:rPr>
  </w:style>
  <w:style w:type="paragraph" w:customStyle="1" w:styleId="180">
    <w:name w:val="三级条标题"/>
    <w:basedOn w:val="102"/>
    <w:next w:val="1"/>
    <w:qFormat/>
    <w:uiPriority w:val="0"/>
    <w:pPr>
      <w:ind w:left="1080"/>
      <w:outlineLvl w:val="4"/>
    </w:pPr>
  </w:style>
  <w:style w:type="paragraph" w:customStyle="1" w:styleId="181">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82">
    <w:name w:val=":("/>
    <w:qFormat/>
    <w:uiPriority w:val="0"/>
    <w:pPr>
      <w:overflowPunct w:val="0"/>
      <w:autoSpaceDE w:val="0"/>
      <w:autoSpaceDN w:val="0"/>
      <w:adjustRightInd w:val="0"/>
    </w:pPr>
    <w:rPr>
      <w:rFonts w:ascii="宋体" w:hAnsi="Times New Roman" w:eastAsia="宋体" w:cs="Times New Roman"/>
      <w:lang w:val="en-US" w:eastAsia="zh-CN" w:bidi="ar-SA"/>
    </w:rPr>
  </w:style>
  <w:style w:type="paragraph" w:customStyle="1" w:styleId="183">
    <w:name w:val="章标题"/>
    <w:next w:val="1"/>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184">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85">
    <w:name w:val="示例"/>
    <w:next w:val="1"/>
    <w:qFormat/>
    <w:uiPriority w:val="0"/>
    <w:pPr>
      <w:jc w:val="both"/>
    </w:pPr>
    <w:rPr>
      <w:rFonts w:ascii="宋体" w:hAnsi="Times New Roman" w:eastAsia="宋体" w:cs="Times New Roman"/>
      <w:sz w:val="18"/>
      <w:lang w:val="en-US" w:eastAsia="zh-CN" w:bidi="ar-SA"/>
    </w:rPr>
  </w:style>
  <w:style w:type="paragraph" w:customStyle="1" w:styleId="186">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87">
    <w:name w:val="条文脚注"/>
    <w:basedOn w:val="31"/>
    <w:qFormat/>
    <w:uiPriority w:val="0"/>
    <w:pPr>
      <w:tabs>
        <w:tab w:val="left" w:pos="1120"/>
      </w:tabs>
      <w:ind w:left="780" w:leftChars="200" w:hanging="360" w:hangingChars="200"/>
      <w:jc w:val="both"/>
    </w:pPr>
    <w:rPr>
      <w:rFonts w:hAnsi="Times New Roman"/>
      <w:kern w:val="2"/>
    </w:rPr>
  </w:style>
  <w:style w:type="paragraph" w:customStyle="1" w:styleId="188">
    <w:name w:val="列项——（一级）"/>
    <w:qFormat/>
    <w:uiPriority w:val="0"/>
    <w:pPr>
      <w:widowControl w:val="0"/>
      <w:tabs>
        <w:tab w:val="left" w:pos="854"/>
        <w:tab w:val="left" w:pos="1200"/>
      </w:tabs>
      <w:ind w:left="1200" w:leftChars="200" w:hanging="720" w:hangingChars="200"/>
      <w:jc w:val="both"/>
    </w:pPr>
    <w:rPr>
      <w:rFonts w:ascii="宋体" w:hAnsi="Times New Roman" w:eastAsia="宋体" w:cs="Times New Roman"/>
      <w:sz w:val="21"/>
      <w:lang w:val="en-US" w:eastAsia="zh-CN" w:bidi="ar-SA"/>
    </w:rPr>
  </w:style>
  <w:style w:type="paragraph" w:customStyle="1" w:styleId="189">
    <w:name w:val="其他标准称谓"/>
    <w:qFormat/>
    <w:uiPriority w:val="0"/>
    <w:pPr>
      <w:tabs>
        <w:tab w:val="left" w:pos="3600"/>
      </w:tabs>
      <w:spacing w:line="0" w:lineRule="atLeast"/>
      <w:ind w:left="3600" w:hanging="360"/>
      <w:jc w:val="distribute"/>
    </w:pPr>
    <w:rPr>
      <w:rFonts w:ascii="黑体" w:hAnsi="宋体" w:eastAsia="黑体" w:cs="Times New Roman"/>
      <w:sz w:val="52"/>
      <w:lang w:val="en-US" w:eastAsia="zh-CN" w:bidi="ar-SA"/>
    </w:rPr>
  </w:style>
  <w:style w:type="paragraph" w:customStyle="1" w:styleId="190">
    <w:name w:val="默认段落字体 Para Char Char Char Char"/>
    <w:basedOn w:val="1"/>
    <w:qFormat/>
    <w:uiPriority w:val="0"/>
    <w:pPr>
      <w:spacing w:line="360" w:lineRule="auto"/>
    </w:pPr>
    <w:rPr>
      <w:rFonts w:ascii="Tahoma" w:hAnsi="Tahoma"/>
      <w:sz w:val="24"/>
      <w:szCs w:val="20"/>
    </w:rPr>
  </w:style>
  <w:style w:type="paragraph" w:customStyle="1" w:styleId="191">
    <w:name w:val="样式8"/>
    <w:basedOn w:val="2"/>
    <w:next w:val="28"/>
    <w:qFormat/>
    <w:uiPriority w:val="0"/>
    <w:rPr>
      <w:bCs w:val="0"/>
      <w:sz w:val="28"/>
      <w:szCs w:val="20"/>
    </w:rPr>
  </w:style>
  <w:style w:type="paragraph" w:customStyle="1" w:styleId="192">
    <w:name w:val="表格"/>
    <w:basedOn w:val="1"/>
    <w:qFormat/>
    <w:uiPriority w:val="0"/>
    <w:pPr>
      <w:adjustRightInd w:val="0"/>
      <w:spacing w:before="60" w:after="60"/>
      <w:jc w:val="center"/>
    </w:pPr>
    <w:rPr>
      <w:rFonts w:ascii="宋体"/>
      <w:kern w:val="0"/>
      <w:sz w:val="24"/>
      <w:szCs w:val="20"/>
    </w:rPr>
  </w:style>
  <w:style w:type="paragraph" w:customStyle="1" w:styleId="193">
    <w:name w:val="Char Char Char Char1"/>
    <w:basedOn w:val="1"/>
    <w:qFormat/>
    <w:uiPriority w:val="0"/>
  </w:style>
  <w:style w:type="paragraph" w:customStyle="1" w:styleId="194">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195">
    <w:name w:val="tiao"/>
    <w:basedOn w:val="1"/>
    <w:qFormat/>
    <w:uiPriority w:val="0"/>
    <w:pPr>
      <w:autoSpaceDE w:val="0"/>
      <w:autoSpaceDN w:val="0"/>
      <w:adjustRightInd w:val="0"/>
      <w:spacing w:line="360" w:lineRule="atLeast"/>
      <w:ind w:left="964" w:hanging="964"/>
    </w:pPr>
    <w:rPr>
      <w:rFonts w:ascii="宋体" w:hAnsi="Tms Rmn"/>
      <w:kern w:val="0"/>
      <w:sz w:val="24"/>
      <w:szCs w:val="20"/>
    </w:rPr>
  </w:style>
  <w:style w:type="paragraph" w:customStyle="1" w:styleId="196">
    <w:name w:val="四级条标题"/>
    <w:basedOn w:val="180"/>
    <w:next w:val="101"/>
    <w:qFormat/>
    <w:uiPriority w:val="0"/>
    <w:pPr>
      <w:tabs>
        <w:tab w:val="left" w:pos="360"/>
      </w:tabs>
      <w:ind w:left="360"/>
      <w:outlineLvl w:val="5"/>
    </w:pPr>
  </w:style>
  <w:style w:type="paragraph" w:customStyle="1" w:styleId="197">
    <w:name w:val="封面标准名称"/>
    <w:qFormat/>
    <w:uiPriority w:val="0"/>
    <w:pPr>
      <w:widowControl w:val="0"/>
      <w:spacing w:line="680" w:lineRule="exact"/>
      <w:jc w:val="center"/>
    </w:pPr>
    <w:rPr>
      <w:rFonts w:ascii="黑体" w:hAnsi="Times New Roman" w:eastAsia="黑体" w:cs="Times New Roman"/>
      <w:sz w:val="52"/>
      <w:lang w:val="en-US" w:eastAsia="zh-CN" w:bidi="ar-SA"/>
    </w:rPr>
  </w:style>
  <w:style w:type="paragraph" w:customStyle="1" w:styleId="198">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99">
    <w:name w:val="font6"/>
    <w:basedOn w:val="1"/>
    <w:qFormat/>
    <w:uiPriority w:val="0"/>
    <w:pPr>
      <w:widowControl/>
      <w:spacing w:before="100" w:beforeAutospacing="1" w:after="100" w:afterAutospacing="1"/>
      <w:jc w:val="left"/>
    </w:pPr>
    <w:rPr>
      <w:kern w:val="0"/>
      <w:sz w:val="24"/>
    </w:rPr>
  </w:style>
  <w:style w:type="paragraph" w:customStyle="1" w:styleId="200">
    <w:name w:val="p0"/>
    <w:basedOn w:val="1"/>
    <w:qFormat/>
    <w:uiPriority w:val="0"/>
    <w:pPr>
      <w:widowControl/>
    </w:pPr>
    <w:rPr>
      <w:kern w:val="0"/>
      <w:szCs w:val="21"/>
    </w:rPr>
  </w:style>
  <w:style w:type="paragraph" w:customStyle="1" w:styleId="201">
    <w:name w:val="样式6"/>
    <w:basedOn w:val="3"/>
    <w:next w:val="120"/>
    <w:qFormat/>
    <w:uiPriority w:val="0"/>
    <w:pPr>
      <w:numPr>
        <w:numId w:val="0"/>
      </w:numPr>
    </w:pPr>
    <w:rPr>
      <w:rFonts w:eastAsia="宋体"/>
      <w:bCs/>
      <w:szCs w:val="32"/>
    </w:rPr>
  </w:style>
  <w:style w:type="paragraph" w:customStyle="1" w:styleId="202">
    <w:name w:val="ST20_1"/>
    <w:basedOn w:val="1"/>
    <w:qFormat/>
    <w:uiPriority w:val="0"/>
    <w:pPr>
      <w:autoSpaceDE w:val="0"/>
      <w:autoSpaceDN w:val="0"/>
      <w:adjustRightInd w:val="0"/>
      <w:spacing w:line="400" w:lineRule="atLeast"/>
      <w:ind w:firstLine="567"/>
      <w:jc w:val="center"/>
    </w:pPr>
    <w:rPr>
      <w:rFonts w:ascii="宋体" w:hAnsi="Tms Rmn" w:eastAsia="楷体_GB2312"/>
      <w:kern w:val="0"/>
      <w:sz w:val="24"/>
      <w:szCs w:val="20"/>
    </w:rPr>
  </w:style>
  <w:style w:type="paragraph" w:customStyle="1" w:styleId="203">
    <w:name w:val="日期1"/>
    <w:basedOn w:val="1"/>
    <w:next w:val="1"/>
    <w:qFormat/>
    <w:uiPriority w:val="0"/>
    <w:pPr>
      <w:adjustRightInd w:val="0"/>
    </w:pPr>
    <w:rPr>
      <w:sz w:val="28"/>
      <w:szCs w:val="20"/>
    </w:rPr>
  </w:style>
  <w:style w:type="paragraph" w:customStyle="1" w:styleId="204">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205">
    <w:name w:val="目次、标准名称标题"/>
    <w:basedOn w:val="107"/>
    <w:next w:val="101"/>
    <w:qFormat/>
    <w:uiPriority w:val="0"/>
    <w:pPr>
      <w:tabs>
        <w:tab w:val="left" w:pos="1260"/>
      </w:tabs>
      <w:spacing w:line="460" w:lineRule="exact"/>
      <w:ind w:left="1260" w:hanging="420"/>
    </w:pPr>
  </w:style>
  <w:style w:type="paragraph" w:customStyle="1" w:styleId="206">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207">
    <w:name w:val="Char Char Char Char Char1"/>
    <w:basedOn w:val="1"/>
    <w:qFormat/>
    <w:uiPriority w:val="0"/>
    <w:rPr>
      <w:sz w:val="24"/>
    </w:rPr>
  </w:style>
  <w:style w:type="paragraph" w:customStyle="1" w:styleId="208">
    <w:name w:val="参考文献、索引标题"/>
    <w:basedOn w:val="107"/>
    <w:next w:val="1"/>
    <w:qFormat/>
    <w:uiPriority w:val="0"/>
    <w:pPr>
      <w:spacing w:after="200"/>
    </w:pPr>
    <w:rPr>
      <w:sz w:val="21"/>
    </w:rPr>
  </w:style>
  <w:style w:type="paragraph" w:customStyle="1" w:styleId="209">
    <w:name w:val="图表脚注"/>
    <w:next w:val="101"/>
    <w:qFormat/>
    <w:uiPriority w:val="0"/>
    <w:pPr>
      <w:tabs>
        <w:tab w:val="left" w:pos="840"/>
        <w:tab w:val="left" w:pos="1140"/>
      </w:tabs>
      <w:ind w:left="300" w:leftChars="200" w:hanging="100" w:hangingChars="100"/>
      <w:jc w:val="both"/>
    </w:pPr>
    <w:rPr>
      <w:rFonts w:ascii="宋体" w:hAnsi="Times New Roman" w:eastAsia="宋体" w:cs="Times New Roman"/>
      <w:sz w:val="18"/>
      <w:lang w:val="en-US" w:eastAsia="zh-CN" w:bidi="ar-SA"/>
    </w:rPr>
  </w:style>
  <w:style w:type="paragraph" w:customStyle="1" w:styleId="210">
    <w:name w:val="列表段落1"/>
    <w:basedOn w:val="1"/>
    <w:qFormat/>
    <w:uiPriority w:val="34"/>
    <w:pPr>
      <w:ind w:firstLine="420" w:firstLineChars="200"/>
    </w:pPr>
    <w:rPr>
      <w:szCs w:val="20"/>
    </w:rPr>
  </w:style>
  <w:style w:type="paragraph" w:customStyle="1" w:styleId="211">
    <w:name w:val="表格居中"/>
    <w:basedOn w:val="1"/>
    <w:qFormat/>
    <w:uiPriority w:val="0"/>
    <w:pPr>
      <w:overflowPunct w:val="0"/>
      <w:autoSpaceDE w:val="0"/>
      <w:autoSpaceDN w:val="0"/>
      <w:adjustRightInd w:val="0"/>
      <w:spacing w:beforeLines="50" w:after="120"/>
      <w:ind w:left="28" w:hanging="14" w:hangingChars="6"/>
    </w:pPr>
    <w:rPr>
      <w:rFonts w:ascii="宋体" w:hAnsi="宋体" w:cs="Arial"/>
      <w:kern w:val="0"/>
      <w:sz w:val="24"/>
    </w:rPr>
  </w:style>
  <w:style w:type="paragraph" w:customStyle="1" w:styleId="212">
    <w:name w:val="编号列项（三级）"/>
    <w:qFormat/>
    <w:uiPriority w:val="0"/>
    <w:pPr>
      <w:tabs>
        <w:tab w:val="left" w:pos="840"/>
        <w:tab w:val="left" w:pos="1120"/>
      </w:tabs>
      <w:ind w:left="800" w:leftChars="600" w:hanging="200" w:hangingChars="200"/>
    </w:pPr>
    <w:rPr>
      <w:rFonts w:ascii="宋体" w:hAnsi="Times New Roman" w:eastAsia="宋体" w:cs="Times New Roman"/>
      <w:sz w:val="21"/>
      <w:lang w:val="en-US" w:eastAsia="zh-CN" w:bidi="ar-SA"/>
    </w:rPr>
  </w:style>
  <w:style w:type="paragraph" w:customStyle="1" w:styleId="213">
    <w:name w:val="中机"/>
    <w:basedOn w:val="1"/>
    <w:qFormat/>
    <w:uiPriority w:val="0"/>
    <w:rPr>
      <w:rFonts w:eastAsia="黑体"/>
      <w:sz w:val="28"/>
      <w:szCs w:val="20"/>
    </w:rPr>
  </w:style>
  <w:style w:type="paragraph" w:customStyle="1" w:styleId="214">
    <w:name w:val="A"/>
    <w:basedOn w:val="1"/>
    <w:qFormat/>
    <w:uiPriority w:val="0"/>
    <w:pPr>
      <w:adjustRightInd w:val="0"/>
      <w:spacing w:line="480" w:lineRule="atLeast"/>
      <w:ind w:firstLine="601"/>
      <w:jc w:val="center"/>
    </w:pPr>
    <w:rPr>
      <w:rFonts w:ascii="宋体"/>
      <w:kern w:val="0"/>
      <w:sz w:val="28"/>
      <w:szCs w:val="20"/>
    </w:rPr>
  </w:style>
  <w:style w:type="paragraph" w:customStyle="1" w:styleId="215">
    <w:name w:val="样式7"/>
    <w:basedOn w:val="3"/>
    <w:next w:val="120"/>
    <w:qFormat/>
    <w:uiPriority w:val="0"/>
    <w:pPr>
      <w:numPr>
        <w:numId w:val="0"/>
      </w:numPr>
    </w:pPr>
    <w:rPr>
      <w:rFonts w:eastAsia="宋体"/>
      <w:bCs/>
      <w:sz w:val="28"/>
      <w:szCs w:val="32"/>
    </w:rPr>
  </w:style>
  <w:style w:type="paragraph" w:customStyle="1" w:styleId="216">
    <w:name w:val="2"/>
    <w:basedOn w:val="1"/>
    <w:qFormat/>
    <w:uiPriority w:val="0"/>
    <w:rPr>
      <w:rFonts w:ascii="Tahoma" w:hAnsi="Tahoma"/>
      <w:sz w:val="24"/>
      <w:szCs w:val="20"/>
    </w:rPr>
  </w:style>
  <w:style w:type="paragraph" w:customStyle="1" w:styleId="217">
    <w:name w:val="样式1"/>
    <w:basedOn w:val="2"/>
    <w:qFormat/>
    <w:uiPriority w:val="0"/>
    <w:pPr>
      <w:jc w:val="center"/>
    </w:pPr>
    <w:rPr>
      <w:sz w:val="32"/>
    </w:rPr>
  </w:style>
  <w:style w:type="paragraph" w:customStyle="1" w:styleId="218">
    <w:name w:val="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219">
    <w:name w:val="样式 标题 2 + 居中"/>
    <w:basedOn w:val="3"/>
    <w:qFormat/>
    <w:uiPriority w:val="0"/>
    <w:pPr>
      <w:widowControl/>
      <w:numPr>
        <w:ilvl w:val="0"/>
        <w:numId w:val="0"/>
      </w:numPr>
      <w:tabs>
        <w:tab w:val="clear" w:pos="840"/>
      </w:tabs>
      <w:adjustRightInd/>
      <w:spacing w:beforeLines="50" w:after="0" w:line="560" w:lineRule="exact"/>
      <w:ind w:left="181" w:leftChars="86" w:firstLine="510" w:firstLineChars="182"/>
    </w:pPr>
    <w:rPr>
      <w:rFonts w:ascii="宋体" w:hAnsi="宋体" w:eastAsia="宋体"/>
      <w:b w:val="0"/>
      <w:bCs/>
      <w:kern w:val="10"/>
      <w:sz w:val="28"/>
      <w:szCs w:val="28"/>
    </w:rPr>
  </w:style>
  <w:style w:type="paragraph" w:customStyle="1" w:styleId="220">
    <w:name w:val="标题1李洪"/>
    <w:basedOn w:val="1"/>
    <w:qFormat/>
    <w:uiPriority w:val="0"/>
    <w:pPr>
      <w:tabs>
        <w:tab w:val="left" w:pos="427"/>
        <w:tab w:val="left" w:pos="567"/>
      </w:tabs>
      <w:spacing w:line="360" w:lineRule="auto"/>
      <w:ind w:left="427" w:hanging="425"/>
    </w:pPr>
  </w:style>
  <w:style w:type="paragraph" w:customStyle="1" w:styleId="221">
    <w:name w:val="文一"/>
    <w:basedOn w:val="1"/>
    <w:link w:val="222"/>
    <w:qFormat/>
    <w:uiPriority w:val="0"/>
    <w:pPr>
      <w:topLinePunct/>
      <w:adjustRightInd w:val="0"/>
      <w:snapToGrid w:val="0"/>
      <w:spacing w:line="360" w:lineRule="auto"/>
      <w:ind w:firstLine="200" w:firstLineChars="200"/>
    </w:pPr>
    <w:rPr>
      <w:snapToGrid w:val="0"/>
      <w:spacing w:val="4"/>
      <w:kern w:val="0"/>
      <w:sz w:val="24"/>
    </w:rPr>
  </w:style>
  <w:style w:type="character" w:customStyle="1" w:styleId="222">
    <w:name w:val="文一 Char Char"/>
    <w:link w:val="221"/>
    <w:qFormat/>
    <w:uiPriority w:val="0"/>
    <w:rPr>
      <w:snapToGrid w:val="0"/>
      <w:spacing w:val="4"/>
      <w:sz w:val="24"/>
      <w:szCs w:val="24"/>
    </w:rPr>
  </w:style>
  <w:style w:type="paragraph" w:customStyle="1" w:styleId="223">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224">
    <w:name w:val="发文落款"/>
    <w:basedOn w:val="223"/>
    <w:qFormat/>
    <w:uiPriority w:val="0"/>
    <w:pPr>
      <w:ind w:left="4094" w:right="607" w:firstLine="0"/>
      <w:jc w:val="center"/>
    </w:pPr>
  </w:style>
  <w:style w:type="paragraph" w:customStyle="1" w:styleId="225">
    <w:name w:val="_Style 345"/>
    <w:basedOn w:val="2"/>
    <w:next w:val="1"/>
    <w:qFormat/>
    <w:uiPriority w:val="39"/>
    <w:pPr>
      <w:widowControl/>
      <w:tabs>
        <w:tab w:val="left" w:pos="432"/>
      </w:tabs>
      <w:topLinePunct/>
      <w:adjustRightInd w:val="0"/>
      <w:snapToGrid w:val="0"/>
      <w:spacing w:before="240" w:after="60" w:line="240" w:lineRule="auto"/>
      <w:ind w:left="432" w:firstLine="93"/>
      <w:jc w:val="left"/>
      <w:textAlignment w:val="center"/>
      <w:outlineLvl w:val="9"/>
    </w:pPr>
    <w:rPr>
      <w:rFonts w:ascii="Cambria" w:hAnsi="Cambria"/>
      <w:kern w:val="32"/>
      <w:sz w:val="32"/>
      <w:szCs w:val="32"/>
      <w:lang w:eastAsia="en-US" w:bidi="en-US"/>
    </w:rPr>
  </w:style>
  <w:style w:type="paragraph" w:customStyle="1" w:styleId="226">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227">
    <w:name w:val="列出段落2"/>
    <w:basedOn w:val="1"/>
    <w:qFormat/>
    <w:uiPriority w:val="34"/>
    <w:pPr>
      <w:ind w:firstLine="420" w:firstLineChars="200"/>
    </w:pPr>
    <w:rPr>
      <w:szCs w:val="21"/>
    </w:rPr>
  </w:style>
  <w:style w:type="paragraph" w:customStyle="1" w:styleId="228">
    <w:name w:val="列出段落3"/>
    <w:basedOn w:val="1"/>
    <w:qFormat/>
    <w:uiPriority w:val="34"/>
    <w:pPr>
      <w:ind w:firstLine="420" w:firstLineChars="200"/>
    </w:pPr>
    <w:rPr>
      <w:szCs w:val="21"/>
    </w:rPr>
  </w:style>
  <w:style w:type="character" w:customStyle="1" w:styleId="229">
    <w:name w:val="fontp1"/>
    <w:qFormat/>
    <w:uiPriority w:val="99"/>
    <w:rPr>
      <w:rFonts w:hint="eastAsia" w:ascii="宋体" w:hAnsi="宋体" w:eastAsia="宋体"/>
      <w:sz w:val="18"/>
      <w:szCs w:val="18"/>
    </w:rPr>
  </w:style>
  <w:style w:type="paragraph" w:customStyle="1" w:styleId="230">
    <w:name w:val="列出段落4"/>
    <w:basedOn w:val="1"/>
    <w:qFormat/>
    <w:uiPriority w:val="34"/>
    <w:pPr>
      <w:ind w:firstLine="420" w:firstLineChars="200"/>
    </w:pPr>
    <w:rPr>
      <w:szCs w:val="21"/>
    </w:rPr>
  </w:style>
  <w:style w:type="character" w:customStyle="1" w:styleId="231">
    <w:name w:val="称呼 Char"/>
    <w:basedOn w:val="44"/>
    <w:link w:val="15"/>
    <w:qFormat/>
    <w:uiPriority w:val="99"/>
    <w:rPr>
      <w:rFonts w:ascii="仿宋_GB2312" w:hAnsi="Calibri" w:eastAsia="仿宋_GB2312"/>
      <w:sz w:val="24"/>
      <w:szCs w:val="24"/>
      <w:lang w:eastAsia="en-US"/>
    </w:rPr>
  </w:style>
  <w:style w:type="paragraph" w:customStyle="1" w:styleId="232">
    <w:name w:val="xl2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szCs w:val="21"/>
    </w:rPr>
  </w:style>
  <w:style w:type="paragraph" w:customStyle="1" w:styleId="233">
    <w:name w:val="标题一"/>
    <w:basedOn w:val="22"/>
    <w:qFormat/>
    <w:uiPriority w:val="0"/>
    <w:pPr>
      <w:widowControl/>
      <w:spacing w:line="295" w:lineRule="auto"/>
      <w:ind w:firstLine="522" w:firstLineChars="100"/>
      <w:jc w:val="center"/>
      <w:outlineLvl w:val="0"/>
    </w:pPr>
    <w:rPr>
      <w:rFonts w:ascii="Times New Roman" w:hAnsi="Times New Roman"/>
      <w:b/>
      <w:bCs/>
      <w:kern w:val="44"/>
      <w:sz w:val="52"/>
      <w:szCs w:val="52"/>
      <w:lang w:eastAsia="en-US"/>
    </w:rPr>
  </w:style>
  <w:style w:type="paragraph" w:customStyle="1" w:styleId="234">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35">
    <w:name w:val="列出段落5"/>
    <w:basedOn w:val="1"/>
    <w:qFormat/>
    <w:uiPriority w:val="34"/>
    <w:pPr>
      <w:ind w:firstLine="420" w:firstLineChars="200"/>
    </w:pPr>
    <w:rPr>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87F485-D3F8-4B34-B5DE-4D891CE6F856}">
  <ds:schemaRefs/>
</ds:datastoreItem>
</file>

<file path=docProps/app.xml><?xml version="1.0" encoding="utf-8"?>
<Properties xmlns="http://schemas.openxmlformats.org/officeDocument/2006/extended-properties" xmlns:vt="http://schemas.openxmlformats.org/officeDocument/2006/docPropsVTypes">
  <Template>Normal.dotm</Template>
  <Company>Micosoft</Company>
  <Pages>105</Pages>
  <Words>54553</Words>
  <Characters>13047</Characters>
  <Lines>108</Lines>
  <Paragraphs>134</Paragraphs>
  <TotalTime>47</TotalTime>
  <ScaleCrop>false</ScaleCrop>
  <LinksUpToDate>false</LinksUpToDate>
  <CharactersWithSpaces>67466</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2019-09-04T01:05:00Z</dcterms:created>
  <dc:creator>陈李强</dc:creator>
  <cp:lastModifiedBy>中采</cp:lastModifiedBy>
  <cp:lastPrinted>2019-06-21T01:48:00Z</cp:lastPrinted>
  <dcterms:modified xsi:type="dcterms:W3CDTF">2019-10-15T09:24:27Z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