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购置清单及技术参数需求</w:t>
      </w:r>
      <w:r>
        <w:rPr>
          <w:rFonts w:eastAsia="黑体"/>
          <w:b/>
          <w:sz w:val="24"/>
        </w:rPr>
        <w:t xml:space="preserve">  </w:t>
      </w:r>
    </w:p>
    <w:tbl>
      <w:tblPr>
        <w:tblStyle w:val="8"/>
        <w:tblW w:w="13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140"/>
        <w:gridCol w:w="8934"/>
        <w:gridCol w:w="134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41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b/>
                <w:color w:val="auto"/>
                <w:szCs w:val="21"/>
                <w:highlight w:val="none"/>
              </w:rPr>
            </w:pPr>
            <w:bookmarkStart w:id="0" w:name="_GoBack"/>
            <w:r>
              <w:rPr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b/>
                <w:color w:val="auto"/>
                <w:spacing w:val="-20"/>
                <w:szCs w:val="21"/>
                <w:highlight w:val="none"/>
              </w:rPr>
            </w:pPr>
            <w:r>
              <w:rPr>
                <w:b/>
                <w:color w:val="auto"/>
                <w:spacing w:val="-20"/>
                <w:szCs w:val="21"/>
                <w:highlight w:val="none"/>
              </w:rPr>
              <w:t>设备名称</w:t>
            </w:r>
          </w:p>
        </w:tc>
        <w:tc>
          <w:tcPr>
            <w:tcW w:w="8934" w:type="dxa"/>
            <w:vAlign w:val="center"/>
          </w:tcPr>
          <w:p>
            <w:pPr>
              <w:widowControl/>
              <w:jc w:val="center"/>
              <w:rPr>
                <w:b/>
                <w:color w:val="auto"/>
                <w:spacing w:val="-20"/>
                <w:szCs w:val="21"/>
                <w:highlight w:val="none"/>
              </w:rPr>
            </w:pPr>
            <w:r>
              <w:rPr>
                <w:b/>
                <w:color w:val="auto"/>
                <w:spacing w:val="-20"/>
                <w:szCs w:val="21"/>
                <w:highlight w:val="none"/>
              </w:rPr>
              <w:t xml:space="preserve">技术参数及配件       </w:t>
            </w:r>
          </w:p>
        </w:tc>
        <w:tc>
          <w:tcPr>
            <w:tcW w:w="1342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ind w:left="-13"/>
              <w:jc w:val="center"/>
              <w:rPr>
                <w:b/>
                <w:color w:val="auto"/>
                <w:szCs w:val="21"/>
                <w:highlight w:val="none"/>
              </w:rPr>
            </w:pPr>
            <w:r>
              <w:rPr>
                <w:b/>
                <w:color w:val="auto"/>
                <w:spacing w:val="-20"/>
                <w:szCs w:val="21"/>
                <w:highlight w:val="none"/>
              </w:rPr>
              <w:t>数量</w:t>
            </w:r>
          </w:p>
        </w:tc>
        <w:tc>
          <w:tcPr>
            <w:tcW w:w="122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ind w:left="-13"/>
              <w:jc w:val="center"/>
              <w:rPr>
                <w:b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pacing w:val="-20"/>
                <w:szCs w:val="21"/>
                <w:highlight w:val="none"/>
              </w:rPr>
              <w:t>是否允许进口产品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41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  <w:lang w:bidi="ar"/>
              </w:rPr>
              <w:t>多功能酶标仪</w:t>
            </w:r>
          </w:p>
        </w:tc>
        <w:tc>
          <w:tcPr>
            <w:tcW w:w="89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1.功能：支持紫外-可见吸收光，顶部及底部荧光，时间分辨荧光，荧光共振能量转移，荧光光谱扫描，化学发光，发光光谱扫描等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2.光路设计：四光栅光路和高效灵敏的滤光片-二相色镜光路，气体控制模块用于活细胞分析。 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3.光源：光栅光路和滤光片光路有两个独立的高能氙灯，光源能量可根据样品信号强度进行调整，能量强度可调。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4.检测器：光电二极管(PDT)，光栅光路和滤光片光路为两个独立的光电倍增管（PMT）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5.全波长扫描功能：光吸收、荧光强度 (FI)、时间延迟扫描 (TRF)、化学发光。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6.振荡功能：线性，轨道，双轨道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7.温控范围：室温+4℃至70℃，±0.5 °C @ 37 °C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8. 梯度温控： 可以对检测板上下设置差异温度，有效防止凝集现象产生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9.气体控制：可选配独立气体控制模块，控制O2和CO2浓度。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10.吸收光功能：230-999 nm, 1 nm 步进；OD分辨率： 0.0001 OD；测量范围：0-4.0 OD；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11.OD 准确性： &lt; 1% @ 2.0 OD；OD 重复性： &lt; 0.5% @ 2.0 OD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12.光路径校正：具备光路径长度校正功能，可将微孔板光路径长度转化为标准的1cm路径长度，校正误差，无须标准曲线即可准确定量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13.荧光灵敏度：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光栅：顶部≤2.5 pM 荧光素 ( 0.25 fmol/孔 384孔板 )，底部：5 pM 荧光素 ( 0.5 fmol/孔 384孔板 )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滤光片：≤0.25 pM 荧光素 ( 0.025 fmol/孔 384孔板 )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14.</w:t>
            </w:r>
            <w:r>
              <w:rPr>
                <w:color w:val="auto"/>
                <w:szCs w:val="21"/>
                <w:highlight w:val="none"/>
              </w:rPr>
              <w:tab/>
            </w:r>
            <w:r>
              <w:rPr>
                <w:color w:val="auto"/>
                <w:szCs w:val="21"/>
                <w:highlight w:val="none"/>
              </w:rPr>
              <w:t>荧光检测范围：200-700nm（850nm可选）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15. 带宽：9-50nm，1nm步进连续可调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16.发光灵敏度：≤10 amol /孔 ATP闪光分析 ( 96孔 )，100amol/孔 辉光分析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17. 探头自动扫描：探头高度可在0-16mm范围内进行自动扫描，选择最佳检测探头高度。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18. 高精度孔域扫描：可选99×99点矩阵扫描，并可根据样品形状选择扫描区域大小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19. 兼容版型：6-384孔板，支持兼容微量检测板，用于低至2ul核酸蛋白样品分析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20.软件:正版中文仪器控制及数据分析软件,可对原始数据进行多重运算，自动背景扣除，可根据需要设定参照值，并根据标准曲线自动运算样品浓度，可运算动力学反应速率，给出最大、最小及平均反应速率，并可进行EC50、3D扫描和Z-Prime等统计学分析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  <w:lang w:eastAsia="zh-Hans"/>
              </w:rPr>
            </w:pPr>
            <w:r>
              <w:rPr>
                <w:color w:val="auto"/>
                <w:szCs w:val="21"/>
                <w:highlight w:val="none"/>
              </w:rPr>
              <w:t>21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.由厂家或总代理商负责安装调试及保修服务，保修不低于一年。必须提供厂家或总代理商售后服务承诺书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22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</w:rPr>
              <w:t>基本配置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22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1</w:t>
            </w:r>
            <w:r>
              <w:rPr>
                <w:color w:val="auto"/>
                <w:szCs w:val="21"/>
                <w:highlight w:val="none"/>
              </w:rPr>
              <w:t>主机（四光珊及滤光片整合一体化系统，包含荧光、时间分辨荧光、荧光偏振、发光、紫外-可见吸收光检测模块）                                          1套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22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2</w:t>
            </w:r>
            <w:r>
              <w:rPr>
                <w:color w:val="auto"/>
                <w:szCs w:val="21"/>
                <w:highlight w:val="none"/>
              </w:rPr>
              <w:t xml:space="preserve"> 数据采集及分析软件                                        1套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  <w:lang w:eastAsia="zh-Hans"/>
              </w:rPr>
            </w:pPr>
            <w:r>
              <w:rPr>
                <w:color w:val="auto"/>
                <w:szCs w:val="21"/>
                <w:highlight w:val="none"/>
              </w:rPr>
              <w:t>22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3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工作站</w:t>
            </w:r>
            <w:r>
              <w:rPr>
                <w:color w:val="auto"/>
                <w:szCs w:val="21"/>
                <w:highlight w:val="none"/>
              </w:rPr>
              <w:t xml:space="preserve">                                               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Cs w:val="21"/>
                <w:highlight w:val="none"/>
              </w:rPr>
              <w:t xml:space="preserve"> 1套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41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  <w:lang w:bidi="ar"/>
              </w:rPr>
              <w:t>物性测试仪</w:t>
            </w:r>
          </w:p>
        </w:tc>
        <w:tc>
          <w:tcPr>
            <w:tcW w:w="8934" w:type="dxa"/>
            <w:vAlign w:val="center"/>
          </w:tcPr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</w:rPr>
              <w:t>主要测试指标：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仪器需满足但不限于下述指标的检测：食品、医药、化工、材料领域物性测定。硬度、松弛、柔软性、断裂强度、回复性、弹性等指标进行系统测定，以量化的指标来评价产品的特性，广泛应用于肉制品、粮油食品、面制品、米制品、谷物、糖果、果蔬、凝胶、宠物食品、食品包装材料、化妆品等的物性分析、流变性能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</w:rPr>
              <w:t>硬件指标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2.1、测试范围和精度：最大测试范围≥400mm，分辨率0.001 mm。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2.2、具有样品高度自动测定和标准块规自行校正距离准确度等功能。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2.3、测试应力范围和精度：最大测试应力范围≥50 Kg，精度0.01%-0.005%。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2.4、使用可更换感应元组件，可选500g、5Kg、10Kg、20Kg、30Kg、50Kg等多规格感应元组件。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2.5、应力精度校准：可用追溯到国家计量院校验的第三方标准砝码自行校正。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2.6、安全过载保护：多重承载保护装置及高度校正和力量校正超预警标示，测试过程中感应元组件过载时仪器会自动停止。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2.7、测试速度与精度：0.01</w:t>
            </w:r>
            <w:r>
              <w:rPr>
                <w:rFonts w:eastAsia="仿宋"/>
                <w:color w:val="auto"/>
                <w:szCs w:val="21"/>
                <w:highlight w:val="none"/>
              </w:rPr>
              <w:t>～</w:t>
            </w:r>
            <w:r>
              <w:rPr>
                <w:color w:val="auto"/>
                <w:szCs w:val="21"/>
                <w:highlight w:val="none"/>
              </w:rPr>
              <w:t>45mm/sec；测试后速度：0.01</w:t>
            </w:r>
            <w:r>
              <w:rPr>
                <w:rFonts w:eastAsia="仿宋"/>
                <w:color w:val="auto"/>
                <w:szCs w:val="21"/>
                <w:highlight w:val="none"/>
              </w:rPr>
              <w:t>～</w:t>
            </w:r>
            <w:r>
              <w:rPr>
                <w:color w:val="auto"/>
                <w:szCs w:val="21"/>
                <w:highlight w:val="none"/>
              </w:rPr>
              <w:t>50mm/s；试验速度越宽，物性测试仪的扩展性越好，有利于一些探索性或尝试性工作的开展。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2.8、数据采集率：可调 20-2000组/秒.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2</w:t>
            </w:r>
            <w:r>
              <w:rPr>
                <w:color w:val="auto"/>
                <w:szCs w:val="21"/>
                <w:highlight w:val="none"/>
              </w:rPr>
              <w:t>.9、仪器测试速度自动化控制程序（PID），自动补偿刚性数值；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2.10、一机多用扩充功能：仪器具有两个拓展接口，可外界温度控制接口，可拓展流变测试功能。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</w:rPr>
              <w:t>软件指标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3.1、软件永久免费更新：可在Win 7.0、Win 8.0、Win 10 (64位)版本以上执行，并提供网络免费软件下载更新服务，仪器内部固件可由软件更新优化，属进口仪器应具备中、英文等多个国家语言可选，可以切换使用不同语言。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3.2、单次测试、黏度测试、全质构分析测试(TPA)、松弛测试、衰减度测试、蠕变测试、循环测试等多种测试功能，数据分析时不需另外撰写分析程序，用户可直接勾选所要的参数，软件即可自动计算结果；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3.3、 支持自由组合不同测试模块，实现连续运动轨迹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3.4、结果呈现：实验方案与结果报告，可将测试条件一键设好，测定结果可同步取得图形，结果及合成报告多种形式导出形式；可用软件同步移动观察数据曲线。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3.5、结果直观：测试指标硬度（Hardness）、脆性（Fracturability）、黏附性（Adhesiveness）、弹性（Springiness）、咀嚼性（Chewiness）、胶着性（Gumminess）、内聚性（Cohesiveness）、回复性（Resilience）、凝胶强度（Gel Strength）无需编程，一键可得；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.6、选配扩展数据模块：应变，应力，杨氏模量，泊松比等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3.7、数据处理：可与自动产生数据分析结果表与报告档案，显示平均值、标准偏差(SD)、变异系数（CV）最大值、最小值等，快速便利不同批次的数值分析与评估。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8</w:t>
            </w:r>
            <w:r>
              <w:rPr>
                <w:color w:val="auto"/>
                <w:szCs w:val="21"/>
                <w:highlight w:val="none"/>
              </w:rPr>
              <w:t>、软件分析功能化；软件自带算法，全质构（TPA）测试结果可通过雷达图直观显示；软件可对测试结果直接优化筛选；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3.9、实时显示：软件带有实时显示框，实时显示力、时间、距离、最大力等，检测过程数据可以实时显示小数点后四位，用户直观看到检测数据的变化。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10</w:t>
            </w:r>
            <w:r>
              <w:rPr>
                <w:color w:val="auto"/>
                <w:szCs w:val="21"/>
                <w:highlight w:val="none"/>
              </w:rPr>
              <w:t>测值单位选择与显示：灵活设定显示温度、距离、力(gf、kgf、N、lb、、oz、mN)、时间、应力(gf/mm2、kpa、MPa、N/mm2、lb/in2、kg/m2、kPa、N/m2)、应变(%)及ohms、dB、温度（℃、℉）等于软件上。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11</w:t>
            </w:r>
            <w:r>
              <w:rPr>
                <w:color w:val="auto"/>
                <w:szCs w:val="21"/>
                <w:highlight w:val="none"/>
              </w:rPr>
              <w:t>权限管理：使用多级权限管理，可设立不低于百种权限的实验角色，具有数据保密、实验独立等功能；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.</w:t>
            </w:r>
            <w:r>
              <w:rPr>
                <w:color w:val="auto"/>
                <w:highlight w:val="none"/>
                <w:lang w:eastAsia="zh-Hans"/>
              </w:rPr>
              <w:t>12</w:t>
            </w:r>
            <w:r>
              <w:rPr>
                <w:color w:val="auto"/>
                <w:szCs w:val="21"/>
                <w:highlight w:val="none"/>
              </w:rPr>
              <w:t>法规要求FDA 21CFR Part 11和PIC/S法规要求审计追踪功能；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</w:rPr>
              <w:t>售后服务要求：仪器免费保修1年，免费安装调试，每年至少1次免费参加公司培训班，对操作技术人员的操作、维修、保养等方面进行培训。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</w:rPr>
              <w:t>仪器配置要求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5.1、物性测试仪1台【含操作软件中英文界面1套、</w:t>
            </w:r>
            <w:r>
              <w:rPr>
                <w:b/>
                <w:color w:val="auto"/>
                <w:szCs w:val="21"/>
                <w:highlight w:val="none"/>
              </w:rPr>
              <w:t>5kg，20kg，2</w:t>
            </w:r>
            <w:r>
              <w:rPr>
                <w:color w:val="auto"/>
                <w:szCs w:val="21"/>
                <w:highlight w:val="none"/>
              </w:rPr>
              <w:t>套力量感应元、含1kg标准砝码1个（经国家标准计量单位验证）】。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5.2、测试平台一套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5.3、包含但不限于下述探头：15套工具和探头（包含食品，肉品，农产品等领域的广泛测试应用）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 1kg标准砝码。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5.3.2柱形探头：AACC (74-09)测试面包硬度的标准方法。 圆柱型平底探头：探头圆周设计成圆边，可避免因锐角造成边缘切割与剪切作用，适用于测试海绵蛋榚、吐司面包等质地的硬度（hardness）、弹性以及新鲜度等，符合AACC 74-09标准测试方法。用于测试焙烤食品质地、口感等。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5.3.3锥形探头：可测量老酸奶、奶酪、块状黄油、人造奶油、冰淇淋等稠性样品的延展性、柔软度及粘着性。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</w:t>
            </w:r>
            <w:r>
              <w:rPr>
                <w:color w:val="auto"/>
                <w:szCs w:val="21"/>
                <w:highlight w:val="none"/>
                <w:lang w:eastAsia="zh-Hans"/>
              </w:rPr>
              <w:t>4</w:t>
            </w:r>
            <w:r>
              <w:rPr>
                <w:color w:val="auto"/>
                <w:szCs w:val="21"/>
                <w:highlight w:val="none"/>
              </w:rPr>
              <w:t>针型探头：用于穿刺或挤压检测，可以测量样品的表皮强度，抗压性，水果，豆腐干的坚实度，破裂强度等。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5.3.5球形探头：主要藉由测定肉质的柔软性、弹性等变化，观察肉质的新鲜度，亦可观察加工副产品的组织质地，或不同添加物对鱼浆凝胶强度的变化。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5.3.6压盘探头：可测试面包、馒头，鸡蛋，高分子材料等烘烤食品的回复性, 弹性,粘弹性等感官物性指标。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5.3.7剪切探头：包括了Warner Bratzler切刀和斜口、直角切刀，侧边可限制形变。主要用于观察样品受到剪切、切断时的应力变化；除适用测定肉质的韧性与新鲜度外，亦可应用于畜产、水产、炼制，豆腐等加工制品，如香肠、火腿、黑轮，甚至通心面条、蔬菜组织等测定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5.3.8取样器：用于水果，食品，豆腐，肉品，等样品的取样，也是农业部标准中肉嫩度测试中规定的肉制品专用取样器。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5.3.9液体挤压探头：挤压装置，附三种大小不同之圆盘。适用于果酱、番茄酱、胶体溶液、海鲜酱等样品的粘性、粘稠度粘连性的测试。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5.3.10凝胶探头：凝胶强度标准测试系统： 测试胶体的专用探头，根据美国ASTM与欧洲凝胶协会的共同协定，从1998/7/1起统一使用此套附件进行标准凝胶强度测试。凝胶是低温度肉制品中最重要的添加剂，也可以测试不同加工处理方法及不同原料对胶体强度的影响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5.3.11轻型切刀探头：拟刀片切割，适用于较软质地的样品，主要测其弹性、柔软度、咀嚼性及粘着性等。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5.3.12面条制备探头：面团处理模具。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5.3.13面条拉伸探头：该装置可用于测量面条的断裂强度，通过探头向上移动可以测量面条的拉伸强度。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5.3.14面团发酵探头：用于面及面制品，可测量面团的硬度和发酵率。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5.3.15 面团粘性探头：主要用于面团粘性的测试，也可以用于米糕等具有粘弹性样品的胶粘性测试。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5.3.16面皮破裂测试装置：用于测量片状样品的破裂强度及延展性能。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5.4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工作站</w:t>
            </w:r>
            <w:r>
              <w:rPr>
                <w:color w:val="auto"/>
                <w:szCs w:val="21"/>
                <w:highlight w:val="none"/>
              </w:rPr>
              <w:t>一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套</w:t>
            </w:r>
            <w:r>
              <w:rPr>
                <w:color w:val="auto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6.技术服务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6.1、供应商免费提供操作手册中/英文各壹套。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6.2、中文教学视频一套。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6.3、自仪器安装调试合格之日起免费保固壹年，超出保固日起，十年保修；软件永久免费升级。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6.4、用户现场免费安装、调试、培训。 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6.5、永久提供实验方案建立及提供服务。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6.6、IQ/OQ文件：包括方案、所有测试记录和报告。</w:t>
            </w:r>
          </w:p>
          <w:p>
            <w:pPr>
              <w:adjustRightInd w:val="0"/>
              <w:snapToGrid w:val="0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7.仪器工作环境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7.1 供电要求电源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电压： 220V+/-10%  单相；频率：50/60Hz；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电源容量：700VA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7.2环境要求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工作温度：5 ~ 40度（主机）；相对湿度；20% ~ 80%，无冷凝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7.3 空间需求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空间：1485mm×1130mm(宽×深）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★</w:t>
            </w:r>
            <w:r>
              <w:rPr>
                <w:color w:val="auto"/>
                <w:highlight w:val="none"/>
              </w:rPr>
              <w:t>8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.由厂家或总代理商负责安装调试及保修服务，保修不低于一年。必须提供厂家或总代理商售后服务承诺书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41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  <w:lang w:bidi="ar"/>
              </w:rPr>
              <w:t>多角度色差仪</w:t>
            </w:r>
          </w:p>
        </w:tc>
        <w:tc>
          <w:tcPr>
            <w:tcW w:w="8934" w:type="dxa"/>
            <w:vAlign w:val="center"/>
          </w:tcPr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测量几何结构：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5个测量角度（5个光源，1个接收器）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颜色测量角度：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45° 接收器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45as15°,45as25°,45as45°,45as75°,45as110°照明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测量区域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直径约12mm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光源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LED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灯泡寿命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十年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光谱范围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400nm-700nm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光谱间隔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 nm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测量范围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0 - 600 % 反射率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标准光源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A, C, D50, D65，F2, F7, F11 &amp; F12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视角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2° 和 10°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色度数据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L*a*b*, L*C*h°, ΔE*; ΔECMC; ΔE DIN6175,ΔE94，ΔE99， ΔE2000，Flop Index，Audi2000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颜色再现性（BCRA色砖）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ΔE* &lt; 0.10，在所有BCRA色板上测量之平均值                         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仪器台间差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0.18 ΔE*（参比BCRA标准色砖平均值）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白板重复性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ΔE* &lt; 0.02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触发模式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压力感应触发，触屏触发，按键触发，软件触发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测量时间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2.5秒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校准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内置集成校正，外置标准白板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校准间隔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常规21天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操作屏幕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TFT彩色显示屏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USB 2.0 和WiFi （仅限适用国家）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存储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1800 个样品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内置锂电池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工作温度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10°C至35°C，湿度不超过80%，无冷凝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存储温度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-20°C至50°C，湿度不超过80%，无冷凝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尺寸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18cm x 7cm x 9.5cm 长x宽x高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重量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0.6kg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符合标准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ASTM D 2244, E 308, E 1164, E 2194， E2539; 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DIN  5033,5036， 6174，6175-1, 6175-2; 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ISO 7724， 11664-4; SAE J1545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28、语言支持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中文，德语, 法语, 英文,葡萄牙语, 西班牙语, 韩语, 日本, 意大利语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、仪器配置：台式色差仪主机 1台，校正白板:一块,校正黑板:一块,UV紫外线校正板一块，测量反射孔径3个，USB接口，电源线，内部温度和湿度传感器，颜色测色软件1套。</w:t>
            </w:r>
          </w:p>
          <w:p>
            <w:p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  <w:r>
              <w:rPr>
                <w:color w:val="auto"/>
                <w:highlight w:val="none"/>
              </w:rPr>
              <w:t>0</w:t>
            </w:r>
            <w:r>
              <w:rPr>
                <w:rFonts w:hint="eastAsia"/>
                <w:color w:val="auto"/>
                <w:highlight w:val="none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由厂家或总代理商负责安装调试及保修服务，保修不低于一年。必须提供厂家或总代理商售后服务承诺书。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41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color w:val="auto"/>
                <w:kern w:val="0"/>
                <w:sz w:val="24"/>
                <w:highlight w:val="none"/>
                <w:lang w:bidi="ar"/>
              </w:rPr>
              <w:t>生物显微镜</w:t>
            </w:r>
          </w:p>
        </w:tc>
        <w:tc>
          <w:tcPr>
            <w:tcW w:w="8934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 无限远光学系统，齐焦距离必须为国际标准45mm，具有科勒照明，配有明场观察功能；可升级的观察功能不少于暗场，相差，偏光和荧光等等；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2.显微镜主机结构采用压铸铝材料；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3.铰链式双目镜筒，倾角度≦30度；瞳距调节范围≧52mm-75mm；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4.10倍目镜，视场数≧20mm；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5.内倾式设计物镜转盘，孔位数≧4孔；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6.平场消色差相差物镜（NA和WD数值必须满足）：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6.1 4倍NA≧0.10，WD ≧27.8mm；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6.2 10X NA≧0.25，WD ≧8mm；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6.3 40X NA≧0.65，WD≧0.6mm 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ab/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6.4 100X（油镜）NA≧1.25，WD≧0.13mm；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7.转盘式聚光镜，空气时NA≧0.9；内置相差和暗场环；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8. 显微镜的所有触点上都使用了添加剂进行处理，可以抑制细菌生长，有助于防止通过显微镜表面接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触而发生的疾病传播，并有助于形成更健康的实验室环境;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9.重平衡聚焦手柄，为聚焦提供惯性力量，可以非常精确地定位聚焦；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10.带有延时关机功能，可以在2小时亮度控制没有变化的情况下自动关闭照明，有利节约能源；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11.载物台采用圆角设计，无齿条外露,面积(长x宽 )≧185mmx140mm，XY移动范围≧26mm*76mm 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12.一体化的电源收集盒与一体化垂直手柄，方便移动与储存；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13.机身具有USB供电口，可给同品牌摄像装置供电或其它设备供电；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14.白光LED冷光源照明，色温6000K，使用寿命≧25000小时，低功耗不发热，背景色温不随光线强弱而变化；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15.必须符合不少于 cULus、CE、RoHS认证；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16.主光学元件必须符合 ISO 9022-11中有关防霉变的相关要求；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17.全帧图像500万像素1 920 x 1 080，帧速最高 30 fps，曝光时间1 毫秒 – 500 毫秒。色位24位，可多个接口：高清连接器 HDMI 1.3、标准 A 型 HDMI 插头；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18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用户界面及操作方式符合人工学要求。可快速采集图象及大量数据集显示，直观的设定实验条件给快速设置和采集所属通道图象；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18.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具备测量功能，可通过创建二进制图像来进行测量长度、面积等参数集等不同目标和视场；</w:t>
            </w: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18.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图象采集. 完全控制照相机性能如曝光、增益、白平衡和伽玛值,；可实现图象采集、图象显示和管理，图象视窗在采集中显示及可复览、处理已保存的图像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、配置：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 xml:space="preserve">.1  显微镜主机  </w:t>
            </w:r>
            <w:r>
              <w:rPr>
                <w:color w:val="auto"/>
                <w:highlight w:val="none"/>
              </w:rPr>
              <w:t xml:space="preserve">                           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套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 xml:space="preserve">.2  LED透射明场照明系统   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color w:val="auto"/>
                <w:highlight w:val="none"/>
              </w:rPr>
              <w:t xml:space="preserve">           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套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 xml:space="preserve">.3  平场消色差相差物镜4X、10X、40X、100X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套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 xml:space="preserve">.4  防尘罩  </w:t>
            </w:r>
            <w:r>
              <w:rPr>
                <w:color w:val="auto"/>
                <w:highlight w:val="none"/>
              </w:rPr>
              <w:t xml:space="preserve">                             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个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 xml:space="preserve">.5  电源线                             </w:t>
            </w:r>
            <w:r>
              <w:rPr>
                <w:color w:val="auto"/>
                <w:highlight w:val="none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根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 xml:space="preserve">.6  摄像头                               </w:t>
            </w:r>
            <w:r>
              <w:rPr>
                <w:color w:val="auto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套</w:t>
            </w:r>
          </w:p>
          <w:p>
            <w:pPr>
              <w:rPr>
                <w:color w:val="auto"/>
                <w:highlight w:val="none"/>
                <w:lang w:eastAsia="zh-Hans"/>
              </w:rPr>
            </w:pPr>
            <w:r>
              <w:rPr>
                <w:color w:val="auto"/>
                <w:highlight w:val="none"/>
                <w:lang w:eastAsia="zh-Hans"/>
              </w:rPr>
              <w:t>19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.</w:t>
            </w:r>
            <w:r>
              <w:rPr>
                <w:color w:val="auto"/>
                <w:highlight w:val="none"/>
                <w:lang w:eastAsia="zh-Hans"/>
              </w:rPr>
              <w:t xml:space="preserve">7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工作站</w:t>
            </w:r>
            <w:r>
              <w:rPr>
                <w:color w:val="auto"/>
                <w:highlight w:val="none"/>
                <w:lang w:eastAsia="zh-Hans"/>
              </w:rPr>
              <w:t xml:space="preserve">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一套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★2</w:t>
            </w:r>
            <w:r>
              <w:rPr>
                <w:color w:val="auto"/>
                <w:highlight w:val="none"/>
              </w:rPr>
              <w:t xml:space="preserve">0 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由厂家或总代理商负责安装调试及保修服务，保修不低于一年。必须提供厂家或总代理商售后服务承诺书。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41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left"/>
              <w:rPr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color w:val="auto"/>
                <w:kern w:val="0"/>
                <w:szCs w:val="21"/>
                <w:highlight w:val="none"/>
                <w:lang w:bidi="ar"/>
              </w:rPr>
              <w:t>倒置显微镜</w:t>
            </w:r>
          </w:p>
        </w:tc>
        <w:tc>
          <w:tcPr>
            <w:tcW w:w="8934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1.显微镜主机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1.1 物镜转换器：4孔式物镜转换器，M25 螺纹；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1.2 聚焦结构：备有聚焦结构同轴粗、微调旋钮，粗调旋钮扭矩可调，行程9mm, 备有上、下限位装置，上调节行程为9 mm, 最小调节2 µm；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1.3 透射光照明装置：5W LED 照明，35000小时寿命，具备自动关机；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1.4 光学系统：无限远光学校正系统；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1.5 观察镜筒：宽视野双目镜筒：铰链式，视场直径≥20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1.6固定式载物台 （长*宽）262*212mm；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1.7 聚光镜： NA ≥ 0.45, WD≥ 40mm-50mm, 孔径光阑可调，调节前置；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1.8 照明支柱调节：照明支柱可调节高低，可自行替换聚光镜;并可调节聚光镜WD；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1.9 自动光强：相衬与明场转换时，光强自动调节；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1.10相衬： 5x,10x,20x,40x；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1.11 长工作距离相衬物镜，视场数不小于22：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4X（N.A. 0.1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，W.D. ≥17；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10X（N.A. ≥0.3，W.D. ≥10；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20X（N.A. ≥0.5，W.D. ≥2.1；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40X PH1（N.A. ≥0.75，W.D. ≥0.15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1.12 目镜：高眼点目镜，10×，视场直径不小于22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2.有效像素：≥1200万；芯片规格：1/2.3 英寸彩色COMS；最大图像分辨率：4000×3000；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1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像素大小：1.55µm x 1.55 µm；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2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录像分辨率：1080P高清模式，30帧/秒；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智能自动模式可调整曝光时间、灰度值和各种其他摄像头设置，能在各种环境条件下实现高精准度；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4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电脑数据接口：USB 3.1接口；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可完美控制sCOMS，中文显示界面，具有自动标尺功能，可用于图像采集及后期分析处理。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4.用户界面及操作方式符合人工学要求。可快速采集图象及大量数据集显示，直观的设定实验条件给快速设置和采集所属通道图象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图像分析测量功能：直线、曲线、面积、手动计数等参数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采图、高速图象采集. 完全控制照相机性能如曝光、增益、 binning、黑平衡、白平衡和伽玛值,；可实现图象采集、图象显示和管理，图象视窗在采集中显示及可复览、处理已保存的图像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7.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可通过滑动杆作快速地在大量数据集中滚动、查找，实验树结构管理数据如储存、重新命名、拷贝、删除、输出为 tif、avi、jpeg等。实验条件可保存、输出为并使用在另外的实验中应用。 </w:t>
            </w:r>
          </w:p>
          <w:p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多用户界面自定义设置，功能锁定功能，一键恢复功能；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9.基本配置：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 xml:space="preserve">.1  倒置显微镜主机                          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套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 xml:space="preserve">.2  LED透射明场照明系统                   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套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 xml:space="preserve">.3  相差物镜4X、10X、20X、40X             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一套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 xml:space="preserve">.4  防尘罩                                  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个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 xml:space="preserve">.5  电源线                                      </w:t>
            </w:r>
            <w:r>
              <w:rPr>
                <w:rFonts w:hint="eastAsia"/>
                <w:color w:val="auto"/>
                <w:highlight w:val="none"/>
                <w:lang w:eastAsia="zh-Hans"/>
              </w:rPr>
              <w:t>一</w:t>
            </w:r>
            <w:r>
              <w:rPr>
                <w:rFonts w:hint="eastAsia"/>
                <w:color w:val="auto"/>
                <w:highlight w:val="none"/>
              </w:rPr>
              <w:t>根</w:t>
            </w:r>
          </w:p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color w:val="auto"/>
                <w:highlight w:val="none"/>
              </w:rPr>
              <w:t xml:space="preserve">0 </w:t>
            </w:r>
            <w:r>
              <w:rPr>
                <w:rFonts w:hint="eastAsia"/>
                <w:color w:val="auto"/>
                <w:szCs w:val="21"/>
                <w:highlight w:val="none"/>
                <w:lang w:eastAsia="zh-Hans"/>
              </w:rPr>
              <w:t>由厂家或总代理商负责安装调试及保修服务，保修不低于一年。必须提供厂家或总代理商售后服务承诺书。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81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color w:val="auto"/>
                <w:spacing w:val="-20"/>
                <w:szCs w:val="21"/>
                <w:highlight w:val="none"/>
              </w:rPr>
            </w:pPr>
            <w:r>
              <w:rPr>
                <w:b/>
                <w:color w:val="auto"/>
                <w:spacing w:val="-20"/>
                <w:szCs w:val="21"/>
                <w:highlight w:val="none"/>
              </w:rPr>
              <w:t xml:space="preserve">小  计 </w:t>
            </w:r>
          </w:p>
        </w:tc>
        <w:tc>
          <w:tcPr>
            <w:tcW w:w="8934" w:type="dxa"/>
            <w:vAlign w:val="center"/>
          </w:tcPr>
          <w:p>
            <w:pPr>
              <w:kinsoku w:val="0"/>
              <w:wordWrap w:val="0"/>
              <w:overflowPunct w:val="0"/>
              <w:autoSpaceDE w:val="0"/>
              <w:autoSpaceDN w:val="0"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bookmarkEnd w:id="0"/>
    </w:tbl>
    <w:p>
      <w:pPr>
        <w:kinsoku w:val="0"/>
        <w:overflowPunct w:val="0"/>
        <w:autoSpaceDE w:val="0"/>
        <w:autoSpaceDN w:val="0"/>
      </w:pPr>
    </w:p>
    <w:sectPr>
      <w:pgSz w:w="16838" w:h="11906" w:orient="landscape"/>
      <w:pgMar w:top="1134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6805"/>
    <w:multiLevelType w:val="singleLevel"/>
    <w:tmpl w:val="02DB68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ZmEyYjgyZWQ3YjZmZTM0NzI2NTZjMzE0N2MwYWUifQ=="/>
  </w:docVars>
  <w:rsids>
    <w:rsidRoot w:val="00534056"/>
    <w:rsid w:val="00252811"/>
    <w:rsid w:val="004D53BF"/>
    <w:rsid w:val="00534056"/>
    <w:rsid w:val="0084156F"/>
    <w:rsid w:val="008C6B99"/>
    <w:rsid w:val="00AD5C19"/>
    <w:rsid w:val="00B63513"/>
    <w:rsid w:val="00C30C0C"/>
    <w:rsid w:val="00CA3498"/>
    <w:rsid w:val="00D93537"/>
    <w:rsid w:val="00E2693A"/>
    <w:rsid w:val="00E917AB"/>
    <w:rsid w:val="00EA7D03"/>
    <w:rsid w:val="00F95BF8"/>
    <w:rsid w:val="15EE0204"/>
    <w:rsid w:val="18583340"/>
    <w:rsid w:val="20C22534"/>
    <w:rsid w:val="20CB0F5D"/>
    <w:rsid w:val="33296336"/>
    <w:rsid w:val="34FAB053"/>
    <w:rsid w:val="4C9270B9"/>
    <w:rsid w:val="5EFD5BAE"/>
    <w:rsid w:val="668D2269"/>
    <w:rsid w:val="73BA79E3"/>
    <w:rsid w:val="7D664DBF"/>
    <w:rsid w:val="7E7F0D1A"/>
    <w:rsid w:val="7EB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日期 字符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主题 字符"/>
    <w:basedOn w:val="14"/>
    <w:link w:val="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2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5788</Words>
  <Characters>7148</Characters>
  <Lines>58</Lines>
  <Paragraphs>16</Paragraphs>
  <TotalTime>8</TotalTime>
  <ScaleCrop>false</ScaleCrop>
  <LinksUpToDate>false</LinksUpToDate>
  <CharactersWithSpaces>7963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2022-06-14T03:12:00Z</dcterms:created>
  <dc:creator>WANG Nick</dc:creator>
  <cp:lastModifiedBy>翩翩起舞</cp:lastModifiedBy>
  <dcterms:modified xsi:type="dcterms:W3CDTF">2022-06-14T09:05:20Z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AA819948D10F4EBB9356A7DB905C18AA</vt:lpwstr>
  </property>
</Properties>
</file>