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宋体" w:hAnsi="宋体" w:cs="宋体"/>
          <w:b/>
          <w:szCs w:val="21"/>
          <w:highlight w:val="none"/>
        </w:rPr>
      </w:pPr>
      <w:r>
        <w:rPr>
          <w:rFonts w:hint="eastAsia" w:ascii="宋体" w:hAnsi="宋体" w:cs="宋体"/>
          <w:szCs w:val="21"/>
          <w:highlight w:val="none"/>
        </w:rPr>
        <w:drawing>
          <wp:inline distT="0" distB="0" distL="114300" distR="114300">
            <wp:extent cx="1514475" cy="1357630"/>
            <wp:effectExtent l="0" t="0" r="9525" b="1270"/>
            <wp:docPr id="3" name="图片 1"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KYQQ}GOZ1{]~8T6VE]_3Y"/>
                    <pic:cNvPicPr>
                      <a:picLocks noChangeAspect="1"/>
                    </pic:cNvPicPr>
                  </pic:nvPicPr>
                  <pic:blipFill>
                    <a:blip r:embed="rId11"/>
                    <a:stretch>
                      <a:fillRect/>
                    </a:stretch>
                  </pic:blipFill>
                  <pic:spPr>
                    <a:xfrm>
                      <a:off x="0" y="0"/>
                      <a:ext cx="1514475" cy="1357630"/>
                    </a:xfrm>
                    <a:prstGeom prst="rect">
                      <a:avLst/>
                    </a:prstGeom>
                    <a:noFill/>
                    <a:ln>
                      <a:noFill/>
                    </a:ln>
                  </pic:spPr>
                </pic:pic>
              </a:graphicData>
            </a:graphic>
          </wp:inline>
        </w:drawing>
      </w:r>
    </w:p>
    <w:p>
      <w:pPr>
        <w:snapToGrid w:val="0"/>
        <w:jc w:val="center"/>
        <w:rPr>
          <w:rFonts w:ascii="黑体" w:hAnsi="华文中宋" w:eastAsia="黑体" w:cs="华文中宋"/>
          <w:b/>
          <w:bCs/>
          <w:sz w:val="72"/>
          <w:szCs w:val="72"/>
          <w:highlight w:val="none"/>
        </w:rPr>
      </w:pPr>
    </w:p>
    <w:p>
      <w:pPr>
        <w:snapToGrid w:val="0"/>
        <w:jc w:val="center"/>
        <w:rPr>
          <w:rFonts w:ascii="黑体" w:hAnsi="华文中宋" w:eastAsia="黑体" w:cs="华文中宋"/>
          <w:b/>
          <w:bCs/>
          <w:sz w:val="72"/>
          <w:szCs w:val="72"/>
          <w:highlight w:val="none"/>
        </w:rPr>
      </w:pPr>
      <w:r>
        <w:rPr>
          <w:rFonts w:hint="eastAsia" w:ascii="黑体" w:hAnsi="华文中宋" w:eastAsia="黑体" w:cs="华文中宋"/>
          <w:b/>
          <w:bCs/>
          <w:sz w:val="72"/>
          <w:szCs w:val="72"/>
          <w:highlight w:val="none"/>
        </w:rPr>
        <w:t>公开招标文件</w:t>
      </w:r>
    </w:p>
    <w:p>
      <w:pPr>
        <w:spacing w:line="480" w:lineRule="auto"/>
        <w:rPr>
          <w:rFonts w:ascii="宋体" w:hAnsi="宋体" w:cs="宋体"/>
          <w:b/>
          <w:bCs/>
          <w:szCs w:val="21"/>
          <w:highlight w:val="none"/>
        </w:rPr>
      </w:pPr>
    </w:p>
    <w:p>
      <w:pPr>
        <w:spacing w:line="48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pStyle w:val="14"/>
        <w:spacing w:line="360" w:lineRule="auto"/>
        <w:ind w:firstLine="470" w:firstLineChars="147"/>
        <w:rPr>
          <w:rFonts w:ascii="仿宋_GB2312" w:hAnsi="Times New Roman" w:eastAsia="仿宋_GB2312"/>
          <w:b/>
          <w:sz w:val="32"/>
          <w:highlight w:val="none"/>
        </w:rPr>
      </w:pPr>
      <w:r>
        <w:rPr>
          <w:rFonts w:hint="eastAsia" w:ascii="仿宋_GB2312" w:hAnsi="Times New Roman" w:eastAsia="仿宋_GB2312"/>
          <w:b/>
          <w:sz w:val="32"/>
          <w:highlight w:val="none"/>
        </w:rPr>
        <w:t xml:space="preserve">项目编号：GDZC-22GZ131  </w:t>
      </w:r>
    </w:p>
    <w:p>
      <w:pPr>
        <w:pStyle w:val="14"/>
        <w:spacing w:line="360" w:lineRule="auto"/>
        <w:ind w:firstLine="470" w:firstLineChars="147"/>
        <w:rPr>
          <w:rFonts w:ascii="仿宋_GB2312" w:hAnsi="Times New Roman" w:eastAsia="仿宋_GB2312"/>
          <w:b/>
          <w:sz w:val="32"/>
          <w:highlight w:val="none"/>
        </w:rPr>
      </w:pPr>
      <w:r>
        <w:rPr>
          <w:rFonts w:hint="eastAsia" w:ascii="仿宋_GB2312" w:hAnsi="Times New Roman" w:eastAsia="仿宋_GB2312"/>
          <w:b/>
          <w:sz w:val="32"/>
          <w:highlight w:val="none"/>
        </w:rPr>
        <w:t>项目名称：承展千灯湖酒店餐饮餐调料、蛋奶、粮油类采</w:t>
      </w:r>
    </w:p>
    <w:p>
      <w:pPr>
        <w:pStyle w:val="14"/>
        <w:spacing w:line="360" w:lineRule="auto"/>
        <w:ind w:firstLine="470" w:firstLineChars="147"/>
        <w:rPr>
          <w:rFonts w:ascii="仿宋_GB2312" w:hAnsi="Times New Roman" w:eastAsia="仿宋_GB2312"/>
          <w:b/>
          <w:sz w:val="32"/>
          <w:highlight w:val="none"/>
        </w:rPr>
      </w:pPr>
      <w:r>
        <w:rPr>
          <w:rFonts w:hint="eastAsia" w:ascii="仿宋_GB2312" w:hAnsi="Times New Roman" w:eastAsia="仿宋_GB2312"/>
          <w:b/>
          <w:sz w:val="32"/>
          <w:highlight w:val="none"/>
        </w:rPr>
        <w:t>购</w:t>
      </w:r>
    </w:p>
    <w:p>
      <w:pPr>
        <w:pStyle w:val="14"/>
        <w:spacing w:line="360" w:lineRule="auto"/>
        <w:rPr>
          <w:rFonts w:ascii="宋体" w:hAnsi="宋体" w:cs="宋体"/>
          <w:b/>
          <w:szCs w:val="21"/>
          <w:highlight w:val="none"/>
        </w:rPr>
      </w:pPr>
    </w:p>
    <w:p>
      <w:pPr>
        <w:pStyle w:val="14"/>
        <w:spacing w:line="360" w:lineRule="auto"/>
        <w:rPr>
          <w:rFonts w:ascii="宋体" w:hAnsi="宋体" w:cs="宋体"/>
          <w:b/>
          <w:szCs w:val="21"/>
          <w:highlight w:val="none"/>
        </w:rPr>
      </w:pPr>
    </w:p>
    <w:p>
      <w:pPr>
        <w:snapToGrid w:val="0"/>
        <w:spacing w:line="360" w:lineRule="auto"/>
        <w:rPr>
          <w:rFonts w:ascii="宋体" w:hAnsi="宋体" w:cs="宋体"/>
          <w:szCs w:val="21"/>
          <w:highlight w:val="none"/>
        </w:rPr>
      </w:pPr>
    </w:p>
    <w:p>
      <w:pPr>
        <w:spacing w:line="360" w:lineRule="auto"/>
        <w:ind w:firstLine="1500" w:firstLineChars="500"/>
        <w:rPr>
          <w:rFonts w:ascii="黑体" w:hAnsi="华文中宋" w:eastAsia="黑体" w:cs="华文中宋"/>
          <w:sz w:val="30"/>
          <w:szCs w:val="30"/>
          <w:highlight w:val="none"/>
        </w:rPr>
      </w:pPr>
      <w:r>
        <w:rPr>
          <w:rFonts w:hint="eastAsia" w:ascii="黑体" w:hAnsi="华文中宋" w:eastAsia="黑体" w:cs="华文中宋"/>
          <w:sz w:val="30"/>
          <w:szCs w:val="30"/>
          <w:highlight w:val="none"/>
        </w:rPr>
        <w:t>招标人：佛山市南海承展千灯湖酒店投资管理有限公司</w:t>
      </w:r>
    </w:p>
    <w:p>
      <w:pPr>
        <w:spacing w:line="360" w:lineRule="auto"/>
        <w:ind w:firstLine="1500" w:firstLineChars="500"/>
        <w:rPr>
          <w:rFonts w:ascii="黑体" w:hAnsi="华文中宋" w:eastAsia="黑体" w:cs="华文中宋"/>
          <w:sz w:val="30"/>
          <w:szCs w:val="30"/>
          <w:highlight w:val="none"/>
        </w:rPr>
      </w:pPr>
      <w:r>
        <w:rPr>
          <w:rFonts w:hint="eastAsia" w:ascii="黑体" w:hAnsi="华文中宋" w:eastAsia="黑体" w:cs="华文中宋"/>
          <w:sz w:val="30"/>
          <w:szCs w:val="30"/>
          <w:highlight w:val="none"/>
        </w:rPr>
        <w:t>招标代理机构：广东中采招标有限公司</w:t>
      </w:r>
    </w:p>
    <w:p>
      <w:pPr>
        <w:spacing w:line="360" w:lineRule="auto"/>
        <w:ind w:firstLine="1500" w:firstLineChars="500"/>
        <w:rPr>
          <w:rFonts w:ascii="黑体" w:hAnsi="华文中宋" w:eastAsia="黑体" w:cs="华文中宋"/>
          <w:sz w:val="30"/>
          <w:szCs w:val="30"/>
          <w:highlight w:val="none"/>
        </w:rPr>
      </w:pPr>
    </w:p>
    <w:p>
      <w:pPr>
        <w:spacing w:line="360" w:lineRule="auto"/>
        <w:jc w:val="center"/>
        <w:rPr>
          <w:rFonts w:ascii="黑体" w:hAnsi="华文中宋" w:eastAsia="黑体" w:cs="华文中宋"/>
          <w:sz w:val="30"/>
          <w:szCs w:val="30"/>
          <w:highlight w:val="none"/>
        </w:rPr>
        <w:sectPr>
          <w:headerReference r:id="rId5" w:type="first"/>
          <w:headerReference r:id="rId3" w:type="default"/>
          <w:headerReference r:id="rId4" w:type="even"/>
          <w:footerReference r:id="rId6" w:type="even"/>
          <w:pgSz w:w="11906" w:h="16838"/>
          <w:pgMar w:top="1440" w:right="1466" w:bottom="1440" w:left="1800" w:header="567" w:footer="992" w:gutter="0"/>
          <w:cols w:space="720" w:num="1"/>
          <w:docGrid w:type="linesAndChars" w:linePitch="312" w:charSpace="0"/>
        </w:sectPr>
      </w:pPr>
      <w:r>
        <w:rPr>
          <w:rFonts w:hint="eastAsia" w:ascii="黑体" w:hAnsi="华文中宋" w:eastAsia="黑体" w:cs="华文中宋"/>
          <w:sz w:val="30"/>
          <w:szCs w:val="30"/>
          <w:highlight w:val="none"/>
        </w:rPr>
        <w:t>2022年</w:t>
      </w:r>
      <w:r>
        <w:rPr>
          <w:rFonts w:hint="eastAsia" w:ascii="黑体" w:hAnsi="华文中宋" w:eastAsia="黑体" w:cs="华文中宋"/>
          <w:sz w:val="30"/>
          <w:szCs w:val="30"/>
          <w:highlight w:val="none"/>
          <w:lang w:val="en-US" w:eastAsia="zh-CN"/>
        </w:rPr>
        <w:t>9</w:t>
      </w:r>
      <w:r>
        <w:rPr>
          <w:rFonts w:hint="eastAsia" w:ascii="黑体" w:hAnsi="华文中宋" w:eastAsia="黑体" w:cs="华文中宋"/>
          <w:sz w:val="30"/>
          <w:szCs w:val="30"/>
          <w:highlight w:val="none"/>
        </w:rPr>
        <w:t>月</w:t>
      </w:r>
    </w:p>
    <w:p>
      <w:pPr>
        <w:autoSpaceDE w:val="0"/>
        <w:autoSpaceDN w:val="0"/>
        <w:adjustRightInd w:val="0"/>
        <w:snapToGrid w:val="0"/>
        <w:spacing w:before="156" w:beforeLines="50" w:after="156" w:afterLines="50" w:line="360" w:lineRule="auto"/>
        <w:jc w:val="center"/>
        <w:rPr>
          <w:rFonts w:ascii="宋体" w:hAnsi="宋体"/>
          <w:b/>
          <w:sz w:val="44"/>
          <w:szCs w:val="44"/>
          <w:highlight w:val="none"/>
        </w:rPr>
      </w:pPr>
      <w:r>
        <w:rPr>
          <w:rFonts w:hint="eastAsia" w:ascii="宋体" w:hAnsi="宋体"/>
          <w:b/>
          <w:sz w:val="44"/>
          <w:szCs w:val="44"/>
          <w:highlight w:val="none"/>
        </w:rPr>
        <w:t>目   录</w:t>
      </w:r>
    </w:p>
    <w:p>
      <w:pPr>
        <w:pStyle w:val="19"/>
        <w:tabs>
          <w:tab w:val="right" w:leader="dot" w:pos="9180"/>
          <w:tab w:val="clear" w:pos="9060"/>
        </w:tabs>
        <w:rPr>
          <w:rFonts w:ascii="宋体" w:hAnsi="宋体" w:cs="宋体"/>
          <w:b/>
          <w:szCs w:val="21"/>
          <w:highlight w:val="none"/>
        </w:rPr>
      </w:pPr>
      <w:r>
        <w:rPr>
          <w:rFonts w:hint="eastAsia" w:ascii="宋体" w:hAnsi="宋体" w:cs="宋体"/>
          <w:b/>
          <w:szCs w:val="21"/>
          <w:highlight w:val="none"/>
        </w:rPr>
        <w:fldChar w:fldCharType="begin"/>
      </w:r>
      <w:r>
        <w:rPr>
          <w:rStyle w:val="31"/>
          <w:rFonts w:hint="eastAsia" w:ascii="宋体" w:hAnsi="宋体" w:cs="宋体"/>
          <w:b/>
          <w:color w:val="auto"/>
          <w:sz w:val="21"/>
          <w:szCs w:val="21"/>
          <w:highlight w:val="none"/>
        </w:rPr>
        <w:instrText xml:space="preserve"> TOC \o "1-1" \h \z \u </w:instrText>
      </w:r>
      <w:r>
        <w:rPr>
          <w:rFonts w:hint="eastAsia" w:ascii="宋体" w:hAnsi="宋体" w:cs="宋体"/>
          <w:b/>
          <w:szCs w:val="21"/>
          <w:highlight w:val="none"/>
        </w:rPr>
        <w:fldChar w:fldCharType="separate"/>
      </w:r>
      <w:r>
        <w:rPr>
          <w:highlight w:val="none"/>
        </w:rPr>
        <w:fldChar w:fldCharType="begin"/>
      </w:r>
      <w:r>
        <w:rPr>
          <w:highlight w:val="none"/>
        </w:rPr>
        <w:instrText xml:space="preserve"> HYPERLINK \l "_Toc11072" </w:instrText>
      </w:r>
      <w:r>
        <w:rPr>
          <w:highlight w:val="none"/>
        </w:rPr>
        <w:fldChar w:fldCharType="separate"/>
      </w:r>
      <w:r>
        <w:rPr>
          <w:rFonts w:hint="eastAsia" w:ascii="宋体" w:hAnsi="宋体" w:cs="宋体"/>
          <w:b/>
          <w:szCs w:val="21"/>
          <w:highlight w:val="none"/>
        </w:rPr>
        <w:t>第一章  采购公告</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_Toc11072 \h </w:instrText>
      </w:r>
      <w:r>
        <w:rPr>
          <w:rFonts w:hint="eastAsia" w:ascii="宋体" w:hAnsi="宋体" w:cs="宋体"/>
          <w:b/>
          <w:szCs w:val="21"/>
          <w:highlight w:val="none"/>
        </w:rPr>
        <w:fldChar w:fldCharType="separate"/>
      </w:r>
      <w:r>
        <w:rPr>
          <w:rFonts w:hint="eastAsia" w:ascii="宋体" w:hAnsi="宋体" w:cs="宋体"/>
          <w:b/>
          <w:szCs w:val="21"/>
          <w:highlight w:val="none"/>
        </w:rPr>
        <w:t>2</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pStyle w:val="19"/>
        <w:tabs>
          <w:tab w:val="right" w:leader="dot" w:pos="9180"/>
          <w:tab w:val="clear" w:pos="9060"/>
        </w:tabs>
        <w:rPr>
          <w:rFonts w:ascii="宋体" w:hAnsi="宋体" w:cs="宋体"/>
          <w:b/>
          <w:szCs w:val="21"/>
          <w:highlight w:val="none"/>
        </w:rPr>
      </w:pPr>
      <w:r>
        <w:rPr>
          <w:highlight w:val="none"/>
        </w:rPr>
        <w:fldChar w:fldCharType="begin"/>
      </w:r>
      <w:r>
        <w:rPr>
          <w:highlight w:val="none"/>
        </w:rPr>
        <w:instrText xml:space="preserve"> HYPERLINK \l "_Toc996" </w:instrText>
      </w:r>
      <w:r>
        <w:rPr>
          <w:highlight w:val="none"/>
        </w:rPr>
        <w:fldChar w:fldCharType="separate"/>
      </w:r>
      <w:r>
        <w:rPr>
          <w:rFonts w:hint="eastAsia" w:ascii="宋体" w:hAnsi="宋体" w:cs="宋体"/>
          <w:b/>
          <w:szCs w:val="21"/>
          <w:highlight w:val="none"/>
        </w:rPr>
        <w:t>第二章  投标资料表</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_Toc996 \h </w:instrText>
      </w:r>
      <w:r>
        <w:rPr>
          <w:rFonts w:hint="eastAsia" w:ascii="宋体" w:hAnsi="宋体" w:cs="宋体"/>
          <w:b/>
          <w:szCs w:val="21"/>
          <w:highlight w:val="none"/>
        </w:rPr>
        <w:fldChar w:fldCharType="separate"/>
      </w:r>
      <w:r>
        <w:rPr>
          <w:rFonts w:hint="eastAsia" w:ascii="宋体" w:hAnsi="宋体" w:cs="宋体"/>
          <w:b/>
          <w:szCs w:val="21"/>
          <w:highlight w:val="none"/>
        </w:rPr>
        <w:t>5</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pStyle w:val="19"/>
        <w:tabs>
          <w:tab w:val="right" w:leader="dot" w:pos="9180"/>
          <w:tab w:val="clear" w:pos="9060"/>
        </w:tabs>
        <w:rPr>
          <w:rFonts w:ascii="宋体" w:hAnsi="宋体" w:cs="宋体"/>
          <w:b/>
          <w:szCs w:val="21"/>
          <w:highlight w:val="none"/>
        </w:rPr>
      </w:pPr>
      <w:r>
        <w:rPr>
          <w:highlight w:val="none"/>
        </w:rPr>
        <w:fldChar w:fldCharType="begin"/>
      </w:r>
      <w:r>
        <w:rPr>
          <w:highlight w:val="none"/>
        </w:rPr>
        <w:instrText xml:space="preserve"> HYPERLINK \l "_Toc31360" </w:instrText>
      </w:r>
      <w:r>
        <w:rPr>
          <w:highlight w:val="none"/>
        </w:rPr>
        <w:fldChar w:fldCharType="separate"/>
      </w:r>
      <w:r>
        <w:rPr>
          <w:rFonts w:hint="eastAsia" w:ascii="宋体" w:hAnsi="宋体" w:cs="宋体"/>
          <w:b/>
          <w:szCs w:val="21"/>
          <w:highlight w:val="none"/>
        </w:rPr>
        <w:t>第三章  用户需求书</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_Toc31360 \h </w:instrText>
      </w:r>
      <w:r>
        <w:rPr>
          <w:rFonts w:hint="eastAsia" w:ascii="宋体" w:hAnsi="宋体" w:cs="宋体"/>
          <w:b/>
          <w:szCs w:val="21"/>
          <w:highlight w:val="none"/>
        </w:rPr>
        <w:fldChar w:fldCharType="separate"/>
      </w:r>
      <w:r>
        <w:rPr>
          <w:rFonts w:hint="eastAsia" w:ascii="宋体" w:hAnsi="宋体" w:cs="宋体"/>
          <w:b/>
          <w:szCs w:val="21"/>
          <w:highlight w:val="none"/>
        </w:rPr>
        <w:t>7</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pStyle w:val="19"/>
        <w:tabs>
          <w:tab w:val="right" w:leader="dot" w:pos="9180"/>
          <w:tab w:val="clear" w:pos="9060"/>
        </w:tabs>
        <w:rPr>
          <w:rFonts w:ascii="宋体" w:hAnsi="宋体" w:cs="宋体"/>
          <w:b/>
          <w:szCs w:val="21"/>
          <w:highlight w:val="none"/>
        </w:rPr>
      </w:pPr>
      <w:r>
        <w:rPr>
          <w:highlight w:val="none"/>
        </w:rPr>
        <w:fldChar w:fldCharType="begin"/>
      </w:r>
      <w:r>
        <w:rPr>
          <w:highlight w:val="none"/>
        </w:rPr>
        <w:instrText xml:space="preserve"> HYPERLINK \l "_Toc24320" </w:instrText>
      </w:r>
      <w:r>
        <w:rPr>
          <w:highlight w:val="none"/>
        </w:rPr>
        <w:fldChar w:fldCharType="separate"/>
      </w:r>
      <w:r>
        <w:rPr>
          <w:rFonts w:hint="eastAsia" w:ascii="宋体" w:hAnsi="宋体" w:cs="宋体"/>
          <w:b/>
          <w:szCs w:val="21"/>
          <w:highlight w:val="none"/>
        </w:rPr>
        <w:t>第四章  评分体系与标准</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_Toc24320 \h </w:instrText>
      </w:r>
      <w:r>
        <w:rPr>
          <w:rFonts w:hint="eastAsia" w:ascii="宋体" w:hAnsi="宋体" w:cs="宋体"/>
          <w:b/>
          <w:szCs w:val="21"/>
          <w:highlight w:val="none"/>
        </w:rPr>
        <w:fldChar w:fldCharType="separate"/>
      </w:r>
      <w:r>
        <w:rPr>
          <w:rFonts w:hint="eastAsia" w:ascii="宋体" w:hAnsi="宋体" w:cs="宋体"/>
          <w:b/>
          <w:szCs w:val="21"/>
          <w:highlight w:val="none"/>
        </w:rPr>
        <w:t>16</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pStyle w:val="19"/>
        <w:tabs>
          <w:tab w:val="right" w:leader="dot" w:pos="9180"/>
          <w:tab w:val="clear" w:pos="9060"/>
        </w:tabs>
        <w:rPr>
          <w:rFonts w:ascii="宋体" w:hAnsi="宋体" w:cs="宋体"/>
          <w:b/>
          <w:szCs w:val="21"/>
          <w:highlight w:val="none"/>
        </w:rPr>
      </w:pPr>
      <w:r>
        <w:rPr>
          <w:highlight w:val="none"/>
        </w:rPr>
        <w:fldChar w:fldCharType="begin"/>
      </w:r>
      <w:r>
        <w:rPr>
          <w:highlight w:val="none"/>
        </w:rPr>
        <w:instrText xml:space="preserve"> HYPERLINK \l "_Toc15031" </w:instrText>
      </w:r>
      <w:r>
        <w:rPr>
          <w:highlight w:val="none"/>
        </w:rPr>
        <w:fldChar w:fldCharType="separate"/>
      </w:r>
      <w:r>
        <w:rPr>
          <w:rFonts w:hint="eastAsia" w:ascii="宋体" w:hAnsi="宋体" w:cs="宋体"/>
          <w:b/>
          <w:szCs w:val="21"/>
          <w:highlight w:val="none"/>
        </w:rPr>
        <w:t>第五章  投标人须知</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_Toc15031 \h </w:instrText>
      </w:r>
      <w:r>
        <w:rPr>
          <w:rFonts w:hint="eastAsia" w:ascii="宋体" w:hAnsi="宋体" w:cs="宋体"/>
          <w:b/>
          <w:szCs w:val="21"/>
          <w:highlight w:val="none"/>
        </w:rPr>
        <w:fldChar w:fldCharType="separate"/>
      </w:r>
      <w:r>
        <w:rPr>
          <w:rFonts w:hint="eastAsia" w:ascii="宋体" w:hAnsi="宋体" w:cs="宋体"/>
          <w:b/>
          <w:szCs w:val="21"/>
          <w:highlight w:val="none"/>
        </w:rPr>
        <w:t>21</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pStyle w:val="19"/>
        <w:tabs>
          <w:tab w:val="right" w:leader="dot" w:pos="9180"/>
          <w:tab w:val="clear" w:pos="9060"/>
        </w:tabs>
        <w:rPr>
          <w:rFonts w:ascii="宋体" w:hAnsi="宋体" w:cs="宋体"/>
          <w:b/>
          <w:szCs w:val="21"/>
          <w:highlight w:val="none"/>
        </w:rPr>
      </w:pPr>
      <w:r>
        <w:rPr>
          <w:highlight w:val="none"/>
        </w:rPr>
        <w:fldChar w:fldCharType="begin"/>
      </w:r>
      <w:r>
        <w:rPr>
          <w:highlight w:val="none"/>
        </w:rPr>
        <w:instrText xml:space="preserve"> HYPERLINK \l "_Toc29705" </w:instrText>
      </w:r>
      <w:r>
        <w:rPr>
          <w:highlight w:val="none"/>
        </w:rPr>
        <w:fldChar w:fldCharType="separate"/>
      </w:r>
      <w:r>
        <w:rPr>
          <w:rFonts w:hint="eastAsia" w:ascii="宋体" w:hAnsi="宋体" w:cs="宋体"/>
          <w:b/>
          <w:szCs w:val="21"/>
          <w:highlight w:val="none"/>
        </w:rPr>
        <w:t>第六章  合同条款</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_Toc29705 \h </w:instrText>
      </w:r>
      <w:r>
        <w:rPr>
          <w:rFonts w:hint="eastAsia" w:ascii="宋体" w:hAnsi="宋体" w:cs="宋体"/>
          <w:b/>
          <w:szCs w:val="21"/>
          <w:highlight w:val="none"/>
        </w:rPr>
        <w:fldChar w:fldCharType="separate"/>
      </w:r>
      <w:r>
        <w:rPr>
          <w:rFonts w:hint="eastAsia" w:ascii="宋体" w:hAnsi="宋体" w:cs="宋体"/>
          <w:b/>
          <w:szCs w:val="21"/>
          <w:highlight w:val="none"/>
        </w:rPr>
        <w:t>32</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pStyle w:val="19"/>
        <w:tabs>
          <w:tab w:val="right" w:leader="dot" w:pos="9180"/>
          <w:tab w:val="clear" w:pos="9060"/>
        </w:tabs>
        <w:rPr>
          <w:rFonts w:ascii="宋体" w:hAnsi="宋体" w:cs="宋体"/>
          <w:b/>
          <w:szCs w:val="21"/>
          <w:highlight w:val="none"/>
        </w:rPr>
      </w:pPr>
      <w:r>
        <w:rPr>
          <w:highlight w:val="none"/>
        </w:rPr>
        <w:fldChar w:fldCharType="begin"/>
      </w:r>
      <w:r>
        <w:rPr>
          <w:highlight w:val="none"/>
        </w:rPr>
        <w:instrText xml:space="preserve"> HYPERLINK \l "_Toc15548" </w:instrText>
      </w:r>
      <w:r>
        <w:rPr>
          <w:highlight w:val="none"/>
        </w:rPr>
        <w:fldChar w:fldCharType="separate"/>
      </w:r>
      <w:r>
        <w:rPr>
          <w:rFonts w:hint="eastAsia" w:ascii="宋体" w:hAnsi="宋体" w:cs="宋体"/>
          <w:b/>
          <w:szCs w:val="21"/>
          <w:highlight w:val="none"/>
        </w:rPr>
        <w:t>第七章  投标文件格式</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_Toc15548 \h </w:instrText>
      </w:r>
      <w:r>
        <w:rPr>
          <w:rFonts w:hint="eastAsia" w:ascii="宋体" w:hAnsi="宋体" w:cs="宋体"/>
          <w:b/>
          <w:szCs w:val="21"/>
          <w:highlight w:val="none"/>
        </w:rPr>
        <w:fldChar w:fldCharType="separate"/>
      </w:r>
      <w:r>
        <w:rPr>
          <w:rFonts w:hint="eastAsia" w:ascii="宋体" w:hAnsi="宋体" w:cs="宋体"/>
          <w:b/>
          <w:szCs w:val="21"/>
          <w:highlight w:val="none"/>
        </w:rPr>
        <w:t>44</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pStyle w:val="19"/>
        <w:tabs>
          <w:tab w:val="right" w:leader="dot" w:pos="9180"/>
          <w:tab w:val="clear" w:pos="9060"/>
        </w:tabs>
        <w:rPr>
          <w:rFonts w:ascii="宋体" w:hAnsi="宋体" w:cs="宋体"/>
          <w:b/>
          <w:szCs w:val="21"/>
          <w:highlight w:val="none"/>
        </w:rPr>
      </w:pPr>
      <w:r>
        <w:rPr>
          <w:highlight w:val="none"/>
        </w:rPr>
        <w:fldChar w:fldCharType="begin"/>
      </w:r>
      <w:r>
        <w:rPr>
          <w:highlight w:val="none"/>
        </w:rPr>
        <w:instrText xml:space="preserve"> HYPERLINK \l "_Toc26145" </w:instrText>
      </w:r>
      <w:r>
        <w:rPr>
          <w:highlight w:val="none"/>
        </w:rPr>
        <w:fldChar w:fldCharType="separate"/>
      </w:r>
      <w:r>
        <w:rPr>
          <w:rFonts w:hint="eastAsia" w:ascii="宋体" w:hAnsi="宋体" w:cs="宋体"/>
          <w:b/>
          <w:szCs w:val="21"/>
          <w:highlight w:val="none"/>
          <w:lang w:eastAsia="zh-TW"/>
        </w:rPr>
        <w:t>投标文件包装封面参考</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_Toc26145 \h </w:instrText>
      </w:r>
      <w:r>
        <w:rPr>
          <w:rFonts w:hint="eastAsia" w:ascii="宋体" w:hAnsi="宋体" w:cs="宋体"/>
          <w:b/>
          <w:szCs w:val="21"/>
          <w:highlight w:val="none"/>
        </w:rPr>
        <w:fldChar w:fldCharType="separate"/>
      </w:r>
      <w:r>
        <w:rPr>
          <w:rFonts w:hint="eastAsia" w:ascii="宋体" w:hAnsi="宋体" w:cs="宋体"/>
          <w:b/>
          <w:szCs w:val="21"/>
          <w:highlight w:val="none"/>
        </w:rPr>
        <w:t>44</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pStyle w:val="19"/>
        <w:tabs>
          <w:tab w:val="right" w:leader="dot" w:pos="9180"/>
          <w:tab w:val="clear" w:pos="9060"/>
        </w:tabs>
        <w:rPr>
          <w:rFonts w:ascii="宋体" w:hAnsi="宋体" w:cs="宋体"/>
          <w:b/>
          <w:szCs w:val="21"/>
          <w:highlight w:val="none"/>
        </w:rPr>
      </w:pPr>
      <w:r>
        <w:rPr>
          <w:highlight w:val="none"/>
        </w:rPr>
        <w:fldChar w:fldCharType="begin"/>
      </w:r>
      <w:r>
        <w:rPr>
          <w:highlight w:val="none"/>
        </w:rPr>
        <w:instrText xml:space="preserve"> HYPERLINK \l "_Toc1718" </w:instrText>
      </w:r>
      <w:r>
        <w:rPr>
          <w:highlight w:val="none"/>
        </w:rPr>
        <w:fldChar w:fldCharType="separate"/>
      </w:r>
      <w:r>
        <w:rPr>
          <w:rFonts w:hint="eastAsia" w:ascii="宋体" w:hAnsi="宋体" w:cs="宋体"/>
          <w:b/>
          <w:szCs w:val="21"/>
          <w:highlight w:val="none"/>
          <w:lang w:eastAsia="zh-TW"/>
        </w:rPr>
        <w:t>投标文件目录表</w:t>
      </w:r>
      <w:r>
        <w:rPr>
          <w:rFonts w:hint="eastAsia" w:ascii="宋体" w:hAnsi="宋体" w:cs="宋体"/>
          <w:b/>
          <w:szCs w:val="21"/>
          <w:highlight w:val="none"/>
        </w:rPr>
        <w:tab/>
      </w:r>
      <w:r>
        <w:rPr>
          <w:rFonts w:hint="eastAsia" w:ascii="宋体" w:hAnsi="宋体" w:cs="宋体"/>
          <w:b/>
          <w:szCs w:val="21"/>
          <w:highlight w:val="none"/>
        </w:rPr>
        <w:fldChar w:fldCharType="begin"/>
      </w:r>
      <w:r>
        <w:rPr>
          <w:rFonts w:hint="eastAsia" w:ascii="宋体" w:hAnsi="宋体" w:cs="宋体"/>
          <w:b/>
          <w:szCs w:val="21"/>
          <w:highlight w:val="none"/>
        </w:rPr>
        <w:instrText xml:space="preserve"> PAGEREF _Toc1718 \h </w:instrText>
      </w:r>
      <w:r>
        <w:rPr>
          <w:rFonts w:hint="eastAsia" w:ascii="宋体" w:hAnsi="宋体" w:cs="宋体"/>
          <w:b/>
          <w:szCs w:val="21"/>
          <w:highlight w:val="none"/>
        </w:rPr>
        <w:fldChar w:fldCharType="separate"/>
      </w:r>
      <w:r>
        <w:rPr>
          <w:rFonts w:hint="eastAsia" w:ascii="宋体" w:hAnsi="宋体" w:cs="宋体"/>
          <w:b/>
          <w:szCs w:val="21"/>
          <w:highlight w:val="none"/>
        </w:rPr>
        <w:t>45</w:t>
      </w:r>
      <w:r>
        <w:rPr>
          <w:rFonts w:hint="eastAsia" w:ascii="宋体" w:hAnsi="宋体" w:cs="宋体"/>
          <w:b/>
          <w:szCs w:val="21"/>
          <w:highlight w:val="none"/>
        </w:rPr>
        <w:fldChar w:fldCharType="end"/>
      </w:r>
      <w:r>
        <w:rPr>
          <w:rFonts w:hint="eastAsia" w:ascii="宋体" w:hAnsi="宋体" w:cs="宋体"/>
          <w:b/>
          <w:szCs w:val="21"/>
          <w:highlight w:val="none"/>
        </w:rPr>
        <w:fldChar w:fldCharType="end"/>
      </w:r>
    </w:p>
    <w:p>
      <w:pPr>
        <w:adjustRightInd w:val="0"/>
        <w:snapToGrid w:val="0"/>
        <w:spacing w:before="156" w:beforeLines="50" w:after="156" w:afterLines="50" w:line="360" w:lineRule="auto"/>
        <w:jc w:val="center"/>
        <w:outlineLvl w:val="0"/>
        <w:rPr>
          <w:rFonts w:ascii="Times New Roman" w:hAnsi="Times New Roman"/>
          <w:b/>
          <w:bCs/>
          <w:sz w:val="28"/>
          <w:szCs w:val="28"/>
          <w:highlight w:val="none"/>
        </w:rPr>
      </w:pPr>
      <w:r>
        <w:rPr>
          <w:rFonts w:hint="eastAsia" w:ascii="宋体" w:hAnsi="宋体" w:cs="宋体"/>
          <w:b/>
          <w:szCs w:val="21"/>
          <w:highlight w:val="none"/>
        </w:rPr>
        <w:fldChar w:fldCharType="end"/>
      </w:r>
      <w:bookmarkStart w:id="0" w:name="_Toc11072"/>
      <w:r>
        <w:rPr>
          <w:rFonts w:hint="eastAsia" w:ascii="宋体" w:hAnsi="宋体" w:cs="宋体"/>
          <w:szCs w:val="21"/>
          <w:highlight w:val="none"/>
        </w:rPr>
        <w:br w:type="page"/>
      </w:r>
      <w:r>
        <w:rPr>
          <w:rFonts w:hint="eastAsia" w:ascii="Times New Roman" w:hAnsi="Times New Roman"/>
          <w:b/>
          <w:bCs/>
          <w:sz w:val="28"/>
          <w:szCs w:val="28"/>
          <w:highlight w:val="none"/>
        </w:rPr>
        <w:t xml:space="preserve">第一章  </w:t>
      </w:r>
      <w:bookmarkEnd w:id="0"/>
      <w:r>
        <w:rPr>
          <w:rFonts w:hint="eastAsia" w:ascii="Times New Roman" w:hAnsi="Times New Roman"/>
          <w:b/>
          <w:bCs/>
          <w:sz w:val="28"/>
          <w:szCs w:val="28"/>
          <w:highlight w:val="none"/>
        </w:rPr>
        <w:t>采购公告</w:t>
      </w:r>
    </w:p>
    <w:p>
      <w:pPr>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广东中采招标有限公司</w:t>
      </w:r>
      <w:r>
        <w:rPr>
          <w:rFonts w:hint="eastAsia" w:ascii="宋体" w:hAnsi="宋体" w:cs="宋体"/>
          <w:szCs w:val="21"/>
          <w:highlight w:val="none"/>
        </w:rPr>
        <w:t>（以下简称“招标代理机构”）</w:t>
      </w:r>
      <w:r>
        <w:rPr>
          <w:rFonts w:hint="eastAsia" w:ascii="宋体" w:hAnsi="宋体" w:cs="宋体"/>
          <w:bCs/>
          <w:szCs w:val="21"/>
          <w:highlight w:val="none"/>
        </w:rPr>
        <w:t>受</w:t>
      </w:r>
      <w:r>
        <w:rPr>
          <w:rFonts w:hint="eastAsia" w:ascii="宋体" w:hAnsi="宋体" w:cs="宋体"/>
          <w:szCs w:val="21"/>
          <w:highlight w:val="none"/>
        </w:rPr>
        <w:t>佛山市南海承展千灯湖酒店投资管理有限公司（以下简称“招标人”）</w:t>
      </w:r>
      <w:r>
        <w:rPr>
          <w:rFonts w:hint="eastAsia" w:ascii="宋体" w:hAnsi="宋体" w:cs="宋体"/>
          <w:bCs/>
          <w:szCs w:val="21"/>
          <w:highlight w:val="none"/>
        </w:rPr>
        <w:t>委托，对</w:t>
      </w:r>
      <w:r>
        <w:rPr>
          <w:rFonts w:hint="eastAsia" w:ascii="宋体" w:hAnsi="宋体" w:cs="宋体"/>
          <w:szCs w:val="21"/>
          <w:highlight w:val="none"/>
        </w:rPr>
        <w:t>承展千灯湖酒店餐饮餐调料、蛋奶、粮油类采购</w:t>
      </w:r>
      <w:r>
        <w:rPr>
          <w:rFonts w:hint="eastAsia" w:ascii="宋体" w:hAnsi="宋体" w:cs="宋体"/>
          <w:bCs/>
          <w:szCs w:val="21"/>
          <w:highlight w:val="none"/>
        </w:rPr>
        <w:t>进行公开招标，</w:t>
      </w:r>
      <w:r>
        <w:rPr>
          <w:rFonts w:hint="eastAsia" w:ascii="宋体" w:hAnsi="宋体" w:cs="宋体"/>
          <w:bCs/>
          <w:szCs w:val="21"/>
          <w:highlight w:val="none"/>
          <w:lang w:val="zh-CN"/>
        </w:rPr>
        <w:t>欢迎符合资格条件</w:t>
      </w:r>
      <w:r>
        <w:rPr>
          <w:rFonts w:hint="eastAsia" w:ascii="宋体" w:hAnsi="宋体" w:cs="宋体"/>
          <w:bCs/>
          <w:szCs w:val="21"/>
          <w:highlight w:val="none"/>
        </w:rPr>
        <w:t>的供应商投标。</w:t>
      </w:r>
    </w:p>
    <w:p>
      <w:pPr>
        <w:numPr>
          <w:ilvl w:val="0"/>
          <w:numId w:val="2"/>
        </w:numPr>
        <w:snapToGrid w:val="0"/>
        <w:spacing w:line="360" w:lineRule="auto"/>
        <w:ind w:firstLine="0"/>
        <w:rPr>
          <w:rFonts w:ascii="宋体" w:hAnsi="宋体" w:cs="宋体"/>
          <w:bCs/>
          <w:szCs w:val="21"/>
          <w:highlight w:val="none"/>
        </w:rPr>
      </w:pPr>
      <w:r>
        <w:rPr>
          <w:rFonts w:hint="eastAsia" w:ascii="宋体" w:hAnsi="宋体" w:cs="宋体"/>
          <w:bCs/>
          <w:szCs w:val="21"/>
          <w:highlight w:val="none"/>
        </w:rPr>
        <w:t>项目编号：</w:t>
      </w:r>
      <w:r>
        <w:rPr>
          <w:rFonts w:hint="eastAsia" w:ascii="宋体" w:hAnsi="宋体" w:cs="宋体"/>
          <w:szCs w:val="21"/>
          <w:highlight w:val="none"/>
        </w:rPr>
        <w:t xml:space="preserve">GDZC-22GZ131  </w:t>
      </w:r>
    </w:p>
    <w:p>
      <w:pPr>
        <w:numPr>
          <w:ilvl w:val="0"/>
          <w:numId w:val="2"/>
        </w:numPr>
        <w:snapToGrid w:val="0"/>
        <w:spacing w:line="360" w:lineRule="auto"/>
        <w:ind w:firstLine="0"/>
        <w:rPr>
          <w:rFonts w:ascii="宋体" w:hAnsi="宋体" w:cs="宋体"/>
          <w:szCs w:val="21"/>
          <w:highlight w:val="none"/>
        </w:rPr>
      </w:pPr>
      <w:r>
        <w:rPr>
          <w:rFonts w:hint="eastAsia" w:ascii="宋体" w:hAnsi="宋体" w:cs="宋体"/>
          <w:bCs/>
          <w:szCs w:val="21"/>
          <w:highlight w:val="none"/>
        </w:rPr>
        <w:t>项目名称：</w:t>
      </w:r>
      <w:r>
        <w:rPr>
          <w:rFonts w:hint="eastAsia" w:ascii="宋体" w:hAnsi="宋体" w:cs="宋体"/>
          <w:szCs w:val="21"/>
          <w:highlight w:val="none"/>
        </w:rPr>
        <w:t>承展千灯湖酒店餐饮餐调料、蛋奶、粮油类采购</w:t>
      </w:r>
    </w:p>
    <w:p>
      <w:pPr>
        <w:numPr>
          <w:ilvl w:val="0"/>
          <w:numId w:val="2"/>
        </w:numPr>
        <w:snapToGrid w:val="0"/>
        <w:spacing w:line="360" w:lineRule="auto"/>
        <w:ind w:firstLine="0"/>
        <w:rPr>
          <w:rFonts w:ascii="宋体" w:hAnsi="宋体" w:cs="宋体"/>
          <w:bCs/>
          <w:szCs w:val="21"/>
          <w:highlight w:val="none"/>
        </w:rPr>
      </w:pPr>
      <w:r>
        <w:rPr>
          <w:rFonts w:hint="eastAsia" w:ascii="宋体" w:hAnsi="宋体" w:eastAsia="宋体" w:cs="宋体"/>
          <w:bCs/>
          <w:color w:val="auto"/>
          <w:sz w:val="21"/>
          <w:szCs w:val="21"/>
          <w:highlight w:val="none"/>
        </w:rPr>
        <w:t>采购项目预算金额</w:t>
      </w:r>
      <w:r>
        <w:rPr>
          <w:rFonts w:hint="eastAsia" w:ascii="宋体" w:hAnsi="宋体" w:eastAsia="宋体" w:cs="宋体"/>
          <w:bCs/>
          <w:color w:val="auto"/>
          <w:sz w:val="21"/>
          <w:szCs w:val="21"/>
          <w:highlight w:val="none"/>
          <w:lang w:eastAsia="zh-CN"/>
        </w:rPr>
        <w:t>：本项目不设预算金额</w:t>
      </w:r>
    </w:p>
    <w:p>
      <w:pPr>
        <w:numPr>
          <w:ilvl w:val="0"/>
          <w:numId w:val="2"/>
        </w:numPr>
        <w:snapToGrid w:val="0"/>
        <w:spacing w:line="360" w:lineRule="auto"/>
        <w:ind w:firstLine="0"/>
        <w:rPr>
          <w:lang w:val="en-US"/>
        </w:rPr>
      </w:pPr>
      <w:r>
        <w:rPr>
          <w:rFonts w:hint="eastAsia" w:ascii="宋体" w:eastAsia="宋体" w:cs="宋体"/>
          <w:bCs/>
          <w:color w:val="auto"/>
          <w:sz w:val="21"/>
          <w:szCs w:val="21"/>
          <w:highlight w:val="none"/>
          <w:lang w:val="en-US" w:eastAsia="zh-CN"/>
        </w:rPr>
        <w:t>项目类型：</w:t>
      </w:r>
      <w:r>
        <w:rPr>
          <w:rFonts w:hint="eastAsia" w:ascii="宋体" w:cs="宋体"/>
          <w:bCs/>
          <w:color w:val="auto"/>
          <w:sz w:val="21"/>
          <w:szCs w:val="21"/>
          <w:highlight w:val="none"/>
          <w:lang w:val="en-US" w:eastAsia="zh-CN"/>
        </w:rPr>
        <w:t>服务</w:t>
      </w:r>
      <w:r>
        <w:rPr>
          <w:rFonts w:hint="eastAsia" w:ascii="宋体" w:eastAsia="宋体" w:cs="宋体"/>
          <w:bCs/>
          <w:color w:val="auto"/>
          <w:sz w:val="21"/>
          <w:szCs w:val="21"/>
          <w:highlight w:val="none"/>
          <w:lang w:val="en-US" w:eastAsia="zh-CN"/>
        </w:rPr>
        <w:t>类</w:t>
      </w:r>
    </w:p>
    <w:p>
      <w:pPr>
        <w:numPr>
          <w:ilvl w:val="0"/>
          <w:numId w:val="2"/>
        </w:numPr>
        <w:snapToGrid w:val="0"/>
        <w:spacing w:line="360" w:lineRule="auto"/>
        <w:ind w:firstLine="0"/>
        <w:rPr>
          <w:rFonts w:ascii="宋体" w:hAnsi="宋体" w:cs="宋体"/>
          <w:bCs/>
          <w:szCs w:val="21"/>
          <w:highlight w:val="none"/>
        </w:rPr>
      </w:pPr>
      <w:r>
        <w:rPr>
          <w:rFonts w:hint="eastAsia" w:ascii="宋体" w:hAnsi="宋体" w:cs="宋体"/>
          <w:bCs/>
          <w:szCs w:val="21"/>
          <w:highlight w:val="none"/>
        </w:rPr>
        <w:t>采购项目内容及需求：</w:t>
      </w:r>
    </w:p>
    <w:p>
      <w:pPr>
        <w:numPr>
          <w:ilvl w:val="0"/>
          <w:numId w:val="3"/>
        </w:numPr>
        <w:tabs>
          <w:tab w:val="left" w:pos="709"/>
        </w:tabs>
        <w:snapToGrid w:val="0"/>
        <w:spacing w:line="360" w:lineRule="auto"/>
        <w:ind w:left="709" w:hanging="425"/>
        <w:rPr>
          <w:rFonts w:ascii="宋体" w:hAnsi="宋体" w:cs="宋体"/>
          <w:bCs/>
          <w:szCs w:val="21"/>
          <w:highlight w:val="none"/>
        </w:rPr>
      </w:pPr>
      <w:r>
        <w:rPr>
          <w:rFonts w:hint="eastAsia" w:ascii="宋体" w:hAnsi="宋体" w:cs="宋体"/>
          <w:bCs/>
          <w:szCs w:val="21"/>
          <w:highlight w:val="none"/>
        </w:rPr>
        <w:t>项目内容：</w:t>
      </w:r>
    </w:p>
    <w:tbl>
      <w:tblPr>
        <w:tblStyle w:val="25"/>
        <w:tblW w:w="8079" w:type="dxa"/>
        <w:tblInd w:w="4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68"/>
        <w:gridCol w:w="1311"/>
        <w:gridCol w:w="3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3468" w:type="dxa"/>
            <w:shd w:val="clear" w:color="auto" w:fill="EEECE1"/>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采购内容</w:t>
            </w:r>
          </w:p>
        </w:tc>
        <w:tc>
          <w:tcPr>
            <w:tcW w:w="1311" w:type="dxa"/>
            <w:shd w:val="clear" w:color="auto" w:fill="EEECE1"/>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数量</w:t>
            </w:r>
          </w:p>
        </w:tc>
        <w:tc>
          <w:tcPr>
            <w:tcW w:w="3300" w:type="dxa"/>
            <w:shd w:val="clear" w:color="auto" w:fill="EEECE1"/>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5" w:hRule="atLeast"/>
        </w:trPr>
        <w:tc>
          <w:tcPr>
            <w:tcW w:w="346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承展千灯湖酒店餐饮餐调料、蛋奶、粮油类采购</w:t>
            </w:r>
          </w:p>
        </w:tc>
        <w:tc>
          <w:tcPr>
            <w:tcW w:w="1311"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一项</w:t>
            </w:r>
          </w:p>
        </w:tc>
        <w:tc>
          <w:tcPr>
            <w:tcW w:w="3300" w:type="dxa"/>
            <w:vAlign w:val="center"/>
          </w:tcPr>
          <w:p>
            <w:pPr>
              <w:pStyle w:val="53"/>
              <w:spacing w:line="440" w:lineRule="exact"/>
              <w:ind w:firstLine="120"/>
              <w:rPr>
                <w:rFonts w:hint="eastAsia" w:ascii="宋体" w:hAnsi="宋体" w:eastAsia="宋体" w:cs="宋体"/>
                <w:snapToGrid/>
                <w:spacing w:val="0"/>
                <w:kern w:val="2"/>
                <w:sz w:val="21"/>
                <w:szCs w:val="21"/>
                <w:highlight w:val="none"/>
                <w:lang w:eastAsia="zh-CN"/>
              </w:rPr>
            </w:pPr>
            <w:r>
              <w:rPr>
                <w:rFonts w:hint="eastAsia" w:ascii="宋体" w:hAnsi="宋体" w:cs="宋体"/>
                <w:snapToGrid/>
                <w:spacing w:val="0"/>
                <w:kern w:val="2"/>
                <w:sz w:val="21"/>
                <w:szCs w:val="21"/>
                <w:highlight w:val="none"/>
                <w:lang w:eastAsia="zh-CN"/>
              </w:rPr>
              <w:t>自合同签订之日起36个月</w:t>
            </w:r>
          </w:p>
        </w:tc>
      </w:tr>
    </w:tbl>
    <w:p>
      <w:pPr>
        <w:numPr>
          <w:ilvl w:val="0"/>
          <w:numId w:val="3"/>
        </w:numPr>
        <w:tabs>
          <w:tab w:val="left" w:pos="567"/>
        </w:tabs>
        <w:snapToGrid w:val="0"/>
        <w:spacing w:line="360" w:lineRule="auto"/>
        <w:ind w:left="709" w:hanging="425"/>
        <w:rPr>
          <w:rFonts w:ascii="宋体" w:hAnsi="宋体" w:cs="宋体"/>
          <w:bCs/>
          <w:szCs w:val="21"/>
          <w:highlight w:val="none"/>
        </w:rPr>
      </w:pPr>
      <w:r>
        <w:rPr>
          <w:rFonts w:hint="eastAsia" w:ascii="宋体" w:hAnsi="宋体" w:cs="宋体"/>
          <w:bCs/>
          <w:szCs w:val="21"/>
          <w:highlight w:val="none"/>
        </w:rPr>
        <w:t>项目技术规格、参数及要求：详见本招标文件第三章《用户需求书》。</w:t>
      </w:r>
    </w:p>
    <w:p>
      <w:pPr>
        <w:numPr>
          <w:ilvl w:val="0"/>
          <w:numId w:val="2"/>
        </w:numPr>
        <w:snapToGrid w:val="0"/>
        <w:spacing w:line="360" w:lineRule="auto"/>
        <w:ind w:firstLine="0"/>
        <w:rPr>
          <w:rFonts w:ascii="宋体" w:hAnsi="宋体" w:cs="宋体"/>
          <w:bCs/>
          <w:szCs w:val="21"/>
          <w:highlight w:val="none"/>
        </w:rPr>
      </w:pPr>
      <w:r>
        <w:rPr>
          <w:rFonts w:hint="eastAsia" w:ascii="宋体" w:hAnsi="宋体" w:cs="宋体"/>
          <w:bCs/>
          <w:szCs w:val="21"/>
          <w:highlight w:val="none"/>
        </w:rPr>
        <w:t>投标人资格：</w:t>
      </w:r>
    </w:p>
    <w:p>
      <w:pPr>
        <w:numPr>
          <w:ilvl w:val="0"/>
          <w:numId w:val="4"/>
        </w:numPr>
        <w:snapToGrid w:val="0"/>
        <w:spacing w:line="360" w:lineRule="auto"/>
        <w:ind w:hanging="5"/>
        <w:rPr>
          <w:rFonts w:ascii="宋体" w:hAnsi="宋体" w:cs="宋体"/>
          <w:bCs/>
          <w:szCs w:val="21"/>
          <w:highlight w:val="none"/>
        </w:rPr>
      </w:pPr>
      <w:r>
        <w:rPr>
          <w:rFonts w:hint="eastAsia" w:ascii="宋体" w:hAnsi="宋体" w:cs="宋体"/>
          <w:bCs/>
          <w:szCs w:val="21"/>
          <w:highlight w:val="none"/>
        </w:rPr>
        <w:t>具有独立承担民事责任的能力：有效的营业执照（或事业单位法人证书，或社会团体法人登记证书，或其他具有独立承担民事责任的能力的有效证照）复印件，如投标人为自然人的需提供自然人身份证明复印件；</w:t>
      </w:r>
    </w:p>
    <w:p>
      <w:pPr>
        <w:numPr>
          <w:ilvl w:val="0"/>
          <w:numId w:val="4"/>
        </w:numPr>
        <w:snapToGrid w:val="0"/>
        <w:spacing w:line="360" w:lineRule="auto"/>
        <w:ind w:hanging="5"/>
        <w:rPr>
          <w:rFonts w:ascii="宋体" w:hAnsi="宋体" w:cs="宋体"/>
          <w:bCs/>
          <w:szCs w:val="21"/>
          <w:highlight w:val="none"/>
        </w:rPr>
      </w:pPr>
      <w:r>
        <w:rPr>
          <w:rFonts w:hint="eastAsia" w:ascii="宋体" w:hAnsi="宋体" w:cs="宋体"/>
          <w:bCs/>
          <w:szCs w:val="21"/>
          <w:highlight w:val="none"/>
        </w:rPr>
        <w:t>财务会计制度，须提供下列任一项证明材料：</w:t>
      </w:r>
    </w:p>
    <w:p>
      <w:pPr>
        <w:numPr>
          <w:ilvl w:val="0"/>
          <w:numId w:val="5"/>
        </w:numPr>
        <w:snapToGrid w:val="0"/>
        <w:spacing w:line="360" w:lineRule="auto"/>
        <w:ind w:hanging="5"/>
        <w:rPr>
          <w:rFonts w:ascii="宋体" w:hAnsi="宋体" w:cs="宋体"/>
          <w:bCs/>
          <w:szCs w:val="21"/>
          <w:highlight w:val="none"/>
        </w:rPr>
      </w:pPr>
      <w:r>
        <w:rPr>
          <w:rFonts w:hint="eastAsia" w:ascii="宋体" w:hAnsi="宋体" w:cs="宋体"/>
          <w:bCs/>
          <w:szCs w:val="21"/>
          <w:highlight w:val="none"/>
        </w:rPr>
        <w:t>2021年度经审计的财务报告及财务报表（资产负债表、利润表和现金流量表）扫描件（要求：审计报告由第三方会计师事务所或其它合法审计机构出具，须包含会计师事务所或审计机构的盖章页）(要求：审计报告由第三方会计师事务所或其它合法审计机构出具，须包含会计师事务所或审计机构的盖章页)。</w:t>
      </w:r>
    </w:p>
    <w:p>
      <w:pPr>
        <w:numPr>
          <w:ilvl w:val="0"/>
          <w:numId w:val="5"/>
        </w:numPr>
        <w:snapToGrid w:val="0"/>
        <w:spacing w:line="360" w:lineRule="auto"/>
        <w:ind w:hanging="5"/>
        <w:rPr>
          <w:rFonts w:ascii="宋体" w:hAnsi="宋体" w:cs="宋体"/>
          <w:bCs/>
          <w:szCs w:val="21"/>
          <w:highlight w:val="none"/>
        </w:rPr>
      </w:pPr>
      <w:r>
        <w:rPr>
          <w:rFonts w:hint="eastAsia" w:ascii="宋体" w:hAnsi="宋体" w:cs="宋体"/>
          <w:bCs/>
          <w:szCs w:val="21"/>
          <w:highlight w:val="none"/>
        </w:rPr>
        <w:t>基本开户银行出具2022年度任意1个月的资信证明，如资信证明不能体现基本开户账户的，应另附开户许可证。无开户许可证的，可提供由银行开具的《基本存款账户信息》（公户账户主档）或其他相关证明资料，以上文件均需加盖银行印章。</w:t>
      </w:r>
    </w:p>
    <w:p>
      <w:pPr>
        <w:numPr>
          <w:ilvl w:val="0"/>
          <w:numId w:val="4"/>
        </w:numPr>
        <w:snapToGrid w:val="0"/>
        <w:spacing w:line="360" w:lineRule="auto"/>
        <w:ind w:hanging="5"/>
        <w:rPr>
          <w:rFonts w:ascii="宋体" w:hAnsi="宋体" w:cs="宋体"/>
          <w:bCs/>
          <w:szCs w:val="21"/>
          <w:highlight w:val="none"/>
        </w:rPr>
      </w:pPr>
      <w:r>
        <w:rPr>
          <w:rFonts w:hint="eastAsia" w:ascii="宋体" w:hAnsi="宋体" w:cs="宋体"/>
          <w:bCs/>
          <w:szCs w:val="21"/>
          <w:highlight w:val="none"/>
        </w:rPr>
        <w:t>2022年度任意1个月依法缴纳税收和社会保障资金的相关材料。如依法免税或不需要缴纳社会保障资金的，提供相应证明材料；</w:t>
      </w:r>
    </w:p>
    <w:p>
      <w:pPr>
        <w:numPr>
          <w:ilvl w:val="0"/>
          <w:numId w:val="4"/>
        </w:numPr>
        <w:snapToGrid w:val="0"/>
        <w:spacing w:line="360" w:lineRule="auto"/>
        <w:ind w:hanging="5"/>
        <w:rPr>
          <w:rFonts w:ascii="宋体" w:hAnsi="宋体" w:cs="宋体"/>
          <w:bCs/>
          <w:szCs w:val="21"/>
          <w:highlight w:val="none"/>
        </w:rPr>
      </w:pPr>
      <w:r>
        <w:rPr>
          <w:rFonts w:hint="eastAsia" w:ascii="宋体" w:hAnsi="宋体" w:cs="宋体"/>
          <w:bCs/>
          <w:szCs w:val="21"/>
          <w:highlight w:val="none"/>
        </w:rPr>
        <w:t>履行合同所必需的设备和专业技术能力的书面声明（提供《投标人资格声明函》）；</w:t>
      </w:r>
    </w:p>
    <w:p>
      <w:pPr>
        <w:numPr>
          <w:ilvl w:val="0"/>
          <w:numId w:val="4"/>
        </w:numPr>
        <w:snapToGrid w:val="0"/>
        <w:spacing w:line="360" w:lineRule="auto"/>
        <w:ind w:hanging="5"/>
        <w:rPr>
          <w:rFonts w:ascii="宋体" w:hAnsi="宋体" w:cs="宋体"/>
          <w:bCs/>
          <w:szCs w:val="21"/>
          <w:highlight w:val="none"/>
        </w:rPr>
      </w:pPr>
      <w:r>
        <w:rPr>
          <w:rFonts w:hint="eastAsia" w:ascii="宋体" w:hAnsi="宋体" w:cs="宋体"/>
          <w:bCs/>
          <w:szCs w:val="21"/>
          <w:highlight w:val="none"/>
        </w:rPr>
        <w:t>参与本项目采购活动前三年内，在经营活动中没有重大违法记录的书面声明（提供《投标人资格声明函》）</w:t>
      </w:r>
    </w:p>
    <w:p>
      <w:pPr>
        <w:numPr>
          <w:ilvl w:val="0"/>
          <w:numId w:val="4"/>
        </w:numPr>
        <w:snapToGrid w:val="0"/>
        <w:spacing w:line="360" w:lineRule="auto"/>
        <w:ind w:hanging="5"/>
        <w:rPr>
          <w:rFonts w:ascii="宋体" w:hAnsi="宋体" w:cs="宋体"/>
          <w:bCs/>
          <w:szCs w:val="21"/>
          <w:highlight w:val="none"/>
        </w:rPr>
      </w:pPr>
      <w:r>
        <w:rPr>
          <w:rFonts w:hint="eastAsia" w:ascii="宋体" w:hAnsi="宋体" w:cs="宋体"/>
          <w:bCs/>
          <w:szCs w:val="21"/>
          <w:highlight w:val="none"/>
          <w:lang w:eastAsia="zh-CN"/>
        </w:rPr>
        <w:t>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招标代理机构于投标截止日当天在“信用中国”网站（www.creditchina.gov.cn）及中国政府采购网（http://www.ccgp.gov.cn/）查询结果为准，如相关失信记录已失效，投标人需提供相关证明资料】</w:t>
      </w:r>
      <w:r>
        <w:rPr>
          <w:rFonts w:hint="eastAsia" w:ascii="宋体" w:hAnsi="宋体" w:cs="宋体"/>
          <w:bCs/>
          <w:szCs w:val="21"/>
          <w:highlight w:val="none"/>
        </w:rPr>
        <w:t>。</w:t>
      </w:r>
    </w:p>
    <w:p>
      <w:pPr>
        <w:numPr>
          <w:ilvl w:val="0"/>
          <w:numId w:val="4"/>
        </w:numPr>
        <w:snapToGrid w:val="0"/>
        <w:spacing w:line="360" w:lineRule="auto"/>
        <w:ind w:hanging="5"/>
        <w:rPr>
          <w:rFonts w:ascii="宋体" w:hAnsi="宋体" w:cs="宋体"/>
          <w:bCs/>
          <w:szCs w:val="21"/>
          <w:highlight w:val="none"/>
        </w:rPr>
      </w:pPr>
      <w:r>
        <w:rPr>
          <w:rFonts w:hint="eastAsia" w:ascii="宋体" w:hAnsi="宋体" w:cs="宋体"/>
          <w:bCs/>
          <w:szCs w:val="20"/>
          <w:highlight w:val="none"/>
        </w:rPr>
        <w:t>具有有效《食品经营许可证》或《食品生产许可证》的，提供证书扫描件；如供应商的《食品经营许可证》与营业执照合并办理的，提供扫描营业执照二维码后的有效备案信息截图（如国家另有规定，则适用其规定）。</w:t>
      </w:r>
    </w:p>
    <w:p>
      <w:pPr>
        <w:numPr>
          <w:ilvl w:val="0"/>
          <w:numId w:val="4"/>
        </w:numPr>
        <w:snapToGrid w:val="0"/>
        <w:spacing w:line="360" w:lineRule="auto"/>
        <w:ind w:hanging="5"/>
        <w:rPr>
          <w:rFonts w:ascii="宋体" w:hAnsi="宋体" w:cs="宋体"/>
          <w:bCs/>
          <w:szCs w:val="21"/>
          <w:highlight w:val="none"/>
        </w:rPr>
      </w:pPr>
      <w:r>
        <w:rPr>
          <w:rFonts w:hint="eastAsia" w:ascii="宋体" w:hAnsi="宋体" w:cs="宋体"/>
          <w:bCs/>
          <w:szCs w:val="21"/>
          <w:highlight w:val="none"/>
        </w:rPr>
        <w:t>本项目不接受联合体投标。</w:t>
      </w:r>
    </w:p>
    <w:p>
      <w:pPr>
        <w:numPr>
          <w:ilvl w:val="0"/>
          <w:numId w:val="2"/>
        </w:numPr>
        <w:snapToGrid w:val="0"/>
        <w:spacing w:line="360" w:lineRule="auto"/>
        <w:ind w:firstLine="0"/>
        <w:rPr>
          <w:rFonts w:ascii="宋体" w:hAnsi="宋体" w:cs="宋体"/>
          <w:b/>
          <w:szCs w:val="21"/>
          <w:highlight w:val="none"/>
        </w:rPr>
      </w:pPr>
      <w:r>
        <w:rPr>
          <w:rFonts w:hint="eastAsia" w:ascii="宋体" w:hAnsi="宋体" w:cs="宋体"/>
          <w:b/>
          <w:szCs w:val="21"/>
          <w:highlight w:val="none"/>
        </w:rPr>
        <w:t>采购文件的获取</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采购文件详见附件采购文件下载</w:t>
      </w:r>
    </w:p>
    <w:p>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投标文件递交时间：2022年</w:t>
      </w:r>
      <w:r>
        <w:rPr>
          <w:rFonts w:hint="eastAsia" w:ascii="宋体" w:hAnsi="宋体" w:cs="宋体"/>
          <w:bCs/>
          <w:szCs w:val="21"/>
          <w:highlight w:val="none"/>
          <w:lang w:val="en-US" w:eastAsia="zh-CN"/>
        </w:rPr>
        <w:t>9</w:t>
      </w:r>
      <w:r>
        <w:rPr>
          <w:rFonts w:hint="eastAsia" w:ascii="宋体" w:hAnsi="宋体" w:cs="宋体"/>
          <w:bCs/>
          <w:szCs w:val="21"/>
          <w:highlight w:val="none"/>
        </w:rPr>
        <w:t>月</w:t>
      </w:r>
      <w:r>
        <w:rPr>
          <w:rFonts w:hint="eastAsia" w:ascii="宋体" w:hAnsi="宋体" w:cs="宋体"/>
          <w:bCs/>
          <w:szCs w:val="21"/>
          <w:highlight w:val="none"/>
          <w:lang w:val="en-US" w:eastAsia="zh-CN"/>
        </w:rPr>
        <w:t>27</w:t>
      </w:r>
      <w:r>
        <w:rPr>
          <w:rFonts w:hint="eastAsia" w:ascii="宋体" w:hAnsi="宋体" w:cs="宋体"/>
          <w:bCs/>
          <w:szCs w:val="21"/>
          <w:highlight w:val="none"/>
        </w:rPr>
        <w:t>日上午9时00分至2022年</w:t>
      </w:r>
      <w:r>
        <w:rPr>
          <w:rFonts w:hint="eastAsia" w:ascii="宋体" w:hAnsi="宋体" w:cs="宋体"/>
          <w:bCs/>
          <w:szCs w:val="21"/>
          <w:highlight w:val="none"/>
          <w:lang w:val="en-US" w:eastAsia="zh-CN"/>
        </w:rPr>
        <w:t>9</w:t>
      </w:r>
      <w:r>
        <w:rPr>
          <w:rFonts w:hint="eastAsia" w:ascii="宋体" w:hAnsi="宋体" w:cs="宋体"/>
          <w:bCs/>
          <w:szCs w:val="21"/>
          <w:highlight w:val="none"/>
        </w:rPr>
        <w:t>月</w:t>
      </w:r>
      <w:r>
        <w:rPr>
          <w:rFonts w:hint="eastAsia" w:ascii="宋体" w:hAnsi="宋体" w:cs="宋体"/>
          <w:bCs/>
          <w:szCs w:val="21"/>
          <w:highlight w:val="none"/>
          <w:lang w:val="en-US" w:eastAsia="zh-CN"/>
        </w:rPr>
        <w:t>27</w:t>
      </w:r>
      <w:r>
        <w:rPr>
          <w:rFonts w:hint="eastAsia" w:ascii="宋体" w:hAnsi="宋体" w:cs="宋体"/>
          <w:bCs/>
          <w:szCs w:val="21"/>
          <w:highlight w:val="none"/>
        </w:rPr>
        <w:t>日上午9时30分止。</w:t>
      </w:r>
    </w:p>
    <w:p>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提交投标文件地点：</w:t>
      </w:r>
      <w:r>
        <w:rPr>
          <w:rFonts w:hint="eastAsia" w:ascii="宋体" w:hAnsi="宋体" w:cs="宋体"/>
          <w:kern w:val="0"/>
          <w:szCs w:val="21"/>
          <w:highlight w:val="none"/>
        </w:rPr>
        <w:t>佛山市南海区桂城海六路8号联达大厦21楼佛山市南海公有资产流转服务有限公司</w:t>
      </w:r>
      <w:r>
        <w:rPr>
          <w:rFonts w:hint="eastAsia" w:ascii="宋体" w:hAnsi="宋体" w:cs="宋体"/>
          <w:bCs/>
          <w:szCs w:val="21"/>
          <w:highlight w:val="none"/>
        </w:rPr>
        <w:t>。</w:t>
      </w:r>
    </w:p>
    <w:p>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投标截止及开标时间：2022年</w:t>
      </w:r>
      <w:r>
        <w:rPr>
          <w:rFonts w:hint="eastAsia" w:ascii="宋体" w:hAnsi="宋体" w:cs="宋体"/>
          <w:bCs/>
          <w:szCs w:val="21"/>
          <w:highlight w:val="none"/>
          <w:lang w:val="en-US" w:eastAsia="zh-CN"/>
        </w:rPr>
        <w:t>9</w:t>
      </w:r>
      <w:r>
        <w:rPr>
          <w:rFonts w:hint="eastAsia" w:ascii="宋体" w:hAnsi="宋体" w:cs="宋体"/>
          <w:bCs/>
          <w:szCs w:val="21"/>
          <w:highlight w:val="none"/>
        </w:rPr>
        <w:t>月</w:t>
      </w:r>
      <w:r>
        <w:rPr>
          <w:rFonts w:hint="eastAsia" w:ascii="宋体" w:hAnsi="宋体" w:cs="宋体"/>
          <w:bCs/>
          <w:szCs w:val="21"/>
          <w:highlight w:val="none"/>
          <w:lang w:val="en-US" w:eastAsia="zh-CN"/>
        </w:rPr>
        <w:t>27</w:t>
      </w:r>
      <w:r>
        <w:rPr>
          <w:rFonts w:hint="eastAsia" w:ascii="宋体" w:hAnsi="宋体" w:cs="宋体"/>
          <w:bCs/>
          <w:szCs w:val="21"/>
          <w:highlight w:val="none"/>
        </w:rPr>
        <w:t>日上午9时30分。</w:t>
      </w:r>
    </w:p>
    <w:p>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开标地点：</w:t>
      </w:r>
      <w:r>
        <w:rPr>
          <w:rFonts w:hint="eastAsia" w:ascii="宋体" w:hAnsi="宋体" w:cs="宋体"/>
          <w:kern w:val="0"/>
          <w:szCs w:val="21"/>
          <w:highlight w:val="none"/>
        </w:rPr>
        <w:t>佛山市南海区桂城海六路8号联达大厦21楼佛山市南海公有资产流转服务有限公司</w:t>
      </w:r>
      <w:r>
        <w:rPr>
          <w:rFonts w:hint="eastAsia" w:ascii="宋体" w:hAnsi="宋体" w:cs="宋体"/>
          <w:bCs/>
          <w:szCs w:val="21"/>
          <w:highlight w:val="none"/>
        </w:rPr>
        <w:t>。</w:t>
      </w:r>
    </w:p>
    <w:p>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投标保证金递交时间、其支付方式及保证金金额：</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投标人须于公告之日起至</w:t>
      </w:r>
      <w:r>
        <w:rPr>
          <w:rFonts w:hint="eastAsia" w:ascii="宋体" w:hAnsi="宋体" w:cs="宋体"/>
          <w:bCs/>
          <w:szCs w:val="21"/>
          <w:highlight w:val="none"/>
        </w:rPr>
        <w:t>2022年</w:t>
      </w:r>
      <w:r>
        <w:rPr>
          <w:rFonts w:hint="eastAsia" w:ascii="宋体" w:hAnsi="宋体" w:cs="宋体"/>
          <w:bCs/>
          <w:szCs w:val="21"/>
          <w:highlight w:val="none"/>
          <w:lang w:val="en-US" w:eastAsia="zh-CN"/>
        </w:rPr>
        <w:t>9</w:t>
      </w:r>
      <w:r>
        <w:rPr>
          <w:rFonts w:hint="eastAsia" w:ascii="宋体" w:hAnsi="宋体" w:cs="宋体"/>
          <w:bCs/>
          <w:szCs w:val="21"/>
          <w:highlight w:val="none"/>
        </w:rPr>
        <w:t>月</w:t>
      </w:r>
      <w:r>
        <w:rPr>
          <w:rFonts w:hint="eastAsia" w:ascii="宋体" w:hAnsi="宋体" w:cs="宋体"/>
          <w:bCs/>
          <w:szCs w:val="21"/>
          <w:highlight w:val="none"/>
          <w:lang w:val="en-US" w:eastAsia="zh-CN"/>
        </w:rPr>
        <w:t>22</w:t>
      </w:r>
      <w:r>
        <w:rPr>
          <w:rFonts w:hint="eastAsia" w:ascii="宋体" w:hAnsi="宋体" w:cs="宋体"/>
          <w:bCs/>
          <w:szCs w:val="21"/>
          <w:highlight w:val="none"/>
        </w:rPr>
        <w:t>日</w:t>
      </w:r>
      <w:r>
        <w:rPr>
          <w:rFonts w:hint="eastAsia" w:ascii="宋体" w:hAnsi="宋体" w:cs="宋体"/>
          <w:kern w:val="0"/>
          <w:szCs w:val="21"/>
          <w:highlight w:val="none"/>
        </w:rPr>
        <w:t>下午17：00时前，将采购项目保证金由投标人名下的银行账户（采用银行柜台、网上银行转账两种方式之一的方式）缴纳到以下指定账户，以银行到账为准。保证金金额为￥20,000.00元（大写：人民币贰万元整）。</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【特别说明：本项目无须报名，已经缴纳保证金的投标人须在规定时间内提交投标文件，</w:t>
      </w:r>
      <w:r>
        <w:rPr>
          <w:rFonts w:hint="eastAsia" w:ascii="宋体" w:hAnsi="宋体" w:cs="宋体"/>
          <w:szCs w:val="21"/>
          <w:highlight w:val="none"/>
        </w:rPr>
        <w:t>《企业采购保证金退付委托书》</w:t>
      </w:r>
      <w:r>
        <w:rPr>
          <w:rFonts w:hint="eastAsia" w:ascii="宋体" w:hAnsi="宋体" w:cs="宋体"/>
          <w:kern w:val="0"/>
          <w:szCs w:val="21"/>
          <w:highlight w:val="none"/>
        </w:rPr>
        <w:t>和营业执照复印件（需盖单位公章）须另外单独提交，其</w:t>
      </w:r>
      <w:r>
        <w:rPr>
          <w:rFonts w:hint="eastAsia" w:ascii="宋体" w:hAnsi="宋体" w:cs="宋体"/>
          <w:szCs w:val="21"/>
          <w:highlight w:val="none"/>
        </w:rPr>
        <w:t>为投标人办理投标保证金退付的必须资料</w:t>
      </w:r>
      <w:r>
        <w:rPr>
          <w:rFonts w:hint="eastAsia" w:ascii="宋体" w:hAnsi="宋体" w:cs="宋体"/>
          <w:kern w:val="0"/>
          <w:szCs w:val="21"/>
          <w:highlight w:val="none"/>
        </w:rPr>
        <w:t>，由佛山市南海公有资产流转服务有限公司按照相关文件要求规定办理退款</w:t>
      </w:r>
      <w:r>
        <w:rPr>
          <w:rFonts w:hint="eastAsia" w:ascii="宋体" w:hAnsi="宋体" w:cs="宋体"/>
          <w:kern w:val="0"/>
          <w:szCs w:val="21"/>
          <w:highlight w:val="none"/>
          <w:lang w:eastAsia="zh-CN"/>
        </w:rPr>
        <w:t>（不计利息）</w:t>
      </w:r>
      <w:r>
        <w:rPr>
          <w:rFonts w:hint="eastAsia" w:ascii="宋体" w:hAnsi="宋体" w:cs="宋体"/>
          <w:kern w:val="0"/>
          <w:szCs w:val="21"/>
          <w:highlight w:val="none"/>
        </w:rPr>
        <w:t>。】</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通过银行柜台转账时，必须在银行进账单或汇款凭证中准确填写收款人和交款人名称、账户，以及缴纳金额、交纳人证件号码信息；银行进账单或汇款凭证的备注/用途/附言等备注信息栏中需准确填写采购项目的项目名称简称。</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（2）通过网上银行转账时，必须在网上银行支付界面准确填写收款人和交款人名称、账户、缴纳金额，备注/用途/附言等备注信息栏中需准确填写采购项目的项目名称简称。</w:t>
      </w:r>
    </w:p>
    <w:p>
      <w:pPr>
        <w:widowControl/>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（3）本项目名称简称：GZ131+单位简称</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收款（人）单位名称：佛山市南海公有资产流转服务有限公司</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     账号：44504001040012386</w:t>
      </w:r>
    </w:p>
    <w:p>
      <w:pPr>
        <w:widowControl/>
        <w:spacing w:line="360" w:lineRule="auto"/>
        <w:jc w:val="left"/>
        <w:rPr>
          <w:rFonts w:ascii="宋体" w:hAnsi="宋体" w:cs="宋体"/>
          <w:bCs/>
          <w:szCs w:val="21"/>
          <w:highlight w:val="none"/>
        </w:rPr>
      </w:pPr>
      <w:r>
        <w:rPr>
          <w:rFonts w:hint="eastAsia" w:ascii="宋体" w:hAnsi="宋体" w:cs="宋体"/>
          <w:kern w:val="0"/>
          <w:szCs w:val="21"/>
          <w:highlight w:val="none"/>
        </w:rPr>
        <w:t xml:space="preserve">     开户行：中国农业银行佛山南海</w:t>
      </w:r>
      <w:r>
        <w:rPr>
          <w:rFonts w:hint="eastAsia" w:ascii="宋体" w:hAnsi="宋体" w:cs="宋体"/>
          <w:kern w:val="0"/>
          <w:szCs w:val="21"/>
          <w:highlight w:val="none"/>
          <w:lang w:eastAsia="zh-CN"/>
        </w:rPr>
        <w:t>灯湖</w:t>
      </w:r>
      <w:r>
        <w:rPr>
          <w:rFonts w:hint="eastAsia" w:ascii="宋体" w:hAnsi="宋体" w:cs="宋体"/>
          <w:kern w:val="0"/>
          <w:szCs w:val="21"/>
          <w:highlight w:val="none"/>
        </w:rPr>
        <w:t>支行</w:t>
      </w:r>
    </w:p>
    <w:p>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本公告期限自2022年</w:t>
      </w:r>
      <w:r>
        <w:rPr>
          <w:rFonts w:hint="eastAsia" w:ascii="宋体" w:hAnsi="宋体" w:cs="宋体"/>
          <w:bCs/>
          <w:szCs w:val="21"/>
          <w:highlight w:val="none"/>
          <w:lang w:val="en-US" w:eastAsia="zh-CN"/>
        </w:rPr>
        <w:t>9</w:t>
      </w:r>
      <w:r>
        <w:rPr>
          <w:rFonts w:hint="eastAsia" w:ascii="宋体" w:hAnsi="宋体" w:cs="宋体"/>
          <w:bCs/>
          <w:szCs w:val="21"/>
          <w:highlight w:val="none"/>
        </w:rPr>
        <w:t>月</w:t>
      </w:r>
      <w:r>
        <w:rPr>
          <w:rFonts w:hint="eastAsia" w:ascii="宋体" w:hAnsi="宋体" w:cs="宋体"/>
          <w:bCs/>
          <w:szCs w:val="21"/>
          <w:highlight w:val="none"/>
          <w:lang w:val="en-US" w:eastAsia="zh-CN"/>
        </w:rPr>
        <w:t>5</w:t>
      </w:r>
      <w:r>
        <w:rPr>
          <w:rFonts w:hint="eastAsia" w:ascii="宋体" w:hAnsi="宋体" w:cs="宋体"/>
          <w:bCs/>
          <w:szCs w:val="21"/>
          <w:highlight w:val="none"/>
        </w:rPr>
        <w:t>日至2022年</w:t>
      </w:r>
      <w:r>
        <w:rPr>
          <w:rFonts w:hint="eastAsia" w:ascii="宋体" w:hAnsi="宋体" w:cs="宋体"/>
          <w:bCs/>
          <w:szCs w:val="21"/>
          <w:highlight w:val="none"/>
          <w:lang w:val="en-US" w:eastAsia="zh-CN"/>
        </w:rPr>
        <w:t>9</w:t>
      </w:r>
      <w:r>
        <w:rPr>
          <w:rFonts w:hint="eastAsia" w:ascii="宋体" w:hAnsi="宋体" w:cs="宋体"/>
          <w:bCs/>
          <w:szCs w:val="21"/>
          <w:highlight w:val="none"/>
        </w:rPr>
        <w:t>月</w:t>
      </w:r>
      <w:r>
        <w:rPr>
          <w:rFonts w:hint="eastAsia" w:ascii="宋体" w:hAnsi="宋体" w:cs="宋体"/>
          <w:bCs/>
          <w:szCs w:val="21"/>
          <w:highlight w:val="none"/>
          <w:lang w:val="en-US" w:eastAsia="zh-CN"/>
        </w:rPr>
        <w:t>13</w:t>
      </w:r>
      <w:r>
        <w:rPr>
          <w:rFonts w:hint="eastAsia" w:ascii="宋体" w:hAnsi="宋体" w:cs="宋体"/>
          <w:bCs/>
          <w:szCs w:val="21"/>
          <w:highlight w:val="none"/>
        </w:rPr>
        <w:t>日止。</w:t>
      </w:r>
    </w:p>
    <w:p>
      <w:pPr>
        <w:numPr>
          <w:ilvl w:val="0"/>
          <w:numId w:val="2"/>
        </w:numPr>
        <w:snapToGrid w:val="0"/>
        <w:spacing w:line="360" w:lineRule="auto"/>
        <w:ind w:left="638" w:hanging="638" w:hangingChars="304"/>
        <w:rPr>
          <w:rFonts w:ascii="宋体" w:hAnsi="宋体" w:cs="宋体"/>
          <w:bCs/>
          <w:szCs w:val="21"/>
          <w:highlight w:val="none"/>
        </w:rPr>
      </w:pPr>
      <w:r>
        <w:rPr>
          <w:rFonts w:hint="eastAsia" w:ascii="宋体" w:hAnsi="宋体" w:cs="宋体"/>
          <w:kern w:val="0"/>
          <w:szCs w:val="21"/>
          <w:highlight w:val="none"/>
        </w:rPr>
        <w:t>采购过程如出现异常情况，佛山市南海公有资产流转服务有限公司有权暂停或者中止该采购项目</w:t>
      </w:r>
      <w:r>
        <w:rPr>
          <w:rFonts w:hint="eastAsia" w:ascii="宋体" w:hAnsi="宋体" w:cs="宋体"/>
          <w:bCs/>
          <w:szCs w:val="21"/>
          <w:highlight w:val="none"/>
        </w:rPr>
        <w:t>。</w:t>
      </w:r>
    </w:p>
    <w:p>
      <w:pPr>
        <w:numPr>
          <w:ilvl w:val="0"/>
          <w:numId w:val="2"/>
        </w:numPr>
        <w:snapToGrid w:val="0"/>
        <w:spacing w:line="360" w:lineRule="auto"/>
        <w:ind w:left="420" w:hanging="420" w:hangingChars="200"/>
        <w:rPr>
          <w:rFonts w:ascii="宋体" w:hAnsi="宋体" w:cs="宋体"/>
          <w:bCs/>
          <w:szCs w:val="21"/>
          <w:highlight w:val="none"/>
        </w:rPr>
      </w:pPr>
      <w:r>
        <w:rPr>
          <w:rFonts w:hint="eastAsia" w:ascii="宋体" w:hAnsi="宋体" w:cs="宋体"/>
          <w:bCs/>
          <w:szCs w:val="21"/>
          <w:highlight w:val="none"/>
        </w:rPr>
        <w:t>联系事项</w:t>
      </w:r>
    </w:p>
    <w:p>
      <w:pPr>
        <w:pStyle w:val="23"/>
        <w:widowControl w:val="0"/>
        <w:numPr>
          <w:ilvl w:val="0"/>
          <w:numId w:val="6"/>
        </w:numPr>
        <w:tabs>
          <w:tab w:val="left" w:pos="1050"/>
        </w:tabs>
        <w:snapToGrid w:val="0"/>
        <w:spacing w:before="0" w:beforeAutospacing="0" w:after="0" w:afterAutospacing="0" w:line="360" w:lineRule="auto"/>
        <w:ind w:firstLine="215"/>
        <w:jc w:val="both"/>
        <w:rPr>
          <w:rFonts w:cs="宋体"/>
          <w:bCs/>
          <w:sz w:val="21"/>
          <w:szCs w:val="21"/>
          <w:highlight w:val="none"/>
        </w:rPr>
      </w:pPr>
      <w:r>
        <w:rPr>
          <w:rFonts w:hint="eastAsia" w:cs="宋体"/>
          <w:sz w:val="21"/>
          <w:szCs w:val="21"/>
          <w:highlight w:val="none"/>
        </w:rPr>
        <w:t>招标人：佛山市南海承展千灯湖酒店投资管理有限公司</w:t>
      </w:r>
      <w:r>
        <w:rPr>
          <w:rFonts w:hint="eastAsia" w:cs="宋体"/>
          <w:bCs/>
          <w:sz w:val="21"/>
          <w:szCs w:val="21"/>
          <w:highlight w:val="none"/>
        </w:rPr>
        <w:t xml:space="preserve">      </w:t>
      </w:r>
    </w:p>
    <w:p>
      <w:pPr>
        <w:adjustRightInd w:val="0"/>
        <w:snapToGrid w:val="0"/>
        <w:spacing w:line="360" w:lineRule="auto"/>
        <w:ind w:left="425"/>
        <w:rPr>
          <w:rFonts w:ascii="宋体" w:hAnsi="宋体" w:cs="宋体"/>
          <w:bCs/>
          <w:szCs w:val="21"/>
          <w:highlight w:val="none"/>
        </w:rPr>
      </w:pPr>
      <w:r>
        <w:rPr>
          <w:rFonts w:hint="eastAsia" w:ascii="宋体" w:hAnsi="宋体" w:cs="宋体"/>
          <w:bCs/>
          <w:szCs w:val="21"/>
          <w:highlight w:val="none"/>
        </w:rPr>
        <w:t xml:space="preserve">      </w:t>
      </w:r>
      <w:r>
        <w:rPr>
          <w:rFonts w:hint="eastAsia" w:ascii="宋体" w:hAnsi="宋体" w:cs="宋体"/>
          <w:szCs w:val="21"/>
          <w:highlight w:val="none"/>
        </w:rPr>
        <w:t>地址：佛山市南海桂城海四路承展大厦19号一座</w:t>
      </w:r>
    </w:p>
    <w:p>
      <w:pPr>
        <w:adjustRightInd w:val="0"/>
        <w:snapToGrid w:val="0"/>
        <w:spacing w:line="360" w:lineRule="auto"/>
        <w:ind w:left="425"/>
        <w:rPr>
          <w:rFonts w:ascii="宋体" w:hAnsi="宋体" w:cs="宋体"/>
          <w:bCs/>
          <w:szCs w:val="21"/>
          <w:highlight w:val="none"/>
        </w:rPr>
      </w:pPr>
      <w:r>
        <w:rPr>
          <w:rFonts w:hint="eastAsia" w:ascii="宋体" w:hAnsi="宋体" w:cs="宋体"/>
          <w:bCs/>
          <w:szCs w:val="21"/>
          <w:highlight w:val="none"/>
        </w:rPr>
        <w:t xml:space="preserve">      联系人：卓先生                        联系电话：</w:t>
      </w:r>
      <w:r>
        <w:rPr>
          <w:rFonts w:hint="eastAsia" w:ascii="宋体" w:hAnsi="宋体" w:cs="宋体"/>
          <w:szCs w:val="21"/>
          <w:highlight w:val="none"/>
        </w:rPr>
        <w:t>0757-</w:t>
      </w:r>
      <w:r>
        <w:rPr>
          <w:rFonts w:hint="eastAsia" w:ascii="宋体" w:hAnsi="宋体" w:cs="宋体"/>
          <w:highlight w:val="none"/>
        </w:rPr>
        <w:t>66866609</w:t>
      </w:r>
    </w:p>
    <w:p>
      <w:pPr>
        <w:adjustRightInd w:val="0"/>
        <w:snapToGrid w:val="0"/>
        <w:spacing w:line="360" w:lineRule="auto"/>
        <w:ind w:left="425"/>
        <w:rPr>
          <w:rFonts w:ascii="宋体" w:hAnsi="宋体" w:cs="宋体"/>
          <w:szCs w:val="21"/>
          <w:highlight w:val="none"/>
        </w:rPr>
      </w:pPr>
      <w:r>
        <w:rPr>
          <w:rFonts w:hint="eastAsia" w:ascii="宋体" w:hAnsi="宋体" w:cs="宋体"/>
          <w:bCs/>
          <w:szCs w:val="21"/>
          <w:highlight w:val="none"/>
        </w:rPr>
        <w:t xml:space="preserve">      邮编：</w:t>
      </w:r>
      <w:r>
        <w:rPr>
          <w:rFonts w:hint="eastAsia" w:ascii="宋体" w:hAnsi="宋体" w:cs="宋体"/>
          <w:szCs w:val="21"/>
          <w:highlight w:val="none"/>
        </w:rPr>
        <w:t xml:space="preserve">528000    </w:t>
      </w:r>
    </w:p>
    <w:p>
      <w:pPr>
        <w:numPr>
          <w:ilvl w:val="0"/>
          <w:numId w:val="6"/>
        </w:numPr>
        <w:tabs>
          <w:tab w:val="left" w:pos="1050"/>
        </w:tabs>
        <w:adjustRightInd w:val="0"/>
        <w:snapToGrid w:val="0"/>
        <w:spacing w:line="360" w:lineRule="auto"/>
        <w:ind w:firstLine="215"/>
        <w:rPr>
          <w:rFonts w:ascii="宋体" w:hAnsi="宋体" w:cs="宋体"/>
          <w:szCs w:val="21"/>
          <w:highlight w:val="none"/>
        </w:rPr>
      </w:pPr>
      <w:r>
        <w:rPr>
          <w:rFonts w:hint="eastAsia" w:ascii="宋体" w:hAnsi="宋体" w:cs="宋体"/>
          <w:szCs w:val="21"/>
          <w:highlight w:val="none"/>
        </w:rPr>
        <w:t xml:space="preserve">招标代理机构：广东中采招标有限公司    </w:t>
      </w:r>
    </w:p>
    <w:p>
      <w:pPr>
        <w:tabs>
          <w:tab w:val="left" w:pos="1050"/>
        </w:tabs>
        <w:adjustRightInd w:val="0"/>
        <w:snapToGrid w:val="0"/>
        <w:spacing w:line="360" w:lineRule="auto"/>
        <w:ind w:left="640" w:firstLine="420" w:firstLineChars="200"/>
        <w:rPr>
          <w:rFonts w:ascii="宋体" w:hAnsi="宋体" w:cs="宋体"/>
          <w:szCs w:val="21"/>
          <w:highlight w:val="none"/>
        </w:rPr>
      </w:pPr>
      <w:r>
        <w:rPr>
          <w:rFonts w:hint="eastAsia" w:ascii="宋体" w:hAnsi="宋体" w:cs="宋体"/>
          <w:szCs w:val="21"/>
          <w:highlight w:val="none"/>
        </w:rPr>
        <w:t>地址：佛山市禅城区文华北路223号之一栋5层525、526、527单元</w:t>
      </w:r>
    </w:p>
    <w:p>
      <w:pPr>
        <w:adjustRightInd w:val="0"/>
        <w:snapToGrid w:val="0"/>
        <w:spacing w:line="360" w:lineRule="auto"/>
        <w:ind w:left="1054" w:leftChars="202" w:hanging="630" w:hangingChars="300"/>
        <w:jc w:val="left"/>
        <w:rPr>
          <w:rFonts w:ascii="宋体" w:hAnsi="宋体" w:cs="宋体"/>
          <w:szCs w:val="21"/>
          <w:highlight w:val="none"/>
        </w:rPr>
      </w:pPr>
      <w:r>
        <w:rPr>
          <w:rFonts w:hint="eastAsia" w:ascii="宋体" w:hAnsi="宋体" w:cs="宋体"/>
          <w:szCs w:val="21"/>
          <w:highlight w:val="none"/>
        </w:rPr>
        <w:t xml:space="preserve">      联系人：韩小姐                   联系方式：0757-81993027/0757-81279048                   邮政编码：528000                 电子邮箱：</w:t>
      </w:r>
      <w:r>
        <w:rPr>
          <w:highlight w:val="none"/>
        </w:rPr>
        <w:fldChar w:fldCharType="begin"/>
      </w:r>
      <w:r>
        <w:rPr>
          <w:highlight w:val="none"/>
        </w:rPr>
        <w:instrText xml:space="preserve"> HYPERLINK "mailto:gdzczb@126.com" </w:instrText>
      </w:r>
      <w:r>
        <w:rPr>
          <w:highlight w:val="none"/>
        </w:rPr>
        <w:fldChar w:fldCharType="separate"/>
      </w:r>
      <w:r>
        <w:rPr>
          <w:rFonts w:hint="eastAsia" w:ascii="宋体" w:hAnsi="宋体" w:cs="宋体"/>
          <w:szCs w:val="21"/>
          <w:highlight w:val="none"/>
        </w:rPr>
        <w:t>gdzczb@126.com</w:t>
      </w:r>
      <w:r>
        <w:rPr>
          <w:rFonts w:hint="eastAsia" w:ascii="宋体" w:hAnsi="宋体" w:cs="宋体"/>
          <w:szCs w:val="21"/>
          <w:highlight w:val="none"/>
        </w:rPr>
        <w:fldChar w:fldCharType="end"/>
      </w:r>
    </w:p>
    <w:p>
      <w:pPr>
        <w:numPr>
          <w:ilvl w:val="0"/>
          <w:numId w:val="6"/>
        </w:numPr>
        <w:tabs>
          <w:tab w:val="left" w:pos="1050"/>
        </w:tabs>
        <w:adjustRightInd w:val="0"/>
        <w:snapToGrid w:val="0"/>
        <w:spacing w:line="360" w:lineRule="auto"/>
        <w:ind w:firstLine="215"/>
        <w:rPr>
          <w:rFonts w:ascii="宋体" w:hAnsi="宋体" w:cs="宋体"/>
          <w:szCs w:val="21"/>
          <w:highlight w:val="none"/>
        </w:rPr>
      </w:pPr>
      <w:r>
        <w:rPr>
          <w:rFonts w:hint="eastAsia" w:ascii="宋体" w:hAnsi="宋体" w:cs="宋体"/>
          <w:szCs w:val="21"/>
          <w:highlight w:val="none"/>
        </w:rPr>
        <w:t>采购项目联系人：夏先生           联系电话：0757-81993027</w:t>
      </w:r>
    </w:p>
    <w:p>
      <w:pPr>
        <w:snapToGrid w:val="0"/>
        <w:spacing w:line="360" w:lineRule="auto"/>
        <w:ind w:firstLine="435"/>
        <w:jc w:val="right"/>
        <w:rPr>
          <w:rFonts w:ascii="宋体" w:hAnsi="宋体" w:cs="宋体"/>
          <w:b/>
          <w:szCs w:val="21"/>
          <w:highlight w:val="none"/>
        </w:rPr>
      </w:pPr>
      <w:r>
        <w:rPr>
          <w:rFonts w:hint="eastAsia" w:ascii="宋体" w:hAnsi="宋体" w:cs="宋体"/>
          <w:b/>
          <w:szCs w:val="21"/>
          <w:highlight w:val="none"/>
        </w:rPr>
        <w:t>广东中采招标有限公司</w:t>
      </w:r>
    </w:p>
    <w:p>
      <w:pPr>
        <w:wordWrap w:val="0"/>
        <w:snapToGrid w:val="0"/>
        <w:spacing w:line="360" w:lineRule="auto"/>
        <w:ind w:firstLine="435"/>
        <w:jc w:val="right"/>
        <w:rPr>
          <w:rFonts w:ascii="宋体" w:hAnsi="宋体" w:cs="宋体"/>
          <w:b/>
          <w:szCs w:val="21"/>
          <w:highlight w:val="none"/>
        </w:rPr>
      </w:pPr>
      <w:r>
        <w:rPr>
          <w:rFonts w:hint="eastAsia" w:ascii="宋体" w:hAnsi="宋体" w:cs="宋体"/>
          <w:b/>
          <w:szCs w:val="21"/>
          <w:highlight w:val="none"/>
        </w:rPr>
        <w:t>二〇二二年</w:t>
      </w:r>
      <w:r>
        <w:rPr>
          <w:rFonts w:hint="eastAsia" w:ascii="宋体" w:hAnsi="宋体" w:cs="宋体"/>
          <w:b/>
          <w:szCs w:val="21"/>
          <w:highlight w:val="none"/>
          <w:lang w:eastAsia="zh-CN"/>
        </w:rPr>
        <w:t>九</w:t>
      </w:r>
      <w:r>
        <w:rPr>
          <w:rFonts w:hint="eastAsia" w:ascii="宋体" w:hAnsi="宋体" w:cs="宋体"/>
          <w:b/>
          <w:szCs w:val="21"/>
          <w:highlight w:val="none"/>
        </w:rPr>
        <w:t>月</w:t>
      </w:r>
      <w:r>
        <w:rPr>
          <w:rFonts w:hint="eastAsia" w:ascii="宋体" w:hAnsi="宋体" w:cs="宋体"/>
          <w:b/>
          <w:szCs w:val="21"/>
          <w:highlight w:val="none"/>
          <w:lang w:eastAsia="zh-CN"/>
        </w:rPr>
        <w:t>五</w:t>
      </w:r>
      <w:bookmarkStart w:id="140" w:name="_GoBack"/>
      <w:bookmarkEnd w:id="140"/>
      <w:r>
        <w:rPr>
          <w:rFonts w:hint="eastAsia" w:ascii="宋体" w:hAnsi="宋体" w:cs="宋体"/>
          <w:b/>
          <w:szCs w:val="21"/>
          <w:highlight w:val="none"/>
        </w:rPr>
        <w:t>日</w:t>
      </w:r>
    </w:p>
    <w:p>
      <w:pPr>
        <w:snapToGrid w:val="0"/>
        <w:spacing w:line="360" w:lineRule="auto"/>
        <w:ind w:left="-420" w:leftChars="-200"/>
        <w:rPr>
          <w:rFonts w:ascii="宋体" w:hAnsi="宋体" w:cs="宋体"/>
          <w:bCs/>
          <w:szCs w:val="21"/>
          <w:highlight w:val="none"/>
        </w:rPr>
      </w:pPr>
    </w:p>
    <w:p>
      <w:pPr>
        <w:snapToGrid w:val="0"/>
        <w:spacing w:line="360" w:lineRule="auto"/>
        <w:jc w:val="right"/>
        <w:rPr>
          <w:rFonts w:ascii="宋体" w:hAnsi="宋体" w:cs="宋体"/>
          <w:b/>
          <w:szCs w:val="21"/>
          <w:highlight w:val="none"/>
        </w:rPr>
        <w:sectPr>
          <w:footerReference r:id="rId9" w:type="first"/>
          <w:headerReference r:id="rId7" w:type="default"/>
          <w:footerReference r:id="rId8" w:type="default"/>
          <w:pgSz w:w="11906" w:h="16838"/>
          <w:pgMar w:top="1091" w:right="1466" w:bottom="1134" w:left="1260" w:header="623" w:footer="567" w:gutter="0"/>
          <w:pgNumType w:start="1"/>
          <w:cols w:space="720" w:num="1"/>
          <w:titlePg/>
          <w:docGrid w:type="lines" w:linePitch="312" w:charSpace="0"/>
        </w:sectPr>
      </w:pPr>
    </w:p>
    <w:p>
      <w:pPr>
        <w:adjustRightInd w:val="0"/>
        <w:snapToGrid w:val="0"/>
        <w:spacing w:before="156" w:beforeLines="50" w:after="156" w:afterLines="50" w:line="360" w:lineRule="auto"/>
        <w:jc w:val="center"/>
        <w:outlineLvl w:val="0"/>
        <w:rPr>
          <w:rFonts w:ascii="Times New Roman" w:hAnsi="Times New Roman"/>
          <w:b/>
          <w:bCs/>
          <w:sz w:val="28"/>
          <w:szCs w:val="28"/>
          <w:highlight w:val="none"/>
        </w:rPr>
      </w:pPr>
      <w:bookmarkStart w:id="1" w:name="_Toc996"/>
      <w:r>
        <w:rPr>
          <w:rFonts w:hint="eastAsia" w:ascii="Times New Roman" w:hAnsi="Times New Roman"/>
          <w:b/>
          <w:bCs/>
          <w:sz w:val="28"/>
          <w:szCs w:val="28"/>
          <w:highlight w:val="none"/>
        </w:rPr>
        <w:t>第二章  投标资料表</w:t>
      </w:r>
      <w:bookmarkEnd w:id="1"/>
    </w:p>
    <w:p>
      <w:pPr>
        <w:numPr>
          <w:ilvl w:val="0"/>
          <w:numId w:val="7"/>
        </w:numPr>
        <w:spacing w:line="360" w:lineRule="auto"/>
        <w:ind w:right="-174" w:rightChars="-83"/>
        <w:rPr>
          <w:rFonts w:ascii="宋体" w:hAnsi="宋体" w:cs="宋体"/>
          <w:szCs w:val="21"/>
          <w:highlight w:val="none"/>
        </w:rPr>
      </w:pPr>
      <w:r>
        <w:rPr>
          <w:rFonts w:hint="eastAsia" w:ascii="宋体" w:hAnsi="宋体" w:cs="宋体"/>
          <w:szCs w:val="21"/>
          <w:highlight w:val="none"/>
        </w:rPr>
        <w:t>该资料表的条款项号是与第五章《投标人须知》条款项号对应的，或增加的条款，是对第五章《投标人须知》的补充、修改和完善。</w:t>
      </w:r>
    </w:p>
    <w:tbl>
      <w:tblPr>
        <w:tblStyle w:val="25"/>
        <w:tblW w:w="90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op w:val="single" w:color="auto" w:sz="12" w:space="0"/>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条款项号</w:t>
            </w:r>
          </w:p>
        </w:tc>
        <w:tc>
          <w:tcPr>
            <w:tcW w:w="7938" w:type="dxa"/>
            <w:tcBorders>
              <w:top w:val="single" w:color="auto" w:sz="12" w:space="0"/>
              <w:right w:val="single" w:color="auto" w:sz="12" w:space="0"/>
            </w:tcBorders>
            <w:vAlign w:val="center"/>
          </w:tcPr>
          <w:p>
            <w:pPr>
              <w:jc w:val="center"/>
              <w:rPr>
                <w:rFonts w:ascii="宋体" w:hAnsi="宋体" w:cs="宋体"/>
                <w:b/>
                <w:szCs w:val="21"/>
                <w:highlight w:val="none"/>
              </w:rPr>
            </w:pPr>
            <w:r>
              <w:rPr>
                <w:rFonts w:hint="eastAsia" w:ascii="宋体" w:hAnsi="宋体" w:cs="宋体"/>
                <w:b/>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93" w:type="dxa"/>
            <w:gridSpan w:val="2"/>
            <w:tcBorders>
              <w:left w:val="single" w:color="auto" w:sz="12" w:space="0"/>
              <w:right w:val="single" w:color="auto" w:sz="12" w:space="0"/>
            </w:tcBorders>
            <w:vAlign w:val="center"/>
          </w:tcPr>
          <w:p>
            <w:pPr>
              <w:jc w:val="left"/>
              <w:rPr>
                <w:rFonts w:ascii="宋体" w:hAnsi="宋体" w:cs="宋体"/>
                <w:b/>
                <w:szCs w:val="21"/>
                <w:highlight w:val="none"/>
              </w:rPr>
            </w:pPr>
            <w:r>
              <w:rPr>
                <w:rFonts w:hint="eastAsia" w:ascii="宋体" w:hAnsi="宋体" w:cs="宋体"/>
                <w:szCs w:val="21"/>
                <w:highlight w:val="none"/>
              </w:rPr>
              <w:t>对第五章《投标人须知》的修改及补充：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left w:val="single" w:color="auto" w:sz="12" w:space="0"/>
              <w:right w:val="single" w:color="auto" w:sz="12" w:space="0"/>
            </w:tcBorders>
            <w:vAlign w:val="center"/>
          </w:tcPr>
          <w:p>
            <w:pPr>
              <w:jc w:val="center"/>
              <w:rPr>
                <w:rFonts w:ascii="宋体" w:hAnsi="宋体" w:cs="宋体"/>
                <w:b/>
                <w:szCs w:val="21"/>
                <w:highlight w:val="none"/>
              </w:rPr>
            </w:pPr>
            <w:r>
              <w:rPr>
                <w:rFonts w:hint="eastAsia" w:ascii="宋体" w:hAnsi="宋体" w:cs="宋体"/>
                <w:b/>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2.3</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szCs w:val="21"/>
                <w:highlight w:val="none"/>
              </w:rPr>
              <w:t>招标人名称：</w:t>
            </w:r>
            <w:r>
              <w:rPr>
                <w:rFonts w:hint="eastAsia" w:ascii="宋体" w:hAnsi="宋体" w:cs="宋体"/>
                <w:kern w:val="28"/>
                <w:szCs w:val="21"/>
                <w:highlight w:val="none"/>
              </w:rPr>
              <w:t>佛山市南海承展千灯湖酒店投资管理有限公司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2.4</w:t>
            </w:r>
          </w:p>
        </w:tc>
        <w:tc>
          <w:tcPr>
            <w:tcW w:w="7938" w:type="dxa"/>
            <w:tcBorders>
              <w:right w:val="single" w:color="auto" w:sz="12" w:space="0"/>
            </w:tcBorders>
            <w:vAlign w:val="center"/>
          </w:tcPr>
          <w:p>
            <w:pPr>
              <w:spacing w:line="380" w:lineRule="exact"/>
              <w:rPr>
                <w:rFonts w:ascii="宋体" w:hAnsi="宋体" w:cs="宋体"/>
                <w:szCs w:val="21"/>
                <w:highlight w:val="none"/>
              </w:rPr>
            </w:pPr>
            <w:r>
              <w:rPr>
                <w:rFonts w:hint="eastAsia" w:ascii="宋体" w:hAnsi="宋体" w:cs="宋体"/>
                <w:szCs w:val="21"/>
                <w:highlight w:val="none"/>
              </w:rPr>
              <w:t>招标代理机构：广东中采招标有限公司</w:t>
            </w:r>
          </w:p>
          <w:p>
            <w:pPr>
              <w:spacing w:line="380" w:lineRule="exact"/>
              <w:rPr>
                <w:rFonts w:ascii="宋体" w:hAnsi="宋体" w:cs="宋体"/>
                <w:szCs w:val="21"/>
                <w:highlight w:val="none"/>
              </w:rPr>
            </w:pPr>
            <w:r>
              <w:rPr>
                <w:rFonts w:hint="eastAsia" w:ascii="宋体" w:hAnsi="宋体" w:cs="宋体"/>
                <w:szCs w:val="21"/>
                <w:highlight w:val="none"/>
              </w:rPr>
              <w:t>地址：佛山市禅城区文华北路223号之一栋5层525、526、527单元</w:t>
            </w:r>
          </w:p>
          <w:p>
            <w:pPr>
              <w:adjustRightInd w:val="0"/>
              <w:snapToGrid w:val="0"/>
              <w:spacing w:line="380" w:lineRule="exact"/>
              <w:rPr>
                <w:rFonts w:ascii="宋体" w:hAnsi="宋体" w:cs="宋体"/>
                <w:szCs w:val="21"/>
                <w:highlight w:val="none"/>
              </w:rPr>
            </w:pPr>
            <w:r>
              <w:rPr>
                <w:rFonts w:hint="eastAsia" w:ascii="宋体" w:hAnsi="宋体" w:cs="宋体"/>
                <w:szCs w:val="21"/>
                <w:highlight w:val="none"/>
              </w:rPr>
              <w:t>电话：0757-81993027/0757-81279048。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left w:val="single" w:color="auto" w:sz="12" w:space="0"/>
              <w:right w:val="single" w:color="auto" w:sz="12" w:space="0"/>
            </w:tcBorders>
            <w:vAlign w:val="center"/>
          </w:tcPr>
          <w:p>
            <w:pPr>
              <w:jc w:val="center"/>
              <w:rPr>
                <w:rFonts w:ascii="宋体" w:hAnsi="宋体" w:cs="宋体"/>
                <w:szCs w:val="21"/>
                <w:highlight w:val="none"/>
              </w:rPr>
            </w:pPr>
            <w:r>
              <w:rPr>
                <w:rFonts w:hint="eastAsia" w:ascii="宋体" w:hAnsi="宋体" w:cs="宋体"/>
                <w:b/>
                <w:szCs w:val="21"/>
                <w:highlight w:val="none"/>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7.3</w:t>
            </w:r>
          </w:p>
        </w:tc>
        <w:tc>
          <w:tcPr>
            <w:tcW w:w="7938" w:type="dxa"/>
            <w:tcBorders>
              <w:right w:val="single" w:color="auto" w:sz="12" w:space="0"/>
            </w:tcBorders>
            <w:vAlign w:val="center"/>
          </w:tcPr>
          <w:p>
            <w:pPr>
              <w:adjustRightInd w:val="0"/>
              <w:snapToGrid w:val="0"/>
              <w:spacing w:line="380" w:lineRule="exact"/>
              <w:rPr>
                <w:rFonts w:ascii="宋体" w:hAnsi="宋体" w:cs="宋体"/>
                <w:szCs w:val="21"/>
                <w:highlight w:val="none"/>
              </w:rPr>
            </w:pPr>
            <w:r>
              <w:rPr>
                <w:rFonts w:hint="eastAsia" w:ascii="宋体" w:hAnsi="宋体" w:cs="宋体"/>
                <w:szCs w:val="21"/>
                <w:highlight w:val="none"/>
              </w:rPr>
              <w:t>现场考察：自行考察。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8.1</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szCs w:val="21"/>
                <w:highlight w:val="none"/>
              </w:rPr>
              <w:t>投标截止日期和时间：按招标文件第一章规定。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left w:val="single" w:color="auto" w:sz="12" w:space="0"/>
              <w:right w:val="single" w:color="auto" w:sz="12" w:space="0"/>
            </w:tcBorders>
            <w:vAlign w:val="center"/>
          </w:tcPr>
          <w:p>
            <w:pPr>
              <w:jc w:val="center"/>
              <w:rPr>
                <w:rFonts w:ascii="宋体" w:hAnsi="宋体" w:cs="宋体"/>
                <w:b/>
                <w:szCs w:val="21"/>
                <w:highlight w:val="none"/>
              </w:rPr>
            </w:pPr>
            <w:r>
              <w:rPr>
                <w:rFonts w:hint="eastAsia" w:ascii="宋体" w:hAnsi="宋体" w:cs="宋体"/>
                <w:b/>
                <w:szCs w:val="21"/>
                <w:highlight w:val="none"/>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12.5</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szCs w:val="21"/>
                <w:highlight w:val="none"/>
              </w:rPr>
              <w:t>投标人所报的投标价在合同执行过程中是固定不变的，不得以任何理由予以变更。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12.6</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szCs w:val="21"/>
                <w:highlight w:val="none"/>
              </w:rPr>
              <w:t>不允许有备选方案，否则将被视为无效投标。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12.7</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szCs w:val="21"/>
                <w:highlight w:val="none"/>
              </w:rPr>
              <w:t>不允许附加条件报价，否则将被视为无效投标。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17.1</w:t>
            </w:r>
          </w:p>
        </w:tc>
        <w:tc>
          <w:tcPr>
            <w:tcW w:w="7938" w:type="dxa"/>
            <w:tcBorders>
              <w:right w:val="single" w:color="auto" w:sz="12" w:space="0"/>
            </w:tcBorders>
            <w:vAlign w:val="center"/>
          </w:tcPr>
          <w:p>
            <w:pPr>
              <w:numPr>
                <w:ilvl w:val="0"/>
                <w:numId w:val="8"/>
              </w:numPr>
              <w:rPr>
                <w:rFonts w:ascii="宋体" w:hAnsi="宋体" w:cs="宋体"/>
                <w:szCs w:val="21"/>
                <w:highlight w:val="none"/>
              </w:rPr>
            </w:pPr>
            <w:r>
              <w:rPr>
                <w:rFonts w:hint="eastAsia" w:ascii="宋体" w:hAnsi="宋体" w:cs="宋体"/>
                <w:szCs w:val="21"/>
                <w:highlight w:val="none"/>
              </w:rPr>
              <w:t>在规定时间内，投标人投标保证金必须采用转账或电汇方式，由投标人注册地基本账户（不含分公司账户）转出，转入</w:t>
            </w:r>
            <w:r>
              <w:rPr>
                <w:rFonts w:hint="eastAsia" w:ascii="宋体" w:hAnsi="宋体" w:cs="宋体"/>
                <w:kern w:val="0"/>
                <w:szCs w:val="21"/>
                <w:highlight w:val="none"/>
              </w:rPr>
              <w:t>佛山市南海公有资产流转服务有限公司</w:t>
            </w:r>
            <w:r>
              <w:rPr>
                <w:rFonts w:hint="eastAsia" w:ascii="宋体" w:hAnsi="宋体" w:cs="宋体"/>
                <w:szCs w:val="21"/>
                <w:highlight w:val="none"/>
              </w:rPr>
              <w:t>专用存款账户；</w:t>
            </w:r>
          </w:p>
          <w:p>
            <w:pPr>
              <w:numPr>
                <w:ilvl w:val="0"/>
                <w:numId w:val="8"/>
              </w:numPr>
              <w:rPr>
                <w:rFonts w:ascii="宋体" w:hAnsi="宋体" w:cs="宋体"/>
                <w:szCs w:val="21"/>
                <w:highlight w:val="none"/>
              </w:rPr>
            </w:pPr>
            <w:r>
              <w:rPr>
                <w:rFonts w:hint="eastAsia" w:ascii="宋体" w:hAnsi="宋体" w:cs="宋体"/>
                <w:szCs w:val="21"/>
                <w:highlight w:val="none"/>
              </w:rPr>
              <w:t>投标人在开标会前，必须向招标代理机构提交有《企业采购保证金退付委托书》和营业执照复印件（需加盖投标人公章），作为退付保证金材料。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18.1</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szCs w:val="21"/>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19.1</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szCs w:val="21"/>
                <w:highlight w:val="none"/>
              </w:rPr>
              <w:t>投标文件份数：正本一份，副本五份，电子文件一份。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left w:val="single" w:color="auto" w:sz="12" w:space="0"/>
              <w:right w:val="single" w:color="auto" w:sz="12" w:space="0"/>
            </w:tcBorders>
            <w:vAlign w:val="center"/>
          </w:tcPr>
          <w:p>
            <w:pPr>
              <w:jc w:val="center"/>
              <w:rPr>
                <w:rFonts w:ascii="宋体" w:hAnsi="宋体" w:cs="宋体"/>
                <w:b/>
                <w:szCs w:val="21"/>
                <w:highlight w:val="none"/>
              </w:rPr>
            </w:pPr>
            <w:r>
              <w:rPr>
                <w:rFonts w:hint="eastAsia" w:ascii="宋体" w:hAnsi="宋体" w:cs="宋体"/>
                <w:b/>
                <w:szCs w:val="21"/>
                <w:highlight w:val="none"/>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20.2.1</w:t>
            </w:r>
          </w:p>
        </w:tc>
        <w:tc>
          <w:tcPr>
            <w:tcW w:w="7938" w:type="dxa"/>
            <w:tcBorders>
              <w:right w:val="single" w:color="auto" w:sz="12" w:space="0"/>
            </w:tcBorders>
            <w:vAlign w:val="center"/>
          </w:tcPr>
          <w:p>
            <w:pPr>
              <w:ind w:left="105" w:hanging="105" w:hangingChars="50"/>
              <w:rPr>
                <w:rFonts w:ascii="宋体" w:hAnsi="宋体" w:cs="宋体"/>
                <w:szCs w:val="21"/>
                <w:highlight w:val="none"/>
              </w:rPr>
            </w:pPr>
            <w:r>
              <w:rPr>
                <w:rFonts w:hint="eastAsia" w:ascii="宋体" w:hAnsi="宋体" w:cs="宋体"/>
                <w:szCs w:val="21"/>
                <w:highlight w:val="none"/>
              </w:rPr>
              <w:t>投标文件递交地址：按招标文件第一章投标邀请中规定。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21.1</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szCs w:val="21"/>
                <w:highlight w:val="none"/>
              </w:rPr>
              <w:t>开标日期、时间和地点：按招标文件第一章投标邀请中规定。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left w:val="single" w:color="auto" w:sz="12" w:space="0"/>
              <w:right w:val="single" w:color="auto" w:sz="12" w:space="0"/>
            </w:tcBorders>
            <w:vAlign w:val="center"/>
          </w:tcPr>
          <w:p>
            <w:pPr>
              <w:jc w:val="center"/>
              <w:rPr>
                <w:rFonts w:ascii="宋体" w:hAnsi="宋体" w:cs="宋体"/>
                <w:szCs w:val="21"/>
                <w:highlight w:val="none"/>
              </w:rPr>
            </w:pPr>
            <w:r>
              <w:rPr>
                <w:rFonts w:hint="eastAsia" w:ascii="宋体" w:hAnsi="宋体" w:cs="宋体"/>
                <w:b/>
                <w:szCs w:val="21"/>
                <w:highlight w:val="none"/>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24.1</w:t>
            </w:r>
          </w:p>
        </w:tc>
        <w:tc>
          <w:tcPr>
            <w:tcW w:w="7938" w:type="dxa"/>
            <w:tcBorders>
              <w:right w:val="single" w:color="auto" w:sz="12" w:space="0"/>
            </w:tcBorders>
            <w:vAlign w:val="center"/>
          </w:tcPr>
          <w:p>
            <w:pPr>
              <w:rPr>
                <w:rFonts w:ascii="宋体" w:hAnsi="宋体" w:cs="宋体"/>
                <w:szCs w:val="21"/>
                <w:highlight w:val="none"/>
              </w:rPr>
            </w:pPr>
            <w:r>
              <w:rPr>
                <w:rFonts w:hint="eastAsia" w:ascii="宋体" w:hAnsi="宋体" w:cs="宋体"/>
                <w:kern w:val="0"/>
                <w:szCs w:val="21"/>
                <w:highlight w:val="none"/>
                <w:lang w:val="zh-CN"/>
              </w:rPr>
              <w:t>评标委员会由5名单数组成，均</w:t>
            </w:r>
            <w:r>
              <w:rPr>
                <w:rFonts w:hint="eastAsia" w:ascii="宋体" w:hAnsi="宋体" w:cs="宋体"/>
                <w:bCs/>
                <w:kern w:val="0"/>
                <w:szCs w:val="21"/>
                <w:highlight w:val="none"/>
              </w:rPr>
              <w:t>从</w:t>
            </w:r>
            <w:r>
              <w:rPr>
                <w:rFonts w:hint="eastAsia" w:ascii="宋体" w:hAnsi="宋体" w:cs="宋体"/>
                <w:kern w:val="0"/>
                <w:szCs w:val="21"/>
                <w:highlight w:val="none"/>
                <w:lang w:val="zh-CN"/>
              </w:rPr>
              <w:t>广东省综合评标评审专家库随机抽取的专家组成。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28.2</w:t>
            </w:r>
          </w:p>
        </w:tc>
        <w:tc>
          <w:tcPr>
            <w:tcW w:w="7938" w:type="dxa"/>
            <w:tcBorders>
              <w:right w:val="single" w:color="auto" w:sz="12" w:space="0"/>
            </w:tcBorders>
            <w:vAlign w:val="center"/>
          </w:tcPr>
          <w:p>
            <w:pPr>
              <w:rPr>
                <w:rFonts w:ascii="宋体" w:hAnsi="宋体" w:cs="宋体"/>
                <w:bCs/>
                <w:szCs w:val="21"/>
                <w:highlight w:val="none"/>
              </w:rPr>
            </w:pPr>
            <w:r>
              <w:rPr>
                <w:rFonts w:hint="eastAsia" w:ascii="宋体" w:hAnsi="宋体" w:cs="宋体"/>
                <w:bCs/>
                <w:szCs w:val="21"/>
                <w:highlight w:val="none"/>
              </w:rPr>
              <w:t>评标方法：采用综合评分法。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28.2</w:t>
            </w:r>
          </w:p>
        </w:tc>
        <w:tc>
          <w:tcPr>
            <w:tcW w:w="7938" w:type="dxa"/>
            <w:tcBorders>
              <w:right w:val="single" w:color="auto" w:sz="12" w:space="0"/>
            </w:tcBorders>
            <w:vAlign w:val="center"/>
          </w:tcPr>
          <w:p>
            <w:pPr>
              <w:rPr>
                <w:rFonts w:ascii="宋体" w:hAnsi="宋体" w:cs="宋体"/>
                <w:bCs/>
                <w:szCs w:val="21"/>
                <w:highlight w:val="none"/>
              </w:rPr>
            </w:pPr>
            <w:r>
              <w:rPr>
                <w:rFonts w:hint="eastAsia" w:ascii="宋体" w:hAnsi="宋体" w:cs="宋体"/>
                <w:bCs/>
                <w:szCs w:val="21"/>
                <w:highlight w:val="none"/>
              </w:rPr>
              <w:t>定标原则：推荐综合得分排名第一的投标人为第一中标候选人。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093" w:type="dxa"/>
            <w:gridSpan w:val="2"/>
            <w:tcBorders>
              <w:left w:val="single" w:color="auto" w:sz="12" w:space="0"/>
              <w:right w:val="single" w:color="auto" w:sz="12" w:space="0"/>
            </w:tcBorders>
            <w:vAlign w:val="center"/>
          </w:tcPr>
          <w:p>
            <w:pPr>
              <w:jc w:val="center"/>
              <w:rPr>
                <w:rFonts w:ascii="宋体" w:hAnsi="宋体" w:cs="宋体"/>
                <w:szCs w:val="21"/>
                <w:highlight w:val="none"/>
              </w:rPr>
            </w:pPr>
            <w:r>
              <w:rPr>
                <w:rFonts w:hint="eastAsia" w:ascii="宋体" w:hAnsi="宋体" w:cs="宋体"/>
                <w:b/>
                <w:szCs w:val="21"/>
                <w:highlight w:val="none"/>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jc w:val="center"/>
              <w:rPr>
                <w:rFonts w:ascii="宋体" w:hAnsi="宋体" w:cs="宋体"/>
                <w:szCs w:val="21"/>
                <w:highlight w:val="none"/>
              </w:rPr>
            </w:pPr>
            <w:r>
              <w:rPr>
                <w:rFonts w:hint="eastAsia" w:ascii="宋体" w:hAnsi="宋体" w:cs="宋体"/>
                <w:szCs w:val="21"/>
                <w:highlight w:val="none"/>
              </w:rPr>
              <w:t>32.1</w:t>
            </w:r>
          </w:p>
        </w:tc>
        <w:tc>
          <w:tcPr>
            <w:tcW w:w="7938" w:type="dxa"/>
            <w:tcBorders>
              <w:right w:val="single" w:color="auto" w:sz="12" w:space="0"/>
            </w:tcBorders>
            <w:vAlign w:val="center"/>
          </w:tcPr>
          <w:p>
            <w:pPr>
              <w:spacing w:line="300" w:lineRule="auto"/>
              <w:rPr>
                <w:rFonts w:ascii="宋体" w:hAnsi="宋体" w:cs="宋体"/>
                <w:szCs w:val="21"/>
                <w:highlight w:val="none"/>
              </w:rPr>
            </w:pPr>
            <w:r>
              <w:rPr>
                <w:rFonts w:hint="eastAsia" w:ascii="宋体" w:hAnsi="宋体" w:cs="宋体"/>
                <w:szCs w:val="21"/>
                <w:highlight w:val="none"/>
              </w:rPr>
              <w:t>合同签订时间：自《中标通知书》发出之日起五个工作日内。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vAlign w:val="center"/>
          </w:tcPr>
          <w:p>
            <w:pPr>
              <w:adjustRightInd w:val="0"/>
              <w:snapToGrid w:val="0"/>
              <w:spacing w:line="380" w:lineRule="exact"/>
              <w:jc w:val="center"/>
              <w:rPr>
                <w:rFonts w:ascii="宋体" w:hAnsi="宋体" w:cs="宋体"/>
                <w:szCs w:val="21"/>
                <w:highlight w:val="none"/>
              </w:rPr>
            </w:pPr>
            <w:r>
              <w:rPr>
                <w:rFonts w:hint="eastAsia" w:ascii="宋体" w:hAnsi="宋体" w:cs="宋体"/>
                <w:szCs w:val="21"/>
                <w:highlight w:val="none"/>
              </w:rPr>
              <w:t>33.1</w:t>
            </w:r>
          </w:p>
        </w:tc>
        <w:tc>
          <w:tcPr>
            <w:tcW w:w="7938" w:type="dxa"/>
            <w:tcBorders>
              <w:right w:val="single" w:color="auto" w:sz="12" w:space="0"/>
            </w:tcBorders>
            <w:vAlign w:val="center"/>
          </w:tcPr>
          <w:p>
            <w:pPr>
              <w:adjustRightInd w:val="0"/>
              <w:snapToGrid w:val="0"/>
              <w:spacing w:line="380" w:lineRule="exact"/>
              <w:rPr>
                <w:rFonts w:ascii="宋体" w:hAnsi="宋体" w:cs="宋体"/>
                <w:szCs w:val="21"/>
                <w:highlight w:val="none"/>
              </w:rPr>
            </w:pPr>
            <w:r>
              <w:rPr>
                <w:rFonts w:hint="eastAsia" w:ascii="宋体" w:hAnsi="宋体" w:cs="宋体"/>
                <w:szCs w:val="21"/>
                <w:highlight w:val="none"/>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155" w:type="dxa"/>
            <w:tcBorders>
              <w:left w:val="single" w:color="auto" w:sz="12" w:space="0"/>
            </w:tcBorders>
            <w:vAlign w:val="center"/>
          </w:tcPr>
          <w:p>
            <w:pPr>
              <w:adjustRightInd w:val="0"/>
              <w:snapToGrid w:val="0"/>
              <w:spacing w:line="380" w:lineRule="exact"/>
              <w:jc w:val="center"/>
              <w:rPr>
                <w:rFonts w:ascii="宋体" w:hAnsi="宋体" w:cs="宋体"/>
                <w:szCs w:val="21"/>
                <w:highlight w:val="none"/>
              </w:rPr>
            </w:pPr>
            <w:r>
              <w:rPr>
                <w:rFonts w:hint="eastAsia" w:ascii="宋体" w:hAnsi="宋体" w:cs="宋体"/>
                <w:szCs w:val="21"/>
                <w:highlight w:val="none"/>
              </w:rPr>
              <w:t>34.2</w:t>
            </w:r>
          </w:p>
        </w:tc>
        <w:tc>
          <w:tcPr>
            <w:tcW w:w="7938" w:type="dxa"/>
            <w:tcBorders>
              <w:right w:val="single" w:color="auto" w:sz="12" w:space="0"/>
            </w:tcBorders>
          </w:tcPr>
          <w:p>
            <w:pPr>
              <w:numPr>
                <w:ilvl w:val="0"/>
                <w:numId w:val="9"/>
              </w:numPr>
              <w:adjustRightInd w:val="0"/>
              <w:snapToGrid w:val="0"/>
              <w:spacing w:line="360" w:lineRule="auto"/>
              <w:rPr>
                <w:highlight w:val="none"/>
              </w:rPr>
            </w:pPr>
            <w:r>
              <w:rPr>
                <w:rFonts w:hint="eastAsia" w:ascii="宋体" w:hAnsi="宋体" w:cs="宋体"/>
                <w:szCs w:val="21"/>
                <w:highlight w:val="none"/>
              </w:rPr>
              <w:t>中标人须向招标代理机构按如下标准和规定缴纳招标代理服务费：¥15,000.00元（人民币</w:t>
            </w:r>
            <w:r>
              <w:rPr>
                <w:rFonts w:hint="eastAsia" w:ascii="宋体" w:hAnsi="宋体" w:cs="宋体"/>
                <w:szCs w:val="21"/>
                <w:highlight w:val="none"/>
                <w:lang w:eastAsia="zh-CN"/>
              </w:rPr>
              <w:t>壹万伍仟</w:t>
            </w:r>
            <w:r>
              <w:rPr>
                <w:rFonts w:hint="eastAsia" w:ascii="宋体" w:hAnsi="宋体" w:cs="宋体"/>
                <w:szCs w:val="21"/>
                <w:highlight w:val="none"/>
              </w:rPr>
              <w:t>元整）</w:t>
            </w:r>
          </w:p>
          <w:p>
            <w:pPr>
              <w:numPr>
                <w:ilvl w:val="0"/>
                <w:numId w:val="9"/>
              </w:numPr>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招标代理服务费的缴纳形式：向招标代理机构直接缴纳招标代理服务费。可用支票、汇票、电汇、现金等付款方式。 </w:t>
            </w:r>
          </w:p>
          <w:p>
            <w:pPr>
              <w:numPr>
                <w:ilvl w:val="0"/>
                <w:numId w:val="9"/>
              </w:numPr>
              <w:adjustRightInd w:val="0"/>
              <w:snapToGrid w:val="0"/>
              <w:spacing w:line="360" w:lineRule="auto"/>
              <w:rPr>
                <w:rFonts w:ascii="宋体" w:hAnsi="宋体" w:cs="宋体"/>
                <w:szCs w:val="21"/>
                <w:highlight w:val="none"/>
              </w:rPr>
            </w:pPr>
            <w:r>
              <w:rPr>
                <w:rFonts w:hint="eastAsia" w:ascii="宋体" w:hAnsi="宋体" w:cs="宋体"/>
                <w:szCs w:val="21"/>
                <w:highlight w:val="none"/>
              </w:rPr>
              <w:t>投标人应签署第七章所附格式的招标代理服务费承诺书，作为投标文件的一部分。</w:t>
            </w:r>
          </w:p>
          <w:p>
            <w:pPr>
              <w:numPr>
                <w:ilvl w:val="0"/>
                <w:numId w:val="9"/>
              </w:numPr>
              <w:adjustRightInd w:val="0"/>
              <w:snapToGrid w:val="0"/>
              <w:spacing w:line="360" w:lineRule="auto"/>
              <w:rPr>
                <w:rFonts w:ascii="宋体" w:hAnsi="宋体" w:cs="宋体"/>
                <w:szCs w:val="21"/>
                <w:highlight w:val="none"/>
              </w:rPr>
            </w:pPr>
            <w:r>
              <w:rPr>
                <w:rFonts w:hint="eastAsia" w:ascii="宋体" w:hAnsi="宋体" w:cs="宋体"/>
                <w:bCs/>
                <w:szCs w:val="21"/>
                <w:highlight w:val="none"/>
              </w:rPr>
              <w:t>中标人须</w:t>
            </w:r>
            <w:r>
              <w:rPr>
                <w:rFonts w:hint="eastAsia" w:ascii="宋体" w:hAnsi="宋体" w:cs="宋体"/>
                <w:b/>
                <w:bCs/>
                <w:szCs w:val="21"/>
                <w:highlight w:val="none"/>
              </w:rPr>
              <w:t>凭领取人的身份证复印件并加盖公章</w:t>
            </w:r>
            <w:r>
              <w:rPr>
                <w:rFonts w:hint="eastAsia" w:ascii="宋体" w:hAnsi="宋体" w:cs="宋体"/>
                <w:bCs/>
                <w:szCs w:val="21"/>
                <w:highlight w:val="none"/>
              </w:rPr>
              <w:t>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93" w:type="dxa"/>
            <w:gridSpan w:val="2"/>
            <w:tcBorders>
              <w:left w:val="single" w:color="auto" w:sz="12" w:space="0"/>
              <w:bottom w:val="single" w:color="auto" w:sz="12" w:space="0"/>
              <w:right w:val="single" w:color="auto" w:sz="12" w:space="0"/>
            </w:tcBorders>
            <w:vAlign w:val="center"/>
          </w:tcPr>
          <w:p>
            <w:pPr>
              <w:wordWrap w:val="0"/>
              <w:adjustRightInd w:val="0"/>
              <w:snapToGrid w:val="0"/>
              <w:spacing w:line="360" w:lineRule="auto"/>
              <w:jc w:val="left"/>
              <w:rPr>
                <w:rFonts w:ascii="宋体" w:hAnsi="宋体" w:cs="宋体"/>
                <w:szCs w:val="21"/>
                <w:highlight w:val="none"/>
              </w:rPr>
            </w:pPr>
            <w:r>
              <w:rPr>
                <w:rFonts w:hint="eastAsia" w:ascii="宋体" w:hAnsi="宋体" w:cs="宋体"/>
                <w:bCs/>
                <w:szCs w:val="21"/>
                <w:highlight w:val="none"/>
              </w:rPr>
              <w:t>本项目相关公告在以下媒体发布：佛山市</w:t>
            </w:r>
            <w:r>
              <w:rPr>
                <w:rFonts w:hint="eastAsia" w:ascii="宋体" w:hAnsi="宋体" w:cs="宋体"/>
                <w:bCs/>
                <w:szCs w:val="21"/>
                <w:highlight w:val="none"/>
                <w:lang w:eastAsia="zh-CN"/>
              </w:rPr>
              <w:t>南海区人民政府网</w:t>
            </w:r>
            <w:r>
              <w:rPr>
                <w:rFonts w:hint="eastAsia" w:ascii="宋体" w:hAnsi="宋体" w:cs="宋体"/>
                <w:bCs/>
                <w:szCs w:val="21"/>
                <w:highlight w:val="none"/>
              </w:rPr>
              <w:t>(http://www.nanhai.gov.cn/fsnhq/bmdh/sydw/ggzyjyzx/jyxx/)、</w:t>
            </w:r>
            <w:r>
              <w:rPr>
                <w:rFonts w:hint="eastAsia" w:ascii="宋体" w:hAnsi="宋体" w:eastAsia="宋体" w:cs="宋体"/>
                <w:sz w:val="21"/>
                <w:szCs w:val="21"/>
                <w:highlight w:val="none"/>
                <w:lang w:eastAsia="zh-CN"/>
              </w:rPr>
              <w:t>中国招标投标公共服务</w:t>
            </w:r>
            <w:r>
              <w:rPr>
                <w:rFonts w:hint="eastAsia" w:ascii="宋体" w:hAnsi="宋体" w:eastAsia="宋体" w:cs="宋体"/>
                <w:sz w:val="21"/>
                <w:szCs w:val="21"/>
                <w:highlight w:val="none"/>
                <w:lang w:val="en-US" w:eastAsia="zh-CN"/>
              </w:rPr>
              <w:t>平台</w:t>
            </w:r>
            <w:r>
              <w:rPr>
                <w:rFonts w:hint="eastAsia" w:ascii="宋体" w:hAnsi="宋体" w:eastAsia="宋体" w:cs="宋体"/>
                <w:sz w:val="21"/>
                <w:szCs w:val="21"/>
                <w:highlight w:val="none"/>
                <w:lang w:eastAsia="zh-CN"/>
              </w:rPr>
              <w:t>（http://www.cebpubservice.com/）</w:t>
            </w:r>
            <w:r>
              <w:rPr>
                <w:rFonts w:hint="eastAsia" w:ascii="宋体" w:hAnsi="宋体" w:cs="宋体"/>
                <w:bCs/>
                <w:szCs w:val="21"/>
                <w:highlight w:val="none"/>
              </w:rPr>
              <w:t>及招标代理机构网站（http://www.gdzczb.com/）上公布之日即视为有效送达，不再另行通知。</w:t>
            </w:r>
          </w:p>
        </w:tc>
      </w:tr>
    </w:tbl>
    <w:p>
      <w:pPr>
        <w:adjustRightInd w:val="0"/>
        <w:snapToGrid w:val="0"/>
        <w:spacing w:before="156" w:beforeLines="50" w:after="156" w:afterLines="50" w:line="360" w:lineRule="auto"/>
        <w:jc w:val="center"/>
        <w:outlineLvl w:val="0"/>
        <w:rPr>
          <w:rFonts w:ascii="Times New Roman" w:hAnsi="Times New Roman"/>
          <w:b/>
          <w:bCs/>
          <w:sz w:val="28"/>
          <w:szCs w:val="28"/>
          <w:highlight w:val="none"/>
        </w:rPr>
      </w:pPr>
      <w:r>
        <w:rPr>
          <w:rFonts w:hint="eastAsia" w:ascii="宋体" w:hAnsi="宋体" w:cs="宋体"/>
          <w:szCs w:val="21"/>
          <w:highlight w:val="none"/>
        </w:rPr>
        <w:br w:type="page"/>
      </w:r>
      <w:bookmarkStart w:id="2" w:name="_Toc31360"/>
      <w:r>
        <w:rPr>
          <w:rFonts w:hint="eastAsia" w:ascii="Times New Roman" w:hAnsi="Times New Roman"/>
          <w:b/>
          <w:bCs/>
          <w:sz w:val="28"/>
          <w:szCs w:val="28"/>
          <w:highlight w:val="none"/>
        </w:rPr>
        <w:t>第三章  用户需求书</w:t>
      </w:r>
      <w:bookmarkEnd w:id="2"/>
    </w:p>
    <w:p>
      <w:pPr>
        <w:snapToGrid w:val="0"/>
        <w:spacing w:line="360" w:lineRule="auto"/>
        <w:rPr>
          <w:rFonts w:ascii="宋体" w:hAnsi="宋体" w:cs="宋体"/>
          <w:b/>
          <w:bCs/>
          <w:szCs w:val="21"/>
          <w:highlight w:val="none"/>
        </w:rPr>
      </w:pPr>
      <w:r>
        <w:rPr>
          <w:rFonts w:hint="eastAsia" w:ascii="宋体" w:hAnsi="宋体" w:cs="宋体"/>
          <w:b/>
          <w:bCs/>
          <w:szCs w:val="21"/>
          <w:highlight w:val="none"/>
        </w:rPr>
        <w:t>说明：</w:t>
      </w:r>
    </w:p>
    <w:p>
      <w:pPr>
        <w:numPr>
          <w:ilvl w:val="0"/>
          <w:numId w:val="10"/>
        </w:numPr>
        <w:spacing w:line="360" w:lineRule="auto"/>
        <w:rPr>
          <w:rFonts w:ascii="宋体" w:hAnsi="宋体" w:cs="宋体"/>
          <w:b/>
          <w:bCs/>
          <w:szCs w:val="21"/>
          <w:highlight w:val="none"/>
        </w:rPr>
      </w:pPr>
      <w:r>
        <w:rPr>
          <w:rFonts w:hint="eastAsia" w:ascii="宋体" w:hAnsi="宋体" w:cs="宋体"/>
          <w:b/>
          <w:bCs/>
          <w:szCs w:val="21"/>
          <w:highlight w:val="none"/>
        </w:rPr>
        <w:t>用户需求书中打“★”号条款及商务要求均为实质性条款，投标人如有任何一条负偏离则导致投标无效。</w:t>
      </w:r>
    </w:p>
    <w:p>
      <w:pPr>
        <w:numPr>
          <w:ilvl w:val="0"/>
          <w:numId w:val="10"/>
        </w:numPr>
        <w:spacing w:line="360" w:lineRule="auto"/>
        <w:rPr>
          <w:rFonts w:ascii="宋体" w:hAnsi="宋体" w:cs="宋体"/>
          <w:b/>
          <w:bCs/>
          <w:szCs w:val="21"/>
          <w:highlight w:val="none"/>
        </w:rPr>
      </w:pPr>
      <w:r>
        <w:rPr>
          <w:rFonts w:hint="eastAsia" w:ascii="宋体" w:hAnsi="宋体" w:cs="宋体"/>
          <w:b/>
          <w:bCs/>
          <w:szCs w:val="21"/>
          <w:highlight w:val="none"/>
        </w:rPr>
        <w:t>项目内容</w:t>
      </w:r>
    </w:p>
    <w:tbl>
      <w:tblPr>
        <w:tblStyle w:val="25"/>
        <w:tblW w:w="8966" w:type="dxa"/>
        <w:tblInd w:w="4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7"/>
        <w:gridCol w:w="1689"/>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4577" w:type="dxa"/>
            <w:shd w:val="clear" w:color="auto" w:fill="EEECE1"/>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采购内容</w:t>
            </w:r>
          </w:p>
        </w:tc>
        <w:tc>
          <w:tcPr>
            <w:tcW w:w="1689" w:type="dxa"/>
            <w:shd w:val="clear" w:color="auto" w:fill="EEECE1"/>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数量</w:t>
            </w:r>
          </w:p>
        </w:tc>
        <w:tc>
          <w:tcPr>
            <w:tcW w:w="2700" w:type="dxa"/>
            <w:shd w:val="clear" w:color="auto" w:fill="EEECE1"/>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4" w:hRule="atLeast"/>
        </w:trPr>
        <w:tc>
          <w:tcPr>
            <w:tcW w:w="4577"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承展千灯湖酒店餐饮餐调料、蛋奶、粮油类采购</w:t>
            </w:r>
          </w:p>
        </w:tc>
        <w:tc>
          <w:tcPr>
            <w:tcW w:w="1689"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一项</w:t>
            </w:r>
          </w:p>
        </w:tc>
        <w:tc>
          <w:tcPr>
            <w:tcW w:w="2700" w:type="dxa"/>
            <w:vAlign w:val="center"/>
          </w:tcPr>
          <w:p>
            <w:pPr>
              <w:pStyle w:val="53"/>
              <w:spacing w:line="440" w:lineRule="exact"/>
              <w:ind w:firstLine="120"/>
              <w:rPr>
                <w:rFonts w:hint="eastAsia" w:ascii="宋体" w:hAnsi="宋体" w:eastAsia="宋体" w:cs="宋体"/>
                <w:snapToGrid/>
                <w:spacing w:val="0"/>
                <w:kern w:val="2"/>
                <w:sz w:val="21"/>
                <w:szCs w:val="21"/>
                <w:highlight w:val="none"/>
                <w:lang w:eastAsia="zh-CN"/>
              </w:rPr>
            </w:pPr>
            <w:r>
              <w:rPr>
                <w:rFonts w:hint="eastAsia" w:ascii="宋体" w:hAnsi="宋体" w:cs="宋体"/>
                <w:snapToGrid/>
                <w:spacing w:val="0"/>
                <w:kern w:val="2"/>
                <w:sz w:val="21"/>
                <w:szCs w:val="21"/>
                <w:highlight w:val="none"/>
                <w:lang w:eastAsia="zh-CN"/>
              </w:rPr>
              <w:t>自合同签订之日起36个月</w:t>
            </w:r>
          </w:p>
        </w:tc>
      </w:tr>
    </w:tbl>
    <w:p>
      <w:pPr>
        <w:adjustRightInd w:val="0"/>
        <w:snapToGrid w:val="0"/>
        <w:spacing w:line="360" w:lineRule="auto"/>
        <w:ind w:left="420"/>
        <w:jc w:val="center"/>
        <w:rPr>
          <w:rFonts w:ascii="宋体" w:hAnsi="宋体" w:cs="宋体"/>
          <w:b/>
          <w:kern w:val="0"/>
          <w:szCs w:val="21"/>
          <w:highlight w:val="none"/>
        </w:rPr>
      </w:pPr>
      <w:r>
        <w:rPr>
          <w:rFonts w:hint="eastAsia" w:ascii="宋体" w:hAnsi="宋体" w:cs="宋体"/>
          <w:b/>
          <w:kern w:val="0"/>
          <w:szCs w:val="21"/>
          <w:highlight w:val="none"/>
        </w:rPr>
        <w:t>第一部分 技术（服务）要求</w:t>
      </w:r>
    </w:p>
    <w:p>
      <w:pPr>
        <w:numPr>
          <w:ilvl w:val="0"/>
          <w:numId w:val="11"/>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项目概况</w:t>
      </w:r>
    </w:p>
    <w:p>
      <w:pPr>
        <w:numPr>
          <w:ilvl w:val="0"/>
          <w:numId w:val="1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千灯湖酒店为住宿、餐饮及娱乐与一体的综合型酒店。本项目为酒店提供餐饮餐调料、蛋奶、粮油类食品配送服务，食用人员包括酒店的工作人员、旅客。</w:t>
      </w:r>
    </w:p>
    <w:p>
      <w:pPr>
        <w:numPr>
          <w:ilvl w:val="0"/>
          <w:numId w:val="1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招标人可根据自身的需求，有权终止某些食品的采购或变更某类食品的采购。</w:t>
      </w:r>
    </w:p>
    <w:p>
      <w:pPr>
        <w:numPr>
          <w:ilvl w:val="0"/>
          <w:numId w:val="1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中标人不得将中标项目转让或分包给他人，否则招标人有权单方终止合同，由此产生的一切经济损失及有关责任由中标人自行承担。</w:t>
      </w:r>
    </w:p>
    <w:p>
      <w:pPr>
        <w:numPr>
          <w:ilvl w:val="0"/>
          <w:numId w:val="1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供货量将由招标人根据自身的经营情况与中标人的食材供货质量、服务诚信、服务质量、响应及时程度等因素确定，中标人请自行考虑。</w:t>
      </w:r>
    </w:p>
    <w:p>
      <w:pPr>
        <w:numPr>
          <w:ilvl w:val="0"/>
          <w:numId w:val="1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本项目中标人的供货内容主要为餐饮餐调料、蛋奶、粮油类食品，不含鲜肉类、水果、蔬菜、冻品类、日用杂货（如餐具、纸巾、茶叶等）、副食品及干货等食材。</w:t>
      </w:r>
    </w:p>
    <w:p>
      <w:pPr>
        <w:numPr>
          <w:ilvl w:val="0"/>
          <w:numId w:val="11"/>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项目供应、质量及验收标准</w:t>
      </w:r>
    </w:p>
    <w:p>
      <w:pPr>
        <w:numPr>
          <w:ilvl w:val="0"/>
          <w:numId w:val="1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供应要求：以</w:t>
      </w:r>
      <w:r>
        <w:rPr>
          <w:rFonts w:hint="eastAsia" w:ascii="宋体" w:hAnsi="宋体" w:cs="宋体"/>
          <w:szCs w:val="21"/>
          <w:highlight w:val="none"/>
          <w:lang w:eastAsia="zh-CN"/>
        </w:rPr>
        <w:t>招标人</w:t>
      </w:r>
      <w:r>
        <w:rPr>
          <w:rFonts w:hint="eastAsia" w:ascii="宋体" w:hAnsi="宋体" w:cs="宋体"/>
          <w:szCs w:val="21"/>
          <w:highlight w:val="none"/>
        </w:rPr>
        <w:t xml:space="preserve">要求供货时提供的采购招标清单达到国家食品部门有关标准以及三星级餐饮使用要求或样板为准。有使用有效期的食品，其剩余有效期不得少于标注有效期的80%。 </w:t>
      </w:r>
    </w:p>
    <w:p>
      <w:pPr>
        <w:numPr>
          <w:ilvl w:val="0"/>
          <w:numId w:val="1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质量标准：证明提供的产品及服务是合格的，且符合招标文件的规定，包括有效的合格证、食品流通许可证、农药残留检测报告、质量体系认证等资料以及相关的产品资料。（包括技术指标等详细说明）</w:t>
      </w:r>
    </w:p>
    <w:p>
      <w:pPr>
        <w:numPr>
          <w:ilvl w:val="0"/>
          <w:numId w:val="1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验收标准：本采购项目严格按照加工要求及质量标准验收，有封板的品种必须按照双方确认的样板验收。</w:t>
      </w:r>
    </w:p>
    <w:p>
      <w:pPr>
        <w:numPr>
          <w:ilvl w:val="0"/>
          <w:numId w:val="1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采购项目的验收：</w:t>
      </w:r>
      <w:r>
        <w:rPr>
          <w:rFonts w:hint="eastAsia" w:ascii="宋体" w:hAnsi="宋体" w:cs="宋体"/>
          <w:szCs w:val="21"/>
          <w:highlight w:val="none"/>
          <w:lang w:eastAsia="zh-CN"/>
        </w:rPr>
        <w:t>招标人</w:t>
      </w:r>
      <w:r>
        <w:rPr>
          <w:rFonts w:hint="eastAsia" w:ascii="宋体" w:hAnsi="宋体" w:cs="宋体"/>
          <w:szCs w:val="21"/>
          <w:highlight w:val="none"/>
        </w:rPr>
        <w:t>按照招标文件中的验收标准在现场当即进行初步验收（外观质量、数量、规格、型号）初步验收合格不视为产品质量的认可。经验收后的物品在使用过程中如发现有质量不合格的，由</w:t>
      </w:r>
      <w:r>
        <w:rPr>
          <w:rFonts w:hint="eastAsia" w:ascii="宋体" w:hAnsi="宋体" w:cs="宋体"/>
          <w:szCs w:val="21"/>
          <w:highlight w:val="none"/>
          <w:lang w:eastAsia="zh-CN"/>
        </w:rPr>
        <w:t>中标人</w:t>
      </w:r>
      <w:r>
        <w:rPr>
          <w:rFonts w:hint="eastAsia" w:ascii="宋体" w:hAnsi="宋体" w:cs="宋体"/>
          <w:szCs w:val="21"/>
          <w:highlight w:val="none"/>
        </w:rPr>
        <w:t>在双方协商的期限内更换，直至符合要求为止。</w:t>
      </w:r>
    </w:p>
    <w:p>
      <w:pPr>
        <w:numPr>
          <w:ilvl w:val="0"/>
          <w:numId w:val="11"/>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 xml:space="preserve">库存管理 </w:t>
      </w:r>
    </w:p>
    <w:p>
      <w:pPr>
        <w:numPr>
          <w:ilvl w:val="0"/>
          <w:numId w:val="14"/>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酒店库存控制在酒店的采购、供应、生产和销售的各环节中，起着重要的平衡作用。加强这一环节的控制，不但对减少物资积压、浪费、压缩资金占用、降低发出物资差错损失、减少费用支出尤为重要,所有采购的物品应以该物品的最小包装为计量单位，用于招标人下单。</w:t>
      </w:r>
    </w:p>
    <w:p>
      <w:pPr>
        <w:numPr>
          <w:ilvl w:val="0"/>
          <w:numId w:val="14"/>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酒店库存的有效管理，有利于积压资金的减少，降低经营成本，增加企业效益。</w:t>
      </w:r>
    </w:p>
    <w:p>
      <w:pPr>
        <w:numPr>
          <w:ilvl w:val="0"/>
          <w:numId w:val="14"/>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招标人可以保质期剩余在三个月以上的期限内更换同一货品。</w:t>
      </w:r>
    </w:p>
    <w:p>
      <w:pPr>
        <w:numPr>
          <w:ilvl w:val="0"/>
          <w:numId w:val="11"/>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质量要求及供货范围</w:t>
      </w:r>
    </w:p>
    <w:p>
      <w:pPr>
        <w:numPr>
          <w:ilvl w:val="0"/>
          <w:numId w:val="15"/>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质量要求</w:t>
      </w:r>
    </w:p>
    <w:p>
      <w:pPr>
        <w:numPr>
          <w:ilvl w:val="0"/>
          <w:numId w:val="16"/>
        </w:numPr>
        <w:adjustRightInd w:val="0"/>
        <w:snapToGrid w:val="0"/>
        <w:spacing w:line="360" w:lineRule="auto"/>
        <w:rPr>
          <w:rFonts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中标人所提供的产品必须符合《中华人民共和国质量法》质量标准，如产品质量未达到所设定的质量标准或违反《中华人民共和国质量法》中的规定，中标人接受无条件停止售卖。给招标人造成的经济损失，将由中标人承担一切相关赔偿责任（投标时提供承诺函，格式自定）。</w:t>
      </w:r>
    </w:p>
    <w:p>
      <w:pPr>
        <w:numPr>
          <w:ilvl w:val="0"/>
          <w:numId w:val="16"/>
        </w:numPr>
        <w:adjustRightInd w:val="0"/>
        <w:snapToGrid w:val="0"/>
        <w:spacing w:line="360" w:lineRule="auto"/>
        <w:rPr>
          <w:rFonts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为了维护招标人的声誉及店客的利益，中标人必须无条件保证供应的原料绝对符合国家食品卫生条例的要求，如因卫生、质量问题导致店客和招标人受到经济损失，由中标人负责，招标人可因后果严重程度要求中标人进行赔偿。如情节严重，招标人有权终止合同，中标人必须支付5000元（大写：人民币伍仟元整）的违约金及承担一切法律责任（投标时提供承诺函，格式自定）。</w:t>
      </w:r>
    </w:p>
    <w:p>
      <w:pPr>
        <w:numPr>
          <w:ilvl w:val="0"/>
          <w:numId w:val="16"/>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供应的食品必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pPr>
        <w:numPr>
          <w:ilvl w:val="0"/>
          <w:numId w:val="16"/>
        </w:numPr>
        <w:adjustRightInd w:val="0"/>
        <w:snapToGrid w:val="0"/>
        <w:spacing w:line="360" w:lineRule="auto"/>
        <w:rPr>
          <w:rFonts w:ascii="宋体" w:hAnsi="宋体" w:cs="宋体"/>
          <w:szCs w:val="21"/>
          <w:highlight w:val="none"/>
        </w:rPr>
      </w:pPr>
      <w:r>
        <w:rPr>
          <w:rFonts w:hint="eastAsia" w:ascii="宋体" w:hAnsi="宋体" w:cs="宋体"/>
          <w:szCs w:val="21"/>
          <w:highlight w:val="none"/>
        </w:rPr>
        <w:t>食品包装必须符合国家规范。采购的食品不得存放在有害、有毒的容器内。食品包装上必须使用原产地标识，应注明：制造商名称和厂址、食品名称和重（容）量、生产日期和保质期限以及规格和SC食品生产许可证编号等。</w:t>
      </w:r>
    </w:p>
    <w:p>
      <w:pPr>
        <w:numPr>
          <w:ilvl w:val="0"/>
          <w:numId w:val="16"/>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应充分理解并认真遵循本招标文件的要求，所提供的食品必须是满足招标文件要求。保证所提供的食品均为检验合格、无毒、诚实、无辐射、无侵权的食品，符合国家有关卫生、质量、包装和保质标准，有使用有效期的食品。</w:t>
      </w:r>
    </w:p>
    <w:p>
      <w:pPr>
        <w:numPr>
          <w:ilvl w:val="0"/>
          <w:numId w:val="16"/>
        </w:numPr>
        <w:adjustRightInd w:val="0"/>
        <w:snapToGrid w:val="0"/>
        <w:spacing w:line="360" w:lineRule="auto"/>
        <w:rPr>
          <w:rFonts w:ascii="宋体" w:hAnsi="宋体" w:cs="宋体"/>
          <w:szCs w:val="21"/>
          <w:highlight w:val="none"/>
        </w:rPr>
      </w:pPr>
      <w:r>
        <w:rPr>
          <w:rFonts w:hint="eastAsia" w:ascii="宋体" w:hAnsi="宋体" w:cs="宋体"/>
          <w:szCs w:val="21"/>
          <w:highlight w:val="none"/>
        </w:rPr>
        <w:t>食品有包装的，食品的包装必须完整清洁（无损、无污、无皱），招标人有权拒收包装不整齐、已拆封的商品。</w:t>
      </w:r>
    </w:p>
    <w:p>
      <w:pPr>
        <w:numPr>
          <w:ilvl w:val="0"/>
          <w:numId w:val="16"/>
        </w:numPr>
        <w:adjustRightInd w:val="0"/>
        <w:snapToGrid w:val="0"/>
        <w:spacing w:line="360" w:lineRule="auto"/>
        <w:rPr>
          <w:rFonts w:ascii="宋体" w:hAnsi="宋体" w:cs="宋体"/>
          <w:szCs w:val="21"/>
          <w:highlight w:val="none"/>
        </w:rPr>
      </w:pPr>
      <w:r>
        <w:rPr>
          <w:rFonts w:hint="eastAsia" w:ascii="宋体" w:hAnsi="宋体" w:cs="宋体"/>
          <w:szCs w:val="21"/>
          <w:highlight w:val="none"/>
        </w:rPr>
        <w:t>招标人发现食品出现损坏（包括表面损坏），或出现水渍、串味等导致食品性质改变的，中标人必须无条件退货或更换食品。</w:t>
      </w:r>
    </w:p>
    <w:p>
      <w:pPr>
        <w:numPr>
          <w:ilvl w:val="0"/>
          <w:numId w:val="16"/>
        </w:numPr>
        <w:adjustRightInd w:val="0"/>
        <w:snapToGrid w:val="0"/>
        <w:spacing w:line="360" w:lineRule="auto"/>
        <w:rPr>
          <w:rFonts w:ascii="宋体" w:hAnsi="宋体" w:cs="宋体"/>
          <w:szCs w:val="21"/>
          <w:highlight w:val="none"/>
        </w:rPr>
      </w:pPr>
      <w:r>
        <w:rPr>
          <w:rFonts w:hint="eastAsia" w:ascii="宋体" w:hAnsi="宋体" w:cs="宋体"/>
          <w:szCs w:val="21"/>
          <w:highlight w:val="none"/>
        </w:rPr>
        <w:t>对不符合采购要求的食品由验收人员提出清退，退货前应实行留板备案，如双方对质量争议可送国家质监部门检测。对缺斤短两（或含水量超标）的应按实际重量扣减。</w:t>
      </w:r>
    </w:p>
    <w:p>
      <w:pPr>
        <w:numPr>
          <w:ilvl w:val="0"/>
          <w:numId w:val="15"/>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供货范围：根据招标人实际需要，提供市场上各类餐调料、蛋奶、粮油类产品，要求中标人供货不低于招标人要求的货物档次（可以更优的同类产品，经招标人确认后进行替换。）。</w:t>
      </w:r>
    </w:p>
    <w:p>
      <w:pPr>
        <w:numPr>
          <w:ilvl w:val="0"/>
          <w:numId w:val="11"/>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货物配送及车辆要求</w:t>
      </w:r>
    </w:p>
    <w:p>
      <w:pPr>
        <w:numPr>
          <w:ilvl w:val="0"/>
          <w:numId w:val="17"/>
        </w:numPr>
        <w:adjustRightInd w:val="0"/>
        <w:snapToGrid w:val="0"/>
        <w:spacing w:line="360" w:lineRule="auto"/>
        <w:ind w:firstLine="0"/>
        <w:rPr>
          <w:rFonts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食品运输必须采用符合卫生标准的外包装和运载工具，并且要保持清洁和定期消毒。运输车厢的内仓，包括地面、墙面和顶，应使用抗腐蚀、防潮，易清洁消毒的材料。车厢内无不良气味、异味（投标时提供承诺函，格式自定）。</w:t>
      </w:r>
    </w:p>
    <w:p>
      <w:pPr>
        <w:numPr>
          <w:ilvl w:val="0"/>
          <w:numId w:val="17"/>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对于长途运输的食品，保证食品在运输全过程处于合适的温度范围。整个运输过程应科学合理，运输车辆应定期清洁，保持性能稳定，符合规定的温度要求，使运输食品处于恒定的环境中。</w:t>
      </w:r>
    </w:p>
    <w:p>
      <w:pPr>
        <w:numPr>
          <w:ilvl w:val="0"/>
          <w:numId w:val="17"/>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送货车辆应保持清洁；食品堆放科学合理，避免造成食品的交叉污染；如对温度有要求的食品应确定食品的温度，记录送货车辆温度，并记录存档。</w:t>
      </w:r>
    </w:p>
    <w:p>
      <w:pPr>
        <w:numPr>
          <w:ilvl w:val="0"/>
          <w:numId w:val="17"/>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中标人在组织货物供应过程中所产生的运输费、搬运费、税金等一切费用由中标人承担，到达招标人指定交货地点时，中标人负责卸货并将对应货物送至招标人指定的部门。</w:t>
      </w:r>
    </w:p>
    <w:p>
      <w:pPr>
        <w:numPr>
          <w:ilvl w:val="0"/>
          <w:numId w:val="11"/>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溯源标准及要求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为做到“来源可追溯、去向可查证”的目的，从源头上治理酒店的食品隐患。中标人要严格按照“溯源标准”提供票证，做到货到票证到。验收中无票证、货与票证不相符的以及要素不全的，招标人有权拒收。票证需一式两份，招标人和中标人各保留一份，以便日后抽查工作。参加投标的配送（食品流通）单位溯源的标准如下：</w:t>
      </w:r>
    </w:p>
    <w:p>
      <w:pPr>
        <w:numPr>
          <w:ilvl w:val="0"/>
          <w:numId w:val="1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生产（供应）企业的资质证明：（首次供应时提供）：有效的《食品生产许可证》或《食品经营许可证》及《企业法人营业执照》副本；</w:t>
      </w:r>
    </w:p>
    <w:p>
      <w:pPr>
        <w:numPr>
          <w:ilvl w:val="0"/>
          <w:numId w:val="1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产品票证要求：每批次产品提供《产品合格证》，每次供货票据（供货发票与送货清单）应当包括供货方名称、产品名称、产品数量、送货或购买日期等内容；进口食品需同时提供指定规格的中文进出口食品标签。</w:t>
      </w:r>
    </w:p>
    <w:p>
      <w:pPr>
        <w:numPr>
          <w:ilvl w:val="0"/>
          <w:numId w:val="11"/>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食品验收</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做好卸货前的检查。招标人和中标人双方的验收人员在卸货前应对场地和验收设备做好准备，并对商品的外观质量进行初步了解。</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采取现场验收的方式，验收人员应认真检查物资的质量，按索票、验证—抽查—过磅（清点）—入库的程序完成验收，中标人可提供原件的，由招标人保留原件，原件只有一份而无法提供给招标人的，查验原件后招标人索取复印件留存。</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每批次每种货物均抽查验收。</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按前附产品质量描述对货物质量进行抽查。</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发现食品安全质量问题的处理：</w:t>
      </w:r>
    </w:p>
    <w:p>
      <w:pPr>
        <w:numPr>
          <w:ilvl w:val="0"/>
          <w:numId w:val="20"/>
        </w:numPr>
        <w:adjustRightInd w:val="0"/>
        <w:snapToGrid w:val="0"/>
        <w:spacing w:line="360" w:lineRule="auto"/>
        <w:rPr>
          <w:rFonts w:ascii="宋体" w:hAnsi="宋体" w:cs="宋体"/>
          <w:szCs w:val="21"/>
          <w:highlight w:val="none"/>
        </w:rPr>
      </w:pPr>
      <w:r>
        <w:rPr>
          <w:rFonts w:hint="eastAsia" w:ascii="宋体" w:hAnsi="宋体" w:cs="宋体"/>
          <w:szCs w:val="21"/>
          <w:highlight w:val="none"/>
        </w:rPr>
        <w:t>对危及人身安全的食品质量问题采取零容忍措施，中标人提供假冒伪劣、过期、变质的、有毒食品的，一经发现，当日所送同批次产品全部退货。</w:t>
      </w:r>
    </w:p>
    <w:p>
      <w:pPr>
        <w:numPr>
          <w:ilvl w:val="0"/>
          <w:numId w:val="20"/>
        </w:numPr>
        <w:adjustRightInd w:val="0"/>
        <w:snapToGrid w:val="0"/>
        <w:spacing w:line="360" w:lineRule="auto"/>
        <w:rPr>
          <w:rFonts w:ascii="宋体" w:hAnsi="宋体" w:cs="宋体"/>
          <w:szCs w:val="21"/>
          <w:highlight w:val="none"/>
        </w:rPr>
      </w:pPr>
      <w:r>
        <w:rPr>
          <w:rFonts w:hint="eastAsia" w:ascii="宋体" w:hAnsi="宋体" w:cs="宋体"/>
          <w:szCs w:val="21"/>
          <w:highlight w:val="none"/>
        </w:rPr>
        <w:t>若抽查未发现问题，而在加工食用前发现部分产品质量问题，应立即通知招标人伙食物资验收小组及中标人，将问题产品退货处理。</w:t>
      </w:r>
    </w:p>
    <w:p>
      <w:pPr>
        <w:numPr>
          <w:ilvl w:val="0"/>
          <w:numId w:val="20"/>
        </w:numPr>
        <w:adjustRightInd w:val="0"/>
        <w:snapToGrid w:val="0"/>
        <w:spacing w:line="360" w:lineRule="auto"/>
        <w:rPr>
          <w:rFonts w:ascii="宋体" w:hAnsi="宋体" w:cs="宋体"/>
          <w:highlight w:val="none"/>
        </w:rPr>
      </w:pPr>
      <w:r>
        <w:rPr>
          <w:rFonts w:hint="eastAsia" w:ascii="宋体" w:hAnsi="宋体" w:cs="宋体"/>
          <w:szCs w:val="21"/>
          <w:highlight w:val="none"/>
        </w:rPr>
        <w:t>招标人退货后将记录在案，中标人除要承担因此产生的一切损失和费用外，还应向招标人支付5000元（大写：人民币伍仟元整）的违约金及</w:t>
      </w:r>
      <w:r>
        <w:rPr>
          <w:rFonts w:hint="eastAsia" w:ascii="宋体" w:hAnsi="宋体" w:cs="宋体"/>
          <w:highlight w:val="none"/>
        </w:rPr>
        <w:t>承担一切法律责任；同时招标人有权终止合同或取消该中标人供货资格。</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整批产品无或缺少《溯源标准及要求》中提及的相应票证的全部退货。</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退（补）货流程：对不符合采购要求的食品由验收人员提出清退，如双方对质量或重量有争议的可送具有检验资质的部门检测，同时留样备检，对数量不足或退货的，中标人以不影响招标人日常经营为前提尽快补送。</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货物的质量问题争议及解决办法：因货物的质量问题发生争议，由佛山市质量技术监督局或国家法定的质量鉴定单位进行质量鉴定。货物符合质量标准的，鉴定费由招标人承担；货物不符合质量标准的，鉴定费由中标人承担，并且招标人有权追究中标人的相关法律责任，中标人同时承担违约责任。</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验收记录：对每次验收的物资均记录物资名称、数量、验收情况等事项，并由送货人签名确认。</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不能按核定的供货价交付某些商品、不能提供与其承诺相符的服务或中标人存在违反招标文件和合同的行为，中标人出现下列违约行为时，承担相关法律责任及违约责任，同时向招标人支付5000元（大写：人民币伍仟元整）的违约金。招标人有权取消其供货资格或终止协议。此项下违约行为包括但不限于下列各项：</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中标人不得将中标项目转让或分包给他人；</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中标人在收到招标人订货要求后，在承诺的供货时间内不能供货或不能如数供货的；</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中标人有私自更改菜单中食品的；</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中标人未能提供承诺的服务的；</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食品在保质期出现损坏的，中标人未能提供免费替换服务的；</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中标人的送货单没有详细注明商品的品牌、品种、单价、数量，送货单出现涂改，标记不清的情况的；</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中标人泄露招标人的商业秘密，泄密造成招标人损失的； </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出现中标人哄抬物价现象的；</w:t>
      </w:r>
    </w:p>
    <w:p>
      <w:pPr>
        <w:numPr>
          <w:ilvl w:val="0"/>
          <w:numId w:val="21"/>
        </w:numPr>
        <w:adjustRightInd w:val="0"/>
        <w:snapToGrid w:val="0"/>
        <w:spacing w:line="360" w:lineRule="auto"/>
        <w:rPr>
          <w:rFonts w:ascii="宋体" w:hAnsi="宋体" w:cs="宋体"/>
          <w:szCs w:val="21"/>
          <w:highlight w:val="none"/>
        </w:rPr>
      </w:pPr>
      <w:r>
        <w:rPr>
          <w:rFonts w:hint="eastAsia" w:ascii="宋体" w:hAnsi="宋体" w:cs="宋体"/>
          <w:szCs w:val="21"/>
          <w:highlight w:val="none"/>
        </w:rPr>
        <w:t>向酒店主管人员或验收货人进行物质、金钱行贿的。</w:t>
      </w:r>
    </w:p>
    <w:p>
      <w:pPr>
        <w:numPr>
          <w:ilvl w:val="0"/>
          <w:numId w:val="19"/>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中标人应严格遵守食品安全法等相关规定，一经发现供应以下食品，除全部退货外，招标人有权终止协议或取消中标人的供货资格，中标人应承担由此造成的经济责任和法律责任：</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用非食品原料生产的食品或添加食品添加剂以外的化学物质和其他可能危害人体健康物质的食品，或者用回收食品作为原料生产的食品。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检测发现致病性微生物、农药残留、兽药残留、重金属、污染物质以及其他危害人体健康的物质含量超过食品安全标准限量的食品。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营养成分不符合食品安全标准限量的乳制品。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腐败变质、油脂酸败、霉变生虫、污秽不洁、混有异物、参假掺杂或者感官性状异常的食品。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病死、毒死或者死因不明的禽、畜、兽、水产动物肉类及其制品。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未经卫生监督机构检疫或者检疫不合格的食品，或者未经检验或者检验不合格的肉类制品。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被包装材料、容器、运输工具等污染的食品。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超过保质期的食品。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无标签的预包装食品。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国家为防病等特殊需要明令禁止生产经营的食品。</w:t>
      </w:r>
    </w:p>
    <w:p>
      <w:pPr>
        <w:numPr>
          <w:ilvl w:val="0"/>
          <w:numId w:val="22"/>
        </w:numPr>
        <w:adjustRightInd w:val="0"/>
        <w:snapToGrid w:val="0"/>
        <w:spacing w:line="360" w:lineRule="auto"/>
        <w:rPr>
          <w:rFonts w:ascii="宋体" w:hAnsi="宋体" w:cs="宋体"/>
          <w:szCs w:val="21"/>
          <w:highlight w:val="none"/>
        </w:rPr>
      </w:pPr>
      <w:r>
        <w:rPr>
          <w:rFonts w:hint="eastAsia" w:ascii="宋体" w:hAnsi="宋体" w:cs="宋体"/>
          <w:szCs w:val="21"/>
          <w:highlight w:val="none"/>
        </w:rPr>
        <w:t>其他不符合食品安全标准或者要求的食品。</w:t>
      </w:r>
    </w:p>
    <w:p>
      <w:pPr>
        <w:numPr>
          <w:ilvl w:val="0"/>
          <w:numId w:val="11"/>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服务要求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酒店库存控制在酒店的采购、供应、生产和销售的各环节中，起着重要的平衡作用。加强这一环节的控制，不但对减少物资积压、浪费、压缩资金占用、降低发出物资差错损失、减少费用支出尤为重要,所有采购的物品应以该物品的最小包装为计量单位，用于招标人下单。</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为降低酒店库存，原则上每天供两次货，招标人临时加单的，中标人必须配合，在1小时内完成供货。</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供货商品保质期已过</w:t>
      </w:r>
      <w:r>
        <w:rPr>
          <w:rFonts w:hint="eastAsia" w:ascii="宋体" w:hAnsi="宋体" w:cs="宋体"/>
          <w:szCs w:val="21"/>
          <w:highlight w:val="none"/>
          <w:lang w:val="en-US" w:eastAsia="zh-CN"/>
        </w:rPr>
        <w:t>20%</w:t>
      </w:r>
      <w:r>
        <w:rPr>
          <w:rFonts w:hint="eastAsia" w:ascii="宋体" w:hAnsi="宋体" w:cs="宋体"/>
          <w:szCs w:val="21"/>
          <w:highlight w:val="none"/>
        </w:rPr>
        <w:t>，招标人可不予收货。</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招标人提前一天以邮件、传真或电话的方式向中标人下订单，订单内容包括所要采购的名称、规格、数量等，中标人接到订单通知后必须在1小时内响应。</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在招标人未签收之前，食品的所有权和风险属于中标人，食品发生遗失、损坏由中标人负责。</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中标人根据招标人实际要求运送货物，按招标人要求进行加工。</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中标人必须在招标人指定时间内将招标人所订购的食品材料送至招标人指定的地点。若招标人临时修改订单内容的，中标人必须在接到通知后的60分钟内将食品材料送达，经招标人工作人员验收核对后才算完成。</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应当根据招标人实际情况，按与招标人的约定，在规定的时间内将规定的食品数量送到指定地点。除客观不可抗力外，中标人不得推迟送货。如确需延迟送货的，中标人应在得知情况的同时告知招标人并征得招标人同意。</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每次送货，中标人必须安排不少于2个专职送货员及不少于1辆专车负责送货。负责货物的运输、过秤，并协助招标人验收货物，食品的品种和重量以招标人验收的结果为准。</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送货车辆必须在酒店登记备案，并在车身上标识清楚送货单位名称。</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送货车进入酒店区域后车速不得超过5KM，送货车辆应主动避让行人，如属中标人车辆责任造成酒店内人员事故的，一切责任由中标人承担。</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中标人指定的送货专员必须具有健康证、穿着便于辨认的工衣和配戴胸卡，送货专员在酒店范围内活动必须严格遵守酒店的各项规章制度，不得做出有损招标人形象和利益的事情。</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中标人必须严格按照招标人的指令配送商品的数量，不得随意增减数量，否则，招标人有权拒收。如因市场流通问题确实需要变更的，应事先书面申请，并经招标人同意后方可变更。</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不得擅自变更供应商品（含商标、名称、产地、包装、规格和重量等），并严格按招标人要求供应，否则，招标人有权拒收。如因市场流通问题确实需要变更的，应事先书面申请，并经招标人同意后方可改变。</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除客观不可抗力外，中标人不得更改送货内容。如确需变更供货内容的，中标人应在得知情况的同时告知招标人并征得招标人同意。</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中标人的送货单必须详细注明商品的品牌、型号、单价、数量、送货单不得涂改。标记不清的，招标人将拒绝签收。结算期末中标人还应提供送货清单供招标人结算。</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中标人不得泄露招标人的商业秘密。若违反此义务，中标人应赔偿招标人遭受的一切损失，同时还应向招标人支付5000元（大写：人民币伍仟元整）的违约金。</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如物品非因招标人人为而出现质量问题由中标人包换或包退，所造成的经济损失由中标人负责。</w:t>
      </w:r>
    </w:p>
    <w:p>
      <w:pPr>
        <w:numPr>
          <w:ilvl w:val="0"/>
          <w:numId w:val="2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中标人应能够配合招标人及时更新所提供的符合卫监部门的有效证明材料。如有效的营业执照、产品合格证、食品经营许可证等。</w:t>
      </w:r>
    </w:p>
    <w:p>
      <w:pPr>
        <w:numPr>
          <w:ilvl w:val="0"/>
          <w:numId w:val="11"/>
        </w:numPr>
        <w:adjustRightInd w:val="0"/>
        <w:snapToGrid w:val="0"/>
        <w:spacing w:line="360" w:lineRule="auto"/>
        <w:ind w:firstLine="0"/>
        <w:rPr>
          <w:highlight w:val="none"/>
        </w:rPr>
      </w:pPr>
      <w:r>
        <w:rPr>
          <w:rFonts w:hint="eastAsia"/>
          <w:highlight w:val="none"/>
        </w:rPr>
        <w:t>考核标准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以下考核细则仅供参考，具体考核细则将由招标人根据实际情况制定，招标人对考核细则保持最终修改权和解释权。以下考核细则是招标人对中标人进行抽查考核的内容，若中标人的考核分数低于90分的，半年内累计达到2次的，招标人有权取消该中标人的供货资格或终止协议。</w:t>
      </w:r>
    </w:p>
    <w:tbl>
      <w:tblPr>
        <w:tblStyle w:val="25"/>
        <w:tblW w:w="86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7"/>
        <w:gridCol w:w="720"/>
        <w:gridCol w:w="4847"/>
        <w:gridCol w:w="567"/>
        <w:gridCol w:w="17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0" w:type="dxa"/>
            <w:gridSpan w:val="5"/>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考核细则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7"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项类</w:t>
            </w:r>
          </w:p>
        </w:tc>
        <w:tc>
          <w:tcPr>
            <w:tcW w:w="720"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序号</w:t>
            </w:r>
          </w:p>
        </w:tc>
        <w:tc>
          <w:tcPr>
            <w:tcW w:w="4847"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评分细则</w:t>
            </w:r>
          </w:p>
        </w:tc>
        <w:tc>
          <w:tcPr>
            <w:tcW w:w="567"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扣分</w:t>
            </w:r>
          </w:p>
        </w:tc>
        <w:tc>
          <w:tcPr>
            <w:tcW w:w="1749"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配送要求</w:t>
            </w: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配送车辆、实际运输不符合招标文件及合同约定的，每次扣2分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在协议供货期，未在规定时间内完成配送、供货，每次扣3分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实际配送货物的品种、数量应与订购清单一致，实际配送货物少于订购数量且不能及时补充的，或实际配送货物超出订购数量要求且被招标人拒收的情况，每次扣1分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送货单没有详细注明商品的品牌、品种、单价、数量，送货单出现涂改，标记不清的情况的，每次扣2分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实际配送的货物与订购货物种类、质量不符，未能及时更换的，招标人有权拒收，每次扣10分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人员没有出示健康证，没有穿着工衣和配戴胸卡的，每次扣3分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质量要求</w:t>
            </w: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相应批次的货物未能提供对应合格检验证明的，每次扣8分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食品质量不符合要求，出现质量问题或造成食物中毒等，每次扣15分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中标人应承担由此造成的全部法律责任及经济损失赔偿（主要包括但不限于食物中毒人员医疗费、误工费、事故处理费等）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滥用或过量使用食品添加剂、发现使用劣质原料、抗生素、激素等有害物质，每次扣8分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货物品质与招标文件不符，并未能及时补充的，每次扣3分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安全生产管理要求</w:t>
            </w: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没有建立、健全本单位安全生产责任制，制定安全生产规章制度和操作规程，或违反制度操作的，每次扣5分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没有相关应急预案的，每次扣5分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造成重大事故或有重大事故不配合处理的，每次扣10分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未按要求及时、如实报告生产安全事故，每次扣10分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提供资料弄虚作假的，每次扣5分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纪律要求</w:t>
            </w: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出现中标人有联手哄抬物价现象的，一经查实，一经发现扣10分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向酒店主管人员或验收货人进行物质、金钱行贿，一经核实扣10分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满意度要求</w:t>
            </w: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被用户投诉，情况属实的，每宗扣2分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被媒体负面曝光的，每宗扣15分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7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w:t>
            </w:r>
          </w:p>
        </w:tc>
        <w:tc>
          <w:tcPr>
            <w:tcW w:w="720" w:type="dxa"/>
            <w:tcBorders>
              <w:tl2br w:val="nil"/>
              <w:tr2bl w:val="nil"/>
            </w:tcBorders>
            <w:vAlign w:val="center"/>
          </w:tcPr>
          <w:p>
            <w:pPr>
              <w:numPr>
                <w:ilvl w:val="0"/>
                <w:numId w:val="24"/>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有违反招标文件及合同规定的其它违约事件的，每发现1次，需按违约性质并结合上述违约类别，每次扣5分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bl>
    <w:p>
      <w:pPr>
        <w:pStyle w:val="3"/>
        <w:rPr>
          <w:highlight w:val="none"/>
        </w:rPr>
      </w:pPr>
    </w:p>
    <w:p>
      <w:pPr>
        <w:rPr>
          <w:highlight w:val="none"/>
        </w:rPr>
      </w:pPr>
    </w:p>
    <w:p>
      <w:pPr>
        <w:adjustRightInd w:val="0"/>
        <w:snapToGrid w:val="0"/>
        <w:spacing w:line="360" w:lineRule="auto"/>
        <w:ind w:left="420"/>
        <w:jc w:val="center"/>
        <w:rPr>
          <w:rFonts w:ascii="宋体" w:hAnsi="宋体" w:cs="宋体"/>
          <w:b/>
          <w:bCs/>
          <w:kern w:val="0"/>
          <w:szCs w:val="21"/>
          <w:highlight w:val="none"/>
        </w:rPr>
      </w:pPr>
      <w:r>
        <w:rPr>
          <w:rFonts w:hint="eastAsia" w:ascii="宋体" w:hAnsi="宋体" w:cs="宋体"/>
          <w:b/>
          <w:kern w:val="0"/>
          <w:szCs w:val="21"/>
          <w:highlight w:val="none"/>
        </w:rPr>
        <w:t xml:space="preserve">第二部分 </w:t>
      </w:r>
      <w:r>
        <w:rPr>
          <w:rFonts w:hint="eastAsia" w:ascii="宋体" w:hAnsi="宋体" w:cs="宋体"/>
          <w:b/>
          <w:bCs/>
          <w:szCs w:val="21"/>
          <w:highlight w:val="none"/>
        </w:rPr>
        <w:t>商务要求</w:t>
      </w:r>
    </w:p>
    <w:p>
      <w:pPr>
        <w:numPr>
          <w:ilvl w:val="0"/>
          <w:numId w:val="25"/>
        </w:numPr>
        <w:adjustRightInd w:val="0"/>
        <w:snapToGrid w:val="0"/>
        <w:spacing w:line="360" w:lineRule="auto"/>
        <w:ind w:firstLine="0"/>
        <w:rPr>
          <w:rFonts w:ascii="宋体" w:hAnsi="宋体" w:cs="宋体"/>
          <w:b/>
          <w:bCs/>
          <w:kern w:val="0"/>
          <w:szCs w:val="21"/>
          <w:highlight w:val="none"/>
        </w:rPr>
      </w:pPr>
      <w:r>
        <w:rPr>
          <w:rFonts w:hint="eastAsia" w:ascii="宋体" w:hAnsi="宋体" w:cs="宋体"/>
          <w:b/>
          <w:bCs/>
          <w:kern w:val="0"/>
          <w:szCs w:val="21"/>
          <w:highlight w:val="none"/>
        </w:rPr>
        <w:t>服务期限及服务地点</w:t>
      </w:r>
    </w:p>
    <w:p>
      <w:pPr>
        <w:numPr>
          <w:ilvl w:val="0"/>
          <w:numId w:val="26"/>
        </w:numPr>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服务期限：</w:t>
      </w:r>
      <w:r>
        <w:rPr>
          <w:rFonts w:hint="eastAsia" w:ascii="宋体" w:hAnsi="宋体" w:cs="宋体"/>
          <w:szCs w:val="21"/>
          <w:highlight w:val="none"/>
          <w:lang w:eastAsia="zh-CN"/>
        </w:rPr>
        <w:t>自合同签订之日起36个月</w:t>
      </w:r>
      <w:r>
        <w:rPr>
          <w:rFonts w:hint="eastAsia" w:ascii="宋体" w:hAnsi="宋体" w:cs="宋体"/>
          <w:kern w:val="0"/>
          <w:szCs w:val="21"/>
          <w:highlight w:val="none"/>
        </w:rPr>
        <w:t>。</w:t>
      </w:r>
    </w:p>
    <w:p>
      <w:pPr>
        <w:numPr>
          <w:ilvl w:val="0"/>
          <w:numId w:val="26"/>
        </w:numPr>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服务地点：招标人指定地点。</w:t>
      </w:r>
    </w:p>
    <w:p>
      <w:pPr>
        <w:numPr>
          <w:ilvl w:val="0"/>
          <w:numId w:val="25"/>
        </w:numPr>
        <w:adjustRightInd w:val="0"/>
        <w:snapToGrid w:val="0"/>
        <w:spacing w:line="360" w:lineRule="auto"/>
        <w:ind w:firstLine="0"/>
        <w:rPr>
          <w:rFonts w:ascii="宋体" w:hAnsi="宋体" w:cs="宋体"/>
          <w:b/>
          <w:bCs/>
          <w:kern w:val="0"/>
          <w:szCs w:val="21"/>
          <w:highlight w:val="none"/>
        </w:rPr>
      </w:pPr>
      <w:r>
        <w:rPr>
          <w:rFonts w:hint="eastAsia" w:ascii="宋体" w:hAnsi="宋体" w:cs="宋体"/>
          <w:b/>
          <w:bCs/>
          <w:kern w:val="0"/>
          <w:szCs w:val="21"/>
          <w:highlight w:val="none"/>
        </w:rPr>
        <w:t>报价要求</w:t>
      </w:r>
    </w:p>
    <w:p>
      <w:pPr>
        <w:numPr>
          <w:ilvl w:val="0"/>
          <w:numId w:val="27"/>
        </w:numPr>
        <w:adjustRightInd w:val="0"/>
        <w:snapToGrid w:val="0"/>
        <w:spacing w:line="360" w:lineRule="auto"/>
        <w:ind w:left="0" w:firstLine="0"/>
        <w:rPr>
          <w:rFonts w:ascii="宋体" w:hAnsi="宋体" w:cs="宋体"/>
          <w:highlight w:val="none"/>
        </w:rPr>
      </w:pPr>
      <w:r>
        <w:rPr>
          <w:rFonts w:hint="eastAsia" w:ascii="宋体" w:hAnsi="宋体" w:cs="宋体"/>
          <w:highlight w:val="none"/>
        </w:rPr>
        <w:t>投标下浮率有效报价范围：</w:t>
      </w:r>
      <w:r>
        <w:rPr>
          <w:rFonts w:hint="eastAsia" w:ascii="宋体" w:hAnsi="宋体" w:cs="宋体"/>
          <w:bCs/>
          <w:szCs w:val="21"/>
          <w:highlight w:val="none"/>
        </w:rPr>
        <w:t>0%≤投标下浮率＜100%</w:t>
      </w:r>
      <w:r>
        <w:rPr>
          <w:rFonts w:hint="eastAsia" w:ascii="宋体" w:hAnsi="宋体" w:cs="宋体"/>
          <w:highlight w:val="none"/>
        </w:rPr>
        <w:t>，报价精确到小数点后两位，中标下浮率为该投标人的投标下浮率。</w:t>
      </w:r>
    </w:p>
    <w:p>
      <w:pPr>
        <w:numPr>
          <w:ilvl w:val="0"/>
          <w:numId w:val="27"/>
        </w:numPr>
        <w:adjustRightInd w:val="0"/>
        <w:snapToGrid w:val="0"/>
        <w:spacing w:line="360" w:lineRule="auto"/>
        <w:ind w:left="0" w:firstLine="0"/>
        <w:rPr>
          <w:rFonts w:ascii="宋体" w:hAnsi="宋体" w:cs="宋体"/>
          <w:highlight w:val="none"/>
        </w:rPr>
      </w:pPr>
      <w:r>
        <w:rPr>
          <w:rFonts w:hint="eastAsia" w:ascii="宋体" w:hAnsi="宋体" w:cs="宋体"/>
          <w:bCs/>
          <w:szCs w:val="21"/>
          <w:highlight w:val="none"/>
        </w:rPr>
        <w:t>投标下浮率必须为固定的报价（如10%），不得存在区间值（如5%～10%），不接受有选择性报价，且所报的投标下浮率应当适用于本项目内的全部供货内容</w:t>
      </w:r>
      <w:r>
        <w:rPr>
          <w:rFonts w:hint="eastAsia" w:ascii="宋体" w:hAnsi="宋体" w:cs="宋体"/>
          <w:highlight w:val="none"/>
        </w:rPr>
        <w:t>。</w:t>
      </w:r>
    </w:p>
    <w:p>
      <w:pPr>
        <w:numPr>
          <w:ilvl w:val="0"/>
          <w:numId w:val="27"/>
        </w:numPr>
        <w:adjustRightInd w:val="0"/>
        <w:snapToGrid w:val="0"/>
        <w:spacing w:line="360" w:lineRule="auto"/>
        <w:ind w:left="0" w:firstLine="0"/>
        <w:rPr>
          <w:rFonts w:ascii="宋体" w:hAnsi="宋体" w:cs="宋体"/>
          <w:highlight w:val="none"/>
        </w:rPr>
      </w:pPr>
      <w:r>
        <w:rPr>
          <w:rFonts w:hint="eastAsia" w:ascii="宋体" w:hAnsi="宋体" w:cs="宋体"/>
          <w:highlight w:val="none"/>
        </w:rPr>
        <w:t>本项目结算单价及合价必须为全包价，包括了货物、检验检疫费、质量检测费、配送运输费、包装费、装卸费、搬运费、不合格货物的退换费用、人工费（社保、节假日慰问金等）、运营、保险、验收、售后服务、税费、其他伴随服务费用及合同实施过程中的应预见和不可预见费用等完成本招标内容所需的一切费用。</w:t>
      </w:r>
    </w:p>
    <w:p>
      <w:pPr>
        <w:numPr>
          <w:ilvl w:val="0"/>
          <w:numId w:val="27"/>
        </w:numPr>
        <w:adjustRightInd w:val="0"/>
        <w:snapToGrid w:val="0"/>
        <w:spacing w:line="360" w:lineRule="auto"/>
        <w:ind w:left="0" w:firstLine="0"/>
        <w:rPr>
          <w:rFonts w:ascii="宋体" w:hAnsi="宋体" w:cs="宋体"/>
          <w:highlight w:val="none"/>
        </w:rPr>
      </w:pPr>
      <w:r>
        <w:rPr>
          <w:rFonts w:hint="eastAsia" w:ascii="宋体" w:hAnsi="宋体" w:cs="宋体"/>
          <w:bCs/>
          <w:szCs w:val="21"/>
          <w:highlight w:val="none"/>
        </w:rPr>
        <w:t>投标下浮率由各投标人自行报价</w:t>
      </w:r>
    </w:p>
    <w:p>
      <w:pPr>
        <w:numPr>
          <w:ilvl w:val="0"/>
          <w:numId w:val="27"/>
        </w:numPr>
        <w:adjustRightInd w:val="0"/>
        <w:snapToGrid w:val="0"/>
        <w:spacing w:line="360" w:lineRule="auto"/>
        <w:rPr>
          <w:rFonts w:ascii="宋体" w:hAnsi="宋体" w:cs="宋体"/>
          <w:kern w:val="0"/>
          <w:szCs w:val="21"/>
          <w:highlight w:val="none"/>
        </w:rPr>
      </w:pPr>
      <w:r>
        <w:rPr>
          <w:rFonts w:hint="eastAsia" w:ascii="宋体" w:hAnsi="宋体" w:cs="宋体"/>
          <w:highlight w:val="none"/>
        </w:rPr>
        <w:t>结算公式：项目结算单价=采购部确定当月价格╳（1-中标下浮率）。</w:t>
      </w:r>
    </w:p>
    <w:p>
      <w:pPr>
        <w:numPr>
          <w:ilvl w:val="0"/>
          <w:numId w:val="25"/>
        </w:numPr>
        <w:adjustRightInd w:val="0"/>
        <w:snapToGrid w:val="0"/>
        <w:spacing w:line="360" w:lineRule="auto"/>
        <w:ind w:firstLine="0"/>
        <w:rPr>
          <w:rFonts w:ascii="宋体" w:hAnsi="宋体" w:cs="宋体"/>
          <w:b/>
          <w:bCs/>
          <w:kern w:val="0"/>
          <w:szCs w:val="21"/>
          <w:highlight w:val="none"/>
        </w:rPr>
      </w:pPr>
      <w:r>
        <w:rPr>
          <w:rFonts w:hint="eastAsia" w:ascii="宋体" w:hAnsi="宋体" w:cs="宋体"/>
          <w:b/>
          <w:bCs/>
          <w:kern w:val="0"/>
          <w:szCs w:val="21"/>
          <w:highlight w:val="none"/>
        </w:rPr>
        <w:t>采购项目交货时间</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highlight w:val="none"/>
        </w:rPr>
        <w:t>服务期内，每天供货两次，除农历年初一之外，中标人必须在每天上午九点前完成第一次交货，下午两点前完成第二次供货。招标人临时加单的，中标人必须配合，在1小时内完成供货。</w:t>
      </w:r>
    </w:p>
    <w:p>
      <w:pPr>
        <w:numPr>
          <w:ilvl w:val="0"/>
          <w:numId w:val="25"/>
        </w:numPr>
        <w:adjustRightInd w:val="0"/>
        <w:snapToGrid w:val="0"/>
        <w:spacing w:line="360" w:lineRule="auto"/>
        <w:ind w:firstLine="0"/>
        <w:rPr>
          <w:rFonts w:ascii="宋体" w:hAnsi="宋体" w:cs="宋体"/>
          <w:b/>
          <w:bCs/>
          <w:kern w:val="0"/>
          <w:szCs w:val="21"/>
          <w:highlight w:val="none"/>
        </w:rPr>
      </w:pPr>
      <w:r>
        <w:rPr>
          <w:rFonts w:hint="eastAsia" w:ascii="宋体" w:hAnsi="宋体" w:cs="宋体"/>
          <w:b/>
          <w:bCs/>
          <w:kern w:val="0"/>
          <w:szCs w:val="21"/>
          <w:highlight w:val="none"/>
        </w:rPr>
        <w:t>双方责任</w:t>
      </w:r>
    </w:p>
    <w:p>
      <w:pPr>
        <w:numPr>
          <w:ilvl w:val="0"/>
          <w:numId w:val="28"/>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招标人责任：向中标人提供所需的相关资料。</w:t>
      </w:r>
    </w:p>
    <w:p>
      <w:pPr>
        <w:numPr>
          <w:ilvl w:val="0"/>
          <w:numId w:val="28"/>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中标人责任：</w:t>
      </w:r>
    </w:p>
    <w:p>
      <w:pPr>
        <w:numPr>
          <w:ilvl w:val="0"/>
          <w:numId w:val="29"/>
        </w:numPr>
        <w:adjustRightInd w:val="0"/>
        <w:snapToGrid w:val="0"/>
        <w:spacing w:line="360" w:lineRule="auto"/>
        <w:rPr>
          <w:rFonts w:ascii="宋体" w:hAnsi="宋体" w:cs="宋体"/>
          <w:szCs w:val="21"/>
          <w:highlight w:val="none"/>
        </w:rPr>
      </w:pPr>
      <w:r>
        <w:rPr>
          <w:rFonts w:hint="eastAsia" w:ascii="宋体" w:hAnsi="宋体" w:cs="宋体"/>
          <w:szCs w:val="21"/>
          <w:highlight w:val="none"/>
        </w:rPr>
        <w:t>由中标人原因，造成验收时物品不合格的，由中标人承担违约责任。</w:t>
      </w:r>
    </w:p>
    <w:p>
      <w:pPr>
        <w:numPr>
          <w:ilvl w:val="0"/>
          <w:numId w:val="29"/>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中标人必须承担的食品安全责任。</w:t>
      </w:r>
    </w:p>
    <w:p>
      <w:pPr>
        <w:numPr>
          <w:ilvl w:val="0"/>
          <w:numId w:val="28"/>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违约责任：</w:t>
      </w:r>
    </w:p>
    <w:p>
      <w:pPr>
        <w:numPr>
          <w:ilvl w:val="0"/>
          <w:numId w:val="3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中标人未能按双方要求供货批次的时间交付物品，则向招标人支付该批次货款总额30%的违约金。中标人连续三次逾期交货的，招标人有权终止合同。</w:t>
      </w:r>
    </w:p>
    <w:p>
      <w:pPr>
        <w:numPr>
          <w:ilvl w:val="0"/>
          <w:numId w:val="3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中标人交付的物品不符合合同规定的，招标人有权拒收，中标人向招标人支付该批次货款总额10%的违约金。</w:t>
      </w:r>
    </w:p>
    <w:p>
      <w:pPr>
        <w:numPr>
          <w:ilvl w:val="0"/>
          <w:numId w:val="30"/>
        </w:numPr>
        <w:adjustRightInd w:val="0"/>
        <w:snapToGrid w:val="0"/>
        <w:spacing w:line="360" w:lineRule="auto"/>
        <w:rPr>
          <w:rFonts w:ascii="宋体" w:hAnsi="宋体" w:cs="宋体"/>
          <w:szCs w:val="21"/>
          <w:highlight w:val="none"/>
        </w:rPr>
      </w:pPr>
      <w:r>
        <w:rPr>
          <w:rFonts w:hint="eastAsia" w:ascii="宋体" w:hAnsi="宋体" w:cs="宋体"/>
          <w:szCs w:val="21"/>
          <w:highlight w:val="none"/>
        </w:rPr>
        <w:t>招标人无正当理由拒收物品，拒付货款的，招标人应向中标人偿付该批次货款总额5%的违约金。</w:t>
      </w:r>
    </w:p>
    <w:p>
      <w:pPr>
        <w:numPr>
          <w:ilvl w:val="0"/>
          <w:numId w:val="30"/>
        </w:numPr>
        <w:adjustRightInd w:val="0"/>
        <w:snapToGrid w:val="0"/>
        <w:spacing w:line="360" w:lineRule="auto"/>
        <w:rPr>
          <w:rFonts w:ascii="宋体" w:hAnsi="宋体" w:cs="宋体"/>
          <w:szCs w:val="21"/>
          <w:highlight w:val="none"/>
        </w:rPr>
      </w:pPr>
      <w:r>
        <w:rPr>
          <w:rFonts w:hint="eastAsia" w:ascii="宋体" w:hAnsi="宋体" w:cs="宋体"/>
          <w:szCs w:val="21"/>
          <w:highlight w:val="none"/>
        </w:rPr>
        <w:t>招标人超过合同约定的付款期限后的十五天仍不付款（由于中标人自身原因与责任除外，如未及时与招标人对账，未及时提供收货单及有效发票等），则每日按该批次应付未付款项的0.5‰向中标人偿付违约金。</w:t>
      </w:r>
    </w:p>
    <w:p>
      <w:pPr>
        <w:numPr>
          <w:ilvl w:val="0"/>
          <w:numId w:val="3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中标人应保障在质量保证期内，完全符合招标文件内对质量的要求、检验标准等，如不符合要求则招标人有权利终止合同。</w:t>
      </w:r>
    </w:p>
    <w:p>
      <w:pPr>
        <w:numPr>
          <w:ilvl w:val="0"/>
          <w:numId w:val="3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中标人保证提供给招标人该批物品的任何一部分及各部分的总和，免受第三方的侵犯专利权、商标权或其他知识产权的起诉。如发生此类纠纷，由中标人承担一切责任。</w:t>
      </w:r>
    </w:p>
    <w:p>
      <w:pPr>
        <w:numPr>
          <w:ilvl w:val="0"/>
          <w:numId w:val="25"/>
        </w:numPr>
        <w:adjustRightInd w:val="0"/>
        <w:snapToGrid w:val="0"/>
        <w:spacing w:line="360" w:lineRule="auto"/>
        <w:ind w:firstLine="0"/>
        <w:rPr>
          <w:rFonts w:ascii="宋体" w:hAnsi="宋体" w:cs="宋体"/>
          <w:b/>
          <w:bCs/>
          <w:kern w:val="0"/>
          <w:szCs w:val="21"/>
          <w:highlight w:val="none"/>
        </w:rPr>
      </w:pPr>
      <w:r>
        <w:rPr>
          <w:rFonts w:hint="eastAsia" w:ascii="宋体" w:hAnsi="宋体" w:cs="宋体"/>
          <w:b/>
          <w:bCs/>
          <w:kern w:val="0"/>
          <w:szCs w:val="21"/>
          <w:highlight w:val="none"/>
        </w:rPr>
        <w:t>定价标准及结算方式</w:t>
      </w:r>
    </w:p>
    <w:p>
      <w:pPr>
        <w:numPr>
          <w:ilvl w:val="0"/>
          <w:numId w:val="31"/>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每月20日前后（遇节假日相应提前或延迟）由招标人的使用部门、采购部、财务部和纪检监察工作小组代表组成核价小组联合核查市场价格，报价单由采购部制定，由采购部负责按照核查价格与中标人确定下月的价格，由招标人使用部门负责人、采购员、纪检监察工作小组代表、采购负责人、财务负责人等在报价单上签名后生效。</w:t>
      </w:r>
    </w:p>
    <w:p>
      <w:pPr>
        <w:numPr>
          <w:ilvl w:val="0"/>
          <w:numId w:val="31"/>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餐饮物资每月的日常采购定价如遇核价小组无法确定的情况下，由采购部负责人请示采购领导小组确定。</w:t>
      </w:r>
    </w:p>
    <w:p>
      <w:pPr>
        <w:numPr>
          <w:ilvl w:val="0"/>
          <w:numId w:val="31"/>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餐饮用料由行政总厨及楼面负责人，根据当天经营情况，预测明天用量，填写每日物资需求计划表，在当天晚上规定时间前提交采购部。采购员按照计划内容通知中标人。</w:t>
      </w:r>
    </w:p>
    <w:p>
      <w:pPr>
        <w:numPr>
          <w:ilvl w:val="0"/>
          <w:numId w:val="31"/>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中标人交货时，由采购员、仓管员、使用部门人员共同验收，并签署验收单。</w:t>
      </w:r>
    </w:p>
    <w:p>
      <w:pPr>
        <w:numPr>
          <w:ilvl w:val="0"/>
          <w:numId w:val="31"/>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每月的结算金额＝（汇总各类供应品）当月每日的结算金额合计－当月考核扣除结算款。</w:t>
      </w:r>
    </w:p>
    <w:p>
      <w:pPr>
        <w:numPr>
          <w:ilvl w:val="0"/>
          <w:numId w:val="31"/>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交付货款：中标人按招标人要求完成上月供货后，于次月10日前凭国家正式增值税专用发票向招标人申请付款，招标人收到申请并经核对无误后在10个工作日内结清上月供货货款。招标人以月结支票、银行汇票、电汇及网络支付等方式向中标人支付上个月物品的总价给中标人。</w:t>
      </w:r>
    </w:p>
    <w:p>
      <w:pPr>
        <w:numPr>
          <w:ilvl w:val="0"/>
          <w:numId w:val="25"/>
        </w:numPr>
        <w:adjustRightInd w:val="0"/>
        <w:snapToGrid w:val="0"/>
        <w:spacing w:line="360" w:lineRule="auto"/>
        <w:ind w:firstLine="0"/>
        <w:rPr>
          <w:rFonts w:ascii="宋体" w:hAnsi="宋体" w:cs="宋体"/>
          <w:b/>
          <w:bCs/>
          <w:kern w:val="0"/>
          <w:szCs w:val="21"/>
          <w:highlight w:val="none"/>
        </w:rPr>
      </w:pPr>
      <w:r>
        <w:rPr>
          <w:rFonts w:hint="eastAsia" w:ascii="宋体" w:hAnsi="宋体" w:cs="宋体"/>
          <w:b/>
          <w:bCs/>
          <w:kern w:val="0"/>
          <w:szCs w:val="21"/>
          <w:highlight w:val="none"/>
        </w:rPr>
        <w:t>付款方式</w:t>
      </w:r>
    </w:p>
    <w:p>
      <w:pPr>
        <w:numPr>
          <w:ilvl w:val="0"/>
          <w:numId w:val="32"/>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供货数量：以招标人当月实际购买量为准。</w:t>
      </w:r>
    </w:p>
    <w:p>
      <w:pPr>
        <w:numPr>
          <w:ilvl w:val="0"/>
          <w:numId w:val="32"/>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供货货款：采购部与中标人确定当月价格╳（1-中标下浮率）╳当月实际供货数量</w:t>
      </w:r>
    </w:p>
    <w:p>
      <w:pPr>
        <w:numPr>
          <w:ilvl w:val="0"/>
          <w:numId w:val="32"/>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付款方式：中标人按</w:t>
      </w:r>
      <w:r>
        <w:rPr>
          <w:rFonts w:hint="eastAsia" w:ascii="宋体" w:hAnsi="宋体" w:cs="宋体"/>
          <w:bCs/>
          <w:szCs w:val="21"/>
          <w:highlight w:val="none"/>
          <w:lang w:eastAsia="zh-CN"/>
        </w:rPr>
        <w:t>招标人</w:t>
      </w:r>
      <w:r>
        <w:rPr>
          <w:rFonts w:hint="eastAsia" w:ascii="宋体" w:hAnsi="宋体" w:cs="宋体"/>
          <w:bCs/>
          <w:szCs w:val="21"/>
          <w:highlight w:val="none"/>
        </w:rPr>
        <w:t>要求完成上月供货后，于次月10日前凭国家正式增值税专用发票向甲方申请付款，</w:t>
      </w:r>
      <w:r>
        <w:rPr>
          <w:rFonts w:hint="eastAsia" w:ascii="宋体" w:hAnsi="宋体" w:cs="宋体"/>
          <w:bCs/>
          <w:szCs w:val="21"/>
          <w:highlight w:val="none"/>
          <w:lang w:eastAsia="zh-CN"/>
        </w:rPr>
        <w:t>招标人</w:t>
      </w:r>
      <w:r>
        <w:rPr>
          <w:rFonts w:hint="eastAsia" w:ascii="宋体" w:hAnsi="宋体" w:cs="宋体"/>
          <w:bCs/>
          <w:szCs w:val="21"/>
          <w:highlight w:val="none"/>
        </w:rPr>
        <w:t>收到申请并经核对无误后在10个工作日内结清上月供货货款。若中标人延期开具增值税发票，</w:t>
      </w:r>
      <w:r>
        <w:rPr>
          <w:rFonts w:hint="eastAsia" w:ascii="宋体" w:hAnsi="宋体" w:cs="宋体"/>
          <w:bCs/>
          <w:szCs w:val="21"/>
          <w:highlight w:val="none"/>
          <w:lang w:eastAsia="zh-CN"/>
        </w:rPr>
        <w:t>招标人</w:t>
      </w:r>
      <w:r>
        <w:rPr>
          <w:rFonts w:hint="eastAsia" w:ascii="宋体" w:hAnsi="宋体" w:cs="宋体"/>
          <w:bCs/>
          <w:szCs w:val="21"/>
          <w:highlight w:val="none"/>
        </w:rPr>
        <w:t>有权因此延期付款而不负违约责任。</w:t>
      </w:r>
    </w:p>
    <w:p>
      <w:pPr>
        <w:pStyle w:val="35"/>
        <w:rPr>
          <w:rFonts w:ascii="宋体" w:hAnsi="宋体" w:cs="宋体"/>
          <w:sz w:val="21"/>
          <w:szCs w:val="21"/>
          <w:highlight w:val="none"/>
          <w:lang w:val="zh-CN"/>
        </w:rPr>
      </w:pPr>
    </w:p>
    <w:p>
      <w:pPr>
        <w:adjustRightInd w:val="0"/>
        <w:snapToGrid w:val="0"/>
        <w:spacing w:before="156" w:beforeLines="50" w:after="156" w:afterLines="50" w:line="360" w:lineRule="auto"/>
        <w:jc w:val="center"/>
        <w:outlineLvl w:val="0"/>
        <w:rPr>
          <w:rFonts w:ascii="宋体" w:hAnsi="宋体" w:cs="宋体"/>
          <w:b/>
          <w:bCs/>
          <w:szCs w:val="21"/>
          <w:highlight w:val="none"/>
        </w:rPr>
      </w:pPr>
      <w:bookmarkStart w:id="3" w:name="_Toc24320"/>
      <w:r>
        <w:rPr>
          <w:rFonts w:hint="eastAsia" w:ascii="宋体" w:hAnsi="宋体" w:cs="宋体"/>
          <w:b/>
          <w:bCs/>
          <w:szCs w:val="21"/>
          <w:highlight w:val="none"/>
        </w:rPr>
        <w:br w:type="page"/>
      </w:r>
      <w:r>
        <w:rPr>
          <w:rFonts w:hint="eastAsia" w:ascii="Times New Roman" w:hAnsi="Times New Roman"/>
          <w:b/>
          <w:bCs/>
          <w:sz w:val="28"/>
          <w:szCs w:val="28"/>
          <w:highlight w:val="none"/>
        </w:rPr>
        <w:t>第四章  评分体系与标准</w:t>
      </w:r>
      <w:bookmarkEnd w:id="3"/>
    </w:p>
    <w:p>
      <w:pPr>
        <w:numPr>
          <w:ilvl w:val="0"/>
          <w:numId w:val="33"/>
        </w:numPr>
        <w:tabs>
          <w:tab w:val="left" w:pos="630"/>
        </w:tabs>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本评标办法采用综合评分法。</w:t>
      </w:r>
    </w:p>
    <w:p>
      <w:pPr>
        <w:numPr>
          <w:ilvl w:val="0"/>
          <w:numId w:val="33"/>
        </w:numPr>
        <w:tabs>
          <w:tab w:val="left" w:pos="630"/>
        </w:tabs>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评标步骤：评标委员会对投标人的投标文件进行初审，对通过初审的投标文件进行技术、商务及价格的详细评审最后评标委员会出具评标报告。</w:t>
      </w:r>
    </w:p>
    <w:p>
      <w:pPr>
        <w:numPr>
          <w:ilvl w:val="0"/>
          <w:numId w:val="33"/>
        </w:numPr>
        <w:tabs>
          <w:tab w:val="left" w:pos="630"/>
        </w:tabs>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评标委员会成员对需要共同认定的事项存在争议的，按照少数服从多数的原则作出结论。</w:t>
      </w:r>
    </w:p>
    <w:p>
      <w:pPr>
        <w:numPr>
          <w:ilvl w:val="0"/>
          <w:numId w:val="33"/>
        </w:numPr>
        <w:tabs>
          <w:tab w:val="left" w:pos="630"/>
        </w:tabs>
        <w:autoSpaceDE w:val="0"/>
        <w:autoSpaceDN w:val="0"/>
        <w:adjustRightInd w:val="0"/>
        <w:spacing w:line="360" w:lineRule="auto"/>
        <w:rPr>
          <w:rFonts w:ascii="宋体" w:hAnsi="宋体" w:cs="宋体"/>
          <w:szCs w:val="21"/>
          <w:highlight w:val="none"/>
        </w:rPr>
      </w:pPr>
      <w:r>
        <w:rPr>
          <w:rFonts w:hint="eastAsia" w:ascii="宋体" w:hAnsi="宋体" w:cs="宋体"/>
          <w:szCs w:val="21"/>
          <w:highlight w:val="none"/>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资格性和符合性审查条款</w:t>
      </w:r>
    </w:p>
    <w:p>
      <w:pPr>
        <w:spacing w:line="360" w:lineRule="auto"/>
        <w:rPr>
          <w:snapToGrid w:val="0"/>
          <w:spacing w:val="8"/>
          <w:highlight w:val="none"/>
        </w:rPr>
      </w:pPr>
      <w:r>
        <w:rPr>
          <w:rFonts w:hint="eastAsia" w:ascii="宋体" w:hAnsi="宋体" w:cs="宋体"/>
          <w:highlight w:val="none"/>
        </w:rPr>
        <w:t>项目名称：承展千灯湖酒店餐饮餐调料、蛋奶、粮油类采购</w:t>
      </w:r>
    </w:p>
    <w:p>
      <w:pPr>
        <w:spacing w:line="360" w:lineRule="auto"/>
        <w:rPr>
          <w:highlight w:val="none"/>
        </w:rPr>
      </w:pPr>
      <w:r>
        <w:rPr>
          <w:rFonts w:hint="eastAsia" w:ascii="宋体" w:hAnsi="宋体" w:cs="宋体"/>
          <w:highlight w:val="none"/>
        </w:rPr>
        <w:t>项目编号：</w:t>
      </w:r>
      <w:r>
        <w:rPr>
          <w:rFonts w:hint="eastAsia" w:ascii="宋体" w:hAnsi="宋体"/>
          <w:highlight w:val="none"/>
        </w:rPr>
        <w:t>GDZC-22GZ131</w:t>
      </w:r>
    </w:p>
    <w:tbl>
      <w:tblPr>
        <w:tblStyle w:val="25"/>
        <w:tblW w:w="9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90" w:type="dxa"/>
            <w:tcBorders>
              <w:right w:val="single" w:color="auto" w:sz="4" w:space="0"/>
            </w:tcBorders>
            <w:vAlign w:val="center"/>
          </w:tcPr>
          <w:p>
            <w:pPr>
              <w:jc w:val="center"/>
              <w:rPr>
                <w:rFonts w:ascii="宋体" w:cs="宋体"/>
                <w:b/>
                <w:highlight w:val="none"/>
              </w:rPr>
            </w:pPr>
            <w:r>
              <w:rPr>
                <w:rFonts w:hint="eastAsia" w:ascii="宋体" w:cs="宋体"/>
                <w:b/>
                <w:highlight w:val="none"/>
              </w:rPr>
              <w:t>序号</w:t>
            </w:r>
          </w:p>
        </w:tc>
        <w:tc>
          <w:tcPr>
            <w:tcW w:w="8137" w:type="dxa"/>
            <w:tcBorders>
              <w:left w:val="single" w:color="auto" w:sz="4" w:space="0"/>
            </w:tcBorders>
            <w:vAlign w:val="center"/>
          </w:tcPr>
          <w:p>
            <w:pPr>
              <w:jc w:val="center"/>
              <w:rPr>
                <w:rFonts w:ascii="宋体" w:cs="宋体"/>
                <w:highlight w:val="none"/>
              </w:rPr>
            </w:pPr>
            <w:r>
              <w:rPr>
                <w:rFonts w:hint="eastAsia" w:ascii="宋体" w:hAnsi="宋体" w:cs="宋体"/>
                <w:highlight w:val="none"/>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34"/>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pPr>
              <w:rPr>
                <w:rFonts w:ascii="宋体" w:hAnsi="宋体" w:cs="宋体"/>
                <w:highlight w:val="none"/>
              </w:rPr>
            </w:pPr>
            <w:r>
              <w:rPr>
                <w:rFonts w:hint="eastAsia" w:ascii="宋体" w:hAnsi="宋体" w:cs="宋体"/>
                <w:highlight w:val="none"/>
              </w:rPr>
              <w:t>具备招标文件中规定资格要求的及资格证明文件齐全；</w:t>
            </w:r>
            <w:r>
              <w:rPr>
                <w:rFonts w:ascii="宋体" w:hAnsi="宋体" w:cs="宋体"/>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34"/>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pPr>
              <w:rPr>
                <w:rFonts w:ascii="宋体" w:hAnsi="宋体" w:cs="宋体"/>
                <w:highlight w:val="none"/>
              </w:rPr>
            </w:pPr>
            <w:r>
              <w:rPr>
                <w:rFonts w:hint="eastAsia" w:ascii="宋体" w:hAnsi="宋体" w:cs="宋体"/>
                <w:highlight w:val="none"/>
              </w:rPr>
              <w:t>投标函已提交并符合招标文件要求的；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34"/>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pPr>
              <w:rPr>
                <w:rFonts w:ascii="宋体" w:hAnsi="宋体" w:cs="宋体"/>
                <w:highlight w:val="none"/>
              </w:rPr>
            </w:pPr>
            <w:r>
              <w:rPr>
                <w:rFonts w:hint="eastAsia" w:ascii="宋体" w:hAnsi="宋体" w:cs="宋体"/>
                <w:highlight w:val="none"/>
              </w:rPr>
              <w:t>投标人按招标文件要求缴纳投标保证金的；</w:t>
            </w:r>
            <w:r>
              <w:rPr>
                <w:rFonts w:ascii="宋体" w:hAnsi="宋体" w:cs="宋体"/>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34"/>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pPr>
              <w:ind w:left="19" w:hanging="18" w:hangingChars="9"/>
              <w:rPr>
                <w:rFonts w:ascii="宋体" w:hAnsi="宋体" w:cs="宋体"/>
                <w:highlight w:val="none"/>
              </w:rPr>
            </w:pPr>
            <w:r>
              <w:rPr>
                <w:rFonts w:hint="eastAsia" w:ascii="宋体" w:hAnsi="宋体" w:cs="宋体"/>
                <w:highlight w:val="none"/>
              </w:rPr>
              <w:t>按照招标文件规定要求签署、盖章且投标文件有法定代表人签字或盖章，或签字人有法定代表人有效授权书的；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34"/>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pPr>
              <w:ind w:left="19" w:hanging="18" w:hangingChars="9"/>
              <w:rPr>
                <w:rFonts w:ascii="宋体" w:hAnsi="宋体" w:cs="宋体"/>
                <w:highlight w:val="none"/>
              </w:rPr>
            </w:pPr>
            <w:r>
              <w:rPr>
                <w:rFonts w:hint="eastAsia" w:ascii="宋体" w:hAnsi="宋体" w:cs="宋体"/>
                <w:highlight w:val="none"/>
              </w:rPr>
              <w:t>在</w:t>
            </w:r>
            <w:r>
              <w:rPr>
                <w:rFonts w:hint="eastAsia" w:ascii="宋体" w:hAnsi="宋体"/>
                <w:bCs/>
                <w:szCs w:val="21"/>
                <w:highlight w:val="none"/>
              </w:rPr>
              <w:t>0%≤投标下浮率＜100%</w:t>
            </w:r>
            <w:r>
              <w:rPr>
                <w:rFonts w:hint="eastAsia" w:ascii="宋体" w:hAnsi="宋体" w:cs="宋体"/>
                <w:highlight w:val="none"/>
              </w:rPr>
              <w:t>范围内，且投标下浮率是固定唯一；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34"/>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pPr>
              <w:rPr>
                <w:rFonts w:ascii="宋体" w:hAnsi="宋体" w:cs="宋体"/>
                <w:highlight w:val="none"/>
              </w:rPr>
            </w:pPr>
            <w:r>
              <w:rPr>
                <w:rFonts w:hint="eastAsia" w:ascii="宋体" w:hAnsi="宋体" w:cs="宋体"/>
                <w:highlight w:val="none"/>
              </w:rPr>
              <w:t>投标文件完全满足招标文件的实质性条款（即标注★号条款及商务要求）无负偏离的；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34"/>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pPr>
              <w:rPr>
                <w:rFonts w:ascii="宋体" w:hAnsi="宋体" w:cs="宋体"/>
                <w:highlight w:val="none"/>
              </w:rPr>
            </w:pPr>
            <w:r>
              <w:rPr>
                <w:rFonts w:hint="eastAsia" w:ascii="宋体" w:hAnsi="宋体" w:cs="宋体"/>
                <w:highlight w:val="none"/>
              </w:rPr>
              <w:t>投标文件没有招标文件中规定的其它无效投标条款的；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34"/>
              </w:numPr>
              <w:tabs>
                <w:tab w:val="left" w:pos="432"/>
                <w:tab w:val="left" w:pos="612"/>
              </w:tabs>
              <w:jc w:val="center"/>
              <w:rPr>
                <w:rFonts w:ascii="宋体" w:hAnsi="宋体" w:cs="宋体"/>
                <w:highlight w:val="none"/>
              </w:rPr>
            </w:pPr>
          </w:p>
        </w:tc>
        <w:tc>
          <w:tcPr>
            <w:tcW w:w="8137" w:type="dxa"/>
            <w:tcBorders>
              <w:left w:val="single" w:color="auto" w:sz="4" w:space="0"/>
            </w:tcBorders>
            <w:vAlign w:val="center"/>
          </w:tcPr>
          <w:p>
            <w:pPr>
              <w:rPr>
                <w:rFonts w:ascii="宋体" w:hAnsi="宋体" w:cs="宋体"/>
                <w:highlight w:val="none"/>
              </w:rPr>
            </w:pPr>
            <w:r>
              <w:rPr>
                <w:rFonts w:hint="eastAsia" w:ascii="宋体" w:hAnsi="宋体" w:cs="宋体"/>
                <w:highlight w:val="none"/>
              </w:rPr>
              <w:t>没有违反有关法律、法规、规章要求，被视为投标无效的其他情况。</w:t>
            </w:r>
          </w:p>
        </w:tc>
      </w:tr>
    </w:tbl>
    <w:p>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宋体" w:hAnsi="宋体" w:cs="宋体"/>
          <w:szCs w:val="21"/>
          <w:highlight w:val="none"/>
        </w:rPr>
        <w:br w:type="page"/>
      </w:r>
      <w:r>
        <w:rPr>
          <w:rFonts w:hint="eastAsia" w:ascii="黑体" w:hAnsi="宋体" w:eastAsia="黑体" w:cs="宋体"/>
          <w:sz w:val="28"/>
          <w:szCs w:val="28"/>
          <w:highlight w:val="none"/>
        </w:rPr>
        <w:t>技术部分评分表</w:t>
      </w:r>
    </w:p>
    <w:p>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（35分）</w:t>
      </w:r>
    </w:p>
    <w:tbl>
      <w:tblPr>
        <w:tblStyle w:val="25"/>
        <w:tblW w:w="9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1"/>
        <w:gridCol w:w="2009"/>
        <w:gridCol w:w="776"/>
        <w:gridCol w:w="6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701" w:type="dxa"/>
            <w:vAlign w:val="center"/>
          </w:tcPr>
          <w:p>
            <w:pPr>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序号</w:t>
            </w:r>
          </w:p>
        </w:tc>
        <w:tc>
          <w:tcPr>
            <w:tcW w:w="2009" w:type="dxa"/>
            <w:vAlign w:val="center"/>
          </w:tcPr>
          <w:p>
            <w:pPr>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评分因素</w:t>
            </w:r>
          </w:p>
        </w:tc>
        <w:tc>
          <w:tcPr>
            <w:tcW w:w="776" w:type="dxa"/>
            <w:vAlign w:val="center"/>
          </w:tcPr>
          <w:p>
            <w:pPr>
              <w:jc w:val="center"/>
              <w:rPr>
                <w:rFonts w:asciiTheme="minorEastAsia" w:hAnsiTheme="minorEastAsia" w:eastAsiaTheme="minorEastAsia" w:cstheme="minorEastAsia"/>
                <w:b/>
                <w:szCs w:val="21"/>
                <w:highlight w:val="none"/>
                <w:u w:val="single"/>
              </w:rPr>
            </w:pPr>
            <w:r>
              <w:rPr>
                <w:rFonts w:hint="eastAsia" w:asciiTheme="minorEastAsia" w:hAnsiTheme="minorEastAsia" w:eastAsiaTheme="minorEastAsia" w:cstheme="minorEastAsia"/>
                <w:b/>
                <w:szCs w:val="21"/>
                <w:highlight w:val="none"/>
              </w:rPr>
              <w:t>分值（分）</w:t>
            </w:r>
          </w:p>
        </w:tc>
        <w:tc>
          <w:tcPr>
            <w:tcW w:w="6146" w:type="dxa"/>
            <w:vAlign w:val="center"/>
          </w:tcPr>
          <w:p>
            <w:pPr>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701" w:type="dxa"/>
            <w:vAlign w:val="center"/>
          </w:tcPr>
          <w:p>
            <w:pPr>
              <w:widowControl/>
              <w:numPr>
                <w:ilvl w:val="0"/>
                <w:numId w:val="35"/>
              </w:numPr>
              <w:tabs>
                <w:tab w:val="left" w:pos="220"/>
              </w:tabs>
              <w:ind w:left="635"/>
              <w:jc w:val="center"/>
              <w:rPr>
                <w:rFonts w:asciiTheme="minorEastAsia" w:hAnsiTheme="minorEastAsia" w:eastAsiaTheme="minorEastAsia" w:cstheme="minorEastAsia"/>
                <w:bCs/>
                <w:szCs w:val="21"/>
                <w:highlight w:val="none"/>
              </w:rPr>
            </w:pPr>
          </w:p>
        </w:tc>
        <w:tc>
          <w:tcPr>
            <w:tcW w:w="2009" w:type="dxa"/>
            <w:vAlign w:val="center"/>
          </w:tcPr>
          <w:p>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服务技术（参数）要求响应情况 </w:t>
            </w:r>
          </w:p>
        </w:tc>
        <w:tc>
          <w:tcPr>
            <w:tcW w:w="776" w:type="dxa"/>
            <w:vAlign w:val="center"/>
          </w:tcPr>
          <w:p>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w:t>
            </w:r>
          </w:p>
        </w:tc>
        <w:tc>
          <w:tcPr>
            <w:tcW w:w="6146" w:type="dxa"/>
          </w:tcPr>
          <w:p>
            <w:p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根据投标人对服务技术（参数）要求（除“</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Cs/>
                <w:szCs w:val="21"/>
                <w:highlight w:val="none"/>
              </w:rPr>
              <w:t>”</w:t>
            </w:r>
            <w:r>
              <w:rPr>
                <w:rFonts w:hint="eastAsia" w:asciiTheme="minorEastAsia" w:hAnsiTheme="minorEastAsia" w:eastAsiaTheme="minorEastAsia" w:cstheme="minorEastAsia"/>
                <w:szCs w:val="21"/>
                <w:highlight w:val="none"/>
              </w:rPr>
              <w:t>号条款及商务要求外</w:t>
            </w:r>
            <w:r>
              <w:rPr>
                <w:rFonts w:hint="eastAsia" w:asciiTheme="minorEastAsia" w:hAnsiTheme="minorEastAsia" w:eastAsiaTheme="minorEastAsia" w:cstheme="minorEastAsia"/>
                <w:bCs/>
                <w:szCs w:val="21"/>
                <w:highlight w:val="none"/>
              </w:rPr>
              <w:t xml:space="preserve">）响应情况： </w:t>
            </w:r>
          </w:p>
          <w:p>
            <w:pPr>
              <w:numPr>
                <w:ilvl w:val="0"/>
                <w:numId w:val="36"/>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能完全响应或优于技术（参数）要求全部条款得5分；</w:t>
            </w:r>
          </w:p>
          <w:p>
            <w:pPr>
              <w:numPr>
                <w:ilvl w:val="0"/>
                <w:numId w:val="36"/>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出现1-5项负偏离的，得3分；</w:t>
            </w:r>
          </w:p>
          <w:p>
            <w:pPr>
              <w:numPr>
                <w:ilvl w:val="0"/>
                <w:numId w:val="36"/>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出现6-9项负偏离的，得1分；</w:t>
            </w:r>
          </w:p>
          <w:p>
            <w:pPr>
              <w:numPr>
                <w:ilvl w:val="0"/>
                <w:numId w:val="36"/>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出现10项（含）及以上负偏离的，不得分。</w:t>
            </w:r>
          </w:p>
          <w:p>
            <w:pPr>
              <w:adjustRightInd w:val="0"/>
              <w:snapToGrid w:val="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注：以上 “项”为技术（参数）要求中最小层级序号的条款。须在《用户需求书响应一览表》中进行响应。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701" w:type="dxa"/>
            <w:vAlign w:val="center"/>
          </w:tcPr>
          <w:p>
            <w:pPr>
              <w:widowControl/>
              <w:numPr>
                <w:ilvl w:val="0"/>
                <w:numId w:val="35"/>
              </w:numPr>
              <w:tabs>
                <w:tab w:val="left" w:pos="220"/>
              </w:tabs>
              <w:ind w:left="635"/>
              <w:jc w:val="center"/>
              <w:rPr>
                <w:rFonts w:asciiTheme="minorEastAsia" w:hAnsiTheme="minorEastAsia" w:eastAsiaTheme="minorEastAsia" w:cstheme="minorEastAsia"/>
                <w:bCs/>
                <w:szCs w:val="21"/>
                <w:highlight w:val="none"/>
              </w:rPr>
            </w:pPr>
          </w:p>
        </w:tc>
        <w:tc>
          <w:tcPr>
            <w:tcW w:w="2009" w:type="dxa"/>
            <w:vAlign w:val="center"/>
          </w:tcPr>
          <w:p>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组织实施方案</w:t>
            </w:r>
          </w:p>
        </w:tc>
        <w:tc>
          <w:tcPr>
            <w:tcW w:w="776" w:type="dxa"/>
            <w:vAlign w:val="center"/>
          </w:tcPr>
          <w:p>
            <w:pPr>
              <w:autoSpaceDN w:val="0"/>
              <w:jc w:val="center"/>
              <w:textAlignment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szCs w:val="21"/>
                <w:highlight w:val="none"/>
                <w:lang w:val="en-US" w:eastAsia="zh-CN"/>
              </w:rPr>
              <w:t>6</w:t>
            </w:r>
          </w:p>
        </w:tc>
        <w:tc>
          <w:tcPr>
            <w:tcW w:w="6146" w:type="dxa"/>
            <w:vAlign w:val="center"/>
          </w:tcPr>
          <w:p>
            <w:pPr>
              <w:autoSpaceDN w:val="0"/>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w:t>
            </w:r>
            <w:r>
              <w:rPr>
                <w:rFonts w:hint="eastAsia" w:asciiTheme="minorEastAsia" w:hAnsiTheme="minorEastAsia" w:eastAsiaTheme="minorEastAsia" w:cstheme="minorEastAsia"/>
                <w:bCs/>
                <w:szCs w:val="21"/>
                <w:highlight w:val="none"/>
              </w:rPr>
              <w:t>各</w:t>
            </w:r>
            <w:r>
              <w:rPr>
                <w:rFonts w:hint="eastAsia" w:asciiTheme="minorEastAsia" w:hAnsiTheme="minorEastAsia" w:eastAsiaTheme="minorEastAsia" w:cstheme="minorEastAsia"/>
                <w:szCs w:val="21"/>
                <w:highlight w:val="none"/>
              </w:rPr>
              <w:t>投标人对本项目的组织实施方案（包括食品原材料的生产、采购、加工制作、运输、派发及善后处理等计划安排与实施措施）的合理性、针对性进行评审：</w:t>
            </w:r>
          </w:p>
          <w:p>
            <w:pPr>
              <w:numPr>
                <w:ilvl w:val="0"/>
                <w:numId w:val="37"/>
              </w:numPr>
              <w:autoSpaceDN w:val="0"/>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实施方案详细、全面、可行性高的，得</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分；</w:t>
            </w:r>
          </w:p>
          <w:p>
            <w:pPr>
              <w:numPr>
                <w:ilvl w:val="0"/>
                <w:numId w:val="37"/>
              </w:numPr>
              <w:autoSpaceDN w:val="0"/>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实施方案较详细、较全面、可行性较高的，得3分；</w:t>
            </w:r>
          </w:p>
          <w:p>
            <w:pPr>
              <w:numPr>
                <w:ilvl w:val="0"/>
                <w:numId w:val="37"/>
              </w:numPr>
              <w:autoSpaceDN w:val="0"/>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实施方案较差、不全面、可行性较差的，得1分。</w:t>
            </w:r>
          </w:p>
          <w:p>
            <w:pPr>
              <w:numPr>
                <w:ilvl w:val="0"/>
                <w:numId w:val="37"/>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1" w:type="dxa"/>
            <w:vAlign w:val="center"/>
          </w:tcPr>
          <w:p>
            <w:pPr>
              <w:widowControl/>
              <w:numPr>
                <w:ilvl w:val="0"/>
                <w:numId w:val="35"/>
              </w:numPr>
              <w:tabs>
                <w:tab w:val="left" w:pos="210"/>
              </w:tabs>
              <w:ind w:left="635"/>
              <w:jc w:val="center"/>
              <w:rPr>
                <w:rFonts w:asciiTheme="minorEastAsia" w:hAnsiTheme="minorEastAsia" w:eastAsiaTheme="minorEastAsia" w:cstheme="minorEastAsia"/>
                <w:bCs/>
                <w:szCs w:val="21"/>
                <w:highlight w:val="none"/>
              </w:rPr>
            </w:pPr>
          </w:p>
        </w:tc>
        <w:tc>
          <w:tcPr>
            <w:tcW w:w="2009" w:type="dxa"/>
            <w:vAlign w:val="center"/>
          </w:tcPr>
          <w:p>
            <w:pPr>
              <w:jc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kern w:val="0"/>
                <w:szCs w:val="21"/>
                <w:highlight w:val="none"/>
              </w:rPr>
              <w:t>食品安全与质量保障措施</w:t>
            </w:r>
          </w:p>
        </w:tc>
        <w:tc>
          <w:tcPr>
            <w:tcW w:w="776" w:type="dxa"/>
            <w:vAlign w:val="center"/>
          </w:tcPr>
          <w:p>
            <w:pPr>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val="en-US" w:eastAsia="zh-CN"/>
              </w:rPr>
              <w:t>6</w:t>
            </w:r>
          </w:p>
        </w:tc>
        <w:tc>
          <w:tcPr>
            <w:tcW w:w="6146" w:type="dxa"/>
            <w:vAlign w:val="center"/>
          </w:tcPr>
          <w:p>
            <w:pPr>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根据各投标人在货物配送的各个环节提出的对食品安全与质量保障措施，结合其相关管理制度的完善性，对其详细性、科学性、合理性及可操作性进行评审：</w:t>
            </w:r>
          </w:p>
          <w:p>
            <w:pPr>
              <w:numPr>
                <w:ilvl w:val="0"/>
                <w:numId w:val="38"/>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食品安全与质量保障措施详细合理，科学性、可操作性强，完全满足采购要求的，得</w:t>
            </w:r>
            <w:r>
              <w:rPr>
                <w:rFonts w:hint="eastAsia" w:asciiTheme="minorEastAsia" w:hAnsiTheme="minorEastAsia" w:eastAsiaTheme="minorEastAsia" w:cstheme="minorEastAsia"/>
                <w:bCs/>
                <w:szCs w:val="21"/>
                <w:highlight w:val="none"/>
                <w:lang w:val="en-US" w:eastAsia="zh-CN"/>
              </w:rPr>
              <w:t>6</w:t>
            </w:r>
            <w:r>
              <w:rPr>
                <w:rFonts w:hint="eastAsia" w:asciiTheme="minorEastAsia" w:hAnsiTheme="minorEastAsia" w:eastAsiaTheme="minorEastAsia" w:cstheme="minorEastAsia"/>
                <w:bCs/>
                <w:szCs w:val="21"/>
                <w:highlight w:val="none"/>
              </w:rPr>
              <w:t>分；</w:t>
            </w:r>
          </w:p>
          <w:p>
            <w:pPr>
              <w:numPr>
                <w:ilvl w:val="0"/>
                <w:numId w:val="38"/>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食品安全与质量保障措施比较详细合理，科学性、可操作性较强的，得3分；</w:t>
            </w:r>
          </w:p>
          <w:p>
            <w:pPr>
              <w:numPr>
                <w:ilvl w:val="0"/>
                <w:numId w:val="38"/>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食品安全与质量保障措施较差，科学性、可操作性较差的，得1分。</w:t>
            </w:r>
          </w:p>
          <w:p>
            <w:pPr>
              <w:numPr>
                <w:ilvl w:val="0"/>
                <w:numId w:val="38"/>
              </w:numPr>
              <w:autoSpaceDN w:val="0"/>
              <w:ind w:left="425" w:leftChars="0" w:hanging="425" w:firstLineChars="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701" w:type="dxa"/>
            <w:vAlign w:val="center"/>
          </w:tcPr>
          <w:p>
            <w:pPr>
              <w:widowControl/>
              <w:numPr>
                <w:ilvl w:val="0"/>
                <w:numId w:val="35"/>
              </w:numPr>
              <w:tabs>
                <w:tab w:val="left" w:pos="210"/>
              </w:tabs>
              <w:ind w:left="635"/>
              <w:jc w:val="center"/>
              <w:rPr>
                <w:rFonts w:asciiTheme="minorEastAsia" w:hAnsiTheme="minorEastAsia" w:eastAsiaTheme="minorEastAsia" w:cstheme="minorEastAsia"/>
                <w:bCs/>
                <w:szCs w:val="21"/>
                <w:highlight w:val="none"/>
              </w:rPr>
            </w:pPr>
          </w:p>
        </w:tc>
        <w:tc>
          <w:tcPr>
            <w:tcW w:w="2009" w:type="dxa"/>
            <w:vAlign w:val="center"/>
          </w:tcPr>
          <w:p>
            <w:pPr>
              <w:pStyle w:val="41"/>
              <w:tabs>
                <w:tab w:val="left" w:pos="0"/>
              </w:tabs>
              <w:adjustRightInd w:val="0"/>
              <w:snapToGrid w:val="0"/>
              <w:spacing w:after="100"/>
              <w:jc w:val="center"/>
              <w:rPr>
                <w:rFonts w:asciiTheme="minorEastAsia" w:hAnsiTheme="minorEastAsia" w:eastAsiaTheme="minorEastAsia" w:cstheme="minorEastAsia"/>
                <w:bCs/>
                <w:kern w:val="0"/>
                <w:highlight w:val="none"/>
              </w:rPr>
            </w:pPr>
            <w:r>
              <w:rPr>
                <w:rFonts w:hint="eastAsia" w:asciiTheme="minorEastAsia" w:hAnsiTheme="minorEastAsia" w:eastAsiaTheme="minorEastAsia" w:cstheme="minorEastAsia"/>
                <w:color w:val="000000"/>
                <w:highlight w:val="none"/>
              </w:rPr>
              <w:t>应急处理方案</w:t>
            </w:r>
          </w:p>
        </w:tc>
        <w:tc>
          <w:tcPr>
            <w:tcW w:w="776" w:type="dxa"/>
            <w:vAlign w:val="center"/>
          </w:tcPr>
          <w:p>
            <w:pPr>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val="en-US" w:eastAsia="zh-CN"/>
              </w:rPr>
              <w:t>6</w:t>
            </w:r>
          </w:p>
        </w:tc>
        <w:tc>
          <w:tcPr>
            <w:tcW w:w="6146" w:type="dxa"/>
            <w:vAlign w:val="center"/>
          </w:tcPr>
          <w:p>
            <w:p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根据各投标人针对食品流通环节过程可能会出现的问题（如储运、货柜达不到标准致使食品变得不合格）作出的应急处理方案内容进行评审：</w:t>
            </w:r>
          </w:p>
          <w:p>
            <w:pPr>
              <w:numPr>
                <w:ilvl w:val="0"/>
                <w:numId w:val="39"/>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应急处理方案科学、可行性高、内容详细具体，得</w:t>
            </w:r>
            <w:r>
              <w:rPr>
                <w:rFonts w:hint="eastAsia" w:asciiTheme="minorEastAsia" w:hAnsiTheme="minorEastAsia" w:eastAsiaTheme="minorEastAsia" w:cstheme="minorEastAsia"/>
                <w:bCs/>
                <w:szCs w:val="21"/>
                <w:highlight w:val="none"/>
                <w:lang w:val="en-US" w:eastAsia="zh-CN"/>
              </w:rPr>
              <w:t>6</w:t>
            </w:r>
            <w:r>
              <w:rPr>
                <w:rFonts w:hint="eastAsia" w:asciiTheme="minorEastAsia" w:hAnsiTheme="minorEastAsia" w:eastAsiaTheme="minorEastAsia" w:cstheme="minorEastAsia"/>
                <w:bCs/>
                <w:szCs w:val="21"/>
                <w:highlight w:val="none"/>
              </w:rPr>
              <w:t>分；</w:t>
            </w:r>
          </w:p>
          <w:p>
            <w:pPr>
              <w:numPr>
                <w:ilvl w:val="0"/>
                <w:numId w:val="39"/>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应急处理方案较合理、可行性较高、内容较具体，得3分；</w:t>
            </w:r>
          </w:p>
          <w:p>
            <w:pPr>
              <w:numPr>
                <w:ilvl w:val="0"/>
                <w:numId w:val="39"/>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应急处理方案基本合理、可行性一般、内容不太具体，得1分；</w:t>
            </w:r>
          </w:p>
          <w:p>
            <w:pPr>
              <w:numPr>
                <w:ilvl w:val="0"/>
                <w:numId w:val="39"/>
              </w:numPr>
              <w:autoSpaceDN w:val="0"/>
              <w:textAlignment w:val="cente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701" w:type="dxa"/>
            <w:vAlign w:val="center"/>
          </w:tcPr>
          <w:p>
            <w:pPr>
              <w:widowControl/>
              <w:numPr>
                <w:ilvl w:val="0"/>
                <w:numId w:val="35"/>
              </w:numPr>
              <w:tabs>
                <w:tab w:val="left" w:pos="210"/>
              </w:tabs>
              <w:ind w:left="635"/>
              <w:jc w:val="center"/>
              <w:rPr>
                <w:rFonts w:asciiTheme="minorEastAsia" w:hAnsiTheme="minorEastAsia" w:eastAsiaTheme="minorEastAsia" w:cstheme="minorEastAsia"/>
                <w:bCs/>
                <w:szCs w:val="21"/>
                <w:highlight w:val="none"/>
              </w:rPr>
            </w:pPr>
          </w:p>
        </w:tc>
        <w:tc>
          <w:tcPr>
            <w:tcW w:w="2009" w:type="dxa"/>
            <w:vAlign w:val="center"/>
          </w:tcPr>
          <w:p>
            <w:pPr>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szCs w:val="21"/>
                <w:highlight w:val="none"/>
                <w:lang w:eastAsia="zh-CN"/>
              </w:rPr>
              <w:t>食品供应渠道</w:t>
            </w:r>
          </w:p>
        </w:tc>
        <w:tc>
          <w:tcPr>
            <w:tcW w:w="776" w:type="dxa"/>
            <w:vAlign w:val="center"/>
          </w:tcPr>
          <w:p>
            <w:pPr>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szCs w:val="21"/>
                <w:highlight w:val="none"/>
                <w:lang w:val="en-US" w:eastAsia="zh-CN"/>
              </w:rPr>
              <w:t>6</w:t>
            </w:r>
          </w:p>
        </w:tc>
        <w:tc>
          <w:tcPr>
            <w:tcW w:w="6146" w:type="dxa"/>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根据各投标</w:t>
            </w:r>
            <w:r>
              <w:rPr>
                <w:rFonts w:hint="eastAsia" w:asciiTheme="minorEastAsia" w:hAnsiTheme="minorEastAsia" w:eastAsiaTheme="minorEastAsia" w:cstheme="minorEastAsia"/>
                <w:szCs w:val="21"/>
                <w:highlight w:val="none"/>
                <w:lang w:eastAsia="zh-CN"/>
              </w:rPr>
              <w:t>的食品供应渠道链可靠性、多样性</w:t>
            </w:r>
            <w:r>
              <w:rPr>
                <w:rFonts w:hint="eastAsia" w:asciiTheme="minorEastAsia" w:hAnsiTheme="minorEastAsia" w:eastAsiaTheme="minorEastAsia" w:cstheme="minorEastAsia"/>
                <w:szCs w:val="21"/>
                <w:highlight w:val="none"/>
              </w:rPr>
              <w:t>进行评审：</w:t>
            </w:r>
          </w:p>
          <w:p>
            <w:pPr>
              <w:numPr>
                <w:ilvl w:val="0"/>
                <w:numId w:val="40"/>
              </w:num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供应渠道链可靠、多渠道</w:t>
            </w:r>
            <w:r>
              <w:rPr>
                <w:rFonts w:hint="eastAsia" w:asciiTheme="minorEastAsia" w:hAnsiTheme="minorEastAsia" w:eastAsiaTheme="minorEastAsia" w:cstheme="minorEastAsia"/>
                <w:szCs w:val="21"/>
                <w:highlight w:val="none"/>
              </w:rPr>
              <w:t>，得</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分；</w:t>
            </w:r>
          </w:p>
          <w:p>
            <w:pPr>
              <w:numPr>
                <w:ilvl w:val="0"/>
                <w:numId w:val="40"/>
              </w:num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供应渠道链可靠性一般、有一定渠道</w:t>
            </w:r>
            <w:r>
              <w:rPr>
                <w:rFonts w:hint="eastAsia" w:asciiTheme="minorEastAsia" w:hAnsiTheme="minorEastAsia" w:eastAsiaTheme="minorEastAsia" w:cstheme="minorEastAsia"/>
                <w:szCs w:val="21"/>
                <w:highlight w:val="none"/>
              </w:rPr>
              <w:t>，得3分；</w:t>
            </w:r>
          </w:p>
          <w:p>
            <w:pPr>
              <w:numPr>
                <w:ilvl w:val="0"/>
                <w:numId w:val="40"/>
              </w:num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供应渠道链可靠性较低、渠道单一</w:t>
            </w:r>
            <w:r>
              <w:rPr>
                <w:rFonts w:hint="eastAsia" w:asciiTheme="minorEastAsia" w:hAnsiTheme="minorEastAsia" w:eastAsiaTheme="minorEastAsia" w:cstheme="minorEastAsia"/>
                <w:szCs w:val="21"/>
                <w:highlight w:val="none"/>
              </w:rPr>
              <w:t>，得1分；</w:t>
            </w:r>
          </w:p>
          <w:p>
            <w:pPr>
              <w:numPr>
                <w:ilvl w:val="0"/>
                <w:numId w:val="40"/>
              </w:numPr>
              <w:rPr>
                <w:rFonts w:asciiTheme="minorEastAsia" w:hAnsiTheme="minorEastAsia" w:eastAsiaTheme="minorEastAsia" w:cstheme="minorEastAsia"/>
                <w:bCs/>
                <w:szCs w:val="21"/>
                <w:highlight w:val="none"/>
                <w:lang w:bidi="ar"/>
              </w:rPr>
            </w:pPr>
            <w:r>
              <w:rPr>
                <w:rFonts w:hint="eastAsia" w:asciiTheme="minorEastAsia" w:hAnsiTheme="minorEastAsia" w:eastAsiaTheme="minorEastAsia" w:cstheme="minorEastAsia"/>
                <w:szCs w:val="21"/>
                <w:highlight w:val="none"/>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4" w:hRule="atLeast"/>
          <w:jc w:val="center"/>
        </w:trPr>
        <w:tc>
          <w:tcPr>
            <w:tcW w:w="701" w:type="dxa"/>
            <w:vAlign w:val="center"/>
          </w:tcPr>
          <w:p>
            <w:pPr>
              <w:widowControl/>
              <w:numPr>
                <w:ilvl w:val="0"/>
                <w:numId w:val="35"/>
              </w:numPr>
              <w:tabs>
                <w:tab w:val="left" w:pos="210"/>
              </w:tabs>
              <w:ind w:left="635"/>
              <w:jc w:val="center"/>
              <w:rPr>
                <w:rFonts w:asciiTheme="minorEastAsia" w:hAnsiTheme="minorEastAsia" w:eastAsiaTheme="minorEastAsia" w:cstheme="minorEastAsia"/>
                <w:bCs/>
                <w:szCs w:val="21"/>
                <w:highlight w:val="none"/>
              </w:rPr>
            </w:pPr>
          </w:p>
        </w:tc>
        <w:tc>
          <w:tcPr>
            <w:tcW w:w="2009" w:type="dxa"/>
            <w:vAlign w:val="center"/>
          </w:tcPr>
          <w:p>
            <w:pPr>
              <w:pStyle w:val="41"/>
              <w:ind w:left="-63" w:leftChars="-30" w:right="-88" w:rightChars="-42"/>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color w:val="000000"/>
                <w:highlight w:val="none"/>
              </w:rPr>
              <w:t>服务便捷程度</w:t>
            </w:r>
          </w:p>
        </w:tc>
        <w:tc>
          <w:tcPr>
            <w:tcW w:w="776" w:type="dxa"/>
            <w:vAlign w:val="center"/>
          </w:tcPr>
          <w:p>
            <w:pPr>
              <w:pStyle w:val="41"/>
              <w:ind w:left="-63" w:leftChars="-30" w:right="-88" w:rightChars="-42"/>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Cs/>
                <w:color w:val="000000"/>
                <w:highlight w:val="none"/>
                <w:lang w:val="en-US" w:eastAsia="zh-CN"/>
              </w:rPr>
              <w:t>6</w:t>
            </w:r>
          </w:p>
        </w:tc>
        <w:tc>
          <w:tcPr>
            <w:tcW w:w="6146" w:type="dxa"/>
          </w:tcPr>
          <w:p>
            <w:pPr>
              <w:pStyle w:val="41"/>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rPr>
              <w:t>根据各投标人为本项目提供服务的便捷性、快速响应</w:t>
            </w:r>
            <w:r>
              <w:rPr>
                <w:rFonts w:hint="eastAsia" w:asciiTheme="minorEastAsia" w:hAnsiTheme="minorEastAsia" w:eastAsiaTheme="minorEastAsia" w:cstheme="minorEastAsia"/>
                <w:color w:val="000000"/>
                <w:highlight w:val="none"/>
                <w:lang w:eastAsia="zh-CN"/>
              </w:rPr>
              <w:t>招标人</w:t>
            </w:r>
            <w:r>
              <w:rPr>
                <w:rFonts w:hint="eastAsia" w:asciiTheme="minorEastAsia" w:hAnsiTheme="minorEastAsia" w:eastAsiaTheme="minorEastAsia" w:cstheme="minorEastAsia"/>
                <w:color w:val="000000"/>
                <w:highlight w:val="none"/>
              </w:rPr>
              <w:t>服务要求的可行性及优越性等进行评审：</w:t>
            </w:r>
          </w:p>
          <w:p>
            <w:pPr>
              <w:pStyle w:val="48"/>
              <w:numPr>
                <w:ilvl w:val="0"/>
                <w:numId w:val="41"/>
              </w:num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服务便捷性高，响应时间迅速、服务措施合理的，得</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分；</w:t>
            </w:r>
          </w:p>
          <w:p>
            <w:pPr>
              <w:pStyle w:val="48"/>
              <w:numPr>
                <w:ilvl w:val="0"/>
                <w:numId w:val="41"/>
              </w:num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服务便捷性较高，响应时间较快、服务措施较好的，得3分；</w:t>
            </w:r>
          </w:p>
          <w:p>
            <w:pPr>
              <w:pStyle w:val="48"/>
              <w:numPr>
                <w:ilvl w:val="0"/>
                <w:numId w:val="41"/>
              </w:num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服务便捷性较差，响应时间较慢、服务措施较差，服务计划不够全面、简单的，得1分；</w:t>
            </w:r>
          </w:p>
          <w:p>
            <w:pPr>
              <w:pStyle w:val="48"/>
              <w:numPr>
                <w:ilvl w:val="0"/>
                <w:numId w:val="41"/>
              </w:num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不提供不得分。</w:t>
            </w:r>
          </w:p>
        </w:tc>
      </w:tr>
    </w:tbl>
    <w:p>
      <w:pPr>
        <w:snapToGrid w:val="0"/>
        <w:spacing w:line="360" w:lineRule="auto"/>
        <w:ind w:firstLine="105" w:firstLineChars="50"/>
        <w:rPr>
          <w:rFonts w:ascii="宋体" w:hAnsi="宋体" w:cs="宋体"/>
          <w:snapToGrid w:val="0"/>
          <w:kern w:val="0"/>
          <w:szCs w:val="21"/>
          <w:highlight w:val="none"/>
        </w:rPr>
      </w:pPr>
      <w:r>
        <w:rPr>
          <w:rFonts w:hint="eastAsia" w:ascii="宋体" w:hAnsi="宋体" w:cs="宋体"/>
          <w:snapToGrid w:val="0"/>
          <w:kern w:val="0"/>
          <w:szCs w:val="21"/>
          <w:highlight w:val="none"/>
        </w:rPr>
        <w:t>备注：</w:t>
      </w:r>
    </w:p>
    <w:p>
      <w:pPr>
        <w:numPr>
          <w:ilvl w:val="0"/>
          <w:numId w:val="42"/>
        </w:numPr>
        <w:snapToGrid w:val="0"/>
        <w:spacing w:line="360" w:lineRule="auto"/>
        <w:rPr>
          <w:rFonts w:ascii="宋体" w:hAnsi="宋体" w:cs="宋体"/>
          <w:bCs/>
          <w:szCs w:val="21"/>
          <w:highlight w:val="none"/>
        </w:rPr>
      </w:pPr>
      <w:r>
        <w:rPr>
          <w:rFonts w:hint="eastAsia" w:ascii="宋体" w:hAnsi="宋体" w:cs="宋体"/>
          <w:bCs/>
          <w:szCs w:val="21"/>
          <w:highlight w:val="none"/>
        </w:rPr>
        <w:t>招标文件要求提交的与评价指标体系相关的各类有效资料，投标人如未按要求提交的，该项评分为零分。</w:t>
      </w:r>
    </w:p>
    <w:p>
      <w:pPr>
        <w:numPr>
          <w:ilvl w:val="0"/>
          <w:numId w:val="42"/>
        </w:numPr>
        <w:snapToGrid w:val="0"/>
        <w:spacing w:line="360" w:lineRule="auto"/>
        <w:rPr>
          <w:rFonts w:ascii="宋体" w:hAnsi="宋体" w:cs="宋体"/>
          <w:bCs/>
          <w:szCs w:val="21"/>
          <w:highlight w:val="none"/>
        </w:rPr>
      </w:pPr>
      <w:r>
        <w:rPr>
          <w:rFonts w:hint="eastAsia" w:ascii="宋体" w:hAnsi="宋体" w:cs="宋体"/>
          <w:bCs/>
          <w:szCs w:val="21"/>
          <w:highlight w:val="none"/>
        </w:rPr>
        <w:t>技术评分：所有评委评分分值的算术平均值（四舍五入后，</w:t>
      </w:r>
      <w:r>
        <w:rPr>
          <w:rFonts w:hint="eastAsia" w:ascii="宋体" w:hAnsi="宋体" w:cs="宋体"/>
          <w:szCs w:val="21"/>
          <w:highlight w:val="none"/>
        </w:rPr>
        <w:t>小数点后保留两位有效数</w:t>
      </w:r>
      <w:r>
        <w:rPr>
          <w:rFonts w:hint="eastAsia" w:ascii="宋体" w:hAnsi="宋体" w:cs="宋体"/>
          <w:bCs/>
          <w:szCs w:val="21"/>
          <w:highlight w:val="none"/>
        </w:rPr>
        <w:t>）。</w:t>
      </w:r>
    </w:p>
    <w:p>
      <w:pPr>
        <w:snapToGrid w:val="0"/>
        <w:spacing w:line="360" w:lineRule="auto"/>
        <w:ind w:firstLine="525" w:firstLineChars="250"/>
        <w:rPr>
          <w:rFonts w:ascii="宋体" w:hAnsi="宋体" w:cs="宋体"/>
          <w:bCs/>
          <w:szCs w:val="21"/>
          <w:highlight w:val="none"/>
        </w:rPr>
        <w:sectPr>
          <w:pgSz w:w="11906" w:h="16838"/>
          <w:pgMar w:top="1440" w:right="1286" w:bottom="1440" w:left="1440" w:header="851" w:footer="992" w:gutter="0"/>
          <w:cols w:space="720" w:num="1"/>
          <w:docGrid w:type="lines" w:linePitch="312" w:charSpace="0"/>
        </w:sectPr>
      </w:pPr>
    </w:p>
    <w:p>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商务部分评分表</w:t>
      </w:r>
    </w:p>
    <w:p>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（35分）</w:t>
      </w:r>
    </w:p>
    <w:tbl>
      <w:tblPr>
        <w:tblStyle w:val="25"/>
        <w:tblW w:w="93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2056"/>
        <w:gridCol w:w="983"/>
        <w:gridCol w:w="54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838" w:type="dxa"/>
            <w:vAlign w:val="center"/>
          </w:tcPr>
          <w:p>
            <w:pPr>
              <w:jc w:val="center"/>
              <w:rPr>
                <w:rFonts w:ascii="宋体" w:hAnsi="宋体" w:cs="宋体"/>
                <w:b/>
                <w:szCs w:val="21"/>
                <w:highlight w:val="none"/>
              </w:rPr>
            </w:pPr>
            <w:r>
              <w:rPr>
                <w:rFonts w:hint="eastAsia" w:ascii="宋体" w:hAnsi="宋体" w:cs="宋体"/>
                <w:b/>
                <w:szCs w:val="21"/>
                <w:highlight w:val="none"/>
              </w:rPr>
              <w:t>序号</w:t>
            </w:r>
          </w:p>
        </w:tc>
        <w:tc>
          <w:tcPr>
            <w:tcW w:w="2056" w:type="dxa"/>
            <w:vAlign w:val="center"/>
          </w:tcPr>
          <w:p>
            <w:pPr>
              <w:jc w:val="center"/>
              <w:rPr>
                <w:rFonts w:ascii="宋体" w:hAnsi="宋体" w:cs="宋体"/>
                <w:b/>
                <w:szCs w:val="21"/>
                <w:highlight w:val="none"/>
              </w:rPr>
            </w:pPr>
            <w:r>
              <w:rPr>
                <w:rFonts w:hint="eastAsia" w:ascii="宋体" w:hAnsi="宋体" w:cs="宋体"/>
                <w:b/>
                <w:szCs w:val="21"/>
                <w:highlight w:val="none"/>
              </w:rPr>
              <w:t>评分因素</w:t>
            </w:r>
          </w:p>
        </w:tc>
        <w:tc>
          <w:tcPr>
            <w:tcW w:w="983" w:type="dxa"/>
            <w:vAlign w:val="center"/>
          </w:tcPr>
          <w:p>
            <w:pPr>
              <w:jc w:val="center"/>
              <w:rPr>
                <w:rFonts w:ascii="宋体" w:hAnsi="宋体" w:cs="宋体"/>
                <w:b/>
                <w:szCs w:val="21"/>
                <w:highlight w:val="none"/>
                <w:u w:val="single"/>
              </w:rPr>
            </w:pPr>
            <w:r>
              <w:rPr>
                <w:rFonts w:hint="eastAsia" w:ascii="宋体" w:hAnsi="宋体" w:cs="宋体"/>
                <w:b/>
                <w:szCs w:val="21"/>
                <w:highlight w:val="none"/>
              </w:rPr>
              <w:t>分值（分）</w:t>
            </w:r>
          </w:p>
        </w:tc>
        <w:tc>
          <w:tcPr>
            <w:tcW w:w="5449" w:type="dxa"/>
            <w:vAlign w:val="center"/>
          </w:tcPr>
          <w:p>
            <w:pPr>
              <w:jc w:val="center"/>
              <w:rPr>
                <w:rFonts w:ascii="宋体" w:hAnsi="宋体" w:cs="宋体"/>
                <w:b/>
                <w:szCs w:val="21"/>
                <w:highlight w:val="none"/>
              </w:rPr>
            </w:pPr>
            <w:r>
              <w:rPr>
                <w:rFonts w:hint="eastAsia" w:ascii="宋体" w:hAnsi="宋体" w:cs="宋体"/>
                <w:b/>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838" w:type="dxa"/>
            <w:vAlign w:val="center"/>
          </w:tcPr>
          <w:p>
            <w:pPr>
              <w:widowControl/>
              <w:numPr>
                <w:ilvl w:val="0"/>
                <w:numId w:val="43"/>
              </w:numPr>
              <w:tabs>
                <w:tab w:val="left" w:pos="220"/>
              </w:tabs>
              <w:jc w:val="center"/>
              <w:rPr>
                <w:rFonts w:ascii="宋体" w:hAnsi="宋体" w:cs="宋体"/>
                <w:szCs w:val="21"/>
                <w:highlight w:val="none"/>
              </w:rPr>
            </w:pPr>
          </w:p>
        </w:tc>
        <w:tc>
          <w:tcPr>
            <w:tcW w:w="2056" w:type="dxa"/>
            <w:vAlign w:val="center"/>
          </w:tcPr>
          <w:p>
            <w:pPr>
              <w:jc w:val="center"/>
              <w:rPr>
                <w:rFonts w:ascii="宋体" w:hAnsi="宋体" w:cs="宋体"/>
                <w:kern w:val="0"/>
                <w:szCs w:val="21"/>
                <w:highlight w:val="none"/>
              </w:rPr>
            </w:pPr>
            <w:r>
              <w:rPr>
                <w:rFonts w:hint="eastAsia"/>
                <w:highlight w:val="none"/>
              </w:rPr>
              <w:t>内部管理制度</w:t>
            </w:r>
          </w:p>
        </w:tc>
        <w:tc>
          <w:tcPr>
            <w:tcW w:w="983" w:type="dxa"/>
            <w:vAlign w:val="center"/>
          </w:tcPr>
          <w:p>
            <w:pPr>
              <w:jc w:val="center"/>
              <w:rPr>
                <w:rFonts w:ascii="宋体" w:hAnsi="宋体" w:cs="宋体"/>
                <w:szCs w:val="21"/>
                <w:highlight w:val="none"/>
              </w:rPr>
            </w:pPr>
            <w:r>
              <w:rPr>
                <w:rFonts w:hint="eastAsia" w:ascii="宋体" w:hAnsi="宋体" w:cs="宋体"/>
                <w:szCs w:val="21"/>
                <w:highlight w:val="none"/>
              </w:rPr>
              <w:t>10</w:t>
            </w:r>
          </w:p>
        </w:tc>
        <w:tc>
          <w:tcPr>
            <w:tcW w:w="5449" w:type="dxa"/>
            <w:vAlign w:val="center"/>
          </w:tcPr>
          <w:p>
            <w:pPr>
              <w:widowControl/>
              <w:rPr>
                <w:rFonts w:ascii="宋体" w:hAnsi="宋体" w:cs="宋体"/>
                <w:szCs w:val="21"/>
                <w:highlight w:val="none"/>
              </w:rPr>
            </w:pPr>
            <w:r>
              <w:rPr>
                <w:rFonts w:hint="eastAsia" w:ascii="宋体" w:hAnsi="宋体" w:cs="宋体"/>
                <w:szCs w:val="21"/>
                <w:highlight w:val="none"/>
              </w:rPr>
              <w:t>根据各投标人内部管理制度（包括但不限于财务制度、考勤制度、请休假制度、安全保密制度、风险防控制度等）进行评审：</w:t>
            </w:r>
          </w:p>
          <w:p>
            <w:pPr>
              <w:widowControl/>
              <w:numPr>
                <w:ilvl w:val="0"/>
                <w:numId w:val="44"/>
              </w:numPr>
              <w:rPr>
                <w:rFonts w:ascii="宋体" w:hAnsi="宋体" w:cs="宋体"/>
                <w:szCs w:val="21"/>
                <w:highlight w:val="none"/>
              </w:rPr>
            </w:pPr>
            <w:r>
              <w:rPr>
                <w:rFonts w:hint="eastAsia" w:ascii="宋体" w:hAnsi="宋体" w:cs="宋体"/>
                <w:szCs w:val="21"/>
                <w:highlight w:val="none"/>
              </w:rPr>
              <w:t>内部管理制度完善、可行性强，得10分；</w:t>
            </w:r>
          </w:p>
          <w:p>
            <w:pPr>
              <w:widowControl/>
              <w:numPr>
                <w:ilvl w:val="0"/>
                <w:numId w:val="44"/>
              </w:numPr>
              <w:rPr>
                <w:rFonts w:ascii="宋体" w:hAnsi="宋体" w:cs="宋体"/>
                <w:szCs w:val="21"/>
                <w:highlight w:val="none"/>
              </w:rPr>
            </w:pPr>
            <w:r>
              <w:rPr>
                <w:rFonts w:hint="eastAsia" w:ascii="宋体" w:hAnsi="宋体" w:cs="宋体"/>
                <w:szCs w:val="21"/>
                <w:highlight w:val="none"/>
              </w:rPr>
              <w:t>内部管理制度比较完善、可行性比较强，得6分；</w:t>
            </w:r>
          </w:p>
          <w:p>
            <w:pPr>
              <w:widowControl/>
              <w:numPr>
                <w:ilvl w:val="0"/>
                <w:numId w:val="44"/>
              </w:numPr>
              <w:rPr>
                <w:rFonts w:ascii="宋体" w:hAnsi="宋体" w:cs="宋体"/>
                <w:szCs w:val="21"/>
                <w:highlight w:val="none"/>
              </w:rPr>
            </w:pPr>
            <w:r>
              <w:rPr>
                <w:rFonts w:hint="eastAsia" w:ascii="宋体" w:hAnsi="宋体" w:cs="宋体"/>
                <w:szCs w:val="21"/>
                <w:highlight w:val="none"/>
              </w:rPr>
              <w:t>内部管理制度完善性、可行性差，得2分</w:t>
            </w:r>
          </w:p>
          <w:p>
            <w:pPr>
              <w:widowControl/>
              <w:numPr>
                <w:ilvl w:val="0"/>
                <w:numId w:val="44"/>
              </w:numPr>
              <w:rPr>
                <w:rFonts w:ascii="宋体" w:hAnsi="宋体" w:cs="宋体"/>
                <w:highlight w:val="none"/>
              </w:rPr>
            </w:pPr>
            <w:r>
              <w:rPr>
                <w:rFonts w:hint="eastAsia" w:ascii="宋体" w:hAnsi="宋体" w:cs="宋体"/>
                <w:szCs w:val="21"/>
                <w:highlight w:val="none"/>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838" w:type="dxa"/>
            <w:vAlign w:val="center"/>
          </w:tcPr>
          <w:p>
            <w:pPr>
              <w:widowControl/>
              <w:numPr>
                <w:ilvl w:val="0"/>
                <w:numId w:val="43"/>
              </w:numPr>
              <w:tabs>
                <w:tab w:val="left" w:pos="220"/>
              </w:tabs>
              <w:jc w:val="center"/>
              <w:rPr>
                <w:rFonts w:ascii="宋体" w:hAnsi="宋体" w:cs="宋体"/>
                <w:szCs w:val="21"/>
                <w:highlight w:val="none"/>
              </w:rPr>
            </w:pPr>
          </w:p>
        </w:tc>
        <w:tc>
          <w:tcPr>
            <w:tcW w:w="2056" w:type="dxa"/>
            <w:vAlign w:val="center"/>
          </w:tcPr>
          <w:p>
            <w:pPr>
              <w:jc w:val="center"/>
              <w:rPr>
                <w:rFonts w:ascii="宋体" w:hAnsi="宋体" w:cs="宋体"/>
                <w:szCs w:val="21"/>
                <w:highlight w:val="none"/>
              </w:rPr>
            </w:pPr>
            <w:r>
              <w:rPr>
                <w:rFonts w:hint="eastAsia" w:ascii="宋体" w:hAnsi="宋体" w:cs="宋体"/>
                <w:kern w:val="0"/>
                <w:szCs w:val="21"/>
                <w:highlight w:val="none"/>
              </w:rPr>
              <w:t>体系认证</w:t>
            </w:r>
          </w:p>
        </w:tc>
        <w:tc>
          <w:tcPr>
            <w:tcW w:w="983" w:type="dxa"/>
            <w:vAlign w:val="center"/>
          </w:tcPr>
          <w:p>
            <w:pPr>
              <w:jc w:val="center"/>
              <w:rPr>
                <w:rFonts w:ascii="宋体" w:hAnsi="宋体" w:cs="宋体"/>
                <w:szCs w:val="21"/>
                <w:highlight w:val="none"/>
              </w:rPr>
            </w:pPr>
            <w:r>
              <w:rPr>
                <w:rFonts w:hint="eastAsia" w:ascii="宋体" w:hAnsi="宋体" w:cs="宋体"/>
                <w:szCs w:val="21"/>
                <w:highlight w:val="none"/>
              </w:rPr>
              <w:t>9</w:t>
            </w:r>
          </w:p>
        </w:tc>
        <w:tc>
          <w:tcPr>
            <w:tcW w:w="5449" w:type="dxa"/>
          </w:tcPr>
          <w:p>
            <w:pPr>
              <w:rPr>
                <w:rFonts w:ascii="宋体" w:hAnsi="宋体" w:cs="宋体"/>
                <w:szCs w:val="21"/>
                <w:highlight w:val="none"/>
              </w:rPr>
            </w:pPr>
            <w:r>
              <w:rPr>
                <w:rFonts w:hint="eastAsia" w:ascii="宋体" w:hAnsi="宋体" w:cs="宋体"/>
                <w:szCs w:val="21"/>
                <w:highlight w:val="none"/>
              </w:rPr>
              <w:t>投标人获得国家认可的评定机构颁发的以下有效的认证证书，最高得9分。</w:t>
            </w:r>
          </w:p>
          <w:p>
            <w:pPr>
              <w:numPr>
                <w:ilvl w:val="0"/>
                <w:numId w:val="45"/>
              </w:numPr>
              <w:rPr>
                <w:rFonts w:ascii="宋体" w:hAnsi="宋体" w:cs="宋体"/>
                <w:szCs w:val="21"/>
                <w:highlight w:val="none"/>
              </w:rPr>
            </w:pPr>
            <w:r>
              <w:rPr>
                <w:rFonts w:hint="eastAsia" w:ascii="宋体" w:hAnsi="宋体" w:cs="宋体"/>
                <w:szCs w:val="21"/>
                <w:highlight w:val="none"/>
              </w:rPr>
              <w:t>质量管理体系认证证书，得3分；</w:t>
            </w:r>
          </w:p>
          <w:p>
            <w:pPr>
              <w:numPr>
                <w:ilvl w:val="0"/>
                <w:numId w:val="45"/>
              </w:numPr>
              <w:rPr>
                <w:rFonts w:ascii="宋体" w:hAnsi="宋体" w:cs="宋体"/>
                <w:szCs w:val="21"/>
                <w:highlight w:val="none"/>
              </w:rPr>
            </w:pPr>
            <w:r>
              <w:rPr>
                <w:rFonts w:hint="eastAsia" w:ascii="宋体" w:hAnsi="宋体" w:cs="宋体"/>
                <w:szCs w:val="21"/>
                <w:highlight w:val="none"/>
              </w:rPr>
              <w:t>环境管理体系认证证书，得3分；</w:t>
            </w:r>
          </w:p>
          <w:p>
            <w:pPr>
              <w:numPr>
                <w:ilvl w:val="0"/>
                <w:numId w:val="45"/>
              </w:numPr>
              <w:rPr>
                <w:rFonts w:ascii="宋体" w:hAnsi="宋体" w:cs="宋体"/>
                <w:szCs w:val="21"/>
                <w:highlight w:val="none"/>
              </w:rPr>
            </w:pPr>
            <w:r>
              <w:rPr>
                <w:rFonts w:hint="eastAsia" w:ascii="宋体" w:hAnsi="宋体" w:cs="宋体"/>
                <w:szCs w:val="21"/>
                <w:highlight w:val="none"/>
              </w:rPr>
              <w:t>职业健康安全管理体系认证证书，得3分；</w:t>
            </w:r>
          </w:p>
          <w:p>
            <w:pPr>
              <w:pStyle w:val="15"/>
              <w:rPr>
                <w:rFonts w:ascii="宋体" w:hAnsi="宋体" w:cs="宋体"/>
                <w:szCs w:val="21"/>
                <w:highlight w:val="none"/>
              </w:rPr>
            </w:pPr>
            <w:r>
              <w:rPr>
                <w:rFonts w:hint="eastAsia" w:ascii="宋体" w:hAnsi="宋体" w:cs="宋体"/>
                <w:highlight w:val="none"/>
              </w:rPr>
              <w:t>注：同时提供证书复印件及国家认证认可业务信息系统统一查询平台http://www.cnca.gov.cn/查询结果为有效的网页截图，已撤销或已失效或已暂停或不提供的不得分。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8" w:type="dxa"/>
            <w:vAlign w:val="center"/>
          </w:tcPr>
          <w:p>
            <w:pPr>
              <w:widowControl/>
              <w:numPr>
                <w:ilvl w:val="0"/>
                <w:numId w:val="43"/>
              </w:numPr>
              <w:tabs>
                <w:tab w:val="left" w:pos="220"/>
              </w:tabs>
              <w:jc w:val="center"/>
              <w:rPr>
                <w:rFonts w:ascii="宋体" w:hAnsi="宋体" w:cs="宋体"/>
                <w:szCs w:val="21"/>
                <w:highlight w:val="none"/>
              </w:rPr>
            </w:pPr>
          </w:p>
        </w:tc>
        <w:tc>
          <w:tcPr>
            <w:tcW w:w="2056" w:type="dxa"/>
            <w:vAlign w:val="center"/>
          </w:tcPr>
          <w:p>
            <w:pPr>
              <w:jc w:val="center"/>
              <w:rPr>
                <w:rFonts w:ascii="宋体" w:hAnsi="宋体" w:cs="宋体"/>
                <w:szCs w:val="21"/>
                <w:highlight w:val="none"/>
              </w:rPr>
            </w:pPr>
            <w:r>
              <w:rPr>
                <w:rFonts w:hint="eastAsia" w:ascii="宋体" w:hAnsi="宋体" w:cs="宋体"/>
                <w:kern w:val="0"/>
                <w:szCs w:val="21"/>
                <w:highlight w:val="none"/>
              </w:rPr>
              <w:t>同类项目业绩</w:t>
            </w:r>
          </w:p>
        </w:tc>
        <w:tc>
          <w:tcPr>
            <w:tcW w:w="983" w:type="dxa"/>
            <w:vAlign w:val="center"/>
          </w:tcPr>
          <w:p>
            <w:pPr>
              <w:widowControl/>
              <w:jc w:val="center"/>
              <w:rPr>
                <w:rFonts w:ascii="宋体" w:hAnsi="宋体" w:cs="宋体"/>
                <w:szCs w:val="21"/>
                <w:highlight w:val="none"/>
              </w:rPr>
            </w:pPr>
            <w:r>
              <w:rPr>
                <w:rFonts w:hint="eastAsia" w:ascii="宋体" w:hAnsi="宋体" w:cs="宋体"/>
                <w:szCs w:val="21"/>
                <w:highlight w:val="none"/>
              </w:rPr>
              <w:t>10</w:t>
            </w:r>
          </w:p>
        </w:tc>
        <w:tc>
          <w:tcPr>
            <w:tcW w:w="5449" w:type="dxa"/>
            <w:vAlign w:val="center"/>
          </w:tcPr>
          <w:p>
            <w:pPr>
              <w:rPr>
                <w:rFonts w:ascii="宋体" w:hAnsi="宋体" w:cs="宋体"/>
                <w:szCs w:val="21"/>
                <w:highlight w:val="none"/>
              </w:rPr>
            </w:pPr>
            <w:r>
              <w:rPr>
                <w:rFonts w:hint="eastAsia" w:ascii="宋体" w:hAnsi="宋体" w:cs="宋体"/>
                <w:szCs w:val="21"/>
                <w:highlight w:val="none"/>
              </w:rPr>
              <w:t>2019年1月1日至今(以合同签订时间为准)以投标人名义独立承担同类项目供货业绩，每提供一个得2分，本项最高得10分。</w:t>
            </w:r>
          </w:p>
          <w:p>
            <w:pPr>
              <w:rPr>
                <w:rFonts w:ascii="宋体" w:hAnsi="宋体" w:cs="宋体"/>
                <w:szCs w:val="21"/>
                <w:highlight w:val="none"/>
              </w:rPr>
            </w:pPr>
            <w:r>
              <w:rPr>
                <w:rFonts w:hint="eastAsia" w:ascii="宋体" w:hAnsi="宋体" w:cs="宋体"/>
                <w:szCs w:val="21"/>
                <w:highlight w:val="none"/>
              </w:rPr>
              <w:t>注：须在投标文件中提供项目合同复印件，否则不得分。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8" w:type="dxa"/>
            <w:vAlign w:val="center"/>
          </w:tcPr>
          <w:p>
            <w:pPr>
              <w:widowControl/>
              <w:numPr>
                <w:ilvl w:val="0"/>
                <w:numId w:val="43"/>
              </w:numPr>
              <w:tabs>
                <w:tab w:val="left" w:pos="210"/>
              </w:tabs>
              <w:jc w:val="center"/>
              <w:rPr>
                <w:rFonts w:ascii="宋体" w:hAnsi="宋体" w:cs="宋体"/>
                <w:szCs w:val="21"/>
                <w:highlight w:val="none"/>
              </w:rPr>
            </w:pPr>
          </w:p>
        </w:tc>
        <w:tc>
          <w:tcPr>
            <w:tcW w:w="2056" w:type="dxa"/>
            <w:vAlign w:val="center"/>
          </w:tcPr>
          <w:p>
            <w:pPr>
              <w:jc w:val="center"/>
              <w:rPr>
                <w:rFonts w:ascii="宋体" w:hAnsi="宋体" w:cs="宋体"/>
                <w:kern w:val="0"/>
                <w:szCs w:val="21"/>
                <w:highlight w:val="none"/>
              </w:rPr>
            </w:pPr>
            <w:r>
              <w:rPr>
                <w:rFonts w:hint="eastAsia" w:ascii="宋体" w:hAnsi="宋体" w:cs="宋体"/>
                <w:szCs w:val="21"/>
                <w:highlight w:val="none"/>
              </w:rPr>
              <w:t>运输车辆情况</w:t>
            </w:r>
          </w:p>
        </w:tc>
        <w:tc>
          <w:tcPr>
            <w:tcW w:w="983" w:type="dxa"/>
            <w:vAlign w:val="center"/>
          </w:tcPr>
          <w:p>
            <w:pPr>
              <w:jc w:val="center"/>
              <w:rPr>
                <w:rFonts w:ascii="宋体" w:hAnsi="宋体" w:cs="宋体"/>
                <w:szCs w:val="21"/>
                <w:highlight w:val="none"/>
              </w:rPr>
            </w:pPr>
            <w:r>
              <w:rPr>
                <w:rFonts w:hint="eastAsia" w:ascii="宋体" w:hAnsi="宋体" w:cs="宋体"/>
                <w:szCs w:val="21"/>
                <w:highlight w:val="none"/>
              </w:rPr>
              <w:t>6</w:t>
            </w:r>
          </w:p>
        </w:tc>
        <w:tc>
          <w:tcPr>
            <w:tcW w:w="5449" w:type="dxa"/>
          </w:tcPr>
          <w:p>
            <w:pPr>
              <w:rPr>
                <w:rFonts w:ascii="宋体" w:hAnsi="宋体" w:cs="宋体"/>
                <w:szCs w:val="21"/>
                <w:highlight w:val="none"/>
              </w:rPr>
            </w:pPr>
            <w:r>
              <w:rPr>
                <w:rFonts w:hint="eastAsia" w:ascii="宋体" w:hAnsi="宋体" w:cs="宋体"/>
                <w:szCs w:val="21"/>
                <w:highlight w:val="none"/>
              </w:rPr>
              <w:t>投标人配有物流运输队伍，自有或租赁配送车辆数量情况：配送车辆每台得2分，最高得6分。</w:t>
            </w:r>
          </w:p>
          <w:p>
            <w:pPr>
              <w:rPr>
                <w:rFonts w:ascii="宋体" w:hAnsi="宋体" w:cs="宋体"/>
                <w:szCs w:val="21"/>
                <w:highlight w:val="none"/>
              </w:rPr>
            </w:pPr>
            <w:r>
              <w:rPr>
                <w:rFonts w:hint="eastAsia" w:ascii="宋体" w:hAnsi="宋体" w:cs="宋体"/>
                <w:szCs w:val="21"/>
                <w:highlight w:val="none"/>
              </w:rPr>
              <w:t>注：以投标人名义自有配送车辆的提供有效的机动车行驶证或机动车登记证复印件。以投标人名义</w:t>
            </w:r>
            <w:r>
              <w:rPr>
                <w:rFonts w:hint="eastAsia" w:ascii="宋体" w:hAnsi="宋体" w:cs="宋体"/>
                <w:kern w:val="0"/>
                <w:highlight w:val="none"/>
              </w:rPr>
              <w:t>租赁的</w:t>
            </w:r>
            <w:r>
              <w:rPr>
                <w:rFonts w:hint="eastAsia" w:ascii="宋体" w:hAnsi="宋体" w:cs="宋体"/>
                <w:szCs w:val="21"/>
                <w:highlight w:val="none"/>
              </w:rPr>
              <w:t>配送车辆的</w:t>
            </w:r>
            <w:r>
              <w:rPr>
                <w:rFonts w:hint="eastAsia" w:ascii="宋体" w:hAnsi="宋体" w:cs="宋体"/>
                <w:kern w:val="10"/>
                <w:highlight w:val="none"/>
              </w:rPr>
              <w:t>须同时提供</w:t>
            </w:r>
            <w:r>
              <w:rPr>
                <w:rFonts w:hint="eastAsia" w:ascii="宋体" w:hAnsi="宋体" w:cs="宋体"/>
                <w:szCs w:val="21"/>
                <w:highlight w:val="none"/>
              </w:rPr>
              <w:t>有效的机动车行驶证或机动车登记证复印件及</w:t>
            </w:r>
            <w:r>
              <w:rPr>
                <w:rFonts w:hint="eastAsia" w:ascii="宋体" w:hAnsi="宋体" w:cs="宋体"/>
                <w:kern w:val="10"/>
                <w:highlight w:val="none"/>
              </w:rPr>
              <w:t>车辆租赁合同</w:t>
            </w:r>
            <w:r>
              <w:rPr>
                <w:rFonts w:hint="eastAsia" w:ascii="宋体" w:hAnsi="宋体" w:cs="宋体"/>
                <w:kern w:val="0"/>
                <w:highlight w:val="none"/>
              </w:rPr>
              <w:t>。</w:t>
            </w:r>
            <w:r>
              <w:rPr>
                <w:rFonts w:hint="eastAsia" w:ascii="宋体" w:hAnsi="宋体" w:cs="宋体"/>
                <w:szCs w:val="21"/>
                <w:highlight w:val="none"/>
              </w:rPr>
              <w:t>没有提供的不得分。</w:t>
            </w:r>
          </w:p>
        </w:tc>
      </w:tr>
    </w:tbl>
    <w:p>
      <w:pPr>
        <w:snapToGrid w:val="0"/>
        <w:spacing w:line="360" w:lineRule="auto"/>
        <w:ind w:left="210" w:leftChars="100"/>
        <w:rPr>
          <w:rFonts w:ascii="宋体" w:hAnsi="宋体" w:cs="宋体"/>
          <w:snapToGrid w:val="0"/>
          <w:kern w:val="0"/>
          <w:szCs w:val="21"/>
          <w:highlight w:val="none"/>
        </w:rPr>
      </w:pPr>
      <w:r>
        <w:rPr>
          <w:rFonts w:hint="eastAsia" w:ascii="宋体" w:hAnsi="宋体" w:cs="宋体"/>
          <w:snapToGrid w:val="0"/>
          <w:kern w:val="0"/>
          <w:szCs w:val="21"/>
          <w:highlight w:val="none"/>
        </w:rPr>
        <w:t>备注：</w:t>
      </w:r>
    </w:p>
    <w:p>
      <w:pPr>
        <w:numPr>
          <w:ilvl w:val="0"/>
          <w:numId w:val="46"/>
        </w:numPr>
        <w:snapToGrid w:val="0"/>
        <w:spacing w:line="360" w:lineRule="auto"/>
        <w:rPr>
          <w:rFonts w:ascii="宋体" w:hAnsi="宋体" w:cs="宋体"/>
          <w:bCs/>
          <w:szCs w:val="21"/>
          <w:highlight w:val="none"/>
        </w:rPr>
      </w:pPr>
      <w:r>
        <w:rPr>
          <w:rFonts w:hint="eastAsia" w:ascii="宋体" w:hAnsi="宋体" w:cs="宋体"/>
          <w:bCs/>
          <w:szCs w:val="21"/>
          <w:highlight w:val="none"/>
        </w:rPr>
        <w:t>招标文件要求提交的与评价指标体系相关的各类有效资料，投标人如未按要求提交的，该项评分为零分。</w:t>
      </w:r>
    </w:p>
    <w:p>
      <w:pPr>
        <w:numPr>
          <w:ilvl w:val="0"/>
          <w:numId w:val="46"/>
        </w:numPr>
        <w:snapToGrid w:val="0"/>
        <w:spacing w:line="360" w:lineRule="auto"/>
        <w:rPr>
          <w:rFonts w:ascii="宋体" w:hAnsi="宋体" w:cs="宋体"/>
          <w:bCs/>
          <w:szCs w:val="21"/>
          <w:highlight w:val="none"/>
        </w:rPr>
      </w:pPr>
      <w:r>
        <w:rPr>
          <w:rFonts w:hint="eastAsia" w:ascii="宋体" w:hAnsi="宋体" w:cs="宋体"/>
          <w:bCs/>
          <w:szCs w:val="21"/>
          <w:highlight w:val="none"/>
        </w:rPr>
        <w:t>商务评分：所有评委评分分值的算术平均值（四舍五入后，</w:t>
      </w:r>
      <w:r>
        <w:rPr>
          <w:rFonts w:hint="eastAsia" w:ascii="宋体" w:hAnsi="宋体" w:cs="宋体"/>
          <w:szCs w:val="21"/>
          <w:highlight w:val="none"/>
        </w:rPr>
        <w:t>小数点后保留两位有效数</w:t>
      </w:r>
      <w:r>
        <w:rPr>
          <w:rFonts w:hint="eastAsia" w:ascii="宋体" w:hAnsi="宋体" w:cs="宋体"/>
          <w:bCs/>
          <w:szCs w:val="21"/>
          <w:highlight w:val="none"/>
        </w:rPr>
        <w:t>）。</w:t>
      </w:r>
    </w:p>
    <w:p>
      <w:pPr>
        <w:rPr>
          <w:rFonts w:ascii="宋体" w:hAnsi="宋体" w:cs="宋体"/>
          <w:szCs w:val="21"/>
          <w:highlight w:val="none"/>
        </w:rPr>
      </w:pPr>
      <w:r>
        <w:rPr>
          <w:rFonts w:hint="eastAsia" w:ascii="宋体" w:hAnsi="宋体" w:cs="宋体"/>
          <w:szCs w:val="21"/>
          <w:highlight w:val="none"/>
        </w:rPr>
        <w:br w:type="page"/>
      </w:r>
    </w:p>
    <w:p>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价 格 评 分 表</w:t>
      </w:r>
    </w:p>
    <w:p>
      <w:pPr>
        <w:adjustRightInd w:val="0"/>
        <w:snapToGrid w:val="0"/>
        <w:spacing w:before="156" w:beforeLines="50" w:after="156" w:afterLines="50" w:line="360" w:lineRule="auto"/>
        <w:jc w:val="center"/>
        <w:rPr>
          <w:rFonts w:ascii="黑体" w:hAnsi="宋体" w:eastAsia="黑体" w:cs="宋体"/>
          <w:sz w:val="28"/>
          <w:szCs w:val="28"/>
          <w:highlight w:val="none"/>
        </w:rPr>
      </w:pPr>
      <w:r>
        <w:rPr>
          <w:rFonts w:hint="eastAsia" w:ascii="黑体" w:hAnsi="宋体" w:eastAsia="黑体" w:cs="宋体"/>
          <w:sz w:val="28"/>
          <w:szCs w:val="28"/>
          <w:highlight w:val="none"/>
        </w:rPr>
        <w:t>（30分）</w:t>
      </w:r>
    </w:p>
    <w:p>
      <w:pPr>
        <w:numPr>
          <w:ilvl w:val="0"/>
          <w:numId w:val="47"/>
        </w:numPr>
        <w:adjustRightInd w:val="0"/>
        <w:snapToGrid w:val="0"/>
        <w:spacing w:line="360" w:lineRule="auto"/>
        <w:rPr>
          <w:rFonts w:ascii="宋体" w:hAnsi="宋体"/>
          <w:b/>
          <w:bCs/>
          <w:highlight w:val="none"/>
        </w:rPr>
      </w:pPr>
      <w:r>
        <w:rPr>
          <w:rFonts w:hint="eastAsia" w:ascii="宋体" w:hAnsi="宋体"/>
          <w:b/>
          <w:bCs/>
          <w:highlight w:val="none"/>
        </w:rPr>
        <w:t>价格核准：</w:t>
      </w:r>
    </w:p>
    <w:p>
      <w:pPr>
        <w:numPr>
          <w:ilvl w:val="1"/>
          <w:numId w:val="47"/>
        </w:numPr>
        <w:adjustRightInd w:val="0"/>
        <w:snapToGrid w:val="0"/>
        <w:spacing w:line="360" w:lineRule="auto"/>
        <w:rPr>
          <w:rFonts w:ascii="宋体" w:hAnsi="宋体"/>
          <w:bCs/>
          <w:highlight w:val="none"/>
        </w:rPr>
      </w:pPr>
      <w:r>
        <w:rPr>
          <w:rFonts w:hint="eastAsia" w:ascii="宋体" w:hAnsi="宋体"/>
          <w:bCs/>
          <w:highlight w:val="none"/>
        </w:rPr>
        <w:t>评标委员会认为投标人的报价明显低于其他通过符合性审查投标人的报价，有可能影响产品质量或者不能诚信履约的，要求其在评标现场规定的时间内提供书面说明，必要时提交相关证明材料；投标人不能证明其报价合理性的，评标委员会将其作为无效投标处理。</w:t>
      </w:r>
    </w:p>
    <w:p>
      <w:pPr>
        <w:numPr>
          <w:ilvl w:val="0"/>
          <w:numId w:val="47"/>
        </w:numPr>
        <w:adjustRightInd w:val="0"/>
        <w:snapToGrid w:val="0"/>
        <w:spacing w:line="360" w:lineRule="auto"/>
        <w:rPr>
          <w:rFonts w:ascii="宋体" w:hAnsi="宋体"/>
          <w:bCs/>
          <w:highlight w:val="none"/>
        </w:rPr>
      </w:pPr>
      <w:r>
        <w:rPr>
          <w:rFonts w:ascii="宋体" w:hAnsi="宋体"/>
          <w:bCs/>
          <w:highlight w:val="none"/>
        </w:rPr>
        <w:t>综合评分法中的价格分统一采用低价优先法计算，即满足招标文件要求</w:t>
      </w:r>
      <w:r>
        <w:rPr>
          <w:rFonts w:hint="eastAsia" w:ascii="宋体" w:hAnsi="宋体"/>
          <w:bCs/>
          <w:highlight w:val="none"/>
        </w:rPr>
        <w:t>（通过资格性、符合性审查）</w:t>
      </w:r>
      <w:r>
        <w:rPr>
          <w:rFonts w:ascii="宋体" w:hAnsi="宋体"/>
          <w:bCs/>
          <w:highlight w:val="none"/>
        </w:rPr>
        <w:t>且投标价格最低的</w:t>
      </w:r>
      <w:r>
        <w:rPr>
          <w:rFonts w:hint="eastAsia" w:ascii="宋体" w:hAnsi="宋体"/>
          <w:bCs/>
          <w:highlight w:val="none"/>
        </w:rPr>
        <w:t>有效</w:t>
      </w:r>
      <w:r>
        <w:rPr>
          <w:rFonts w:ascii="宋体" w:hAnsi="宋体"/>
          <w:bCs/>
          <w:highlight w:val="none"/>
        </w:rPr>
        <w:t>投标报价</w:t>
      </w:r>
      <w:r>
        <w:rPr>
          <w:rFonts w:hint="eastAsia" w:ascii="宋体" w:hAnsi="宋体"/>
          <w:bCs/>
          <w:highlight w:val="none"/>
        </w:rPr>
        <w:t>（指价格核准后的价格，下同）</w:t>
      </w:r>
      <w:r>
        <w:rPr>
          <w:rFonts w:ascii="宋体" w:hAnsi="宋体"/>
          <w:bCs/>
          <w:highlight w:val="none"/>
        </w:rPr>
        <w:t>为评标基准价，其价格分为满分。其他投标人的价格分统一按照下列公式计算：</w:t>
      </w:r>
    </w:p>
    <w:p>
      <w:pPr>
        <w:adjustRightInd w:val="0"/>
        <w:snapToGrid w:val="0"/>
        <w:spacing w:line="360" w:lineRule="auto"/>
        <w:ind w:firstLine="413" w:firstLineChars="196"/>
        <w:rPr>
          <w:rFonts w:ascii="宋体" w:hAnsi="宋体"/>
          <w:b/>
          <w:bCs/>
          <w:highlight w:val="none"/>
        </w:rPr>
      </w:pPr>
      <w:r>
        <w:rPr>
          <w:rFonts w:hint="eastAsia" w:ascii="宋体" w:hAnsi="宋体"/>
          <w:b/>
          <w:bCs/>
          <w:highlight w:val="none"/>
        </w:rPr>
        <w:t>投标报价得分=(评标基准价/投标报价)×价格权值×100</w:t>
      </w:r>
    </w:p>
    <w:p>
      <w:pPr>
        <w:adjustRightInd w:val="0"/>
        <w:snapToGrid w:val="0"/>
        <w:spacing w:line="360" w:lineRule="auto"/>
        <w:ind w:firstLine="413" w:firstLineChars="196"/>
        <w:rPr>
          <w:rFonts w:ascii="宋体" w:hAnsi="宋体"/>
          <w:b/>
          <w:bCs/>
          <w:highlight w:val="none"/>
        </w:rPr>
      </w:pPr>
      <w:r>
        <w:rPr>
          <w:rFonts w:hint="eastAsia" w:ascii="宋体" w:hAnsi="宋体"/>
          <w:b/>
          <w:bCs/>
          <w:highlight w:val="none"/>
        </w:rPr>
        <w:t>投标报价以“1-投标下浮率”进行价格评分的计算。</w:t>
      </w:r>
    </w:p>
    <w:p>
      <w:pPr>
        <w:adjustRightInd w:val="0"/>
        <w:snapToGrid w:val="0"/>
        <w:spacing w:line="360" w:lineRule="auto"/>
        <w:ind w:firstLine="411" w:firstLineChars="196"/>
        <w:rPr>
          <w:rFonts w:ascii="宋体" w:hAnsi="宋体"/>
          <w:bCs/>
          <w:highlight w:val="none"/>
        </w:rPr>
      </w:pPr>
      <w:r>
        <w:rPr>
          <w:rFonts w:hint="eastAsia" w:ascii="宋体" w:hAnsi="宋体"/>
          <w:bCs/>
          <w:highlight w:val="none"/>
        </w:rPr>
        <w:t>备注：投标报价得分四舍五入后，</w:t>
      </w:r>
      <w:r>
        <w:rPr>
          <w:rFonts w:hint="eastAsia" w:ascii="Arial" w:hAnsi="Arial" w:cs="Arial"/>
          <w:szCs w:val="20"/>
          <w:highlight w:val="none"/>
        </w:rPr>
        <w:t>小数点后保留两位有效数</w:t>
      </w:r>
      <w:r>
        <w:rPr>
          <w:rFonts w:hint="eastAsia" w:ascii="宋体" w:hAnsi="宋体"/>
          <w:bCs/>
          <w:highlight w:val="none"/>
        </w:rPr>
        <w:t>。</w:t>
      </w:r>
    </w:p>
    <w:p>
      <w:pPr>
        <w:snapToGrid w:val="0"/>
        <w:spacing w:line="360" w:lineRule="auto"/>
        <w:ind w:firstLine="413" w:firstLineChars="196"/>
        <w:rPr>
          <w:rFonts w:ascii="宋体" w:hAnsi="宋体" w:cs="宋体"/>
          <w:b/>
          <w:bCs/>
          <w:szCs w:val="21"/>
          <w:highlight w:val="none"/>
        </w:rPr>
      </w:pPr>
    </w:p>
    <w:p>
      <w:pPr>
        <w:spacing w:line="360" w:lineRule="auto"/>
        <w:ind w:left="588"/>
        <w:rPr>
          <w:rFonts w:ascii="宋体" w:hAnsi="宋体" w:cs="宋体"/>
          <w:b/>
          <w:szCs w:val="21"/>
          <w:highlight w:val="none"/>
        </w:rPr>
        <w:sectPr>
          <w:pgSz w:w="11906" w:h="16838"/>
          <w:pgMar w:top="1440" w:right="1286" w:bottom="1440" w:left="1440" w:header="851" w:footer="992" w:gutter="0"/>
          <w:cols w:space="720" w:num="1"/>
          <w:docGrid w:type="lines" w:linePitch="312" w:charSpace="0"/>
        </w:sectPr>
      </w:pPr>
    </w:p>
    <w:p>
      <w:pPr>
        <w:snapToGrid w:val="0"/>
        <w:spacing w:line="360" w:lineRule="auto"/>
        <w:jc w:val="center"/>
        <w:outlineLvl w:val="0"/>
        <w:rPr>
          <w:rFonts w:ascii="宋体" w:hAnsi="宋体" w:cs="宋体"/>
          <w:b/>
          <w:bCs/>
          <w:szCs w:val="21"/>
          <w:highlight w:val="none"/>
        </w:rPr>
      </w:pPr>
      <w:bookmarkStart w:id="4" w:name="_Toc355879665"/>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pStyle w:val="3"/>
        <w:rPr>
          <w:rFonts w:ascii="宋体" w:hAnsi="宋体" w:cs="宋体"/>
          <w:sz w:val="21"/>
          <w:szCs w:val="21"/>
          <w:highlight w:val="none"/>
        </w:rPr>
      </w:pPr>
    </w:p>
    <w:p>
      <w:pPr>
        <w:rPr>
          <w:rFonts w:ascii="宋体" w:hAnsi="宋体" w:cs="宋体"/>
          <w:b/>
          <w:bCs/>
          <w:szCs w:val="21"/>
          <w:highlight w:val="none"/>
        </w:rPr>
      </w:pPr>
    </w:p>
    <w:p>
      <w:pPr>
        <w:pStyle w:val="3"/>
        <w:rPr>
          <w:rFonts w:ascii="宋体" w:hAnsi="宋体" w:cs="宋体"/>
          <w:sz w:val="21"/>
          <w:szCs w:val="21"/>
          <w:highlight w:val="none"/>
        </w:rPr>
      </w:pPr>
    </w:p>
    <w:p>
      <w:pPr>
        <w:rPr>
          <w:rFonts w:ascii="宋体" w:hAnsi="宋体" w:cs="宋体"/>
          <w:b/>
          <w:bCs/>
          <w:szCs w:val="21"/>
          <w:highlight w:val="none"/>
        </w:rPr>
      </w:pPr>
    </w:p>
    <w:p>
      <w:pPr>
        <w:pStyle w:val="3"/>
        <w:rPr>
          <w:rFonts w:ascii="宋体" w:hAnsi="宋体" w:cs="宋体"/>
          <w:sz w:val="21"/>
          <w:szCs w:val="21"/>
          <w:highlight w:val="none"/>
        </w:rPr>
      </w:pPr>
    </w:p>
    <w:p>
      <w:pPr>
        <w:rPr>
          <w:rFonts w:ascii="宋体" w:hAnsi="宋体" w:cs="宋体"/>
          <w:b/>
          <w:bCs/>
          <w:szCs w:val="21"/>
          <w:highlight w:val="none"/>
        </w:rPr>
      </w:pPr>
    </w:p>
    <w:p>
      <w:pPr>
        <w:pStyle w:val="3"/>
        <w:rPr>
          <w:rFonts w:ascii="宋体" w:hAnsi="宋体" w:cs="宋体"/>
          <w:sz w:val="21"/>
          <w:szCs w:val="21"/>
          <w:highlight w:val="none"/>
        </w:rPr>
      </w:pPr>
    </w:p>
    <w:p>
      <w:pPr>
        <w:rPr>
          <w:highlight w:val="none"/>
        </w:rPr>
      </w:pPr>
    </w:p>
    <w:p>
      <w:pPr>
        <w:snapToGrid w:val="0"/>
        <w:spacing w:line="360" w:lineRule="auto"/>
        <w:jc w:val="center"/>
        <w:outlineLvl w:val="0"/>
        <w:rPr>
          <w:rFonts w:ascii="Times New Roman" w:hAnsi="Times New Roman"/>
          <w:b/>
          <w:bCs/>
          <w:sz w:val="44"/>
          <w:szCs w:val="44"/>
          <w:highlight w:val="none"/>
        </w:rPr>
      </w:pPr>
    </w:p>
    <w:p>
      <w:pPr>
        <w:snapToGrid w:val="0"/>
        <w:spacing w:line="360" w:lineRule="auto"/>
        <w:jc w:val="center"/>
        <w:outlineLvl w:val="0"/>
        <w:rPr>
          <w:rFonts w:ascii="Times New Roman" w:hAnsi="Times New Roman"/>
          <w:b/>
          <w:bCs/>
          <w:sz w:val="44"/>
          <w:szCs w:val="44"/>
          <w:highlight w:val="none"/>
        </w:rPr>
      </w:pPr>
      <w:bookmarkStart w:id="5" w:name="_Toc15031"/>
      <w:r>
        <w:rPr>
          <w:rFonts w:hint="eastAsia" w:ascii="Times New Roman" w:hAnsi="Times New Roman"/>
          <w:b/>
          <w:bCs/>
          <w:sz w:val="44"/>
          <w:szCs w:val="44"/>
          <w:highlight w:val="none"/>
        </w:rPr>
        <w:t>第五章</w:t>
      </w:r>
      <w:bookmarkEnd w:id="4"/>
      <w:bookmarkEnd w:id="5"/>
    </w:p>
    <w:p>
      <w:pPr>
        <w:snapToGrid w:val="0"/>
        <w:spacing w:line="360" w:lineRule="auto"/>
        <w:jc w:val="center"/>
        <w:outlineLvl w:val="0"/>
        <w:rPr>
          <w:rFonts w:ascii="Times New Roman" w:hAnsi="Times New Roman"/>
          <w:b/>
          <w:bCs/>
          <w:sz w:val="44"/>
          <w:szCs w:val="44"/>
          <w:highlight w:val="none"/>
        </w:rPr>
      </w:pPr>
      <w:bookmarkStart w:id="6" w:name="_Toc355879666"/>
      <w:bookmarkStart w:id="7" w:name="_Toc9564"/>
      <w:bookmarkStart w:id="8" w:name="_Toc5615"/>
      <w:r>
        <w:rPr>
          <w:rFonts w:hint="eastAsia" w:ascii="Times New Roman" w:hAnsi="Times New Roman"/>
          <w:b/>
          <w:bCs/>
          <w:sz w:val="44"/>
          <w:szCs w:val="44"/>
          <w:highlight w:val="none"/>
        </w:rPr>
        <w:t>投 标 人 须 知</w:t>
      </w:r>
      <w:bookmarkEnd w:id="6"/>
      <w:bookmarkEnd w:id="7"/>
      <w:bookmarkEnd w:id="8"/>
    </w:p>
    <w:p>
      <w:pPr>
        <w:numPr>
          <w:ilvl w:val="0"/>
          <w:numId w:val="48"/>
        </w:numPr>
        <w:snapToGrid w:val="0"/>
        <w:spacing w:line="360" w:lineRule="auto"/>
        <w:jc w:val="center"/>
        <w:outlineLvl w:val="0"/>
        <w:rPr>
          <w:rFonts w:ascii="宋体" w:hAnsi="宋体" w:cs="宋体"/>
          <w:b/>
          <w:szCs w:val="21"/>
          <w:highlight w:val="none"/>
        </w:rPr>
      </w:pPr>
      <w:r>
        <w:rPr>
          <w:rFonts w:hint="eastAsia" w:ascii="Times New Roman" w:hAnsi="Times New Roman"/>
          <w:b/>
          <w:bCs/>
          <w:sz w:val="44"/>
          <w:szCs w:val="44"/>
          <w:highlight w:val="none"/>
        </w:rPr>
        <w:br w:type="page"/>
      </w:r>
      <w:bookmarkStart w:id="9" w:name="_Toc410722638"/>
      <w:bookmarkStart w:id="10" w:name="_Toc355879667"/>
      <w:bookmarkStart w:id="11" w:name="_Toc24513"/>
      <w:bookmarkStart w:id="12" w:name="_Toc2872"/>
      <w:bookmarkStart w:id="13" w:name="_Toc32312722"/>
      <w:r>
        <w:rPr>
          <w:rFonts w:hint="eastAsia" w:ascii="宋体" w:hAnsi="宋体"/>
          <w:b/>
          <w:sz w:val="28"/>
          <w:szCs w:val="28"/>
          <w:highlight w:val="none"/>
          <w:lang w:eastAsia="zh-TW"/>
        </w:rPr>
        <w:t>说 明</w:t>
      </w:r>
      <w:bookmarkEnd w:id="9"/>
      <w:bookmarkEnd w:id="10"/>
      <w:bookmarkEnd w:id="11"/>
      <w:bookmarkEnd w:id="12"/>
      <w:bookmarkStart w:id="14" w:name="_Toc292267791"/>
      <w:r>
        <w:rPr>
          <w:rFonts w:hint="eastAsia" w:ascii="宋体" w:hAnsi="宋体"/>
          <w:b/>
          <w:sz w:val="28"/>
          <w:szCs w:val="28"/>
          <w:highlight w:val="none"/>
        </w:rPr>
        <w:t xml:space="preserve"> </w:t>
      </w:r>
    </w:p>
    <w:bookmarkEnd w:id="14"/>
    <w:p>
      <w:pPr>
        <w:numPr>
          <w:ilvl w:val="0"/>
          <w:numId w:val="49"/>
        </w:numPr>
        <w:snapToGrid w:val="0"/>
        <w:spacing w:line="360" w:lineRule="auto"/>
        <w:outlineLvl w:val="0"/>
        <w:rPr>
          <w:rFonts w:ascii="宋体" w:hAnsi="宋体" w:cs="宋体"/>
          <w:b/>
          <w:bCs/>
          <w:szCs w:val="21"/>
          <w:highlight w:val="none"/>
        </w:rPr>
      </w:pPr>
      <w:bookmarkStart w:id="15" w:name="_Toc27109"/>
      <w:bookmarkStart w:id="16" w:name="_Toc356482703"/>
      <w:bookmarkStart w:id="17" w:name="_Toc410722677"/>
      <w:bookmarkStart w:id="18" w:name="_Toc355879707"/>
      <w:bookmarkStart w:id="19" w:name="_Toc7997"/>
      <w:bookmarkStart w:id="20" w:name="_Toc22165"/>
      <w:r>
        <w:rPr>
          <w:rFonts w:hint="eastAsia" w:ascii="宋体" w:hAnsi="宋体" w:cs="宋体"/>
          <w:b/>
          <w:bCs/>
          <w:szCs w:val="21"/>
          <w:highlight w:val="none"/>
        </w:rPr>
        <w:t>适用范围</w:t>
      </w:r>
      <w:bookmarkEnd w:id="15"/>
      <w:bookmarkEnd w:id="1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本招标文件适用于本投标邀请中所述项目的招标采购。</w:t>
      </w:r>
    </w:p>
    <w:p>
      <w:pPr>
        <w:numPr>
          <w:ilvl w:val="0"/>
          <w:numId w:val="49"/>
        </w:numPr>
        <w:snapToGrid w:val="0"/>
        <w:spacing w:line="360" w:lineRule="auto"/>
        <w:outlineLvl w:val="0"/>
        <w:rPr>
          <w:rFonts w:ascii="宋体" w:hAnsi="宋体" w:cs="宋体"/>
          <w:b/>
          <w:bCs/>
          <w:szCs w:val="21"/>
          <w:highlight w:val="none"/>
        </w:rPr>
      </w:pPr>
      <w:bookmarkStart w:id="21" w:name="_Toc11230"/>
      <w:bookmarkStart w:id="22" w:name="_Toc356482704"/>
      <w:r>
        <w:rPr>
          <w:rFonts w:hint="eastAsia" w:ascii="宋体" w:hAnsi="宋体" w:cs="宋体"/>
          <w:b/>
          <w:bCs/>
          <w:szCs w:val="21"/>
          <w:highlight w:val="none"/>
        </w:rPr>
        <w:t>招标采购单位</w:t>
      </w:r>
      <w:bookmarkEnd w:id="21"/>
      <w:bookmarkEnd w:id="22"/>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招标采购单位指招标人及招标代理机构。</w:t>
      </w:r>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招标代理机构是指依法取得招标资格、从事招标代理业务并提供相关服务的专门机构</w:t>
      </w:r>
      <w:r>
        <w:rPr>
          <w:rFonts w:hint="eastAsia" w:ascii="宋体" w:hAnsi="宋体" w:cs="宋体"/>
          <w:szCs w:val="21"/>
          <w:highlight w:val="none"/>
          <w:lang w:eastAsia="zh-TW"/>
        </w:rPr>
        <w:t>。</w:t>
      </w:r>
    </w:p>
    <w:p>
      <w:pPr>
        <w:numPr>
          <w:ilvl w:val="0"/>
          <w:numId w:val="49"/>
        </w:numPr>
        <w:snapToGrid w:val="0"/>
        <w:spacing w:line="360" w:lineRule="auto"/>
        <w:outlineLvl w:val="0"/>
        <w:rPr>
          <w:rFonts w:ascii="宋体" w:hAnsi="宋体" w:cs="宋体"/>
          <w:b/>
          <w:bCs/>
          <w:szCs w:val="21"/>
          <w:highlight w:val="none"/>
        </w:rPr>
      </w:pPr>
      <w:bookmarkStart w:id="23" w:name="_Toc356482705"/>
      <w:bookmarkStart w:id="24" w:name="_Toc13075"/>
      <w:r>
        <w:rPr>
          <w:rFonts w:hint="eastAsia" w:ascii="宋体" w:hAnsi="宋体" w:cs="宋体"/>
          <w:b/>
          <w:bCs/>
          <w:szCs w:val="21"/>
          <w:highlight w:val="none"/>
        </w:rPr>
        <w:t>合格的投标人</w:t>
      </w:r>
      <w:bookmarkEnd w:id="23"/>
      <w:bookmarkEnd w:id="24"/>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rPr>
        <w:t>投标人是响应招标并且符合招标文件规定资格条件和参加投标竞争的法人。</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合格的投标人</w:t>
      </w:r>
    </w:p>
    <w:p>
      <w:pPr>
        <w:numPr>
          <w:ilvl w:val="2"/>
          <w:numId w:val="49"/>
        </w:numPr>
        <w:snapToGrid w:val="0"/>
        <w:spacing w:line="360" w:lineRule="auto"/>
        <w:ind w:hanging="211"/>
        <w:rPr>
          <w:rFonts w:ascii="宋体" w:hAnsi="宋体" w:cs="宋体"/>
          <w:szCs w:val="21"/>
          <w:highlight w:val="none"/>
        </w:rPr>
      </w:pPr>
      <w:r>
        <w:rPr>
          <w:rFonts w:hint="eastAsia" w:ascii="宋体" w:hAnsi="宋体" w:cs="宋体"/>
          <w:szCs w:val="21"/>
          <w:highlight w:val="none"/>
        </w:rPr>
        <w:t>具有独立承担民事责任的能力。</w:t>
      </w:r>
    </w:p>
    <w:p>
      <w:pPr>
        <w:numPr>
          <w:ilvl w:val="2"/>
          <w:numId w:val="49"/>
        </w:numPr>
        <w:snapToGrid w:val="0"/>
        <w:spacing w:line="360" w:lineRule="auto"/>
        <w:ind w:hanging="211"/>
        <w:rPr>
          <w:rFonts w:ascii="宋体" w:hAnsi="宋体" w:cs="宋体"/>
          <w:szCs w:val="21"/>
          <w:highlight w:val="none"/>
        </w:rPr>
      </w:pPr>
      <w:r>
        <w:rPr>
          <w:rFonts w:hint="eastAsia" w:ascii="宋体" w:hAnsi="宋体" w:cs="宋体"/>
          <w:szCs w:val="21"/>
          <w:highlight w:val="none"/>
        </w:rPr>
        <w:t>具有良好的商业信誉和健全的财务会计制度。</w:t>
      </w:r>
    </w:p>
    <w:p>
      <w:pPr>
        <w:numPr>
          <w:ilvl w:val="2"/>
          <w:numId w:val="49"/>
        </w:numPr>
        <w:snapToGrid w:val="0"/>
        <w:spacing w:line="360" w:lineRule="auto"/>
        <w:ind w:hanging="211"/>
        <w:rPr>
          <w:rFonts w:ascii="宋体" w:hAnsi="宋体" w:cs="宋体"/>
          <w:szCs w:val="21"/>
          <w:highlight w:val="none"/>
        </w:rPr>
      </w:pPr>
      <w:r>
        <w:rPr>
          <w:rFonts w:hint="eastAsia" w:ascii="宋体" w:hAnsi="宋体" w:cs="宋体"/>
          <w:szCs w:val="21"/>
          <w:highlight w:val="none"/>
        </w:rPr>
        <w:t>具有履行合同所必需的设备和专业技术能力。</w:t>
      </w:r>
    </w:p>
    <w:p>
      <w:pPr>
        <w:numPr>
          <w:ilvl w:val="2"/>
          <w:numId w:val="49"/>
        </w:numPr>
        <w:snapToGrid w:val="0"/>
        <w:spacing w:line="360" w:lineRule="auto"/>
        <w:ind w:hanging="211"/>
        <w:rPr>
          <w:rFonts w:ascii="宋体" w:hAnsi="宋体" w:cs="宋体"/>
          <w:szCs w:val="21"/>
          <w:highlight w:val="none"/>
        </w:rPr>
      </w:pPr>
      <w:r>
        <w:rPr>
          <w:rFonts w:hint="eastAsia" w:ascii="宋体" w:hAnsi="宋体" w:cs="宋体"/>
          <w:szCs w:val="21"/>
          <w:highlight w:val="none"/>
        </w:rPr>
        <w:t>有依法缴纳税收和社会保障资金的良好记录。</w:t>
      </w:r>
    </w:p>
    <w:p>
      <w:pPr>
        <w:numPr>
          <w:ilvl w:val="2"/>
          <w:numId w:val="49"/>
        </w:numPr>
        <w:snapToGrid w:val="0"/>
        <w:spacing w:line="360" w:lineRule="auto"/>
        <w:ind w:hanging="211"/>
        <w:rPr>
          <w:rFonts w:ascii="宋体" w:hAnsi="宋体" w:cs="宋体"/>
          <w:szCs w:val="21"/>
          <w:highlight w:val="none"/>
        </w:rPr>
      </w:pPr>
      <w:r>
        <w:rPr>
          <w:rFonts w:hint="eastAsia" w:ascii="宋体" w:hAnsi="宋体" w:cs="宋体"/>
          <w:szCs w:val="21"/>
          <w:highlight w:val="none"/>
        </w:rPr>
        <w:t>参加本项目采购活动前三年内，在经营活动中没有重大违法记录。</w:t>
      </w:r>
    </w:p>
    <w:p>
      <w:pPr>
        <w:numPr>
          <w:ilvl w:val="2"/>
          <w:numId w:val="49"/>
        </w:numPr>
        <w:snapToGrid w:val="0"/>
        <w:spacing w:line="360" w:lineRule="auto"/>
        <w:ind w:hanging="211"/>
        <w:rPr>
          <w:rFonts w:ascii="宋体" w:hAnsi="宋体" w:cs="宋体"/>
          <w:szCs w:val="21"/>
          <w:highlight w:val="none"/>
        </w:rPr>
      </w:pPr>
      <w:r>
        <w:rPr>
          <w:rFonts w:hint="eastAsia" w:ascii="宋体" w:hAnsi="宋体" w:cs="宋体"/>
          <w:szCs w:val="21"/>
          <w:highlight w:val="none"/>
        </w:rPr>
        <w:t>法律、行政法规规定的其他条件。</w:t>
      </w:r>
    </w:p>
    <w:p>
      <w:pPr>
        <w:numPr>
          <w:ilvl w:val="2"/>
          <w:numId w:val="49"/>
        </w:numPr>
        <w:tabs>
          <w:tab w:val="clear" w:pos="851"/>
        </w:tabs>
        <w:snapToGrid w:val="0"/>
        <w:spacing w:line="360" w:lineRule="auto"/>
        <w:ind w:left="1251" w:hanging="611"/>
        <w:rPr>
          <w:rFonts w:ascii="宋体" w:hAnsi="宋体" w:cs="宋体"/>
          <w:szCs w:val="21"/>
          <w:highlight w:val="none"/>
        </w:rPr>
      </w:pPr>
      <w:r>
        <w:rPr>
          <w:rFonts w:hint="eastAsia" w:ascii="宋体" w:hAnsi="宋体" w:cs="宋体"/>
          <w:szCs w:val="21"/>
          <w:highlight w:val="none"/>
        </w:rPr>
        <w:t>只有在法律上和财务上独立、合法运作并独立于招标人和招标代理机构的供货商才能参加投标。</w:t>
      </w:r>
    </w:p>
    <w:p>
      <w:pPr>
        <w:numPr>
          <w:ilvl w:val="2"/>
          <w:numId w:val="49"/>
        </w:numPr>
        <w:snapToGrid w:val="0"/>
        <w:spacing w:line="360" w:lineRule="auto"/>
        <w:ind w:hanging="211"/>
        <w:rPr>
          <w:rFonts w:ascii="宋体" w:hAnsi="宋体" w:cs="宋体"/>
          <w:szCs w:val="21"/>
          <w:highlight w:val="none"/>
        </w:rPr>
      </w:pPr>
      <w:r>
        <w:rPr>
          <w:rFonts w:hint="eastAsia" w:ascii="宋体" w:hAnsi="宋体" w:cs="宋体"/>
          <w:szCs w:val="21"/>
          <w:highlight w:val="none"/>
        </w:rPr>
        <w:t>符合第一章投标邀请“投标人资格”的特殊条款。</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中标人是指经法定程序确定并授予合同的投标人。</w:t>
      </w:r>
    </w:p>
    <w:p>
      <w:pPr>
        <w:numPr>
          <w:ilvl w:val="0"/>
          <w:numId w:val="49"/>
        </w:numPr>
        <w:snapToGrid w:val="0"/>
        <w:spacing w:line="360" w:lineRule="auto"/>
        <w:outlineLvl w:val="0"/>
        <w:rPr>
          <w:rFonts w:ascii="宋体" w:hAnsi="宋体" w:cs="宋体"/>
          <w:b/>
          <w:bCs/>
          <w:szCs w:val="21"/>
          <w:highlight w:val="none"/>
        </w:rPr>
      </w:pPr>
      <w:bookmarkStart w:id="25" w:name="_Toc356482706"/>
      <w:bookmarkStart w:id="26" w:name="_Toc3840"/>
      <w:r>
        <w:rPr>
          <w:rFonts w:hint="eastAsia" w:ascii="宋体" w:hAnsi="宋体" w:cs="宋体"/>
          <w:b/>
          <w:bCs/>
          <w:szCs w:val="21"/>
          <w:highlight w:val="none"/>
        </w:rPr>
        <w:t>合格的货物和服务</w:t>
      </w:r>
      <w:bookmarkEnd w:id="25"/>
      <w:bookmarkEnd w:id="2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“服务”是指投标人须承担的运输、安装、技术支持、培训以及招标文件规定的其它伴随服务。</w:t>
      </w:r>
    </w:p>
    <w:p>
      <w:pPr>
        <w:numPr>
          <w:ilvl w:val="0"/>
          <w:numId w:val="49"/>
        </w:numPr>
        <w:snapToGrid w:val="0"/>
        <w:spacing w:line="360" w:lineRule="auto"/>
        <w:outlineLvl w:val="0"/>
        <w:rPr>
          <w:rFonts w:ascii="宋体" w:hAnsi="宋体" w:cs="宋体"/>
          <w:b/>
          <w:bCs/>
          <w:szCs w:val="21"/>
          <w:highlight w:val="none"/>
        </w:rPr>
      </w:pPr>
      <w:bookmarkStart w:id="27" w:name="_Toc23495"/>
      <w:bookmarkStart w:id="28" w:name="_Toc356482707"/>
      <w:r>
        <w:rPr>
          <w:rFonts w:hint="eastAsia" w:ascii="宋体" w:hAnsi="宋体" w:cs="宋体"/>
          <w:b/>
          <w:bCs/>
          <w:szCs w:val="21"/>
          <w:highlight w:val="none"/>
        </w:rPr>
        <w:t>投标费用</w:t>
      </w:r>
      <w:bookmarkEnd w:id="27"/>
      <w:bookmarkEnd w:id="28"/>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投标人应承担所有与准备和参加投标有关的费用。不论投标的结果如何</w:t>
      </w:r>
      <w:r>
        <w:rPr>
          <w:rFonts w:hint="eastAsia" w:ascii="宋体" w:hAnsi="宋体" w:cs="宋体"/>
          <w:szCs w:val="21"/>
          <w:highlight w:val="none"/>
        </w:rPr>
        <w:t>，</w:t>
      </w:r>
      <w:r>
        <w:rPr>
          <w:rFonts w:hint="eastAsia" w:ascii="宋体" w:hAnsi="宋体" w:cs="宋体"/>
          <w:szCs w:val="21"/>
          <w:highlight w:val="none"/>
          <w:lang w:eastAsia="zh-TW"/>
        </w:rPr>
        <w:t>招标采购单位均无义务和责任承担这些费用</w:t>
      </w:r>
      <w:r>
        <w:rPr>
          <w:rFonts w:hint="eastAsia" w:ascii="宋体" w:hAnsi="宋体" w:cs="宋体"/>
          <w:szCs w:val="21"/>
          <w:highlight w:val="none"/>
        </w:rPr>
        <w:t>。</w:t>
      </w:r>
    </w:p>
    <w:p>
      <w:pPr>
        <w:snapToGrid w:val="0"/>
        <w:spacing w:line="360" w:lineRule="auto"/>
        <w:ind w:left="372" w:hanging="371" w:hangingChars="177"/>
        <w:rPr>
          <w:rFonts w:ascii="宋体" w:hAnsi="宋体" w:cs="宋体"/>
          <w:szCs w:val="21"/>
          <w:highlight w:val="none"/>
        </w:rPr>
      </w:pPr>
    </w:p>
    <w:p>
      <w:pPr>
        <w:numPr>
          <w:ilvl w:val="0"/>
          <w:numId w:val="48"/>
        </w:numPr>
        <w:snapToGrid w:val="0"/>
        <w:spacing w:line="360" w:lineRule="auto"/>
        <w:jc w:val="center"/>
        <w:outlineLvl w:val="0"/>
        <w:rPr>
          <w:rFonts w:ascii="宋体" w:hAnsi="宋体"/>
          <w:b/>
          <w:sz w:val="28"/>
          <w:szCs w:val="28"/>
          <w:highlight w:val="none"/>
          <w:lang w:eastAsia="zh-TW"/>
        </w:rPr>
      </w:pPr>
      <w:bookmarkStart w:id="29" w:name="_Toc356482708"/>
      <w:bookmarkStart w:id="30" w:name="_Toc29753"/>
      <w:r>
        <w:rPr>
          <w:rFonts w:hint="eastAsia" w:ascii="宋体" w:hAnsi="宋体"/>
          <w:b/>
          <w:sz w:val="28"/>
          <w:szCs w:val="28"/>
          <w:highlight w:val="none"/>
          <w:lang w:eastAsia="zh-TW"/>
        </w:rPr>
        <w:t>招标文件</w:t>
      </w:r>
      <w:bookmarkEnd w:id="29"/>
      <w:bookmarkEnd w:id="30"/>
    </w:p>
    <w:p>
      <w:pPr>
        <w:numPr>
          <w:ilvl w:val="0"/>
          <w:numId w:val="49"/>
        </w:numPr>
        <w:snapToGrid w:val="0"/>
        <w:spacing w:line="360" w:lineRule="auto"/>
        <w:outlineLvl w:val="0"/>
        <w:rPr>
          <w:rFonts w:ascii="宋体" w:hAnsi="宋体" w:cs="宋体"/>
          <w:b/>
          <w:bCs/>
          <w:szCs w:val="21"/>
          <w:highlight w:val="none"/>
        </w:rPr>
      </w:pPr>
      <w:bookmarkStart w:id="31" w:name="_Toc3388"/>
      <w:bookmarkStart w:id="32" w:name="_Toc356482709"/>
      <w:r>
        <w:rPr>
          <w:rFonts w:hint="eastAsia" w:ascii="宋体" w:hAnsi="宋体" w:cs="宋体"/>
          <w:b/>
          <w:bCs/>
          <w:szCs w:val="21"/>
          <w:highlight w:val="none"/>
        </w:rPr>
        <w:t>招标文件的编制与构成</w:t>
      </w:r>
      <w:bookmarkEnd w:id="31"/>
      <w:bookmarkEnd w:id="32"/>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本招标文件的编制参照《中华人民共和国政府采购法》。</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要求提供的货物、</w:t>
      </w:r>
      <w:r>
        <w:rPr>
          <w:rFonts w:hint="eastAsia" w:ascii="宋体" w:hAnsi="宋体" w:cs="宋体"/>
          <w:szCs w:val="21"/>
          <w:highlight w:val="none"/>
        </w:rPr>
        <w:t>采购</w:t>
      </w:r>
      <w:r>
        <w:rPr>
          <w:rFonts w:hint="eastAsia" w:ascii="宋体" w:hAnsi="宋体" w:cs="宋体"/>
          <w:szCs w:val="21"/>
          <w:highlight w:val="none"/>
          <w:lang w:eastAsia="zh-TW"/>
        </w:rPr>
        <w:t>过程和合同条件在招标文件中均有说明。招标文件以中文文字编写。</w:t>
      </w:r>
    </w:p>
    <w:p>
      <w:pPr>
        <w:snapToGrid w:val="0"/>
        <w:spacing w:line="360" w:lineRule="auto"/>
        <w:ind w:left="571" w:leftChars="272"/>
        <w:rPr>
          <w:rFonts w:ascii="宋体" w:hAnsi="宋体" w:cs="宋体"/>
          <w:szCs w:val="21"/>
          <w:highlight w:val="none"/>
        </w:rPr>
      </w:pPr>
      <w:r>
        <w:rPr>
          <w:rFonts w:hint="eastAsia" w:ascii="宋体" w:hAnsi="宋体" w:cs="宋体"/>
          <w:szCs w:val="21"/>
          <w:highlight w:val="none"/>
          <w:lang w:eastAsia="zh-TW"/>
        </w:rPr>
        <w:t>招标文件共</w:t>
      </w:r>
      <w:r>
        <w:rPr>
          <w:rFonts w:hint="eastAsia" w:ascii="宋体" w:hAnsi="宋体" w:cs="宋体"/>
          <w:szCs w:val="21"/>
          <w:highlight w:val="none"/>
        </w:rPr>
        <w:t>七</w:t>
      </w:r>
      <w:r>
        <w:rPr>
          <w:rFonts w:hint="eastAsia" w:ascii="宋体" w:hAnsi="宋体" w:cs="宋体"/>
          <w:szCs w:val="21"/>
          <w:highlight w:val="none"/>
          <w:lang w:eastAsia="zh-TW"/>
        </w:rPr>
        <w:t>章</w:t>
      </w:r>
      <w:r>
        <w:rPr>
          <w:rFonts w:hint="eastAsia" w:ascii="宋体" w:hAnsi="宋体" w:cs="宋体"/>
          <w:szCs w:val="21"/>
          <w:highlight w:val="none"/>
        </w:rPr>
        <w:t>，由下列文件以及在招标过程中发出的澄清、修改和补充文件组成，</w:t>
      </w:r>
      <w:r>
        <w:rPr>
          <w:rFonts w:hint="eastAsia" w:ascii="宋体" w:hAnsi="宋体" w:cs="宋体"/>
          <w:szCs w:val="21"/>
          <w:highlight w:val="none"/>
          <w:lang w:eastAsia="zh-TW"/>
        </w:rPr>
        <w:t>内容如下</w:t>
      </w:r>
      <w:r>
        <w:rPr>
          <w:rFonts w:hint="eastAsia" w:ascii="宋体" w:hAnsi="宋体" w:cs="宋体"/>
          <w:szCs w:val="21"/>
          <w:highlight w:val="none"/>
        </w:rPr>
        <w:t>：</w:t>
      </w:r>
    </w:p>
    <w:p>
      <w:pPr>
        <w:snapToGrid w:val="0"/>
        <w:spacing w:line="360" w:lineRule="auto"/>
        <w:ind w:left="445" w:leftChars="212" w:firstLine="143"/>
        <w:rPr>
          <w:rFonts w:ascii="宋体" w:hAnsi="宋体" w:cs="宋体"/>
          <w:szCs w:val="21"/>
          <w:highlight w:val="none"/>
        </w:rPr>
      </w:pPr>
      <w:r>
        <w:rPr>
          <w:rFonts w:hint="eastAsia" w:ascii="宋体" w:hAnsi="宋体" w:cs="宋体"/>
          <w:szCs w:val="21"/>
          <w:highlight w:val="none"/>
          <w:lang w:eastAsia="zh-TW"/>
        </w:rPr>
        <w:t>第一章</w:t>
      </w:r>
      <w:r>
        <w:rPr>
          <w:rFonts w:hint="eastAsia" w:ascii="宋体" w:hAnsi="宋体" w:cs="宋体"/>
          <w:szCs w:val="21"/>
          <w:highlight w:val="none"/>
        </w:rPr>
        <w:t>　</w:t>
      </w:r>
      <w:r>
        <w:rPr>
          <w:rFonts w:hint="eastAsia" w:ascii="宋体" w:hAnsi="宋体" w:cs="宋体"/>
          <w:szCs w:val="21"/>
          <w:highlight w:val="none"/>
          <w:lang w:eastAsia="zh-TW"/>
        </w:rPr>
        <w:t>投标邀请</w:t>
      </w:r>
    </w:p>
    <w:p>
      <w:pPr>
        <w:snapToGrid w:val="0"/>
        <w:spacing w:line="360" w:lineRule="auto"/>
        <w:ind w:left="688" w:leftChars="270" w:hanging="121"/>
        <w:rPr>
          <w:rFonts w:ascii="宋体" w:hAnsi="宋体" w:cs="宋体"/>
          <w:szCs w:val="21"/>
          <w:highlight w:val="none"/>
        </w:rPr>
      </w:pPr>
      <w:r>
        <w:rPr>
          <w:rFonts w:hint="eastAsia" w:ascii="宋体" w:hAnsi="宋体" w:cs="宋体"/>
          <w:szCs w:val="21"/>
          <w:highlight w:val="none"/>
          <w:lang w:eastAsia="zh-TW"/>
        </w:rPr>
        <w:t>第二章</w:t>
      </w:r>
      <w:r>
        <w:rPr>
          <w:rFonts w:hint="eastAsia" w:ascii="宋体" w:hAnsi="宋体" w:cs="宋体"/>
          <w:szCs w:val="21"/>
          <w:highlight w:val="none"/>
        </w:rPr>
        <w:t>　</w:t>
      </w:r>
      <w:r>
        <w:rPr>
          <w:rFonts w:hint="eastAsia" w:ascii="宋体" w:hAnsi="宋体" w:cs="宋体"/>
          <w:szCs w:val="21"/>
          <w:highlight w:val="none"/>
          <w:lang w:eastAsia="zh-TW"/>
        </w:rPr>
        <w:t>投标资料表</w:t>
      </w:r>
    </w:p>
    <w:p>
      <w:pPr>
        <w:snapToGrid w:val="0"/>
        <w:spacing w:line="360" w:lineRule="auto"/>
        <w:ind w:left="688" w:leftChars="270" w:hanging="121"/>
        <w:rPr>
          <w:rFonts w:ascii="宋体" w:hAnsi="宋体" w:cs="宋体"/>
          <w:szCs w:val="21"/>
          <w:highlight w:val="none"/>
        </w:rPr>
      </w:pPr>
      <w:r>
        <w:rPr>
          <w:rFonts w:hint="eastAsia" w:ascii="宋体" w:hAnsi="宋体" w:cs="宋体"/>
          <w:szCs w:val="21"/>
          <w:highlight w:val="none"/>
          <w:lang w:eastAsia="zh-TW"/>
        </w:rPr>
        <w:t>第</w:t>
      </w:r>
      <w:r>
        <w:rPr>
          <w:rFonts w:hint="eastAsia" w:ascii="宋体" w:hAnsi="宋体" w:cs="宋体"/>
          <w:szCs w:val="21"/>
          <w:highlight w:val="none"/>
        </w:rPr>
        <w:t>三</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用户需求书</w:t>
      </w:r>
    </w:p>
    <w:p>
      <w:pPr>
        <w:snapToGrid w:val="0"/>
        <w:spacing w:line="360" w:lineRule="auto"/>
        <w:ind w:left="688" w:leftChars="270" w:hanging="121"/>
        <w:rPr>
          <w:rFonts w:ascii="宋体" w:hAnsi="宋体" w:cs="宋体"/>
          <w:szCs w:val="21"/>
          <w:highlight w:val="none"/>
        </w:rPr>
      </w:pPr>
      <w:r>
        <w:rPr>
          <w:rFonts w:hint="eastAsia" w:ascii="宋体" w:hAnsi="宋体" w:cs="宋体"/>
          <w:szCs w:val="21"/>
          <w:highlight w:val="none"/>
          <w:lang w:eastAsia="zh-TW"/>
        </w:rPr>
        <w:t>第</w:t>
      </w:r>
      <w:r>
        <w:rPr>
          <w:rFonts w:hint="eastAsia" w:ascii="宋体" w:hAnsi="宋体" w:cs="宋体"/>
          <w:szCs w:val="21"/>
          <w:highlight w:val="none"/>
        </w:rPr>
        <w:t>四</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评分</w:t>
      </w:r>
      <w:r>
        <w:rPr>
          <w:rFonts w:hint="eastAsia" w:ascii="宋体" w:hAnsi="宋体" w:cs="宋体"/>
          <w:szCs w:val="21"/>
          <w:highlight w:val="none"/>
        </w:rPr>
        <w:t>体系</w:t>
      </w:r>
      <w:r>
        <w:rPr>
          <w:rFonts w:hint="eastAsia" w:ascii="宋体" w:hAnsi="宋体" w:cs="宋体"/>
          <w:szCs w:val="21"/>
          <w:highlight w:val="none"/>
          <w:lang w:eastAsia="zh-TW"/>
        </w:rPr>
        <w:t>和标准</w:t>
      </w:r>
    </w:p>
    <w:p>
      <w:pPr>
        <w:snapToGrid w:val="0"/>
        <w:spacing w:line="360" w:lineRule="auto"/>
        <w:ind w:left="688" w:leftChars="270" w:hanging="121"/>
        <w:rPr>
          <w:rFonts w:ascii="宋体" w:hAnsi="宋体" w:cs="宋体"/>
          <w:szCs w:val="21"/>
          <w:highlight w:val="none"/>
        </w:rPr>
      </w:pPr>
      <w:r>
        <w:rPr>
          <w:rFonts w:hint="eastAsia" w:ascii="宋体" w:hAnsi="宋体" w:cs="宋体"/>
          <w:szCs w:val="21"/>
          <w:highlight w:val="none"/>
          <w:lang w:eastAsia="zh-TW"/>
        </w:rPr>
        <w:t>第</w:t>
      </w:r>
      <w:r>
        <w:rPr>
          <w:rFonts w:hint="eastAsia" w:ascii="宋体" w:hAnsi="宋体" w:cs="宋体"/>
          <w:szCs w:val="21"/>
          <w:highlight w:val="none"/>
        </w:rPr>
        <w:t>五</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投标人须知</w:t>
      </w:r>
    </w:p>
    <w:p>
      <w:pPr>
        <w:snapToGrid w:val="0"/>
        <w:spacing w:line="360" w:lineRule="auto"/>
        <w:ind w:left="688" w:leftChars="270" w:hanging="121"/>
        <w:rPr>
          <w:rFonts w:ascii="宋体" w:hAnsi="宋体" w:cs="宋体"/>
          <w:szCs w:val="21"/>
          <w:highlight w:val="none"/>
        </w:rPr>
      </w:pPr>
      <w:r>
        <w:rPr>
          <w:rFonts w:hint="eastAsia" w:ascii="宋体" w:hAnsi="宋体" w:cs="宋体"/>
          <w:szCs w:val="21"/>
          <w:highlight w:val="none"/>
          <w:lang w:eastAsia="zh-TW"/>
        </w:rPr>
        <w:t>第</w:t>
      </w:r>
      <w:r>
        <w:rPr>
          <w:rFonts w:hint="eastAsia" w:ascii="宋体" w:hAnsi="宋体" w:cs="宋体"/>
          <w:szCs w:val="21"/>
          <w:highlight w:val="none"/>
        </w:rPr>
        <w:t>六</w:t>
      </w:r>
      <w:r>
        <w:rPr>
          <w:rFonts w:hint="eastAsia" w:ascii="宋体" w:hAnsi="宋体" w:cs="宋体"/>
          <w:szCs w:val="21"/>
          <w:highlight w:val="none"/>
          <w:lang w:eastAsia="zh-TW"/>
        </w:rPr>
        <w:t>章</w:t>
      </w:r>
      <w:r>
        <w:rPr>
          <w:rFonts w:hint="eastAsia" w:ascii="宋体" w:hAnsi="宋体" w:cs="宋体"/>
          <w:szCs w:val="21"/>
          <w:highlight w:val="none"/>
        </w:rPr>
        <w:t>　</w:t>
      </w:r>
      <w:r>
        <w:rPr>
          <w:rFonts w:hint="eastAsia" w:ascii="宋体" w:hAnsi="宋体" w:cs="宋体"/>
          <w:szCs w:val="21"/>
          <w:highlight w:val="none"/>
          <w:lang w:eastAsia="zh-TW"/>
        </w:rPr>
        <w:t>合同条款</w:t>
      </w:r>
    </w:p>
    <w:p>
      <w:pPr>
        <w:snapToGrid w:val="0"/>
        <w:spacing w:line="360" w:lineRule="auto"/>
        <w:ind w:left="688" w:leftChars="270" w:hanging="121"/>
        <w:rPr>
          <w:rFonts w:ascii="宋体" w:hAnsi="宋体" w:cs="宋体"/>
          <w:szCs w:val="21"/>
          <w:highlight w:val="none"/>
        </w:rPr>
      </w:pPr>
      <w:r>
        <w:rPr>
          <w:rFonts w:hint="eastAsia" w:ascii="宋体" w:hAnsi="宋体" w:cs="宋体"/>
          <w:szCs w:val="21"/>
          <w:highlight w:val="none"/>
        </w:rPr>
        <w:t>第七章　投标文件格式</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投标人应认真阅读、并充分理解招标文件的全部内容（包括所有的补充、修改内容重要事项、格式、条款和技术规范、参数及要求等）。投标人没有按照招标文件要求提交全部资料，或者投标</w:t>
      </w:r>
      <w:r>
        <w:rPr>
          <w:rFonts w:hint="eastAsia" w:ascii="宋体" w:hAnsi="宋体" w:cs="宋体"/>
          <w:szCs w:val="21"/>
          <w:highlight w:val="none"/>
        </w:rPr>
        <w:t>文件</w:t>
      </w:r>
      <w:r>
        <w:rPr>
          <w:rFonts w:hint="eastAsia" w:ascii="宋体" w:hAnsi="宋体" w:cs="宋体"/>
          <w:szCs w:val="21"/>
          <w:highlight w:val="none"/>
          <w:lang w:eastAsia="zh-TW"/>
        </w:rPr>
        <w:t>没有对招标文件在各方面都作出实质性响应是投标人的风险，有可能导致其投标被拒绝，或被认定为无效投标或被确定为投标无效。</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rPr>
        <w:t>本</w:t>
      </w:r>
      <w:r>
        <w:rPr>
          <w:rFonts w:hint="eastAsia" w:ascii="宋体" w:hAnsi="宋体" w:cs="宋体"/>
          <w:szCs w:val="21"/>
          <w:highlight w:val="none"/>
          <w:lang w:eastAsia="zh-TW"/>
        </w:rPr>
        <w:t>招标文件的解释权归“广东</w:t>
      </w:r>
      <w:r>
        <w:rPr>
          <w:rFonts w:hint="eastAsia" w:ascii="宋体" w:hAnsi="宋体" w:cs="宋体"/>
          <w:szCs w:val="21"/>
          <w:highlight w:val="none"/>
        </w:rPr>
        <w:t>中采</w:t>
      </w:r>
      <w:r>
        <w:rPr>
          <w:rFonts w:hint="eastAsia" w:ascii="宋体" w:hAnsi="宋体" w:cs="宋体"/>
          <w:szCs w:val="21"/>
          <w:highlight w:val="none"/>
          <w:lang w:eastAsia="zh-TW"/>
        </w:rPr>
        <w:t>招标有限公司”所有。</w:t>
      </w:r>
    </w:p>
    <w:p>
      <w:pPr>
        <w:numPr>
          <w:ilvl w:val="0"/>
          <w:numId w:val="49"/>
        </w:numPr>
        <w:snapToGrid w:val="0"/>
        <w:spacing w:line="360" w:lineRule="auto"/>
        <w:outlineLvl w:val="0"/>
        <w:rPr>
          <w:rFonts w:ascii="宋体" w:hAnsi="宋体" w:cs="宋体"/>
          <w:b/>
          <w:bCs/>
          <w:szCs w:val="21"/>
          <w:highlight w:val="none"/>
        </w:rPr>
      </w:pPr>
      <w:bookmarkStart w:id="33" w:name="_Toc16155"/>
      <w:bookmarkStart w:id="34" w:name="_Toc356482710"/>
      <w:r>
        <w:rPr>
          <w:rFonts w:hint="eastAsia" w:ascii="宋体" w:hAnsi="宋体" w:cs="宋体"/>
          <w:b/>
          <w:bCs/>
          <w:szCs w:val="21"/>
          <w:highlight w:val="none"/>
        </w:rPr>
        <w:t>招标文件的澄清</w:t>
      </w:r>
      <w:bookmarkEnd w:id="33"/>
      <w:bookmarkEnd w:id="34"/>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任何要求对招标文件进行澄清的投标人，均应以书面形式在投标截止时间十五日以前通知招标采购单位。招标代理机构将组织招标人对投标人所要求澄清的内容均以书面形式予以答复。必要时，招标采购单位将召开答疑会，并将会议内容以书面形式发给每个购买招标文件的潜在投标人</w:t>
      </w:r>
      <w:r>
        <w:rPr>
          <w:rFonts w:hint="eastAsia" w:ascii="宋体" w:hAnsi="宋体" w:cs="宋体"/>
          <w:szCs w:val="21"/>
          <w:highlight w:val="none"/>
        </w:rPr>
        <w:t>，</w:t>
      </w:r>
      <w:r>
        <w:rPr>
          <w:rFonts w:hint="eastAsia" w:ascii="宋体" w:hAnsi="宋体" w:cs="宋体"/>
          <w:szCs w:val="21"/>
          <w:highlight w:val="none"/>
          <w:lang w:eastAsia="zh-TW"/>
        </w:rPr>
        <w:t>答复中不包括问题的来源。</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投标人在规定的时间内未对招标文件提出澄清或疑问的，招标采购单位将视其为无异议。对招标文件中描述有歧意或前后不一致的地方，评标委员会有权进行评判，但对同一条款的评判应适用于每个投标人。</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除非依本须知第7.1规定的有</w:t>
      </w:r>
      <w:r>
        <w:rPr>
          <w:rFonts w:hint="eastAsia" w:ascii="宋体" w:hAnsi="宋体" w:cs="宋体"/>
          <w:szCs w:val="21"/>
          <w:highlight w:val="none"/>
          <w:lang w:eastAsia="zh-TW"/>
        </w:rPr>
        <w:t>必要时</w:t>
      </w:r>
      <w:r>
        <w:rPr>
          <w:rFonts w:hint="eastAsia" w:ascii="宋体" w:hAnsi="宋体" w:cs="宋体"/>
          <w:szCs w:val="21"/>
          <w:highlight w:val="none"/>
        </w:rPr>
        <w:t>或</w:t>
      </w:r>
      <w:r>
        <w:rPr>
          <w:rFonts w:hint="eastAsia" w:ascii="宋体" w:hAnsi="宋体" w:cs="宋体"/>
          <w:b/>
          <w:szCs w:val="21"/>
          <w:highlight w:val="none"/>
        </w:rPr>
        <w:t>投标资料表</w:t>
      </w:r>
      <w:r>
        <w:rPr>
          <w:rFonts w:hint="eastAsia" w:ascii="宋体" w:hAnsi="宋体" w:cs="宋体"/>
          <w:szCs w:val="21"/>
          <w:highlight w:val="none"/>
        </w:rPr>
        <w:t>中另有规定，不举行项目集中答疑会或现场考察，如果</w:t>
      </w:r>
      <w:r>
        <w:rPr>
          <w:rFonts w:hint="eastAsia" w:ascii="宋体" w:hAnsi="宋体" w:cs="宋体"/>
          <w:b/>
          <w:szCs w:val="21"/>
          <w:highlight w:val="none"/>
        </w:rPr>
        <w:t>投标资料表</w:t>
      </w:r>
      <w:r>
        <w:rPr>
          <w:rFonts w:hint="eastAsia" w:ascii="宋体" w:hAnsi="宋体" w:cs="宋体"/>
          <w:szCs w:val="21"/>
          <w:highlight w:val="none"/>
        </w:rPr>
        <w:t>中规定举行集中答疑会或现场考察，则包含下列规定：</w:t>
      </w:r>
    </w:p>
    <w:p>
      <w:pPr>
        <w:numPr>
          <w:ilvl w:val="2"/>
          <w:numId w:val="49"/>
        </w:numPr>
        <w:snapToGrid w:val="0"/>
        <w:spacing w:line="360" w:lineRule="auto"/>
        <w:ind w:hanging="211"/>
        <w:rPr>
          <w:rFonts w:ascii="宋体" w:hAnsi="宋体" w:cs="宋体"/>
          <w:szCs w:val="21"/>
          <w:highlight w:val="none"/>
        </w:rPr>
      </w:pPr>
      <w:r>
        <w:rPr>
          <w:rFonts w:hint="eastAsia" w:ascii="宋体" w:hAnsi="宋体" w:cs="宋体"/>
          <w:szCs w:val="21"/>
          <w:highlight w:val="none"/>
          <w:lang w:eastAsia="zh-TW"/>
        </w:rPr>
        <w:t>在</w:t>
      </w:r>
      <w:r>
        <w:rPr>
          <w:rFonts w:hint="eastAsia" w:ascii="宋体" w:hAnsi="宋体" w:cs="宋体"/>
          <w:b/>
          <w:szCs w:val="21"/>
          <w:highlight w:val="none"/>
          <w:lang w:eastAsia="zh-TW"/>
        </w:rPr>
        <w:t>投标资料表</w:t>
      </w:r>
      <w:r>
        <w:rPr>
          <w:rFonts w:hint="eastAsia" w:ascii="宋体" w:hAnsi="宋体" w:cs="宋体"/>
          <w:szCs w:val="21"/>
          <w:highlight w:val="none"/>
        </w:rPr>
        <w:t>中规定的日期、时间和地点组织公开答疑会或现场考察；</w:t>
      </w:r>
    </w:p>
    <w:p>
      <w:pPr>
        <w:numPr>
          <w:ilvl w:val="2"/>
          <w:numId w:val="49"/>
        </w:numPr>
        <w:tabs>
          <w:tab w:val="left" w:pos="1260"/>
          <w:tab w:val="clear" w:pos="851"/>
        </w:tabs>
        <w:snapToGrid w:val="0"/>
        <w:spacing w:line="360" w:lineRule="auto"/>
        <w:ind w:left="1251" w:hanging="611"/>
        <w:rPr>
          <w:rFonts w:ascii="宋体" w:hAnsi="宋体" w:cs="宋体"/>
          <w:szCs w:val="21"/>
          <w:highlight w:val="none"/>
          <w:lang w:eastAsia="zh-TW"/>
        </w:rPr>
      </w:pPr>
      <w:r>
        <w:rPr>
          <w:rFonts w:hint="eastAsia" w:ascii="宋体" w:hAnsi="宋体" w:cs="宋体"/>
          <w:szCs w:val="21"/>
          <w:highlight w:val="none"/>
          <w:lang w:eastAsia="zh-TW"/>
        </w:rPr>
        <w:t>潜在投标人对本项目提出的疑问，需在答疑会或现场考察召开日前至少一个工作日将问题清单传真或以书面（加盖公章）形式提交至招标代理机构，潜在投标人代表于上述的时间和地点出席答疑会或现场考察。</w:t>
      </w:r>
    </w:p>
    <w:p>
      <w:pPr>
        <w:numPr>
          <w:ilvl w:val="2"/>
          <w:numId w:val="49"/>
        </w:numPr>
        <w:tabs>
          <w:tab w:val="left" w:pos="1260"/>
          <w:tab w:val="clear" w:pos="851"/>
        </w:tabs>
        <w:snapToGrid w:val="0"/>
        <w:spacing w:line="360" w:lineRule="auto"/>
        <w:ind w:left="1251" w:hanging="611"/>
        <w:rPr>
          <w:rFonts w:ascii="宋体" w:hAnsi="宋体" w:cs="宋体"/>
          <w:szCs w:val="21"/>
          <w:highlight w:val="none"/>
        </w:rPr>
      </w:pPr>
      <w:r>
        <w:rPr>
          <w:rFonts w:hint="eastAsia" w:ascii="宋体" w:hAnsi="宋体" w:cs="宋体"/>
          <w:szCs w:val="21"/>
          <w:highlight w:val="none"/>
          <w:lang w:eastAsia="zh-TW"/>
        </w:rPr>
        <w:t>已购买招标文件的投标人如不出席答疑会或现场考察视为对招标文件所有内容无任何异议。</w:t>
      </w:r>
    </w:p>
    <w:p>
      <w:pPr>
        <w:numPr>
          <w:ilvl w:val="0"/>
          <w:numId w:val="49"/>
        </w:numPr>
        <w:snapToGrid w:val="0"/>
        <w:spacing w:line="360" w:lineRule="auto"/>
        <w:outlineLvl w:val="0"/>
        <w:rPr>
          <w:rFonts w:ascii="宋体" w:hAnsi="宋体" w:cs="宋体"/>
          <w:b/>
          <w:bCs/>
          <w:szCs w:val="21"/>
          <w:highlight w:val="none"/>
        </w:rPr>
      </w:pPr>
      <w:bookmarkStart w:id="35" w:name="_Toc1783"/>
      <w:bookmarkStart w:id="36" w:name="_Toc356482711"/>
      <w:r>
        <w:rPr>
          <w:rFonts w:hint="eastAsia" w:ascii="宋体" w:hAnsi="宋体" w:cs="宋体"/>
          <w:b/>
          <w:bCs/>
          <w:szCs w:val="21"/>
          <w:highlight w:val="none"/>
        </w:rPr>
        <w:t>招标文件的修改</w:t>
      </w:r>
      <w:bookmarkEnd w:id="35"/>
      <w:bookmarkEnd w:id="3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无论出于何种原因</w:t>
      </w:r>
      <w:r>
        <w:rPr>
          <w:rFonts w:hint="eastAsia" w:ascii="宋体" w:hAnsi="宋体" w:cs="宋体"/>
          <w:szCs w:val="21"/>
          <w:highlight w:val="none"/>
        </w:rPr>
        <w:t>，</w:t>
      </w:r>
      <w:r>
        <w:rPr>
          <w:rFonts w:hint="eastAsia" w:ascii="宋体" w:hAnsi="宋体" w:cs="宋体"/>
          <w:szCs w:val="21"/>
          <w:highlight w:val="none"/>
          <w:lang w:eastAsia="zh-TW"/>
        </w:rPr>
        <w:t>招标采购单位可主动地或在解答投标人提出的疑问时对招标文件进行修改</w:t>
      </w:r>
      <w:r>
        <w:rPr>
          <w:rFonts w:hint="eastAsia" w:ascii="宋体" w:hAnsi="宋体" w:cs="宋体"/>
          <w:szCs w:val="21"/>
          <w:highlight w:val="none"/>
        </w:rPr>
        <w:t>，</w:t>
      </w:r>
      <w:r>
        <w:rPr>
          <w:rFonts w:hint="eastAsia" w:ascii="宋体" w:hAnsi="宋体" w:cs="宋体"/>
          <w:szCs w:val="21"/>
          <w:highlight w:val="none"/>
          <w:lang w:eastAsia="zh-TW"/>
        </w:rPr>
        <w:t>招标采购单位对已发出的招标文件进行必要修改的，应当在招标文件</w:t>
      </w:r>
      <w:r>
        <w:rPr>
          <w:rFonts w:hint="eastAsia" w:ascii="宋体" w:hAnsi="宋体" w:cs="宋体"/>
          <w:b/>
          <w:szCs w:val="21"/>
          <w:highlight w:val="none"/>
        </w:rPr>
        <w:t>投标资料表</w:t>
      </w:r>
      <w:r>
        <w:rPr>
          <w:rFonts w:hint="eastAsia" w:ascii="宋体" w:hAnsi="宋体" w:cs="宋体"/>
          <w:szCs w:val="21"/>
          <w:highlight w:val="none"/>
          <w:lang w:eastAsia="zh-TW"/>
        </w:rPr>
        <w:t>中所述提交投标文件截止时间十五日前，在</w:t>
      </w:r>
      <w:r>
        <w:rPr>
          <w:rFonts w:hint="eastAsia" w:ascii="宋体" w:hAnsi="宋体" w:cs="宋体"/>
          <w:szCs w:val="21"/>
          <w:highlight w:val="none"/>
        </w:rPr>
        <w:t>招标</w:t>
      </w:r>
      <w:r>
        <w:rPr>
          <w:rFonts w:hint="eastAsia" w:ascii="宋体" w:hAnsi="宋体" w:cs="宋体"/>
          <w:szCs w:val="21"/>
          <w:highlight w:val="none"/>
          <w:lang w:eastAsia="zh-TW"/>
        </w:rPr>
        <w:t>信息发布媒体上发布更正公告</w:t>
      </w:r>
      <w:r>
        <w:rPr>
          <w:rFonts w:hint="eastAsia" w:ascii="宋体" w:hAnsi="宋体" w:cs="宋体"/>
          <w:szCs w:val="21"/>
          <w:highlight w:val="none"/>
        </w:rPr>
        <w:t>，</w:t>
      </w:r>
      <w:r>
        <w:rPr>
          <w:rFonts w:hint="eastAsia" w:ascii="宋体" w:hAnsi="宋体" w:cs="宋体"/>
          <w:szCs w:val="21"/>
          <w:highlight w:val="none"/>
          <w:lang w:eastAsia="zh-TW"/>
        </w:rPr>
        <w:t>并以书面形式通知所有招标文件收受人。</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澄清或修改时间距投标截止时间不足十五</w:t>
      </w:r>
      <w:r>
        <w:rPr>
          <w:rFonts w:hint="eastAsia" w:ascii="宋体" w:hAnsi="宋体" w:cs="宋体"/>
          <w:szCs w:val="21"/>
          <w:highlight w:val="none"/>
        </w:rPr>
        <w:t>日</w:t>
      </w:r>
      <w:r>
        <w:rPr>
          <w:rFonts w:hint="eastAsia" w:ascii="宋体" w:hAnsi="宋体" w:cs="宋体"/>
          <w:szCs w:val="21"/>
          <w:highlight w:val="none"/>
          <w:lang w:eastAsia="zh-TW"/>
        </w:rPr>
        <w:t>的</w:t>
      </w:r>
      <w:r>
        <w:rPr>
          <w:rFonts w:hint="eastAsia" w:ascii="宋体" w:hAnsi="宋体" w:cs="宋体"/>
          <w:szCs w:val="21"/>
          <w:highlight w:val="none"/>
        </w:rPr>
        <w:t>，招标人</w:t>
      </w:r>
      <w:r>
        <w:rPr>
          <w:rFonts w:hint="eastAsia" w:ascii="宋体" w:hAnsi="宋体" w:cs="宋体"/>
          <w:szCs w:val="21"/>
          <w:highlight w:val="none"/>
          <w:lang w:eastAsia="zh-TW"/>
        </w:rPr>
        <w:t>或招标代理机构在征得已获取招标文件的</w:t>
      </w:r>
      <w:r>
        <w:rPr>
          <w:rFonts w:hint="eastAsia" w:ascii="宋体" w:hAnsi="宋体" w:cs="宋体"/>
          <w:szCs w:val="21"/>
          <w:highlight w:val="none"/>
        </w:rPr>
        <w:t>潜在投标人</w:t>
      </w:r>
      <w:r>
        <w:rPr>
          <w:rFonts w:hint="eastAsia" w:ascii="宋体" w:hAnsi="宋体" w:cs="宋体"/>
          <w:szCs w:val="21"/>
          <w:highlight w:val="none"/>
          <w:lang w:eastAsia="zh-TW"/>
        </w:rPr>
        <w:t>同意并书面确认后，可不改变投标截止时间。</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招标文件的修改内容是招标文件的组成部分，将以书面形式通知所有购买招标文件的潜在投标人，并对潜在投标人具有约束力。潜在投标人在收到上述通知后</w:t>
      </w:r>
      <w:r>
        <w:rPr>
          <w:rFonts w:hint="eastAsia" w:ascii="宋体" w:hAnsi="宋体" w:cs="宋体"/>
          <w:szCs w:val="21"/>
          <w:highlight w:val="none"/>
        </w:rPr>
        <w:t>，</w:t>
      </w:r>
      <w:r>
        <w:rPr>
          <w:rFonts w:hint="eastAsia" w:ascii="宋体" w:hAnsi="宋体" w:cs="宋体"/>
          <w:szCs w:val="21"/>
          <w:highlight w:val="none"/>
          <w:lang w:eastAsia="zh-TW"/>
        </w:rPr>
        <w:t>应立即以书面形式向招标采购单位确认。如在24小时之内无书面回函则视为同意修改内容，并有责任履行相应的义务。</w:t>
      </w:r>
    </w:p>
    <w:p>
      <w:pPr>
        <w:snapToGrid w:val="0"/>
        <w:spacing w:line="360" w:lineRule="auto"/>
        <w:jc w:val="center"/>
        <w:outlineLvl w:val="0"/>
        <w:rPr>
          <w:rFonts w:ascii="宋体" w:hAnsi="宋体" w:cs="宋体"/>
          <w:szCs w:val="21"/>
          <w:highlight w:val="none"/>
          <w:lang w:eastAsia="zh-TW"/>
        </w:rPr>
      </w:pPr>
    </w:p>
    <w:p>
      <w:pPr>
        <w:numPr>
          <w:ilvl w:val="0"/>
          <w:numId w:val="48"/>
        </w:numPr>
        <w:snapToGrid w:val="0"/>
        <w:spacing w:line="360" w:lineRule="auto"/>
        <w:jc w:val="center"/>
        <w:outlineLvl w:val="0"/>
        <w:rPr>
          <w:rFonts w:ascii="宋体" w:hAnsi="宋体"/>
          <w:b/>
          <w:sz w:val="28"/>
          <w:szCs w:val="28"/>
          <w:highlight w:val="none"/>
          <w:lang w:eastAsia="zh-TW"/>
        </w:rPr>
      </w:pPr>
      <w:bookmarkStart w:id="37" w:name="_Toc23142"/>
      <w:bookmarkStart w:id="38" w:name="_Toc356482712"/>
      <w:r>
        <w:rPr>
          <w:rFonts w:hint="eastAsia" w:ascii="宋体" w:hAnsi="宋体"/>
          <w:b/>
          <w:sz w:val="28"/>
          <w:szCs w:val="28"/>
          <w:highlight w:val="none"/>
          <w:lang w:eastAsia="zh-TW"/>
        </w:rPr>
        <w:t>投标文件的编制</w:t>
      </w:r>
      <w:bookmarkEnd w:id="37"/>
      <w:bookmarkEnd w:id="38"/>
    </w:p>
    <w:p>
      <w:pPr>
        <w:numPr>
          <w:ilvl w:val="0"/>
          <w:numId w:val="49"/>
        </w:numPr>
        <w:snapToGrid w:val="0"/>
        <w:spacing w:line="360" w:lineRule="auto"/>
        <w:outlineLvl w:val="0"/>
        <w:rPr>
          <w:rFonts w:ascii="宋体" w:hAnsi="宋体" w:cs="宋体"/>
          <w:b/>
          <w:bCs/>
          <w:szCs w:val="21"/>
          <w:highlight w:val="none"/>
        </w:rPr>
      </w:pPr>
      <w:bookmarkStart w:id="39" w:name="_Toc356482713"/>
      <w:bookmarkStart w:id="40" w:name="_Toc21700"/>
      <w:r>
        <w:rPr>
          <w:rFonts w:hint="eastAsia" w:ascii="宋体" w:hAnsi="宋体" w:cs="宋体"/>
          <w:b/>
          <w:bCs/>
          <w:szCs w:val="21"/>
          <w:highlight w:val="none"/>
        </w:rPr>
        <w:t>投标的语言</w:t>
      </w:r>
      <w:bookmarkEnd w:id="39"/>
      <w:bookmarkEnd w:id="40"/>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投标人提交的投标文件以及投标人与招标采购单位就有关投标的所有来往函电均应使用中文书写</w:t>
      </w:r>
      <w:r>
        <w:rPr>
          <w:rFonts w:hint="eastAsia" w:ascii="宋体" w:hAnsi="宋体" w:cs="宋体"/>
          <w:szCs w:val="21"/>
          <w:highlight w:val="none"/>
        </w:rPr>
        <w:t>。投</w:t>
      </w:r>
      <w:r>
        <w:rPr>
          <w:rFonts w:hint="eastAsia" w:ascii="宋体" w:hAnsi="宋体" w:cs="宋体"/>
          <w:szCs w:val="21"/>
          <w:highlight w:val="none"/>
          <w:lang w:eastAsia="zh-TW"/>
        </w:rPr>
        <w:t>标人提交的支持资料和己印刷的文献可以用另一种语言</w:t>
      </w:r>
      <w:r>
        <w:rPr>
          <w:rFonts w:hint="eastAsia" w:ascii="宋体" w:hAnsi="宋体" w:cs="宋体"/>
          <w:szCs w:val="21"/>
          <w:highlight w:val="none"/>
        </w:rPr>
        <w:t>，</w:t>
      </w:r>
      <w:r>
        <w:rPr>
          <w:rFonts w:hint="eastAsia" w:ascii="宋体" w:hAnsi="宋体" w:cs="宋体"/>
          <w:szCs w:val="21"/>
          <w:highlight w:val="none"/>
          <w:lang w:eastAsia="zh-TW"/>
        </w:rPr>
        <w:t>但相应内容应附有中文翻译本</w:t>
      </w:r>
      <w:r>
        <w:rPr>
          <w:rFonts w:hint="eastAsia" w:ascii="宋体" w:hAnsi="宋体" w:cs="宋体"/>
          <w:szCs w:val="21"/>
          <w:highlight w:val="none"/>
        </w:rPr>
        <w:t>，</w:t>
      </w:r>
      <w:r>
        <w:rPr>
          <w:rFonts w:hint="eastAsia" w:ascii="宋体" w:hAnsi="宋体" w:cs="宋体"/>
          <w:szCs w:val="21"/>
          <w:highlight w:val="none"/>
          <w:lang w:eastAsia="zh-TW"/>
        </w:rPr>
        <w:t>在解释投标文件的修改内容时以中文翻译本为准。对中文翻译有异议的</w:t>
      </w:r>
      <w:r>
        <w:rPr>
          <w:rFonts w:hint="eastAsia" w:ascii="宋体" w:hAnsi="宋体" w:cs="宋体"/>
          <w:szCs w:val="21"/>
          <w:highlight w:val="none"/>
        </w:rPr>
        <w:t>，</w:t>
      </w:r>
      <w:r>
        <w:rPr>
          <w:rFonts w:hint="eastAsia" w:ascii="宋体" w:hAnsi="宋体" w:cs="宋体"/>
          <w:szCs w:val="21"/>
          <w:highlight w:val="none"/>
          <w:lang w:eastAsia="zh-TW"/>
        </w:rPr>
        <w:t>以权威机构的译本为准。</w:t>
      </w:r>
    </w:p>
    <w:p>
      <w:pPr>
        <w:numPr>
          <w:ilvl w:val="0"/>
          <w:numId w:val="49"/>
        </w:numPr>
        <w:snapToGrid w:val="0"/>
        <w:spacing w:line="360" w:lineRule="auto"/>
        <w:outlineLvl w:val="0"/>
        <w:rPr>
          <w:rFonts w:ascii="宋体" w:hAnsi="宋体" w:cs="宋体"/>
          <w:b/>
          <w:bCs/>
          <w:szCs w:val="21"/>
          <w:highlight w:val="none"/>
        </w:rPr>
      </w:pPr>
      <w:bookmarkStart w:id="41" w:name="_Toc26264"/>
      <w:bookmarkStart w:id="42" w:name="_Toc356482714"/>
      <w:r>
        <w:rPr>
          <w:rFonts w:hint="eastAsia" w:ascii="宋体" w:hAnsi="宋体" w:cs="宋体"/>
          <w:b/>
          <w:bCs/>
          <w:szCs w:val="21"/>
          <w:highlight w:val="none"/>
        </w:rPr>
        <w:t>投标文件的构成</w:t>
      </w:r>
      <w:bookmarkEnd w:id="41"/>
      <w:bookmarkEnd w:id="42"/>
    </w:p>
    <w:p>
      <w:pPr>
        <w:numPr>
          <w:ilvl w:val="1"/>
          <w:numId w:val="49"/>
        </w:numPr>
        <w:snapToGrid w:val="0"/>
        <w:spacing w:line="420" w:lineRule="auto"/>
        <w:rPr>
          <w:rFonts w:ascii="宋体" w:hAnsi="宋体" w:cs="宋体"/>
          <w:szCs w:val="21"/>
          <w:highlight w:val="none"/>
          <w:lang w:eastAsia="zh-TW"/>
        </w:rPr>
      </w:pPr>
      <w:r>
        <w:rPr>
          <w:rFonts w:hint="eastAsia" w:ascii="宋体" w:hAnsi="宋体" w:cs="宋体"/>
          <w:szCs w:val="21"/>
          <w:highlight w:val="none"/>
          <w:lang w:eastAsia="zh-TW"/>
        </w:rPr>
        <w:t>投标人编写的投标文件应包括</w:t>
      </w:r>
      <w:r>
        <w:rPr>
          <w:rFonts w:hint="eastAsia" w:ascii="宋体" w:hAnsi="宋体" w:cs="宋体"/>
          <w:szCs w:val="21"/>
          <w:highlight w:val="none"/>
        </w:rPr>
        <w:t>初审文件、技术文件、商务文件</w:t>
      </w:r>
      <w:r>
        <w:rPr>
          <w:rFonts w:hint="eastAsia" w:ascii="宋体" w:hAnsi="宋体" w:cs="宋体"/>
          <w:szCs w:val="21"/>
          <w:highlight w:val="none"/>
          <w:lang w:eastAsia="zh-TW"/>
        </w:rPr>
        <w:t>，编排顺序参见投标文件格式</w:t>
      </w:r>
      <w:r>
        <w:rPr>
          <w:rFonts w:hint="eastAsia" w:ascii="宋体" w:hAnsi="宋体" w:cs="宋体"/>
          <w:szCs w:val="21"/>
          <w:highlight w:val="none"/>
        </w:rPr>
        <w:t>。</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投标文件的构成应符合法律法规及招标文件的要求。</w:t>
      </w:r>
    </w:p>
    <w:p>
      <w:pPr>
        <w:numPr>
          <w:ilvl w:val="0"/>
          <w:numId w:val="49"/>
        </w:numPr>
        <w:snapToGrid w:val="0"/>
        <w:spacing w:line="360" w:lineRule="auto"/>
        <w:outlineLvl w:val="0"/>
        <w:rPr>
          <w:rFonts w:ascii="宋体" w:hAnsi="宋体" w:cs="宋体"/>
          <w:b/>
          <w:bCs/>
          <w:szCs w:val="21"/>
          <w:highlight w:val="none"/>
        </w:rPr>
      </w:pPr>
      <w:bookmarkStart w:id="43" w:name="_Toc20864"/>
      <w:bookmarkStart w:id="44" w:name="_Toc356482715"/>
      <w:r>
        <w:rPr>
          <w:rFonts w:hint="eastAsia" w:ascii="宋体" w:hAnsi="宋体" w:cs="宋体"/>
          <w:b/>
          <w:bCs/>
          <w:szCs w:val="21"/>
          <w:highlight w:val="none"/>
        </w:rPr>
        <w:t>投标文件的编写</w:t>
      </w:r>
      <w:bookmarkEnd w:id="43"/>
      <w:bookmarkEnd w:id="44"/>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投标人应完整</w:t>
      </w:r>
      <w:r>
        <w:rPr>
          <w:rFonts w:hint="eastAsia" w:ascii="宋体" w:hAnsi="宋体" w:cs="宋体"/>
          <w:szCs w:val="21"/>
          <w:highlight w:val="none"/>
        </w:rPr>
        <w:t>、真实、准确</w:t>
      </w:r>
      <w:r>
        <w:rPr>
          <w:rFonts w:hint="eastAsia" w:ascii="宋体" w:hAnsi="宋体" w:cs="宋体"/>
          <w:szCs w:val="21"/>
          <w:highlight w:val="none"/>
          <w:lang w:eastAsia="zh-TW"/>
        </w:rPr>
        <w:t>地填写招标文件中提供的投标</w:t>
      </w:r>
      <w:r>
        <w:rPr>
          <w:rFonts w:hint="eastAsia" w:ascii="宋体" w:hAnsi="宋体" w:cs="宋体"/>
          <w:szCs w:val="21"/>
          <w:highlight w:val="none"/>
        </w:rPr>
        <w:t>函</w:t>
      </w:r>
      <w:r>
        <w:rPr>
          <w:rFonts w:hint="eastAsia" w:ascii="宋体" w:hAnsi="宋体" w:cs="宋体"/>
          <w:szCs w:val="21"/>
          <w:highlight w:val="none"/>
          <w:lang w:eastAsia="zh-TW"/>
        </w:rPr>
        <w:t>、开标</w:t>
      </w:r>
      <w:r>
        <w:rPr>
          <w:rFonts w:hint="eastAsia" w:ascii="宋体" w:hAnsi="宋体" w:cs="宋体"/>
          <w:szCs w:val="21"/>
          <w:highlight w:val="none"/>
        </w:rPr>
        <w:t>记录</w:t>
      </w:r>
      <w:r>
        <w:rPr>
          <w:rFonts w:hint="eastAsia" w:ascii="宋体" w:hAnsi="宋体" w:cs="宋体"/>
          <w:szCs w:val="21"/>
          <w:highlight w:val="none"/>
          <w:lang w:eastAsia="zh-TW"/>
        </w:rPr>
        <w:t>表(报价表)、投标分项报价表（如适用）以及招标文件中规定的其它</w:t>
      </w:r>
      <w:r>
        <w:rPr>
          <w:rFonts w:hint="eastAsia" w:ascii="宋体" w:hAnsi="宋体" w:cs="宋体"/>
          <w:szCs w:val="21"/>
          <w:highlight w:val="none"/>
        </w:rPr>
        <w:t>所有</w:t>
      </w:r>
      <w:r>
        <w:rPr>
          <w:rFonts w:hint="eastAsia" w:ascii="宋体" w:hAnsi="宋体" w:cs="宋体"/>
          <w:szCs w:val="21"/>
          <w:highlight w:val="none"/>
          <w:lang w:eastAsia="zh-TW"/>
        </w:rPr>
        <w:t>内容。</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投标人对招标文件中多个包组进行投标的</w:t>
      </w:r>
      <w:r>
        <w:rPr>
          <w:rFonts w:hint="eastAsia" w:ascii="宋体" w:hAnsi="宋体" w:cs="宋体"/>
          <w:szCs w:val="21"/>
          <w:highlight w:val="none"/>
        </w:rPr>
        <w:t>，</w:t>
      </w:r>
      <w:r>
        <w:rPr>
          <w:rFonts w:hint="eastAsia" w:ascii="宋体" w:hAnsi="宋体" w:cs="宋体"/>
          <w:szCs w:val="21"/>
          <w:highlight w:val="none"/>
          <w:lang w:eastAsia="zh-TW"/>
        </w:rPr>
        <w:t>其投标文件的编制</w:t>
      </w:r>
      <w:r>
        <w:rPr>
          <w:rFonts w:hint="eastAsia" w:ascii="宋体" w:hAnsi="宋体" w:cs="宋体"/>
          <w:szCs w:val="21"/>
          <w:highlight w:val="none"/>
        </w:rPr>
        <w:t>可按</w:t>
      </w:r>
      <w:r>
        <w:rPr>
          <w:rFonts w:hint="eastAsia" w:ascii="宋体" w:hAnsi="宋体" w:cs="宋体"/>
          <w:szCs w:val="21"/>
          <w:highlight w:val="none"/>
          <w:lang w:eastAsia="zh-TW"/>
        </w:rPr>
        <w:t>每个包组的要求分别装订和封装。投标人应当对投标文件进行装订，对未经装订的投标文件可能发生的文件散落或缺损，由此造成的后果</w:t>
      </w:r>
      <w:r>
        <w:rPr>
          <w:rFonts w:hint="eastAsia" w:ascii="宋体" w:hAnsi="宋体" w:cs="宋体"/>
          <w:szCs w:val="21"/>
          <w:highlight w:val="none"/>
        </w:rPr>
        <w:t>和</w:t>
      </w:r>
      <w:r>
        <w:rPr>
          <w:rFonts w:hint="eastAsia" w:ascii="宋体" w:hAnsi="宋体" w:cs="宋体"/>
          <w:szCs w:val="21"/>
          <w:highlight w:val="none"/>
          <w:lang w:eastAsia="zh-TW"/>
        </w:rPr>
        <w:t>责任由投标人承担</w:t>
      </w:r>
      <w:r>
        <w:rPr>
          <w:rFonts w:hint="eastAsia" w:ascii="宋体" w:hAnsi="宋体" w:cs="宋体"/>
          <w:szCs w:val="21"/>
          <w:highlight w:val="none"/>
        </w:rPr>
        <w:t>。</w:t>
      </w:r>
    </w:p>
    <w:p>
      <w:pPr>
        <w:numPr>
          <w:ilvl w:val="1"/>
          <w:numId w:val="49"/>
        </w:numPr>
        <w:tabs>
          <w:tab w:val="left" w:pos="709"/>
        </w:tabs>
        <w:snapToGrid w:val="0"/>
        <w:spacing w:line="360" w:lineRule="auto"/>
        <w:rPr>
          <w:rFonts w:ascii="宋体" w:hAnsi="宋体" w:cs="宋体"/>
          <w:szCs w:val="21"/>
          <w:highlight w:val="none"/>
        </w:rPr>
      </w:pPr>
      <w:r>
        <w:rPr>
          <w:rFonts w:hint="eastAsia" w:ascii="宋体" w:hAnsi="宋体" w:cs="宋体"/>
          <w:szCs w:val="21"/>
          <w:highlight w:val="none"/>
          <w:lang w:eastAsia="zh-TW"/>
        </w:rPr>
        <w:t>投标人必须对投标文件所提供的全部资料的真实性承担法律责任，并无条件接受招标采购单位及</w:t>
      </w:r>
      <w:r>
        <w:rPr>
          <w:rFonts w:hint="eastAsia" w:ascii="宋体" w:hAnsi="宋体" w:cs="宋体"/>
          <w:szCs w:val="21"/>
          <w:highlight w:val="none"/>
        </w:rPr>
        <w:t>上级</w:t>
      </w:r>
      <w:r>
        <w:rPr>
          <w:rFonts w:hint="eastAsia" w:ascii="宋体" w:hAnsi="宋体" w:cs="宋体"/>
          <w:szCs w:val="21"/>
          <w:highlight w:val="none"/>
          <w:lang w:eastAsia="zh-TW"/>
        </w:rPr>
        <w:t>部门等对其中任何资料进行核实的要求。</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如果因为投标人</w:t>
      </w:r>
      <w:r>
        <w:rPr>
          <w:rFonts w:hint="eastAsia" w:ascii="宋体" w:hAnsi="宋体" w:cs="宋体"/>
          <w:szCs w:val="21"/>
          <w:highlight w:val="none"/>
        </w:rPr>
        <w:t>的</w:t>
      </w:r>
      <w:r>
        <w:rPr>
          <w:rFonts w:hint="eastAsia" w:ascii="宋体" w:hAnsi="宋体" w:cs="宋体"/>
          <w:szCs w:val="21"/>
          <w:highlight w:val="none"/>
          <w:lang w:eastAsia="zh-TW"/>
        </w:rPr>
        <w:t>投标文件只填写和提供了本</w:t>
      </w:r>
      <w:r>
        <w:rPr>
          <w:rFonts w:hint="eastAsia" w:ascii="宋体" w:hAnsi="宋体" w:cs="宋体"/>
          <w:szCs w:val="21"/>
          <w:highlight w:val="none"/>
        </w:rPr>
        <w:t>招标</w:t>
      </w:r>
      <w:r>
        <w:rPr>
          <w:rFonts w:hint="eastAsia" w:ascii="宋体" w:hAnsi="宋体" w:cs="宋体"/>
          <w:szCs w:val="21"/>
          <w:highlight w:val="none"/>
          <w:lang w:eastAsia="zh-TW"/>
        </w:rPr>
        <w:t>文件要求的部分内容和附件，或没有提供招标文件中所要求的全部资料及数据，由此造成的后果</w:t>
      </w:r>
      <w:r>
        <w:rPr>
          <w:rFonts w:hint="eastAsia" w:ascii="宋体" w:hAnsi="宋体" w:cs="宋体"/>
          <w:szCs w:val="21"/>
          <w:highlight w:val="none"/>
        </w:rPr>
        <w:t>和</w:t>
      </w:r>
      <w:r>
        <w:rPr>
          <w:rFonts w:hint="eastAsia" w:ascii="宋体" w:hAnsi="宋体" w:cs="宋体"/>
          <w:szCs w:val="21"/>
          <w:highlight w:val="none"/>
          <w:lang w:eastAsia="zh-TW"/>
        </w:rPr>
        <w:t>责任由投标人承担</w:t>
      </w:r>
      <w:r>
        <w:rPr>
          <w:rFonts w:hint="eastAsia" w:ascii="宋体" w:hAnsi="宋体" w:cs="宋体"/>
          <w:szCs w:val="21"/>
          <w:highlight w:val="none"/>
        </w:rPr>
        <w:t>。</w:t>
      </w:r>
    </w:p>
    <w:p>
      <w:pPr>
        <w:numPr>
          <w:ilvl w:val="0"/>
          <w:numId w:val="49"/>
        </w:numPr>
        <w:snapToGrid w:val="0"/>
        <w:spacing w:line="360" w:lineRule="auto"/>
        <w:outlineLvl w:val="0"/>
        <w:rPr>
          <w:rFonts w:ascii="宋体" w:hAnsi="宋体" w:cs="宋体"/>
          <w:b/>
          <w:bCs/>
          <w:szCs w:val="21"/>
          <w:highlight w:val="none"/>
        </w:rPr>
      </w:pPr>
      <w:bookmarkStart w:id="45" w:name="_Toc1552"/>
      <w:bookmarkStart w:id="46" w:name="_Toc356482716"/>
      <w:r>
        <w:rPr>
          <w:rFonts w:hint="eastAsia" w:ascii="宋体" w:hAnsi="宋体" w:cs="宋体"/>
          <w:b/>
          <w:bCs/>
          <w:szCs w:val="21"/>
          <w:highlight w:val="none"/>
        </w:rPr>
        <w:t>投标报价</w:t>
      </w:r>
      <w:bookmarkEnd w:id="45"/>
      <w:bookmarkEnd w:id="4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投标人应按照“第</w:t>
      </w:r>
      <w:r>
        <w:rPr>
          <w:rFonts w:hint="eastAsia" w:ascii="宋体" w:hAnsi="宋体" w:cs="宋体"/>
          <w:szCs w:val="21"/>
          <w:highlight w:val="none"/>
        </w:rPr>
        <w:t>三</w:t>
      </w:r>
      <w:r>
        <w:rPr>
          <w:rFonts w:hint="eastAsia" w:ascii="宋体" w:hAnsi="宋体" w:cs="宋体"/>
          <w:szCs w:val="21"/>
          <w:highlight w:val="none"/>
          <w:lang w:eastAsia="zh-TW"/>
        </w:rPr>
        <w:t>章　用户需求书”</w:t>
      </w:r>
      <w:r>
        <w:rPr>
          <w:rFonts w:hint="eastAsia" w:ascii="宋体" w:hAnsi="宋体" w:cs="宋体"/>
          <w:szCs w:val="21"/>
          <w:highlight w:val="none"/>
        </w:rPr>
        <w:t>中</w:t>
      </w:r>
      <w:r>
        <w:rPr>
          <w:rFonts w:hint="eastAsia" w:ascii="宋体" w:hAnsi="宋体" w:cs="宋体"/>
          <w:szCs w:val="21"/>
          <w:highlight w:val="none"/>
          <w:lang w:eastAsia="zh-TW"/>
        </w:rPr>
        <w:t>采购项目技术规格、参数及要求规定的内容、责任范围进行报价。并按《</w:t>
      </w:r>
      <w:r>
        <w:rPr>
          <w:rFonts w:hint="eastAsia" w:ascii="宋体" w:hAnsi="宋体" w:cs="宋体"/>
          <w:szCs w:val="21"/>
          <w:highlight w:val="none"/>
        </w:rPr>
        <w:t>开标记录表（报价表）</w:t>
      </w:r>
      <w:r>
        <w:rPr>
          <w:rFonts w:hint="eastAsia" w:ascii="宋体" w:hAnsi="宋体" w:cs="宋体"/>
          <w:szCs w:val="21"/>
          <w:highlight w:val="none"/>
          <w:lang w:eastAsia="zh-TW"/>
        </w:rPr>
        <w:t>》</w:t>
      </w:r>
      <w:r>
        <w:rPr>
          <w:rFonts w:hint="eastAsia" w:ascii="宋体" w:hAnsi="宋体" w:cs="宋体"/>
          <w:szCs w:val="21"/>
          <w:highlight w:val="none"/>
        </w:rPr>
        <w:t>及</w:t>
      </w:r>
      <w:r>
        <w:rPr>
          <w:rFonts w:hint="eastAsia" w:ascii="宋体" w:hAnsi="宋体" w:cs="宋体"/>
          <w:szCs w:val="21"/>
          <w:highlight w:val="none"/>
          <w:lang w:eastAsia="zh-TW"/>
        </w:rPr>
        <w:t>《投标分项报价表》（如适用）的</w:t>
      </w:r>
      <w:r>
        <w:rPr>
          <w:rFonts w:hint="eastAsia" w:ascii="宋体" w:hAnsi="宋体" w:cs="宋体"/>
          <w:szCs w:val="21"/>
          <w:highlight w:val="none"/>
        </w:rPr>
        <w:t>要求</w:t>
      </w:r>
      <w:r>
        <w:rPr>
          <w:rFonts w:hint="eastAsia" w:ascii="宋体" w:hAnsi="宋体" w:cs="宋体"/>
          <w:szCs w:val="21"/>
          <w:highlight w:val="none"/>
          <w:lang w:eastAsia="zh-TW"/>
        </w:rPr>
        <w:t>报出总价和分项价格。投标总价中不得包含招标文件要求以外的内容，否则，在评标时不予核减。投标总价中也不得缺漏招标文件所要求的内容，否则，被视为</w:t>
      </w:r>
      <w:r>
        <w:rPr>
          <w:rFonts w:hint="eastAsia" w:ascii="宋体" w:hAnsi="宋体" w:cs="宋体"/>
          <w:szCs w:val="21"/>
          <w:highlight w:val="none"/>
        </w:rPr>
        <w:t>包含在投标报价中</w:t>
      </w:r>
      <w:r>
        <w:rPr>
          <w:rFonts w:hint="eastAsia" w:ascii="宋体" w:hAnsi="宋体" w:cs="宋体"/>
          <w:szCs w:val="21"/>
          <w:highlight w:val="none"/>
          <w:lang w:eastAsia="zh-TW"/>
        </w:rPr>
        <w:t>。</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投标分项报价表</w:t>
      </w:r>
      <w:r>
        <w:rPr>
          <w:rFonts w:hint="eastAsia" w:ascii="宋体" w:hAnsi="宋体" w:cs="宋体"/>
          <w:szCs w:val="21"/>
          <w:highlight w:val="none"/>
        </w:rPr>
        <w:t>内容应包含：</w:t>
      </w:r>
    </w:p>
    <w:p>
      <w:pPr>
        <w:numPr>
          <w:ilvl w:val="3"/>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投标产品</w:t>
      </w:r>
      <w:r>
        <w:rPr>
          <w:rFonts w:hint="eastAsia" w:ascii="宋体" w:hAnsi="宋体" w:cs="宋体"/>
          <w:szCs w:val="21"/>
          <w:highlight w:val="none"/>
        </w:rPr>
        <w:t>价</w:t>
      </w:r>
      <w:r>
        <w:rPr>
          <w:rFonts w:hint="eastAsia" w:ascii="宋体" w:hAnsi="宋体" w:cs="宋体"/>
          <w:szCs w:val="21"/>
          <w:highlight w:val="none"/>
          <w:lang w:eastAsia="zh-TW"/>
        </w:rPr>
        <w:t>；</w:t>
      </w:r>
    </w:p>
    <w:p>
      <w:pPr>
        <w:numPr>
          <w:ilvl w:val="3"/>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除应包括要向中华人民共和国政府缴纳的增值税和其它税，还应包括对以下①、②两项</w:t>
      </w:r>
      <w:r>
        <w:rPr>
          <w:rFonts w:hint="eastAsia" w:ascii="宋体" w:hAnsi="宋体" w:cs="宋体"/>
          <w:szCs w:val="21"/>
          <w:highlight w:val="none"/>
        </w:rPr>
        <w:t>已</w:t>
      </w:r>
      <w:r>
        <w:rPr>
          <w:rFonts w:hint="eastAsia" w:ascii="宋体" w:hAnsi="宋体" w:cs="宋体"/>
          <w:szCs w:val="21"/>
          <w:highlight w:val="none"/>
          <w:lang w:eastAsia="zh-TW"/>
        </w:rPr>
        <w:t>交纳或应交纳的全部关税、增值税和其它税</w:t>
      </w:r>
      <w:r>
        <w:rPr>
          <w:rFonts w:hint="eastAsia" w:ascii="宋体" w:hAnsi="宋体" w:cs="宋体"/>
          <w:szCs w:val="21"/>
          <w:highlight w:val="none"/>
        </w:rPr>
        <w:t>：</w:t>
      </w:r>
    </w:p>
    <w:p>
      <w:pPr>
        <w:tabs>
          <w:tab w:val="left" w:pos="567"/>
          <w:tab w:val="left" w:pos="676"/>
          <w:tab w:val="left" w:pos="8931"/>
        </w:tabs>
        <w:snapToGrid w:val="0"/>
        <w:spacing w:line="360" w:lineRule="auto"/>
        <w:ind w:left="881" w:leftChars="393" w:hanging="56" w:hangingChars="27"/>
        <w:rPr>
          <w:rFonts w:ascii="宋体" w:hAnsi="宋体" w:cs="宋体"/>
          <w:szCs w:val="21"/>
          <w:highlight w:val="none"/>
        </w:rPr>
      </w:pPr>
      <w:r>
        <w:rPr>
          <w:rFonts w:hint="eastAsia" w:ascii="宋体" w:hAnsi="宋体" w:cs="宋体"/>
          <w:szCs w:val="21"/>
          <w:highlight w:val="none"/>
          <w:lang w:eastAsia="zh-TW"/>
        </w:rPr>
        <w:t>①</w:t>
      </w:r>
      <w:r>
        <w:rPr>
          <w:rFonts w:hint="eastAsia" w:ascii="宋体" w:hAnsi="宋体" w:cs="宋体"/>
          <w:szCs w:val="21"/>
          <w:highlight w:val="none"/>
        </w:rPr>
        <w:t xml:space="preserve"> </w:t>
      </w:r>
      <w:r>
        <w:rPr>
          <w:rFonts w:hint="eastAsia" w:ascii="宋体" w:hAnsi="宋体" w:cs="宋体"/>
          <w:szCs w:val="21"/>
          <w:highlight w:val="none"/>
          <w:lang w:eastAsia="zh-TW"/>
        </w:rPr>
        <w:t>报价的货物在制造或组装时使用的部件和原材料是从境外进口的</w:t>
      </w:r>
      <w:r>
        <w:rPr>
          <w:rFonts w:hint="eastAsia" w:ascii="宋体" w:hAnsi="宋体" w:cs="宋体"/>
          <w:szCs w:val="21"/>
          <w:highlight w:val="none"/>
        </w:rPr>
        <w:t>；</w:t>
      </w:r>
      <w:r>
        <w:rPr>
          <w:rFonts w:hint="eastAsia" w:ascii="宋体" w:hAnsi="宋体" w:cs="宋体"/>
          <w:szCs w:val="21"/>
          <w:highlight w:val="none"/>
          <w:lang w:eastAsia="zh-TW"/>
        </w:rPr>
        <w:t>或</w:t>
      </w:r>
    </w:p>
    <w:p>
      <w:pPr>
        <w:tabs>
          <w:tab w:val="left" w:pos="567"/>
          <w:tab w:val="left" w:pos="676"/>
        </w:tabs>
        <w:snapToGrid w:val="0"/>
        <w:spacing w:line="360" w:lineRule="auto"/>
        <w:ind w:left="881" w:leftChars="393" w:hanging="56" w:hangingChars="27"/>
        <w:rPr>
          <w:rFonts w:ascii="宋体" w:hAnsi="宋体" w:cs="宋体"/>
          <w:szCs w:val="21"/>
          <w:highlight w:val="none"/>
        </w:rPr>
      </w:pPr>
      <w:r>
        <w:rPr>
          <w:rFonts w:hint="eastAsia" w:ascii="宋体" w:hAnsi="宋体" w:cs="宋体"/>
          <w:szCs w:val="21"/>
          <w:highlight w:val="none"/>
          <w:lang w:eastAsia="zh-TW"/>
        </w:rPr>
        <w:t>②</w:t>
      </w:r>
      <w:r>
        <w:rPr>
          <w:rFonts w:hint="eastAsia" w:ascii="宋体" w:hAnsi="宋体" w:cs="宋体"/>
          <w:szCs w:val="21"/>
          <w:highlight w:val="none"/>
        </w:rPr>
        <w:t xml:space="preserve"> </w:t>
      </w:r>
      <w:r>
        <w:rPr>
          <w:rFonts w:hint="eastAsia" w:ascii="宋体" w:hAnsi="宋体" w:cs="宋体"/>
          <w:szCs w:val="21"/>
          <w:highlight w:val="none"/>
          <w:lang w:eastAsia="zh-TW"/>
        </w:rPr>
        <w:t>报货架交货价的货物是从境外进口的。</w:t>
      </w:r>
    </w:p>
    <w:p>
      <w:pPr>
        <w:numPr>
          <w:ilvl w:val="3"/>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报</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中列出的其他伴随服务的费用和标准附件价、备品备件及专用工具价</w:t>
      </w:r>
      <w:r>
        <w:rPr>
          <w:rFonts w:hint="eastAsia" w:ascii="宋体" w:hAnsi="宋体" w:cs="宋体"/>
          <w:szCs w:val="21"/>
          <w:highlight w:val="none"/>
        </w:rPr>
        <w:t>(</w:t>
      </w:r>
      <w:r>
        <w:rPr>
          <w:rFonts w:hint="eastAsia" w:ascii="宋体" w:hAnsi="宋体" w:cs="宋体"/>
          <w:szCs w:val="21"/>
          <w:highlight w:val="none"/>
          <w:lang w:eastAsia="zh-TW"/>
        </w:rPr>
        <w:t>如</w:t>
      </w:r>
      <w:r>
        <w:rPr>
          <w:rFonts w:hint="eastAsia" w:ascii="宋体" w:hAnsi="宋体" w:cs="宋体"/>
          <w:szCs w:val="21"/>
          <w:highlight w:val="none"/>
        </w:rPr>
        <w:t>有)。</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从中华人民共和国境外提供的货物须包含：</w:t>
      </w:r>
    </w:p>
    <w:p>
      <w:pPr>
        <w:numPr>
          <w:ilvl w:val="3"/>
          <w:numId w:val="49"/>
        </w:numPr>
        <w:snapToGrid w:val="0"/>
        <w:spacing w:line="360" w:lineRule="auto"/>
        <w:rPr>
          <w:rFonts w:ascii="宋体" w:hAnsi="宋体" w:cs="宋体"/>
          <w:szCs w:val="21"/>
          <w:highlight w:val="none"/>
        </w:rPr>
      </w:pPr>
      <w:r>
        <w:rPr>
          <w:rFonts w:hint="eastAsia" w:ascii="宋体" w:hAnsi="宋体" w:cs="宋体"/>
          <w:szCs w:val="21"/>
          <w:highlight w:val="none"/>
        </w:rPr>
        <w:t>投标产品价；</w:t>
      </w:r>
    </w:p>
    <w:p>
      <w:pPr>
        <w:numPr>
          <w:ilvl w:val="3"/>
          <w:numId w:val="49"/>
        </w:numPr>
        <w:snapToGrid w:val="0"/>
        <w:spacing w:line="360" w:lineRule="auto"/>
        <w:rPr>
          <w:rFonts w:ascii="宋体" w:hAnsi="宋体" w:cs="宋体"/>
          <w:szCs w:val="21"/>
          <w:highlight w:val="none"/>
        </w:rPr>
      </w:pPr>
      <w:r>
        <w:rPr>
          <w:rFonts w:hint="eastAsia" w:ascii="宋体" w:hAnsi="宋体" w:cs="宋体"/>
          <w:szCs w:val="21"/>
          <w:highlight w:val="none"/>
        </w:rPr>
        <w:t>除</w:t>
      </w:r>
      <w:r>
        <w:rPr>
          <w:rFonts w:hint="eastAsia" w:ascii="宋体" w:hAnsi="宋体" w:cs="宋体"/>
          <w:szCs w:val="21"/>
          <w:highlight w:val="none"/>
          <w:lang w:eastAsia="zh-TW"/>
        </w:rPr>
        <w:t>应包括要向中华人民共和国政府缴纳的增值税和其它税</w:t>
      </w:r>
      <w:r>
        <w:rPr>
          <w:rFonts w:hint="eastAsia" w:ascii="宋体" w:hAnsi="宋体" w:cs="宋体"/>
          <w:szCs w:val="21"/>
          <w:highlight w:val="none"/>
        </w:rPr>
        <w:t>，</w:t>
      </w:r>
      <w:r>
        <w:rPr>
          <w:rFonts w:hint="eastAsia" w:ascii="宋体" w:hAnsi="宋体" w:cs="宋体"/>
          <w:szCs w:val="21"/>
          <w:highlight w:val="none"/>
          <w:lang w:eastAsia="zh-TW"/>
        </w:rPr>
        <w:t>如果</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中另有规定</w:t>
      </w:r>
      <w:r>
        <w:rPr>
          <w:rFonts w:hint="eastAsia" w:ascii="宋体" w:hAnsi="宋体" w:cs="宋体"/>
          <w:szCs w:val="21"/>
          <w:highlight w:val="none"/>
        </w:rPr>
        <w:t>，还应包括货物从境外进口已</w:t>
      </w:r>
      <w:r>
        <w:rPr>
          <w:rFonts w:hint="eastAsia" w:ascii="宋体" w:hAnsi="宋体" w:cs="宋体"/>
          <w:szCs w:val="21"/>
          <w:highlight w:val="none"/>
          <w:lang w:eastAsia="zh-TW"/>
        </w:rPr>
        <w:t>交纳或应交纳的全部关税、增值税和其它税</w:t>
      </w:r>
      <w:r>
        <w:rPr>
          <w:rFonts w:hint="eastAsia" w:ascii="宋体" w:hAnsi="宋体" w:cs="宋体"/>
          <w:szCs w:val="21"/>
          <w:highlight w:val="none"/>
        </w:rPr>
        <w:t>；</w:t>
      </w:r>
    </w:p>
    <w:p>
      <w:pPr>
        <w:numPr>
          <w:ilvl w:val="3"/>
          <w:numId w:val="49"/>
        </w:numPr>
        <w:snapToGrid w:val="0"/>
        <w:spacing w:line="360" w:lineRule="auto"/>
        <w:rPr>
          <w:rFonts w:ascii="宋体" w:hAnsi="宋体" w:cs="宋体"/>
          <w:szCs w:val="21"/>
          <w:highlight w:val="none"/>
        </w:rPr>
      </w:pPr>
      <w:r>
        <w:rPr>
          <w:rFonts w:hint="eastAsia" w:ascii="宋体" w:hAnsi="宋体" w:cs="宋体"/>
          <w:szCs w:val="21"/>
          <w:highlight w:val="none"/>
        </w:rPr>
        <w:t>报货物境外离岸价格、国外运输费、国外运输保险费；</w:t>
      </w:r>
    </w:p>
    <w:p>
      <w:pPr>
        <w:numPr>
          <w:ilvl w:val="3"/>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报</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中列出的其他伴随服务费用和标准附件价、备品备件及专用工具价</w:t>
      </w:r>
      <w:r>
        <w:rPr>
          <w:rFonts w:hint="eastAsia" w:ascii="宋体" w:hAnsi="宋体" w:cs="宋体"/>
          <w:szCs w:val="21"/>
          <w:highlight w:val="none"/>
        </w:rPr>
        <w:t>(</w:t>
      </w:r>
      <w:r>
        <w:rPr>
          <w:rFonts w:hint="eastAsia" w:ascii="宋体" w:hAnsi="宋体" w:cs="宋体"/>
          <w:szCs w:val="21"/>
          <w:highlight w:val="none"/>
          <w:lang w:eastAsia="zh-TW"/>
        </w:rPr>
        <w:t>如有</w:t>
      </w:r>
      <w:r>
        <w:rPr>
          <w:rFonts w:hint="eastAsia" w:ascii="宋体" w:hAnsi="宋体" w:cs="宋体"/>
          <w:szCs w:val="21"/>
          <w:highlight w:val="none"/>
        </w:rPr>
        <w:t>)。</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对于报价免费的</w:t>
      </w:r>
      <w:r>
        <w:rPr>
          <w:rFonts w:hint="eastAsia" w:ascii="宋体" w:hAnsi="宋体" w:cs="宋体"/>
          <w:szCs w:val="21"/>
          <w:highlight w:val="none"/>
        </w:rPr>
        <w:t>内容</w:t>
      </w:r>
      <w:r>
        <w:rPr>
          <w:rFonts w:hint="eastAsia" w:ascii="宋体" w:hAnsi="宋体" w:cs="宋体"/>
          <w:szCs w:val="21"/>
          <w:highlight w:val="none"/>
          <w:lang w:eastAsia="zh-TW"/>
        </w:rPr>
        <w:t>须标明“免费”。</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投标人根据本须知</w:t>
      </w:r>
      <w:r>
        <w:rPr>
          <w:rFonts w:hint="eastAsia" w:ascii="宋体" w:hAnsi="宋体" w:cs="宋体"/>
          <w:szCs w:val="21"/>
          <w:highlight w:val="none"/>
        </w:rPr>
        <w:t>第12.2条</w:t>
      </w:r>
      <w:r>
        <w:rPr>
          <w:rFonts w:hint="eastAsia" w:ascii="宋体" w:hAnsi="宋体" w:cs="宋体"/>
          <w:szCs w:val="21"/>
          <w:highlight w:val="none"/>
          <w:lang w:eastAsia="zh-TW"/>
        </w:rPr>
        <w:t>的规定将投标</w:t>
      </w:r>
      <w:r>
        <w:rPr>
          <w:rFonts w:hint="eastAsia" w:ascii="宋体" w:hAnsi="宋体" w:cs="宋体"/>
          <w:szCs w:val="21"/>
          <w:highlight w:val="none"/>
        </w:rPr>
        <w:t>报</w:t>
      </w:r>
      <w:r>
        <w:rPr>
          <w:rFonts w:hint="eastAsia" w:ascii="宋体" w:hAnsi="宋体" w:cs="宋体"/>
          <w:szCs w:val="21"/>
          <w:highlight w:val="none"/>
          <w:lang w:eastAsia="zh-TW"/>
        </w:rPr>
        <w:t>价分成几部分</w:t>
      </w:r>
      <w:r>
        <w:rPr>
          <w:rFonts w:hint="eastAsia" w:ascii="宋体" w:hAnsi="宋体" w:cs="宋体"/>
          <w:szCs w:val="21"/>
          <w:highlight w:val="none"/>
        </w:rPr>
        <w:t>，</w:t>
      </w:r>
      <w:r>
        <w:rPr>
          <w:rFonts w:hint="eastAsia" w:ascii="宋体" w:hAnsi="宋体" w:cs="宋体"/>
          <w:szCs w:val="21"/>
          <w:highlight w:val="none"/>
          <w:lang w:eastAsia="zh-TW"/>
        </w:rPr>
        <w:t>只是为了方便对</w:t>
      </w:r>
      <w:r>
        <w:rPr>
          <w:rFonts w:hint="eastAsia" w:ascii="宋体" w:hAnsi="宋体" w:cs="宋体"/>
          <w:szCs w:val="21"/>
          <w:highlight w:val="none"/>
        </w:rPr>
        <w:t>投标文件进行比较，</w:t>
      </w:r>
      <w:r>
        <w:rPr>
          <w:rFonts w:hint="eastAsia" w:ascii="宋体" w:hAnsi="宋体" w:cs="宋体"/>
          <w:szCs w:val="21"/>
          <w:highlight w:val="none"/>
          <w:lang w:eastAsia="zh-TW"/>
        </w:rPr>
        <w:t>并不限制招标人以上述任何条件订立合同的权力。</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除</w:t>
      </w:r>
      <w:r>
        <w:rPr>
          <w:rFonts w:hint="eastAsia" w:ascii="宋体" w:hAnsi="宋体" w:cs="宋体"/>
          <w:b/>
          <w:szCs w:val="21"/>
          <w:highlight w:val="none"/>
        </w:rPr>
        <w:t>投标资料表</w:t>
      </w:r>
      <w:r>
        <w:rPr>
          <w:rFonts w:hint="eastAsia" w:ascii="宋体" w:hAnsi="宋体" w:cs="宋体"/>
          <w:szCs w:val="21"/>
          <w:highlight w:val="none"/>
        </w:rPr>
        <w:t>中另有规定，</w:t>
      </w:r>
      <w:r>
        <w:rPr>
          <w:rFonts w:hint="eastAsia" w:ascii="宋体" w:hAnsi="宋体" w:cs="宋体"/>
          <w:szCs w:val="21"/>
          <w:highlight w:val="none"/>
          <w:lang w:eastAsia="zh-TW"/>
        </w:rPr>
        <w:t>投标人所报的投标价在合同执行过程中是固定不变的</w:t>
      </w:r>
      <w:r>
        <w:rPr>
          <w:rFonts w:hint="eastAsia" w:ascii="宋体" w:hAnsi="宋体" w:cs="宋体"/>
          <w:szCs w:val="21"/>
          <w:highlight w:val="none"/>
        </w:rPr>
        <w:t>，</w:t>
      </w:r>
      <w:r>
        <w:rPr>
          <w:rFonts w:hint="eastAsia" w:ascii="宋体" w:hAnsi="宋体" w:cs="宋体"/>
          <w:szCs w:val="21"/>
          <w:highlight w:val="none"/>
          <w:lang w:eastAsia="zh-TW"/>
        </w:rPr>
        <w:t>不得以任何理由予以变更。任何包含价格调整要求的投标被认为是非实质性响应投标而予以拒绝。</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除</w:t>
      </w:r>
      <w:r>
        <w:rPr>
          <w:rFonts w:hint="eastAsia" w:ascii="宋体" w:hAnsi="宋体" w:cs="宋体"/>
          <w:b/>
          <w:szCs w:val="21"/>
          <w:highlight w:val="none"/>
        </w:rPr>
        <w:t>投标资料表</w:t>
      </w:r>
      <w:r>
        <w:rPr>
          <w:rFonts w:hint="eastAsia" w:ascii="宋体" w:hAnsi="宋体" w:cs="宋体"/>
          <w:szCs w:val="21"/>
          <w:highlight w:val="none"/>
        </w:rPr>
        <w:t>中允许有备选方案外，本次招标不接受选择性报价，否则将被视为无效投标。</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除</w:t>
      </w:r>
      <w:r>
        <w:rPr>
          <w:rFonts w:hint="eastAsia" w:ascii="宋体" w:hAnsi="宋体" w:cs="宋体"/>
          <w:b/>
          <w:szCs w:val="21"/>
          <w:highlight w:val="none"/>
        </w:rPr>
        <w:t>投标资料表</w:t>
      </w:r>
      <w:r>
        <w:rPr>
          <w:rFonts w:hint="eastAsia" w:ascii="宋体" w:hAnsi="宋体" w:cs="宋体"/>
          <w:szCs w:val="21"/>
          <w:highlight w:val="none"/>
        </w:rPr>
        <w:t>另有规定外，本次招标不接受具有附加条件的报价，否则将被视为无效投标。</w:t>
      </w:r>
    </w:p>
    <w:p>
      <w:pPr>
        <w:numPr>
          <w:ilvl w:val="0"/>
          <w:numId w:val="49"/>
        </w:numPr>
        <w:snapToGrid w:val="0"/>
        <w:spacing w:line="360" w:lineRule="auto"/>
        <w:outlineLvl w:val="0"/>
        <w:rPr>
          <w:rFonts w:ascii="宋体" w:hAnsi="宋体" w:cs="宋体"/>
          <w:b/>
          <w:bCs/>
          <w:szCs w:val="21"/>
          <w:highlight w:val="none"/>
        </w:rPr>
      </w:pPr>
      <w:bookmarkStart w:id="47" w:name="_Toc356482717"/>
      <w:bookmarkStart w:id="48" w:name="_Toc17723"/>
      <w:r>
        <w:rPr>
          <w:rFonts w:hint="eastAsia" w:ascii="宋体" w:hAnsi="宋体" w:cs="宋体"/>
          <w:b/>
          <w:bCs/>
          <w:szCs w:val="21"/>
          <w:highlight w:val="none"/>
        </w:rPr>
        <w:t>投标货币</w:t>
      </w:r>
      <w:bookmarkEnd w:id="47"/>
      <w:bookmarkEnd w:id="48"/>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投标人所提供的货物和服务均应以人民币报价。</w:t>
      </w:r>
    </w:p>
    <w:p>
      <w:pPr>
        <w:numPr>
          <w:ilvl w:val="0"/>
          <w:numId w:val="49"/>
        </w:numPr>
        <w:snapToGrid w:val="0"/>
        <w:spacing w:line="360" w:lineRule="auto"/>
        <w:outlineLvl w:val="0"/>
        <w:rPr>
          <w:rFonts w:ascii="宋体" w:hAnsi="宋体" w:cs="宋体"/>
          <w:b/>
          <w:bCs/>
          <w:szCs w:val="21"/>
          <w:highlight w:val="none"/>
        </w:rPr>
      </w:pPr>
      <w:bookmarkStart w:id="49" w:name="_Toc356482718"/>
      <w:bookmarkStart w:id="50" w:name="_Toc31516"/>
      <w:r>
        <w:rPr>
          <w:rFonts w:hint="eastAsia" w:ascii="宋体" w:hAnsi="宋体" w:cs="宋体"/>
          <w:b/>
          <w:bCs/>
          <w:szCs w:val="21"/>
          <w:highlight w:val="none"/>
        </w:rPr>
        <w:t>本项目不接受联合体投标</w:t>
      </w:r>
      <w:bookmarkEnd w:id="49"/>
      <w:bookmarkEnd w:id="50"/>
    </w:p>
    <w:p>
      <w:pPr>
        <w:numPr>
          <w:ilvl w:val="0"/>
          <w:numId w:val="49"/>
        </w:numPr>
        <w:snapToGrid w:val="0"/>
        <w:spacing w:line="360" w:lineRule="auto"/>
        <w:outlineLvl w:val="0"/>
        <w:rPr>
          <w:rFonts w:ascii="宋体" w:hAnsi="宋体" w:cs="宋体"/>
          <w:b/>
          <w:bCs/>
          <w:szCs w:val="21"/>
          <w:highlight w:val="none"/>
        </w:rPr>
      </w:pPr>
      <w:bookmarkStart w:id="51" w:name="_Toc356482719"/>
      <w:bookmarkStart w:id="52" w:name="_Toc8575"/>
      <w:r>
        <w:rPr>
          <w:rFonts w:hint="eastAsia" w:ascii="宋体" w:hAnsi="宋体" w:cs="宋体"/>
          <w:b/>
          <w:bCs/>
          <w:szCs w:val="21"/>
          <w:highlight w:val="none"/>
        </w:rPr>
        <w:t>证明投标人合格和资格的文件</w:t>
      </w:r>
      <w:bookmarkEnd w:id="51"/>
      <w:bookmarkEnd w:id="52"/>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投标人应提交证明其有资格参加投标和中标后有能力履行合同的文件</w:t>
      </w:r>
      <w:r>
        <w:rPr>
          <w:rFonts w:hint="eastAsia" w:ascii="宋体" w:hAnsi="宋体" w:cs="宋体"/>
          <w:szCs w:val="21"/>
          <w:highlight w:val="none"/>
        </w:rPr>
        <w:t>，</w:t>
      </w:r>
      <w:r>
        <w:rPr>
          <w:rFonts w:hint="eastAsia" w:ascii="宋体" w:hAnsi="宋体" w:cs="宋体"/>
          <w:szCs w:val="21"/>
          <w:highlight w:val="none"/>
          <w:lang w:eastAsia="zh-TW"/>
        </w:rPr>
        <w:t>并作为其投标文件的一部分。如果投标人为联合体</w:t>
      </w:r>
      <w:r>
        <w:rPr>
          <w:rFonts w:hint="eastAsia" w:ascii="宋体" w:hAnsi="宋体" w:cs="宋体"/>
          <w:szCs w:val="21"/>
          <w:highlight w:val="none"/>
        </w:rPr>
        <w:t>，</w:t>
      </w:r>
      <w:r>
        <w:rPr>
          <w:rFonts w:hint="eastAsia" w:ascii="宋体" w:hAnsi="宋体" w:cs="宋体"/>
          <w:szCs w:val="21"/>
          <w:highlight w:val="none"/>
          <w:lang w:eastAsia="zh-TW"/>
        </w:rPr>
        <w:t>应提交联合体各方的资格证明文件、</w:t>
      </w:r>
      <w:r>
        <w:rPr>
          <w:rFonts w:hint="eastAsia" w:ascii="宋体" w:hAnsi="宋体" w:cs="宋体"/>
          <w:szCs w:val="21"/>
          <w:highlight w:val="none"/>
        </w:rPr>
        <w:t>共同投标协议</w:t>
      </w:r>
      <w:r>
        <w:rPr>
          <w:rFonts w:hint="eastAsia" w:ascii="宋体" w:hAnsi="宋体" w:cs="宋体"/>
          <w:szCs w:val="21"/>
          <w:highlight w:val="none"/>
          <w:lang w:eastAsia="zh-TW"/>
        </w:rPr>
        <w:t>并注明主体方</w:t>
      </w:r>
      <w:r>
        <w:rPr>
          <w:rFonts w:hint="eastAsia" w:ascii="宋体" w:hAnsi="宋体" w:cs="宋体"/>
          <w:szCs w:val="21"/>
          <w:highlight w:val="none"/>
        </w:rPr>
        <w:t>及各方拟承担的工作和责任。</w:t>
      </w:r>
      <w:r>
        <w:rPr>
          <w:rFonts w:hint="eastAsia" w:ascii="宋体" w:hAnsi="宋体" w:cs="宋体"/>
          <w:szCs w:val="21"/>
          <w:highlight w:val="none"/>
          <w:lang w:eastAsia="zh-TW"/>
        </w:rPr>
        <w:t>否则</w:t>
      </w:r>
      <w:r>
        <w:rPr>
          <w:rFonts w:hint="eastAsia" w:ascii="宋体" w:hAnsi="宋体" w:cs="宋体"/>
          <w:szCs w:val="21"/>
          <w:highlight w:val="none"/>
        </w:rPr>
        <w:t>，</w:t>
      </w:r>
      <w:r>
        <w:rPr>
          <w:rFonts w:hint="eastAsia" w:ascii="宋体" w:hAnsi="宋体" w:cs="宋体"/>
          <w:szCs w:val="21"/>
          <w:highlight w:val="none"/>
          <w:lang w:eastAsia="zh-TW"/>
        </w:rPr>
        <w:t>将导致其投标</w:t>
      </w:r>
      <w:r>
        <w:rPr>
          <w:rFonts w:hint="eastAsia" w:ascii="宋体" w:hAnsi="宋体" w:cs="宋体"/>
          <w:szCs w:val="21"/>
          <w:highlight w:val="none"/>
        </w:rPr>
        <w:t>无效。</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投标人提交的资格证明文件应证明其</w:t>
      </w:r>
      <w:r>
        <w:rPr>
          <w:rFonts w:hint="eastAsia" w:ascii="宋体" w:hAnsi="宋体" w:cs="宋体"/>
          <w:szCs w:val="21"/>
          <w:highlight w:val="none"/>
        </w:rPr>
        <w:t>满足</w:t>
      </w:r>
      <w:r>
        <w:rPr>
          <w:rFonts w:hint="eastAsia" w:ascii="宋体" w:hAnsi="宋体" w:cs="宋体"/>
          <w:szCs w:val="21"/>
          <w:highlight w:val="none"/>
          <w:lang w:eastAsia="zh-TW"/>
        </w:rPr>
        <w:t>本须知定义的合格投标人。</w:t>
      </w:r>
    </w:p>
    <w:p>
      <w:pPr>
        <w:numPr>
          <w:ilvl w:val="0"/>
          <w:numId w:val="49"/>
        </w:numPr>
        <w:snapToGrid w:val="0"/>
        <w:spacing w:line="360" w:lineRule="auto"/>
        <w:outlineLvl w:val="0"/>
        <w:rPr>
          <w:rFonts w:ascii="宋体" w:hAnsi="宋体" w:cs="宋体"/>
          <w:b/>
          <w:bCs/>
          <w:szCs w:val="21"/>
          <w:highlight w:val="none"/>
        </w:rPr>
      </w:pPr>
      <w:bookmarkStart w:id="53" w:name="_Toc356482720"/>
      <w:bookmarkStart w:id="54" w:name="_Toc12209"/>
      <w:r>
        <w:rPr>
          <w:rFonts w:hint="eastAsia" w:ascii="宋体" w:hAnsi="宋体" w:cs="宋体"/>
          <w:b/>
          <w:bCs/>
          <w:szCs w:val="21"/>
          <w:highlight w:val="none"/>
        </w:rPr>
        <w:t>证明货物的合格性和符合招标文件规定的文件</w:t>
      </w:r>
      <w:bookmarkEnd w:id="53"/>
      <w:bookmarkEnd w:id="54"/>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投标人应提交证明文件</w:t>
      </w:r>
      <w:r>
        <w:rPr>
          <w:rFonts w:hint="eastAsia" w:ascii="宋体" w:hAnsi="宋体" w:cs="宋体"/>
          <w:szCs w:val="21"/>
          <w:highlight w:val="none"/>
        </w:rPr>
        <w:t>，</w:t>
      </w:r>
      <w:r>
        <w:rPr>
          <w:rFonts w:hint="eastAsia" w:ascii="宋体" w:hAnsi="宋体" w:cs="宋体"/>
          <w:szCs w:val="21"/>
          <w:highlight w:val="none"/>
          <w:lang w:eastAsia="zh-TW"/>
        </w:rPr>
        <w:t>证明其拟供的合同项下的货物和服务的合格性符合招标文件规定。该证明文件作为投标文件的一部分。</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货物和服务合格性的证明文件应包括投标分项报价表中对货物和服务原产地的说明。</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证明货物和服务与招标文件的要求相一致的文件，可以是文字资料、图纸和数据，它包括：</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货物主要技术指标和性能的详细说明</w:t>
      </w:r>
      <w:r>
        <w:rPr>
          <w:rFonts w:hint="eastAsia" w:ascii="宋体" w:hAnsi="宋体" w:cs="宋体"/>
          <w:szCs w:val="21"/>
          <w:highlight w:val="none"/>
        </w:rPr>
        <w:t>；</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货物正常使用所必须的备件和专用工具清单</w:t>
      </w:r>
      <w:r>
        <w:rPr>
          <w:rFonts w:hint="eastAsia" w:ascii="宋体" w:hAnsi="宋体" w:cs="宋体"/>
          <w:szCs w:val="21"/>
          <w:highlight w:val="none"/>
        </w:rPr>
        <w:t>，</w:t>
      </w:r>
      <w:r>
        <w:rPr>
          <w:rFonts w:hint="eastAsia" w:ascii="宋体" w:hAnsi="宋体" w:cs="宋体"/>
          <w:szCs w:val="21"/>
          <w:highlight w:val="none"/>
          <w:lang w:eastAsia="zh-TW"/>
        </w:rPr>
        <w:t>包括备件和专用工具的货源及现行价格</w:t>
      </w:r>
      <w:r>
        <w:rPr>
          <w:rFonts w:hint="eastAsia" w:ascii="宋体" w:hAnsi="宋体" w:cs="宋体"/>
          <w:szCs w:val="21"/>
          <w:highlight w:val="none"/>
        </w:rPr>
        <w:t>；</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对照招标文件技术规格，逐条说明所提供货物和服务已对招标文件的技术规格作出了实质性的响应</w:t>
      </w:r>
      <w:r>
        <w:rPr>
          <w:rFonts w:hint="eastAsia" w:ascii="宋体" w:hAnsi="宋体" w:cs="宋体"/>
          <w:szCs w:val="21"/>
          <w:highlight w:val="none"/>
        </w:rPr>
        <w:t>，</w:t>
      </w:r>
      <w:r>
        <w:rPr>
          <w:rFonts w:hint="eastAsia" w:ascii="宋体" w:hAnsi="宋体" w:cs="宋体"/>
          <w:szCs w:val="21"/>
          <w:highlight w:val="none"/>
          <w:lang w:eastAsia="zh-TW"/>
        </w:rPr>
        <w:t>并申明与技术规格条文的偏差和例外。特别对有具体参数要求的指标</w:t>
      </w:r>
      <w:r>
        <w:rPr>
          <w:rFonts w:hint="eastAsia" w:ascii="宋体" w:hAnsi="宋体" w:cs="宋体"/>
          <w:szCs w:val="21"/>
          <w:highlight w:val="none"/>
        </w:rPr>
        <w:t>，</w:t>
      </w:r>
      <w:r>
        <w:rPr>
          <w:rFonts w:hint="eastAsia" w:ascii="宋体" w:hAnsi="宋体" w:cs="宋体"/>
          <w:szCs w:val="21"/>
          <w:highlight w:val="none"/>
          <w:lang w:eastAsia="zh-TW"/>
        </w:rPr>
        <w:t>投标人须提供所投设备的具体参数值。投标人在阐述时应注意招标文件的技术规格中指出的工艺、材料和设备的标准，投标人在投标中要实质上满足或超过招标文件的要求。</w:t>
      </w:r>
    </w:p>
    <w:p>
      <w:pPr>
        <w:numPr>
          <w:ilvl w:val="0"/>
          <w:numId w:val="49"/>
        </w:numPr>
        <w:snapToGrid w:val="0"/>
        <w:spacing w:line="360" w:lineRule="auto"/>
        <w:outlineLvl w:val="0"/>
        <w:rPr>
          <w:rFonts w:ascii="宋体" w:hAnsi="宋体" w:cs="宋体"/>
          <w:b/>
          <w:bCs/>
          <w:szCs w:val="21"/>
          <w:highlight w:val="none"/>
        </w:rPr>
      </w:pPr>
      <w:bookmarkStart w:id="55" w:name="_Toc356482721"/>
      <w:bookmarkStart w:id="56" w:name="_Toc13503"/>
      <w:r>
        <w:rPr>
          <w:rFonts w:hint="eastAsia" w:ascii="宋体" w:hAnsi="宋体" w:cs="宋体"/>
          <w:b/>
          <w:bCs/>
          <w:szCs w:val="21"/>
          <w:highlight w:val="none"/>
        </w:rPr>
        <w:t>投标保证金</w:t>
      </w:r>
      <w:bookmarkEnd w:id="55"/>
      <w:bookmarkEnd w:id="5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投标人应</w:t>
      </w:r>
      <w:r>
        <w:rPr>
          <w:rFonts w:hint="eastAsia" w:ascii="宋体" w:hAnsi="宋体" w:cs="宋体"/>
          <w:szCs w:val="21"/>
          <w:highlight w:val="none"/>
        </w:rPr>
        <w:t>按</w:t>
      </w:r>
      <w:r>
        <w:rPr>
          <w:rFonts w:hint="eastAsia" w:ascii="宋体" w:hAnsi="宋体" w:cs="宋体"/>
          <w:b/>
          <w:szCs w:val="21"/>
          <w:highlight w:val="none"/>
        </w:rPr>
        <w:t>采购公告</w:t>
      </w:r>
      <w:r>
        <w:rPr>
          <w:rFonts w:hint="eastAsia" w:ascii="宋体" w:hAnsi="宋体" w:cs="宋体"/>
          <w:szCs w:val="21"/>
          <w:highlight w:val="none"/>
          <w:lang w:eastAsia="zh-TW"/>
        </w:rPr>
        <w:t>中规定</w:t>
      </w:r>
      <w:r>
        <w:rPr>
          <w:rFonts w:hint="eastAsia" w:ascii="宋体" w:hAnsi="宋体" w:cs="宋体"/>
          <w:szCs w:val="21"/>
          <w:highlight w:val="none"/>
        </w:rPr>
        <w:t>的金</w:t>
      </w:r>
      <w:r>
        <w:rPr>
          <w:rFonts w:hint="eastAsia" w:ascii="宋体" w:hAnsi="宋体" w:cs="宋体"/>
          <w:szCs w:val="21"/>
          <w:highlight w:val="none"/>
          <w:lang w:eastAsia="zh-TW"/>
        </w:rPr>
        <w:t>额</w:t>
      </w:r>
      <w:r>
        <w:rPr>
          <w:rFonts w:hint="eastAsia" w:ascii="宋体" w:hAnsi="宋体" w:cs="宋体"/>
          <w:szCs w:val="21"/>
          <w:highlight w:val="none"/>
        </w:rPr>
        <w:t>、期限缴纳</w:t>
      </w:r>
      <w:r>
        <w:rPr>
          <w:rFonts w:hint="eastAsia" w:ascii="宋体" w:hAnsi="宋体" w:cs="宋体"/>
          <w:szCs w:val="21"/>
          <w:highlight w:val="none"/>
          <w:lang w:eastAsia="zh-TW"/>
        </w:rPr>
        <w:t>投标保证金</w:t>
      </w:r>
      <w:r>
        <w:rPr>
          <w:rFonts w:hint="eastAsia" w:ascii="宋体" w:hAnsi="宋体" w:cs="宋体"/>
          <w:szCs w:val="21"/>
          <w:highlight w:val="none"/>
        </w:rPr>
        <w:t>，</w:t>
      </w:r>
      <w:r>
        <w:rPr>
          <w:rFonts w:hint="eastAsia" w:ascii="宋体" w:hAnsi="宋体" w:cs="宋体"/>
          <w:szCs w:val="21"/>
          <w:highlight w:val="none"/>
          <w:lang w:eastAsia="zh-TW"/>
        </w:rPr>
        <w:t>并作为其投标</w:t>
      </w:r>
      <w:r>
        <w:rPr>
          <w:rFonts w:hint="eastAsia" w:ascii="宋体" w:hAnsi="宋体" w:cs="宋体"/>
          <w:szCs w:val="21"/>
          <w:highlight w:val="none"/>
        </w:rPr>
        <w:t>文件的组成</w:t>
      </w:r>
      <w:r>
        <w:rPr>
          <w:rFonts w:hint="eastAsia" w:ascii="宋体" w:hAnsi="宋体" w:cs="宋体"/>
          <w:szCs w:val="21"/>
          <w:highlight w:val="none"/>
          <w:lang w:eastAsia="zh-TW"/>
        </w:rPr>
        <w:t>部分。</w:t>
      </w:r>
    </w:p>
    <w:p>
      <w:pPr>
        <w:numPr>
          <w:ilvl w:val="1"/>
          <w:numId w:val="49"/>
        </w:numPr>
        <w:snapToGrid w:val="0"/>
        <w:spacing w:line="360" w:lineRule="auto"/>
        <w:rPr>
          <w:rFonts w:ascii="宋体" w:hAnsi="宋体" w:cs="宋体"/>
          <w:b/>
          <w:bCs/>
          <w:szCs w:val="21"/>
          <w:highlight w:val="none"/>
          <w:lang w:eastAsia="zh-TW"/>
        </w:rPr>
      </w:pPr>
      <w:r>
        <w:rPr>
          <w:rFonts w:hint="eastAsia" w:ascii="宋体" w:hAnsi="宋体" w:cs="宋体"/>
          <w:b/>
          <w:bCs/>
          <w:szCs w:val="21"/>
          <w:highlight w:val="none"/>
          <w:lang w:eastAsia="zh-TW"/>
        </w:rPr>
        <w:t>投标人撤回已提交的投标文件，应当在投标截止时间前书面通知招标人。佛山市南海公有资产流转服务有限公司已收取投标保证金的，应当自收到投标人《企业采购保证金退付委托书》和营业执照复印件（盖公章）起5个工作日内退还。</w:t>
      </w:r>
    </w:p>
    <w:p>
      <w:pPr>
        <w:numPr>
          <w:ilvl w:val="1"/>
          <w:numId w:val="49"/>
        </w:numPr>
        <w:snapToGrid w:val="0"/>
        <w:spacing w:line="360" w:lineRule="auto"/>
        <w:rPr>
          <w:rFonts w:ascii="宋体" w:hAnsi="宋体" w:cs="宋体"/>
          <w:b/>
          <w:bCs/>
          <w:szCs w:val="21"/>
          <w:highlight w:val="none"/>
          <w:lang w:eastAsia="zh-TW"/>
        </w:rPr>
      </w:pPr>
      <w:r>
        <w:rPr>
          <w:rFonts w:hint="eastAsia" w:ascii="宋体" w:hAnsi="宋体" w:cs="宋体"/>
          <w:b/>
          <w:bCs/>
          <w:szCs w:val="21"/>
          <w:highlight w:val="none"/>
          <w:lang w:eastAsia="zh-TW"/>
        </w:rPr>
        <w:t>未中标投标人的投标保证金由佛山市南海公有资产流转服务有限公司在发布采购结果公告后的5个工作日内退回（不计利息）；招标人在与中标人签署采购合同后7个工作日内，凭有效的合同原件到佛山市南海公有资产流转服务有限公司进行备案。佛山市南海公有资产流转服务有限公司自收到合同原件后5个工作日内退回中标人的投标保证金（不计利息</w:t>
      </w:r>
      <w:r>
        <w:rPr>
          <w:rFonts w:hint="eastAsia" w:ascii="宋体" w:hAnsi="宋体" w:cs="宋体"/>
          <w:b/>
          <w:bCs/>
          <w:szCs w:val="21"/>
          <w:highlight w:val="none"/>
        </w:rPr>
        <w:t>）</w:t>
      </w:r>
      <w:r>
        <w:rPr>
          <w:rFonts w:hint="eastAsia" w:ascii="宋体" w:hAnsi="宋体" w:cs="宋体"/>
          <w:b/>
          <w:bCs/>
          <w:szCs w:val="21"/>
          <w:highlight w:val="none"/>
          <w:lang w:eastAsia="zh-TW"/>
        </w:rPr>
        <w:t>。</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符合退付条件的投标保证金，将在法定时间内全额无息退还到投标人原汇出账户</w:t>
      </w:r>
      <w:r>
        <w:rPr>
          <w:rFonts w:hint="eastAsia" w:ascii="宋体" w:hAnsi="宋体" w:cs="宋体"/>
          <w:szCs w:val="21"/>
          <w:highlight w:val="none"/>
        </w:rPr>
        <w:t>。</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下列任一情况发生时</w:t>
      </w:r>
      <w:r>
        <w:rPr>
          <w:rFonts w:hint="eastAsia" w:ascii="宋体" w:hAnsi="宋体" w:cs="宋体"/>
          <w:szCs w:val="21"/>
          <w:highlight w:val="none"/>
        </w:rPr>
        <w:t>，</w:t>
      </w:r>
      <w:r>
        <w:rPr>
          <w:rFonts w:hint="eastAsia" w:ascii="宋体" w:hAnsi="宋体" w:cs="宋体"/>
          <w:szCs w:val="21"/>
          <w:highlight w:val="none"/>
          <w:lang w:eastAsia="zh-TW"/>
        </w:rPr>
        <w:t>投标保证金将被没收</w:t>
      </w:r>
      <w:r>
        <w:rPr>
          <w:rFonts w:hint="eastAsia" w:ascii="宋体" w:hAnsi="宋体" w:cs="宋体"/>
          <w:szCs w:val="21"/>
          <w:highlight w:val="none"/>
        </w:rPr>
        <w:t>：</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投标人在招标文件中规定的投标有效期内撤回其投标</w:t>
      </w:r>
      <w:r>
        <w:rPr>
          <w:rFonts w:hint="eastAsia" w:ascii="宋体" w:hAnsi="宋体" w:cs="宋体"/>
          <w:szCs w:val="21"/>
          <w:highlight w:val="none"/>
        </w:rPr>
        <w:t>；</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中标后无正当理由放弃中标或中标人在规定期限内未能根据本须知规定签订合同</w:t>
      </w:r>
      <w:r>
        <w:rPr>
          <w:rFonts w:hint="eastAsia" w:ascii="宋体" w:hAnsi="宋体" w:cs="宋体"/>
          <w:szCs w:val="21"/>
          <w:highlight w:val="none"/>
        </w:rPr>
        <w:t>；</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将中标项目转让给他人，或者在投标文件中未说明，且未经招标人同意，违反招标文件规定，将中标项目分包给他人的；</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中标人未按本须知规定交纳招标代理服务费。</w:t>
      </w:r>
    </w:p>
    <w:p>
      <w:pPr>
        <w:numPr>
          <w:ilvl w:val="0"/>
          <w:numId w:val="49"/>
        </w:numPr>
        <w:snapToGrid w:val="0"/>
        <w:spacing w:line="360" w:lineRule="auto"/>
        <w:outlineLvl w:val="0"/>
        <w:rPr>
          <w:rFonts w:ascii="宋体" w:hAnsi="宋体" w:cs="宋体"/>
          <w:b/>
          <w:bCs/>
          <w:szCs w:val="21"/>
          <w:highlight w:val="none"/>
        </w:rPr>
      </w:pPr>
      <w:bookmarkStart w:id="57" w:name="_Toc356482722"/>
      <w:bookmarkStart w:id="58" w:name="_Toc15256"/>
      <w:r>
        <w:rPr>
          <w:rFonts w:hint="eastAsia" w:ascii="宋体" w:hAnsi="宋体" w:cs="宋体"/>
          <w:b/>
          <w:bCs/>
          <w:szCs w:val="21"/>
          <w:highlight w:val="none"/>
        </w:rPr>
        <w:t>投标有效期</w:t>
      </w:r>
      <w:bookmarkEnd w:id="57"/>
      <w:bookmarkEnd w:id="58"/>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投标应自</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中规定的</w:t>
      </w:r>
      <w:r>
        <w:rPr>
          <w:rFonts w:hint="eastAsia" w:ascii="宋体" w:hAnsi="宋体" w:cs="宋体"/>
          <w:szCs w:val="21"/>
          <w:highlight w:val="none"/>
        </w:rPr>
        <w:t>投标文件递交截止时间</w:t>
      </w:r>
      <w:r>
        <w:rPr>
          <w:rFonts w:hint="eastAsia" w:ascii="宋体" w:hAnsi="宋体" w:cs="宋体"/>
          <w:szCs w:val="21"/>
          <w:highlight w:val="none"/>
          <w:lang w:eastAsia="zh-TW"/>
        </w:rPr>
        <w:t>起</w:t>
      </w:r>
      <w:r>
        <w:rPr>
          <w:rFonts w:hint="eastAsia" w:ascii="宋体" w:hAnsi="宋体" w:cs="宋体"/>
          <w:szCs w:val="21"/>
          <w:highlight w:val="none"/>
        </w:rPr>
        <w:t>，</w:t>
      </w:r>
      <w:r>
        <w:rPr>
          <w:rFonts w:hint="eastAsia" w:ascii="宋体" w:hAnsi="宋体" w:cs="宋体"/>
          <w:szCs w:val="21"/>
          <w:highlight w:val="none"/>
          <w:lang w:eastAsia="zh-TW"/>
        </w:rPr>
        <w:t>并在</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中所述期限内保持有效。投标有效期不足的投标将被视为非实质性响应</w:t>
      </w:r>
      <w:r>
        <w:rPr>
          <w:rFonts w:hint="eastAsia" w:ascii="宋体" w:hAnsi="宋体" w:cs="宋体"/>
          <w:szCs w:val="21"/>
          <w:highlight w:val="none"/>
        </w:rPr>
        <w:t>，视为无效投标</w:t>
      </w:r>
      <w:r>
        <w:rPr>
          <w:rFonts w:hint="eastAsia" w:ascii="宋体" w:hAnsi="宋体" w:cs="宋体"/>
          <w:szCs w:val="21"/>
          <w:highlight w:val="none"/>
          <w:lang w:eastAsia="zh-TW"/>
        </w:rPr>
        <w:t>。</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特殊情况下</w:t>
      </w:r>
      <w:r>
        <w:rPr>
          <w:rFonts w:hint="eastAsia" w:ascii="宋体" w:hAnsi="宋体" w:cs="宋体"/>
          <w:szCs w:val="21"/>
          <w:highlight w:val="none"/>
        </w:rPr>
        <w:t>，</w:t>
      </w:r>
      <w:r>
        <w:rPr>
          <w:rFonts w:hint="eastAsia" w:ascii="宋体" w:hAnsi="宋体" w:cs="宋体"/>
          <w:szCs w:val="21"/>
          <w:highlight w:val="none"/>
          <w:lang w:eastAsia="zh-TW"/>
        </w:rPr>
        <w:t>在原投标有效期截止之前</w:t>
      </w:r>
      <w:r>
        <w:rPr>
          <w:rFonts w:hint="eastAsia" w:ascii="宋体" w:hAnsi="宋体" w:cs="宋体"/>
          <w:szCs w:val="21"/>
          <w:highlight w:val="none"/>
        </w:rPr>
        <w:t>，</w:t>
      </w:r>
      <w:r>
        <w:rPr>
          <w:rFonts w:hint="eastAsia" w:ascii="宋体" w:hAnsi="宋体" w:cs="宋体"/>
          <w:szCs w:val="21"/>
          <w:highlight w:val="none"/>
          <w:lang w:eastAsia="zh-TW"/>
        </w:rPr>
        <w:t>招标代理机构可要求投标人延长投标有效期。这种要求与答复均应以书面形式提交。投标人可拒绝招标代理机构的这种要求</w:t>
      </w:r>
      <w:r>
        <w:rPr>
          <w:rFonts w:hint="eastAsia" w:ascii="宋体" w:hAnsi="宋体" w:cs="宋体"/>
          <w:szCs w:val="21"/>
          <w:highlight w:val="none"/>
        </w:rPr>
        <w:t>，</w:t>
      </w:r>
      <w:r>
        <w:rPr>
          <w:rFonts w:hint="eastAsia" w:ascii="宋体" w:hAnsi="宋体" w:cs="宋体"/>
          <w:szCs w:val="21"/>
          <w:highlight w:val="none"/>
          <w:lang w:eastAsia="zh-TW"/>
        </w:rPr>
        <w:t>其投标保证金将不会被没收</w:t>
      </w:r>
      <w:r>
        <w:rPr>
          <w:rFonts w:hint="eastAsia" w:ascii="宋体" w:hAnsi="宋体" w:cs="宋体"/>
          <w:szCs w:val="21"/>
          <w:highlight w:val="none"/>
        </w:rPr>
        <w:t>，</w:t>
      </w:r>
      <w:r>
        <w:rPr>
          <w:rFonts w:hint="eastAsia" w:ascii="宋体" w:hAnsi="宋体" w:cs="宋体"/>
          <w:szCs w:val="21"/>
          <w:highlight w:val="none"/>
          <w:lang w:eastAsia="zh-TW"/>
        </w:rPr>
        <w:t>但其投标在原投标有效期期满后将不再有效。同意延长投标有效期的投标人将不会被要求和允许修正其投标</w:t>
      </w:r>
      <w:r>
        <w:rPr>
          <w:rFonts w:hint="eastAsia" w:ascii="宋体" w:hAnsi="宋体" w:cs="宋体"/>
          <w:szCs w:val="21"/>
          <w:highlight w:val="none"/>
        </w:rPr>
        <w:t>，</w:t>
      </w:r>
      <w:r>
        <w:rPr>
          <w:rFonts w:hint="eastAsia" w:ascii="宋体" w:hAnsi="宋体" w:cs="宋体"/>
          <w:szCs w:val="21"/>
          <w:highlight w:val="none"/>
          <w:lang w:eastAsia="zh-TW"/>
        </w:rPr>
        <w:t>而只会被要求相应地延长其投标保证金的有效期。在这种情况下</w:t>
      </w:r>
      <w:r>
        <w:rPr>
          <w:rFonts w:hint="eastAsia" w:ascii="宋体" w:hAnsi="宋体" w:cs="宋体"/>
          <w:szCs w:val="21"/>
          <w:highlight w:val="none"/>
        </w:rPr>
        <w:t>，</w:t>
      </w:r>
      <w:r>
        <w:rPr>
          <w:rFonts w:hint="eastAsia" w:ascii="宋体" w:hAnsi="宋体" w:cs="宋体"/>
          <w:szCs w:val="21"/>
          <w:highlight w:val="none"/>
          <w:lang w:eastAsia="zh-TW"/>
        </w:rPr>
        <w:t>本须知有关投标保证金的退还和没收的规定将在延长了的有效期内继续有效。</w:t>
      </w:r>
    </w:p>
    <w:p>
      <w:pPr>
        <w:numPr>
          <w:ilvl w:val="0"/>
          <w:numId w:val="49"/>
        </w:numPr>
        <w:snapToGrid w:val="0"/>
        <w:spacing w:line="360" w:lineRule="auto"/>
        <w:outlineLvl w:val="0"/>
        <w:rPr>
          <w:rFonts w:ascii="宋体" w:hAnsi="宋体" w:cs="宋体"/>
          <w:b/>
          <w:bCs/>
          <w:szCs w:val="21"/>
          <w:highlight w:val="none"/>
        </w:rPr>
      </w:pPr>
      <w:bookmarkStart w:id="59" w:name="_Toc356482723"/>
      <w:bookmarkStart w:id="60" w:name="_Toc13876"/>
      <w:r>
        <w:rPr>
          <w:rFonts w:hint="eastAsia" w:ascii="宋体" w:hAnsi="宋体" w:cs="宋体"/>
          <w:b/>
          <w:bCs/>
          <w:szCs w:val="21"/>
          <w:highlight w:val="none"/>
        </w:rPr>
        <w:t>投标文件的式样和签署</w:t>
      </w:r>
      <w:bookmarkEnd w:id="59"/>
      <w:bookmarkEnd w:id="60"/>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投标文件的式样：投标人应准备一份投标文件正本</w:t>
      </w:r>
      <w:r>
        <w:rPr>
          <w:rFonts w:hint="eastAsia" w:ascii="宋体" w:hAnsi="宋体" w:cs="宋体"/>
          <w:szCs w:val="21"/>
          <w:highlight w:val="none"/>
        </w:rPr>
        <w:t>、电子文件</w:t>
      </w:r>
      <w:r>
        <w:rPr>
          <w:rFonts w:hint="eastAsia" w:ascii="宋体" w:hAnsi="宋体" w:cs="宋体"/>
          <w:szCs w:val="21"/>
          <w:highlight w:val="none"/>
          <w:lang w:eastAsia="zh-TW"/>
        </w:rPr>
        <w:t>和</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中规定数目的副本</w:t>
      </w:r>
      <w:r>
        <w:rPr>
          <w:rFonts w:hint="eastAsia" w:ascii="宋体" w:hAnsi="宋体" w:cs="宋体"/>
          <w:szCs w:val="21"/>
          <w:highlight w:val="none"/>
        </w:rPr>
        <w:t>，</w:t>
      </w:r>
      <w:r>
        <w:rPr>
          <w:rFonts w:hint="eastAsia" w:ascii="宋体" w:hAnsi="宋体" w:cs="宋体"/>
          <w:szCs w:val="21"/>
          <w:highlight w:val="none"/>
          <w:lang w:eastAsia="zh-TW"/>
        </w:rPr>
        <w:t>副本可</w:t>
      </w:r>
      <w:r>
        <w:rPr>
          <w:rFonts w:hint="eastAsia" w:ascii="宋体" w:hAnsi="宋体" w:cs="宋体"/>
          <w:szCs w:val="21"/>
          <w:highlight w:val="none"/>
        </w:rPr>
        <w:t>以</w:t>
      </w:r>
      <w:r>
        <w:rPr>
          <w:rFonts w:hint="eastAsia" w:ascii="宋体" w:hAnsi="宋体" w:cs="宋体"/>
          <w:szCs w:val="21"/>
          <w:highlight w:val="none"/>
          <w:lang w:eastAsia="zh-TW"/>
        </w:rPr>
        <w:t>复印。每套投标文件须清楚地标明“正本”或</w:t>
      </w:r>
      <w:r>
        <w:rPr>
          <w:rFonts w:hint="eastAsia" w:ascii="宋体" w:hAnsi="宋体" w:cs="宋体"/>
          <w:szCs w:val="21"/>
          <w:highlight w:val="none"/>
        </w:rPr>
        <w:t>“副</w:t>
      </w:r>
      <w:r>
        <w:rPr>
          <w:rFonts w:hint="eastAsia" w:ascii="宋体" w:hAnsi="宋体" w:cs="宋体"/>
          <w:szCs w:val="21"/>
          <w:highlight w:val="none"/>
          <w:lang w:eastAsia="zh-TW"/>
        </w:rPr>
        <w:t>本</w:t>
      </w:r>
      <w:r>
        <w:rPr>
          <w:rFonts w:hint="eastAsia" w:ascii="宋体" w:hAnsi="宋体" w:cs="宋体"/>
          <w:szCs w:val="21"/>
          <w:highlight w:val="none"/>
        </w:rPr>
        <w:t>”</w:t>
      </w:r>
      <w:r>
        <w:rPr>
          <w:rFonts w:hint="eastAsia" w:ascii="宋体" w:hAnsi="宋体" w:cs="宋体"/>
          <w:szCs w:val="21"/>
          <w:highlight w:val="none"/>
          <w:lang w:eastAsia="zh-TW"/>
        </w:rPr>
        <w:t>。若副本与正本不符</w:t>
      </w:r>
      <w:r>
        <w:rPr>
          <w:rFonts w:hint="eastAsia" w:ascii="宋体" w:hAnsi="宋体" w:cs="宋体"/>
          <w:szCs w:val="21"/>
          <w:highlight w:val="none"/>
        </w:rPr>
        <w:t>，</w:t>
      </w:r>
      <w:r>
        <w:rPr>
          <w:rFonts w:hint="eastAsia" w:ascii="宋体" w:hAnsi="宋体" w:cs="宋体"/>
          <w:szCs w:val="21"/>
          <w:highlight w:val="none"/>
          <w:lang w:eastAsia="zh-TW"/>
        </w:rPr>
        <w:t>以正本为准。</w:t>
      </w:r>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投标文件的签署：</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投标文件的正本需打印或用不褪色墨水书写</w:t>
      </w:r>
      <w:r>
        <w:rPr>
          <w:rFonts w:hint="eastAsia" w:ascii="宋体" w:hAnsi="宋体" w:cs="宋体"/>
          <w:szCs w:val="21"/>
          <w:highlight w:val="none"/>
        </w:rPr>
        <w:t>，格式规定签字或盖章处须由投标人的法定</w:t>
      </w:r>
      <w:r>
        <w:rPr>
          <w:rFonts w:hint="eastAsia" w:ascii="宋体" w:hAnsi="宋体" w:cs="宋体"/>
          <w:szCs w:val="21"/>
          <w:highlight w:val="none"/>
          <w:lang w:eastAsia="zh-TW"/>
        </w:rPr>
        <w:t>代表人或经其正式授权的代表签字</w:t>
      </w:r>
      <w:r>
        <w:rPr>
          <w:rFonts w:hint="eastAsia" w:ascii="宋体" w:hAnsi="宋体" w:cs="宋体"/>
          <w:szCs w:val="21"/>
          <w:highlight w:val="none"/>
        </w:rPr>
        <w:t>或印盖本人姓名章，</w:t>
      </w:r>
      <w:r>
        <w:rPr>
          <w:rFonts w:hint="eastAsia" w:ascii="宋体" w:hAnsi="宋体" w:cs="宋体"/>
          <w:b/>
          <w:bCs/>
          <w:szCs w:val="21"/>
          <w:highlight w:val="none"/>
          <w:u w:val="double"/>
        </w:rPr>
        <w:t>投标文件正本均须在封面及每一页加盖投标人公章</w:t>
      </w:r>
      <w:r>
        <w:rPr>
          <w:rFonts w:hint="eastAsia" w:ascii="宋体" w:hAnsi="宋体" w:cs="宋体"/>
          <w:szCs w:val="21"/>
          <w:highlight w:val="none"/>
        </w:rPr>
        <w:t>，副本可以复印，与正本具有同等法律效力</w:t>
      </w:r>
      <w:r>
        <w:rPr>
          <w:rFonts w:hint="eastAsia" w:ascii="宋体" w:hAnsi="宋体" w:cs="宋体"/>
          <w:szCs w:val="21"/>
          <w:highlight w:val="none"/>
          <w:lang w:eastAsia="zh-TW"/>
        </w:rPr>
        <w:t>。授权代表须将以书面形式出具的《法定代表人授权</w:t>
      </w:r>
      <w:r>
        <w:rPr>
          <w:rFonts w:hint="eastAsia" w:ascii="宋体" w:hAnsi="宋体" w:cs="宋体"/>
          <w:szCs w:val="21"/>
          <w:highlight w:val="none"/>
        </w:rPr>
        <w:t>委托</w:t>
      </w:r>
      <w:r>
        <w:rPr>
          <w:rFonts w:hint="eastAsia" w:ascii="宋体" w:hAnsi="宋体" w:cs="宋体"/>
          <w:szCs w:val="21"/>
          <w:highlight w:val="none"/>
          <w:lang w:eastAsia="zh-TW"/>
        </w:rPr>
        <w:t>书》附在</w:t>
      </w:r>
      <w:r>
        <w:rPr>
          <w:rFonts w:hint="eastAsia" w:ascii="宋体" w:hAnsi="宋体" w:cs="宋体"/>
          <w:szCs w:val="21"/>
          <w:highlight w:val="none"/>
        </w:rPr>
        <w:t>投</w:t>
      </w:r>
      <w:r>
        <w:rPr>
          <w:rFonts w:hint="eastAsia" w:ascii="宋体" w:hAnsi="宋体" w:cs="宋体"/>
          <w:szCs w:val="21"/>
          <w:highlight w:val="none"/>
          <w:lang w:eastAsia="zh-TW"/>
        </w:rPr>
        <w:t>标文件中。</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投标文件中的任何重要的插字、涂改和增删，必须由法定代表人或经其正式授权的代表在旁边签章或签字才有效。</w:t>
      </w:r>
    </w:p>
    <w:p>
      <w:pPr>
        <w:snapToGrid w:val="0"/>
        <w:spacing w:line="360" w:lineRule="auto"/>
        <w:ind w:left="372" w:hanging="371" w:hangingChars="177"/>
        <w:rPr>
          <w:rFonts w:ascii="宋体" w:hAnsi="宋体" w:cs="宋体"/>
          <w:szCs w:val="21"/>
          <w:highlight w:val="none"/>
        </w:rPr>
      </w:pPr>
    </w:p>
    <w:p>
      <w:pPr>
        <w:numPr>
          <w:ilvl w:val="0"/>
          <w:numId w:val="48"/>
        </w:numPr>
        <w:snapToGrid w:val="0"/>
        <w:spacing w:line="360" w:lineRule="auto"/>
        <w:jc w:val="center"/>
        <w:outlineLvl w:val="0"/>
        <w:rPr>
          <w:rFonts w:ascii="宋体" w:hAnsi="宋体"/>
          <w:b/>
          <w:sz w:val="28"/>
          <w:szCs w:val="28"/>
          <w:highlight w:val="none"/>
          <w:lang w:eastAsia="zh-TW"/>
        </w:rPr>
      </w:pPr>
      <w:bookmarkStart w:id="61" w:name="_Toc25944"/>
      <w:bookmarkStart w:id="62" w:name="_Toc356482724"/>
      <w:r>
        <w:rPr>
          <w:rFonts w:hint="eastAsia" w:ascii="宋体" w:hAnsi="宋体"/>
          <w:b/>
          <w:sz w:val="28"/>
          <w:szCs w:val="28"/>
          <w:highlight w:val="none"/>
          <w:lang w:eastAsia="zh-TW"/>
        </w:rPr>
        <w:t>投标文件的递交</w:t>
      </w:r>
      <w:bookmarkEnd w:id="61"/>
      <w:bookmarkEnd w:id="62"/>
    </w:p>
    <w:p>
      <w:pPr>
        <w:numPr>
          <w:ilvl w:val="0"/>
          <w:numId w:val="49"/>
        </w:numPr>
        <w:snapToGrid w:val="0"/>
        <w:spacing w:line="360" w:lineRule="auto"/>
        <w:outlineLvl w:val="0"/>
        <w:rPr>
          <w:rFonts w:ascii="宋体" w:hAnsi="宋体" w:cs="宋体"/>
          <w:b/>
          <w:bCs/>
          <w:szCs w:val="21"/>
          <w:highlight w:val="none"/>
        </w:rPr>
      </w:pPr>
      <w:bookmarkStart w:id="63" w:name="_Toc356482725"/>
      <w:bookmarkStart w:id="64" w:name="_Toc21943"/>
      <w:r>
        <w:rPr>
          <w:rFonts w:hint="eastAsia" w:ascii="宋体" w:hAnsi="宋体" w:cs="宋体"/>
          <w:b/>
          <w:bCs/>
          <w:szCs w:val="21"/>
          <w:highlight w:val="none"/>
        </w:rPr>
        <w:t>投标文件的密封和标记</w:t>
      </w:r>
      <w:bookmarkEnd w:id="63"/>
      <w:bookmarkEnd w:id="64"/>
    </w:p>
    <w:p>
      <w:pPr>
        <w:numPr>
          <w:ilvl w:val="1"/>
          <w:numId w:val="49"/>
        </w:numPr>
        <w:snapToGrid w:val="0"/>
        <w:spacing w:line="420" w:lineRule="auto"/>
        <w:rPr>
          <w:rFonts w:ascii="宋体" w:hAnsi="宋体" w:cs="宋体"/>
          <w:b/>
          <w:bCs/>
          <w:dstrike/>
          <w:szCs w:val="21"/>
          <w:highlight w:val="none"/>
        </w:rPr>
      </w:pPr>
      <w:r>
        <w:rPr>
          <w:rFonts w:hint="eastAsia" w:ascii="宋体" w:hAnsi="宋体" w:cs="宋体"/>
          <w:szCs w:val="21"/>
          <w:highlight w:val="none"/>
          <w:lang w:eastAsia="zh-TW"/>
        </w:rPr>
        <w:t>为方便开标唱标</w:t>
      </w:r>
      <w:r>
        <w:rPr>
          <w:rFonts w:hint="eastAsia" w:ascii="宋体" w:hAnsi="宋体" w:cs="宋体"/>
          <w:szCs w:val="21"/>
          <w:highlight w:val="none"/>
        </w:rPr>
        <w:t>，</w:t>
      </w:r>
      <w:r>
        <w:rPr>
          <w:rFonts w:hint="eastAsia" w:ascii="宋体" w:hAnsi="宋体" w:cs="宋体"/>
          <w:szCs w:val="21"/>
          <w:highlight w:val="none"/>
          <w:lang w:eastAsia="zh-TW"/>
        </w:rPr>
        <w:t>投标人应将开标</w:t>
      </w:r>
      <w:r>
        <w:rPr>
          <w:rFonts w:hint="eastAsia" w:ascii="宋体" w:hAnsi="宋体" w:cs="宋体"/>
          <w:szCs w:val="21"/>
          <w:highlight w:val="none"/>
        </w:rPr>
        <w:t>记录</w:t>
      </w:r>
      <w:r>
        <w:rPr>
          <w:rFonts w:hint="eastAsia" w:ascii="宋体" w:hAnsi="宋体" w:cs="宋体"/>
          <w:szCs w:val="21"/>
          <w:highlight w:val="none"/>
          <w:lang w:eastAsia="zh-TW"/>
        </w:rPr>
        <w:t>表(报价表)</w:t>
      </w:r>
      <w:r>
        <w:rPr>
          <w:rFonts w:hint="eastAsia" w:ascii="宋体" w:hAnsi="宋体" w:cs="宋体"/>
          <w:szCs w:val="21"/>
          <w:highlight w:val="none"/>
        </w:rPr>
        <w:t>、</w:t>
      </w:r>
      <w:r>
        <w:rPr>
          <w:rFonts w:hint="eastAsia" w:ascii="宋体" w:hAnsi="宋体" w:cs="宋体"/>
          <w:szCs w:val="21"/>
          <w:highlight w:val="none"/>
          <w:lang w:eastAsia="zh-TW"/>
        </w:rPr>
        <w:t>投标保证金</w:t>
      </w:r>
      <w:r>
        <w:rPr>
          <w:rFonts w:hint="eastAsia" w:ascii="宋体" w:hAnsi="宋体" w:cs="宋体"/>
          <w:szCs w:val="21"/>
          <w:highlight w:val="none"/>
        </w:rPr>
        <w:t>缴付凭证、电子文件和退投标保证金说明函一起</w:t>
      </w:r>
      <w:r>
        <w:rPr>
          <w:rFonts w:hint="eastAsia" w:ascii="宋体" w:hAnsi="宋体" w:cs="宋体"/>
          <w:szCs w:val="21"/>
          <w:highlight w:val="none"/>
          <w:lang w:eastAsia="zh-TW"/>
        </w:rPr>
        <w:t>密封提交</w:t>
      </w:r>
      <w:r>
        <w:rPr>
          <w:rFonts w:hint="eastAsia" w:ascii="宋体" w:hAnsi="宋体" w:cs="宋体"/>
          <w:szCs w:val="21"/>
          <w:highlight w:val="none"/>
        </w:rPr>
        <w:t>，并在信封上标明“开标信封”的</w:t>
      </w:r>
      <w:r>
        <w:rPr>
          <w:rFonts w:hint="eastAsia" w:ascii="宋体" w:hAnsi="宋体" w:cs="宋体"/>
          <w:szCs w:val="21"/>
          <w:highlight w:val="none"/>
          <w:lang w:eastAsia="zh-TW"/>
        </w:rPr>
        <w:t>字样。投标人应将投标文件正本和所有的副本分开密封装在单独的信封中</w:t>
      </w:r>
      <w:r>
        <w:rPr>
          <w:rFonts w:hint="eastAsia" w:ascii="宋体" w:hAnsi="宋体" w:cs="宋体"/>
          <w:szCs w:val="21"/>
          <w:highlight w:val="none"/>
        </w:rPr>
        <w:t>，</w:t>
      </w:r>
      <w:r>
        <w:rPr>
          <w:rFonts w:hint="eastAsia" w:ascii="宋体" w:hAnsi="宋体" w:cs="宋体"/>
          <w:szCs w:val="21"/>
          <w:highlight w:val="none"/>
          <w:lang w:eastAsia="zh-TW"/>
        </w:rPr>
        <w:t>且在信封</w:t>
      </w:r>
      <w:r>
        <w:rPr>
          <w:rFonts w:hint="eastAsia" w:ascii="宋体" w:hAnsi="宋体" w:cs="宋体"/>
          <w:szCs w:val="21"/>
          <w:highlight w:val="none"/>
        </w:rPr>
        <w:t>上</w:t>
      </w:r>
      <w:r>
        <w:rPr>
          <w:rFonts w:hint="eastAsia" w:ascii="宋体" w:hAnsi="宋体" w:cs="宋体"/>
          <w:szCs w:val="21"/>
          <w:highlight w:val="none"/>
          <w:lang w:eastAsia="zh-TW"/>
        </w:rPr>
        <w:t>标明</w:t>
      </w:r>
      <w:r>
        <w:rPr>
          <w:rFonts w:hint="eastAsia" w:ascii="宋体" w:hAnsi="宋体" w:cs="宋体"/>
          <w:szCs w:val="21"/>
          <w:highlight w:val="none"/>
        </w:rPr>
        <w:t>“</w:t>
      </w:r>
      <w:r>
        <w:rPr>
          <w:rFonts w:hint="eastAsia" w:ascii="宋体" w:hAnsi="宋体" w:cs="宋体"/>
          <w:szCs w:val="21"/>
          <w:highlight w:val="none"/>
          <w:lang w:eastAsia="zh-TW"/>
        </w:rPr>
        <w:t>正本</w:t>
      </w:r>
      <w:r>
        <w:rPr>
          <w:rFonts w:hint="eastAsia" w:ascii="宋体" w:hAnsi="宋体" w:cs="宋体"/>
          <w:szCs w:val="21"/>
          <w:highlight w:val="none"/>
        </w:rPr>
        <w:t>”“副</w:t>
      </w:r>
      <w:r>
        <w:rPr>
          <w:rFonts w:hint="eastAsia" w:ascii="宋体" w:hAnsi="宋体" w:cs="宋体"/>
          <w:szCs w:val="21"/>
          <w:highlight w:val="none"/>
          <w:lang w:eastAsia="zh-TW"/>
        </w:rPr>
        <w:t>本</w:t>
      </w:r>
      <w:r>
        <w:rPr>
          <w:rFonts w:hint="eastAsia" w:ascii="宋体" w:hAnsi="宋体" w:cs="宋体"/>
          <w:szCs w:val="21"/>
          <w:highlight w:val="none"/>
        </w:rPr>
        <w:t>”</w:t>
      </w:r>
      <w:r>
        <w:rPr>
          <w:rFonts w:hint="eastAsia" w:ascii="宋体" w:hAnsi="宋体" w:cs="宋体"/>
          <w:szCs w:val="21"/>
          <w:highlight w:val="none"/>
          <w:lang w:eastAsia="zh-TW"/>
        </w:rPr>
        <w:t>字样。</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投标文件封装：</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清楚标明递交至</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中指明的地址</w:t>
      </w:r>
      <w:r>
        <w:rPr>
          <w:rFonts w:hint="eastAsia" w:ascii="宋体" w:hAnsi="宋体" w:cs="宋体"/>
          <w:szCs w:val="21"/>
          <w:highlight w:val="none"/>
        </w:rPr>
        <w:t>及写明投标人名称和地址</w:t>
      </w:r>
      <w:r>
        <w:rPr>
          <w:rFonts w:hint="eastAsia" w:ascii="宋体" w:hAnsi="宋体" w:cs="宋体"/>
          <w:szCs w:val="21"/>
          <w:highlight w:val="none"/>
          <w:lang w:eastAsia="zh-TW"/>
        </w:rPr>
        <w:t>。</w:t>
      </w:r>
    </w:p>
    <w:p>
      <w:pPr>
        <w:numPr>
          <w:ilvl w:val="2"/>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注明投标邀请中指明的项目名称、</w:t>
      </w:r>
      <w:r>
        <w:rPr>
          <w:rFonts w:hint="eastAsia" w:ascii="宋体" w:hAnsi="宋体" w:cs="宋体"/>
          <w:szCs w:val="21"/>
          <w:highlight w:val="none"/>
        </w:rPr>
        <w:t>项目</w:t>
      </w:r>
      <w:r>
        <w:rPr>
          <w:rFonts w:hint="eastAsia" w:ascii="宋体" w:hAnsi="宋体" w:cs="宋体"/>
          <w:szCs w:val="21"/>
          <w:highlight w:val="none"/>
          <w:lang w:eastAsia="zh-TW"/>
        </w:rPr>
        <w:t>编号、包组号（如有）和</w:t>
      </w:r>
      <w:r>
        <w:rPr>
          <w:rFonts w:hint="eastAsia" w:ascii="宋体" w:hAnsi="宋体" w:cs="宋体"/>
          <w:szCs w:val="21"/>
          <w:highlight w:val="none"/>
        </w:rPr>
        <w:t>“</w:t>
      </w:r>
      <w:r>
        <w:rPr>
          <w:rFonts w:hint="eastAsia" w:ascii="宋体" w:hAnsi="宋体" w:cs="宋体"/>
          <w:szCs w:val="21"/>
          <w:highlight w:val="none"/>
          <w:lang w:eastAsia="zh-TW"/>
        </w:rPr>
        <w:t>在</w:t>
      </w:r>
      <w:r>
        <w:rPr>
          <w:rFonts w:hint="eastAsia" w:ascii="宋体" w:hAnsi="宋体" w:cs="宋体"/>
          <w:szCs w:val="21"/>
          <w:highlight w:val="none"/>
        </w:rPr>
        <w:t>(招标文件中规定的开标日期和时间)之前不得启封”的</w:t>
      </w:r>
      <w:r>
        <w:rPr>
          <w:rFonts w:hint="eastAsia" w:ascii="宋体" w:hAnsi="宋体" w:cs="宋体"/>
          <w:szCs w:val="21"/>
          <w:highlight w:val="none"/>
          <w:lang w:eastAsia="zh-TW"/>
        </w:rPr>
        <w:t>字样。</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如果未按本须知</w:t>
      </w:r>
      <w:r>
        <w:rPr>
          <w:rFonts w:hint="eastAsia" w:ascii="宋体" w:hAnsi="宋体" w:cs="宋体"/>
          <w:szCs w:val="21"/>
          <w:highlight w:val="none"/>
        </w:rPr>
        <w:t>上款</w:t>
      </w:r>
      <w:r>
        <w:rPr>
          <w:rFonts w:hint="eastAsia" w:ascii="宋体" w:hAnsi="宋体" w:cs="宋体"/>
          <w:szCs w:val="21"/>
          <w:highlight w:val="none"/>
          <w:lang w:eastAsia="zh-TW"/>
        </w:rPr>
        <w:t>要求加写标记和</w:t>
      </w:r>
      <w:r>
        <w:rPr>
          <w:rFonts w:hint="eastAsia" w:ascii="宋体" w:hAnsi="宋体" w:cs="宋体"/>
          <w:szCs w:val="21"/>
          <w:highlight w:val="none"/>
        </w:rPr>
        <w:t>密封，</w:t>
      </w:r>
      <w:r>
        <w:rPr>
          <w:rFonts w:hint="eastAsia" w:ascii="宋体" w:hAnsi="宋体" w:cs="宋体"/>
          <w:szCs w:val="21"/>
          <w:highlight w:val="none"/>
          <w:lang w:eastAsia="zh-TW"/>
        </w:rPr>
        <w:t>招标代理机构对误投或提前启封概不负责</w:t>
      </w:r>
      <w:r>
        <w:rPr>
          <w:rFonts w:hint="eastAsia" w:ascii="宋体" w:hAnsi="宋体" w:cs="宋体"/>
          <w:szCs w:val="21"/>
          <w:highlight w:val="none"/>
        </w:rPr>
        <w:t>。</w:t>
      </w:r>
    </w:p>
    <w:p>
      <w:pPr>
        <w:numPr>
          <w:ilvl w:val="0"/>
          <w:numId w:val="49"/>
        </w:numPr>
        <w:snapToGrid w:val="0"/>
        <w:spacing w:line="360" w:lineRule="auto"/>
        <w:outlineLvl w:val="0"/>
        <w:rPr>
          <w:rFonts w:ascii="宋体" w:hAnsi="宋体" w:cs="宋体"/>
          <w:b/>
          <w:bCs/>
          <w:szCs w:val="21"/>
          <w:highlight w:val="none"/>
        </w:rPr>
      </w:pPr>
      <w:bookmarkStart w:id="65" w:name="_Toc356482726"/>
      <w:bookmarkStart w:id="66" w:name="_Toc15144"/>
      <w:r>
        <w:rPr>
          <w:rFonts w:hint="eastAsia" w:ascii="宋体" w:hAnsi="宋体" w:cs="宋体"/>
          <w:b/>
          <w:bCs/>
          <w:szCs w:val="21"/>
          <w:highlight w:val="none"/>
        </w:rPr>
        <w:t>投标截止期</w:t>
      </w:r>
      <w:bookmarkEnd w:id="65"/>
      <w:bookmarkEnd w:id="6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投标人应在不迟于</w:t>
      </w:r>
      <w:r>
        <w:rPr>
          <w:rFonts w:hint="eastAsia" w:ascii="宋体" w:hAnsi="宋体" w:cs="宋体"/>
          <w:b/>
          <w:szCs w:val="21"/>
          <w:highlight w:val="none"/>
        </w:rPr>
        <w:t>投标资料表</w:t>
      </w:r>
      <w:r>
        <w:rPr>
          <w:rFonts w:hint="eastAsia" w:ascii="宋体" w:hAnsi="宋体" w:cs="宋体"/>
          <w:szCs w:val="21"/>
          <w:highlight w:val="none"/>
          <w:lang w:eastAsia="zh-TW"/>
        </w:rPr>
        <w:t>中规定的截止日期和时间将投标文件递交至招标代理机构</w:t>
      </w:r>
      <w:r>
        <w:rPr>
          <w:rFonts w:hint="eastAsia" w:ascii="宋体" w:hAnsi="宋体" w:cs="宋体"/>
          <w:szCs w:val="21"/>
          <w:highlight w:val="none"/>
        </w:rPr>
        <w:t>，</w:t>
      </w:r>
      <w:r>
        <w:rPr>
          <w:rFonts w:hint="eastAsia" w:ascii="宋体" w:hAnsi="宋体" w:cs="宋体"/>
          <w:szCs w:val="21"/>
          <w:highlight w:val="none"/>
          <w:lang w:eastAsia="zh-TW"/>
        </w:rPr>
        <w:t>递交地点应是</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中指明的地址。</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为使投标人准备投标时有充分时间对招标文件的修改部分进行研究，招标采购单位可适当推迟投标截止期，但应发布公告并书面通知所有购买招标文件的潜在投标人。在此情况下</w:t>
      </w:r>
      <w:r>
        <w:rPr>
          <w:rFonts w:hint="eastAsia" w:ascii="宋体" w:hAnsi="宋体" w:cs="宋体"/>
          <w:szCs w:val="21"/>
          <w:highlight w:val="none"/>
        </w:rPr>
        <w:t>，</w:t>
      </w:r>
      <w:r>
        <w:rPr>
          <w:rFonts w:hint="eastAsia" w:ascii="宋体" w:hAnsi="宋体" w:cs="宋体"/>
          <w:szCs w:val="21"/>
          <w:highlight w:val="none"/>
          <w:lang w:eastAsia="zh-TW"/>
        </w:rPr>
        <w:t>招标采购单位和投标人受投标截止期制约的所有权利和义务均应延长至新的截止期。</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招标代理机构将拒绝并原封退回在规定的</w:t>
      </w:r>
      <w:r>
        <w:rPr>
          <w:rFonts w:hint="eastAsia" w:ascii="宋体" w:hAnsi="宋体" w:cs="宋体"/>
          <w:szCs w:val="21"/>
          <w:highlight w:val="none"/>
        </w:rPr>
        <w:t>投标</w:t>
      </w:r>
      <w:r>
        <w:rPr>
          <w:rFonts w:hint="eastAsia" w:ascii="宋体" w:hAnsi="宋体" w:cs="宋体"/>
          <w:szCs w:val="21"/>
          <w:highlight w:val="none"/>
          <w:lang w:eastAsia="zh-TW"/>
        </w:rPr>
        <w:t>截止期后收到的任何投标文件。</w:t>
      </w:r>
    </w:p>
    <w:p>
      <w:pPr>
        <w:numPr>
          <w:ilvl w:val="0"/>
          <w:numId w:val="49"/>
        </w:numPr>
        <w:snapToGrid w:val="0"/>
        <w:spacing w:line="360" w:lineRule="auto"/>
        <w:outlineLvl w:val="0"/>
        <w:rPr>
          <w:rFonts w:ascii="宋体" w:hAnsi="宋体" w:cs="宋体"/>
          <w:b/>
          <w:bCs/>
          <w:szCs w:val="21"/>
          <w:highlight w:val="none"/>
        </w:rPr>
      </w:pPr>
      <w:bookmarkStart w:id="67" w:name="_Toc356482727"/>
      <w:bookmarkStart w:id="68" w:name="_Toc5976"/>
      <w:r>
        <w:rPr>
          <w:rFonts w:hint="eastAsia" w:ascii="宋体" w:hAnsi="宋体" w:cs="宋体"/>
          <w:b/>
          <w:bCs/>
          <w:szCs w:val="21"/>
          <w:highlight w:val="none"/>
        </w:rPr>
        <w:t>投标文件的修改和撤回</w:t>
      </w:r>
      <w:bookmarkEnd w:id="67"/>
      <w:bookmarkEnd w:id="68"/>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pPr>
        <w:snapToGrid w:val="0"/>
        <w:spacing w:line="360" w:lineRule="auto"/>
        <w:jc w:val="center"/>
        <w:outlineLvl w:val="0"/>
        <w:rPr>
          <w:rFonts w:ascii="宋体" w:hAnsi="宋体" w:cs="宋体"/>
          <w:szCs w:val="21"/>
          <w:highlight w:val="none"/>
          <w:lang w:eastAsia="zh-TW"/>
        </w:rPr>
      </w:pPr>
    </w:p>
    <w:p>
      <w:pPr>
        <w:numPr>
          <w:ilvl w:val="0"/>
          <w:numId w:val="48"/>
        </w:numPr>
        <w:snapToGrid w:val="0"/>
        <w:spacing w:line="360" w:lineRule="auto"/>
        <w:jc w:val="center"/>
        <w:outlineLvl w:val="0"/>
        <w:rPr>
          <w:rFonts w:ascii="宋体" w:hAnsi="宋体"/>
          <w:b/>
          <w:sz w:val="28"/>
          <w:szCs w:val="28"/>
          <w:highlight w:val="none"/>
          <w:lang w:eastAsia="zh-TW"/>
        </w:rPr>
      </w:pPr>
      <w:bookmarkStart w:id="69" w:name="_Toc356482728"/>
      <w:bookmarkStart w:id="70" w:name="_Toc3242"/>
      <w:r>
        <w:rPr>
          <w:rFonts w:hint="eastAsia" w:ascii="宋体" w:hAnsi="宋体"/>
          <w:b/>
          <w:sz w:val="28"/>
          <w:szCs w:val="28"/>
          <w:highlight w:val="none"/>
          <w:lang w:eastAsia="zh-TW"/>
        </w:rPr>
        <w:t>开标与评标</w:t>
      </w:r>
      <w:bookmarkEnd w:id="69"/>
      <w:bookmarkEnd w:id="70"/>
    </w:p>
    <w:p>
      <w:pPr>
        <w:numPr>
          <w:ilvl w:val="0"/>
          <w:numId w:val="49"/>
        </w:numPr>
        <w:snapToGrid w:val="0"/>
        <w:spacing w:line="360" w:lineRule="auto"/>
        <w:outlineLvl w:val="0"/>
        <w:rPr>
          <w:rFonts w:ascii="宋体" w:hAnsi="宋体" w:cs="宋体"/>
          <w:b/>
          <w:bCs/>
          <w:szCs w:val="21"/>
          <w:highlight w:val="none"/>
        </w:rPr>
      </w:pPr>
      <w:bookmarkStart w:id="71" w:name="_Toc16580"/>
      <w:bookmarkStart w:id="72" w:name="_Toc356482729"/>
      <w:r>
        <w:rPr>
          <w:rFonts w:hint="eastAsia" w:ascii="宋体" w:hAnsi="宋体" w:cs="宋体"/>
          <w:b/>
          <w:bCs/>
          <w:szCs w:val="21"/>
          <w:highlight w:val="none"/>
        </w:rPr>
        <w:t>开标</w:t>
      </w:r>
      <w:bookmarkEnd w:id="71"/>
      <w:bookmarkEnd w:id="72"/>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招标代理机构在投标邀请中规定的日期、时</w:t>
      </w:r>
      <w:r>
        <w:rPr>
          <w:rFonts w:hint="eastAsia" w:ascii="宋体" w:hAnsi="宋体" w:cs="宋体"/>
          <w:szCs w:val="21"/>
          <w:highlight w:val="none"/>
        </w:rPr>
        <w:t>间</w:t>
      </w:r>
      <w:r>
        <w:rPr>
          <w:rFonts w:hint="eastAsia" w:ascii="宋体" w:hAnsi="宋体" w:cs="宋体"/>
          <w:szCs w:val="21"/>
          <w:highlight w:val="none"/>
          <w:lang w:eastAsia="zh-TW"/>
        </w:rPr>
        <w:t>和地点组织公开开标。开标时邀请所有投标人代表参加。参加开标的代表应签名报到以证明其出席。</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开标时</w:t>
      </w:r>
      <w:r>
        <w:rPr>
          <w:rFonts w:hint="eastAsia" w:ascii="宋体" w:hAnsi="宋体" w:cs="宋体"/>
          <w:szCs w:val="21"/>
          <w:highlight w:val="none"/>
        </w:rPr>
        <w:t>，</w:t>
      </w:r>
      <w:r>
        <w:rPr>
          <w:rFonts w:hint="eastAsia" w:ascii="宋体" w:hAnsi="宋体" w:cs="宋体"/>
          <w:szCs w:val="21"/>
          <w:highlight w:val="none"/>
          <w:lang w:eastAsia="zh-TW"/>
        </w:rPr>
        <w:t>由按签到顺序递交投标文件的前三名投标人代表作为全体投标人推选的代表</w:t>
      </w:r>
      <w:r>
        <w:rPr>
          <w:rFonts w:hint="eastAsia" w:ascii="宋体" w:hAnsi="宋体" w:cs="宋体"/>
          <w:szCs w:val="21"/>
          <w:highlight w:val="none"/>
        </w:rPr>
        <w:t>就所有</w:t>
      </w:r>
      <w:r>
        <w:rPr>
          <w:rFonts w:hint="eastAsia" w:ascii="宋体" w:hAnsi="宋体" w:cs="宋体"/>
          <w:szCs w:val="21"/>
          <w:highlight w:val="none"/>
          <w:lang w:eastAsia="zh-TW"/>
        </w:rPr>
        <w:t>投标文件的密封情况</w:t>
      </w:r>
      <w:r>
        <w:rPr>
          <w:rFonts w:hint="eastAsia" w:ascii="宋体" w:hAnsi="宋体" w:cs="宋体"/>
          <w:szCs w:val="21"/>
          <w:highlight w:val="none"/>
        </w:rPr>
        <w:t>进行检查，</w:t>
      </w:r>
      <w:r>
        <w:rPr>
          <w:rFonts w:hint="eastAsia" w:ascii="宋体" w:hAnsi="宋体" w:cs="宋体"/>
          <w:szCs w:val="21"/>
          <w:highlight w:val="none"/>
          <w:lang w:eastAsia="zh-TW"/>
        </w:rPr>
        <w:t>也可以由</w:t>
      </w:r>
      <w:r>
        <w:rPr>
          <w:rFonts w:hint="eastAsia" w:ascii="宋体" w:hAnsi="宋体" w:cs="宋体"/>
          <w:szCs w:val="21"/>
          <w:highlight w:val="none"/>
        </w:rPr>
        <w:t>招标</w:t>
      </w:r>
      <w:r>
        <w:rPr>
          <w:rFonts w:hint="eastAsia" w:ascii="宋体" w:hAnsi="宋体" w:cs="宋体"/>
          <w:szCs w:val="21"/>
          <w:highlight w:val="none"/>
          <w:lang w:eastAsia="zh-TW"/>
        </w:rPr>
        <w:t>采购</w:t>
      </w:r>
      <w:r>
        <w:rPr>
          <w:rFonts w:hint="eastAsia" w:ascii="宋体" w:hAnsi="宋体" w:cs="宋体"/>
          <w:szCs w:val="21"/>
          <w:highlight w:val="none"/>
        </w:rPr>
        <w:t>单位</w:t>
      </w:r>
      <w:r>
        <w:rPr>
          <w:rFonts w:hint="eastAsia" w:ascii="宋体" w:hAnsi="宋体" w:cs="宋体"/>
          <w:szCs w:val="21"/>
          <w:highlight w:val="none"/>
          <w:lang w:eastAsia="zh-TW"/>
        </w:rPr>
        <w:t>委托的机构检查并见证，经确认无误后由招标工作人员当众拆封，宣读投标人名称、投标价格、价格折扣、投标文件的其他主要内容和招标文件允许提供的备选投标方案</w:t>
      </w:r>
      <w:r>
        <w:rPr>
          <w:rFonts w:hint="eastAsia" w:ascii="宋体" w:hAnsi="宋体" w:cs="宋体"/>
          <w:szCs w:val="21"/>
          <w:highlight w:val="none"/>
        </w:rPr>
        <w:t>，</w:t>
      </w:r>
      <w:r>
        <w:rPr>
          <w:rFonts w:hint="eastAsia" w:ascii="宋体" w:hAnsi="宋体" w:cs="宋体"/>
          <w:szCs w:val="21"/>
          <w:highlight w:val="none"/>
          <w:lang w:eastAsia="zh-TW"/>
        </w:rPr>
        <w:t>以及招标代理机构认为合适的其他内容。</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在开标时</w:t>
      </w:r>
      <w:r>
        <w:rPr>
          <w:rFonts w:hint="eastAsia" w:ascii="宋体" w:hAnsi="宋体" w:cs="宋体"/>
          <w:szCs w:val="21"/>
          <w:highlight w:val="none"/>
        </w:rPr>
        <w:t>，未宣读的投标价格、价格折扣和招标文件允许提供的备选投标方案等实质内容，</w:t>
      </w:r>
      <w:r>
        <w:rPr>
          <w:rFonts w:hint="eastAsia" w:ascii="宋体" w:hAnsi="宋体" w:cs="宋体"/>
          <w:szCs w:val="21"/>
          <w:highlight w:val="none"/>
          <w:lang w:eastAsia="zh-TW"/>
        </w:rPr>
        <w:t>评标时不予</w:t>
      </w:r>
      <w:r>
        <w:rPr>
          <w:rFonts w:hint="eastAsia" w:ascii="宋体" w:hAnsi="宋体" w:cs="宋体"/>
          <w:szCs w:val="21"/>
          <w:highlight w:val="none"/>
        </w:rPr>
        <w:t>承认</w:t>
      </w:r>
      <w:r>
        <w:rPr>
          <w:rFonts w:hint="eastAsia" w:ascii="宋体" w:hAnsi="宋体" w:cs="宋体"/>
          <w:szCs w:val="21"/>
          <w:highlight w:val="none"/>
          <w:lang w:eastAsia="zh-TW"/>
        </w:rPr>
        <w:t>。</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招标代理机构将做开标记录</w:t>
      </w:r>
      <w:r>
        <w:rPr>
          <w:rFonts w:hint="eastAsia" w:ascii="宋体" w:hAnsi="宋体" w:cs="宋体"/>
          <w:szCs w:val="21"/>
          <w:highlight w:val="none"/>
        </w:rPr>
        <w:t>，开标记录由</w:t>
      </w:r>
      <w:r>
        <w:rPr>
          <w:rFonts w:hint="eastAsia" w:ascii="宋体" w:hAnsi="宋体" w:cs="宋体"/>
          <w:szCs w:val="21"/>
          <w:highlight w:val="none"/>
          <w:lang w:eastAsia="zh-TW"/>
        </w:rPr>
        <w:t>投标人代表和有关人员共同</w:t>
      </w:r>
      <w:r>
        <w:rPr>
          <w:rFonts w:hint="eastAsia" w:ascii="宋体" w:hAnsi="宋体" w:cs="宋体"/>
          <w:szCs w:val="21"/>
          <w:highlight w:val="none"/>
        </w:rPr>
        <w:t>签字确认</w:t>
      </w:r>
      <w:r>
        <w:rPr>
          <w:rFonts w:hint="eastAsia" w:ascii="宋体" w:hAnsi="宋体" w:cs="宋体"/>
          <w:szCs w:val="21"/>
          <w:highlight w:val="none"/>
          <w:lang w:eastAsia="zh-TW"/>
        </w:rPr>
        <w:t>。</w:t>
      </w:r>
    </w:p>
    <w:p>
      <w:pPr>
        <w:numPr>
          <w:ilvl w:val="0"/>
          <w:numId w:val="49"/>
        </w:numPr>
        <w:snapToGrid w:val="0"/>
        <w:spacing w:line="360" w:lineRule="auto"/>
        <w:outlineLvl w:val="0"/>
        <w:rPr>
          <w:rFonts w:ascii="宋体" w:hAnsi="宋体" w:cs="宋体"/>
          <w:b/>
          <w:bCs/>
          <w:szCs w:val="21"/>
          <w:highlight w:val="none"/>
        </w:rPr>
      </w:pPr>
      <w:bookmarkStart w:id="73" w:name="_Toc4924"/>
      <w:bookmarkStart w:id="74" w:name="_Toc356482730"/>
      <w:r>
        <w:rPr>
          <w:rFonts w:hint="eastAsia" w:ascii="宋体" w:hAnsi="宋体" w:cs="宋体"/>
          <w:b/>
          <w:bCs/>
          <w:szCs w:val="21"/>
          <w:highlight w:val="none"/>
        </w:rPr>
        <w:t>评标委员会和评标方法</w:t>
      </w:r>
      <w:bookmarkEnd w:id="73"/>
      <w:bookmarkEnd w:id="74"/>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评标由依照</w:t>
      </w:r>
      <w:r>
        <w:rPr>
          <w:rFonts w:hint="eastAsia" w:ascii="宋体" w:hAnsi="宋体" w:cs="宋体"/>
          <w:szCs w:val="21"/>
          <w:highlight w:val="none"/>
        </w:rPr>
        <w:t>招标投标</w:t>
      </w:r>
      <w:r>
        <w:rPr>
          <w:rFonts w:hint="eastAsia" w:ascii="宋体" w:hAnsi="宋体" w:cs="宋体"/>
          <w:szCs w:val="21"/>
          <w:highlight w:val="none"/>
          <w:lang w:eastAsia="zh-TW"/>
        </w:rPr>
        <w:t>法律、法规、规章、政策的规定，组建的评标委员会负责。评标委员会成员按</w:t>
      </w:r>
      <w:r>
        <w:rPr>
          <w:rFonts w:hint="eastAsia" w:ascii="宋体" w:hAnsi="宋体" w:cs="宋体"/>
          <w:szCs w:val="21"/>
          <w:highlight w:val="none"/>
        </w:rPr>
        <w:t>招标投标</w:t>
      </w:r>
      <w:r>
        <w:rPr>
          <w:rFonts w:hint="eastAsia" w:ascii="宋体" w:hAnsi="宋体" w:cs="宋体"/>
          <w:szCs w:val="21"/>
          <w:highlight w:val="none"/>
          <w:lang w:eastAsia="zh-TW"/>
        </w:rPr>
        <w:t>规定由</w:t>
      </w:r>
      <w:r>
        <w:rPr>
          <w:rFonts w:hint="eastAsia" w:ascii="宋体" w:hAnsi="宋体" w:cs="宋体"/>
          <w:szCs w:val="21"/>
          <w:highlight w:val="none"/>
        </w:rPr>
        <w:t>招标</w:t>
      </w:r>
      <w:r>
        <w:rPr>
          <w:rFonts w:hint="eastAsia" w:ascii="宋体" w:hAnsi="宋体" w:cs="宋体"/>
          <w:szCs w:val="21"/>
          <w:highlight w:val="none"/>
          <w:lang w:eastAsia="zh-TW"/>
        </w:rPr>
        <w:t>人代表和</w:t>
      </w:r>
      <w:r>
        <w:rPr>
          <w:rFonts w:hint="eastAsia" w:ascii="宋体" w:hAnsi="宋体" w:cs="宋体"/>
          <w:szCs w:val="21"/>
          <w:highlight w:val="none"/>
        </w:rPr>
        <w:t>有关</w:t>
      </w:r>
      <w:r>
        <w:rPr>
          <w:rFonts w:hint="eastAsia" w:ascii="宋体" w:hAnsi="宋体" w:cs="宋体"/>
          <w:szCs w:val="21"/>
          <w:highlight w:val="none"/>
          <w:lang w:eastAsia="zh-TW"/>
        </w:rPr>
        <w:t>技术、经济等方面的专家组成，招标人代表人数、专家人数构成将按照</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中确定。评标委员会成员依法从专家库中随机抽取。</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评标委员会名单在</w:t>
      </w:r>
      <w:r>
        <w:rPr>
          <w:rFonts w:hint="eastAsia" w:ascii="宋体" w:hAnsi="宋体" w:cs="宋体"/>
          <w:szCs w:val="21"/>
          <w:highlight w:val="none"/>
        </w:rPr>
        <w:t>评审</w:t>
      </w:r>
      <w:r>
        <w:rPr>
          <w:rFonts w:hint="eastAsia" w:ascii="宋体" w:hAnsi="宋体" w:cs="宋体"/>
          <w:szCs w:val="21"/>
          <w:highlight w:val="none"/>
          <w:lang w:eastAsia="zh-TW"/>
        </w:rPr>
        <w:t>结果确定前严格保密。评审专家（不含招标人代表）有下列情形之一的，受到邀请应主动提出回避，采购当事人也可以要求该评审专家回避：</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三年内曾在参加该采购项目供应商中任职或担任顾问的；</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配偶或直系亲属在参加该采购项目的供应商中任职或担任顾问的；</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与参加该采购项目供应商发生过法律纠纷的；</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任职单位与招标人或参与该采购项目供应商存在行政隶属关系的；</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参与招标文件论证的；</w:t>
      </w:r>
    </w:p>
    <w:p>
      <w:pPr>
        <w:numPr>
          <w:ilvl w:val="2"/>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法律、法规、规章规定应当回避以及其他可能影响公正评审的。</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评标委员会和有关工作人员不得透露对投标文件的评审和比较以及与评标有关的其他情况。</w:t>
      </w:r>
    </w:p>
    <w:p>
      <w:pPr>
        <w:numPr>
          <w:ilvl w:val="1"/>
          <w:numId w:val="49"/>
        </w:numPr>
        <w:snapToGrid w:val="0"/>
        <w:spacing w:line="420" w:lineRule="auto"/>
        <w:rPr>
          <w:rFonts w:ascii="宋体" w:hAnsi="宋体" w:cs="宋体"/>
          <w:szCs w:val="21"/>
          <w:highlight w:val="none"/>
          <w:lang w:eastAsia="zh-TW"/>
        </w:rPr>
      </w:pPr>
      <w:r>
        <w:rPr>
          <w:rFonts w:hint="eastAsia" w:ascii="宋体" w:hAnsi="宋体" w:cs="宋体"/>
          <w:szCs w:val="21"/>
          <w:highlight w:val="none"/>
          <w:lang w:eastAsia="zh-TW"/>
        </w:rPr>
        <w:t>评标委员会将按照</w:t>
      </w:r>
      <w:r>
        <w:rPr>
          <w:rFonts w:hint="eastAsia" w:ascii="宋体" w:hAnsi="宋体" w:cs="宋体"/>
          <w:b/>
          <w:szCs w:val="21"/>
          <w:highlight w:val="none"/>
          <w:lang w:eastAsia="zh-TW"/>
        </w:rPr>
        <w:t>投标资料表</w:t>
      </w:r>
      <w:r>
        <w:rPr>
          <w:rFonts w:hint="eastAsia" w:ascii="宋体" w:hAnsi="宋体" w:cs="宋体"/>
          <w:szCs w:val="21"/>
          <w:highlight w:val="none"/>
          <w:lang w:eastAsia="zh-TW"/>
        </w:rPr>
        <w:t>中确定的评标方法</w:t>
      </w:r>
      <w:r>
        <w:rPr>
          <w:rFonts w:hint="eastAsia" w:ascii="宋体" w:hAnsi="宋体" w:cs="宋体"/>
          <w:szCs w:val="21"/>
          <w:highlight w:val="none"/>
        </w:rPr>
        <w:t>和</w:t>
      </w:r>
      <w:r>
        <w:rPr>
          <w:rFonts w:hint="eastAsia" w:ascii="宋体" w:hAnsi="宋体" w:cs="宋体"/>
          <w:szCs w:val="21"/>
          <w:highlight w:val="none"/>
          <w:lang w:eastAsia="zh-TW"/>
        </w:rPr>
        <w:t>本招标文件第</w:t>
      </w:r>
      <w:r>
        <w:rPr>
          <w:rFonts w:hint="eastAsia" w:ascii="宋体" w:hAnsi="宋体" w:cs="宋体"/>
          <w:szCs w:val="21"/>
          <w:highlight w:val="none"/>
        </w:rPr>
        <w:t>五</w:t>
      </w:r>
      <w:r>
        <w:rPr>
          <w:rFonts w:hint="eastAsia" w:ascii="宋体" w:hAnsi="宋体" w:cs="宋体"/>
          <w:szCs w:val="21"/>
          <w:highlight w:val="none"/>
          <w:lang w:eastAsia="zh-TW"/>
        </w:rPr>
        <w:t>章中规定</w:t>
      </w:r>
      <w:r>
        <w:rPr>
          <w:rFonts w:hint="eastAsia" w:ascii="宋体" w:hAnsi="宋体" w:cs="宋体"/>
          <w:szCs w:val="21"/>
          <w:highlight w:val="none"/>
        </w:rPr>
        <w:t>的评标</w:t>
      </w:r>
      <w:r>
        <w:rPr>
          <w:rFonts w:hint="eastAsia" w:ascii="宋体" w:hAnsi="宋体" w:cs="宋体"/>
          <w:szCs w:val="21"/>
          <w:highlight w:val="none"/>
          <w:lang w:eastAsia="zh-TW"/>
        </w:rPr>
        <w:t>标准进行评标。</w:t>
      </w:r>
    </w:p>
    <w:p>
      <w:pPr>
        <w:numPr>
          <w:ilvl w:val="0"/>
          <w:numId w:val="49"/>
        </w:numPr>
        <w:snapToGrid w:val="0"/>
        <w:spacing w:line="360" w:lineRule="auto"/>
        <w:outlineLvl w:val="0"/>
        <w:rPr>
          <w:rFonts w:ascii="宋体" w:hAnsi="宋体" w:cs="宋体"/>
          <w:b/>
          <w:bCs/>
          <w:szCs w:val="21"/>
          <w:highlight w:val="none"/>
        </w:rPr>
      </w:pPr>
      <w:bookmarkStart w:id="75" w:name="_Toc3761"/>
      <w:bookmarkStart w:id="76" w:name="_Toc356482731"/>
      <w:r>
        <w:rPr>
          <w:rFonts w:hint="eastAsia" w:ascii="宋体" w:hAnsi="宋体" w:cs="宋体"/>
          <w:b/>
          <w:bCs/>
          <w:szCs w:val="21"/>
          <w:highlight w:val="none"/>
        </w:rPr>
        <w:t>投标文件的初审</w:t>
      </w:r>
      <w:bookmarkEnd w:id="75"/>
      <w:bookmarkEnd w:id="7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评标委员会将</w:t>
      </w:r>
      <w:r>
        <w:rPr>
          <w:rFonts w:hint="eastAsia" w:ascii="宋体" w:hAnsi="宋体" w:cs="宋体"/>
          <w:szCs w:val="21"/>
          <w:highlight w:val="none"/>
        </w:rPr>
        <w:t>依法</w:t>
      </w:r>
      <w:r>
        <w:rPr>
          <w:rFonts w:hint="eastAsia" w:ascii="宋体" w:hAnsi="宋体" w:cs="宋体"/>
          <w:szCs w:val="21"/>
          <w:highlight w:val="none"/>
          <w:lang w:eastAsia="zh-TW"/>
        </w:rPr>
        <w:t>审查投标文件是否完整、文件签署是否合格、是否按招标文件的规定密封和标记、投标人是否</w:t>
      </w:r>
      <w:r>
        <w:rPr>
          <w:rFonts w:hint="eastAsia" w:ascii="宋体" w:hAnsi="宋体" w:cs="宋体"/>
          <w:szCs w:val="21"/>
          <w:highlight w:val="none"/>
        </w:rPr>
        <w:t>缴纳</w:t>
      </w:r>
      <w:r>
        <w:rPr>
          <w:rFonts w:hint="eastAsia" w:ascii="宋体" w:hAnsi="宋体" w:cs="宋体"/>
          <w:szCs w:val="21"/>
          <w:highlight w:val="none"/>
          <w:lang w:eastAsia="zh-TW"/>
        </w:rPr>
        <w:t>了投标保证金、有无计算</w:t>
      </w:r>
      <w:r>
        <w:rPr>
          <w:rFonts w:hint="eastAsia" w:ascii="宋体" w:hAnsi="宋体" w:cs="宋体"/>
          <w:szCs w:val="21"/>
          <w:highlight w:val="none"/>
        </w:rPr>
        <w:t>上</w:t>
      </w:r>
      <w:r>
        <w:rPr>
          <w:rFonts w:hint="eastAsia" w:ascii="宋体" w:hAnsi="宋体" w:cs="宋体"/>
          <w:szCs w:val="21"/>
          <w:highlight w:val="none"/>
          <w:lang w:eastAsia="zh-TW"/>
        </w:rPr>
        <w:t>的错误等。</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cs="宋体"/>
          <w:szCs w:val="21"/>
          <w:highlight w:val="none"/>
        </w:rPr>
        <w:t>。如果投标人不接受对其错误的更正，其投标将被视为无效投标或确定为投标无效。</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对于投标文件中不构成实质性偏差的不正规、不一致或不规则</w:t>
      </w:r>
      <w:r>
        <w:rPr>
          <w:rFonts w:hint="eastAsia" w:ascii="宋体" w:hAnsi="宋体" w:cs="宋体"/>
          <w:szCs w:val="21"/>
          <w:highlight w:val="none"/>
        </w:rPr>
        <w:t>，</w:t>
      </w:r>
      <w:r>
        <w:rPr>
          <w:rFonts w:hint="eastAsia" w:ascii="宋体" w:hAnsi="宋体" w:cs="宋体"/>
          <w:szCs w:val="21"/>
          <w:highlight w:val="none"/>
          <w:lang w:eastAsia="zh-TW"/>
        </w:rPr>
        <w:t>评标委员会可以接受</w:t>
      </w:r>
      <w:r>
        <w:rPr>
          <w:rFonts w:hint="eastAsia" w:ascii="宋体" w:hAnsi="宋体" w:cs="宋体"/>
          <w:szCs w:val="21"/>
          <w:highlight w:val="none"/>
        </w:rPr>
        <w:t>，</w:t>
      </w:r>
      <w:r>
        <w:rPr>
          <w:rFonts w:hint="eastAsia" w:ascii="宋体" w:hAnsi="宋体" w:cs="宋体"/>
          <w:szCs w:val="21"/>
          <w:highlight w:val="none"/>
          <w:lang w:eastAsia="zh-TW"/>
        </w:rPr>
        <w:t>但这种接受不能损害或影响任何投标人的相对排序。</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在详细评标之前</w:t>
      </w:r>
      <w:r>
        <w:rPr>
          <w:rFonts w:hint="eastAsia" w:ascii="宋体" w:hAnsi="宋体" w:cs="宋体"/>
          <w:szCs w:val="21"/>
          <w:highlight w:val="none"/>
        </w:rPr>
        <w:t>，</w:t>
      </w:r>
      <w:r>
        <w:rPr>
          <w:rFonts w:hint="eastAsia" w:ascii="宋体" w:hAnsi="宋体" w:cs="宋体"/>
          <w:szCs w:val="21"/>
          <w:highlight w:val="none"/>
          <w:lang w:eastAsia="zh-TW"/>
        </w:rPr>
        <w:t>评标委员会要审查每份投标文件是否实质上响应了招标文件的要求。实质上</w:t>
      </w:r>
      <w:r>
        <w:rPr>
          <w:rFonts w:hint="eastAsia" w:ascii="宋体" w:hAnsi="宋体" w:cs="宋体"/>
          <w:szCs w:val="21"/>
          <w:highlight w:val="none"/>
        </w:rPr>
        <w:t>响</w:t>
      </w:r>
      <w:r>
        <w:rPr>
          <w:rFonts w:hint="eastAsia" w:ascii="宋体" w:hAnsi="宋体" w:cs="宋体"/>
          <w:szCs w:val="21"/>
          <w:highlight w:val="none"/>
          <w:lang w:eastAsia="zh-TW"/>
        </w:rPr>
        <w:t>应的投标</w:t>
      </w:r>
      <w:r>
        <w:rPr>
          <w:rFonts w:hint="eastAsia" w:ascii="宋体" w:hAnsi="宋体" w:cs="宋体"/>
          <w:szCs w:val="21"/>
          <w:highlight w:val="none"/>
        </w:rPr>
        <w:t>文件</w:t>
      </w:r>
      <w:r>
        <w:rPr>
          <w:rFonts w:hint="eastAsia" w:ascii="宋体" w:hAnsi="宋体" w:cs="宋体"/>
          <w:szCs w:val="21"/>
          <w:highlight w:val="none"/>
          <w:lang w:eastAsia="zh-TW"/>
        </w:rPr>
        <w:t>应该是与招标文件要求的关键条款</w:t>
      </w:r>
      <w:r>
        <w:rPr>
          <w:rFonts w:hint="eastAsia" w:ascii="宋体" w:hAnsi="宋体" w:cs="宋体"/>
          <w:szCs w:val="21"/>
          <w:highlight w:val="none"/>
        </w:rPr>
        <w:t>、</w:t>
      </w:r>
      <w:r>
        <w:rPr>
          <w:rFonts w:hint="eastAsia" w:ascii="宋体" w:hAnsi="宋体" w:cs="宋体"/>
          <w:szCs w:val="21"/>
          <w:highlight w:val="none"/>
          <w:lang w:eastAsia="zh-TW"/>
        </w:rPr>
        <w:t>条件和规格相符</w:t>
      </w:r>
      <w:r>
        <w:rPr>
          <w:rFonts w:hint="eastAsia" w:ascii="宋体" w:hAnsi="宋体" w:cs="宋体"/>
          <w:szCs w:val="21"/>
          <w:highlight w:val="none"/>
        </w:rPr>
        <w:t>或优于，</w:t>
      </w:r>
      <w:r>
        <w:rPr>
          <w:rFonts w:hint="eastAsia" w:ascii="宋体" w:hAnsi="宋体" w:cs="宋体"/>
          <w:szCs w:val="21"/>
          <w:highlight w:val="none"/>
          <w:lang w:eastAsia="zh-TW"/>
        </w:rPr>
        <w:t>没有</w:t>
      </w:r>
      <w:r>
        <w:rPr>
          <w:rFonts w:hint="eastAsia" w:ascii="宋体" w:hAnsi="宋体" w:cs="宋体"/>
          <w:szCs w:val="21"/>
          <w:highlight w:val="none"/>
        </w:rPr>
        <w:t>实质</w:t>
      </w:r>
      <w:r>
        <w:rPr>
          <w:rFonts w:hint="eastAsia" w:ascii="宋体" w:hAnsi="宋体" w:cs="宋体"/>
          <w:szCs w:val="21"/>
          <w:highlight w:val="none"/>
          <w:lang w:eastAsia="zh-TW"/>
        </w:rPr>
        <w:t>偏离的投标</w:t>
      </w:r>
      <w:r>
        <w:rPr>
          <w:rFonts w:hint="eastAsia" w:ascii="宋体" w:hAnsi="宋体" w:cs="宋体"/>
          <w:szCs w:val="21"/>
          <w:highlight w:val="none"/>
        </w:rPr>
        <w:t>文件</w:t>
      </w:r>
      <w:r>
        <w:rPr>
          <w:rFonts w:hint="eastAsia" w:ascii="宋体" w:hAnsi="宋体" w:cs="宋体"/>
          <w:szCs w:val="21"/>
          <w:highlight w:val="none"/>
          <w:lang w:eastAsia="zh-TW"/>
        </w:rPr>
        <w:t>。评标委员会决定投标的响应性只根据投标</w:t>
      </w:r>
      <w:r>
        <w:rPr>
          <w:rFonts w:hint="eastAsia" w:ascii="宋体" w:hAnsi="宋体" w:cs="宋体"/>
          <w:szCs w:val="21"/>
          <w:highlight w:val="none"/>
        </w:rPr>
        <w:t>文件</w:t>
      </w:r>
      <w:r>
        <w:rPr>
          <w:rFonts w:hint="eastAsia" w:ascii="宋体" w:hAnsi="宋体" w:cs="宋体"/>
          <w:szCs w:val="21"/>
          <w:highlight w:val="none"/>
          <w:lang w:eastAsia="zh-TW"/>
        </w:rPr>
        <w:t>本身的真实无误的内容</w:t>
      </w:r>
      <w:r>
        <w:rPr>
          <w:rFonts w:hint="eastAsia" w:ascii="宋体" w:hAnsi="宋体" w:cs="宋体"/>
          <w:szCs w:val="21"/>
          <w:highlight w:val="none"/>
        </w:rPr>
        <w:t>，</w:t>
      </w:r>
      <w:r>
        <w:rPr>
          <w:rFonts w:hint="eastAsia" w:ascii="宋体" w:hAnsi="宋体" w:cs="宋体"/>
          <w:szCs w:val="21"/>
          <w:highlight w:val="none"/>
          <w:lang w:eastAsia="zh-TW"/>
        </w:rPr>
        <w:t>而不依据外部的证据</w:t>
      </w:r>
      <w:r>
        <w:rPr>
          <w:rFonts w:hint="eastAsia" w:ascii="宋体" w:hAnsi="宋体" w:cs="宋体"/>
          <w:szCs w:val="21"/>
          <w:highlight w:val="none"/>
        </w:rPr>
        <w:t>，</w:t>
      </w:r>
      <w:r>
        <w:rPr>
          <w:rFonts w:hint="eastAsia" w:ascii="宋体" w:hAnsi="宋体" w:cs="宋体"/>
          <w:szCs w:val="21"/>
          <w:highlight w:val="none"/>
          <w:lang w:eastAsia="zh-TW"/>
        </w:rPr>
        <w:t>但投标有不真实不正确的内容时除外。</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lang w:eastAsia="zh-TW"/>
        </w:rPr>
        <w:t>实质上没有响应招标文件要求的投标将</w:t>
      </w:r>
      <w:r>
        <w:rPr>
          <w:rFonts w:hint="eastAsia" w:ascii="宋体" w:hAnsi="宋体" w:cs="宋体"/>
          <w:szCs w:val="21"/>
          <w:highlight w:val="none"/>
        </w:rPr>
        <w:t>被视为无效投标</w:t>
      </w:r>
      <w:r>
        <w:rPr>
          <w:rFonts w:hint="eastAsia" w:ascii="宋体" w:hAnsi="宋体" w:cs="宋体"/>
          <w:szCs w:val="21"/>
          <w:highlight w:val="none"/>
          <w:lang w:eastAsia="zh-TW"/>
        </w:rPr>
        <w:t>。投标人不得通过修正或撤销不合要求的偏离或保留从而使其投标成为实质上响应的投标。</w:t>
      </w:r>
    </w:p>
    <w:p>
      <w:pPr>
        <w:numPr>
          <w:ilvl w:val="2"/>
          <w:numId w:val="49"/>
        </w:numPr>
        <w:tabs>
          <w:tab w:val="left" w:pos="756"/>
        </w:tabs>
        <w:snapToGrid w:val="0"/>
        <w:spacing w:line="360" w:lineRule="auto"/>
        <w:ind w:left="756" w:hanging="756"/>
        <w:rPr>
          <w:rFonts w:ascii="宋体" w:hAnsi="宋体" w:cs="宋体"/>
          <w:szCs w:val="21"/>
          <w:highlight w:val="none"/>
        </w:rPr>
      </w:pPr>
      <w:r>
        <w:rPr>
          <w:rFonts w:hint="eastAsia" w:ascii="宋体" w:hAnsi="宋体" w:cs="宋体"/>
          <w:szCs w:val="21"/>
          <w:highlight w:val="none"/>
          <w:lang w:eastAsia="zh-TW"/>
        </w:rPr>
        <w:t>在资格性审查、符合性检查时，未能通过资格性、符合性审查被认定为无效投标，具体条款</w:t>
      </w:r>
      <w:r>
        <w:rPr>
          <w:rFonts w:hint="eastAsia" w:ascii="宋体" w:hAnsi="宋体" w:cs="宋体"/>
          <w:szCs w:val="21"/>
          <w:highlight w:val="none"/>
        </w:rPr>
        <w:t>详</w:t>
      </w:r>
      <w:r>
        <w:rPr>
          <w:rFonts w:hint="eastAsia" w:ascii="宋体" w:hAnsi="宋体" w:cs="宋体"/>
          <w:szCs w:val="21"/>
          <w:highlight w:val="none"/>
          <w:lang w:eastAsia="zh-TW"/>
        </w:rPr>
        <w:t>见招标文件第</w:t>
      </w:r>
      <w:r>
        <w:rPr>
          <w:rFonts w:hint="eastAsia" w:ascii="宋体" w:hAnsi="宋体" w:cs="宋体"/>
          <w:szCs w:val="21"/>
          <w:highlight w:val="none"/>
        </w:rPr>
        <w:t>四章</w:t>
      </w:r>
      <w:r>
        <w:rPr>
          <w:rFonts w:hint="eastAsia" w:ascii="宋体" w:hAnsi="宋体" w:cs="宋体"/>
          <w:szCs w:val="21"/>
          <w:highlight w:val="none"/>
          <w:lang w:eastAsia="zh-TW"/>
        </w:rPr>
        <w:t>《资格、符合性评审条款》。</w:t>
      </w:r>
      <w:r>
        <w:rPr>
          <w:rFonts w:hint="eastAsia" w:ascii="宋体" w:hAnsi="宋体" w:cs="宋体"/>
          <w:szCs w:val="21"/>
          <w:highlight w:val="none"/>
        </w:rPr>
        <w:t xml:space="preserve">  </w:t>
      </w:r>
    </w:p>
    <w:p>
      <w:pPr>
        <w:numPr>
          <w:ilvl w:val="2"/>
          <w:numId w:val="49"/>
        </w:numPr>
        <w:tabs>
          <w:tab w:val="left" w:pos="756"/>
        </w:tabs>
        <w:snapToGrid w:val="0"/>
        <w:spacing w:line="360" w:lineRule="auto"/>
        <w:ind w:left="756" w:hanging="756"/>
        <w:rPr>
          <w:rFonts w:ascii="宋体" w:hAnsi="宋体" w:cs="宋体"/>
          <w:szCs w:val="21"/>
          <w:highlight w:val="none"/>
        </w:rPr>
      </w:pPr>
      <w:r>
        <w:rPr>
          <w:rFonts w:hint="eastAsia" w:ascii="宋体" w:hAnsi="宋体" w:cs="宋体"/>
          <w:szCs w:val="21"/>
          <w:highlight w:val="none"/>
          <w:lang w:eastAsia="zh-TW"/>
        </w:rPr>
        <w:t>评标委员会对各投标人进行资格性和符合性审查过程中，对初步被认定为初审不合格或无效投标者应实行及时告知</w:t>
      </w:r>
      <w:r>
        <w:rPr>
          <w:rFonts w:hint="eastAsia" w:ascii="宋体" w:hAnsi="宋体" w:cs="宋体"/>
          <w:szCs w:val="21"/>
          <w:highlight w:val="none"/>
        </w:rPr>
        <w:t>，</w:t>
      </w:r>
      <w:r>
        <w:rPr>
          <w:rFonts w:hint="eastAsia" w:ascii="宋体" w:hAnsi="宋体" w:cs="宋体"/>
          <w:szCs w:val="21"/>
          <w:highlight w:val="none"/>
          <w:lang w:eastAsia="zh-TW"/>
        </w:rPr>
        <w:t>由评标委员会主任或招标人代表将集体意见现场及时告知投标当事人，以让其核证、澄清事实。</w:t>
      </w:r>
    </w:p>
    <w:p>
      <w:pPr>
        <w:numPr>
          <w:ilvl w:val="0"/>
          <w:numId w:val="49"/>
        </w:numPr>
        <w:snapToGrid w:val="0"/>
        <w:spacing w:line="360" w:lineRule="auto"/>
        <w:outlineLvl w:val="0"/>
        <w:rPr>
          <w:rFonts w:ascii="宋体" w:hAnsi="宋体" w:cs="宋体"/>
          <w:b/>
          <w:bCs/>
          <w:szCs w:val="21"/>
          <w:highlight w:val="none"/>
        </w:rPr>
      </w:pPr>
      <w:bookmarkStart w:id="77" w:name="_Toc356482732"/>
      <w:bookmarkStart w:id="78" w:name="_Toc17958"/>
      <w:r>
        <w:rPr>
          <w:rFonts w:hint="eastAsia" w:ascii="宋体" w:hAnsi="宋体" w:cs="宋体"/>
          <w:b/>
          <w:bCs/>
          <w:szCs w:val="21"/>
          <w:highlight w:val="none"/>
        </w:rPr>
        <w:t>投标文件的澄清</w:t>
      </w:r>
      <w:bookmarkEnd w:id="77"/>
      <w:bookmarkEnd w:id="78"/>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Pr>
          <w:rFonts w:hint="eastAsia" w:ascii="宋体" w:hAnsi="宋体" w:cs="宋体"/>
          <w:szCs w:val="21"/>
          <w:highlight w:val="none"/>
        </w:rPr>
        <w:t>不得超出投标文件的范围或者改变投标文件的实质性内容。</w:t>
      </w:r>
      <w:r>
        <w:rPr>
          <w:rFonts w:hint="eastAsia" w:ascii="宋体" w:hAnsi="宋体" w:cs="宋体"/>
          <w:szCs w:val="21"/>
          <w:highlight w:val="none"/>
          <w:lang w:eastAsia="zh-TW"/>
        </w:rPr>
        <w:t>投标人的澄清、说明或者补正应当采用书面形式</w:t>
      </w:r>
      <w:r>
        <w:rPr>
          <w:rFonts w:hint="eastAsia" w:ascii="宋体" w:hAnsi="宋体" w:cs="宋体"/>
          <w:szCs w:val="21"/>
          <w:highlight w:val="none"/>
        </w:rPr>
        <w:t>，</w:t>
      </w:r>
      <w:r>
        <w:rPr>
          <w:rFonts w:hint="eastAsia" w:ascii="宋体" w:hAnsi="宋体" w:cs="宋体"/>
          <w:szCs w:val="21"/>
          <w:highlight w:val="none"/>
          <w:lang w:eastAsia="zh-TW"/>
        </w:rPr>
        <w:t>由其授权的代表签字</w:t>
      </w:r>
      <w:r>
        <w:rPr>
          <w:rFonts w:hint="eastAsia" w:ascii="宋体" w:hAnsi="宋体" w:cs="宋体"/>
          <w:szCs w:val="21"/>
          <w:highlight w:val="none"/>
        </w:rPr>
        <w:t>或盖章</w:t>
      </w:r>
      <w:r>
        <w:rPr>
          <w:rFonts w:hint="eastAsia" w:ascii="宋体" w:hAnsi="宋体" w:cs="宋体"/>
          <w:szCs w:val="21"/>
          <w:highlight w:val="none"/>
          <w:lang w:eastAsia="zh-TW"/>
        </w:rPr>
        <w:t>，并不得超出投标文件的范围或者改变投标文件的实质性内容</w:t>
      </w:r>
      <w:r>
        <w:rPr>
          <w:rFonts w:hint="eastAsia" w:ascii="宋体" w:hAnsi="宋体" w:cs="宋体"/>
          <w:szCs w:val="21"/>
          <w:highlight w:val="none"/>
        </w:rPr>
        <w:t>。</w:t>
      </w:r>
      <w:r>
        <w:rPr>
          <w:rFonts w:hint="eastAsia" w:ascii="宋体" w:hAnsi="宋体" w:cs="宋体"/>
          <w:szCs w:val="21"/>
          <w:highlight w:val="none"/>
          <w:lang w:eastAsia="zh-TW"/>
        </w:rPr>
        <w:t>有关澄清的答复均应由投标人的法定代表人或授权代表签字</w:t>
      </w:r>
      <w:r>
        <w:rPr>
          <w:rFonts w:hint="eastAsia" w:ascii="宋体" w:hAnsi="宋体" w:cs="宋体"/>
          <w:szCs w:val="21"/>
          <w:highlight w:val="none"/>
        </w:rPr>
        <w:t>或盖章</w:t>
      </w:r>
      <w:r>
        <w:rPr>
          <w:rFonts w:hint="eastAsia" w:ascii="宋体" w:hAnsi="宋体" w:cs="宋体"/>
          <w:szCs w:val="21"/>
          <w:highlight w:val="none"/>
          <w:lang w:eastAsia="zh-TW"/>
        </w:rPr>
        <w:t>的书面形式作出。</w:t>
      </w:r>
    </w:p>
    <w:p>
      <w:pPr>
        <w:numPr>
          <w:ilvl w:val="1"/>
          <w:numId w:val="49"/>
        </w:numPr>
        <w:snapToGrid w:val="0"/>
        <w:spacing w:line="360" w:lineRule="auto"/>
        <w:rPr>
          <w:rFonts w:ascii="宋体" w:hAnsi="宋体" w:cs="宋体"/>
          <w:szCs w:val="21"/>
          <w:highlight w:val="none"/>
          <w:lang w:eastAsia="zh-TW"/>
        </w:rPr>
      </w:pPr>
      <w:r>
        <w:rPr>
          <w:rFonts w:hint="eastAsia" w:ascii="宋体" w:hAnsi="宋体" w:cs="宋体"/>
          <w:szCs w:val="21"/>
          <w:highlight w:val="none"/>
          <w:lang w:eastAsia="zh-TW"/>
        </w:rPr>
        <w:t>投标人的澄清文件是其投标文件的组成部分。</w:t>
      </w:r>
    </w:p>
    <w:p>
      <w:pPr>
        <w:numPr>
          <w:ilvl w:val="0"/>
          <w:numId w:val="49"/>
        </w:numPr>
        <w:snapToGrid w:val="0"/>
        <w:spacing w:line="360" w:lineRule="auto"/>
        <w:outlineLvl w:val="0"/>
        <w:rPr>
          <w:rFonts w:ascii="宋体" w:hAnsi="宋体" w:cs="宋体"/>
          <w:b/>
          <w:bCs/>
          <w:szCs w:val="21"/>
          <w:highlight w:val="none"/>
        </w:rPr>
      </w:pPr>
      <w:bookmarkStart w:id="79" w:name="_Toc356482733"/>
      <w:bookmarkStart w:id="80" w:name="_Toc23284"/>
      <w:r>
        <w:rPr>
          <w:rFonts w:hint="eastAsia" w:ascii="宋体" w:hAnsi="宋体" w:cs="宋体"/>
          <w:b/>
          <w:bCs/>
          <w:szCs w:val="21"/>
          <w:highlight w:val="none"/>
        </w:rPr>
        <w:t>投标文件详细评价</w:t>
      </w:r>
      <w:bookmarkEnd w:id="79"/>
      <w:bookmarkEnd w:id="80"/>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评</w:t>
      </w:r>
      <w:r>
        <w:rPr>
          <w:rFonts w:hint="eastAsia" w:ascii="宋体" w:hAnsi="宋体" w:cs="宋体"/>
          <w:szCs w:val="21"/>
          <w:highlight w:val="none"/>
          <w:lang w:eastAsia="zh-TW"/>
        </w:rPr>
        <w:t>标委员会将</w:t>
      </w:r>
      <w:r>
        <w:rPr>
          <w:rFonts w:hint="eastAsia" w:ascii="宋体" w:hAnsi="宋体" w:cs="宋体"/>
          <w:szCs w:val="21"/>
          <w:highlight w:val="none"/>
        </w:rPr>
        <w:t>对通过</w:t>
      </w:r>
      <w:r>
        <w:rPr>
          <w:rFonts w:hint="eastAsia" w:ascii="宋体" w:hAnsi="宋体" w:cs="宋体"/>
          <w:szCs w:val="21"/>
          <w:highlight w:val="none"/>
          <w:lang w:eastAsia="zh-TW"/>
        </w:rPr>
        <w:t>资格性、符合性审查的投标</w:t>
      </w:r>
      <w:r>
        <w:rPr>
          <w:rFonts w:hint="eastAsia" w:ascii="宋体" w:hAnsi="宋体" w:cs="宋体"/>
          <w:szCs w:val="21"/>
          <w:highlight w:val="none"/>
        </w:rPr>
        <w:t>文件</w:t>
      </w:r>
      <w:r>
        <w:rPr>
          <w:rFonts w:hint="eastAsia" w:ascii="宋体" w:hAnsi="宋体" w:cs="宋体"/>
          <w:szCs w:val="21"/>
          <w:highlight w:val="none"/>
          <w:lang w:eastAsia="zh-TW"/>
        </w:rPr>
        <w:t>进行</w:t>
      </w:r>
      <w:r>
        <w:rPr>
          <w:rFonts w:hint="eastAsia" w:ascii="宋体" w:hAnsi="宋体" w:cs="宋体"/>
          <w:szCs w:val="21"/>
          <w:highlight w:val="none"/>
        </w:rPr>
        <w:t>详细</w:t>
      </w:r>
      <w:r>
        <w:rPr>
          <w:rFonts w:hint="eastAsia" w:ascii="宋体" w:hAnsi="宋体" w:cs="宋体"/>
          <w:szCs w:val="21"/>
          <w:highlight w:val="none"/>
          <w:lang w:eastAsia="zh-TW"/>
        </w:rPr>
        <w:t>评价和比较</w:t>
      </w:r>
      <w:r>
        <w:rPr>
          <w:rFonts w:hint="eastAsia" w:ascii="宋体" w:hAnsi="宋体" w:cs="宋体"/>
          <w:szCs w:val="21"/>
          <w:highlight w:val="none"/>
        </w:rPr>
        <w:t>。</w:t>
      </w:r>
    </w:p>
    <w:p>
      <w:pPr>
        <w:numPr>
          <w:ilvl w:val="0"/>
          <w:numId w:val="49"/>
        </w:numPr>
        <w:snapToGrid w:val="0"/>
        <w:spacing w:line="360" w:lineRule="auto"/>
        <w:outlineLvl w:val="0"/>
        <w:rPr>
          <w:rFonts w:ascii="宋体" w:hAnsi="宋体" w:cs="宋体"/>
          <w:b/>
          <w:bCs/>
          <w:szCs w:val="21"/>
          <w:highlight w:val="none"/>
        </w:rPr>
      </w:pPr>
      <w:bookmarkStart w:id="81" w:name="_Toc356482734"/>
      <w:bookmarkStart w:id="82" w:name="_Toc245"/>
      <w:r>
        <w:rPr>
          <w:rFonts w:hint="eastAsia" w:ascii="宋体" w:hAnsi="宋体" w:cs="宋体"/>
          <w:b/>
          <w:bCs/>
          <w:szCs w:val="21"/>
          <w:highlight w:val="none"/>
        </w:rPr>
        <w:t>定标原则与授标</w:t>
      </w:r>
      <w:bookmarkEnd w:id="81"/>
      <w:bookmarkEnd w:id="82"/>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评标委员会按照招标文件确定的评标方法、步骤、标准，对投标文件进行评审，提出书面评标报告。</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采用综合评分法的，按评审后得分由高到低顺序排列。得分相同的，按投标报价由低到高顺序排列。得分且投标报价相同的，按技术指标优劣顺序排列。除</w:t>
      </w:r>
      <w:r>
        <w:rPr>
          <w:rFonts w:hint="eastAsia" w:ascii="宋体" w:hAnsi="宋体" w:cs="宋体"/>
          <w:b/>
          <w:szCs w:val="21"/>
          <w:highlight w:val="none"/>
        </w:rPr>
        <w:t>投标资料表</w:t>
      </w:r>
      <w:r>
        <w:rPr>
          <w:rFonts w:hint="eastAsia" w:ascii="宋体" w:hAnsi="宋体" w:cs="宋体"/>
          <w:szCs w:val="21"/>
          <w:highlight w:val="none"/>
        </w:rPr>
        <w:t>另有规定的，推荐综合得分排名第一的投标人为第一中标候选人。</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采用</w:t>
      </w:r>
      <w:r>
        <w:rPr>
          <w:rFonts w:hint="eastAsia" w:ascii="宋体" w:hAnsi="宋体" w:cs="宋体"/>
          <w:szCs w:val="21"/>
          <w:highlight w:val="none"/>
          <w:lang w:eastAsia="zh-TW"/>
        </w:rPr>
        <w:t>最低评标价法</w:t>
      </w:r>
      <w:r>
        <w:rPr>
          <w:rFonts w:hint="eastAsia" w:ascii="宋体" w:hAnsi="宋体" w:cs="宋体"/>
          <w:szCs w:val="21"/>
          <w:highlight w:val="none"/>
        </w:rPr>
        <w:t>的，</w:t>
      </w:r>
      <w:r>
        <w:rPr>
          <w:rFonts w:hint="eastAsia" w:ascii="宋体" w:hAnsi="宋体" w:cs="宋体"/>
          <w:szCs w:val="21"/>
          <w:highlight w:val="none"/>
          <w:lang w:eastAsia="zh-TW"/>
        </w:rPr>
        <w:t>按投标报价由低到高顺序排列。投标报价相同的，按技术指标优劣顺序排列。评标委员会认为，排在前面的中标候选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评标委员会决定投标的响应性只根据投标文件中提供的材料内容，而不依据外部的材料证据。</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评标委员会提交评标报告和推荐中标意见报招标人确认，招标人在收到评标报告后的法定时间内，按照评标报告中推荐的中标候选人顺序确定中标人，也可以事先授权评标委员会直接确定中标人。确认后招标代理机构将在刊登本项目招标信息媒体上发布中标公告。不在中标名单之列者即为未中标人，招标代理机构不再以其他方式另行通知。</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因不可抗力或自身原因不能履行合同的、不按要求与招标人签订合同、中标人放弃中标、中标资格被依法确认无效的，应当重新组织招标活动。</w:t>
      </w:r>
    </w:p>
    <w:p>
      <w:pPr>
        <w:numPr>
          <w:ilvl w:val="0"/>
          <w:numId w:val="49"/>
        </w:numPr>
        <w:snapToGrid w:val="0"/>
        <w:spacing w:line="360" w:lineRule="auto"/>
        <w:outlineLvl w:val="0"/>
        <w:rPr>
          <w:rFonts w:ascii="宋体" w:hAnsi="宋体" w:cs="宋体"/>
          <w:b/>
          <w:bCs/>
          <w:szCs w:val="21"/>
          <w:highlight w:val="none"/>
        </w:rPr>
      </w:pPr>
      <w:bookmarkStart w:id="83" w:name="_Toc356482735"/>
      <w:bookmarkStart w:id="84" w:name="_Toc24549"/>
      <w:r>
        <w:rPr>
          <w:rFonts w:hint="eastAsia" w:ascii="宋体" w:hAnsi="宋体" w:cs="宋体"/>
          <w:b/>
          <w:bCs/>
          <w:szCs w:val="21"/>
          <w:highlight w:val="none"/>
        </w:rPr>
        <w:t>质疑与回复</w:t>
      </w:r>
      <w:bookmarkEnd w:id="83"/>
      <w:bookmarkEnd w:id="84"/>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投标人有质疑时，应当在知道或者应知其权益受到损害之日起七个工作日内，以书面形式（加盖投标人公章）向招标采购单位提交质疑书原件，逾期质疑无效。投标人以电话、传真或电邮形式提交的质疑属于无效质疑。</w:t>
      </w:r>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或授权代表签字并加盖公章。招标采购单位受理书面质疑书原件之日起，在规定的期限内作出答复。对于捏造事实、滥用维权扰乱采购秩序的恶意质疑者或举证不全查无实据被驳回次数在一年内达三次以上，将纳入不良行为记录名单并承担相应的法律责任。</w:t>
      </w:r>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招标采购单位在收到供应商的有效书面质疑后七个工作日内作出答复，但答复的内容不涉及商业秘密，质疑供应商对招标人、招标代理机构的质疑答复不满意，或招标人、招标代理机构未在规定期限内作出答复的，可以在答复期满后十五个工作日内向上级部门提出投诉。</w:t>
      </w:r>
    </w:p>
    <w:p>
      <w:pPr>
        <w:numPr>
          <w:ilvl w:val="0"/>
          <w:numId w:val="49"/>
        </w:numPr>
        <w:snapToGrid w:val="0"/>
        <w:spacing w:line="360" w:lineRule="auto"/>
        <w:outlineLvl w:val="0"/>
        <w:rPr>
          <w:rFonts w:ascii="宋体" w:hAnsi="宋体" w:cs="宋体"/>
          <w:b/>
          <w:bCs/>
          <w:szCs w:val="21"/>
          <w:highlight w:val="none"/>
        </w:rPr>
      </w:pPr>
      <w:bookmarkStart w:id="85" w:name="_Toc5550"/>
      <w:bookmarkStart w:id="86" w:name="_Toc356482736"/>
      <w:r>
        <w:rPr>
          <w:rFonts w:hint="eastAsia" w:ascii="宋体" w:hAnsi="宋体" w:cs="宋体"/>
          <w:b/>
          <w:bCs/>
          <w:szCs w:val="21"/>
          <w:highlight w:val="none"/>
        </w:rPr>
        <w:t>中标通知书</w:t>
      </w:r>
      <w:bookmarkEnd w:id="85"/>
      <w:bookmarkEnd w:id="8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中标人确定后</w:t>
      </w:r>
      <w:r>
        <w:rPr>
          <w:rFonts w:hint="eastAsia" w:ascii="宋体" w:hAnsi="宋体" w:cs="宋体"/>
          <w:szCs w:val="21"/>
          <w:highlight w:val="none"/>
        </w:rPr>
        <w:t>，</w:t>
      </w:r>
      <w:r>
        <w:rPr>
          <w:rFonts w:hint="eastAsia" w:ascii="宋体" w:hAnsi="宋体" w:cs="宋体"/>
          <w:szCs w:val="21"/>
          <w:highlight w:val="none"/>
          <w:lang w:eastAsia="zh-TW"/>
        </w:rPr>
        <w:t>招标代理机构将在</w:t>
      </w:r>
      <w:r>
        <w:rPr>
          <w:rFonts w:hint="eastAsia" w:ascii="宋体" w:hAnsi="宋体" w:cs="宋体"/>
          <w:szCs w:val="21"/>
          <w:highlight w:val="none"/>
        </w:rPr>
        <w:t>招标信息</w:t>
      </w:r>
      <w:r>
        <w:rPr>
          <w:rFonts w:hint="eastAsia" w:ascii="宋体" w:hAnsi="宋体" w:cs="宋体"/>
          <w:szCs w:val="21"/>
          <w:highlight w:val="none"/>
          <w:lang w:eastAsia="zh-TW"/>
        </w:rPr>
        <w:t>媒体上发布中标公告，并向中标人发出《中标通知书》</w:t>
      </w:r>
      <w:r>
        <w:rPr>
          <w:rFonts w:hint="eastAsia" w:ascii="宋体" w:hAnsi="宋体" w:cs="宋体"/>
          <w:szCs w:val="21"/>
          <w:highlight w:val="none"/>
        </w:rPr>
        <w:t>，向招标人及未中标人发出《招标结果通知书》，</w:t>
      </w:r>
      <w:r>
        <w:rPr>
          <w:rFonts w:hint="eastAsia" w:ascii="宋体" w:hAnsi="宋体" w:cs="宋体"/>
          <w:szCs w:val="21"/>
          <w:highlight w:val="none"/>
          <w:lang w:eastAsia="zh-TW"/>
        </w:rPr>
        <w:t>《中标通知书》对中标人和招标人具有同等法律效力。</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《中标通知书》将作为授予合同资格的合法依据，是合同的一个组成部分。</w:t>
      </w:r>
    </w:p>
    <w:p>
      <w:pPr>
        <w:numPr>
          <w:ilvl w:val="0"/>
          <w:numId w:val="48"/>
        </w:numPr>
        <w:snapToGrid w:val="0"/>
        <w:spacing w:line="360" w:lineRule="auto"/>
        <w:jc w:val="center"/>
        <w:outlineLvl w:val="0"/>
        <w:rPr>
          <w:rFonts w:ascii="宋体" w:hAnsi="宋体"/>
          <w:b/>
          <w:sz w:val="28"/>
          <w:szCs w:val="28"/>
          <w:highlight w:val="none"/>
          <w:lang w:eastAsia="zh-TW"/>
        </w:rPr>
      </w:pPr>
      <w:bookmarkStart w:id="87" w:name="_Toc356482737"/>
      <w:bookmarkStart w:id="88" w:name="_Toc27705"/>
      <w:r>
        <w:rPr>
          <w:rFonts w:hint="eastAsia" w:ascii="宋体" w:hAnsi="宋体"/>
          <w:b/>
          <w:sz w:val="28"/>
          <w:szCs w:val="28"/>
          <w:highlight w:val="none"/>
          <w:lang w:eastAsia="zh-TW"/>
        </w:rPr>
        <w:t>授予合同</w:t>
      </w:r>
      <w:bookmarkEnd w:id="87"/>
      <w:bookmarkEnd w:id="88"/>
    </w:p>
    <w:p>
      <w:pPr>
        <w:numPr>
          <w:ilvl w:val="0"/>
          <w:numId w:val="49"/>
        </w:numPr>
        <w:snapToGrid w:val="0"/>
        <w:spacing w:line="360" w:lineRule="auto"/>
        <w:outlineLvl w:val="0"/>
        <w:rPr>
          <w:rFonts w:ascii="宋体" w:hAnsi="宋体" w:cs="宋体"/>
          <w:b/>
          <w:bCs/>
          <w:szCs w:val="21"/>
          <w:highlight w:val="none"/>
        </w:rPr>
      </w:pPr>
      <w:bookmarkStart w:id="89" w:name="_Toc29138"/>
      <w:bookmarkStart w:id="90" w:name="_Toc356482738"/>
      <w:r>
        <w:rPr>
          <w:rFonts w:hint="eastAsia" w:ascii="宋体" w:hAnsi="宋体" w:cs="宋体"/>
          <w:b/>
          <w:bCs/>
          <w:szCs w:val="21"/>
          <w:highlight w:val="none"/>
        </w:rPr>
        <w:t>合同的订立</w:t>
      </w:r>
      <w:bookmarkEnd w:id="89"/>
      <w:bookmarkEnd w:id="90"/>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除非</w:t>
      </w:r>
      <w:r>
        <w:rPr>
          <w:rFonts w:hint="eastAsia" w:ascii="宋体" w:hAnsi="宋体" w:cs="宋体"/>
          <w:b/>
          <w:szCs w:val="21"/>
          <w:highlight w:val="none"/>
        </w:rPr>
        <w:t>投标资料表</w:t>
      </w:r>
      <w:r>
        <w:rPr>
          <w:rFonts w:hint="eastAsia" w:ascii="宋体" w:hAnsi="宋体" w:cs="宋体"/>
          <w:szCs w:val="21"/>
          <w:highlight w:val="none"/>
        </w:rPr>
        <w:t>另有规定，</w:t>
      </w:r>
      <w:r>
        <w:rPr>
          <w:rFonts w:hint="eastAsia" w:ascii="宋体" w:hAnsi="宋体" w:cs="宋体"/>
          <w:szCs w:val="21"/>
          <w:highlight w:val="none"/>
          <w:lang w:eastAsia="zh-TW"/>
        </w:rPr>
        <w:t>招标人或者</w:t>
      </w:r>
      <w:r>
        <w:rPr>
          <w:rFonts w:hint="eastAsia" w:ascii="宋体" w:hAnsi="宋体" w:cs="宋体"/>
          <w:szCs w:val="21"/>
          <w:highlight w:val="none"/>
        </w:rPr>
        <w:t>招标代理机构</w:t>
      </w:r>
      <w:r>
        <w:rPr>
          <w:rFonts w:hint="eastAsia" w:ascii="宋体" w:hAnsi="宋体" w:cs="宋体"/>
          <w:szCs w:val="21"/>
          <w:highlight w:val="none"/>
          <w:lang w:eastAsia="zh-TW"/>
        </w:rPr>
        <w:t>应当自中标通知书发出之日起</w:t>
      </w:r>
      <w:r>
        <w:rPr>
          <w:rFonts w:hint="eastAsia" w:ascii="宋体" w:hAnsi="宋体" w:cs="宋体"/>
          <w:szCs w:val="21"/>
          <w:highlight w:val="none"/>
        </w:rPr>
        <w:t>五个工作日</w:t>
      </w:r>
      <w:r>
        <w:rPr>
          <w:rFonts w:hint="eastAsia" w:ascii="宋体" w:hAnsi="宋体" w:cs="宋体"/>
          <w:szCs w:val="21"/>
          <w:highlight w:val="none"/>
          <w:lang w:eastAsia="zh-TW"/>
        </w:rPr>
        <w:t>内，按照招标文件和中标人投标文件的约定，与中标人签订书面合同。所签订的合同不得对招标文件和中标人投标文件作实质性修改</w:t>
      </w:r>
      <w:r>
        <w:rPr>
          <w:rFonts w:hint="eastAsia" w:ascii="宋体" w:hAnsi="宋体" w:cs="宋体"/>
          <w:szCs w:val="21"/>
          <w:highlight w:val="none"/>
        </w:rPr>
        <w:t>。</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 xml:space="preserve">招标采购单位不得向中标人提出任何不合理的要求，作为签订合同的条件，不得与中标人私下订立背离合同实质性内容的协议。 </w:t>
      </w:r>
    </w:p>
    <w:p>
      <w:pPr>
        <w:numPr>
          <w:ilvl w:val="0"/>
          <w:numId w:val="49"/>
        </w:numPr>
        <w:snapToGrid w:val="0"/>
        <w:spacing w:line="360" w:lineRule="auto"/>
        <w:outlineLvl w:val="0"/>
        <w:rPr>
          <w:rFonts w:ascii="宋体" w:hAnsi="宋体" w:cs="宋体"/>
          <w:b/>
          <w:bCs/>
          <w:szCs w:val="21"/>
          <w:highlight w:val="none"/>
        </w:rPr>
      </w:pPr>
      <w:bookmarkStart w:id="91" w:name="_Toc12940"/>
      <w:bookmarkStart w:id="92" w:name="_Toc356482739"/>
      <w:r>
        <w:rPr>
          <w:rFonts w:hint="eastAsia" w:ascii="宋体" w:hAnsi="宋体" w:cs="宋体"/>
          <w:b/>
          <w:bCs/>
          <w:szCs w:val="21"/>
          <w:highlight w:val="none"/>
        </w:rPr>
        <w:t>合同的履行</w:t>
      </w:r>
      <w:bookmarkEnd w:id="91"/>
      <w:bookmarkEnd w:id="92"/>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合同订立后，合同各方不得擅自变更、中止或者终止合同。合同需要变更的，招标人应将有关合同变更内容，以书面形式报</w:t>
      </w:r>
      <w:r>
        <w:rPr>
          <w:rFonts w:hint="eastAsia" w:ascii="宋体" w:hAnsi="宋体" w:cs="宋体"/>
          <w:szCs w:val="21"/>
          <w:highlight w:val="none"/>
        </w:rPr>
        <w:t>上级主管</w:t>
      </w:r>
      <w:r>
        <w:rPr>
          <w:rFonts w:hint="eastAsia" w:ascii="宋体" w:hAnsi="宋体" w:cs="宋体"/>
          <w:szCs w:val="21"/>
          <w:highlight w:val="none"/>
          <w:lang w:eastAsia="zh-TW"/>
        </w:rPr>
        <w:t>部门备案；因特殊情况需要中止或终止合同的，招标人应将中止或终止合同的理由以及相应措施，以书面形式报</w:t>
      </w:r>
      <w:r>
        <w:rPr>
          <w:rFonts w:hint="eastAsia" w:ascii="宋体" w:hAnsi="宋体" w:cs="宋体"/>
          <w:szCs w:val="21"/>
          <w:highlight w:val="none"/>
        </w:rPr>
        <w:t>上级主管</w:t>
      </w:r>
      <w:r>
        <w:rPr>
          <w:rFonts w:hint="eastAsia" w:ascii="宋体" w:hAnsi="宋体" w:cs="宋体"/>
          <w:szCs w:val="21"/>
          <w:highlight w:val="none"/>
          <w:lang w:eastAsia="zh-TW"/>
        </w:rPr>
        <w:t>部门备案。</w:t>
      </w:r>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合同履行中，招标人需追加与合同标的相同的货物、工程或者服务的，在不改变合同其他条款的前提下，可以与供应商签订补充合同，但所补充合同的采购金额不得超过原</w:t>
      </w:r>
      <w:r>
        <w:rPr>
          <w:rFonts w:hint="eastAsia" w:ascii="宋体" w:hAnsi="宋体" w:cs="宋体"/>
          <w:szCs w:val="21"/>
          <w:highlight w:val="none"/>
        </w:rPr>
        <w:t>合同</w:t>
      </w:r>
      <w:r>
        <w:rPr>
          <w:rFonts w:hint="eastAsia" w:ascii="宋体" w:hAnsi="宋体" w:cs="宋体"/>
          <w:szCs w:val="21"/>
          <w:highlight w:val="none"/>
          <w:lang w:eastAsia="zh-TW"/>
        </w:rPr>
        <w:t>采购金额的百分之十。签订补充合同的必须按规定备案。</w:t>
      </w:r>
    </w:p>
    <w:p>
      <w:pPr>
        <w:numPr>
          <w:ilvl w:val="0"/>
          <w:numId w:val="49"/>
        </w:numPr>
        <w:snapToGrid w:val="0"/>
        <w:spacing w:line="360" w:lineRule="auto"/>
        <w:outlineLvl w:val="0"/>
        <w:rPr>
          <w:rFonts w:ascii="宋体" w:hAnsi="宋体" w:cs="宋体"/>
          <w:b/>
          <w:bCs/>
          <w:szCs w:val="21"/>
          <w:highlight w:val="none"/>
        </w:rPr>
      </w:pPr>
      <w:bookmarkStart w:id="93" w:name="_Toc356482740"/>
      <w:bookmarkStart w:id="94" w:name="_Toc29763"/>
      <w:r>
        <w:rPr>
          <w:rFonts w:hint="eastAsia" w:ascii="宋体" w:hAnsi="宋体" w:cs="宋体"/>
          <w:b/>
          <w:bCs/>
          <w:szCs w:val="21"/>
          <w:highlight w:val="none"/>
        </w:rPr>
        <w:t>接受和拒绝任何或所有投标的权力</w:t>
      </w:r>
      <w:bookmarkEnd w:id="93"/>
      <w:bookmarkEnd w:id="94"/>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在特殊情况下</w:t>
      </w:r>
      <w:r>
        <w:rPr>
          <w:rFonts w:hint="eastAsia" w:ascii="宋体" w:hAnsi="宋体" w:cs="宋体"/>
          <w:szCs w:val="21"/>
          <w:highlight w:val="none"/>
        </w:rPr>
        <w:t>，</w:t>
      </w:r>
      <w:r>
        <w:rPr>
          <w:rFonts w:hint="eastAsia" w:ascii="宋体" w:hAnsi="宋体" w:cs="宋体"/>
          <w:szCs w:val="21"/>
          <w:highlight w:val="none"/>
          <w:lang w:eastAsia="zh-TW"/>
        </w:rPr>
        <w:t>招标采购单位保留在投标之前</w:t>
      </w:r>
      <w:r>
        <w:rPr>
          <w:rFonts w:hint="eastAsia" w:ascii="宋体" w:hAnsi="宋体" w:cs="宋体"/>
          <w:szCs w:val="21"/>
          <w:highlight w:val="none"/>
        </w:rPr>
        <w:t>拒</w:t>
      </w:r>
      <w:r>
        <w:rPr>
          <w:rFonts w:hint="eastAsia" w:ascii="宋体" w:hAnsi="宋体" w:cs="宋体"/>
          <w:szCs w:val="21"/>
          <w:highlight w:val="none"/>
          <w:lang w:eastAsia="zh-TW"/>
        </w:rPr>
        <w:t>绝任何投标以及宣布招标程序无效或拒绝所有投标的权力。</w:t>
      </w:r>
    </w:p>
    <w:p>
      <w:pPr>
        <w:numPr>
          <w:ilvl w:val="0"/>
          <w:numId w:val="49"/>
        </w:numPr>
        <w:snapToGrid w:val="0"/>
        <w:spacing w:line="360" w:lineRule="auto"/>
        <w:outlineLvl w:val="0"/>
        <w:rPr>
          <w:rFonts w:ascii="宋体" w:hAnsi="宋体" w:cs="宋体"/>
          <w:b/>
          <w:bCs/>
          <w:szCs w:val="21"/>
          <w:highlight w:val="none"/>
        </w:rPr>
      </w:pPr>
      <w:bookmarkStart w:id="95" w:name="_Toc31258"/>
      <w:bookmarkStart w:id="96" w:name="_Toc356482741"/>
      <w:r>
        <w:rPr>
          <w:rFonts w:hint="eastAsia" w:ascii="宋体" w:hAnsi="宋体" w:cs="宋体"/>
          <w:b/>
          <w:bCs/>
          <w:szCs w:val="21"/>
          <w:highlight w:val="none"/>
        </w:rPr>
        <w:t>履约保证金</w:t>
      </w:r>
      <w:bookmarkEnd w:id="95"/>
      <w:bookmarkEnd w:id="96"/>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lang w:eastAsia="zh-TW"/>
        </w:rPr>
        <w:t>中标人应按照</w:t>
      </w:r>
      <w:r>
        <w:rPr>
          <w:rFonts w:hint="eastAsia" w:ascii="宋体" w:hAnsi="宋体" w:cs="宋体"/>
          <w:b/>
          <w:szCs w:val="21"/>
          <w:highlight w:val="none"/>
        </w:rPr>
        <w:t>投标资料表</w:t>
      </w:r>
      <w:r>
        <w:rPr>
          <w:rFonts w:hint="eastAsia" w:ascii="宋体" w:hAnsi="宋体" w:cs="宋体"/>
          <w:szCs w:val="21"/>
          <w:highlight w:val="none"/>
          <w:lang w:eastAsia="zh-TW"/>
        </w:rPr>
        <w:t>规定的</w:t>
      </w:r>
      <w:r>
        <w:rPr>
          <w:rFonts w:hint="eastAsia" w:ascii="宋体" w:hAnsi="宋体" w:cs="宋体"/>
          <w:szCs w:val="21"/>
          <w:highlight w:val="none"/>
        </w:rPr>
        <w:t>金额，</w:t>
      </w:r>
      <w:r>
        <w:rPr>
          <w:rFonts w:hint="eastAsia" w:ascii="宋体" w:hAnsi="宋体" w:cs="宋体"/>
          <w:szCs w:val="21"/>
          <w:highlight w:val="none"/>
          <w:lang w:eastAsia="zh-TW"/>
        </w:rPr>
        <w:t>采用招标人可以接受的其他形式向招标人提交履约保证金。</w:t>
      </w:r>
    </w:p>
    <w:p>
      <w:pPr>
        <w:numPr>
          <w:ilvl w:val="0"/>
          <w:numId w:val="49"/>
        </w:numPr>
        <w:snapToGrid w:val="0"/>
        <w:spacing w:line="360" w:lineRule="auto"/>
        <w:outlineLvl w:val="0"/>
        <w:rPr>
          <w:rFonts w:ascii="宋体" w:hAnsi="宋体" w:cs="宋体"/>
          <w:b/>
          <w:bCs/>
          <w:szCs w:val="21"/>
          <w:highlight w:val="none"/>
        </w:rPr>
      </w:pPr>
      <w:r>
        <w:rPr>
          <w:rFonts w:hint="eastAsia" w:ascii="宋体" w:hAnsi="宋体" w:cs="宋体"/>
          <w:b/>
          <w:bCs/>
          <w:szCs w:val="21"/>
          <w:highlight w:val="none"/>
        </w:rPr>
        <w:t>招标代理服务费</w:t>
      </w:r>
      <w:bookmarkEnd w:id="17"/>
      <w:bookmarkEnd w:id="18"/>
      <w:bookmarkEnd w:id="19"/>
      <w:bookmarkEnd w:id="20"/>
    </w:p>
    <w:p>
      <w:pPr>
        <w:numPr>
          <w:ilvl w:val="1"/>
          <w:numId w:val="49"/>
        </w:numPr>
        <w:snapToGrid w:val="0"/>
        <w:spacing w:line="360" w:lineRule="auto"/>
        <w:rPr>
          <w:rFonts w:ascii="宋体" w:hAnsi="宋体" w:cs="宋体"/>
          <w:b/>
          <w:bCs/>
          <w:szCs w:val="21"/>
          <w:highlight w:val="none"/>
        </w:rPr>
      </w:pPr>
      <w:r>
        <w:rPr>
          <w:rFonts w:hint="eastAsia" w:ascii="宋体" w:hAnsi="宋体" w:cs="宋体"/>
          <w:szCs w:val="21"/>
          <w:highlight w:val="none"/>
        </w:rPr>
        <w:t>中标人应按照招标文件</w:t>
      </w:r>
      <w:r>
        <w:rPr>
          <w:rFonts w:hint="eastAsia" w:ascii="宋体" w:hAnsi="宋体" w:cs="宋体"/>
          <w:b/>
          <w:szCs w:val="21"/>
          <w:highlight w:val="none"/>
          <w:lang w:eastAsia="zh-TW"/>
        </w:rPr>
        <w:t>投标资料表</w:t>
      </w:r>
      <w:r>
        <w:rPr>
          <w:rFonts w:hint="eastAsia" w:ascii="宋体" w:hAnsi="宋体" w:cs="宋体"/>
          <w:szCs w:val="21"/>
          <w:highlight w:val="none"/>
        </w:rPr>
        <w:t>中的规定缴纳招标代理服务费。否则，不予退还其投标保证金。</w:t>
      </w:r>
    </w:p>
    <w:p>
      <w:pPr>
        <w:numPr>
          <w:ilvl w:val="1"/>
          <w:numId w:val="49"/>
        </w:numPr>
        <w:snapToGrid w:val="0"/>
        <w:spacing w:line="360" w:lineRule="auto"/>
        <w:rPr>
          <w:rFonts w:ascii="宋体" w:hAnsi="宋体" w:cs="宋体"/>
          <w:szCs w:val="21"/>
          <w:highlight w:val="none"/>
        </w:rPr>
      </w:pPr>
      <w:r>
        <w:rPr>
          <w:rFonts w:hint="eastAsia" w:ascii="宋体" w:hAnsi="宋体" w:cs="宋体"/>
          <w:szCs w:val="21"/>
          <w:highlight w:val="none"/>
        </w:rPr>
        <w:t>经依法取消中标资格的，招标代理服务费不予退还。</w:t>
      </w:r>
    </w:p>
    <w:p>
      <w:pPr>
        <w:pStyle w:val="39"/>
        <w:spacing w:line="360" w:lineRule="auto"/>
        <w:rPr>
          <w:rFonts w:ascii="宋体" w:hAnsi="宋体" w:cs="宋体"/>
          <w:szCs w:val="21"/>
          <w:highlight w:val="none"/>
        </w:rPr>
      </w:pPr>
    </w:p>
    <w:p>
      <w:pPr>
        <w:spacing w:line="360" w:lineRule="auto"/>
        <w:rPr>
          <w:rFonts w:ascii="宋体" w:hAnsi="宋体" w:cs="宋体"/>
          <w:szCs w:val="21"/>
          <w:highlight w:val="none"/>
        </w:rPr>
      </w:pPr>
    </w:p>
    <w:bookmarkEnd w:id="13"/>
    <w:p>
      <w:pPr>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br w:type="page"/>
      </w:r>
      <w:bookmarkStart w:id="97" w:name="_Toc355879708"/>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Times New Roman" w:hAnsi="Times New Roman"/>
          <w:b/>
          <w:bCs/>
          <w:sz w:val="44"/>
          <w:szCs w:val="44"/>
          <w:highlight w:val="none"/>
        </w:rPr>
      </w:pPr>
      <w:bookmarkStart w:id="98" w:name="_Toc29705"/>
      <w:r>
        <w:rPr>
          <w:rFonts w:hint="eastAsia" w:ascii="Times New Roman" w:hAnsi="Times New Roman"/>
          <w:b/>
          <w:bCs/>
          <w:sz w:val="44"/>
          <w:szCs w:val="44"/>
          <w:highlight w:val="none"/>
        </w:rPr>
        <w:t>第六章</w:t>
      </w:r>
      <w:bookmarkEnd w:id="97"/>
      <w:bookmarkEnd w:id="98"/>
    </w:p>
    <w:p>
      <w:pPr>
        <w:snapToGrid w:val="0"/>
        <w:spacing w:line="360" w:lineRule="auto"/>
        <w:jc w:val="center"/>
        <w:outlineLvl w:val="0"/>
        <w:rPr>
          <w:rFonts w:ascii="Times New Roman" w:hAnsi="Times New Roman"/>
          <w:b/>
          <w:bCs/>
          <w:sz w:val="44"/>
          <w:szCs w:val="44"/>
          <w:highlight w:val="none"/>
        </w:rPr>
      </w:pPr>
      <w:bookmarkStart w:id="99" w:name="_Toc355879709"/>
      <w:bookmarkStart w:id="100" w:name="_Toc7115"/>
      <w:bookmarkStart w:id="101" w:name="_Toc2130"/>
      <w:r>
        <w:rPr>
          <w:rFonts w:hint="eastAsia" w:ascii="Times New Roman" w:hAnsi="Times New Roman"/>
          <w:b/>
          <w:bCs/>
          <w:sz w:val="44"/>
          <w:szCs w:val="44"/>
          <w:highlight w:val="none"/>
        </w:rPr>
        <w:t>合同条款</w:t>
      </w:r>
      <w:bookmarkEnd w:id="99"/>
      <w:bookmarkEnd w:id="100"/>
      <w:bookmarkEnd w:id="101"/>
    </w:p>
    <w:p>
      <w:pPr>
        <w:snapToGrid w:val="0"/>
        <w:spacing w:line="360" w:lineRule="auto"/>
        <w:jc w:val="center"/>
        <w:outlineLvl w:val="0"/>
        <w:rPr>
          <w:rFonts w:ascii="Times New Roman" w:hAnsi="Times New Roman"/>
          <w:b/>
          <w:bCs/>
          <w:sz w:val="28"/>
          <w:szCs w:val="28"/>
          <w:highlight w:val="none"/>
        </w:rPr>
      </w:pPr>
    </w:p>
    <w:p>
      <w:pPr>
        <w:snapToGrid w:val="0"/>
        <w:spacing w:line="360" w:lineRule="auto"/>
        <w:jc w:val="center"/>
        <w:outlineLvl w:val="0"/>
        <w:rPr>
          <w:rFonts w:ascii="Times New Roman" w:hAnsi="Times New Roman"/>
          <w:b/>
          <w:bCs/>
          <w:sz w:val="28"/>
          <w:szCs w:val="28"/>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snapToGrid w:val="0"/>
        <w:spacing w:line="360" w:lineRule="auto"/>
        <w:jc w:val="center"/>
        <w:outlineLvl w:val="0"/>
        <w:rPr>
          <w:rFonts w:ascii="宋体" w:hAnsi="宋体" w:cs="宋体"/>
          <w:b/>
          <w:bCs/>
          <w:szCs w:val="21"/>
          <w:highlight w:val="none"/>
        </w:rPr>
      </w:pPr>
    </w:p>
    <w:p>
      <w:pPr>
        <w:rPr>
          <w:rFonts w:ascii="Times New Roman" w:hAnsi="Times New Roman"/>
          <w:b/>
          <w:sz w:val="24"/>
          <w:highlight w:val="none"/>
        </w:rPr>
      </w:pPr>
      <w:r>
        <w:rPr>
          <w:rFonts w:hint="eastAsia" w:ascii="宋体" w:hAnsi="宋体" w:cs="宋体"/>
          <w:szCs w:val="21"/>
          <w:highlight w:val="none"/>
        </w:rPr>
        <w:t xml:space="preserve">       </w:t>
      </w:r>
      <w:r>
        <w:rPr>
          <w:rFonts w:hint="eastAsia" w:ascii="Times New Roman" w:hAnsi="Times New Roman"/>
          <w:b/>
          <w:sz w:val="24"/>
          <w:highlight w:val="none"/>
        </w:rPr>
        <w:t>注：本合同仅为合同的参考文本，合同签订双方可根据项目的具体要求进行修订。</w:t>
      </w:r>
    </w:p>
    <w:p>
      <w:pPr>
        <w:rPr>
          <w:rFonts w:ascii="宋体" w:hAnsi="宋体" w:cs="宋体"/>
          <w:b/>
          <w:szCs w:val="21"/>
          <w:highlight w:val="none"/>
        </w:rPr>
      </w:pPr>
      <w:r>
        <w:rPr>
          <w:rFonts w:hint="eastAsia" w:ascii="Times New Roman" w:hAnsi="Times New Roman"/>
          <w:b/>
          <w:sz w:val="24"/>
          <w:highlight w:val="none"/>
        </w:rPr>
        <w:t xml:space="preserve"> </w:t>
      </w:r>
      <w:r>
        <w:rPr>
          <w:rFonts w:hint="eastAsia" w:ascii="Times New Roman" w:hAnsi="Times New Roman"/>
          <w:b/>
          <w:sz w:val="24"/>
          <w:highlight w:val="none"/>
          <w:lang w:eastAsia="zh-TW"/>
        </w:rPr>
        <w:br w:type="page"/>
      </w:r>
      <w:r>
        <w:rPr>
          <w:rFonts w:hint="eastAsia" w:ascii="宋体" w:hAnsi="宋体" w:cs="宋体"/>
          <w:b/>
          <w:szCs w:val="21"/>
          <w:highlight w:val="none"/>
        </w:rPr>
        <w:t>甲    方</w:t>
      </w:r>
      <w:r>
        <w:rPr>
          <w:rFonts w:hint="eastAsia" w:ascii="宋体" w:hAnsi="宋体" w:cs="宋体"/>
          <w:szCs w:val="21"/>
          <w:highlight w:val="none"/>
        </w:rPr>
        <w:t>（招标人）</w:t>
      </w:r>
      <w:r>
        <w:rPr>
          <w:rFonts w:hint="eastAsia" w:ascii="宋体" w:hAnsi="宋体" w:cs="宋体"/>
          <w:b/>
          <w:szCs w:val="21"/>
          <w:highlight w:val="none"/>
        </w:rPr>
        <w:t>：</w:t>
      </w:r>
      <w:r>
        <w:rPr>
          <w:rFonts w:hint="eastAsia" w:ascii="宋体" w:hAnsi="宋体" w:cs="宋体"/>
          <w:b/>
          <w:szCs w:val="21"/>
          <w:highlight w:val="none"/>
          <w:u w:val="single"/>
        </w:rPr>
        <w:t xml:space="preserve">                 </w:t>
      </w:r>
    </w:p>
    <w:p>
      <w:pPr>
        <w:spacing w:line="360" w:lineRule="auto"/>
        <w:rPr>
          <w:rFonts w:ascii="宋体" w:hAnsi="宋体" w:cs="宋体"/>
          <w:szCs w:val="21"/>
          <w:highlight w:val="none"/>
        </w:rPr>
      </w:pPr>
      <w:r>
        <w:rPr>
          <w:rFonts w:hint="eastAsia" w:ascii="宋体" w:hAnsi="宋体" w:cs="宋体"/>
          <w:szCs w:val="21"/>
          <w:highlight w:val="none"/>
        </w:rPr>
        <w:t>电    话：           　   传  真：           地  址：</w:t>
      </w:r>
    </w:p>
    <w:p>
      <w:pPr>
        <w:spacing w:line="360" w:lineRule="auto"/>
        <w:rPr>
          <w:rFonts w:ascii="宋体" w:hAnsi="宋体" w:cs="宋体"/>
          <w:szCs w:val="21"/>
          <w:highlight w:val="none"/>
        </w:rPr>
      </w:pPr>
      <w:r>
        <w:rPr>
          <w:rFonts w:hint="eastAsia" w:ascii="宋体" w:hAnsi="宋体" w:cs="宋体"/>
          <w:b/>
          <w:szCs w:val="21"/>
          <w:highlight w:val="none"/>
        </w:rPr>
        <w:t>乙    方</w:t>
      </w:r>
      <w:r>
        <w:rPr>
          <w:rFonts w:hint="eastAsia" w:ascii="宋体" w:hAnsi="宋体" w:cs="宋体"/>
          <w:szCs w:val="21"/>
          <w:highlight w:val="none"/>
        </w:rPr>
        <w:t>（中标人）</w:t>
      </w:r>
      <w:r>
        <w:rPr>
          <w:rFonts w:hint="eastAsia" w:ascii="宋体" w:hAnsi="宋体" w:cs="宋体"/>
          <w:b/>
          <w:szCs w:val="21"/>
          <w:highlight w:val="none"/>
        </w:rPr>
        <w:t>：</w:t>
      </w:r>
      <w:r>
        <w:rPr>
          <w:rFonts w:hint="eastAsia" w:ascii="宋体" w:hAnsi="宋体" w:cs="宋体"/>
          <w:b/>
          <w:szCs w:val="21"/>
          <w:highlight w:val="none"/>
          <w:u w:val="single"/>
        </w:rPr>
        <w:t xml:space="preserve">                  </w:t>
      </w:r>
      <w:r>
        <w:rPr>
          <w:rFonts w:hint="eastAsia" w:ascii="宋体" w:hAnsi="宋体" w:cs="宋体"/>
          <w:b/>
          <w:szCs w:val="21"/>
          <w:highlight w:val="none"/>
        </w:rPr>
        <w:br w:type="textWrapping"/>
      </w:r>
      <w:r>
        <w:rPr>
          <w:rFonts w:hint="eastAsia" w:ascii="宋体" w:hAnsi="宋体" w:cs="宋体"/>
          <w:szCs w:val="21"/>
          <w:highlight w:val="none"/>
        </w:rPr>
        <w:t xml:space="preserve">电    话：                传  真：           地  址：   </w:t>
      </w:r>
    </w:p>
    <w:p>
      <w:pPr>
        <w:spacing w:line="360" w:lineRule="auto"/>
        <w:ind w:firstLine="420" w:firstLineChars="200"/>
        <w:rPr>
          <w:rFonts w:ascii="宋体" w:hAnsi="宋体" w:cs="宋体"/>
          <w:b/>
          <w:szCs w:val="21"/>
          <w:highlight w:val="none"/>
        </w:rPr>
      </w:pPr>
      <w:r>
        <w:rPr>
          <w:rFonts w:hint="eastAsia" w:ascii="宋体" w:hAnsi="宋体" w:cs="宋体"/>
          <w:szCs w:val="21"/>
          <w:highlight w:val="none"/>
        </w:rPr>
        <w:t>根据承展千灯湖酒店餐饮餐调料、蛋奶、粮油类采购项目的采购结果，按照《中华人民共和国民法典》的规定，经双方协商，本着平等互利和诚实信用的原则，一致同意签订本合同如下。</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项目概况</w:t>
      </w:r>
    </w:p>
    <w:p>
      <w:pPr>
        <w:numPr>
          <w:ilvl w:val="0"/>
          <w:numId w:val="51"/>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千灯湖酒店为住宿、餐饮及娱乐与一体的综合型酒店。本项目为酒店提供餐饮餐调料、蛋奶、粮油类食品配送服务，食用人员包括酒店的工作人员、旅客。</w:t>
      </w:r>
    </w:p>
    <w:p>
      <w:pPr>
        <w:numPr>
          <w:ilvl w:val="0"/>
          <w:numId w:val="51"/>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甲方可根据自身的需求，有权终止某些食品的采购或变更某类食品的采购。</w:t>
      </w:r>
    </w:p>
    <w:p>
      <w:pPr>
        <w:numPr>
          <w:ilvl w:val="0"/>
          <w:numId w:val="51"/>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乙方不得将中标项目转让或分包给他人，否则甲方有权单方终止合同，由此产生的一切经济损失及有关责任由乙方自行承担。</w:t>
      </w:r>
    </w:p>
    <w:p>
      <w:pPr>
        <w:numPr>
          <w:ilvl w:val="0"/>
          <w:numId w:val="51"/>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供货量将由甲方根据自身的经营情况与乙方的食材供货质量、服务诚信、服务质量、响应及时程度等因素确定，乙方请自行考虑。</w:t>
      </w:r>
    </w:p>
    <w:p>
      <w:pPr>
        <w:numPr>
          <w:ilvl w:val="0"/>
          <w:numId w:val="51"/>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本项目乙方的供货内容主要为餐饮餐调料、蛋奶、粮油类食品，不含鲜肉类、水果、蔬菜、冻品类、日用杂货（如餐具、纸巾、茶叶等）、副食品及干货等食材。</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项目供应、质量及验收标准</w:t>
      </w:r>
    </w:p>
    <w:p>
      <w:pPr>
        <w:numPr>
          <w:ilvl w:val="0"/>
          <w:numId w:val="5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供应要求：以甲方要求供货时提供的采购招标清单达到</w:t>
      </w:r>
      <w:r>
        <w:rPr>
          <w:rFonts w:hint="eastAsia" w:ascii="宋体" w:hAnsi="宋体" w:cs="宋体"/>
          <w:szCs w:val="21"/>
          <w:highlight w:val="none"/>
          <w:lang w:val="en-US" w:eastAsia="zh-Hans"/>
        </w:rPr>
        <w:t>国家食品部门有关标准以及</w:t>
      </w:r>
      <w:r>
        <w:rPr>
          <w:rFonts w:hint="eastAsia" w:ascii="宋体" w:hAnsi="宋体" w:cs="宋体"/>
          <w:szCs w:val="21"/>
          <w:highlight w:val="none"/>
        </w:rPr>
        <w:t>三星级餐饮使用要求或样板为准</w:t>
      </w:r>
      <w:r>
        <w:rPr>
          <w:rFonts w:hint="eastAsia" w:ascii="宋体" w:hAnsi="宋体" w:cs="宋体"/>
          <w:szCs w:val="21"/>
          <w:highlight w:val="none"/>
          <w:lang w:eastAsia="zh-Hans"/>
        </w:rPr>
        <w:t>。</w:t>
      </w:r>
      <w:r>
        <w:rPr>
          <w:rFonts w:hint="eastAsia" w:ascii="宋体" w:hAnsi="宋体" w:cs="宋体"/>
          <w:szCs w:val="21"/>
          <w:highlight w:val="none"/>
        </w:rPr>
        <w:t>有使用有效期的食品，其剩余有效期不得少于标注有效期的80%。</w:t>
      </w:r>
    </w:p>
    <w:p>
      <w:pPr>
        <w:numPr>
          <w:ilvl w:val="0"/>
          <w:numId w:val="5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质量标准：证明提供的产品及服务是合格的，且符合招标文件的规定，包括有效的合格证、食品流通许可证、农药残留检测报告、质量体系认证等资料以及相关的产品资料。（包括技术指标等详细说明）</w:t>
      </w:r>
    </w:p>
    <w:p>
      <w:pPr>
        <w:numPr>
          <w:ilvl w:val="0"/>
          <w:numId w:val="5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验收标准：本采购项目严格按照加工要求及质量标准验收，有封板的品种必须按照双方确认的样板验收。</w:t>
      </w:r>
    </w:p>
    <w:p>
      <w:pPr>
        <w:numPr>
          <w:ilvl w:val="0"/>
          <w:numId w:val="5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采购项目的验收：甲方按照招标文件中的验收标准在现场当即</w:t>
      </w:r>
      <w:r>
        <w:rPr>
          <w:rFonts w:hint="eastAsia" w:ascii="宋体" w:hAnsi="宋体" w:cs="宋体"/>
          <w:szCs w:val="21"/>
          <w:highlight w:val="none"/>
          <w:lang w:val="en-US" w:eastAsia="zh-Hans"/>
        </w:rPr>
        <w:t>进行初步</w:t>
      </w:r>
      <w:r>
        <w:rPr>
          <w:rFonts w:hint="eastAsia" w:ascii="宋体" w:hAnsi="宋体" w:cs="宋体"/>
          <w:szCs w:val="21"/>
          <w:highlight w:val="none"/>
        </w:rPr>
        <w:t>验收</w:t>
      </w:r>
      <w:r>
        <w:rPr>
          <w:rFonts w:hint="eastAsia" w:ascii="宋体" w:hAnsi="宋体" w:cs="宋体"/>
          <w:szCs w:val="21"/>
          <w:highlight w:val="none"/>
          <w:lang w:eastAsia="zh-Hans"/>
        </w:rPr>
        <w:t>（</w:t>
      </w:r>
      <w:r>
        <w:rPr>
          <w:rFonts w:hint="eastAsia" w:ascii="宋体" w:hAnsi="宋体" w:cs="宋体"/>
          <w:szCs w:val="21"/>
          <w:highlight w:val="none"/>
          <w:lang w:val="en-US" w:eastAsia="zh-Hans"/>
        </w:rPr>
        <w:t>外观质量、数量、规格、型号</w:t>
      </w:r>
      <w:r>
        <w:rPr>
          <w:rFonts w:hint="eastAsia" w:ascii="宋体" w:hAnsi="宋体" w:cs="宋体"/>
          <w:szCs w:val="21"/>
          <w:highlight w:val="none"/>
          <w:lang w:eastAsia="zh-Hans"/>
        </w:rPr>
        <w:t>）</w:t>
      </w:r>
      <w:r>
        <w:rPr>
          <w:rFonts w:hint="eastAsia" w:ascii="宋体" w:hAnsi="宋体" w:cs="宋体"/>
          <w:szCs w:val="21"/>
          <w:highlight w:val="none"/>
          <w:lang w:val="en-US" w:eastAsia="zh-Hans"/>
        </w:rPr>
        <w:t>初步验收合格不视为产品质量的认可</w:t>
      </w:r>
      <w:r>
        <w:rPr>
          <w:rFonts w:hint="eastAsia" w:ascii="宋体" w:hAnsi="宋体" w:cs="宋体"/>
          <w:szCs w:val="21"/>
          <w:highlight w:val="none"/>
        </w:rPr>
        <w:t>。经验收后的物品在</w:t>
      </w:r>
      <w:r>
        <w:rPr>
          <w:rFonts w:hint="eastAsia" w:ascii="宋体" w:hAnsi="宋体" w:cs="宋体"/>
          <w:szCs w:val="21"/>
          <w:highlight w:val="none"/>
          <w:lang w:val="en-US" w:eastAsia="zh-Hans"/>
        </w:rPr>
        <w:t>使用</w:t>
      </w:r>
      <w:r>
        <w:rPr>
          <w:rFonts w:hint="eastAsia" w:ascii="宋体" w:hAnsi="宋体" w:cs="宋体"/>
          <w:szCs w:val="21"/>
          <w:highlight w:val="none"/>
        </w:rPr>
        <w:t>过程中如发现有质量不合格的，由乙方在双方协商的期限内更换，直至符合要求为止。</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 xml:space="preserve">库存管理 </w:t>
      </w:r>
    </w:p>
    <w:p>
      <w:pPr>
        <w:numPr>
          <w:ilvl w:val="0"/>
          <w:numId w:val="5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酒店库存控制在酒店的采购、供应、生产和销售的各环节中，起着重要的平衡作用。加强这一环节的控制，不但对减少物资积压、浪费、压缩资金占用、降低发出物资差错损失、减少费用支出尤为重要,所有采购的物品应以该物品的最小包装为计量单位，用于甲方下单。</w:t>
      </w:r>
    </w:p>
    <w:p>
      <w:pPr>
        <w:numPr>
          <w:ilvl w:val="0"/>
          <w:numId w:val="5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酒店库存的有效管理，有利于积压资金的减少，降低经营成本，增加企业效益。</w:t>
      </w:r>
    </w:p>
    <w:p>
      <w:pPr>
        <w:numPr>
          <w:ilvl w:val="0"/>
          <w:numId w:val="53"/>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甲方可以保质期剩余在三个月以上的期限内更换同一货品。</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质量要求及供货范围</w:t>
      </w:r>
    </w:p>
    <w:p>
      <w:pPr>
        <w:numPr>
          <w:ilvl w:val="0"/>
          <w:numId w:val="54"/>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质量要求</w:t>
      </w:r>
    </w:p>
    <w:p>
      <w:pPr>
        <w:numPr>
          <w:ilvl w:val="0"/>
          <w:numId w:val="55"/>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所提供的产品必须符合《中华人民共和国质量法》质量标准，如产品质量未达到所设定的质量标准或违反《中华人民共和国质量法》中的规定，乙方接受无条件停止售卖。给甲方造成的经济损失，将由乙方承担一切相关赔偿责任。</w:t>
      </w:r>
    </w:p>
    <w:p>
      <w:pPr>
        <w:numPr>
          <w:ilvl w:val="0"/>
          <w:numId w:val="55"/>
        </w:numPr>
        <w:adjustRightInd w:val="0"/>
        <w:snapToGrid w:val="0"/>
        <w:spacing w:line="360" w:lineRule="auto"/>
        <w:rPr>
          <w:rFonts w:ascii="宋体" w:hAnsi="宋体" w:cs="宋体"/>
          <w:szCs w:val="21"/>
          <w:highlight w:val="none"/>
        </w:rPr>
      </w:pPr>
      <w:r>
        <w:rPr>
          <w:rFonts w:hint="eastAsia" w:ascii="宋体" w:hAnsi="宋体" w:cs="宋体"/>
          <w:szCs w:val="21"/>
          <w:highlight w:val="none"/>
        </w:rPr>
        <w:t>为了维护甲方的声誉及店客的利益，乙方必须无条件保证供应的原料绝对符合国家食品卫生条例的要求，如因卫生、质量问题导致店客和甲方受到经济损失，由乙方负责，甲方可因后果严重程度要求乙方进行赔偿。如情节严重，甲方有权终止合同，乙方必须支付5000元（大写：人民币伍仟元整）的违约金及承担一切法律责任。</w:t>
      </w:r>
    </w:p>
    <w:p>
      <w:pPr>
        <w:numPr>
          <w:ilvl w:val="0"/>
          <w:numId w:val="55"/>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供应的食品必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pPr>
        <w:numPr>
          <w:ilvl w:val="0"/>
          <w:numId w:val="55"/>
        </w:numPr>
        <w:adjustRightInd w:val="0"/>
        <w:snapToGrid w:val="0"/>
        <w:spacing w:line="360" w:lineRule="auto"/>
        <w:rPr>
          <w:rFonts w:ascii="宋体" w:hAnsi="宋体" w:cs="宋体"/>
          <w:szCs w:val="21"/>
          <w:highlight w:val="none"/>
        </w:rPr>
      </w:pPr>
      <w:r>
        <w:rPr>
          <w:rFonts w:hint="eastAsia" w:ascii="宋体" w:hAnsi="宋体" w:cs="宋体"/>
          <w:szCs w:val="21"/>
          <w:highlight w:val="none"/>
        </w:rPr>
        <w:t>食品包装必须符合国家规范。采购的食品不得存放在有害、有毒的容器内。食品包装上必须使用原产地标识，应注明：制造商名称和厂址、食品名称和重（容）量、生产日期和保质期限以及规格和SC食品生产许可证编号等。</w:t>
      </w:r>
    </w:p>
    <w:p>
      <w:pPr>
        <w:numPr>
          <w:ilvl w:val="0"/>
          <w:numId w:val="55"/>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应充分理解并认真遵循本招标文件的要求，所提供的食品必须是满足招标文件要求。保证所提供的食品均为检验合格、无毒、诚实、无辐射、无侵权的食品，符合国家有关卫生、质量、包装和保质标准，有使用有效期的食品。</w:t>
      </w:r>
    </w:p>
    <w:p>
      <w:pPr>
        <w:numPr>
          <w:ilvl w:val="0"/>
          <w:numId w:val="55"/>
        </w:numPr>
        <w:adjustRightInd w:val="0"/>
        <w:snapToGrid w:val="0"/>
        <w:spacing w:line="360" w:lineRule="auto"/>
        <w:rPr>
          <w:rFonts w:ascii="宋体" w:hAnsi="宋体" w:cs="宋体"/>
          <w:szCs w:val="21"/>
          <w:highlight w:val="none"/>
        </w:rPr>
      </w:pPr>
      <w:r>
        <w:rPr>
          <w:rFonts w:hint="eastAsia" w:ascii="宋体" w:hAnsi="宋体" w:cs="宋体"/>
          <w:szCs w:val="21"/>
          <w:highlight w:val="none"/>
        </w:rPr>
        <w:t>食品有包装的，食品的包装必须完整清洁（无损、无污、无皱），甲方有权拒收包装不整齐、已拆封的商品。</w:t>
      </w:r>
    </w:p>
    <w:p>
      <w:pPr>
        <w:numPr>
          <w:ilvl w:val="0"/>
          <w:numId w:val="55"/>
        </w:numPr>
        <w:adjustRightInd w:val="0"/>
        <w:snapToGrid w:val="0"/>
        <w:spacing w:line="360" w:lineRule="auto"/>
        <w:rPr>
          <w:rFonts w:ascii="宋体" w:hAnsi="宋体" w:cs="宋体"/>
          <w:szCs w:val="21"/>
          <w:highlight w:val="none"/>
        </w:rPr>
      </w:pPr>
      <w:r>
        <w:rPr>
          <w:rFonts w:hint="eastAsia" w:ascii="宋体" w:hAnsi="宋体" w:cs="宋体"/>
          <w:szCs w:val="21"/>
          <w:highlight w:val="none"/>
        </w:rPr>
        <w:t>甲方发现食品出现损坏（包括表面损坏），或出现水渍、串味等导致食品性质改变的，乙方必须无条件退货或更换食品。</w:t>
      </w:r>
    </w:p>
    <w:p>
      <w:pPr>
        <w:numPr>
          <w:ilvl w:val="0"/>
          <w:numId w:val="55"/>
        </w:numPr>
        <w:adjustRightInd w:val="0"/>
        <w:snapToGrid w:val="0"/>
        <w:spacing w:line="360" w:lineRule="auto"/>
        <w:rPr>
          <w:rFonts w:ascii="宋体" w:hAnsi="宋体" w:cs="宋体"/>
          <w:szCs w:val="21"/>
          <w:highlight w:val="none"/>
        </w:rPr>
      </w:pPr>
      <w:r>
        <w:rPr>
          <w:rFonts w:hint="eastAsia" w:ascii="宋体" w:hAnsi="宋体" w:cs="宋体"/>
          <w:szCs w:val="21"/>
          <w:highlight w:val="none"/>
        </w:rPr>
        <w:t>对不符合采购要求的食品由验收人员提出清退，退货前应实行留板备案，如双方对质量争议可送国家质监部门检测。对缺斤短两（或含水量超标）的应按实际重量扣减。</w:t>
      </w:r>
    </w:p>
    <w:p>
      <w:pPr>
        <w:numPr>
          <w:ilvl w:val="0"/>
          <w:numId w:val="54"/>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供货范围：根据甲方实际需要，提供市场上各类餐调料、蛋奶、粮油类产品，要求乙方供货不低于甲方要求的货物档次（可以更优的同类产品，经甲方确认后进行替换。）。</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货物配送及车辆要求</w:t>
      </w:r>
    </w:p>
    <w:p>
      <w:pPr>
        <w:numPr>
          <w:ilvl w:val="0"/>
          <w:numId w:val="56"/>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食品运输必须采用符合卫生标准的外包装和运载工具，并且要保持清洁和定期消毒。运输车厢的内仓，包括地面、墙面和顶，应使用抗腐蚀、防潮，易清洁消毒的材料。车厢内无不良气味、异味。</w:t>
      </w:r>
    </w:p>
    <w:p>
      <w:pPr>
        <w:numPr>
          <w:ilvl w:val="0"/>
          <w:numId w:val="56"/>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对于长途运输的食品，保证食品在运输全过程处于合适的温度范围。整个运输过程应科学合理，运输车辆应定期清洁，保持性能稳定，符合规定的温度要求，使运输食品处于恒定的环境中。</w:t>
      </w:r>
    </w:p>
    <w:p>
      <w:pPr>
        <w:numPr>
          <w:ilvl w:val="0"/>
          <w:numId w:val="56"/>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送货车辆应保持清洁；食品堆放科学合理，避免造成食品的交叉污染；如对温度有要求的食品应确定食品的温度，记录送货车辆温度，并记录存档。</w:t>
      </w:r>
    </w:p>
    <w:p>
      <w:pPr>
        <w:numPr>
          <w:ilvl w:val="0"/>
          <w:numId w:val="56"/>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乙方在组织货物供应过程中所产生的运输费、搬运费、税金等一切费用由乙方承担，到达甲方指定交货地点时，乙方负责卸货并将对应货物送至甲方指定的部门。</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溯源标准及要求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为做到“来源可追溯、去向可查证”的目的，从源头上治理酒店的食品隐患。乙方要严格按照“溯源标准”提供票证，做到货到票证到。验收中无票证、货与票证不相符的以及要素不全的，甲方有权拒收。票证需一式两份，甲方和乙方各保留一份，以便日后抽查工作。参加投标的配送（食品流通）单位溯源的标准如下：</w:t>
      </w:r>
    </w:p>
    <w:p>
      <w:pPr>
        <w:numPr>
          <w:ilvl w:val="0"/>
          <w:numId w:val="57"/>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生产（供应）企业的资质证明：（首次供应时提供）：有效的《食品生产许可证》或《食品经营许可证》及《企业法人营业执照》副本；</w:t>
      </w:r>
    </w:p>
    <w:p>
      <w:pPr>
        <w:numPr>
          <w:ilvl w:val="0"/>
          <w:numId w:val="57"/>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产品票证要求：每批次产品提供《产品合格证》，每次供货票据（供货发票与送货清单）应当包括供货方名称、产品名称、产品数量、送货或购买日期等内容；进口食品需同时提供指定规格的中文进出口食品标签。</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食品验收</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做好卸货前的检查。甲方和乙方双方的验收人员在卸货前应对场地和验收设备做好准备，并对商品的外观质量进行初步了解。</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采取现场验收的方式，验收人员应认真检查物资的质量，按索票、验证—抽查—过磅（清点）—入库的程序完成验收，乙方可提供原件的，由甲方保留原件，原件只有一份而无法提供给甲方的，查验原件后甲方索取复印件留存。</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每批次每种货物均抽查验收。</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按前附产品质量描述对货物质量进行抽查。</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发现食品安全质量问题的处理：</w:t>
      </w:r>
    </w:p>
    <w:p>
      <w:pPr>
        <w:numPr>
          <w:ilvl w:val="0"/>
          <w:numId w:val="59"/>
        </w:numPr>
        <w:adjustRightInd w:val="0"/>
        <w:snapToGrid w:val="0"/>
        <w:spacing w:line="360" w:lineRule="auto"/>
        <w:rPr>
          <w:rFonts w:ascii="宋体" w:hAnsi="宋体" w:cs="宋体"/>
          <w:szCs w:val="21"/>
          <w:highlight w:val="none"/>
        </w:rPr>
      </w:pPr>
      <w:r>
        <w:rPr>
          <w:rFonts w:hint="eastAsia" w:ascii="宋体" w:hAnsi="宋体" w:cs="宋体"/>
          <w:szCs w:val="21"/>
          <w:highlight w:val="none"/>
        </w:rPr>
        <w:t>对危及人身安全的食品质量问题采取零容忍措施，乙方提供假冒伪劣、过期、变质的、有毒食品的，一经发现，当日所送同批次产品全部退货。</w:t>
      </w:r>
    </w:p>
    <w:p>
      <w:pPr>
        <w:numPr>
          <w:ilvl w:val="0"/>
          <w:numId w:val="59"/>
        </w:numPr>
        <w:adjustRightInd w:val="0"/>
        <w:snapToGrid w:val="0"/>
        <w:spacing w:line="360" w:lineRule="auto"/>
        <w:rPr>
          <w:rFonts w:ascii="宋体" w:hAnsi="宋体" w:cs="宋体"/>
          <w:szCs w:val="21"/>
          <w:highlight w:val="none"/>
        </w:rPr>
      </w:pPr>
      <w:r>
        <w:rPr>
          <w:rFonts w:hint="eastAsia" w:ascii="宋体" w:hAnsi="宋体" w:cs="宋体"/>
          <w:szCs w:val="21"/>
          <w:highlight w:val="none"/>
        </w:rPr>
        <w:t>若抽查未发现问题，而在加工食用前发现部分产品质量问题，应立即通知甲方伙食物资验收小组及乙方，将问题产品退货处理。</w:t>
      </w:r>
    </w:p>
    <w:p>
      <w:pPr>
        <w:numPr>
          <w:ilvl w:val="0"/>
          <w:numId w:val="59"/>
        </w:numPr>
        <w:adjustRightInd w:val="0"/>
        <w:snapToGrid w:val="0"/>
        <w:spacing w:line="360" w:lineRule="auto"/>
        <w:rPr>
          <w:rFonts w:ascii="宋体" w:hAnsi="宋体" w:cs="宋体"/>
          <w:highlight w:val="none"/>
        </w:rPr>
      </w:pPr>
      <w:r>
        <w:rPr>
          <w:rFonts w:hint="eastAsia" w:ascii="宋体" w:hAnsi="宋体" w:cs="宋体"/>
          <w:szCs w:val="21"/>
          <w:highlight w:val="none"/>
        </w:rPr>
        <w:t>甲方退货后将记录在案，乙方除要承担因此产生的一切损失和费用外，还应向甲方支付5000元（大写：人民币伍仟元整）的违约金及</w:t>
      </w:r>
      <w:r>
        <w:rPr>
          <w:rFonts w:hint="eastAsia" w:ascii="宋体" w:hAnsi="宋体" w:cs="宋体"/>
          <w:highlight w:val="none"/>
        </w:rPr>
        <w:t>承担一切法律责任；同时甲方有权终止合同或取消该乙方供货资格。</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整批产品无或缺少《溯源标准及要求》中提及的相应票证的全部退货。</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退（补）货流程：对不符合采购要求的食品由验收人员提出清退，如双方对质量或重量有争议的可送具有检验资质的部门检测，同时留样备检，对数量不足或退货的，乙方以不影响甲方日常经营为前提尽快补送。</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货物的质量问题争议及解决办法：因货物的质量问题发生争议，由佛山市质量技术监督局或国家法定的质量鉴定单位进行质量鉴定。货物符合质量标准的，鉴定费由甲方承担；货物不符合质量标准的，鉴定费由乙方承担，并且甲方有权追究乙方的相关法律责任，乙方同时承担违约责任。</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验收记录：对每次验收的物资均记录物资名称、数量、验收情况等事项，并由送货人签名确认。</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不能按核定的供货价交付某些商品、不能提供与其承诺相符的服务或乙方存在违反招标文件和合同的行为，乙方出现下列违约行为时，承担相关法律责任及违约责任，同时向甲方支付5000元（大写：人民币伍仟元整）的违约金。甲方有权取消其供货资格或终止协议。此项下违约行为包括但不限于下列各项：</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乙方不得将中标项目转让或分包给他人；</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乙方在收到甲方订货要求后，在承诺的供货时间内不能供货或不能如数供货的；</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乙方有私自更改菜单中食品的；</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乙方未能提供承诺的服务的；</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食品在保质期出现损坏的，乙方未能提供免费替换服务的；</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乙方的送货单没有详细注明商品的品牌、品种、单价、数量，送货单出现涂改，标记不清的情况的；</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乙方泄露甲方的商业秘密，泄密造成甲方损失的； </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出现乙方哄抬物价现象的；</w:t>
      </w:r>
    </w:p>
    <w:p>
      <w:pPr>
        <w:numPr>
          <w:ilvl w:val="0"/>
          <w:numId w:val="60"/>
        </w:numPr>
        <w:adjustRightInd w:val="0"/>
        <w:snapToGrid w:val="0"/>
        <w:spacing w:line="360" w:lineRule="auto"/>
        <w:rPr>
          <w:rFonts w:ascii="宋体" w:hAnsi="宋体" w:cs="宋体"/>
          <w:szCs w:val="21"/>
          <w:highlight w:val="none"/>
        </w:rPr>
      </w:pPr>
      <w:r>
        <w:rPr>
          <w:rFonts w:hint="eastAsia" w:ascii="宋体" w:hAnsi="宋体" w:cs="宋体"/>
          <w:szCs w:val="21"/>
          <w:highlight w:val="none"/>
        </w:rPr>
        <w:t>向酒店主管人员或验收货人进行物质、金钱行贿的。</w:t>
      </w:r>
    </w:p>
    <w:p>
      <w:pPr>
        <w:numPr>
          <w:ilvl w:val="0"/>
          <w:numId w:val="58"/>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乙方应严格遵守食品安全法等相关规定，一经发现供应以下食品，除全部退货外，甲方有权终止协议或取消乙方的供货资格，乙方应承担由此造成的经济责任和法律责任：</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用非食品原料生产的食品或添加食品添加剂以外的化学物质和其他可能危害人体健康物质的食品，或者用回收食品作为原料生产的食品。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检测发现致病性微生物、农药残留、兽药残留、重金属、污染物质以及其他危害人体健康的物质含量超过食品安全标准限量的食品。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营养成分不符合食品安全标准限量的乳制品。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腐败变质、油脂酸败、霉变生虫、污秽不洁、混有异物、参假掺杂或者感官性状异常的食品。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病死、毒死或者死因不明的禽、畜、兽、水产动物肉类及其制品。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未经卫生监督机构检疫或者检疫不合格的食品，或者未经检验或者检验不合格的肉类制品。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被包装材料、容器、运输工具等污染的食品。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超过保质期的食品。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无标签的预包装食品。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国家为防病等特殊需要明令禁止生产经营的食品。</w:t>
      </w:r>
    </w:p>
    <w:p>
      <w:pPr>
        <w:numPr>
          <w:ilvl w:val="0"/>
          <w:numId w:val="61"/>
        </w:numPr>
        <w:adjustRightInd w:val="0"/>
        <w:snapToGrid w:val="0"/>
        <w:spacing w:line="360" w:lineRule="auto"/>
        <w:rPr>
          <w:rFonts w:ascii="宋体" w:hAnsi="宋体" w:cs="宋体"/>
          <w:szCs w:val="21"/>
          <w:highlight w:val="none"/>
        </w:rPr>
      </w:pPr>
      <w:r>
        <w:rPr>
          <w:rFonts w:hint="eastAsia" w:ascii="宋体" w:hAnsi="宋体" w:cs="宋体"/>
          <w:szCs w:val="21"/>
          <w:highlight w:val="none"/>
        </w:rPr>
        <w:t>其他不符合食品安全标准或者要求的食品。</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服务要求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酒店库存控制在酒店的采购、供应、生产和销售的各环节中，起着重要的平衡作用。加强这一环节的控制，不但对减少物资积压、浪费、压缩资金占用、降低发出物资差错损失、减少费用支出尤为重要,所有采购的物品应以该物品的最小包装为计量单位，用于甲方下单。</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为降低酒店库存，原则上每天供两次货，甲方临时加单的，乙方必须配合，在1小时内完成供货。</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供货商品保质期已过</w:t>
      </w:r>
      <w:r>
        <w:rPr>
          <w:rFonts w:hint="default" w:ascii="宋体" w:hAnsi="宋体" w:cs="宋体"/>
          <w:szCs w:val="21"/>
          <w:highlight w:val="none"/>
        </w:rPr>
        <w:t>20%</w:t>
      </w:r>
      <w:r>
        <w:rPr>
          <w:rFonts w:hint="eastAsia" w:ascii="宋体" w:hAnsi="宋体" w:cs="宋体"/>
          <w:szCs w:val="21"/>
          <w:highlight w:val="none"/>
        </w:rPr>
        <w:t>，甲方可不予收货。</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甲方提前一天以邮件、传真或电话的方式向乙方下订单，订单内容包括所要采购的名称、规格、数量等，乙方接到订单通知后必须在1小时内响应。</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在甲方未签收之前，食品的所有权和风险属于乙方，食品发生遗失、损坏由乙方负责。</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乙方根据甲方实际要求运送货物，按甲方要求进行加工。</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乙方必须在甲方指定时间内将甲方所订购的食品材料送至甲方指定的地点。若甲方临时修改订单内容的，乙方必须在接到通知后的60分钟内将食品材料送达，经甲方工作人员验收核对后才算完成。</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乙方应当根据甲方实际情况，按与甲方的约定，在规定的时间内将规定的食品数量送到指定地点。除客观不可抗力外，乙方不得推迟送货。如确需延迟送货的，乙方应在得知情况的同时告知甲方并征得甲方同意。</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每次送货，乙方必须安排不少于2个专职送货员及不少于1辆专车负责送货。负责货物的运输、过秤，并协助甲方验收货物，食品的品种和重量以甲方验收的结果为准。</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送货车辆必须在酒店登记备案，并在车身上标识清楚送货单位名称。</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送货车进入酒店区域后车速不得超过5KM，送货车辆应主动避让行人，如属乙方车辆责任造成酒店内人员事故的，一切责任由乙方承担。</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乙方指定的送货专员必须具有健康证、穿着便于辨认的工衣和配戴胸卡，送货专员在酒店范围内活动必须严格遵守酒店的各项规章制度，不得做出有损甲方形象和利益的事情。</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乙方必须严格按照甲方的指令配送商品的数量，不得随意增减数量，否则，甲方有权拒收。如因市场流通问题确实需要变更的，应事先书面申请，并经甲方同意后方可变更。</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乙方不得擅自变更供应商品（含商标、名称、产地、包装、规格和重量等），并严格按甲方要求供应，否则，甲方有权拒收。如因市场流通问题确实需要变更的，应事先书面申请，并经甲方同意后方可改变。</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除客观不可抗力外，乙方不得更改送货内容。如确需变更供货内容的，乙方应在得知情况的同时告知甲方并征得甲方同意。</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乙方的送货单必须详细注明商品的品牌、型号、单价、数量、送货单不得涂改。标记不清的，甲方将拒绝签收。结算期末乙方还应提供送货清单供甲方结算。</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乙方不得泄露甲方的商业秘密。若违反此义务，乙方应赔偿甲方遭受的一切损失，同时还应向甲方支付5000元（大写：人民币伍仟元整）的违约金。</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如物品非因甲方人为而出现质量问题由乙方包换或包退，所造成的经济损失由乙方负责。</w:t>
      </w:r>
    </w:p>
    <w:p>
      <w:pPr>
        <w:numPr>
          <w:ilvl w:val="0"/>
          <w:numId w:val="62"/>
        </w:numPr>
        <w:adjustRightInd w:val="0"/>
        <w:snapToGrid w:val="0"/>
        <w:spacing w:line="360" w:lineRule="auto"/>
        <w:ind w:firstLine="0"/>
        <w:rPr>
          <w:rFonts w:ascii="宋体" w:hAnsi="宋体" w:cs="宋体"/>
          <w:szCs w:val="21"/>
          <w:highlight w:val="none"/>
        </w:rPr>
      </w:pPr>
      <w:r>
        <w:rPr>
          <w:rFonts w:hint="eastAsia" w:ascii="宋体" w:hAnsi="宋体" w:cs="宋体"/>
          <w:szCs w:val="21"/>
          <w:highlight w:val="none"/>
        </w:rPr>
        <w:t>乙方应能够配合甲方及时更新所提供的符合卫监部门的有效证明材料。如有效的营业执照、产品合格证、食品经营许可证等。</w:t>
      </w:r>
    </w:p>
    <w:p>
      <w:pPr>
        <w:numPr>
          <w:ilvl w:val="0"/>
          <w:numId w:val="50"/>
        </w:numPr>
        <w:adjustRightInd w:val="0"/>
        <w:snapToGrid w:val="0"/>
        <w:spacing w:line="360" w:lineRule="auto"/>
        <w:ind w:firstLine="0"/>
        <w:rPr>
          <w:b/>
          <w:bCs/>
          <w:highlight w:val="none"/>
        </w:rPr>
      </w:pPr>
      <w:r>
        <w:rPr>
          <w:rFonts w:hint="eastAsia"/>
          <w:b/>
          <w:bCs/>
          <w:highlight w:val="none"/>
        </w:rPr>
        <w:t>考核标准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以下考核细则仅供参考，具体考核细则将由甲方根据实际情况制定，甲方对考核细则保持最终修改权和解释权。以下考核细则是甲方对乙方进行抽查考核的内容，若乙方的考核分数低于90分的，半年内累计达到2次的，甲方有权取消该乙方的供货资格或终止协议。</w:t>
      </w:r>
    </w:p>
    <w:tbl>
      <w:tblPr>
        <w:tblStyle w:val="25"/>
        <w:tblW w:w="86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7"/>
        <w:gridCol w:w="720"/>
        <w:gridCol w:w="4847"/>
        <w:gridCol w:w="567"/>
        <w:gridCol w:w="17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0" w:type="dxa"/>
            <w:gridSpan w:val="5"/>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考核细则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7"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项类</w:t>
            </w:r>
          </w:p>
        </w:tc>
        <w:tc>
          <w:tcPr>
            <w:tcW w:w="720"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序号</w:t>
            </w:r>
          </w:p>
        </w:tc>
        <w:tc>
          <w:tcPr>
            <w:tcW w:w="4847"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评分细则</w:t>
            </w:r>
          </w:p>
        </w:tc>
        <w:tc>
          <w:tcPr>
            <w:tcW w:w="567"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扣分</w:t>
            </w:r>
          </w:p>
        </w:tc>
        <w:tc>
          <w:tcPr>
            <w:tcW w:w="1749" w:type="dxa"/>
            <w:tcBorders>
              <w:tl2br w:val="nil"/>
              <w:tr2bl w:val="nil"/>
            </w:tcBorders>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restart"/>
            <w:tcBorders>
              <w:tl2br w:val="nil"/>
              <w:tr2bl w:val="nil"/>
            </w:tcBorders>
            <w:vAlign w:val="center"/>
          </w:tcPr>
          <w:p>
            <w:pPr>
              <w:jc w:val="center"/>
              <w:rPr>
                <w:rFonts w:ascii="宋体" w:hAnsi="宋体" w:cs="宋体"/>
                <w:szCs w:val="21"/>
                <w:highlight w:val="none"/>
              </w:rPr>
            </w:pPr>
            <w:r>
              <w:rPr>
                <w:rFonts w:hint="eastAsia" w:ascii="宋体" w:hAnsi="宋体" w:cs="宋体"/>
                <w:szCs w:val="21"/>
                <w:highlight w:val="none"/>
              </w:rPr>
              <w:t>配送要求</w:t>
            </w:r>
          </w:p>
        </w:tc>
        <w:tc>
          <w:tcPr>
            <w:tcW w:w="720" w:type="dxa"/>
            <w:tcBorders>
              <w:tl2br w:val="nil"/>
              <w:tr2bl w:val="nil"/>
            </w:tcBorders>
            <w:vAlign w:val="center"/>
          </w:tcPr>
          <w:p>
            <w:pPr>
              <w:numPr>
                <w:ilvl w:val="0"/>
                <w:numId w:val="63"/>
              </w:numPr>
              <w:ind w:left="0"/>
              <w:jc w:val="right"/>
              <w:rPr>
                <w:rFonts w:ascii="宋体" w:hAnsi="宋体" w:cs="宋体"/>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配送车辆、实际运输不符合招标文件及合同约定的，每次扣2分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在协议供货期，未在规定时间内完成配送、供货，每次扣3分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实际配送货物的品种、数量应与订购清单一致，实际配送货物少于订购数量且不能及时补充的，或实际配送货物超出订购数量要求且被甲方拒收的情况，每次扣1分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送货单没有详细注明商品的品牌、品种、单价、数量，送货单出现涂改，标记不清的情况的，每次扣2分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实际配送的货物与订购货物种类、质量不符，未能及时更换的，甲方有权拒收，每次扣10分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人员没有出示健康证，没有穿着工衣和配戴胸卡的，每次扣3分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749" w:type="dxa"/>
            <w:tcBorders>
              <w:tl2br w:val="nil"/>
              <w:tr2bl w:val="nil"/>
            </w:tcBorders>
            <w:vAlign w:val="center"/>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质量要求</w:t>
            </w: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相应批次的货物未能提供对应合格检验证明的，每次扣8分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食品质量不符合要求，出现质量问题或造成食物中毒等，每次扣15分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乙方应承担由此造成的全部法律责任及经济损失赔偿（主要包括但不限于食物中毒人员医疗费、误工费、事故处理费等）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滥用或过量使用食品添加剂、发现使用劣质原料、抗生素、激素等有害物质，每次扣8分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货物品质与招标文件不符，并未能及时补充的，每次扣3分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安全生产管理要求</w:t>
            </w: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没有建立、健全本单位安全生产责任制，制定安全生产规章制度和操作规程，或违反制度操作的，每次扣5分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没有相关应急预案的，每次扣5分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造成重大事故或有重大事故不配合处理的，每次扣10分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未按要求及时、如实报告生产安全事故，每次扣10分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提供资料弄虚作假的，每次扣5分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纪律要求</w:t>
            </w: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出现乙方有联手哄抬物价现象的，一经查实，一经发现扣10分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向酒店主管人员或验收货人进行物质、金钱行贿，一经核实扣10分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77" w:type="dxa"/>
            <w:vMerge w:val="restart"/>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满意度要求</w:t>
            </w: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被用户投诉，情况属实的，每宗扣2分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7" w:type="dxa"/>
            <w:vMerge w:val="continue"/>
            <w:tcBorders>
              <w:tl2br w:val="nil"/>
              <w:tr2bl w:val="nil"/>
            </w:tcBorders>
            <w:vAlign w:val="center"/>
          </w:tcPr>
          <w:p>
            <w:pPr>
              <w:jc w:val="center"/>
              <w:rPr>
                <w:rFonts w:asciiTheme="minorEastAsia" w:hAnsiTheme="minorEastAsia" w:eastAsiaTheme="minorEastAsia" w:cstheme="minorEastAsia"/>
                <w:szCs w:val="21"/>
                <w:highlight w:val="none"/>
              </w:rPr>
            </w:pP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被媒体负面曝光的，每宗扣15分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7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w:t>
            </w:r>
          </w:p>
        </w:tc>
        <w:tc>
          <w:tcPr>
            <w:tcW w:w="720" w:type="dxa"/>
            <w:tcBorders>
              <w:tl2br w:val="nil"/>
              <w:tr2bl w:val="nil"/>
            </w:tcBorders>
            <w:vAlign w:val="center"/>
          </w:tcPr>
          <w:p>
            <w:pPr>
              <w:numPr>
                <w:ilvl w:val="0"/>
                <w:numId w:val="63"/>
              </w:numPr>
              <w:ind w:left="0"/>
              <w:jc w:val="right"/>
              <w:rPr>
                <w:rFonts w:asciiTheme="minorEastAsia" w:hAnsiTheme="minorEastAsia" w:eastAsiaTheme="minorEastAsia" w:cstheme="minorEastAsia"/>
                <w:szCs w:val="21"/>
                <w:highlight w:val="none"/>
              </w:rPr>
            </w:pPr>
          </w:p>
        </w:tc>
        <w:tc>
          <w:tcPr>
            <w:tcW w:w="4847" w:type="dxa"/>
            <w:tcBorders>
              <w:tl2br w:val="nil"/>
              <w:tr2bl w:val="nil"/>
            </w:tcBorders>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有违反招标文件及合同规定的其它违约事件的，每发现1次，需按违约性质并结合上述违约类别，每次扣5分</w:t>
            </w:r>
          </w:p>
        </w:tc>
        <w:tc>
          <w:tcPr>
            <w:tcW w:w="567" w:type="dxa"/>
            <w:tcBorders>
              <w:tl2br w:val="nil"/>
              <w:tr2bl w:val="nil"/>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749" w:type="dxa"/>
            <w:tcBorders>
              <w:tl2br w:val="nil"/>
              <w:tr2bl w:val="nil"/>
            </w:tcBorders>
          </w:tcPr>
          <w:p>
            <w:pPr>
              <w:jc w:val="center"/>
              <w:rPr>
                <w:rFonts w:asciiTheme="minorEastAsia" w:hAnsiTheme="minorEastAsia" w:eastAsiaTheme="minorEastAsia" w:cstheme="minorEastAsia"/>
                <w:szCs w:val="21"/>
                <w:highlight w:val="none"/>
              </w:rPr>
            </w:pPr>
          </w:p>
        </w:tc>
      </w:tr>
    </w:tbl>
    <w:p>
      <w:pPr>
        <w:numPr>
          <w:ilvl w:val="0"/>
          <w:numId w:val="50"/>
        </w:numPr>
        <w:adjustRightInd w:val="0"/>
        <w:snapToGrid w:val="0"/>
        <w:spacing w:line="360" w:lineRule="auto"/>
        <w:ind w:firstLine="0"/>
        <w:rPr>
          <w:b/>
          <w:bCs/>
          <w:highlight w:val="none"/>
        </w:rPr>
      </w:pPr>
      <w:r>
        <w:rPr>
          <w:rFonts w:hint="eastAsia"/>
          <w:b/>
          <w:bCs/>
          <w:highlight w:val="none"/>
        </w:rPr>
        <w:t>服务期限及服务地点</w:t>
      </w:r>
    </w:p>
    <w:p>
      <w:pPr>
        <w:numPr>
          <w:ilvl w:val="0"/>
          <w:numId w:val="64"/>
        </w:numPr>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服务期限：</w:t>
      </w:r>
      <w:r>
        <w:rPr>
          <w:rFonts w:hint="eastAsia" w:ascii="宋体" w:hAnsi="宋体" w:cs="宋体"/>
          <w:szCs w:val="21"/>
          <w:highlight w:val="none"/>
          <w:lang w:eastAsia="zh-CN"/>
        </w:rPr>
        <w:t>自合同签订之日起36个月</w:t>
      </w:r>
      <w:r>
        <w:rPr>
          <w:rFonts w:hint="eastAsia" w:ascii="宋体" w:hAnsi="宋体" w:cs="宋体"/>
          <w:kern w:val="0"/>
          <w:szCs w:val="21"/>
          <w:highlight w:val="none"/>
        </w:rPr>
        <w:t>。</w:t>
      </w:r>
      <w:r>
        <w:rPr>
          <w:rFonts w:hint="eastAsia" w:ascii="宋体" w:hAnsi="宋体" w:cs="宋体"/>
          <w:kern w:val="0"/>
          <w:szCs w:val="21"/>
          <w:highlight w:val="none"/>
          <w:lang w:val="en-US" w:eastAsia="zh-Hans"/>
        </w:rPr>
        <w:t>若乙方存在违约行为，甲方有权随时解除合同</w:t>
      </w:r>
    </w:p>
    <w:p>
      <w:pPr>
        <w:numPr>
          <w:ilvl w:val="0"/>
          <w:numId w:val="64"/>
        </w:numPr>
        <w:adjustRightInd w:val="0"/>
        <w:snapToGrid w:val="0"/>
        <w:spacing w:line="360" w:lineRule="auto"/>
        <w:rPr>
          <w:rFonts w:ascii="宋体" w:hAnsi="宋体" w:cs="宋体"/>
          <w:kern w:val="0"/>
          <w:szCs w:val="21"/>
          <w:highlight w:val="none"/>
        </w:rPr>
      </w:pPr>
      <w:r>
        <w:rPr>
          <w:rFonts w:hint="eastAsia" w:ascii="宋体" w:hAnsi="宋体" w:cs="宋体"/>
          <w:kern w:val="0"/>
          <w:szCs w:val="21"/>
          <w:highlight w:val="none"/>
        </w:rPr>
        <w:t>服务地点：甲方指定地点。</w:t>
      </w:r>
    </w:p>
    <w:p>
      <w:pPr>
        <w:numPr>
          <w:ilvl w:val="0"/>
          <w:numId w:val="50"/>
        </w:numPr>
        <w:adjustRightInd w:val="0"/>
        <w:snapToGrid w:val="0"/>
        <w:spacing w:line="360" w:lineRule="auto"/>
        <w:ind w:firstLine="0"/>
        <w:rPr>
          <w:b/>
          <w:bCs/>
          <w:highlight w:val="none"/>
        </w:rPr>
      </w:pPr>
      <w:r>
        <w:rPr>
          <w:rFonts w:hint="eastAsia"/>
          <w:b/>
          <w:bCs/>
          <w:highlight w:val="none"/>
        </w:rPr>
        <w:t>合同下浮率</w:t>
      </w:r>
    </w:p>
    <w:p>
      <w:pPr>
        <w:numPr>
          <w:ilvl w:val="0"/>
          <w:numId w:val="65"/>
        </w:numPr>
        <w:adjustRightInd w:val="0"/>
        <w:snapToGrid w:val="0"/>
        <w:spacing w:line="360" w:lineRule="auto"/>
        <w:ind w:left="0" w:firstLine="0"/>
        <w:rPr>
          <w:rFonts w:ascii="宋体" w:hAnsi="宋体" w:cs="宋体"/>
          <w:highlight w:val="none"/>
        </w:rPr>
      </w:pPr>
      <w:r>
        <w:rPr>
          <w:rFonts w:hint="eastAsia" w:ascii="宋体" w:hAnsi="宋体" w:cs="宋体"/>
          <w:color w:val="000000"/>
          <w:szCs w:val="21"/>
          <w:highlight w:val="none"/>
        </w:rPr>
        <w:t>合同合同下浮率为（大写）：百分之_________（______%）</w:t>
      </w:r>
      <w:r>
        <w:rPr>
          <w:rFonts w:hint="eastAsia" w:ascii="宋体" w:hAnsi="宋体" w:cs="宋体"/>
          <w:highlight w:val="none"/>
        </w:rPr>
        <w:t>。</w:t>
      </w:r>
    </w:p>
    <w:p>
      <w:pPr>
        <w:numPr>
          <w:ilvl w:val="0"/>
          <w:numId w:val="65"/>
        </w:numPr>
        <w:adjustRightInd w:val="0"/>
        <w:snapToGrid w:val="0"/>
        <w:spacing w:line="360" w:lineRule="auto"/>
        <w:ind w:left="0" w:firstLine="0"/>
        <w:rPr>
          <w:rFonts w:ascii="宋体" w:hAnsi="宋体" w:cs="宋体"/>
          <w:highlight w:val="none"/>
        </w:rPr>
      </w:pPr>
      <w:r>
        <w:rPr>
          <w:rFonts w:hint="eastAsia" w:ascii="宋体" w:hAnsi="宋体" w:cs="宋体"/>
          <w:highlight w:val="none"/>
        </w:rPr>
        <w:t>本项目结算单价及合价必须为全包价，包括了货物、检验检疫费、质量检测费、配送运输费、包装费、装卸费、搬运费、不合格货物的退换费用、人工费（社保、节假日慰问金等）、运营、保险、验收、售后服务、税费、其他伴随服务费用及合同实施过程中的应预见和不可预见费用等完成本招标内容所需的一切费用。</w:t>
      </w:r>
    </w:p>
    <w:p>
      <w:pPr>
        <w:numPr>
          <w:ilvl w:val="0"/>
          <w:numId w:val="65"/>
        </w:numPr>
        <w:adjustRightInd w:val="0"/>
        <w:snapToGrid w:val="0"/>
        <w:spacing w:line="360" w:lineRule="auto"/>
        <w:rPr>
          <w:rFonts w:ascii="宋体" w:hAnsi="宋体" w:cs="宋体"/>
          <w:kern w:val="0"/>
          <w:szCs w:val="21"/>
          <w:highlight w:val="none"/>
        </w:rPr>
      </w:pPr>
      <w:r>
        <w:rPr>
          <w:rFonts w:hint="eastAsia" w:ascii="宋体" w:hAnsi="宋体" w:cs="宋体"/>
          <w:highlight w:val="none"/>
        </w:rPr>
        <w:t>结算公式：项目结算单价=采购部确定当月价格╳（1-合同下浮率）。</w:t>
      </w:r>
    </w:p>
    <w:p>
      <w:pPr>
        <w:numPr>
          <w:ilvl w:val="0"/>
          <w:numId w:val="50"/>
        </w:numPr>
        <w:adjustRightInd w:val="0"/>
        <w:snapToGrid w:val="0"/>
        <w:spacing w:line="360" w:lineRule="auto"/>
        <w:ind w:firstLine="0"/>
        <w:rPr>
          <w:b/>
          <w:bCs/>
          <w:highlight w:val="none"/>
        </w:rPr>
      </w:pPr>
      <w:r>
        <w:rPr>
          <w:rFonts w:hint="eastAsia"/>
          <w:b/>
          <w:bCs/>
          <w:highlight w:val="none"/>
        </w:rPr>
        <w:t>采购项目交货时间</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highlight w:val="none"/>
        </w:rPr>
        <w:t>服务期内，每天供货两次，除农历年初一之外，乙方必须在每天上午九点前完成第一次交货，下午两点前完成第二次供货。甲方临时加单的，乙方必须配合，在1小时内完成供货。</w:t>
      </w:r>
    </w:p>
    <w:p>
      <w:pPr>
        <w:numPr>
          <w:ilvl w:val="0"/>
          <w:numId w:val="50"/>
        </w:numPr>
        <w:adjustRightInd w:val="0"/>
        <w:snapToGrid w:val="0"/>
        <w:spacing w:line="360" w:lineRule="auto"/>
        <w:ind w:firstLine="0"/>
        <w:rPr>
          <w:b/>
          <w:bCs/>
          <w:highlight w:val="none"/>
        </w:rPr>
      </w:pPr>
      <w:r>
        <w:rPr>
          <w:rFonts w:hint="eastAsia"/>
          <w:b/>
          <w:bCs/>
          <w:highlight w:val="none"/>
        </w:rPr>
        <w:t>双方责任</w:t>
      </w:r>
    </w:p>
    <w:p>
      <w:pPr>
        <w:numPr>
          <w:ilvl w:val="0"/>
          <w:numId w:val="66"/>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甲方责任：向乙方提供所需的相关资料。</w:t>
      </w:r>
    </w:p>
    <w:p>
      <w:pPr>
        <w:numPr>
          <w:ilvl w:val="0"/>
          <w:numId w:val="66"/>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乙方责任：</w:t>
      </w:r>
    </w:p>
    <w:p>
      <w:pPr>
        <w:numPr>
          <w:ilvl w:val="0"/>
          <w:numId w:val="67"/>
        </w:numPr>
        <w:adjustRightInd w:val="0"/>
        <w:snapToGrid w:val="0"/>
        <w:spacing w:line="360" w:lineRule="auto"/>
        <w:rPr>
          <w:rFonts w:ascii="宋体" w:hAnsi="宋体" w:cs="宋体"/>
          <w:szCs w:val="21"/>
          <w:highlight w:val="none"/>
        </w:rPr>
      </w:pPr>
      <w:r>
        <w:rPr>
          <w:rFonts w:hint="eastAsia" w:ascii="宋体" w:hAnsi="宋体" w:cs="宋体"/>
          <w:szCs w:val="21"/>
          <w:highlight w:val="none"/>
        </w:rPr>
        <w:t>由乙方原因，造成验收时物品不合格的，由乙方承担违约责任。</w:t>
      </w:r>
    </w:p>
    <w:p>
      <w:pPr>
        <w:numPr>
          <w:ilvl w:val="0"/>
          <w:numId w:val="67"/>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乙方必须承担的食品安全责任。</w:t>
      </w:r>
    </w:p>
    <w:p>
      <w:pPr>
        <w:numPr>
          <w:ilvl w:val="0"/>
          <w:numId w:val="66"/>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违约责任：</w:t>
      </w:r>
    </w:p>
    <w:p>
      <w:pPr>
        <w:numPr>
          <w:ilvl w:val="0"/>
          <w:numId w:val="68"/>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乙方未能按双方要求供货批次的时间交付物品，则向甲方支付该批次货款总额30%的违约金。乙方连续三次逾期交货的，甲方有权终止合同。</w:t>
      </w:r>
    </w:p>
    <w:p>
      <w:pPr>
        <w:numPr>
          <w:ilvl w:val="0"/>
          <w:numId w:val="68"/>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乙方交付的物品不符合合同规定的，甲方有权拒收，乙方向甲方支付该批次货款总额10%的违约金。</w:t>
      </w:r>
    </w:p>
    <w:p>
      <w:pPr>
        <w:numPr>
          <w:ilvl w:val="0"/>
          <w:numId w:val="68"/>
        </w:numPr>
        <w:adjustRightInd w:val="0"/>
        <w:snapToGrid w:val="0"/>
        <w:spacing w:line="360" w:lineRule="auto"/>
        <w:rPr>
          <w:rFonts w:ascii="宋体" w:hAnsi="宋体" w:cs="宋体"/>
          <w:szCs w:val="21"/>
          <w:highlight w:val="none"/>
        </w:rPr>
      </w:pPr>
      <w:r>
        <w:rPr>
          <w:rFonts w:hint="eastAsia" w:ascii="宋体" w:hAnsi="宋体" w:cs="宋体"/>
          <w:szCs w:val="21"/>
          <w:highlight w:val="none"/>
        </w:rPr>
        <w:t>甲方无正当理由拒收物品，拒付货款的，甲方应向乙方偿付该批次货款总额5%的违约金。</w:t>
      </w:r>
    </w:p>
    <w:p>
      <w:pPr>
        <w:numPr>
          <w:ilvl w:val="0"/>
          <w:numId w:val="68"/>
        </w:numPr>
        <w:adjustRightInd w:val="0"/>
        <w:snapToGrid w:val="0"/>
        <w:spacing w:line="360" w:lineRule="auto"/>
        <w:rPr>
          <w:rFonts w:ascii="宋体" w:hAnsi="宋体" w:cs="宋体"/>
          <w:szCs w:val="21"/>
          <w:highlight w:val="none"/>
        </w:rPr>
      </w:pPr>
      <w:r>
        <w:rPr>
          <w:rFonts w:hint="eastAsia" w:ascii="宋体" w:hAnsi="宋体" w:cs="宋体"/>
          <w:szCs w:val="21"/>
          <w:highlight w:val="none"/>
        </w:rPr>
        <w:t>甲方超过合同约定的付款期限后的十五天仍不付款（由于乙方自身原因与责任除外，如未及时与甲方对账，未及时提供收货单及有效发票等），则每日按该批次应付未付款项的0.5‰向乙方偿付违约金。</w:t>
      </w:r>
    </w:p>
    <w:p>
      <w:pPr>
        <w:numPr>
          <w:ilvl w:val="0"/>
          <w:numId w:val="68"/>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乙方应保障在质量保证期内，完全符合招标文件内对质量的要求、检验标准等，如不符合要求则甲方有权利终止合同。</w:t>
      </w:r>
    </w:p>
    <w:p>
      <w:pPr>
        <w:numPr>
          <w:ilvl w:val="0"/>
          <w:numId w:val="68"/>
        </w:numPr>
        <w:adjustRightInd w:val="0"/>
        <w:snapToGrid w:val="0"/>
        <w:spacing w:line="360" w:lineRule="auto"/>
        <w:rPr>
          <w:rFonts w:ascii="宋体" w:hAnsi="宋体" w:cs="宋体"/>
          <w:szCs w:val="21"/>
          <w:highlight w:val="none"/>
        </w:rPr>
      </w:pPr>
      <w:r>
        <w:rPr>
          <w:rFonts w:hint="eastAsia" w:ascii="宋体" w:hAnsi="宋体" w:cs="宋体"/>
          <w:szCs w:val="21"/>
          <w:highlight w:val="none"/>
        </w:rPr>
        <w:t>乙方保证提供给甲方该批物品的任何一部分及各部分的总和，免受第三方的侵犯专利权、商标权或其他知识产权的起诉。如发生此类纠纷，由乙方承担一切责任。</w:t>
      </w:r>
    </w:p>
    <w:p>
      <w:pPr>
        <w:numPr>
          <w:ilvl w:val="0"/>
          <w:numId w:val="66"/>
        </w:numPr>
        <w:adjustRightInd w:val="0"/>
        <w:snapToGrid w:val="0"/>
        <w:spacing w:line="360" w:lineRule="auto"/>
        <w:ind w:left="0" w:firstLine="0"/>
        <w:rPr>
          <w:rFonts w:ascii="宋体" w:hAnsi="宋体" w:cs="宋体"/>
          <w:szCs w:val="21"/>
          <w:highlight w:val="none"/>
        </w:rPr>
      </w:pPr>
      <w:r>
        <w:rPr>
          <w:rFonts w:hint="eastAsia" w:ascii="宋体" w:hAnsi="宋体" w:cs="宋体"/>
          <w:szCs w:val="21"/>
          <w:highlight w:val="none"/>
        </w:rPr>
        <w:t>因甲方追究乙方违约责任所造成包括但不限于律师费、诉讼费、仲裁费、差旅费、保全费、公证费等损失的，概由乙方承担赔偿责任。</w:t>
      </w:r>
    </w:p>
    <w:p>
      <w:pPr>
        <w:numPr>
          <w:ilvl w:val="0"/>
          <w:numId w:val="66"/>
        </w:numPr>
        <w:adjustRightInd w:val="0"/>
        <w:snapToGrid w:val="0"/>
        <w:spacing w:line="360" w:lineRule="auto"/>
        <w:ind w:left="0" w:firstLine="0"/>
        <w:rPr>
          <w:highlight w:val="none"/>
        </w:rPr>
      </w:pPr>
      <w:r>
        <w:rPr>
          <w:rFonts w:hint="eastAsia" w:ascii="宋体" w:hAnsi="宋体" w:cs="宋体"/>
          <w:szCs w:val="21"/>
          <w:highlight w:val="none"/>
        </w:rPr>
        <w:t>其它违约责任按《中华人民共和国民法典》处理。</w:t>
      </w:r>
    </w:p>
    <w:p>
      <w:pPr>
        <w:numPr>
          <w:ilvl w:val="0"/>
          <w:numId w:val="50"/>
        </w:numPr>
        <w:adjustRightInd w:val="0"/>
        <w:snapToGrid w:val="0"/>
        <w:spacing w:line="360" w:lineRule="auto"/>
        <w:ind w:firstLine="0"/>
        <w:rPr>
          <w:b/>
          <w:bCs/>
          <w:highlight w:val="none"/>
        </w:rPr>
      </w:pPr>
      <w:r>
        <w:rPr>
          <w:rFonts w:hint="eastAsia"/>
          <w:b/>
          <w:bCs/>
          <w:highlight w:val="none"/>
        </w:rPr>
        <w:t>定价标准及结算方式</w:t>
      </w:r>
    </w:p>
    <w:p>
      <w:pPr>
        <w:numPr>
          <w:ilvl w:val="0"/>
          <w:numId w:val="69"/>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每月20日前后（遇节假日相应提前或延迟）由甲方的使用部门、采购部、财务部和纪检监察工作小组代表组成核价小组联合核查市场价格，报价单由采购部制定，由采购部负责按照核查价格与乙方确定下月的价格，由甲方使用部门负责人、采购员、纪检监察工作小组代表、采购负责人、财务负责人等在报价单上签名后生效。</w:t>
      </w:r>
    </w:p>
    <w:p>
      <w:pPr>
        <w:numPr>
          <w:ilvl w:val="0"/>
          <w:numId w:val="69"/>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餐饮物资每月的日常采购定价如遇核价小组无法确定的情况下，由采购部负责人请示采购领导小组确定。</w:t>
      </w:r>
    </w:p>
    <w:p>
      <w:pPr>
        <w:numPr>
          <w:ilvl w:val="0"/>
          <w:numId w:val="69"/>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餐饮用料由行政总厨及楼面负责人，根据当天经营情况，预测明天用量，填写每日物资需求计划表，在当天晚上规定时间前提交采购部。采购员按照计划内容通知乙方。</w:t>
      </w:r>
    </w:p>
    <w:p>
      <w:pPr>
        <w:numPr>
          <w:ilvl w:val="0"/>
          <w:numId w:val="69"/>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乙方交货时，由采购员、仓管员、使用部门人员共同验收，并签署验收单。</w:t>
      </w:r>
    </w:p>
    <w:p>
      <w:pPr>
        <w:numPr>
          <w:ilvl w:val="0"/>
          <w:numId w:val="69"/>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每月的结算金额＝（汇总各类供应品）当月每日的结算金额合计－当月考核扣除结算款。</w:t>
      </w:r>
    </w:p>
    <w:p>
      <w:pPr>
        <w:numPr>
          <w:ilvl w:val="0"/>
          <w:numId w:val="69"/>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交付货款：乙方按甲方要求完成上月供货后，于次月10日前凭国家正式增值税专用发票向甲方申请付款，甲方收到申请并经核对无误后在10个工作日内结清上月供货货款。甲方以月结支票、银行汇票、电汇及网络支付等方式向乙方支付上个月物品的总价给乙方。</w:t>
      </w:r>
    </w:p>
    <w:p>
      <w:pPr>
        <w:numPr>
          <w:ilvl w:val="0"/>
          <w:numId w:val="50"/>
        </w:numPr>
        <w:adjustRightInd w:val="0"/>
        <w:snapToGrid w:val="0"/>
        <w:spacing w:line="360" w:lineRule="auto"/>
        <w:ind w:firstLine="0"/>
        <w:rPr>
          <w:b/>
          <w:bCs/>
          <w:highlight w:val="none"/>
        </w:rPr>
      </w:pPr>
      <w:r>
        <w:rPr>
          <w:rFonts w:hint="eastAsia"/>
          <w:b/>
          <w:bCs/>
          <w:highlight w:val="none"/>
        </w:rPr>
        <w:t>付款方式</w:t>
      </w:r>
    </w:p>
    <w:p>
      <w:pPr>
        <w:numPr>
          <w:ilvl w:val="0"/>
          <w:numId w:val="70"/>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供货数量：以甲方当月实际购买量为准。</w:t>
      </w:r>
    </w:p>
    <w:p>
      <w:pPr>
        <w:numPr>
          <w:ilvl w:val="0"/>
          <w:numId w:val="70"/>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供货货款：采购部与乙方确定当月价格╳（1-合同下浮率）╳当月实际供货数量</w:t>
      </w:r>
    </w:p>
    <w:p>
      <w:pPr>
        <w:numPr>
          <w:ilvl w:val="0"/>
          <w:numId w:val="70"/>
        </w:numPr>
        <w:adjustRightInd w:val="0"/>
        <w:snapToGrid w:val="0"/>
        <w:spacing w:line="360" w:lineRule="auto"/>
        <w:ind w:left="0" w:firstLine="0"/>
        <w:rPr>
          <w:rFonts w:ascii="宋体" w:hAnsi="宋体" w:cs="宋体"/>
          <w:bCs/>
          <w:szCs w:val="21"/>
          <w:highlight w:val="none"/>
        </w:rPr>
      </w:pPr>
      <w:r>
        <w:rPr>
          <w:rFonts w:hint="eastAsia" w:ascii="宋体" w:hAnsi="宋体" w:cs="宋体"/>
          <w:bCs/>
          <w:szCs w:val="21"/>
          <w:highlight w:val="none"/>
        </w:rPr>
        <w:t>付款方式：乙方按甲方要求完成上月供货后，于次月10日前凭国家正式增值税专用发票向甲方申请付款，甲方收到申请并经核对无误后在10个工作日内结清上月供货货款。若乙方延期开具增值税发票，甲方有权因此延期付款而不负违约责任。</w:t>
      </w:r>
    </w:p>
    <w:p>
      <w:pPr>
        <w:numPr>
          <w:ilvl w:val="0"/>
          <w:numId w:val="50"/>
        </w:numPr>
        <w:adjustRightInd w:val="0"/>
        <w:snapToGrid w:val="0"/>
        <w:spacing w:line="360" w:lineRule="auto"/>
        <w:ind w:firstLine="0"/>
        <w:rPr>
          <w:b/>
          <w:bCs/>
          <w:highlight w:val="none"/>
        </w:rPr>
      </w:pPr>
      <w:r>
        <w:rPr>
          <w:rFonts w:hint="eastAsia"/>
          <w:b/>
          <w:bCs/>
          <w:highlight w:val="none"/>
        </w:rPr>
        <w:t>反商业贿赂廉洁条款</w:t>
      </w:r>
    </w:p>
    <w:p>
      <w:pPr>
        <w:wordWrap w:val="0"/>
        <w:spacing w:line="360" w:lineRule="auto"/>
        <w:ind w:firstLine="420" w:firstLineChars="200"/>
        <w:rPr>
          <w:rFonts w:ascii="宋体" w:hAnsi="宋体" w:cs="宋体"/>
          <w:szCs w:val="21"/>
          <w:highlight w:val="none"/>
        </w:rPr>
      </w:pPr>
      <w:r>
        <w:rPr>
          <w:rFonts w:hint="eastAsia" w:ascii="宋体" w:hAnsi="宋体" w:cs="宋体"/>
          <w:szCs w:val="21"/>
          <w:highlight w:val="none"/>
        </w:rPr>
        <w:t>为规范酒店经营活动，维护双方的共同长远利益与深度合作，遵循诚实守信的原则，乙方愿意拒绝行贿及其它不正当交易行为，并作出如下承诺：</w:t>
      </w:r>
    </w:p>
    <w:p>
      <w:pPr>
        <w:numPr>
          <w:ilvl w:val="0"/>
          <w:numId w:val="71"/>
        </w:numPr>
        <w:wordWrap w:val="0"/>
        <w:spacing w:line="360" w:lineRule="auto"/>
        <w:ind w:firstLine="0"/>
        <w:rPr>
          <w:rFonts w:ascii="宋体" w:hAnsi="宋体" w:cs="宋体"/>
          <w:szCs w:val="21"/>
          <w:highlight w:val="none"/>
        </w:rPr>
      </w:pPr>
      <w:r>
        <w:rPr>
          <w:rFonts w:hint="eastAsia" w:ascii="宋体" w:hAnsi="宋体" w:cs="宋体"/>
          <w:szCs w:val="21"/>
          <w:highlight w:val="none"/>
        </w:rPr>
        <w:t>严格遵守国家有关法律、法规，保持正常的商务往来。</w:t>
      </w:r>
    </w:p>
    <w:p>
      <w:pPr>
        <w:numPr>
          <w:ilvl w:val="0"/>
          <w:numId w:val="71"/>
        </w:numPr>
        <w:wordWrap w:val="0"/>
        <w:spacing w:line="360" w:lineRule="auto"/>
        <w:ind w:firstLine="0"/>
        <w:rPr>
          <w:rFonts w:ascii="宋体" w:hAnsi="宋体" w:cs="宋体"/>
          <w:szCs w:val="21"/>
          <w:highlight w:val="none"/>
        </w:rPr>
      </w:pPr>
      <w:r>
        <w:rPr>
          <w:rFonts w:hint="eastAsia" w:ascii="宋体" w:hAnsi="宋体" w:cs="宋体"/>
          <w:szCs w:val="21"/>
          <w:highlight w:val="none"/>
        </w:rPr>
        <w:t>乙方一旦收到甲方的任何职员以任何形式提出索要金钱、礼品和回扣的要求，有义务立即向酒店举报，举报形式包括但不限于电话、电子邮件、当面举报等。</w:t>
      </w:r>
    </w:p>
    <w:tbl>
      <w:tblPr>
        <w:tblStyle w:val="25"/>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763"/>
        <w:gridCol w:w="1867"/>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4" w:type="dxa"/>
            <w:vAlign w:val="center"/>
          </w:tcPr>
          <w:p>
            <w:pPr>
              <w:jc w:val="center"/>
              <w:rPr>
                <w:highlight w:val="none"/>
              </w:rPr>
            </w:pPr>
            <w:r>
              <w:rPr>
                <w:rFonts w:hint="eastAsia"/>
                <w:highlight w:val="none"/>
              </w:rPr>
              <w:t>序号</w:t>
            </w:r>
          </w:p>
        </w:tc>
        <w:tc>
          <w:tcPr>
            <w:tcW w:w="1763" w:type="dxa"/>
            <w:vAlign w:val="center"/>
          </w:tcPr>
          <w:p>
            <w:pPr>
              <w:jc w:val="center"/>
              <w:rPr>
                <w:highlight w:val="none"/>
              </w:rPr>
            </w:pPr>
            <w:r>
              <w:rPr>
                <w:rFonts w:hint="eastAsia"/>
                <w:highlight w:val="none"/>
              </w:rPr>
              <w:t>联系人（职务）</w:t>
            </w:r>
          </w:p>
        </w:tc>
        <w:tc>
          <w:tcPr>
            <w:tcW w:w="1867" w:type="dxa"/>
            <w:vAlign w:val="center"/>
          </w:tcPr>
          <w:p>
            <w:pPr>
              <w:jc w:val="center"/>
              <w:rPr>
                <w:highlight w:val="none"/>
              </w:rPr>
            </w:pPr>
            <w:r>
              <w:rPr>
                <w:rFonts w:hint="eastAsia"/>
                <w:highlight w:val="none"/>
              </w:rPr>
              <w:t>电话</w:t>
            </w:r>
          </w:p>
        </w:tc>
        <w:tc>
          <w:tcPr>
            <w:tcW w:w="4229" w:type="dxa"/>
            <w:vAlign w:val="center"/>
          </w:tcPr>
          <w:p>
            <w:pPr>
              <w:jc w:val="center"/>
              <w:rPr>
                <w:highlight w:val="none"/>
              </w:rPr>
            </w:pPr>
            <w:r>
              <w:rPr>
                <w:rFonts w:hint="eastAsia"/>
                <w:highlight w:val="none"/>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4" w:type="dxa"/>
            <w:vAlign w:val="center"/>
          </w:tcPr>
          <w:p>
            <w:pPr>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763" w:type="dxa"/>
            <w:vAlign w:val="center"/>
          </w:tcPr>
          <w:p>
            <w:pPr>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总经理</w:t>
            </w:r>
          </w:p>
        </w:tc>
        <w:tc>
          <w:tcPr>
            <w:tcW w:w="1867" w:type="dxa"/>
            <w:vAlign w:val="center"/>
          </w:tcPr>
          <w:p>
            <w:pPr>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0757-66688899</w:t>
            </w:r>
          </w:p>
        </w:tc>
        <w:tc>
          <w:tcPr>
            <w:tcW w:w="4229" w:type="dxa"/>
            <w:vAlign w:val="center"/>
          </w:tcPr>
          <w:p>
            <w:pPr>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佛山南海区桂城街道海四路19号</w:t>
            </w:r>
          </w:p>
        </w:tc>
      </w:tr>
    </w:tbl>
    <w:p>
      <w:pPr>
        <w:numPr>
          <w:ilvl w:val="0"/>
          <w:numId w:val="71"/>
        </w:numPr>
        <w:wordWrap w:val="0"/>
        <w:spacing w:line="360" w:lineRule="auto"/>
        <w:ind w:firstLine="0"/>
        <w:rPr>
          <w:rFonts w:ascii="宋体" w:hAnsi="宋体" w:cs="宋体"/>
          <w:szCs w:val="21"/>
          <w:highlight w:val="none"/>
        </w:rPr>
      </w:pPr>
      <w:r>
        <w:rPr>
          <w:rFonts w:hint="eastAsia" w:ascii="宋体" w:hAnsi="宋体" w:cs="宋体"/>
          <w:szCs w:val="21"/>
          <w:highlight w:val="none"/>
        </w:rPr>
        <w:t>乙方承诺，如有下述行为之一的，均构成重大违约，愿意承担由此给甲方造成的一切损失，向甲方支付违约金5000元，并向甲方返回金钱、礼品和回扣</w:t>
      </w:r>
      <w:r>
        <w:rPr>
          <w:rFonts w:hint="eastAsia" w:ascii="宋体" w:hAnsi="宋体" w:cs="宋体"/>
          <w:szCs w:val="21"/>
          <w:highlight w:val="none"/>
          <w:lang w:eastAsia="zh-Hans"/>
        </w:rPr>
        <w:t>。</w:t>
      </w:r>
      <w:r>
        <w:rPr>
          <w:rFonts w:hint="eastAsia" w:ascii="宋体" w:hAnsi="宋体" w:cs="宋体"/>
          <w:szCs w:val="21"/>
          <w:highlight w:val="none"/>
        </w:rPr>
        <w:t>同时甲方有权随时解除双方合作与合同，并保留采取进一步措施的权利:</w:t>
      </w:r>
    </w:p>
    <w:p>
      <w:pPr>
        <w:numPr>
          <w:ilvl w:val="0"/>
          <w:numId w:val="72"/>
        </w:numPr>
        <w:spacing w:line="360" w:lineRule="auto"/>
        <w:rPr>
          <w:rFonts w:ascii="宋体" w:hAnsi="宋体" w:cs="宋体"/>
          <w:szCs w:val="21"/>
          <w:highlight w:val="none"/>
        </w:rPr>
      </w:pPr>
      <w:r>
        <w:rPr>
          <w:rFonts w:hint="eastAsia" w:ascii="宋体" w:hAnsi="宋体" w:cs="宋体"/>
          <w:szCs w:val="21"/>
          <w:highlight w:val="none"/>
        </w:rPr>
        <w:t>给予甲方人员金钱、回扣、实物。</w:t>
      </w:r>
    </w:p>
    <w:p>
      <w:pPr>
        <w:numPr>
          <w:ilvl w:val="0"/>
          <w:numId w:val="72"/>
        </w:numPr>
        <w:spacing w:line="360" w:lineRule="auto"/>
        <w:rPr>
          <w:rFonts w:ascii="宋体" w:hAnsi="宋体" w:cs="宋体"/>
          <w:szCs w:val="21"/>
          <w:highlight w:val="none"/>
        </w:rPr>
      </w:pPr>
      <w:r>
        <w:rPr>
          <w:rFonts w:hint="eastAsia" w:ascii="宋体" w:hAnsi="宋体" w:cs="宋体"/>
          <w:szCs w:val="21"/>
          <w:highlight w:val="none"/>
        </w:rPr>
        <w:t>接受甲方人员或其亲属在公司或关联公司任职。</w:t>
      </w:r>
    </w:p>
    <w:p>
      <w:pPr>
        <w:numPr>
          <w:ilvl w:val="0"/>
          <w:numId w:val="72"/>
        </w:numPr>
        <w:spacing w:line="360" w:lineRule="auto"/>
        <w:rPr>
          <w:rFonts w:ascii="宋体" w:hAnsi="宋体" w:cs="宋体"/>
          <w:szCs w:val="21"/>
          <w:highlight w:val="none"/>
        </w:rPr>
      </w:pPr>
      <w:r>
        <w:rPr>
          <w:rFonts w:hint="eastAsia" w:ascii="宋体" w:hAnsi="宋体" w:cs="宋体"/>
          <w:szCs w:val="21"/>
          <w:highlight w:val="none"/>
        </w:rPr>
        <w:t>赠送或低价出售公司或关联公司股权/股份给甲方人员。</w:t>
      </w:r>
    </w:p>
    <w:p>
      <w:pPr>
        <w:numPr>
          <w:ilvl w:val="0"/>
          <w:numId w:val="72"/>
        </w:numPr>
        <w:spacing w:line="360" w:lineRule="auto"/>
        <w:rPr>
          <w:rFonts w:ascii="宋体" w:hAnsi="宋体" w:cs="宋体"/>
          <w:szCs w:val="21"/>
          <w:highlight w:val="none"/>
        </w:rPr>
      </w:pPr>
      <w:r>
        <w:rPr>
          <w:rFonts w:hint="eastAsia" w:ascii="宋体" w:hAnsi="宋体" w:cs="宋体"/>
          <w:szCs w:val="21"/>
          <w:highlight w:val="none"/>
        </w:rPr>
        <w:t>以其它方式向甲方人员变相进行贿赂。</w:t>
      </w:r>
    </w:p>
    <w:p>
      <w:pPr>
        <w:numPr>
          <w:ilvl w:val="0"/>
          <w:numId w:val="72"/>
        </w:numPr>
        <w:spacing w:line="360" w:lineRule="auto"/>
        <w:rPr>
          <w:rFonts w:ascii="宋体" w:hAnsi="宋体" w:cs="宋体"/>
          <w:szCs w:val="21"/>
          <w:highlight w:val="none"/>
        </w:rPr>
      </w:pPr>
      <w:r>
        <w:rPr>
          <w:rFonts w:hint="eastAsia" w:ascii="宋体" w:hAnsi="宋体" w:cs="宋体"/>
          <w:szCs w:val="21"/>
          <w:highlight w:val="none"/>
        </w:rPr>
        <w:t>甲方人员利用职务便利向乙方索取财物或任何形式不正当利益的，乙方予以默许的。</w:t>
      </w:r>
    </w:p>
    <w:p>
      <w:pPr>
        <w:numPr>
          <w:ilvl w:val="0"/>
          <w:numId w:val="50"/>
        </w:numPr>
        <w:adjustRightInd w:val="0"/>
        <w:snapToGrid w:val="0"/>
        <w:spacing w:line="360" w:lineRule="auto"/>
        <w:ind w:firstLine="0"/>
        <w:rPr>
          <w:rFonts w:ascii="宋体" w:hAnsi="宋体" w:cs="宋体"/>
          <w:b/>
          <w:bCs/>
          <w:szCs w:val="21"/>
          <w:highlight w:val="none"/>
        </w:rPr>
      </w:pPr>
      <w:r>
        <w:rPr>
          <w:rFonts w:hint="eastAsia" w:ascii="宋体" w:hAnsi="宋体" w:cs="宋体"/>
          <w:b/>
          <w:bCs/>
          <w:szCs w:val="21"/>
          <w:highlight w:val="none"/>
        </w:rPr>
        <w:t>争议的解决</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甲乙双方如果发生争议，应当友好协商解决。如果协商不成，任何一方均有权向南海区人民法院提起诉讼。</w:t>
      </w:r>
    </w:p>
    <w:p>
      <w:pPr>
        <w:numPr>
          <w:ilvl w:val="0"/>
          <w:numId w:val="50"/>
        </w:numPr>
        <w:adjustRightInd w:val="0"/>
        <w:snapToGrid w:val="0"/>
        <w:spacing w:line="360" w:lineRule="auto"/>
        <w:ind w:firstLine="0"/>
        <w:rPr>
          <w:rFonts w:ascii="宋体" w:hAnsi="宋体" w:cs="宋体"/>
          <w:b/>
          <w:szCs w:val="21"/>
          <w:highlight w:val="none"/>
        </w:rPr>
      </w:pPr>
      <w:r>
        <w:rPr>
          <w:rFonts w:hint="eastAsia" w:ascii="宋体" w:hAnsi="宋体" w:cs="宋体"/>
          <w:b/>
          <w:szCs w:val="21"/>
          <w:highlight w:val="none"/>
        </w:rPr>
        <w:t>不可抗力</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 。</w:t>
      </w:r>
    </w:p>
    <w:p>
      <w:pPr>
        <w:numPr>
          <w:ilvl w:val="0"/>
          <w:numId w:val="50"/>
        </w:numPr>
        <w:adjustRightInd w:val="0"/>
        <w:snapToGrid w:val="0"/>
        <w:spacing w:line="360" w:lineRule="auto"/>
        <w:ind w:firstLine="0"/>
        <w:rPr>
          <w:rFonts w:ascii="宋体" w:hAnsi="宋体" w:cs="宋体"/>
          <w:b/>
          <w:szCs w:val="21"/>
          <w:highlight w:val="none"/>
        </w:rPr>
      </w:pPr>
      <w:r>
        <w:rPr>
          <w:rFonts w:hint="eastAsia" w:ascii="宋体" w:hAnsi="宋体" w:cs="宋体"/>
          <w:b/>
          <w:szCs w:val="21"/>
          <w:highlight w:val="none"/>
        </w:rPr>
        <w:t>税费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在中国境内、外发生的与本合同执行有关的一切税费均由乙方负担。</w:t>
      </w:r>
    </w:p>
    <w:p>
      <w:pPr>
        <w:numPr>
          <w:ilvl w:val="0"/>
          <w:numId w:val="50"/>
        </w:numPr>
        <w:adjustRightInd w:val="0"/>
        <w:snapToGrid w:val="0"/>
        <w:spacing w:line="360" w:lineRule="auto"/>
        <w:ind w:firstLine="0"/>
        <w:rPr>
          <w:rFonts w:ascii="宋体" w:hAnsi="宋体" w:cs="宋体"/>
          <w:b/>
          <w:szCs w:val="21"/>
          <w:highlight w:val="none"/>
        </w:rPr>
      </w:pPr>
      <w:r>
        <w:rPr>
          <w:rFonts w:hint="eastAsia" w:ascii="宋体" w:hAnsi="宋体" w:cs="宋体"/>
          <w:b/>
          <w:szCs w:val="21"/>
          <w:highlight w:val="none"/>
        </w:rPr>
        <w:t>合同变更、终止和解除</w:t>
      </w:r>
    </w:p>
    <w:p>
      <w:pPr>
        <w:numPr>
          <w:ilvl w:val="0"/>
          <w:numId w:val="73"/>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本合同自双方签字盖章之日起生效。</w:t>
      </w:r>
    </w:p>
    <w:p>
      <w:pPr>
        <w:numPr>
          <w:ilvl w:val="0"/>
          <w:numId w:val="73"/>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在合同执行期间，除非合同有明确约定，双方均不得无故变更本合同。如确需变更，经双方协商一致后以书面形式做出。</w:t>
      </w:r>
    </w:p>
    <w:p>
      <w:pPr>
        <w:numPr>
          <w:ilvl w:val="0"/>
          <w:numId w:val="73"/>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若乙方的服务不符合合同约定，经甲方两次书面通知仍不能满足合同约定，甲方有权提前解除合同，只需提前一个月通知乙方，不视为甲方违约。</w:t>
      </w:r>
    </w:p>
    <w:p>
      <w:pPr>
        <w:numPr>
          <w:ilvl w:val="0"/>
          <w:numId w:val="73"/>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如发生因乙方本身及其所属员工失职或不规范履行职责，造成较大社会负面影响的，甲方有权提前解除合同，只需提前一个月通知乙方，不视为甲方违约。</w:t>
      </w:r>
    </w:p>
    <w:p>
      <w:pPr>
        <w:numPr>
          <w:ilvl w:val="0"/>
          <w:numId w:val="73"/>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因不可抗力或政府政策影响，造成合同不能继续履行的，双方可协商变更、中止或解除合同，均不承担违约责任。</w:t>
      </w:r>
    </w:p>
    <w:p>
      <w:pPr>
        <w:numPr>
          <w:ilvl w:val="0"/>
          <w:numId w:val="73"/>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合同期内发生责任事故，经相关部门认定确属乙方人员失职造成的，由乙方承担相应赔偿责任；责任事故在相关部门认定之前，暂由乙方承担责任；责任归属未查清之前，双方仍按合同规定履行各自职责。</w:t>
      </w:r>
    </w:p>
    <w:p>
      <w:pPr>
        <w:numPr>
          <w:ilvl w:val="0"/>
          <w:numId w:val="73"/>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本合同解除</w:t>
      </w:r>
      <w:r>
        <w:rPr>
          <w:rFonts w:hint="eastAsia" w:hAnsi="宋体" w:cs="宋体"/>
          <w:szCs w:val="21"/>
          <w:highlight w:val="none"/>
        </w:rPr>
        <w:t>或</w:t>
      </w:r>
      <w:r>
        <w:rPr>
          <w:rFonts w:hint="eastAsia" w:ascii="宋体" w:hAnsi="宋体" w:cs="宋体"/>
          <w:szCs w:val="21"/>
          <w:highlight w:val="none"/>
        </w:rPr>
        <w:t>终止后，乙方</w:t>
      </w:r>
      <w:r>
        <w:rPr>
          <w:rFonts w:hint="eastAsia" w:hAnsi="宋体" w:cs="宋体"/>
          <w:szCs w:val="21"/>
          <w:highlight w:val="none"/>
        </w:rPr>
        <w:t>需</w:t>
      </w:r>
      <w:r>
        <w:rPr>
          <w:rFonts w:hint="eastAsia" w:ascii="宋体" w:hAnsi="宋体" w:cs="宋体"/>
          <w:szCs w:val="21"/>
          <w:highlight w:val="none"/>
        </w:rPr>
        <w:t>与甲方聘请的新物业管理服务企业办妥相关交接手续（包括但不限于人员培训、项目相关档案、资料的交接），拒不配合的，甲方有权动用履约保证金，解决前述相关事项问题和偿付甲方因此造成的损失，乙方不得有异议。若履约保证金不足以偿付上述解决、处理费用以及甲方的损失时，乙方应继续承担赔偿责任。</w:t>
      </w:r>
    </w:p>
    <w:p>
      <w:pPr>
        <w:numPr>
          <w:ilvl w:val="0"/>
          <w:numId w:val="50"/>
        </w:numPr>
        <w:adjustRightInd w:val="0"/>
        <w:snapToGrid w:val="0"/>
        <w:spacing w:line="360" w:lineRule="auto"/>
        <w:ind w:firstLine="0"/>
        <w:rPr>
          <w:rFonts w:ascii="宋体" w:hAnsi="宋体" w:cs="宋体"/>
          <w:b/>
          <w:szCs w:val="21"/>
          <w:highlight w:val="none"/>
        </w:rPr>
      </w:pPr>
      <w:r>
        <w:rPr>
          <w:rFonts w:hint="eastAsia" w:ascii="宋体" w:hAnsi="宋体" w:cs="宋体"/>
          <w:b/>
          <w:szCs w:val="21"/>
          <w:highlight w:val="none"/>
        </w:rPr>
        <w:t>其它</w:t>
      </w:r>
    </w:p>
    <w:p>
      <w:pPr>
        <w:numPr>
          <w:ilvl w:val="0"/>
          <w:numId w:val="74"/>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本合同所有附件、采购文件、投标文件、中标通知书均为合同的有效组成部分，与本合同具有同等法律效力。</w:t>
      </w:r>
    </w:p>
    <w:p>
      <w:pPr>
        <w:numPr>
          <w:ilvl w:val="0"/>
          <w:numId w:val="74"/>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在执行本合同的过程中，所有经双方签署确认的文件（包括会议纪要、补充协议、往来信函）即成为本合同的有效组成部分。</w:t>
      </w:r>
    </w:p>
    <w:p>
      <w:pPr>
        <w:numPr>
          <w:ilvl w:val="0"/>
          <w:numId w:val="74"/>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通知条款：</w:t>
      </w:r>
    </w:p>
    <w:p>
      <w:pPr>
        <w:numPr>
          <w:ilvl w:val="0"/>
          <w:numId w:val="75"/>
        </w:numPr>
        <w:tabs>
          <w:tab w:val="left"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乙双方向对方发送通知、文件等以合同所列联系方式进行送达（包括但不限于邮寄、电子送达、将书面通知张贴在联系地址处等），一方寄出相关文件后，另一方签收文件时或寄出满七个工作日，或电子通知发送完毕或粘贴通知完毕之日即视为送达。若双方出现争议需要通过诉讼解决的，甲、乙双方的联系地址即为双方的法律文书送达收件地址，法律文书通过人民法院寄出，到达之日即为送达之日。</w:t>
      </w:r>
    </w:p>
    <w:p>
      <w:pPr>
        <w:numPr>
          <w:ilvl w:val="0"/>
          <w:numId w:val="75"/>
        </w:numPr>
        <w:tabs>
          <w:tab w:val="left"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一方需要变更联系地址和联系方式的，应提前三个工作日书面通知另一方，否则联系方式仍以合同载明为准。</w:t>
      </w:r>
    </w:p>
    <w:p>
      <w:pPr>
        <w:numPr>
          <w:ilvl w:val="0"/>
          <w:numId w:val="75"/>
        </w:numPr>
        <w:tabs>
          <w:tab w:val="left"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因合同所列双方的联系地址、联系方式不准确；或者联系地址变更后未及时通知另一方；或者当事人或指定联系人拒收；或者由他人签收等原因，导致通知等信函文件和有关法律文书材料未能被当事人实际接收的，均视为已送达。</w:t>
      </w:r>
    </w:p>
    <w:p>
      <w:pPr>
        <w:numPr>
          <w:ilvl w:val="0"/>
          <w:numId w:val="74"/>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除甲方事先书面同意外，乙方不得部分或全部转让其应履行的合同项下的义务。</w:t>
      </w:r>
    </w:p>
    <w:p>
      <w:pPr>
        <w:numPr>
          <w:ilvl w:val="0"/>
          <w:numId w:val="50"/>
        </w:numPr>
        <w:adjustRightInd w:val="0"/>
        <w:snapToGrid w:val="0"/>
        <w:spacing w:line="360" w:lineRule="auto"/>
        <w:ind w:firstLine="0"/>
        <w:rPr>
          <w:rFonts w:ascii="宋体" w:hAnsi="宋体" w:cs="宋体"/>
          <w:b/>
          <w:szCs w:val="21"/>
          <w:highlight w:val="none"/>
        </w:rPr>
      </w:pPr>
      <w:r>
        <w:rPr>
          <w:rFonts w:hint="eastAsia" w:ascii="宋体" w:hAnsi="宋体" w:cs="宋体"/>
          <w:b/>
          <w:szCs w:val="21"/>
          <w:highlight w:val="none"/>
        </w:rPr>
        <w:t>合同生效：</w:t>
      </w:r>
    </w:p>
    <w:p>
      <w:pPr>
        <w:numPr>
          <w:ilvl w:val="0"/>
          <w:numId w:val="76"/>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本合同在甲乙双方法人代表或其授权代表签字、甲乙双方盖章之日起生效。</w:t>
      </w:r>
    </w:p>
    <w:p>
      <w:pPr>
        <w:numPr>
          <w:ilvl w:val="0"/>
          <w:numId w:val="76"/>
        </w:numPr>
        <w:tabs>
          <w:tab w:val="left" w:pos="425"/>
        </w:tabs>
        <w:adjustRightInd w:val="0"/>
        <w:snapToGrid w:val="0"/>
        <w:spacing w:line="360" w:lineRule="auto"/>
        <w:ind w:left="600" w:hanging="600"/>
        <w:rPr>
          <w:rFonts w:ascii="宋体" w:hAnsi="宋体" w:cs="宋体"/>
          <w:szCs w:val="21"/>
          <w:highlight w:val="none"/>
        </w:rPr>
      </w:pPr>
      <w:r>
        <w:rPr>
          <w:rFonts w:hint="eastAsia" w:ascii="宋体" w:hAnsi="宋体" w:cs="宋体"/>
          <w:szCs w:val="21"/>
          <w:highlight w:val="none"/>
        </w:rPr>
        <w:t>合同壹式</w:t>
      </w:r>
      <w:r>
        <w:rPr>
          <w:rFonts w:hint="eastAsia" w:ascii="宋体" w:hAnsi="宋体" w:cs="宋体"/>
          <w:szCs w:val="21"/>
          <w:highlight w:val="none"/>
          <w:u w:val="single"/>
        </w:rPr>
        <w:t xml:space="preserve">  </w:t>
      </w:r>
      <w:r>
        <w:rPr>
          <w:rFonts w:hint="eastAsia" w:ascii="宋体" w:hAnsi="宋体" w:cs="宋体"/>
          <w:szCs w:val="21"/>
          <w:highlight w:val="none"/>
        </w:rPr>
        <w:t>份，每份均具有同等法律效力，甲方执</w:t>
      </w:r>
      <w:r>
        <w:rPr>
          <w:rFonts w:hint="eastAsia" w:ascii="宋体" w:hAnsi="宋体" w:cs="宋体"/>
          <w:szCs w:val="21"/>
          <w:highlight w:val="none"/>
          <w:u w:val="single"/>
        </w:rPr>
        <w:t xml:space="preserve">  </w:t>
      </w:r>
      <w:r>
        <w:rPr>
          <w:rFonts w:hint="eastAsia" w:ascii="宋体" w:hAnsi="宋体" w:cs="宋体"/>
          <w:szCs w:val="21"/>
          <w:highlight w:val="none"/>
        </w:rPr>
        <w:t>份，乙方执</w:t>
      </w:r>
      <w:r>
        <w:rPr>
          <w:rFonts w:hint="eastAsia" w:ascii="宋体" w:hAnsi="宋体" w:cs="宋体"/>
          <w:szCs w:val="21"/>
          <w:highlight w:val="none"/>
          <w:u w:val="single"/>
        </w:rPr>
        <w:t xml:space="preserve">  </w:t>
      </w:r>
      <w:r>
        <w:rPr>
          <w:rFonts w:hint="eastAsia" w:ascii="宋体" w:hAnsi="宋体" w:cs="宋体"/>
          <w:szCs w:val="21"/>
          <w:highlight w:val="none"/>
        </w:rPr>
        <w:t>份，招标代理机构执</w:t>
      </w:r>
      <w:r>
        <w:rPr>
          <w:rFonts w:hint="eastAsia" w:ascii="宋体" w:hAnsi="宋体" w:cs="宋体"/>
          <w:szCs w:val="21"/>
          <w:highlight w:val="none"/>
          <w:u w:val="single"/>
        </w:rPr>
        <w:t xml:space="preserve">  </w:t>
      </w:r>
      <w:r>
        <w:rPr>
          <w:rFonts w:hint="eastAsia" w:ascii="宋体" w:hAnsi="宋体" w:cs="宋体"/>
          <w:szCs w:val="21"/>
          <w:highlight w:val="none"/>
        </w:rPr>
        <w:t>份，</w:t>
      </w:r>
      <w:r>
        <w:rPr>
          <w:rFonts w:hint="eastAsia" w:ascii="宋体" w:hAnsi="宋体" w:cs="宋体"/>
          <w:kern w:val="0"/>
          <w:szCs w:val="21"/>
          <w:highlight w:val="none"/>
        </w:rPr>
        <w:t>佛山市南海公有资产流转服务有限公司</w:t>
      </w:r>
      <w:r>
        <w:rPr>
          <w:rFonts w:hint="eastAsia" w:ascii="宋体" w:hAnsi="宋体" w:cs="宋体"/>
          <w:szCs w:val="21"/>
          <w:highlight w:val="none"/>
        </w:rPr>
        <w:t>执</w:t>
      </w:r>
      <w:r>
        <w:rPr>
          <w:rFonts w:hint="eastAsia" w:ascii="宋体" w:hAnsi="宋体" w:cs="宋体"/>
          <w:szCs w:val="21"/>
          <w:highlight w:val="none"/>
          <w:u w:val="single"/>
        </w:rPr>
        <w:t xml:space="preserve">  </w:t>
      </w:r>
      <w:r>
        <w:rPr>
          <w:rFonts w:hint="eastAsia" w:ascii="宋体" w:hAnsi="宋体" w:cs="宋体"/>
          <w:szCs w:val="21"/>
          <w:highlight w:val="none"/>
        </w:rPr>
        <w:t>份。</w:t>
      </w:r>
    </w:p>
    <w:p>
      <w:pPr>
        <w:spacing w:line="360" w:lineRule="auto"/>
        <w:jc w:val="left"/>
        <w:rPr>
          <w:rFonts w:hint="eastAsia" w:ascii="宋体" w:hAnsi="宋体" w:cs="宋体"/>
          <w:szCs w:val="21"/>
          <w:highlight w:val="none"/>
        </w:rPr>
      </w:pPr>
      <w:r>
        <w:rPr>
          <w:rFonts w:hint="eastAsia" w:ascii="宋体" w:hAnsi="宋体" w:cs="宋体"/>
          <w:szCs w:val="21"/>
          <w:highlight w:val="none"/>
        </w:rPr>
        <w:t>（此行以下无正文）</w:t>
      </w:r>
    </w:p>
    <w:p>
      <w:pPr>
        <w:rPr>
          <w:highlight w:val="none"/>
        </w:rPr>
      </w:pPr>
      <w:r>
        <w:rPr>
          <w:highlight w:val="none"/>
        </w:rPr>
        <w:br w:type="page"/>
      </w:r>
    </w:p>
    <w:p>
      <w:pPr>
        <w:rPr>
          <w:highlight w:val="none"/>
        </w:rPr>
      </w:pPr>
    </w:p>
    <w:tbl>
      <w:tblPr>
        <w:tblStyle w:val="25"/>
        <w:tblW w:w="9099" w:type="dxa"/>
        <w:tblInd w:w="0" w:type="dxa"/>
        <w:tblLayout w:type="fixed"/>
        <w:tblCellMar>
          <w:top w:w="0" w:type="dxa"/>
          <w:left w:w="108" w:type="dxa"/>
          <w:bottom w:w="0" w:type="dxa"/>
          <w:right w:w="108" w:type="dxa"/>
        </w:tblCellMar>
      </w:tblPr>
      <w:tblGrid>
        <w:gridCol w:w="4549"/>
        <w:gridCol w:w="4550"/>
      </w:tblGrid>
      <w:tr>
        <w:tblPrEx>
          <w:tblCellMar>
            <w:top w:w="0" w:type="dxa"/>
            <w:left w:w="108" w:type="dxa"/>
            <w:bottom w:w="0" w:type="dxa"/>
            <w:right w:w="108" w:type="dxa"/>
          </w:tblCellMar>
        </w:tblPrEx>
        <w:trPr>
          <w:trHeight w:val="505" w:hRule="atLeast"/>
        </w:trPr>
        <w:tc>
          <w:tcPr>
            <w:tcW w:w="4549" w:type="dxa"/>
          </w:tcPr>
          <w:p>
            <w:pPr>
              <w:spacing w:line="400" w:lineRule="exact"/>
              <w:rPr>
                <w:rFonts w:ascii="宋体" w:hAnsi="宋体" w:cs="宋体"/>
                <w:szCs w:val="21"/>
                <w:highlight w:val="none"/>
              </w:rPr>
            </w:pPr>
            <w:r>
              <w:rPr>
                <w:rFonts w:hint="eastAsia" w:ascii="宋体" w:hAnsi="宋体" w:cs="宋体"/>
                <w:szCs w:val="21"/>
                <w:highlight w:val="none"/>
              </w:rPr>
              <w:t>甲方（盖章）：</w:t>
            </w:r>
          </w:p>
        </w:tc>
        <w:tc>
          <w:tcPr>
            <w:tcW w:w="4550" w:type="dxa"/>
          </w:tcPr>
          <w:p>
            <w:pPr>
              <w:spacing w:line="400" w:lineRule="exact"/>
              <w:rPr>
                <w:rFonts w:ascii="宋体" w:hAnsi="宋体" w:cs="宋体"/>
                <w:szCs w:val="21"/>
                <w:highlight w:val="none"/>
              </w:rPr>
            </w:pPr>
            <w:r>
              <w:rPr>
                <w:rFonts w:hint="eastAsia" w:ascii="宋体" w:hAnsi="宋体" w:cs="宋体"/>
                <w:szCs w:val="21"/>
                <w:highlight w:val="none"/>
              </w:rPr>
              <w:t>乙方（盖章）：</w:t>
            </w:r>
          </w:p>
        </w:tc>
      </w:tr>
      <w:tr>
        <w:tblPrEx>
          <w:tblCellMar>
            <w:top w:w="0" w:type="dxa"/>
            <w:left w:w="108" w:type="dxa"/>
            <w:bottom w:w="0" w:type="dxa"/>
            <w:right w:w="108" w:type="dxa"/>
          </w:tblCellMar>
        </w:tblPrEx>
        <w:trPr>
          <w:trHeight w:val="505" w:hRule="atLeast"/>
        </w:trPr>
        <w:tc>
          <w:tcPr>
            <w:tcW w:w="4549" w:type="dxa"/>
          </w:tcPr>
          <w:p>
            <w:pPr>
              <w:spacing w:line="400" w:lineRule="exact"/>
              <w:rPr>
                <w:rFonts w:ascii="宋体" w:hAnsi="宋体" w:cs="宋体"/>
                <w:szCs w:val="21"/>
                <w:highlight w:val="none"/>
              </w:rPr>
            </w:pPr>
          </w:p>
        </w:tc>
        <w:tc>
          <w:tcPr>
            <w:tcW w:w="4550" w:type="dxa"/>
          </w:tcPr>
          <w:p>
            <w:pPr>
              <w:spacing w:line="400" w:lineRule="exact"/>
              <w:rPr>
                <w:rFonts w:ascii="宋体" w:hAnsi="宋体" w:cs="宋体"/>
                <w:szCs w:val="21"/>
                <w:highlight w:val="none"/>
              </w:rPr>
            </w:pPr>
          </w:p>
        </w:tc>
      </w:tr>
      <w:tr>
        <w:tblPrEx>
          <w:tblCellMar>
            <w:top w:w="0" w:type="dxa"/>
            <w:left w:w="108" w:type="dxa"/>
            <w:bottom w:w="0" w:type="dxa"/>
            <w:right w:w="108" w:type="dxa"/>
          </w:tblCellMar>
        </w:tblPrEx>
        <w:trPr>
          <w:trHeight w:val="505" w:hRule="atLeast"/>
        </w:trPr>
        <w:tc>
          <w:tcPr>
            <w:tcW w:w="4549" w:type="dxa"/>
          </w:tcPr>
          <w:p>
            <w:pPr>
              <w:spacing w:line="400" w:lineRule="exact"/>
              <w:rPr>
                <w:rFonts w:ascii="宋体" w:hAnsi="宋体" w:cs="宋体"/>
                <w:szCs w:val="21"/>
                <w:highlight w:val="none"/>
              </w:rPr>
            </w:pPr>
            <w:r>
              <w:rPr>
                <w:rFonts w:hint="eastAsia" w:ascii="宋体" w:hAnsi="宋体" w:cs="宋体"/>
                <w:szCs w:val="21"/>
                <w:highlight w:val="none"/>
              </w:rPr>
              <w:t>法定代表人或委托代表人（签字）：</w:t>
            </w:r>
          </w:p>
        </w:tc>
        <w:tc>
          <w:tcPr>
            <w:tcW w:w="4550" w:type="dxa"/>
          </w:tcPr>
          <w:p>
            <w:pPr>
              <w:spacing w:line="400" w:lineRule="exact"/>
              <w:rPr>
                <w:rFonts w:ascii="宋体" w:hAnsi="宋体" w:cs="宋体"/>
                <w:szCs w:val="21"/>
                <w:highlight w:val="none"/>
              </w:rPr>
            </w:pPr>
            <w:r>
              <w:rPr>
                <w:rFonts w:hint="eastAsia" w:ascii="宋体" w:hAnsi="宋体" w:cs="宋体"/>
                <w:szCs w:val="21"/>
                <w:highlight w:val="none"/>
              </w:rPr>
              <w:t>法定代表人或授权代理人（签字）：</w:t>
            </w:r>
          </w:p>
        </w:tc>
      </w:tr>
      <w:tr>
        <w:tblPrEx>
          <w:tblCellMar>
            <w:top w:w="0" w:type="dxa"/>
            <w:left w:w="108" w:type="dxa"/>
            <w:bottom w:w="0" w:type="dxa"/>
            <w:right w:w="108" w:type="dxa"/>
          </w:tblCellMar>
        </w:tblPrEx>
        <w:trPr>
          <w:trHeight w:val="505" w:hRule="atLeast"/>
        </w:trPr>
        <w:tc>
          <w:tcPr>
            <w:tcW w:w="4549" w:type="dxa"/>
          </w:tcPr>
          <w:p>
            <w:pPr>
              <w:spacing w:line="400" w:lineRule="exact"/>
              <w:rPr>
                <w:rFonts w:ascii="宋体" w:hAnsi="宋体" w:cs="宋体"/>
                <w:szCs w:val="21"/>
                <w:highlight w:val="none"/>
              </w:rPr>
            </w:pPr>
          </w:p>
        </w:tc>
        <w:tc>
          <w:tcPr>
            <w:tcW w:w="4550" w:type="dxa"/>
          </w:tcPr>
          <w:p>
            <w:pPr>
              <w:spacing w:line="400" w:lineRule="exact"/>
              <w:rPr>
                <w:rFonts w:ascii="宋体" w:hAnsi="宋体" w:cs="宋体"/>
                <w:szCs w:val="21"/>
                <w:highlight w:val="none"/>
              </w:rPr>
            </w:pPr>
          </w:p>
        </w:tc>
      </w:tr>
      <w:tr>
        <w:tblPrEx>
          <w:tblCellMar>
            <w:top w:w="0" w:type="dxa"/>
            <w:left w:w="108" w:type="dxa"/>
            <w:bottom w:w="0" w:type="dxa"/>
            <w:right w:w="108" w:type="dxa"/>
          </w:tblCellMar>
        </w:tblPrEx>
        <w:trPr>
          <w:trHeight w:val="505" w:hRule="atLeast"/>
        </w:trPr>
        <w:tc>
          <w:tcPr>
            <w:tcW w:w="4549" w:type="dxa"/>
          </w:tcPr>
          <w:p>
            <w:pPr>
              <w:spacing w:line="400" w:lineRule="exact"/>
              <w:rPr>
                <w:rFonts w:ascii="宋体" w:hAnsi="宋体" w:cs="宋体"/>
                <w:szCs w:val="21"/>
                <w:highlight w:val="none"/>
              </w:rPr>
            </w:pPr>
            <w:r>
              <w:rPr>
                <w:rFonts w:hint="eastAsia" w:ascii="宋体" w:hAnsi="宋体" w:cs="宋体"/>
                <w:szCs w:val="21"/>
                <w:highlight w:val="none"/>
              </w:rPr>
              <w:t>地址：</w:t>
            </w:r>
          </w:p>
        </w:tc>
        <w:tc>
          <w:tcPr>
            <w:tcW w:w="4550" w:type="dxa"/>
          </w:tcPr>
          <w:p>
            <w:pPr>
              <w:spacing w:line="400" w:lineRule="exact"/>
              <w:rPr>
                <w:rFonts w:ascii="宋体" w:hAnsi="宋体" w:cs="宋体"/>
                <w:szCs w:val="21"/>
                <w:highlight w:val="none"/>
              </w:rPr>
            </w:pPr>
            <w:r>
              <w:rPr>
                <w:rFonts w:hint="eastAsia" w:ascii="宋体" w:hAnsi="宋体" w:cs="宋体"/>
                <w:szCs w:val="21"/>
                <w:highlight w:val="none"/>
              </w:rPr>
              <w:t>地址：</w:t>
            </w:r>
          </w:p>
        </w:tc>
      </w:tr>
      <w:tr>
        <w:tblPrEx>
          <w:tblCellMar>
            <w:top w:w="0" w:type="dxa"/>
            <w:left w:w="108" w:type="dxa"/>
            <w:bottom w:w="0" w:type="dxa"/>
            <w:right w:w="108" w:type="dxa"/>
          </w:tblCellMar>
        </w:tblPrEx>
        <w:trPr>
          <w:trHeight w:val="505" w:hRule="atLeast"/>
        </w:trPr>
        <w:tc>
          <w:tcPr>
            <w:tcW w:w="4549" w:type="dxa"/>
          </w:tcPr>
          <w:p>
            <w:pPr>
              <w:spacing w:line="400" w:lineRule="exact"/>
              <w:rPr>
                <w:rFonts w:ascii="宋体" w:hAnsi="宋体" w:cs="宋体"/>
                <w:szCs w:val="21"/>
                <w:highlight w:val="none"/>
              </w:rPr>
            </w:pPr>
            <w:r>
              <w:rPr>
                <w:rFonts w:hint="eastAsia" w:ascii="宋体" w:hAnsi="宋体" w:cs="宋体"/>
                <w:szCs w:val="21"/>
                <w:highlight w:val="none"/>
              </w:rPr>
              <w:t>电话：</w:t>
            </w:r>
          </w:p>
        </w:tc>
        <w:tc>
          <w:tcPr>
            <w:tcW w:w="4550" w:type="dxa"/>
          </w:tcPr>
          <w:p>
            <w:pPr>
              <w:spacing w:line="400" w:lineRule="exact"/>
              <w:rPr>
                <w:rFonts w:ascii="宋体" w:hAnsi="宋体" w:cs="宋体"/>
                <w:szCs w:val="21"/>
                <w:highlight w:val="none"/>
              </w:rPr>
            </w:pPr>
            <w:r>
              <w:rPr>
                <w:rFonts w:hint="eastAsia" w:ascii="宋体" w:hAnsi="宋体" w:cs="宋体"/>
                <w:szCs w:val="21"/>
                <w:highlight w:val="none"/>
              </w:rPr>
              <w:t>电话：</w:t>
            </w:r>
          </w:p>
        </w:tc>
      </w:tr>
      <w:tr>
        <w:tblPrEx>
          <w:tblCellMar>
            <w:top w:w="0" w:type="dxa"/>
            <w:left w:w="108" w:type="dxa"/>
            <w:bottom w:w="0" w:type="dxa"/>
            <w:right w:w="108" w:type="dxa"/>
          </w:tblCellMar>
        </w:tblPrEx>
        <w:trPr>
          <w:trHeight w:val="505" w:hRule="atLeast"/>
        </w:trPr>
        <w:tc>
          <w:tcPr>
            <w:tcW w:w="4549" w:type="dxa"/>
          </w:tcPr>
          <w:p>
            <w:pPr>
              <w:spacing w:line="400" w:lineRule="exact"/>
              <w:rPr>
                <w:rFonts w:ascii="宋体" w:hAnsi="宋体" w:cs="宋体"/>
                <w:szCs w:val="21"/>
                <w:highlight w:val="none"/>
              </w:rPr>
            </w:pPr>
            <w:r>
              <w:rPr>
                <w:rFonts w:hint="eastAsia" w:ascii="宋体" w:hAnsi="宋体" w:cs="宋体"/>
                <w:szCs w:val="21"/>
                <w:highlight w:val="none"/>
              </w:rPr>
              <w:t>传真：</w:t>
            </w:r>
          </w:p>
        </w:tc>
        <w:tc>
          <w:tcPr>
            <w:tcW w:w="4550" w:type="dxa"/>
          </w:tcPr>
          <w:p>
            <w:pPr>
              <w:spacing w:line="400" w:lineRule="exact"/>
              <w:rPr>
                <w:rFonts w:ascii="宋体" w:hAnsi="宋体" w:cs="宋体"/>
                <w:szCs w:val="21"/>
                <w:highlight w:val="none"/>
              </w:rPr>
            </w:pPr>
            <w:r>
              <w:rPr>
                <w:rFonts w:hint="eastAsia" w:ascii="宋体" w:hAnsi="宋体" w:cs="宋体"/>
                <w:szCs w:val="21"/>
                <w:highlight w:val="none"/>
              </w:rPr>
              <w:t>传真：</w:t>
            </w:r>
          </w:p>
        </w:tc>
      </w:tr>
      <w:tr>
        <w:tblPrEx>
          <w:tblCellMar>
            <w:top w:w="0" w:type="dxa"/>
            <w:left w:w="108" w:type="dxa"/>
            <w:bottom w:w="0" w:type="dxa"/>
            <w:right w:w="108" w:type="dxa"/>
          </w:tblCellMar>
        </w:tblPrEx>
        <w:trPr>
          <w:trHeight w:val="505" w:hRule="atLeast"/>
        </w:trPr>
        <w:tc>
          <w:tcPr>
            <w:tcW w:w="4549" w:type="dxa"/>
          </w:tcPr>
          <w:p>
            <w:pPr>
              <w:spacing w:line="400" w:lineRule="exact"/>
              <w:rPr>
                <w:rFonts w:ascii="宋体" w:hAnsi="宋体" w:cs="宋体"/>
                <w:szCs w:val="21"/>
                <w:highlight w:val="none"/>
              </w:rPr>
            </w:pPr>
            <w:r>
              <w:rPr>
                <w:rFonts w:hint="eastAsia" w:ascii="宋体" w:hAnsi="宋体" w:cs="宋体"/>
                <w:szCs w:val="21"/>
                <w:highlight w:val="none"/>
              </w:rPr>
              <w:t>日期：       年    月   日</w:t>
            </w:r>
          </w:p>
        </w:tc>
        <w:tc>
          <w:tcPr>
            <w:tcW w:w="4550" w:type="dxa"/>
          </w:tcPr>
          <w:p>
            <w:pPr>
              <w:spacing w:line="400" w:lineRule="exact"/>
              <w:rPr>
                <w:rFonts w:ascii="宋体" w:hAnsi="宋体" w:cs="宋体"/>
                <w:szCs w:val="21"/>
                <w:highlight w:val="none"/>
              </w:rPr>
            </w:pPr>
            <w:r>
              <w:rPr>
                <w:rFonts w:hint="eastAsia" w:ascii="宋体" w:hAnsi="宋体" w:cs="宋体"/>
                <w:szCs w:val="21"/>
                <w:highlight w:val="none"/>
              </w:rPr>
              <w:t>日期：      年    月    日</w:t>
            </w:r>
          </w:p>
        </w:tc>
      </w:tr>
    </w:tbl>
    <w:p>
      <w:pPr>
        <w:rPr>
          <w:highlight w:val="none"/>
        </w:rPr>
      </w:pPr>
    </w:p>
    <w:p>
      <w:pPr>
        <w:snapToGrid w:val="0"/>
        <w:spacing w:line="420" w:lineRule="auto"/>
        <w:ind w:firstLine="4200" w:firstLineChars="2000"/>
        <w:rPr>
          <w:rFonts w:ascii="宋体" w:hAnsi="宋体" w:cs="宋体"/>
          <w:szCs w:val="21"/>
          <w:highlight w:val="none"/>
        </w:rPr>
      </w:pPr>
    </w:p>
    <w:p>
      <w:pPr>
        <w:snapToGrid w:val="0"/>
        <w:spacing w:line="420" w:lineRule="auto"/>
        <w:ind w:firstLine="4200" w:firstLineChars="2000"/>
        <w:rPr>
          <w:rFonts w:ascii="宋体" w:hAnsi="宋体" w:cs="宋体"/>
          <w:szCs w:val="21"/>
          <w:highlight w:val="none"/>
        </w:rPr>
      </w:pPr>
    </w:p>
    <w:p>
      <w:pPr>
        <w:adjustRightInd w:val="0"/>
        <w:snapToGrid w:val="0"/>
        <w:spacing w:before="156" w:beforeLines="50" w:after="156" w:afterLines="50" w:line="360" w:lineRule="auto"/>
        <w:outlineLvl w:val="0"/>
        <w:rPr>
          <w:rFonts w:ascii="宋体" w:hAnsi="宋体" w:cs="宋体"/>
          <w:b/>
          <w:bCs/>
          <w:szCs w:val="21"/>
          <w:highlight w:val="none"/>
        </w:rPr>
      </w:pPr>
    </w:p>
    <w:p>
      <w:pPr>
        <w:adjustRightInd w:val="0"/>
        <w:snapToGrid w:val="0"/>
        <w:spacing w:before="156" w:beforeLines="50" w:after="156" w:afterLines="50" w:line="360" w:lineRule="auto"/>
        <w:outlineLvl w:val="0"/>
        <w:rPr>
          <w:rFonts w:ascii="宋体" w:hAnsi="宋体" w:cs="宋体"/>
          <w:b/>
          <w:bCs/>
          <w:szCs w:val="21"/>
          <w:highlight w:val="none"/>
        </w:rPr>
      </w:pPr>
    </w:p>
    <w:p>
      <w:pPr>
        <w:adjustRightInd w:val="0"/>
        <w:snapToGrid w:val="0"/>
        <w:spacing w:before="156" w:beforeLines="50" w:after="156" w:afterLines="50" w:line="360" w:lineRule="auto"/>
        <w:outlineLvl w:val="0"/>
        <w:rPr>
          <w:rFonts w:ascii="宋体" w:hAnsi="宋体" w:cs="宋体"/>
          <w:b/>
          <w:bCs/>
          <w:szCs w:val="21"/>
          <w:highlight w:val="none"/>
        </w:rPr>
      </w:pPr>
    </w:p>
    <w:p>
      <w:pPr>
        <w:rPr>
          <w:rFonts w:ascii="宋体" w:hAnsi="宋体" w:cs="宋体"/>
          <w:b/>
          <w:bCs/>
          <w:szCs w:val="21"/>
          <w:highlight w:val="none"/>
        </w:rPr>
      </w:pPr>
    </w:p>
    <w:p>
      <w:pPr>
        <w:pStyle w:val="35"/>
        <w:rPr>
          <w:rFonts w:ascii="宋体" w:hAnsi="宋体" w:cs="宋体"/>
          <w:sz w:val="21"/>
          <w:szCs w:val="21"/>
          <w:highlight w:val="none"/>
          <w:lang w:val="zh-CN"/>
        </w:rPr>
      </w:pPr>
    </w:p>
    <w:p>
      <w:pPr>
        <w:adjustRightInd w:val="0"/>
        <w:snapToGrid w:val="0"/>
        <w:spacing w:before="156" w:beforeLines="50" w:after="156" w:afterLines="50" w:line="360" w:lineRule="auto"/>
        <w:jc w:val="center"/>
        <w:outlineLvl w:val="0"/>
        <w:rPr>
          <w:rFonts w:ascii="Times New Roman" w:hAnsi="Times New Roman"/>
          <w:b/>
          <w:bCs/>
          <w:sz w:val="28"/>
          <w:szCs w:val="28"/>
          <w:highlight w:val="none"/>
        </w:rPr>
      </w:pPr>
      <w:bookmarkStart w:id="102" w:name="_Toc15548"/>
      <w:r>
        <w:rPr>
          <w:rFonts w:hint="eastAsia" w:ascii="宋体" w:hAnsi="宋体" w:cs="宋体"/>
          <w:b/>
          <w:bCs/>
          <w:szCs w:val="21"/>
          <w:highlight w:val="none"/>
        </w:rPr>
        <w:br w:type="page"/>
      </w:r>
      <w:r>
        <w:rPr>
          <w:rFonts w:hint="eastAsia" w:ascii="Times New Roman" w:hAnsi="Times New Roman"/>
          <w:b/>
          <w:bCs/>
          <w:sz w:val="28"/>
          <w:szCs w:val="28"/>
          <w:highlight w:val="none"/>
        </w:rPr>
        <w:t>第七章  投标文件格式</w:t>
      </w:r>
      <w:bookmarkEnd w:id="102"/>
    </w:p>
    <w:p>
      <w:pPr>
        <w:adjustRightInd w:val="0"/>
        <w:snapToGrid w:val="0"/>
        <w:spacing w:before="156" w:beforeLines="50" w:after="156" w:afterLines="50" w:line="360" w:lineRule="auto"/>
        <w:jc w:val="center"/>
        <w:outlineLvl w:val="0"/>
        <w:rPr>
          <w:rFonts w:ascii="Times New Roman" w:hAnsi="Times New Roman"/>
          <w:b/>
          <w:bCs/>
          <w:sz w:val="28"/>
          <w:szCs w:val="28"/>
          <w:highlight w:val="none"/>
          <w:lang w:eastAsia="zh-TW"/>
        </w:rPr>
      </w:pPr>
      <w:bookmarkStart w:id="103" w:name="_Toc26145"/>
      <w:r>
        <w:rPr>
          <w:rFonts w:hint="eastAsia" w:ascii="Times New Roman" w:hAnsi="Times New Roman"/>
          <w:b/>
          <w:bCs/>
          <w:sz w:val="28"/>
          <w:szCs w:val="28"/>
          <w:highlight w:val="none"/>
          <w:lang w:eastAsia="zh-TW"/>
        </w:rPr>
        <w:t>投标文件包装封面参考</w:t>
      </w:r>
      <w:bookmarkEnd w:id="103"/>
    </w:p>
    <w:tbl>
      <w:tblPr>
        <w:tblStyle w:val="25"/>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tcPr>
          <w:p>
            <w:pPr>
              <w:pStyle w:val="14"/>
              <w:spacing w:line="360" w:lineRule="auto"/>
              <w:ind w:firstLine="422" w:firstLineChars="150"/>
              <w:rPr>
                <w:rFonts w:ascii="宋体" w:hAnsi="宋体" w:cs="宋体"/>
                <w:b/>
                <w:sz w:val="28"/>
                <w:szCs w:val="28"/>
                <w:highlight w:val="none"/>
              </w:rPr>
            </w:pPr>
          </w:p>
          <w:p>
            <w:pPr>
              <w:pStyle w:val="14"/>
              <w:spacing w:line="360" w:lineRule="auto"/>
              <w:ind w:firstLine="422" w:firstLineChars="150"/>
              <w:rPr>
                <w:rFonts w:ascii="宋体" w:hAnsi="宋体" w:cs="宋体"/>
                <w:b/>
                <w:sz w:val="28"/>
                <w:szCs w:val="28"/>
                <w:highlight w:val="none"/>
              </w:rPr>
            </w:pPr>
          </w:p>
          <w:p>
            <w:pPr>
              <w:pStyle w:val="14"/>
              <w:spacing w:line="360" w:lineRule="auto"/>
              <w:ind w:firstLine="422" w:firstLineChars="150"/>
              <w:rPr>
                <w:rFonts w:ascii="宋体" w:hAnsi="宋体" w:cs="宋体"/>
                <w:b/>
                <w:sz w:val="28"/>
                <w:szCs w:val="28"/>
                <w:highlight w:val="none"/>
              </w:rPr>
            </w:pPr>
          </w:p>
          <w:p>
            <w:pPr>
              <w:pStyle w:val="14"/>
              <w:spacing w:line="360" w:lineRule="auto"/>
              <w:jc w:val="center"/>
              <w:rPr>
                <w:rFonts w:ascii="黑体" w:hAnsi="Times New Roman" w:eastAsia="黑体"/>
                <w:b/>
                <w:sz w:val="72"/>
                <w:szCs w:val="72"/>
                <w:highlight w:val="none"/>
              </w:rPr>
            </w:pPr>
            <w:r>
              <w:rPr>
                <w:rFonts w:hint="eastAsia" w:ascii="黑体" w:hAnsi="Times New Roman" w:eastAsia="黑体"/>
                <w:b/>
                <w:sz w:val="72"/>
                <w:szCs w:val="72"/>
                <w:highlight w:val="none"/>
              </w:rPr>
              <w:t>投 标 文 件</w:t>
            </w:r>
          </w:p>
          <w:p>
            <w:pPr>
              <w:pStyle w:val="14"/>
              <w:spacing w:line="360" w:lineRule="auto"/>
              <w:jc w:val="center"/>
              <w:rPr>
                <w:rFonts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开标信封</w:t>
            </w:r>
          </w:p>
          <w:p>
            <w:pPr>
              <w:pStyle w:val="14"/>
              <w:spacing w:line="360" w:lineRule="auto"/>
              <w:ind w:firstLine="3654" w:firstLineChars="700"/>
              <w:rPr>
                <w:rFonts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正本</w:t>
            </w:r>
          </w:p>
          <w:p>
            <w:pPr>
              <w:pStyle w:val="14"/>
              <w:spacing w:line="360" w:lineRule="auto"/>
              <w:ind w:firstLine="3654" w:firstLineChars="700"/>
              <w:rPr>
                <w:rFonts w:ascii="黑体" w:eastAsia="黑体"/>
                <w:b/>
                <w:sz w:val="32"/>
                <w:highlight w:val="none"/>
              </w:rPr>
            </w:pPr>
            <w:r>
              <w:rPr>
                <w:rFonts w:hint="eastAsia" w:ascii="黑体" w:eastAsia="黑体"/>
                <w:b/>
                <w:sz w:val="52"/>
                <w:szCs w:val="52"/>
                <w:highlight w:val="none"/>
              </w:rPr>
              <w:t xml:space="preserve">口 </w:t>
            </w:r>
            <w:r>
              <w:rPr>
                <w:rFonts w:hint="eastAsia" w:ascii="黑体" w:eastAsia="黑体"/>
                <w:b/>
                <w:sz w:val="32"/>
                <w:highlight w:val="none"/>
              </w:rPr>
              <w:t>副本</w:t>
            </w:r>
          </w:p>
          <w:p>
            <w:pPr>
              <w:pStyle w:val="14"/>
              <w:spacing w:line="360" w:lineRule="auto"/>
              <w:rPr>
                <w:rFonts w:ascii="宋体" w:hAnsi="宋体" w:cs="宋体"/>
                <w:b/>
                <w:sz w:val="28"/>
                <w:szCs w:val="28"/>
                <w:highlight w:val="none"/>
              </w:rPr>
            </w:pPr>
          </w:p>
          <w:p>
            <w:pPr>
              <w:pStyle w:val="14"/>
              <w:spacing w:line="400" w:lineRule="exact"/>
              <w:ind w:firstLine="900" w:firstLineChars="320"/>
              <w:rPr>
                <w:rFonts w:ascii="仿宋_GB2312" w:hAnsi="Times New Roman" w:eastAsia="仿宋_GB2312"/>
                <w:b/>
                <w:sz w:val="28"/>
                <w:szCs w:val="28"/>
                <w:highlight w:val="none"/>
              </w:rPr>
            </w:pPr>
            <w:r>
              <w:rPr>
                <w:rFonts w:hint="eastAsia" w:ascii="仿宋_GB2312" w:hAnsi="Times New Roman" w:eastAsia="仿宋_GB2312"/>
                <w:b/>
                <w:sz w:val="28"/>
                <w:szCs w:val="28"/>
                <w:highlight w:val="none"/>
              </w:rPr>
              <w:t>项目编号：GDZC-22GZ131</w:t>
            </w:r>
          </w:p>
          <w:p>
            <w:pPr>
              <w:pStyle w:val="14"/>
              <w:spacing w:line="400" w:lineRule="exact"/>
              <w:ind w:firstLine="900" w:firstLineChars="320"/>
              <w:rPr>
                <w:rFonts w:ascii="仿宋_GB2312" w:hAnsi="Times New Roman" w:eastAsia="仿宋_GB2312"/>
                <w:b/>
                <w:sz w:val="28"/>
                <w:szCs w:val="28"/>
                <w:highlight w:val="none"/>
              </w:rPr>
            </w:pPr>
            <w:r>
              <w:rPr>
                <w:rFonts w:hint="eastAsia" w:ascii="仿宋_GB2312" w:hAnsi="Times New Roman" w:eastAsia="仿宋_GB2312"/>
                <w:b/>
                <w:sz w:val="28"/>
                <w:szCs w:val="28"/>
                <w:highlight w:val="none"/>
              </w:rPr>
              <w:t>项目名称：承展千灯湖酒店餐饮餐调料、蛋奶、粮油类采购</w:t>
            </w:r>
          </w:p>
          <w:p>
            <w:pPr>
              <w:pStyle w:val="14"/>
              <w:spacing w:line="400" w:lineRule="exact"/>
              <w:ind w:firstLine="900" w:firstLineChars="320"/>
              <w:rPr>
                <w:rFonts w:ascii="仿宋_GB2312" w:hAnsi="Times New Roman" w:eastAsia="仿宋_GB2312"/>
                <w:b/>
                <w:sz w:val="28"/>
                <w:szCs w:val="28"/>
                <w:highlight w:val="none"/>
              </w:rPr>
            </w:pPr>
            <w:r>
              <w:rPr>
                <w:rFonts w:hint="eastAsia" w:ascii="仿宋_GB2312" w:hAnsi="Times New Roman" w:eastAsia="仿宋_GB2312"/>
                <w:b/>
                <w:sz w:val="28"/>
                <w:szCs w:val="28"/>
                <w:highlight w:val="none"/>
              </w:rPr>
              <w:t>投标人名称：</w:t>
            </w:r>
          </w:p>
          <w:p>
            <w:pPr>
              <w:pStyle w:val="14"/>
              <w:spacing w:line="400" w:lineRule="exact"/>
              <w:ind w:firstLine="900" w:firstLineChars="320"/>
              <w:rPr>
                <w:rFonts w:ascii="仿宋_GB2312" w:hAnsi="Times New Roman" w:eastAsia="仿宋_GB2312"/>
                <w:b/>
                <w:sz w:val="28"/>
                <w:szCs w:val="28"/>
                <w:highlight w:val="none"/>
              </w:rPr>
            </w:pPr>
            <w:r>
              <w:rPr>
                <w:rFonts w:hint="eastAsia" w:ascii="仿宋_GB2312" w:hAnsi="Times New Roman" w:eastAsia="仿宋_GB2312"/>
                <w:b/>
                <w:sz w:val="28"/>
                <w:szCs w:val="28"/>
                <w:highlight w:val="none"/>
              </w:rPr>
              <w:t>投标人地址：</w:t>
            </w:r>
          </w:p>
          <w:p>
            <w:pPr>
              <w:pStyle w:val="14"/>
              <w:spacing w:line="400" w:lineRule="exact"/>
              <w:ind w:firstLine="900" w:firstLineChars="320"/>
              <w:rPr>
                <w:rFonts w:ascii="仿宋_GB2312" w:hAnsi="Times New Roman" w:eastAsia="仿宋_GB2312"/>
                <w:b/>
                <w:sz w:val="28"/>
                <w:szCs w:val="28"/>
                <w:highlight w:val="none"/>
              </w:rPr>
            </w:pPr>
            <w:r>
              <w:rPr>
                <w:rFonts w:hint="eastAsia" w:ascii="仿宋_GB2312" w:hAnsi="Times New Roman" w:eastAsia="仿宋_GB2312"/>
                <w:b/>
                <w:sz w:val="28"/>
                <w:szCs w:val="28"/>
                <w:highlight w:val="none"/>
              </w:rPr>
              <w:t xml:space="preserve">递交地址： </w:t>
            </w:r>
          </w:p>
          <w:p>
            <w:pPr>
              <w:tabs>
                <w:tab w:val="left" w:pos="851"/>
              </w:tabs>
              <w:autoSpaceDE w:val="0"/>
              <w:autoSpaceDN w:val="0"/>
              <w:adjustRightInd w:val="0"/>
              <w:snapToGrid w:val="0"/>
              <w:spacing w:line="420" w:lineRule="auto"/>
              <w:rPr>
                <w:rFonts w:ascii="宋体" w:hAnsi="宋体" w:cs="宋体"/>
                <w:b/>
                <w:sz w:val="28"/>
                <w:szCs w:val="28"/>
                <w:highlight w:val="none"/>
              </w:rPr>
            </w:pPr>
            <w:r>
              <w:rPr>
                <w:rFonts w:hint="eastAsia" w:ascii="宋体" w:hAnsi="宋体" w:cs="宋体"/>
                <w:b/>
                <w:sz w:val="28"/>
                <w:szCs w:val="28"/>
                <w:highlight w:val="none"/>
              </w:rPr>
              <w:t xml:space="preserve">     </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时</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分)之前不得启封</w:t>
            </w:r>
          </w:p>
        </w:tc>
      </w:tr>
    </w:tbl>
    <w:p>
      <w:pPr>
        <w:autoSpaceDE w:val="0"/>
        <w:autoSpaceDN w:val="0"/>
        <w:adjustRightInd w:val="0"/>
        <w:snapToGrid w:val="0"/>
        <w:spacing w:before="312" w:beforeLines="100" w:after="312" w:afterLines="100" w:line="360" w:lineRule="auto"/>
        <w:ind w:left="720"/>
        <w:jc w:val="center"/>
        <w:outlineLvl w:val="0"/>
        <w:rPr>
          <w:rFonts w:ascii="宋体" w:hAnsi="宋体"/>
          <w:b/>
          <w:sz w:val="28"/>
          <w:szCs w:val="28"/>
          <w:highlight w:val="none"/>
          <w:lang w:eastAsia="zh-TW"/>
        </w:rPr>
      </w:pPr>
      <w:bookmarkStart w:id="104" w:name="_Toc1718"/>
      <w:bookmarkStart w:id="105" w:name="_Toc275865604"/>
      <w:bookmarkStart w:id="106" w:name="_Toc10905"/>
      <w:r>
        <w:rPr>
          <w:rFonts w:hint="eastAsia" w:ascii="宋体" w:hAnsi="宋体"/>
          <w:b/>
          <w:sz w:val="28"/>
          <w:szCs w:val="28"/>
          <w:highlight w:val="none"/>
          <w:lang w:eastAsia="zh-TW"/>
        </w:rPr>
        <w:t>投标文件目录表</w:t>
      </w:r>
      <w:bookmarkEnd w:id="104"/>
      <w:bookmarkEnd w:id="105"/>
      <w:bookmarkEnd w:id="106"/>
      <w:bookmarkStart w:id="107" w:name="投标文件目录表"/>
      <w:bookmarkEnd w:id="107"/>
    </w:p>
    <w:p>
      <w:pPr>
        <w:rPr>
          <w:rFonts w:ascii="宋体" w:hAnsi="宋体"/>
          <w:bCs/>
          <w:szCs w:val="21"/>
          <w:highlight w:val="none"/>
          <w:lang w:eastAsia="zh-TW"/>
        </w:rPr>
      </w:pPr>
      <w:r>
        <w:rPr>
          <w:rFonts w:hint="eastAsia" w:ascii="宋体" w:hAnsi="宋体"/>
          <w:bCs/>
          <w:szCs w:val="21"/>
          <w:highlight w:val="none"/>
          <w:lang w:eastAsia="zh-TW"/>
        </w:rPr>
        <w:t>项目名称：</w:t>
      </w:r>
      <w:r>
        <w:rPr>
          <w:rFonts w:hint="eastAsia" w:ascii="宋体" w:hAnsi="宋体"/>
          <w:bCs/>
          <w:szCs w:val="21"/>
          <w:highlight w:val="none"/>
        </w:rPr>
        <w:t>承展千灯湖酒店餐饮餐调料、蛋奶、粮油类采购</w:t>
      </w:r>
    </w:p>
    <w:p>
      <w:pPr>
        <w:rPr>
          <w:rFonts w:ascii="宋体" w:hAnsi="宋体"/>
          <w:bCs/>
          <w:szCs w:val="21"/>
          <w:highlight w:val="none"/>
          <w:lang w:eastAsia="zh-TW"/>
        </w:rPr>
      </w:pPr>
      <w:r>
        <w:rPr>
          <w:rFonts w:hint="eastAsia" w:ascii="宋体" w:hAnsi="宋体"/>
          <w:bCs/>
          <w:szCs w:val="21"/>
          <w:highlight w:val="none"/>
          <w:lang w:eastAsia="zh-TW"/>
        </w:rPr>
        <w:t>项目编号：</w:t>
      </w:r>
      <w:r>
        <w:rPr>
          <w:rFonts w:hint="eastAsia" w:ascii="宋体" w:hAnsi="宋体"/>
          <w:bCs/>
          <w:szCs w:val="21"/>
          <w:highlight w:val="none"/>
        </w:rPr>
        <w:t>GDZC-22GZ131</w:t>
      </w:r>
      <w:r>
        <w:rPr>
          <w:rFonts w:hint="eastAsia" w:ascii="宋体" w:hAnsi="宋体"/>
          <w:bCs/>
          <w:szCs w:val="21"/>
          <w:highlight w:val="none"/>
          <w:lang w:eastAsia="zh-TW"/>
        </w:rPr>
        <w:t xml:space="preserve"> </w:t>
      </w:r>
    </w:p>
    <w:tbl>
      <w:tblPr>
        <w:tblStyle w:val="25"/>
        <w:tblW w:w="9534"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7"/>
        <w:gridCol w:w="547"/>
        <w:gridCol w:w="4584"/>
        <w:gridCol w:w="627"/>
        <w:gridCol w:w="594"/>
        <w:gridCol w:w="727"/>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right"/>
        </w:trPr>
        <w:tc>
          <w:tcPr>
            <w:tcW w:w="1727" w:type="dxa"/>
            <w:vMerge w:val="restart"/>
            <w:shd w:val="clear" w:color="auto" w:fill="EEECE1"/>
            <w:vAlign w:val="center"/>
          </w:tcPr>
          <w:p>
            <w:pPr>
              <w:jc w:val="center"/>
              <w:rPr>
                <w:rFonts w:ascii="宋体" w:hAnsi="宋体" w:cs="宋体"/>
                <w:b/>
                <w:szCs w:val="21"/>
                <w:highlight w:val="none"/>
              </w:rPr>
            </w:pPr>
            <w:r>
              <w:rPr>
                <w:rFonts w:hint="eastAsia" w:ascii="宋体" w:hAnsi="宋体" w:cs="宋体"/>
                <w:b/>
                <w:szCs w:val="21"/>
                <w:highlight w:val="none"/>
              </w:rPr>
              <w:t>文件类型</w:t>
            </w:r>
          </w:p>
        </w:tc>
        <w:tc>
          <w:tcPr>
            <w:tcW w:w="547" w:type="dxa"/>
            <w:vMerge w:val="restart"/>
            <w:shd w:val="clear" w:color="auto" w:fill="EEECE1"/>
            <w:vAlign w:val="center"/>
          </w:tcPr>
          <w:p>
            <w:pPr>
              <w:ind w:left="-105" w:leftChars="-50" w:right="-109" w:rightChars="-52"/>
              <w:jc w:val="center"/>
              <w:rPr>
                <w:rFonts w:ascii="宋体" w:hAnsi="宋体" w:cs="宋体"/>
                <w:b/>
                <w:szCs w:val="21"/>
                <w:highlight w:val="none"/>
              </w:rPr>
            </w:pPr>
            <w:r>
              <w:rPr>
                <w:rFonts w:hint="eastAsia" w:ascii="宋体" w:hAnsi="宋体" w:cs="宋体"/>
                <w:b/>
                <w:szCs w:val="21"/>
                <w:highlight w:val="none"/>
              </w:rPr>
              <w:t>序号</w:t>
            </w:r>
          </w:p>
        </w:tc>
        <w:tc>
          <w:tcPr>
            <w:tcW w:w="4584" w:type="dxa"/>
            <w:vMerge w:val="restart"/>
            <w:shd w:val="clear" w:color="auto" w:fill="EEECE1"/>
            <w:vAlign w:val="center"/>
          </w:tcPr>
          <w:p>
            <w:pPr>
              <w:jc w:val="center"/>
              <w:rPr>
                <w:rFonts w:ascii="宋体" w:hAnsi="宋体" w:cs="宋体"/>
                <w:b/>
                <w:szCs w:val="21"/>
                <w:highlight w:val="none"/>
              </w:rPr>
            </w:pPr>
            <w:r>
              <w:rPr>
                <w:rFonts w:hint="eastAsia" w:ascii="宋体" w:hAnsi="宋体" w:cs="宋体"/>
                <w:b/>
                <w:szCs w:val="21"/>
                <w:highlight w:val="none"/>
              </w:rPr>
              <w:t>文    件    名    称</w:t>
            </w:r>
          </w:p>
        </w:tc>
        <w:tc>
          <w:tcPr>
            <w:tcW w:w="1221" w:type="dxa"/>
            <w:gridSpan w:val="2"/>
            <w:shd w:val="clear" w:color="auto" w:fill="EEECE1"/>
            <w:vAlign w:val="center"/>
          </w:tcPr>
          <w:p>
            <w:pPr>
              <w:jc w:val="center"/>
              <w:rPr>
                <w:rFonts w:ascii="宋体" w:hAnsi="宋体" w:cs="宋体"/>
                <w:b/>
                <w:szCs w:val="21"/>
                <w:highlight w:val="none"/>
              </w:rPr>
            </w:pPr>
            <w:r>
              <w:rPr>
                <w:rFonts w:hint="eastAsia" w:ascii="宋体" w:hAnsi="宋体" w:cs="宋体"/>
                <w:b/>
                <w:szCs w:val="21"/>
                <w:highlight w:val="none"/>
              </w:rPr>
              <w:t>提交情况</w:t>
            </w:r>
          </w:p>
        </w:tc>
        <w:tc>
          <w:tcPr>
            <w:tcW w:w="727" w:type="dxa"/>
            <w:vMerge w:val="restart"/>
            <w:shd w:val="clear" w:color="auto" w:fill="EEECE1"/>
            <w:vAlign w:val="center"/>
          </w:tcPr>
          <w:p>
            <w:pPr>
              <w:jc w:val="center"/>
              <w:rPr>
                <w:rFonts w:ascii="宋体" w:hAnsi="宋体" w:cs="宋体"/>
                <w:b/>
                <w:szCs w:val="21"/>
                <w:highlight w:val="none"/>
              </w:rPr>
            </w:pPr>
            <w:r>
              <w:rPr>
                <w:rFonts w:hint="eastAsia" w:ascii="宋体" w:hAnsi="宋体" w:cs="宋体"/>
                <w:b/>
                <w:szCs w:val="21"/>
                <w:highlight w:val="none"/>
              </w:rPr>
              <w:t>页码范围</w:t>
            </w:r>
          </w:p>
        </w:tc>
        <w:tc>
          <w:tcPr>
            <w:tcW w:w="728" w:type="dxa"/>
            <w:vMerge w:val="restart"/>
            <w:shd w:val="clear" w:color="auto" w:fill="EEECE1"/>
            <w:vAlign w:val="center"/>
          </w:tcPr>
          <w:p>
            <w:pPr>
              <w:jc w:val="center"/>
              <w:rPr>
                <w:rFonts w:ascii="宋体" w:hAnsi="宋体" w:cs="宋体"/>
                <w:b/>
                <w:szCs w:val="21"/>
                <w:highlight w:val="none"/>
              </w:rPr>
            </w:pPr>
            <w:r>
              <w:rPr>
                <w:rFonts w:hint="eastAsia" w:ascii="宋体" w:hAnsi="宋体" w:cs="宋体"/>
                <w:b/>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right"/>
        </w:trPr>
        <w:tc>
          <w:tcPr>
            <w:tcW w:w="1727" w:type="dxa"/>
            <w:vMerge w:val="continue"/>
            <w:shd w:val="clear" w:color="auto" w:fill="EEECE1"/>
            <w:vAlign w:val="center"/>
          </w:tcPr>
          <w:p>
            <w:pPr>
              <w:jc w:val="center"/>
              <w:rPr>
                <w:rFonts w:ascii="宋体" w:hAnsi="宋体" w:cs="宋体"/>
                <w:szCs w:val="21"/>
                <w:highlight w:val="none"/>
              </w:rPr>
            </w:pPr>
          </w:p>
        </w:tc>
        <w:tc>
          <w:tcPr>
            <w:tcW w:w="547" w:type="dxa"/>
            <w:vMerge w:val="continue"/>
            <w:shd w:val="clear" w:color="auto" w:fill="EEECE1"/>
            <w:vAlign w:val="center"/>
          </w:tcPr>
          <w:p>
            <w:pPr>
              <w:rPr>
                <w:rFonts w:ascii="宋体" w:hAnsi="宋体" w:cs="宋体"/>
                <w:szCs w:val="21"/>
                <w:highlight w:val="none"/>
              </w:rPr>
            </w:pPr>
          </w:p>
        </w:tc>
        <w:tc>
          <w:tcPr>
            <w:tcW w:w="4584" w:type="dxa"/>
            <w:vMerge w:val="continue"/>
            <w:shd w:val="clear" w:color="auto" w:fill="EEECE1"/>
            <w:vAlign w:val="center"/>
          </w:tcPr>
          <w:p>
            <w:pPr>
              <w:rPr>
                <w:rFonts w:ascii="宋体" w:hAnsi="宋体" w:cs="宋体"/>
                <w:szCs w:val="21"/>
                <w:highlight w:val="none"/>
              </w:rPr>
            </w:pPr>
          </w:p>
        </w:tc>
        <w:tc>
          <w:tcPr>
            <w:tcW w:w="627" w:type="dxa"/>
            <w:shd w:val="clear" w:color="auto" w:fill="EEECE1"/>
            <w:vAlign w:val="center"/>
          </w:tcPr>
          <w:p>
            <w:pPr>
              <w:jc w:val="center"/>
              <w:rPr>
                <w:rFonts w:ascii="宋体" w:hAnsi="宋体" w:cs="宋体"/>
                <w:b/>
                <w:szCs w:val="21"/>
                <w:highlight w:val="none"/>
              </w:rPr>
            </w:pPr>
            <w:r>
              <w:rPr>
                <w:rFonts w:hint="eastAsia" w:ascii="宋体" w:hAnsi="宋体" w:cs="宋体"/>
                <w:b/>
                <w:szCs w:val="21"/>
                <w:highlight w:val="none"/>
              </w:rPr>
              <w:t>有</w:t>
            </w:r>
          </w:p>
        </w:tc>
        <w:tc>
          <w:tcPr>
            <w:tcW w:w="594" w:type="dxa"/>
            <w:shd w:val="clear" w:color="auto" w:fill="EEECE1"/>
            <w:vAlign w:val="center"/>
          </w:tcPr>
          <w:p>
            <w:pPr>
              <w:jc w:val="center"/>
              <w:rPr>
                <w:rFonts w:ascii="宋体" w:hAnsi="宋体" w:cs="宋体"/>
                <w:b/>
                <w:szCs w:val="21"/>
                <w:highlight w:val="none"/>
              </w:rPr>
            </w:pPr>
            <w:r>
              <w:rPr>
                <w:rFonts w:hint="eastAsia" w:ascii="宋体" w:hAnsi="宋体" w:cs="宋体"/>
                <w:b/>
                <w:szCs w:val="21"/>
                <w:highlight w:val="none"/>
              </w:rPr>
              <w:t>无</w:t>
            </w:r>
          </w:p>
        </w:tc>
        <w:tc>
          <w:tcPr>
            <w:tcW w:w="727" w:type="dxa"/>
            <w:vMerge w:val="continue"/>
            <w:shd w:val="clear" w:color="auto" w:fill="EEECE1"/>
            <w:vAlign w:val="center"/>
          </w:tcPr>
          <w:p>
            <w:pPr>
              <w:jc w:val="center"/>
              <w:rPr>
                <w:rFonts w:ascii="宋体" w:hAnsi="宋体" w:cs="宋体"/>
                <w:szCs w:val="21"/>
                <w:highlight w:val="none"/>
              </w:rPr>
            </w:pPr>
          </w:p>
        </w:tc>
        <w:tc>
          <w:tcPr>
            <w:tcW w:w="728" w:type="dxa"/>
            <w:vMerge w:val="continue"/>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restart"/>
            <w:shd w:val="clear" w:color="auto" w:fill="auto"/>
            <w:vAlign w:val="center"/>
          </w:tcPr>
          <w:p>
            <w:pPr>
              <w:jc w:val="center"/>
              <w:rPr>
                <w:rFonts w:ascii="宋体" w:hAnsi="宋体" w:cs="宋体"/>
                <w:szCs w:val="21"/>
                <w:highlight w:val="none"/>
              </w:rPr>
            </w:pPr>
            <w:r>
              <w:rPr>
                <w:rFonts w:hint="eastAsia" w:ascii="宋体" w:hAnsi="宋体" w:cs="宋体"/>
                <w:b/>
                <w:szCs w:val="21"/>
                <w:highlight w:val="none"/>
              </w:rPr>
              <w:t>初审文件（加盖投标人公章）</w:t>
            </w: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kern w:val="0"/>
                <w:szCs w:val="21"/>
                <w:highlight w:val="none"/>
              </w:rPr>
              <w:t>投标函</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kern w:val="0"/>
                <w:szCs w:val="21"/>
                <w:highlight w:val="none"/>
              </w:rPr>
              <w:t>投标人资格声明函</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bCs/>
                <w:szCs w:val="21"/>
                <w:highlight w:val="none"/>
              </w:rPr>
              <w:t>有效的营业执照复印件</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szCs w:val="21"/>
                <w:highlight w:val="none"/>
              </w:rPr>
              <w:t>财务会计制度，须提供下列任一项证明材料：</w:t>
            </w:r>
          </w:p>
          <w:p>
            <w:pPr>
              <w:rPr>
                <w:rFonts w:ascii="宋体" w:hAnsi="宋体" w:cs="宋体"/>
                <w:szCs w:val="21"/>
                <w:highlight w:val="none"/>
              </w:rPr>
            </w:pPr>
            <w:r>
              <w:rPr>
                <w:rFonts w:hint="eastAsia" w:ascii="宋体" w:hAnsi="宋体" w:cs="宋体"/>
                <w:szCs w:val="21"/>
                <w:highlight w:val="none"/>
              </w:rPr>
              <w:t>(1)2021年度经审计的财务报告及财务报表（资产负债表、利润表和现金流量表）扫描件（要求：审计报告由第三方会计师事务所或其它合法审计机构出具，须包含会计师事务所或审计机构的盖章页）(要求：审计报告由第三方会计师事务所或其它合法审计机构出具，须包含会计师事务所或审计机构的盖章页)。</w:t>
            </w:r>
          </w:p>
          <w:p>
            <w:pPr>
              <w:rPr>
                <w:rFonts w:ascii="宋体" w:hAnsi="宋体" w:cs="宋体"/>
                <w:szCs w:val="21"/>
                <w:highlight w:val="none"/>
              </w:rPr>
            </w:pPr>
            <w:r>
              <w:rPr>
                <w:rFonts w:hint="eastAsia" w:ascii="宋体" w:hAnsi="宋体" w:cs="宋体"/>
                <w:szCs w:val="21"/>
                <w:highlight w:val="none"/>
              </w:rPr>
              <w:t>(2)基本开户银行出具2022年度任意1个月的资信证明，如资信证明不能体现基本开户账户的，应另附开户许可证。无开户许可证的，可提供由银行开具的《基本存款账户信息》（公户账户主档）或其他相关证明资料，以上文件均需加盖银行印章。</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bCs/>
                <w:szCs w:val="21"/>
                <w:highlight w:val="none"/>
              </w:rPr>
              <w:t>2022年度任意1个月依法缴纳税收和社会保障资金的相关材料。如依法免税或不需要缴纳社会保障资金的，提供相应证明材料。</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szCs w:val="21"/>
                <w:highlight w:val="none"/>
              </w:rPr>
              <w:t>履行合同所必需的设备和专业技术能力的书面声明</w:t>
            </w:r>
            <w:r>
              <w:rPr>
                <w:rFonts w:hint="eastAsia" w:ascii="宋体" w:hAnsi="宋体" w:cs="宋体"/>
                <w:kern w:val="0"/>
                <w:szCs w:val="21"/>
                <w:highlight w:val="none"/>
              </w:rPr>
              <w:t>（提供《投标人资格声明函》）。</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bCs/>
                <w:szCs w:val="21"/>
                <w:highlight w:val="none"/>
              </w:rPr>
              <w:t>参与本项目采购活动前三年内，在经营活动中没有重大违法记录的书面声明</w:t>
            </w:r>
            <w:r>
              <w:rPr>
                <w:rFonts w:hint="eastAsia" w:ascii="宋体" w:hAnsi="宋体" w:cs="宋体"/>
                <w:kern w:val="0"/>
                <w:szCs w:val="21"/>
                <w:highlight w:val="none"/>
              </w:rPr>
              <w:t>（提供《投标人资格声明函》）。</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kern w:val="0"/>
                <w:szCs w:val="21"/>
                <w:highlight w:val="none"/>
              </w:rPr>
            </w:pPr>
            <w:r>
              <w:rPr>
                <w:rFonts w:hint="eastAsia" w:ascii="宋体" w:hAnsi="宋体" w:cs="宋体"/>
                <w:szCs w:val="21"/>
                <w:highlight w:val="none"/>
              </w:rPr>
              <w:t>法定代表人授权委托书</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rPr>
                <w:rFonts w:ascii="宋体" w:hAnsi="宋体" w:cs="宋体"/>
                <w:kern w:val="0"/>
                <w:szCs w:val="21"/>
                <w:highlight w:val="none"/>
              </w:rPr>
            </w:pPr>
            <w:r>
              <w:rPr>
                <w:rFonts w:hint="eastAsia" w:ascii="宋体" w:hAnsi="宋体" w:cs="宋体"/>
                <w:szCs w:val="21"/>
                <w:highlight w:val="none"/>
              </w:rPr>
              <w:t>法定代表人证明书</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wordWrap w:val="0"/>
              <w:rPr>
                <w:rFonts w:hint="eastAsia" w:ascii="宋体" w:hAnsi="宋体" w:eastAsia="宋体" w:cs="宋体"/>
                <w:kern w:val="0"/>
                <w:szCs w:val="21"/>
                <w:highlight w:val="none"/>
                <w:lang w:eastAsia="zh-CN"/>
              </w:rPr>
            </w:pPr>
            <w:r>
              <w:rPr>
                <w:rFonts w:hint="eastAsia" w:ascii="宋体" w:hAnsi="宋体" w:cs="宋体"/>
                <w:bCs/>
                <w:szCs w:val="21"/>
                <w:highlight w:val="none"/>
                <w:lang w:eastAsia="zh-CN"/>
              </w:rPr>
              <w:t>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招标代理机构于投标截止日当天在“信用中国”网站（www.creditchina.gov.cn）及中国政府采购网（http://www.ccgp.gov.cn/）查询结果为准，如相关失信记录已失效，投标人需提供相关证明资料】</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wordWrap w:val="0"/>
              <w:rPr>
                <w:rFonts w:hint="eastAsia" w:ascii="宋体" w:hAnsi="宋体" w:eastAsia="宋体" w:cs="宋体"/>
                <w:bCs/>
                <w:szCs w:val="21"/>
                <w:highlight w:val="none"/>
                <w:lang w:eastAsia="zh-CN"/>
              </w:rPr>
            </w:pPr>
            <w:r>
              <w:rPr>
                <w:rFonts w:hint="eastAsia" w:ascii="宋体" w:hAnsi="宋体" w:cs="宋体"/>
                <w:bCs/>
                <w:szCs w:val="20"/>
                <w:highlight w:val="none"/>
              </w:rPr>
              <w:t>具有有效《食品经营许可证》或《食品生产许可证》的，提供证书扫描件；如供应商的《食品经营许可证》与营业执照合并办理的，提供扫描营业执照二维码后的有效备案信息截图（如国家另有规定，则适用其规定）</w:t>
            </w:r>
            <w:r>
              <w:rPr>
                <w:rFonts w:hint="eastAsia" w:ascii="宋体" w:hAnsi="宋体" w:cs="宋体"/>
                <w:bCs/>
                <w:szCs w:val="20"/>
                <w:highlight w:val="none"/>
                <w:lang w:eastAsia="zh-CN"/>
              </w:rPr>
              <w:t>。</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7"/>
              </w:numPr>
              <w:jc w:val="center"/>
              <w:rPr>
                <w:rFonts w:ascii="宋体" w:hAnsi="宋体" w:cs="宋体"/>
                <w:szCs w:val="21"/>
                <w:highlight w:val="none"/>
              </w:rPr>
            </w:pPr>
          </w:p>
        </w:tc>
        <w:tc>
          <w:tcPr>
            <w:tcW w:w="4584" w:type="dxa"/>
            <w:shd w:val="clear" w:color="auto" w:fill="auto"/>
            <w:vAlign w:val="center"/>
          </w:tcPr>
          <w:p>
            <w:pPr>
              <w:wordWrap w:val="0"/>
              <w:rPr>
                <w:rFonts w:ascii="宋体" w:hAnsi="宋体" w:cs="宋体"/>
                <w:bCs/>
                <w:szCs w:val="21"/>
                <w:highlight w:val="none"/>
              </w:rPr>
            </w:pPr>
            <w:r>
              <w:rPr>
                <w:rFonts w:hint="eastAsia" w:ascii="宋体" w:hAnsi="宋体" w:cs="宋体"/>
                <w:bCs/>
                <w:szCs w:val="21"/>
                <w:highlight w:val="none"/>
              </w:rPr>
              <w:t>实质性响应一览表</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restart"/>
            <w:shd w:val="clear" w:color="auto" w:fill="auto"/>
            <w:vAlign w:val="center"/>
          </w:tcPr>
          <w:p>
            <w:pPr>
              <w:ind w:left="113" w:right="113"/>
              <w:jc w:val="center"/>
              <w:rPr>
                <w:rFonts w:ascii="宋体" w:hAnsi="宋体" w:cs="宋体"/>
                <w:szCs w:val="21"/>
                <w:highlight w:val="none"/>
              </w:rPr>
            </w:pPr>
            <w:r>
              <w:rPr>
                <w:rFonts w:hint="eastAsia" w:ascii="宋体" w:hAnsi="宋体" w:cs="宋体"/>
                <w:b/>
                <w:szCs w:val="21"/>
                <w:highlight w:val="none"/>
              </w:rPr>
              <w:t>投标人应提交的技术文件（</w:t>
            </w:r>
            <w:r>
              <w:rPr>
                <w:rFonts w:hint="eastAsia" w:ascii="宋体" w:hAnsi="宋体" w:cs="宋体"/>
                <w:b/>
                <w:bCs/>
                <w:szCs w:val="21"/>
                <w:highlight w:val="none"/>
              </w:rPr>
              <w:t>加盖投标人公章</w:t>
            </w:r>
            <w:r>
              <w:rPr>
                <w:rFonts w:hint="eastAsia" w:ascii="宋体" w:hAnsi="宋体" w:cs="宋体"/>
                <w:b/>
                <w:szCs w:val="21"/>
                <w:highlight w:val="none"/>
              </w:rPr>
              <w:t>）</w:t>
            </w:r>
          </w:p>
        </w:tc>
        <w:tc>
          <w:tcPr>
            <w:tcW w:w="547" w:type="dxa"/>
            <w:shd w:val="clear" w:color="auto" w:fill="auto"/>
            <w:vAlign w:val="center"/>
          </w:tcPr>
          <w:p>
            <w:pPr>
              <w:numPr>
                <w:ilvl w:val="0"/>
                <w:numId w:val="78"/>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szCs w:val="21"/>
                <w:highlight w:val="none"/>
              </w:rPr>
              <w:t>开标一览表(报价表)</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b/>
                <w:szCs w:val="21"/>
                <w:highlight w:val="none"/>
              </w:rPr>
            </w:pPr>
          </w:p>
        </w:tc>
        <w:tc>
          <w:tcPr>
            <w:tcW w:w="547" w:type="dxa"/>
            <w:shd w:val="clear" w:color="auto" w:fill="auto"/>
            <w:vAlign w:val="center"/>
          </w:tcPr>
          <w:p>
            <w:pPr>
              <w:numPr>
                <w:ilvl w:val="0"/>
                <w:numId w:val="78"/>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szCs w:val="21"/>
                <w:highlight w:val="none"/>
              </w:rPr>
              <w:t>投标分项报价表</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8"/>
              </w:numPr>
              <w:jc w:val="center"/>
              <w:rPr>
                <w:rFonts w:ascii="宋体" w:hAnsi="宋体" w:cs="宋体"/>
                <w:szCs w:val="21"/>
                <w:highlight w:val="none"/>
              </w:rPr>
            </w:pPr>
          </w:p>
        </w:tc>
        <w:tc>
          <w:tcPr>
            <w:tcW w:w="4584" w:type="dxa"/>
            <w:shd w:val="clear" w:color="auto" w:fill="auto"/>
            <w:vAlign w:val="center"/>
          </w:tcPr>
          <w:p>
            <w:pPr>
              <w:jc w:val="left"/>
              <w:textAlignment w:val="baseline"/>
              <w:rPr>
                <w:rFonts w:ascii="宋体" w:hAnsi="宋体" w:cs="宋体"/>
                <w:szCs w:val="21"/>
                <w:highlight w:val="none"/>
              </w:rPr>
            </w:pPr>
            <w:r>
              <w:rPr>
                <w:rFonts w:hint="eastAsia" w:ascii="宋体" w:hAnsi="宋体" w:cs="宋体"/>
                <w:szCs w:val="21"/>
                <w:highlight w:val="none"/>
              </w:rPr>
              <w:t>用户需求响应一览表</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8"/>
              </w:numPr>
              <w:jc w:val="center"/>
              <w:rPr>
                <w:rFonts w:ascii="宋体" w:hAnsi="宋体" w:cs="宋体"/>
                <w:szCs w:val="21"/>
                <w:highlight w:val="none"/>
              </w:rPr>
            </w:pPr>
          </w:p>
        </w:tc>
        <w:tc>
          <w:tcPr>
            <w:tcW w:w="4584" w:type="dxa"/>
            <w:shd w:val="clear" w:color="auto" w:fill="auto"/>
            <w:vAlign w:val="center"/>
          </w:tcPr>
          <w:p>
            <w:pPr>
              <w:jc w:val="left"/>
              <w:textAlignment w:val="baseline"/>
              <w:rPr>
                <w:rFonts w:ascii="宋体" w:hAnsi="宋体" w:cs="宋体"/>
                <w:szCs w:val="21"/>
                <w:highlight w:val="none"/>
              </w:rPr>
            </w:pPr>
            <w:r>
              <w:rPr>
                <w:rFonts w:hint="eastAsia" w:ascii="宋体" w:hAnsi="宋体" w:cs="宋体"/>
                <w:szCs w:val="21"/>
                <w:highlight w:val="none"/>
              </w:rPr>
              <w:t>投标技术服务方案</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ascii="宋体" w:hAnsi="宋体" w:cs="宋体"/>
                <w:szCs w:val="21"/>
                <w:highlight w:val="none"/>
              </w:rPr>
            </w:pPr>
          </w:p>
        </w:tc>
        <w:tc>
          <w:tcPr>
            <w:tcW w:w="547" w:type="dxa"/>
            <w:shd w:val="clear" w:color="auto" w:fill="auto"/>
            <w:vAlign w:val="center"/>
          </w:tcPr>
          <w:p>
            <w:pPr>
              <w:numPr>
                <w:ilvl w:val="0"/>
                <w:numId w:val="78"/>
              </w:numPr>
              <w:jc w:val="center"/>
              <w:rPr>
                <w:rFonts w:ascii="宋体" w:hAnsi="宋体" w:cs="宋体"/>
                <w:szCs w:val="21"/>
                <w:highlight w:val="none"/>
              </w:rPr>
            </w:pPr>
          </w:p>
        </w:tc>
        <w:tc>
          <w:tcPr>
            <w:tcW w:w="4584" w:type="dxa"/>
            <w:shd w:val="clear" w:color="auto" w:fill="auto"/>
            <w:vAlign w:val="center"/>
          </w:tcPr>
          <w:p>
            <w:pPr>
              <w:jc w:val="left"/>
              <w:textAlignment w:val="baseline"/>
              <w:rPr>
                <w:rFonts w:ascii="宋体" w:hAnsi="宋体" w:cs="宋体"/>
                <w:szCs w:val="21"/>
                <w:highlight w:val="none"/>
              </w:rPr>
            </w:pPr>
            <w:r>
              <w:rPr>
                <w:rFonts w:hint="eastAsia" w:ascii="宋体" w:hAnsi="宋体" w:cs="宋体"/>
                <w:szCs w:val="21"/>
                <w:highlight w:val="none"/>
              </w:rPr>
              <w:t>投标人认为需要提供的其它说明和资料</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restart"/>
            <w:shd w:val="clear" w:color="auto" w:fill="auto"/>
            <w:vAlign w:val="center"/>
          </w:tcPr>
          <w:p>
            <w:pPr>
              <w:jc w:val="center"/>
              <w:rPr>
                <w:rFonts w:ascii="宋体" w:hAnsi="宋体" w:cs="宋体"/>
                <w:szCs w:val="21"/>
                <w:highlight w:val="none"/>
              </w:rPr>
            </w:pPr>
            <w:r>
              <w:rPr>
                <w:rFonts w:hint="eastAsia" w:ascii="宋体" w:hAnsi="宋体" w:cs="宋体"/>
                <w:b/>
                <w:szCs w:val="21"/>
                <w:highlight w:val="none"/>
              </w:rPr>
              <w:t>投标人应提交的商务文件（</w:t>
            </w:r>
            <w:r>
              <w:rPr>
                <w:rFonts w:hint="eastAsia" w:ascii="宋体" w:hAnsi="宋体" w:cs="宋体"/>
                <w:b/>
                <w:bCs/>
                <w:szCs w:val="21"/>
                <w:highlight w:val="none"/>
              </w:rPr>
              <w:t>加盖投标人公章</w:t>
            </w:r>
            <w:r>
              <w:rPr>
                <w:rFonts w:hint="eastAsia" w:ascii="宋体" w:hAnsi="宋体" w:cs="宋体"/>
                <w:b/>
                <w:szCs w:val="21"/>
                <w:highlight w:val="none"/>
              </w:rPr>
              <w:t>）</w:t>
            </w:r>
          </w:p>
        </w:tc>
        <w:tc>
          <w:tcPr>
            <w:tcW w:w="547" w:type="dxa"/>
            <w:shd w:val="clear" w:color="auto" w:fill="auto"/>
            <w:vAlign w:val="center"/>
          </w:tcPr>
          <w:p>
            <w:pPr>
              <w:numPr>
                <w:ilvl w:val="0"/>
                <w:numId w:val="79"/>
              </w:numPr>
              <w:jc w:val="center"/>
              <w:rPr>
                <w:rFonts w:ascii="宋体" w:hAnsi="宋体" w:cs="宋体"/>
                <w:szCs w:val="21"/>
                <w:highlight w:val="none"/>
              </w:rPr>
            </w:pPr>
          </w:p>
        </w:tc>
        <w:tc>
          <w:tcPr>
            <w:tcW w:w="4584" w:type="dxa"/>
            <w:shd w:val="clear" w:color="auto" w:fill="auto"/>
            <w:vAlign w:val="center"/>
          </w:tcPr>
          <w:p>
            <w:pPr>
              <w:jc w:val="left"/>
              <w:textAlignment w:val="baseline"/>
              <w:rPr>
                <w:rFonts w:ascii="宋体" w:hAnsi="宋体" w:cs="宋体"/>
                <w:szCs w:val="21"/>
                <w:highlight w:val="none"/>
              </w:rPr>
            </w:pPr>
            <w:r>
              <w:rPr>
                <w:rFonts w:hint="eastAsia" w:ascii="宋体" w:hAnsi="宋体" w:cs="宋体"/>
                <w:szCs w:val="21"/>
                <w:highlight w:val="none"/>
              </w:rPr>
              <w:t>投标人基本情况表</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ascii="宋体" w:hAnsi="宋体" w:cs="宋体"/>
                <w:b/>
                <w:szCs w:val="21"/>
                <w:highlight w:val="none"/>
              </w:rPr>
            </w:pPr>
          </w:p>
        </w:tc>
        <w:tc>
          <w:tcPr>
            <w:tcW w:w="547" w:type="dxa"/>
            <w:shd w:val="clear" w:color="auto" w:fill="auto"/>
            <w:vAlign w:val="center"/>
          </w:tcPr>
          <w:p>
            <w:pPr>
              <w:numPr>
                <w:ilvl w:val="0"/>
                <w:numId w:val="79"/>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szCs w:val="21"/>
                <w:highlight w:val="none"/>
              </w:rPr>
              <w:t>体系认证一览表</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ascii="宋体" w:hAnsi="宋体" w:cs="宋体"/>
                <w:b/>
                <w:szCs w:val="21"/>
                <w:highlight w:val="none"/>
              </w:rPr>
            </w:pPr>
          </w:p>
        </w:tc>
        <w:tc>
          <w:tcPr>
            <w:tcW w:w="547" w:type="dxa"/>
            <w:shd w:val="clear" w:color="auto" w:fill="auto"/>
            <w:vAlign w:val="center"/>
          </w:tcPr>
          <w:p>
            <w:pPr>
              <w:numPr>
                <w:ilvl w:val="0"/>
                <w:numId w:val="79"/>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kern w:val="0"/>
                <w:szCs w:val="21"/>
                <w:highlight w:val="none"/>
              </w:rPr>
              <w:t>同类项目业绩</w:t>
            </w:r>
            <w:r>
              <w:rPr>
                <w:rFonts w:hint="eastAsia" w:ascii="宋体" w:hAnsi="宋体" w:cs="宋体"/>
                <w:szCs w:val="21"/>
                <w:highlight w:val="none"/>
              </w:rPr>
              <w:t>一览表</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ascii="宋体" w:hAnsi="宋体" w:cs="宋体"/>
                <w:szCs w:val="21"/>
                <w:highlight w:val="none"/>
              </w:rPr>
            </w:pPr>
          </w:p>
        </w:tc>
        <w:tc>
          <w:tcPr>
            <w:tcW w:w="547" w:type="dxa"/>
            <w:shd w:val="clear" w:color="auto" w:fill="auto"/>
            <w:vAlign w:val="center"/>
          </w:tcPr>
          <w:p>
            <w:pPr>
              <w:numPr>
                <w:ilvl w:val="0"/>
                <w:numId w:val="79"/>
              </w:numPr>
              <w:jc w:val="center"/>
              <w:rPr>
                <w:rFonts w:ascii="宋体" w:hAnsi="宋体" w:cs="宋体"/>
                <w:szCs w:val="21"/>
                <w:highlight w:val="none"/>
              </w:rPr>
            </w:pPr>
          </w:p>
        </w:tc>
        <w:tc>
          <w:tcPr>
            <w:tcW w:w="4584" w:type="dxa"/>
            <w:shd w:val="clear" w:color="auto" w:fill="auto"/>
            <w:vAlign w:val="center"/>
          </w:tcPr>
          <w:p>
            <w:pPr>
              <w:rPr>
                <w:rFonts w:ascii="宋体" w:hAnsi="宋体" w:cs="宋体"/>
                <w:szCs w:val="21"/>
                <w:highlight w:val="none"/>
              </w:rPr>
            </w:pPr>
            <w:r>
              <w:rPr>
                <w:rFonts w:hint="eastAsia" w:ascii="宋体" w:hAnsi="宋体" w:cs="宋体"/>
                <w:szCs w:val="21"/>
                <w:highlight w:val="none"/>
              </w:rPr>
              <w:t>招标代理服务费承诺书</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ascii="宋体" w:hAnsi="宋体" w:cs="宋体"/>
                <w:szCs w:val="21"/>
                <w:highlight w:val="none"/>
              </w:rPr>
            </w:pPr>
          </w:p>
        </w:tc>
        <w:tc>
          <w:tcPr>
            <w:tcW w:w="547" w:type="dxa"/>
            <w:shd w:val="clear" w:color="auto" w:fill="auto"/>
            <w:vAlign w:val="center"/>
          </w:tcPr>
          <w:p>
            <w:pPr>
              <w:numPr>
                <w:ilvl w:val="0"/>
                <w:numId w:val="79"/>
              </w:numPr>
              <w:jc w:val="center"/>
              <w:rPr>
                <w:rFonts w:ascii="宋体" w:hAnsi="宋体" w:cs="宋体"/>
                <w:szCs w:val="21"/>
                <w:highlight w:val="none"/>
              </w:rPr>
            </w:pPr>
          </w:p>
        </w:tc>
        <w:tc>
          <w:tcPr>
            <w:tcW w:w="4584" w:type="dxa"/>
            <w:shd w:val="clear" w:color="auto" w:fill="auto"/>
            <w:vAlign w:val="center"/>
          </w:tcPr>
          <w:p>
            <w:pPr>
              <w:jc w:val="left"/>
              <w:textAlignment w:val="baseline"/>
              <w:rPr>
                <w:rFonts w:ascii="宋体" w:hAnsi="宋体" w:cs="宋体"/>
                <w:kern w:val="0"/>
                <w:szCs w:val="21"/>
                <w:highlight w:val="none"/>
              </w:rPr>
            </w:pPr>
            <w:r>
              <w:rPr>
                <w:rFonts w:hint="eastAsia" w:ascii="宋体" w:hAnsi="宋体" w:cs="宋体"/>
                <w:szCs w:val="21"/>
                <w:highlight w:val="none"/>
              </w:rPr>
              <w:t>退投标保证金说明</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ascii="宋体" w:hAnsi="宋体" w:cs="宋体"/>
                <w:szCs w:val="21"/>
                <w:highlight w:val="none"/>
              </w:rPr>
            </w:pPr>
          </w:p>
        </w:tc>
        <w:tc>
          <w:tcPr>
            <w:tcW w:w="547" w:type="dxa"/>
            <w:shd w:val="clear" w:color="auto" w:fill="auto"/>
            <w:vAlign w:val="center"/>
          </w:tcPr>
          <w:p>
            <w:pPr>
              <w:numPr>
                <w:ilvl w:val="0"/>
                <w:numId w:val="79"/>
              </w:numPr>
              <w:jc w:val="center"/>
              <w:rPr>
                <w:rFonts w:ascii="宋体" w:hAnsi="宋体" w:cs="宋体"/>
                <w:szCs w:val="21"/>
                <w:highlight w:val="none"/>
              </w:rPr>
            </w:pPr>
          </w:p>
        </w:tc>
        <w:tc>
          <w:tcPr>
            <w:tcW w:w="4584" w:type="dxa"/>
            <w:shd w:val="clear" w:color="auto" w:fill="auto"/>
            <w:vAlign w:val="center"/>
          </w:tcPr>
          <w:p>
            <w:pPr>
              <w:jc w:val="left"/>
              <w:textAlignment w:val="baseline"/>
              <w:rPr>
                <w:rFonts w:ascii="宋体" w:hAnsi="宋体" w:cs="宋体"/>
                <w:kern w:val="0"/>
                <w:szCs w:val="21"/>
                <w:highlight w:val="none"/>
              </w:rPr>
            </w:pPr>
            <w:r>
              <w:rPr>
                <w:rFonts w:hint="eastAsia" w:ascii="宋体" w:hAnsi="宋体"/>
                <w:szCs w:val="21"/>
                <w:highlight w:val="none"/>
              </w:rPr>
              <w:t>投标保证金递交证明文件</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ascii="宋体" w:hAnsi="宋体" w:cs="宋体"/>
                <w:szCs w:val="21"/>
                <w:highlight w:val="none"/>
              </w:rPr>
            </w:pPr>
          </w:p>
        </w:tc>
        <w:tc>
          <w:tcPr>
            <w:tcW w:w="547" w:type="dxa"/>
            <w:shd w:val="clear" w:color="auto" w:fill="auto"/>
            <w:vAlign w:val="center"/>
          </w:tcPr>
          <w:p>
            <w:pPr>
              <w:numPr>
                <w:ilvl w:val="0"/>
                <w:numId w:val="79"/>
              </w:numPr>
              <w:jc w:val="center"/>
              <w:rPr>
                <w:rFonts w:ascii="宋体" w:hAnsi="宋体" w:cs="宋体"/>
                <w:szCs w:val="21"/>
                <w:highlight w:val="none"/>
              </w:rPr>
            </w:pPr>
          </w:p>
        </w:tc>
        <w:tc>
          <w:tcPr>
            <w:tcW w:w="4584" w:type="dxa"/>
            <w:shd w:val="clear" w:color="auto" w:fill="auto"/>
            <w:vAlign w:val="center"/>
          </w:tcPr>
          <w:p>
            <w:pPr>
              <w:jc w:val="left"/>
              <w:textAlignment w:val="baseline"/>
              <w:rPr>
                <w:rFonts w:ascii="宋体" w:hAnsi="宋体" w:cs="宋体"/>
                <w:kern w:val="0"/>
                <w:szCs w:val="21"/>
                <w:highlight w:val="none"/>
              </w:rPr>
            </w:pPr>
            <w:r>
              <w:rPr>
                <w:rFonts w:hint="eastAsia" w:ascii="宋体" w:hAnsi="宋体" w:cs="宋体"/>
                <w:kern w:val="0"/>
                <w:szCs w:val="21"/>
                <w:highlight w:val="none"/>
              </w:rPr>
              <w:t>投标人认为需要提供的其他商务资料</w:t>
            </w:r>
          </w:p>
        </w:tc>
        <w:tc>
          <w:tcPr>
            <w:tcW w:w="627" w:type="dxa"/>
            <w:shd w:val="clear" w:color="auto" w:fill="auto"/>
            <w:vAlign w:val="center"/>
          </w:tcPr>
          <w:p>
            <w:pPr>
              <w:jc w:val="center"/>
              <w:rPr>
                <w:rFonts w:ascii="宋体" w:hAnsi="宋体" w:cs="宋体"/>
                <w:szCs w:val="21"/>
                <w:highlight w:val="none"/>
              </w:rPr>
            </w:pPr>
          </w:p>
        </w:tc>
        <w:tc>
          <w:tcPr>
            <w:tcW w:w="594" w:type="dxa"/>
            <w:shd w:val="clear" w:color="auto" w:fill="auto"/>
            <w:vAlign w:val="center"/>
          </w:tcPr>
          <w:p>
            <w:pPr>
              <w:jc w:val="center"/>
              <w:rPr>
                <w:rFonts w:ascii="宋体" w:hAnsi="宋体" w:cs="宋体"/>
                <w:szCs w:val="21"/>
                <w:highlight w:val="none"/>
              </w:rPr>
            </w:pPr>
          </w:p>
        </w:tc>
        <w:tc>
          <w:tcPr>
            <w:tcW w:w="727" w:type="dxa"/>
            <w:shd w:val="clear" w:color="auto" w:fill="EEECE1"/>
            <w:vAlign w:val="center"/>
          </w:tcPr>
          <w:p>
            <w:pPr>
              <w:jc w:val="center"/>
              <w:rPr>
                <w:rFonts w:ascii="宋体" w:hAnsi="宋体" w:cs="宋体"/>
                <w:szCs w:val="21"/>
                <w:highlight w:val="none"/>
              </w:rPr>
            </w:pPr>
          </w:p>
        </w:tc>
        <w:tc>
          <w:tcPr>
            <w:tcW w:w="728" w:type="dxa"/>
            <w:shd w:val="clear" w:color="auto" w:fill="EEECE1"/>
            <w:vAlign w:val="center"/>
          </w:tcPr>
          <w:p>
            <w:pPr>
              <w:jc w:val="center"/>
              <w:rPr>
                <w:rFonts w:ascii="宋体" w:hAnsi="宋体" w:cs="宋体"/>
                <w:szCs w:val="21"/>
                <w:highlight w:val="none"/>
              </w:rPr>
            </w:pPr>
          </w:p>
        </w:tc>
      </w:tr>
    </w:tbl>
    <w:p>
      <w:pPr>
        <w:spacing w:line="440" w:lineRule="exact"/>
        <w:rPr>
          <w:rFonts w:ascii="宋体" w:hAnsi="宋体" w:cs="宋体"/>
          <w:bCs/>
          <w:szCs w:val="21"/>
          <w:highlight w:val="none"/>
        </w:rPr>
        <w:sectPr>
          <w:pgSz w:w="11906" w:h="16838"/>
          <w:pgMar w:top="1440" w:right="1286" w:bottom="1440" w:left="1440" w:header="851" w:footer="992" w:gutter="0"/>
          <w:cols w:space="720" w:num="1"/>
          <w:docGrid w:type="lines" w:linePitch="312" w:charSpace="0"/>
        </w:sectPr>
      </w:pPr>
    </w:p>
    <w:p>
      <w:pPr>
        <w:numPr>
          <w:ilvl w:val="0"/>
          <w:numId w:val="80"/>
        </w:numPr>
        <w:spacing w:line="440" w:lineRule="exact"/>
        <w:rPr>
          <w:rFonts w:ascii="Arial" w:hAnsi="Arial" w:eastAsia="黑体"/>
          <w:b/>
          <w:bCs/>
          <w:sz w:val="32"/>
          <w:szCs w:val="32"/>
          <w:highlight w:val="none"/>
        </w:rPr>
      </w:pPr>
    </w:p>
    <w:p>
      <w:pPr>
        <w:pStyle w:val="4"/>
        <w:adjustRightInd w:val="0"/>
        <w:snapToGrid w:val="0"/>
        <w:spacing w:before="156" w:beforeLines="50" w:after="156" w:afterLines="50" w:line="360" w:lineRule="auto"/>
        <w:jc w:val="center"/>
        <w:rPr>
          <w:b w:val="0"/>
          <w:bCs w:val="0"/>
          <w:highlight w:val="none"/>
        </w:rPr>
      </w:pPr>
      <w:bookmarkStart w:id="108" w:name="_Toc275865605"/>
      <w:r>
        <w:rPr>
          <w:rFonts w:hint="eastAsia"/>
          <w:b w:val="0"/>
          <w:bCs w:val="0"/>
          <w:highlight w:val="none"/>
        </w:rPr>
        <w:t>投  标  函</w:t>
      </w:r>
      <w:bookmarkEnd w:id="108"/>
    </w:p>
    <w:p>
      <w:pPr>
        <w:spacing w:line="360" w:lineRule="auto"/>
        <w:ind w:left="105" w:leftChars="50" w:firstLine="2"/>
        <w:rPr>
          <w:rFonts w:ascii="宋体" w:hAnsi="宋体" w:cs="宋体"/>
          <w:b/>
          <w:szCs w:val="21"/>
          <w:highlight w:val="none"/>
        </w:rPr>
      </w:pPr>
      <w:r>
        <w:rPr>
          <w:rFonts w:hint="eastAsia" w:ascii="宋体" w:hAnsi="宋体" w:cs="宋体"/>
          <w:b/>
          <w:szCs w:val="21"/>
          <w:highlight w:val="none"/>
        </w:rPr>
        <w:t>致：广东中采招标有限公司</w:t>
      </w:r>
    </w:p>
    <w:p>
      <w:pPr>
        <w:spacing w:line="360" w:lineRule="auto"/>
        <w:ind w:left="105" w:leftChars="50" w:firstLine="373" w:firstLineChars="178"/>
        <w:rPr>
          <w:rFonts w:ascii="宋体" w:hAnsi="宋体" w:cs="宋体"/>
          <w:szCs w:val="21"/>
          <w:highlight w:val="none"/>
        </w:rPr>
      </w:pPr>
      <w:r>
        <w:rPr>
          <w:rFonts w:hint="eastAsia" w:ascii="宋体" w:hAnsi="宋体" w:cs="宋体"/>
          <w:szCs w:val="21"/>
          <w:highlight w:val="none"/>
        </w:rPr>
        <w:t>我方确认收到贵方</w:t>
      </w:r>
      <w:r>
        <w:rPr>
          <w:rFonts w:hint="eastAsia" w:ascii="宋体" w:hAnsi="宋体" w:cs="宋体"/>
          <w:kern w:val="28"/>
          <w:szCs w:val="21"/>
          <w:highlight w:val="none"/>
          <w:u w:val="single"/>
        </w:rPr>
        <w:t xml:space="preserve">           （项目名称）        </w:t>
      </w:r>
      <w:r>
        <w:rPr>
          <w:rFonts w:hint="eastAsia" w:ascii="宋体" w:hAnsi="宋体" w:cs="宋体"/>
          <w:kern w:val="28"/>
          <w:szCs w:val="21"/>
          <w:highlight w:val="none"/>
        </w:rPr>
        <w:t>采购</w:t>
      </w:r>
      <w:r>
        <w:rPr>
          <w:rFonts w:hint="eastAsia" w:ascii="宋体" w:hAnsi="宋体" w:cs="宋体"/>
          <w:szCs w:val="21"/>
          <w:highlight w:val="none"/>
        </w:rPr>
        <w:t>服务的招标文件（项目编号：GDZC-22GZ131），</w:t>
      </w:r>
      <w:r>
        <w:rPr>
          <w:rFonts w:hint="eastAsia" w:ascii="宋体" w:hAnsi="宋体" w:cs="宋体"/>
          <w:kern w:val="28"/>
          <w:szCs w:val="21"/>
          <w:highlight w:val="none"/>
          <w:u w:val="single"/>
        </w:rPr>
        <w:t xml:space="preserve">     </w:t>
      </w:r>
      <w:r>
        <w:rPr>
          <w:rFonts w:hint="eastAsia" w:ascii="宋体" w:hAnsi="宋体" w:cs="宋体"/>
          <w:szCs w:val="21"/>
          <w:highlight w:val="none"/>
          <w:u w:val="single"/>
        </w:rPr>
        <w:t xml:space="preserve"> (投标人名称、地址)</w:t>
      </w:r>
      <w:r>
        <w:rPr>
          <w:rFonts w:hint="eastAsia" w:ascii="宋体" w:hAnsi="宋体" w:cs="宋体"/>
          <w:kern w:val="28"/>
          <w:szCs w:val="21"/>
          <w:highlight w:val="none"/>
          <w:u w:val="single"/>
        </w:rPr>
        <w:t xml:space="preserve">     </w:t>
      </w:r>
      <w:r>
        <w:rPr>
          <w:rFonts w:hint="eastAsia" w:ascii="宋体" w:hAnsi="宋体" w:cs="宋体"/>
          <w:szCs w:val="21"/>
          <w:highlight w:val="none"/>
        </w:rPr>
        <w:t>作为投标人已正式授权</w:t>
      </w:r>
      <w:r>
        <w:rPr>
          <w:rFonts w:hint="eastAsia" w:ascii="宋体" w:hAnsi="宋体" w:cs="宋体"/>
          <w:kern w:val="28"/>
          <w:szCs w:val="21"/>
          <w:highlight w:val="none"/>
          <w:u w:val="single"/>
        </w:rPr>
        <w:t xml:space="preserve">     </w:t>
      </w:r>
      <w:r>
        <w:rPr>
          <w:rFonts w:hint="eastAsia" w:ascii="宋体" w:hAnsi="宋体" w:cs="宋体"/>
          <w:szCs w:val="21"/>
          <w:highlight w:val="none"/>
          <w:u w:val="single"/>
        </w:rPr>
        <w:t xml:space="preserve"> (被投标人授权代表全名、职务)</w:t>
      </w:r>
      <w:r>
        <w:rPr>
          <w:rFonts w:hint="eastAsia" w:ascii="宋体" w:hAnsi="宋体" w:cs="宋体"/>
          <w:kern w:val="28"/>
          <w:szCs w:val="21"/>
          <w:highlight w:val="none"/>
          <w:u w:val="single"/>
        </w:rPr>
        <w:t xml:space="preserve">     </w:t>
      </w:r>
      <w:r>
        <w:rPr>
          <w:rFonts w:hint="eastAsia" w:ascii="宋体" w:hAnsi="宋体" w:cs="宋体"/>
          <w:szCs w:val="21"/>
          <w:highlight w:val="none"/>
        </w:rPr>
        <w:t>为我方签名代表，签名代表在此声明并同意：</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我们愿意遵守招标代理机构招标文件的各项规定，自愿参加投标，并已清楚招标文件的要求及有关文件规定，并严格按照招标文件的规定履行全部责任和义务。</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我们同意本投标自投标截止之日起</w:t>
      </w:r>
      <w:r>
        <w:rPr>
          <w:rFonts w:hint="eastAsia" w:ascii="宋体" w:hAnsi="宋体" w:cs="宋体"/>
          <w:b/>
          <w:szCs w:val="21"/>
          <w:highlight w:val="none"/>
          <w:u w:val="single"/>
        </w:rPr>
        <w:t>90</w:t>
      </w:r>
      <w:r>
        <w:rPr>
          <w:rFonts w:hint="eastAsia" w:ascii="宋体" w:hAnsi="宋体" w:cs="宋体"/>
          <w:b/>
          <w:szCs w:val="21"/>
          <w:highlight w:val="none"/>
        </w:rPr>
        <w:t>天内有效。如果我们的投标被接受，则直至合同生效时止，本投标始终有效并不撤回已递交的投标文件。</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我们已经详细地阅读并完全明白了全部招标文件及附件，包括澄清（如有）及参考文件，我们完全理解本招标文件的要求，我们同意放弃对招标文件提出不明或误解的一切权力。</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我们同意提供招标采购单位与评标委员会要求的有关投标的一切数据或资料。</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我们理解招标采购单位与评标委员会并无义务必须接受最低报价的投标或其它任何投标，完全理解招标代理机构拒绝迟到的任何投标和最低投标报价不是被授予中标的唯一条件。</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 xml:space="preserve">如果我们未对招标文件全部要求作出实质性响应，则完全同意并接受按无效投标处理。 </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如果我们提供的声明或承诺不真实，则完全同意认定为我司提供虚假材料，并同意作相应处理。</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我们是依法注册的法人，在法律、财务及运作上完全独立于招标人、用户单位（如有）和招标代理机构。</w:t>
      </w:r>
    </w:p>
    <w:p>
      <w:pPr>
        <w:numPr>
          <w:ilvl w:val="0"/>
          <w:numId w:val="81"/>
        </w:numPr>
        <w:snapToGrid w:val="0"/>
        <w:spacing w:line="360" w:lineRule="auto"/>
        <w:rPr>
          <w:rFonts w:ascii="宋体" w:hAnsi="宋体" w:cs="宋体"/>
          <w:b/>
          <w:szCs w:val="21"/>
          <w:highlight w:val="none"/>
        </w:rPr>
      </w:pPr>
      <w:r>
        <w:rPr>
          <w:rFonts w:hint="eastAsia" w:ascii="宋体" w:hAnsi="宋体" w:cs="宋体"/>
          <w:b/>
          <w:szCs w:val="21"/>
          <w:highlight w:val="none"/>
        </w:rPr>
        <w:t>所有有关本次投标的函电请寄：</w:t>
      </w:r>
      <w:r>
        <w:rPr>
          <w:rFonts w:hint="eastAsia" w:ascii="宋体" w:hAnsi="宋体" w:cs="宋体"/>
          <w:b/>
          <w:szCs w:val="21"/>
          <w:highlight w:val="none"/>
          <w:u w:val="single"/>
        </w:rPr>
        <w:t xml:space="preserve">  （投标人地址）   </w:t>
      </w:r>
      <w:r>
        <w:rPr>
          <w:rFonts w:hint="eastAsia" w:ascii="宋体" w:hAnsi="宋体" w:cs="宋体"/>
          <w:b/>
          <w:szCs w:val="21"/>
          <w:highlight w:val="none"/>
        </w:rPr>
        <w:t xml:space="preserve">  </w:t>
      </w:r>
    </w:p>
    <w:p>
      <w:pPr>
        <w:autoSpaceDE w:val="0"/>
        <w:autoSpaceDN w:val="0"/>
        <w:adjustRightInd w:val="0"/>
        <w:spacing w:line="360" w:lineRule="auto"/>
        <w:ind w:left="420" w:firstLine="310"/>
        <w:rPr>
          <w:rFonts w:ascii="宋体" w:hAnsi="宋体" w:cs="宋体"/>
          <w:b/>
          <w:szCs w:val="21"/>
          <w:highlight w:val="none"/>
        </w:rPr>
      </w:pPr>
      <w:r>
        <w:rPr>
          <w:rFonts w:hint="eastAsia" w:ascii="宋体" w:hAnsi="宋体" w:cs="宋体"/>
          <w:b/>
          <w:szCs w:val="21"/>
          <w:highlight w:val="none"/>
        </w:rPr>
        <w:t>备注：本投标函中承诺的投标有效期应当不少于招标文件中载明的投标有效期，其他</w:t>
      </w:r>
    </w:p>
    <w:p>
      <w:pPr>
        <w:autoSpaceDE w:val="0"/>
        <w:autoSpaceDN w:val="0"/>
        <w:adjustRightInd w:val="0"/>
        <w:spacing w:line="360" w:lineRule="auto"/>
        <w:ind w:left="420" w:firstLine="310"/>
        <w:rPr>
          <w:rFonts w:ascii="宋体" w:hAnsi="宋体" w:cs="宋体"/>
          <w:b/>
          <w:szCs w:val="21"/>
          <w:highlight w:val="none"/>
        </w:rPr>
      </w:pPr>
      <w:r>
        <w:rPr>
          <w:rFonts w:hint="eastAsia" w:ascii="宋体" w:hAnsi="宋体" w:cs="宋体"/>
          <w:b/>
          <w:szCs w:val="21"/>
          <w:highlight w:val="none"/>
        </w:rPr>
        <w:t xml:space="preserve">内容不得擅自删改，否则视为无效投标。 </w:t>
      </w:r>
    </w:p>
    <w:p>
      <w:pPr>
        <w:ind w:left="480"/>
        <w:rPr>
          <w:rFonts w:ascii="宋体" w:hAnsi="宋体" w:cs="宋体"/>
          <w:szCs w:val="21"/>
          <w:highlight w:val="none"/>
        </w:rPr>
      </w:pPr>
    </w:p>
    <w:p>
      <w:pPr>
        <w:adjustRightInd w:val="0"/>
        <w:snapToGrid w:val="0"/>
        <w:spacing w:line="480" w:lineRule="auto"/>
        <w:ind w:firstLine="420" w:firstLineChars="200"/>
        <w:rPr>
          <w:rFonts w:ascii="宋体" w:hAnsi="宋体" w:cs="宋体"/>
          <w:szCs w:val="21"/>
          <w:highlight w:val="none"/>
          <w:u w:val="single"/>
        </w:rPr>
      </w:pPr>
      <w:r>
        <w:rPr>
          <w:rFonts w:hint="eastAsia" w:ascii="宋体" w:hAnsi="宋体" w:cs="宋体"/>
          <w:szCs w:val="21"/>
          <w:highlight w:val="none"/>
        </w:rPr>
        <w:t>投标人名称（加盖公章）</w:t>
      </w:r>
      <w:r>
        <w:rPr>
          <w:rFonts w:hint="eastAsia" w:ascii="宋体" w:hAnsi="宋体" w:cs="宋体"/>
          <w:spacing w:val="4"/>
          <w:szCs w:val="21"/>
          <w:highlight w:val="none"/>
        </w:rPr>
        <w:t>：</w:t>
      </w:r>
      <w:r>
        <w:rPr>
          <w:rFonts w:hint="eastAsia" w:ascii="宋体" w:hAnsi="宋体" w:cs="宋体"/>
          <w:spacing w:val="4"/>
          <w:szCs w:val="21"/>
          <w:highlight w:val="none"/>
          <w:u w:val="single"/>
        </w:rPr>
        <w:t xml:space="preserve">                             </w:t>
      </w:r>
    </w:p>
    <w:p>
      <w:pPr>
        <w:adjustRightInd w:val="0"/>
        <w:snapToGrid w:val="0"/>
        <w:spacing w:line="480" w:lineRule="auto"/>
        <w:ind w:firstLine="432" w:firstLineChars="206"/>
        <w:rPr>
          <w:rFonts w:ascii="宋体" w:hAnsi="宋体" w:cs="宋体"/>
          <w:spacing w:val="4"/>
          <w:szCs w:val="21"/>
          <w:highlight w:val="none"/>
          <w:u w:val="single"/>
        </w:rPr>
      </w:pPr>
      <w:r>
        <w:rPr>
          <w:rFonts w:hint="eastAsia" w:ascii="宋体" w:hAnsi="宋体" w:cs="宋体"/>
          <w:szCs w:val="21"/>
          <w:highlight w:val="none"/>
        </w:rPr>
        <w:t>法定代表人或投标人授权代表（签名或盖章）：</w:t>
      </w:r>
      <w:r>
        <w:rPr>
          <w:rFonts w:hint="eastAsia" w:ascii="宋体" w:hAnsi="宋体" w:cs="宋体"/>
          <w:szCs w:val="21"/>
          <w:highlight w:val="none"/>
          <w:u w:val="single"/>
        </w:rPr>
        <w:t xml:space="preserve">     </w:t>
      </w:r>
      <w:r>
        <w:rPr>
          <w:rFonts w:hint="eastAsia" w:ascii="宋体" w:hAnsi="宋体" w:cs="宋体"/>
          <w:spacing w:val="4"/>
          <w:szCs w:val="21"/>
          <w:highlight w:val="none"/>
          <w:u w:val="single"/>
        </w:rPr>
        <w:t xml:space="preserve">                </w:t>
      </w:r>
    </w:p>
    <w:p>
      <w:pPr>
        <w:adjustRightInd w:val="0"/>
        <w:snapToGrid w:val="0"/>
        <w:spacing w:line="480" w:lineRule="auto"/>
        <w:ind w:firstLine="432" w:firstLineChars="206"/>
        <w:rPr>
          <w:rFonts w:ascii="宋体" w:hAnsi="宋体" w:cs="宋体"/>
          <w:spacing w:val="4"/>
          <w:szCs w:val="21"/>
          <w:highlight w:val="none"/>
          <w:u w:val="single"/>
        </w:rPr>
      </w:pPr>
      <w:r>
        <w:rPr>
          <w:rFonts w:hint="eastAsia" w:ascii="宋体" w:hAnsi="宋体" w:cs="宋体"/>
          <w:szCs w:val="21"/>
          <w:highlight w:val="none"/>
        </w:rPr>
        <w:t>电话：</w:t>
      </w:r>
      <w:r>
        <w:rPr>
          <w:rFonts w:hint="eastAsia" w:ascii="宋体" w:hAnsi="宋体" w:cs="宋体"/>
          <w:spacing w:val="4"/>
          <w:szCs w:val="21"/>
          <w:highlight w:val="none"/>
          <w:u w:val="single"/>
        </w:rPr>
        <w:t xml:space="preserve">         </w:t>
      </w:r>
      <w:r>
        <w:rPr>
          <w:rFonts w:hint="eastAsia" w:ascii="宋体" w:hAnsi="宋体" w:cs="宋体"/>
          <w:szCs w:val="21"/>
          <w:highlight w:val="none"/>
        </w:rPr>
        <w:t xml:space="preserve"> 传真：</w:t>
      </w:r>
      <w:r>
        <w:rPr>
          <w:rFonts w:hint="eastAsia" w:ascii="宋体" w:hAnsi="宋体" w:cs="宋体"/>
          <w:spacing w:val="4"/>
          <w:szCs w:val="21"/>
          <w:highlight w:val="none"/>
          <w:u w:val="single"/>
        </w:rPr>
        <w:t xml:space="preserve">         </w:t>
      </w:r>
      <w:r>
        <w:rPr>
          <w:rFonts w:hint="eastAsia" w:ascii="宋体" w:hAnsi="宋体" w:cs="宋体"/>
          <w:szCs w:val="21"/>
          <w:highlight w:val="none"/>
        </w:rPr>
        <w:t xml:space="preserve">     邮编：</w:t>
      </w:r>
      <w:r>
        <w:rPr>
          <w:rFonts w:hint="eastAsia" w:ascii="宋体" w:hAnsi="宋体" w:cs="宋体"/>
          <w:spacing w:val="4"/>
          <w:szCs w:val="21"/>
          <w:highlight w:val="none"/>
          <w:u w:val="single"/>
        </w:rPr>
        <w:t xml:space="preserve">         </w:t>
      </w:r>
    </w:p>
    <w:p>
      <w:pPr>
        <w:adjustRightInd w:val="0"/>
        <w:snapToGrid w:val="0"/>
        <w:spacing w:line="360" w:lineRule="auto"/>
        <w:rPr>
          <w:rFonts w:ascii="宋体" w:hAnsi="宋体" w:cs="宋体"/>
          <w:spacing w:val="4"/>
          <w:szCs w:val="21"/>
          <w:highlight w:val="none"/>
          <w:u w:val="single"/>
        </w:rPr>
      </w:pPr>
    </w:p>
    <w:p>
      <w:pPr>
        <w:numPr>
          <w:ilvl w:val="0"/>
          <w:numId w:val="80"/>
        </w:numPr>
        <w:spacing w:line="440" w:lineRule="exact"/>
        <w:rPr>
          <w:rFonts w:ascii="宋体" w:hAnsi="宋体" w:cs="宋体"/>
          <w:bCs/>
          <w:szCs w:val="21"/>
          <w:highlight w:val="none"/>
        </w:rPr>
      </w:pPr>
    </w:p>
    <w:p>
      <w:pPr>
        <w:pStyle w:val="4"/>
        <w:adjustRightInd w:val="0"/>
        <w:snapToGrid w:val="0"/>
        <w:spacing w:before="156" w:beforeLines="50" w:after="156" w:afterLines="50" w:line="360" w:lineRule="auto"/>
        <w:jc w:val="center"/>
        <w:rPr>
          <w:b w:val="0"/>
          <w:bCs w:val="0"/>
          <w:highlight w:val="none"/>
        </w:rPr>
      </w:pPr>
      <w:bookmarkStart w:id="109" w:name="_Toc275865606"/>
      <w:r>
        <w:rPr>
          <w:rFonts w:hint="eastAsia"/>
          <w:b w:val="0"/>
          <w:bCs w:val="0"/>
          <w:highlight w:val="none"/>
        </w:rPr>
        <w:t>投标人资格声明函</w:t>
      </w:r>
    </w:p>
    <w:p>
      <w:pPr>
        <w:rPr>
          <w:rFonts w:ascii="宋体" w:hAnsi="宋体" w:cs="宋体"/>
          <w:b/>
          <w:szCs w:val="21"/>
          <w:highlight w:val="none"/>
        </w:rPr>
      </w:pPr>
      <w:r>
        <w:rPr>
          <w:rFonts w:hint="eastAsia" w:ascii="宋体" w:hAnsi="宋体" w:cs="宋体"/>
          <w:b/>
          <w:szCs w:val="21"/>
          <w:highlight w:val="none"/>
        </w:rPr>
        <w:t>广东中采招标有限公司：</w:t>
      </w:r>
    </w:p>
    <w:p>
      <w:pPr>
        <w:snapToGrid w:val="0"/>
        <w:spacing w:before="156" w:beforeLines="50" w:line="360" w:lineRule="auto"/>
        <w:ind w:firstLine="424" w:firstLineChars="202"/>
        <w:rPr>
          <w:rFonts w:ascii="宋体" w:hAnsi="宋体" w:cs="宋体"/>
          <w:szCs w:val="21"/>
          <w:highlight w:val="none"/>
        </w:rPr>
      </w:pPr>
      <w:r>
        <w:rPr>
          <w:rFonts w:hint="eastAsia" w:ascii="宋体" w:hAnsi="宋体" w:cs="宋体"/>
          <w:szCs w:val="21"/>
          <w:highlight w:val="none"/>
        </w:rPr>
        <w:t>关于贵公司</w:t>
      </w:r>
      <w:r>
        <w:rPr>
          <w:rFonts w:hint="eastAsia" w:ascii="宋体" w:hAnsi="宋体" w:cs="宋体"/>
          <w:szCs w:val="21"/>
          <w:highlight w:val="none"/>
          <w:u w:val="single"/>
        </w:rPr>
        <w:t>　　　</w:t>
      </w:r>
      <w:r>
        <w:rPr>
          <w:rFonts w:hint="eastAsia" w:ascii="宋体" w:hAnsi="宋体" w:cs="宋体"/>
          <w:szCs w:val="21"/>
          <w:highlight w:val="none"/>
        </w:rPr>
        <w:t>年</w:t>
      </w:r>
      <w:r>
        <w:rPr>
          <w:rFonts w:hint="eastAsia" w:ascii="宋体" w:hAnsi="宋体" w:cs="宋体"/>
          <w:szCs w:val="21"/>
          <w:highlight w:val="none"/>
          <w:u w:val="single"/>
        </w:rPr>
        <w:t>　　</w:t>
      </w:r>
      <w:r>
        <w:rPr>
          <w:rFonts w:hint="eastAsia" w:ascii="宋体" w:hAnsi="宋体" w:cs="宋体"/>
          <w:szCs w:val="21"/>
          <w:highlight w:val="none"/>
        </w:rPr>
        <w:t>月</w:t>
      </w:r>
      <w:r>
        <w:rPr>
          <w:rFonts w:hint="eastAsia" w:ascii="宋体" w:hAnsi="宋体" w:cs="宋体"/>
          <w:szCs w:val="21"/>
          <w:highlight w:val="none"/>
          <w:u w:val="single"/>
        </w:rPr>
        <w:t>　　</w:t>
      </w:r>
      <w:r>
        <w:rPr>
          <w:rFonts w:hint="eastAsia" w:ascii="宋体" w:hAnsi="宋体" w:cs="宋体"/>
          <w:szCs w:val="21"/>
          <w:highlight w:val="none"/>
        </w:rPr>
        <w:t>日发布</w:t>
      </w:r>
      <w:r>
        <w:rPr>
          <w:rFonts w:hint="eastAsia" w:ascii="宋体" w:hAnsi="宋体" w:cs="宋体"/>
          <w:szCs w:val="21"/>
          <w:highlight w:val="none"/>
          <w:u w:val="single"/>
        </w:rPr>
        <w:t xml:space="preserve">                  </w:t>
      </w:r>
      <w:r>
        <w:rPr>
          <w:rFonts w:hint="eastAsia" w:ascii="宋体" w:hAnsi="宋体" w:cs="宋体"/>
          <w:szCs w:val="21"/>
          <w:highlight w:val="none"/>
        </w:rPr>
        <w:t>项目（项目编号：GDZC-22GZ131）的采购公告，本公司（企业）愿意参加投标，并声明：</w:t>
      </w:r>
    </w:p>
    <w:p>
      <w:pPr>
        <w:numPr>
          <w:ilvl w:val="0"/>
          <w:numId w:val="82"/>
        </w:numPr>
        <w:adjustRightInd w:val="0"/>
        <w:snapToGrid w:val="0"/>
        <w:spacing w:line="360" w:lineRule="auto"/>
        <w:ind w:left="567" w:hanging="567"/>
        <w:rPr>
          <w:rFonts w:ascii="宋体" w:hAnsi="宋体" w:cs="宋体"/>
          <w:szCs w:val="21"/>
          <w:highlight w:val="none"/>
        </w:rPr>
      </w:pPr>
      <w:r>
        <w:rPr>
          <w:rFonts w:hint="eastAsia" w:ascii="宋体" w:hAnsi="宋体" w:cs="宋体"/>
          <w:szCs w:val="21"/>
          <w:highlight w:val="none"/>
        </w:rPr>
        <w:t>本公司（企业）具备以下条件：</w:t>
      </w:r>
    </w:p>
    <w:p>
      <w:pPr>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（1）具有独立承担民事责任的能力；</w:t>
      </w:r>
    </w:p>
    <w:p>
      <w:pPr>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（2）具有良好的商业信誉和健全的财务会计制度；</w:t>
      </w:r>
    </w:p>
    <w:p>
      <w:pPr>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（3）具有履行合同所必需的设备和专业技术能力；</w:t>
      </w:r>
    </w:p>
    <w:p>
      <w:pPr>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（4）有依法缴纳税收和社会保障资金的良好记录；</w:t>
      </w:r>
    </w:p>
    <w:p>
      <w:pPr>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（5）参与本项目采购活动前三年内，在经营活动中没有重大违法记录；</w:t>
      </w:r>
    </w:p>
    <w:p>
      <w:pPr>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（6）法律、行政法规规定的其他条件。</w:t>
      </w:r>
    </w:p>
    <w:p>
      <w:pPr>
        <w:numPr>
          <w:ilvl w:val="0"/>
          <w:numId w:val="82"/>
        </w:numPr>
        <w:adjustRightInd w:val="0"/>
        <w:snapToGrid w:val="0"/>
        <w:spacing w:line="360" w:lineRule="auto"/>
        <w:ind w:left="567" w:hanging="567"/>
        <w:rPr>
          <w:rFonts w:ascii="宋体" w:hAnsi="宋体" w:cs="宋体"/>
          <w:szCs w:val="21"/>
          <w:highlight w:val="none"/>
        </w:rPr>
      </w:pPr>
      <w:r>
        <w:rPr>
          <w:rFonts w:hint="eastAsia" w:ascii="宋体" w:hAnsi="宋体" w:cs="宋体"/>
          <w:szCs w:val="21"/>
          <w:highlight w:val="none"/>
        </w:rPr>
        <w:t>我方承诺单位负责人为同一人或者存在直接控股、管理关系的不同供应商，不得同时参加本采购项目投标。</w:t>
      </w:r>
    </w:p>
    <w:p>
      <w:pPr>
        <w:numPr>
          <w:ilvl w:val="0"/>
          <w:numId w:val="82"/>
        </w:numPr>
        <w:adjustRightInd w:val="0"/>
        <w:snapToGrid w:val="0"/>
        <w:spacing w:line="360" w:lineRule="auto"/>
        <w:ind w:left="567" w:hanging="567"/>
        <w:rPr>
          <w:rFonts w:ascii="宋体" w:hAnsi="宋体" w:cs="宋体"/>
          <w:szCs w:val="21"/>
          <w:highlight w:val="none"/>
        </w:rPr>
      </w:pPr>
      <w:r>
        <w:rPr>
          <w:rFonts w:hint="eastAsia" w:ascii="宋体" w:hAnsi="宋体" w:cs="宋体"/>
          <w:szCs w:val="21"/>
          <w:highlight w:val="none"/>
        </w:rPr>
        <w:t>本公司（企业）具有履行合同所必需的设备和专业技术能力，且本公司（企业）参加本项目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本次招标采购活动中，如有违法、违规、弄虚作假行为，所造成的损失、不良后果及法律责任，一律由我公司（企业）承担。</w:t>
      </w:r>
    </w:p>
    <w:p>
      <w:pPr>
        <w:spacing w:line="360" w:lineRule="auto"/>
        <w:ind w:firstLine="420"/>
        <w:rPr>
          <w:rFonts w:ascii="宋体" w:hAnsi="宋体" w:cs="宋体"/>
          <w:szCs w:val="21"/>
          <w:highlight w:val="none"/>
        </w:rPr>
      </w:pPr>
      <w:r>
        <w:rPr>
          <w:rFonts w:hint="eastAsia" w:ascii="宋体" w:hAnsi="宋体" w:cs="宋体"/>
          <w:szCs w:val="21"/>
          <w:highlight w:val="none"/>
        </w:rPr>
        <w:t>特此声明！</w:t>
      </w:r>
    </w:p>
    <w:p>
      <w:pPr>
        <w:spacing w:line="360" w:lineRule="auto"/>
        <w:ind w:firstLine="843" w:firstLineChars="400"/>
        <w:rPr>
          <w:rFonts w:ascii="宋体" w:hAnsi="宋体" w:cs="宋体"/>
          <w:szCs w:val="21"/>
          <w:highlight w:val="none"/>
        </w:rPr>
      </w:pPr>
      <w:r>
        <w:rPr>
          <w:rFonts w:hint="eastAsia" w:ascii="宋体" w:hAnsi="宋体" w:cs="宋体"/>
          <w:b/>
          <w:szCs w:val="21"/>
          <w:highlight w:val="none"/>
        </w:rPr>
        <w:t>备注：本投标人资格声明函内容不得擅自删改，否则视为无效投标。</w:t>
      </w:r>
    </w:p>
    <w:p>
      <w:pPr>
        <w:spacing w:line="360" w:lineRule="auto"/>
        <w:rPr>
          <w:rFonts w:ascii="宋体" w:hAnsi="宋体" w:cs="宋体"/>
          <w:szCs w:val="21"/>
          <w:highlight w:val="none"/>
        </w:rPr>
      </w:pPr>
    </w:p>
    <w:p>
      <w:pPr>
        <w:spacing w:line="360" w:lineRule="auto"/>
        <w:ind w:firstLine="420"/>
        <w:rPr>
          <w:rFonts w:ascii="宋体" w:hAnsi="宋体" w:cs="宋体"/>
          <w:szCs w:val="21"/>
          <w:highlight w:val="none"/>
        </w:rPr>
      </w:pPr>
      <w:r>
        <w:rPr>
          <w:rFonts w:hint="eastAsia" w:ascii="宋体" w:hAnsi="宋体" w:cs="宋体"/>
          <w:szCs w:val="21"/>
          <w:highlight w:val="none"/>
        </w:rPr>
        <w:t>投标人名称（加盖公章）：　　　　　　　　　法定代表人或投标人授权代表（签名或盖章）：</w:t>
      </w:r>
    </w:p>
    <w:p>
      <w:pPr>
        <w:spacing w:line="360" w:lineRule="auto"/>
        <w:ind w:firstLine="420"/>
        <w:rPr>
          <w:rFonts w:ascii="宋体" w:hAnsi="宋体" w:cs="宋体"/>
          <w:szCs w:val="21"/>
          <w:highlight w:val="none"/>
        </w:rPr>
      </w:pPr>
      <w:r>
        <w:rPr>
          <w:rFonts w:hint="eastAsia" w:ascii="宋体" w:hAnsi="宋体" w:cs="宋体"/>
          <w:szCs w:val="21"/>
          <w:highlight w:val="none"/>
        </w:rPr>
        <w:t>单位地址：　　　　　　　　　　　　　　　　单位公章：</w:t>
      </w:r>
    </w:p>
    <w:p>
      <w:pPr>
        <w:spacing w:line="360" w:lineRule="auto"/>
        <w:ind w:firstLine="420"/>
        <w:rPr>
          <w:rFonts w:ascii="宋体" w:hAnsi="宋体" w:cs="宋体"/>
          <w:szCs w:val="21"/>
          <w:highlight w:val="none"/>
        </w:rPr>
      </w:pPr>
      <w:r>
        <w:rPr>
          <w:rFonts w:hint="eastAsia" w:ascii="宋体" w:hAnsi="宋体" w:cs="宋体"/>
          <w:szCs w:val="21"/>
          <w:highlight w:val="none"/>
        </w:rPr>
        <w:t>邮政编码：　　　　　　　　　　　　　　　　日期：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联系电话：</w:t>
      </w:r>
    </w:p>
    <w:p>
      <w:pPr>
        <w:rPr>
          <w:rFonts w:ascii="宋体" w:hAnsi="宋体" w:cs="宋体"/>
          <w:szCs w:val="21"/>
          <w:highlight w:val="none"/>
        </w:rPr>
      </w:pPr>
    </w:p>
    <w:p>
      <w:pPr>
        <w:pStyle w:val="9"/>
        <w:rPr>
          <w:rFonts w:ascii="宋体" w:hAnsi="宋体" w:cs="宋体"/>
          <w:highlight w:val="none"/>
        </w:rPr>
      </w:pPr>
    </w:p>
    <w:p>
      <w:pPr>
        <w:rPr>
          <w:rFonts w:ascii="宋体" w:hAnsi="宋体" w:cs="宋体"/>
          <w:szCs w:val="21"/>
          <w:highlight w:val="none"/>
        </w:rPr>
      </w:pPr>
      <w:r>
        <w:rPr>
          <w:rFonts w:hint="eastAsia" w:ascii="宋体" w:hAnsi="宋体" w:cs="宋体"/>
          <w:szCs w:val="21"/>
          <w:highlight w:val="none"/>
        </w:rPr>
        <w:br w:type="page"/>
      </w:r>
    </w:p>
    <w:p>
      <w:pPr>
        <w:spacing w:line="276" w:lineRule="auto"/>
        <w:rPr>
          <w:rFonts w:hint="eastAsia" w:ascii="宋体" w:hAnsi="宋体" w:eastAsia="宋体" w:cs="宋体"/>
          <w:szCs w:val="21"/>
          <w:highlight w:val="none"/>
        </w:rPr>
      </w:pPr>
      <w:r>
        <w:rPr>
          <w:rFonts w:hint="eastAsia" w:ascii="宋体" w:hAnsi="宋体" w:eastAsia="宋体" w:cs="宋体"/>
          <w:szCs w:val="21"/>
          <w:highlight w:val="none"/>
        </w:rPr>
        <w:t>附件：</w:t>
      </w:r>
    </w:p>
    <w:p>
      <w:pPr>
        <w:numPr>
          <w:ilvl w:val="0"/>
          <w:numId w:val="83"/>
        </w:numPr>
        <w:tabs>
          <w:tab w:val="left" w:pos="425"/>
          <w:tab w:val="left" w:pos="1276"/>
        </w:tabs>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有效的营业执照复印件；</w:t>
      </w:r>
    </w:p>
    <w:p>
      <w:pPr>
        <w:numPr>
          <w:ilvl w:val="0"/>
          <w:numId w:val="83"/>
        </w:numPr>
        <w:tabs>
          <w:tab w:val="left" w:pos="425"/>
          <w:tab w:val="left" w:pos="1276"/>
        </w:tabs>
        <w:snapToGrid w:val="0"/>
        <w:spacing w:line="360" w:lineRule="auto"/>
        <w:rPr>
          <w:rFonts w:hint="eastAsia" w:ascii="宋体" w:hAnsi="宋体" w:eastAsia="宋体" w:cs="宋体"/>
          <w:kern w:val="0"/>
          <w:szCs w:val="21"/>
          <w:highlight w:val="none"/>
        </w:rPr>
      </w:pPr>
      <w:r>
        <w:rPr>
          <w:rFonts w:hint="eastAsia" w:ascii="宋体" w:hAnsi="宋体" w:eastAsia="宋体" w:cs="宋体"/>
          <w:bCs/>
          <w:szCs w:val="21"/>
          <w:highlight w:val="none"/>
        </w:rPr>
        <w:t>财务会计制度，</w:t>
      </w:r>
      <w:r>
        <w:rPr>
          <w:rFonts w:hint="eastAsia" w:ascii="宋体" w:hAnsi="宋体" w:eastAsia="宋体" w:cs="宋体"/>
          <w:kern w:val="0"/>
          <w:szCs w:val="21"/>
          <w:highlight w:val="none"/>
        </w:rPr>
        <w:t>须提供下列任一项证明材料：</w:t>
      </w:r>
    </w:p>
    <w:p>
      <w:pPr>
        <w:numPr>
          <w:ilvl w:val="0"/>
          <w:numId w:val="84"/>
        </w:num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2021年度经审计的财务报告及财务报表（资产负债表、利润表和现金流量表）扫描件（要求：审计报告由第三方会计师事务所或其它合法审计机构出具，须包含会计师事务所或审计机构的盖章页）(要求：审计报告由第三方会计师事务所或其它合法审计机构出具，须包含会计师事务所或审计机构的盖章页)。</w:t>
      </w:r>
    </w:p>
    <w:p>
      <w:pPr>
        <w:numPr>
          <w:ilvl w:val="0"/>
          <w:numId w:val="84"/>
        </w:num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基本开户银行出具2022年度任意1个月的资信证明，如资信证明不能体现基本开户账户的，应另附开户许可证。无开户许可证的，可提供由银行开具的《基本存款账户信息》（公户账户主档）或其他相关证明资料，以上文件均需加盖银行印章。</w:t>
      </w:r>
    </w:p>
    <w:p>
      <w:pPr>
        <w:numPr>
          <w:ilvl w:val="0"/>
          <w:numId w:val="83"/>
        </w:numPr>
        <w:spacing w:line="360" w:lineRule="auto"/>
        <w:rPr>
          <w:rFonts w:hint="eastAsia" w:ascii="宋体" w:hAnsi="宋体" w:eastAsia="宋体" w:cs="宋体"/>
          <w:szCs w:val="21"/>
          <w:highlight w:val="none"/>
        </w:rPr>
      </w:pPr>
      <w:r>
        <w:rPr>
          <w:rFonts w:hint="eastAsia" w:ascii="宋体" w:hAnsi="宋体" w:eastAsia="宋体" w:cs="宋体"/>
          <w:kern w:val="0"/>
          <w:szCs w:val="21"/>
          <w:highlight w:val="none"/>
        </w:rPr>
        <w:t>2022年度任意1个月依法缴纳税收和社会保障资金的相关材料。如依法免税或不需要缴纳社会保障资金的，提供相应证明材料；；</w:t>
      </w:r>
    </w:p>
    <w:p>
      <w:pPr>
        <w:numPr>
          <w:ilvl w:val="0"/>
          <w:numId w:val="83"/>
        </w:numPr>
        <w:spacing w:line="360" w:lineRule="auto"/>
        <w:rPr>
          <w:rFonts w:hint="eastAsia" w:ascii="宋体" w:hAnsi="宋体" w:eastAsia="宋体" w:cs="宋体"/>
          <w:color w:val="auto"/>
          <w:sz w:val="21"/>
          <w:szCs w:val="21"/>
          <w:highlight w:val="none"/>
        </w:rPr>
      </w:pPr>
      <w:r>
        <w:rPr>
          <w:rFonts w:hint="eastAsia" w:ascii="宋体" w:hAnsi="宋体" w:eastAsia="宋体" w:cs="宋体"/>
          <w:bCs/>
          <w:szCs w:val="21"/>
          <w:highlight w:val="none"/>
          <w:lang w:eastAsia="zh-CN"/>
        </w:rPr>
        <w:t>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招标代理机构于投标截止日当天在“信用中国”网站（www.creditchina.gov.cn）及中国政府采购网（http://www.ccgp.gov.cn/）查询结果为准，如相关失信记录已失效，投标人需提供相关证明资料】</w:t>
      </w:r>
      <w:r>
        <w:rPr>
          <w:rFonts w:hint="eastAsia" w:ascii="宋体" w:hAnsi="宋体" w:eastAsia="宋体" w:cs="宋体"/>
          <w:bCs/>
          <w:szCs w:val="21"/>
          <w:highlight w:val="none"/>
        </w:rPr>
        <w:t>。</w:t>
      </w:r>
    </w:p>
    <w:p>
      <w:pPr>
        <w:numPr>
          <w:ilvl w:val="0"/>
          <w:numId w:val="83"/>
        </w:numPr>
        <w:spacing w:line="360" w:lineRule="auto"/>
        <w:rPr>
          <w:rFonts w:hint="eastAsia" w:ascii="宋体" w:hAnsi="宋体" w:eastAsia="宋体" w:cs="宋体"/>
          <w:color w:val="auto"/>
          <w:sz w:val="21"/>
          <w:szCs w:val="21"/>
          <w:highlight w:val="none"/>
        </w:rPr>
        <w:sectPr>
          <w:pgSz w:w="11906" w:h="16838"/>
          <w:pgMar w:top="1440" w:right="1286" w:bottom="1440" w:left="1440" w:header="851" w:footer="992" w:gutter="0"/>
          <w:cols w:space="720" w:num="1"/>
          <w:docGrid w:type="lines" w:linePitch="312" w:charSpace="0"/>
        </w:sectPr>
      </w:pPr>
      <w:r>
        <w:rPr>
          <w:rFonts w:hint="eastAsia" w:ascii="宋体" w:hAnsi="宋体" w:eastAsia="宋体" w:cs="宋体"/>
          <w:color w:val="auto"/>
          <w:sz w:val="21"/>
          <w:szCs w:val="21"/>
          <w:highlight w:val="none"/>
        </w:rPr>
        <w:t>具有有效《食品经营许可证》或《食品生产许可证》的，提供证书扫描件；如供应商的《食品经营许可证》与营业执照合并办理的，提供扫描营业执照二维码后的有效备案信息截图（如国家另有规定，则适用其规定）</w:t>
      </w:r>
      <w:r>
        <w:rPr>
          <w:rFonts w:hint="eastAsia" w:ascii="宋体" w:hAnsi="宋体" w:cs="宋体"/>
          <w:color w:val="auto"/>
          <w:sz w:val="21"/>
          <w:szCs w:val="21"/>
          <w:highlight w:val="none"/>
          <w:lang w:eastAsia="zh-CN"/>
        </w:rPr>
        <w:t>。</w:t>
      </w:r>
    </w:p>
    <w:bookmarkEnd w:id="109"/>
    <w:p>
      <w:pPr>
        <w:numPr>
          <w:ilvl w:val="0"/>
          <w:numId w:val="80"/>
        </w:numPr>
        <w:spacing w:line="440" w:lineRule="exact"/>
        <w:rPr>
          <w:rFonts w:ascii="宋体" w:hAnsi="宋体" w:cs="宋体"/>
          <w:szCs w:val="21"/>
          <w:highlight w:val="none"/>
        </w:rPr>
      </w:pPr>
      <w:r>
        <w:rPr>
          <w:rFonts w:hint="eastAsia" w:ascii="宋体" w:hAnsi="宋体" w:cs="宋体"/>
          <w:szCs w:val="21"/>
          <w:highlight w:val="none"/>
        </w:rPr>
        <w:t xml:space="preserve">    </w:t>
      </w:r>
    </w:p>
    <w:p>
      <w:pPr>
        <w:pStyle w:val="4"/>
        <w:adjustRightInd w:val="0"/>
        <w:snapToGrid w:val="0"/>
        <w:spacing w:before="156" w:beforeLines="50" w:after="156" w:afterLines="50" w:line="360" w:lineRule="auto"/>
        <w:jc w:val="center"/>
        <w:rPr>
          <w:b w:val="0"/>
          <w:bCs w:val="0"/>
          <w:highlight w:val="none"/>
        </w:rPr>
      </w:pPr>
      <w:bookmarkStart w:id="110" w:name="_Toc50736477"/>
      <w:bookmarkStart w:id="111" w:name="_Toc52165081"/>
      <w:bookmarkStart w:id="112" w:name="_Toc50737297"/>
      <w:bookmarkStart w:id="113" w:name="_Toc50737329"/>
      <w:bookmarkStart w:id="114" w:name="_Toc275865607"/>
      <w:bookmarkStart w:id="115" w:name="_Toc50691034"/>
      <w:bookmarkStart w:id="116" w:name="_Toc50736476"/>
      <w:bookmarkStart w:id="117" w:name="_Toc52165080"/>
      <w:bookmarkStart w:id="118" w:name="_Toc50737328"/>
      <w:bookmarkStart w:id="119" w:name="_Toc50737296"/>
      <w:r>
        <w:rPr>
          <w:rFonts w:hint="eastAsia"/>
          <w:b w:val="0"/>
          <w:bCs w:val="0"/>
          <w:highlight w:val="none"/>
        </w:rPr>
        <w:t>法定代表人授权委托书</w:t>
      </w:r>
      <w:bookmarkEnd w:id="110"/>
      <w:bookmarkEnd w:id="111"/>
      <w:bookmarkEnd w:id="112"/>
      <w:bookmarkEnd w:id="113"/>
      <w:bookmarkEnd w:id="11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本授权委托书声明：注册于</w:t>
      </w:r>
      <w:r>
        <w:rPr>
          <w:rFonts w:hint="eastAsia" w:ascii="宋体" w:hAnsi="宋体" w:cs="宋体"/>
          <w:szCs w:val="21"/>
          <w:highlight w:val="none"/>
          <w:u w:val="single"/>
        </w:rPr>
        <w:t xml:space="preserve"> （投标人地址）  </w:t>
      </w:r>
      <w:r>
        <w:rPr>
          <w:rFonts w:hint="eastAsia" w:ascii="宋体" w:hAnsi="宋体" w:cs="宋体"/>
          <w:szCs w:val="21"/>
          <w:highlight w:val="none"/>
        </w:rPr>
        <w:t>的</w:t>
      </w:r>
      <w:r>
        <w:rPr>
          <w:rFonts w:hint="eastAsia" w:ascii="宋体" w:hAnsi="宋体" w:cs="宋体"/>
          <w:szCs w:val="21"/>
          <w:highlight w:val="none"/>
          <w:u w:val="single"/>
        </w:rPr>
        <w:t xml:space="preserve">  （投标人名称）    </w:t>
      </w:r>
      <w:r>
        <w:rPr>
          <w:rFonts w:hint="eastAsia" w:ascii="宋体" w:hAnsi="宋体" w:cs="宋体"/>
          <w:szCs w:val="21"/>
          <w:highlight w:val="none"/>
        </w:rPr>
        <w:t>在下面签名的</w:t>
      </w:r>
      <w:r>
        <w:rPr>
          <w:rFonts w:hint="eastAsia" w:ascii="宋体" w:hAnsi="宋体" w:cs="宋体"/>
          <w:szCs w:val="21"/>
          <w:highlight w:val="none"/>
          <w:u w:val="single"/>
        </w:rPr>
        <w:t>（法定代表人姓名、职务）</w:t>
      </w:r>
      <w:r>
        <w:rPr>
          <w:rFonts w:hint="eastAsia" w:ascii="宋体" w:hAnsi="宋体" w:cs="宋体"/>
          <w:szCs w:val="21"/>
          <w:highlight w:val="none"/>
        </w:rPr>
        <w:t>在此授权</w:t>
      </w:r>
      <w:r>
        <w:rPr>
          <w:rFonts w:hint="eastAsia" w:ascii="宋体" w:hAnsi="宋体" w:cs="宋体"/>
          <w:szCs w:val="21"/>
          <w:highlight w:val="none"/>
          <w:u w:val="single"/>
        </w:rPr>
        <w:t>（被授权人姓名、职务）</w:t>
      </w:r>
      <w:r>
        <w:rPr>
          <w:rFonts w:hint="eastAsia" w:ascii="宋体" w:hAnsi="宋体" w:cs="宋体"/>
          <w:szCs w:val="21"/>
          <w:highlight w:val="none"/>
        </w:rPr>
        <w:t>作为我公司的合法代理人，就</w:t>
      </w:r>
      <w:r>
        <w:rPr>
          <w:rFonts w:hint="eastAsia" w:ascii="宋体" w:hAnsi="宋体" w:cs="宋体"/>
          <w:szCs w:val="21"/>
          <w:highlight w:val="none"/>
          <w:u w:val="single"/>
        </w:rPr>
        <w:t>（项目名称、项目编号</w:t>
      </w:r>
      <w:r>
        <w:rPr>
          <w:rFonts w:hint="eastAsia" w:ascii="宋体" w:hAnsi="宋体" w:cs="宋体"/>
          <w:szCs w:val="21"/>
          <w:highlight w:val="none"/>
        </w:rPr>
        <w:t>）的招投标活动，提交投标文件及采购合同的签订、执行、完成和售后服务，作为投标人代表以我方的名义处理一切与之有关的事务。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被授权人（投标人授权代表）无转委托权限。</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本授权书自法定代表人签名之日起生效，特此声明。</w:t>
      </w:r>
    </w:p>
    <w:p>
      <w:pPr>
        <w:spacing w:line="480" w:lineRule="auto"/>
        <w:ind w:left="2" w:leftChars="1" w:firstLine="1365" w:firstLineChars="650"/>
        <w:rPr>
          <w:rFonts w:ascii="宋体" w:hAnsi="宋体" w:cs="宋体"/>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随附《法定代表人证明》</w:t>
      </w: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投标人名称（加盖公章）：</w:t>
      </w:r>
    </w:p>
    <w:p>
      <w:pPr>
        <w:spacing w:line="360" w:lineRule="auto"/>
        <w:rPr>
          <w:rFonts w:ascii="宋体" w:hAnsi="宋体" w:cs="宋体"/>
          <w:szCs w:val="21"/>
          <w:highlight w:val="none"/>
        </w:rPr>
      </w:pPr>
      <w:r>
        <w:rPr>
          <w:rFonts w:hint="eastAsia" w:ascii="宋体" w:hAnsi="宋体" w:cs="宋体"/>
          <w:szCs w:val="21"/>
          <w:highlight w:val="none"/>
        </w:rPr>
        <w:t>地      址：</w:t>
      </w:r>
    </w:p>
    <w:p>
      <w:pPr>
        <w:tabs>
          <w:tab w:val="left" w:pos="3780"/>
        </w:tabs>
        <w:spacing w:line="360" w:lineRule="auto"/>
        <w:rPr>
          <w:rFonts w:ascii="宋体" w:hAnsi="宋体" w:cs="宋体"/>
          <w:szCs w:val="21"/>
          <w:highlight w:val="none"/>
        </w:rPr>
      </w:pPr>
      <w:r>
        <w:rPr>
          <w:rFonts w:hint="eastAsia" w:ascii="宋体" w:hAnsi="宋体" w:cs="宋体"/>
          <w:szCs w:val="21"/>
          <w:highlight w:val="none"/>
        </w:rPr>
        <w:t xml:space="preserve">法定代表人（签名或盖章）：                         </w:t>
      </w:r>
    </w:p>
    <w:p>
      <w:pPr>
        <w:tabs>
          <w:tab w:val="left" w:pos="3780"/>
        </w:tabs>
        <w:spacing w:line="360" w:lineRule="auto"/>
        <w:rPr>
          <w:rFonts w:ascii="宋体" w:hAnsi="宋体" w:cs="宋体"/>
          <w:szCs w:val="21"/>
          <w:highlight w:val="none"/>
        </w:rPr>
      </w:pPr>
      <w:r>
        <w:rPr>
          <w:rFonts w:hint="eastAsia" w:ascii="宋体" w:hAnsi="宋体" w:cs="宋体"/>
          <w:szCs w:val="21"/>
          <w:highlight w:val="none"/>
        </w:rPr>
        <w:t>签名日期：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left="1159" w:leftChars="552" w:firstLine="2261"/>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3124200</wp:posOffset>
                </wp:positionH>
                <wp:positionV relativeFrom="paragraph">
                  <wp:posOffset>217170</wp:posOffset>
                </wp:positionV>
                <wp:extent cx="2781300" cy="1639570"/>
                <wp:effectExtent l="4445" t="4445" r="8255" b="6985"/>
                <wp:wrapNone/>
                <wp:docPr id="8" name="矩形 8"/>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pPr>
                            <w:r>
                              <w:rPr>
                                <w:rFonts w:hint="eastAsia"/>
                              </w:rPr>
                              <w:t xml:space="preserve">       （反面</w:t>
                            </w:r>
                            <w:r>
                              <w:t>）</w:t>
                            </w:r>
                          </w:p>
                          <w:p/>
                        </w:txbxContent>
                      </wps:txbx>
                      <wps:bodyPr upright="1"/>
                    </wps:wsp>
                  </a:graphicData>
                </a:graphic>
              </wp:anchor>
            </w:drawing>
          </mc:Choice>
          <mc:Fallback>
            <w:pict>
              <v:rect id="_x0000_s1026" o:spid="_x0000_s1026" o:spt="1" style="position:absolute;left:0pt;margin-left:246pt;margin-top:17.1pt;height:129.1pt;width:219pt;z-index:251661312;mso-width-relative:page;mso-height-relative:page;" fillcolor="#FFFFFF" filled="t" stroked="t" coordsize="21600,21600" o:gfxdata="UEsDBAoAAAAAAIdO4kAAAAAAAAAAAAAAAAAEAAAAZHJzL1BLAwQUAAAACACHTuJAVlTpxdgAAAAK&#10;AQAADwAAAGRycy9kb3ducmV2LnhtbE2PQU+EMBCF7yb+h2ZMvLntFmIEKXvQrInHXfbibYARUDol&#10;tOyiv9560uOb9/Lme8VutaM40+wHxwa2GwWCuHHtwJ2BU7W/ewDhA3KLo2My8EUeduX1VYF56y58&#10;oPMxdCKWsM/RQB/ClEvpm54s+o2biKP37maLIcq5k+2Ml1huR6mVupcWB44fepzoqafm87hYA/Wg&#10;T/h9qF6UzfZJeF2rj+Xt2Zjbm616BBFoDX9h+MWP6FBGptot3HoxGkgzHbcEA0mqQcRAlqh4qA3o&#10;TKcgy0L+n1D+AFBLAwQUAAAACACHTuJAiI7iwgkCAAA4BAAADgAAAGRycy9lMm9Eb2MueG1srVPN&#10;jtMwEL4j8Q6W7zRpV92fqOkeKOWCYKVdHsB1Jokl/8njNunTIHHjIXgcxGswdkvpLhx6IAdnxh5/&#10;M98348X9aDTbQUDlbM2nk5IzsNI1ynY1//y0fnPLGUZhG6GdhZrvAfn98vWrxeArmLne6QYCIxCL&#10;1eBr3sfoq6JA2YMROHEeLB22LhgRyQ1d0QQxELrRxawsr4vBhcYHJwGRdleHQ35EDJcAurZVElZO&#10;bg3YeEANoEUkStgrj3yZq21bkPFT2yJEpmtOTGNeKQnZm7QWy4WouiB8r+SxBHFJCS84GaEsJT1B&#10;rUQUbBvUX1BGyeDQtXEinSkORLIixGJavtDmsRceMheSGv1JdPx/sPLj7iEw1dSc2m6FoYb//PLt&#10;x/ev7DZpM3isKOTRP4Sjh2QmomMbTPoTBTZmPfcnPWGMTNLm7OZ2elWS1JLOptdXd/ObrHjx57oP&#10;GN+DMywZNQ/UsKyj2H3ASCkp9HdIyoZOq2attM5O6DZvdWA7Qc1d5y/VTFeehWnLhprfzWdzKkTQ&#10;xLY0KWQaT6zRdjnfsxt4Dlzm71/AqbCVwP5QQEZIYaIyKkLSS1Q9iOadbVjce1LW0oPiqRgDDWca&#10;6P0lK0dGofQlkcRO2wQNebqPKqU+HTqTrDhuRgJN5sY1e2rw1gfV9STwNBNJJzRQWavj8KeJPffJ&#10;Pn/w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VOnF2AAAAAoBAAAPAAAAAAAAAAEAIAAAACIA&#10;AABkcnMvZG93bnJldi54bWxQSwECFAAUAAAACACHTuJAiI7iwgkCAAA4BAAADgAAAAAAAAABACAA&#10;AAAnAQAAZHJzL2Uyb0RvYy54bWxQSwUGAAAAAAYABgBZAQAAogUAAAAA&#10;">
                <v:fill on="t" focussize="0,0"/>
                <v:stroke color="#000000"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pPr>
                      <w:r>
                        <w:rPr>
                          <w:rFonts w:hint="eastAsia"/>
                        </w:rPr>
                        <w:t xml:space="preserve">       （反面</w:t>
                      </w:r>
                      <w:r>
                        <w:t>）</w:t>
                      </w:r>
                    </w:p>
                    <w:p/>
                  </w:txbxContent>
                </v:textbox>
              </v:rect>
            </w:pict>
          </mc:Fallback>
        </mc:AlternateContent>
      </w:r>
      <w:r>
        <w:rPr>
          <w:rFonts w:hint="eastAsia" w:ascii="宋体" w:hAnsi="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217170</wp:posOffset>
                </wp:positionV>
                <wp:extent cx="2781300" cy="1639570"/>
                <wp:effectExtent l="4445" t="4445" r="8255" b="6985"/>
                <wp:wrapNone/>
                <wp:docPr id="1" name="矩形 1"/>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60" w:firstLineChars="600"/>
                            </w:pPr>
                            <w:r>
                              <w:rPr>
                                <w:rFonts w:hint="eastAsia"/>
                              </w:rPr>
                              <w:t>被授权人（授权代表）</w:t>
                            </w:r>
                          </w:p>
                          <w:p>
                            <w:pPr>
                              <w:ind w:firstLine="1050" w:firstLineChars="500"/>
                            </w:pPr>
                            <w:r>
                              <w:rPr>
                                <w:rFonts w:hint="eastAsia"/>
                              </w:rPr>
                              <w:t>居民身份证复印件粘贴处</w:t>
                            </w:r>
                          </w:p>
                          <w:p/>
                          <w:p>
                            <w:pPr>
                              <w:jc w:val="center"/>
                            </w:pPr>
                            <w:r>
                              <w:rPr>
                                <w:rFonts w:hint="eastAsia"/>
                              </w:rPr>
                              <w:t>（正面</w:t>
                            </w:r>
                            <w:r>
                              <w:t>）</w:t>
                            </w:r>
                          </w:p>
                        </w:txbxContent>
                      </wps:txbx>
                      <wps:bodyPr upright="1"/>
                    </wps:wsp>
                  </a:graphicData>
                </a:graphic>
              </wp:anchor>
            </w:drawing>
          </mc:Choice>
          <mc:Fallback>
            <w:pict>
              <v:rect id="_x0000_s1026" o:spid="_x0000_s1026" o:spt="1" style="position:absolute;left:0pt;margin-left:11.25pt;margin-top:17.1pt;height:129.1pt;width:219pt;z-index:251660288;mso-width-relative:page;mso-height-relative:page;" fillcolor="#FFFFFF" filled="t" stroked="t" coordsize="21600,21600" o:gfxdata="UEsDBAoAAAAAAIdO4kAAAAAAAAAAAAAAAAAEAAAAZHJzL1BLAwQUAAAACACHTuJACkqantcAAAAJ&#10;AQAADwAAAGRycy9kb3ducmV2LnhtbE2PwU7DMAyG70i8Q2QkbixZVibWNd0BNCSOW3fh5ram7WiS&#10;qkm3wtNjTnC0v1+/P2e72fbiQmPovDOwXCgQ5Cpfd64xcCr2D08gQkRXY+8dGfiiALv89ibDtPZX&#10;d6DLMTaCS1xI0UAb45BKGaqWLIaFH8gx+/Cjxcjj2Mh6xCuX215qpdbSYuf4QosDPbdUfR4na6Ds&#10;9Am/D8Wrspv9Kr7NxXl6fzHm/m6ptiAizfEvDL/6rA45O5V+cnUQvQGtHzlpYJVoEMyTteJFyWCj&#10;E5B5Jv9/kP8AUEsDBBQAAAAIAIdO4kDdxxIFCQIAADgEAAAOAAAAZHJzL2Uyb0RvYy54bWytU82O&#10;0zAQviPxDpbvNGlX3Z+o6R4o5YJgpV0ewHUmiSX/yeM26dMgceMheBzEazB2S+kuHHogB2fGHn8z&#10;3zfjxf1oNNtBQOVszaeTkjOw0jXKdjX//LR+c8sZRmEboZ2Fmu8B+f3y9avF4CuYud7pBgIjEIvV&#10;4Gvex+irokDZgxE4cR4sHbYuGBHJDV3RBDEQutHFrCyvi8GFxgcnAZF2V4dDfkQMlwC6tlUSVk5u&#10;Ddh4QA2gRSRK2CuPfJmrbVuQ8VPbIkSma05MY14pCdmbtBbLhai6IHyv5LEEcUkJLzgZoSwlPUGt&#10;RBRsG9RfUEbJ4NC1cSKdKQ5EsiLEYlq+0OaxFx4yF5Ia/Ul0/H+w8uPuITDV0CRwZoWhhv/88u3H&#10;969smrQZPFYU8ugfwtFDMhPRsQ0m/YkCG7Oe+5OeMEYmaXN2czu9KklqSWfT66u7+U1WvPhz3QeM&#10;78EZloyaB2pY1lHsPmCklBT6OyRlQ6dVs1ZaZyd0m7c6sJ2g5q7zl2qmK8/CtGVDze/mszkVImhi&#10;W5oUMo0n1mi7nO/ZDTwHLvP3L+BU2EpgfyggI6QwURkVIeklqh5E8842LO49KWvpQfFUjIGGMw30&#10;/pKVI6NQ+pJIYqdtgoY83UeVUp8OnUlWHDcjgSZz45o9NXjrg+p6Ejh3tUgnNFBZq+Pwp4k998k+&#10;f/D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pKmp7XAAAACQEAAA8AAAAAAAAAAQAgAAAAIgAA&#10;AGRycy9kb3ducmV2LnhtbFBLAQIUABQAAAAIAIdO4kDdxxIFCQIAADgEAAAOAAAAAAAAAAEAIAAA&#10;ACYBAABkcnMvZTJvRG9jLnhtbFBLBQYAAAAABgAGAFkBAAChBQAAAAA=&#10;">
                <v:fill on="t" focussize="0,0"/>
                <v:stroke color="#000000" joinstyle="miter"/>
                <v:imagedata o:title=""/>
                <o:lock v:ext="edit" aspectratio="f"/>
                <v:textbox>
                  <w:txbxContent>
                    <w:p>
                      <w:pPr>
                        <w:ind w:firstLine="1260" w:firstLineChars="600"/>
                      </w:pPr>
                      <w:r>
                        <w:rPr>
                          <w:rFonts w:hint="eastAsia"/>
                        </w:rPr>
                        <w:t>被授权人（授权代表）</w:t>
                      </w:r>
                    </w:p>
                    <w:p>
                      <w:pPr>
                        <w:ind w:firstLine="1050" w:firstLineChars="500"/>
                      </w:pPr>
                      <w:r>
                        <w:rPr>
                          <w:rFonts w:hint="eastAsia"/>
                        </w:rPr>
                        <w:t>居民身份证复印件粘贴处</w:t>
                      </w:r>
                    </w:p>
                    <w:p/>
                    <w:p>
                      <w:pPr>
                        <w:jc w:val="center"/>
                      </w:pPr>
                      <w:r>
                        <w:rPr>
                          <w:rFonts w:hint="eastAsia"/>
                        </w:rPr>
                        <w:t>（正面</w:t>
                      </w:r>
                      <w:r>
                        <w:t>）</w:t>
                      </w:r>
                    </w:p>
                  </w:txbxContent>
                </v:textbox>
              </v:rect>
            </w:pict>
          </mc:Fallback>
        </mc:AlternateConten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440" w:lineRule="exact"/>
        <w:rPr>
          <w:rFonts w:ascii="宋体" w:hAnsi="宋体" w:cs="宋体"/>
          <w:szCs w:val="21"/>
          <w:highlight w:val="none"/>
        </w:rPr>
        <w:sectPr>
          <w:pgSz w:w="11906" w:h="16838"/>
          <w:pgMar w:top="1440" w:right="1286" w:bottom="1440" w:left="1440" w:header="851" w:footer="992" w:gutter="0"/>
          <w:cols w:space="720" w:num="1"/>
          <w:docGrid w:type="lines" w:linePitch="312" w:charSpace="0"/>
        </w:sectPr>
      </w:pPr>
      <w:bookmarkStart w:id="120" w:name="_Toc226217114"/>
    </w:p>
    <w:bookmarkEnd w:id="120"/>
    <w:p>
      <w:pPr>
        <w:numPr>
          <w:ilvl w:val="0"/>
          <w:numId w:val="80"/>
        </w:numPr>
        <w:spacing w:line="440" w:lineRule="exact"/>
        <w:rPr>
          <w:rFonts w:ascii="宋体" w:hAnsi="宋体" w:cs="宋体"/>
          <w:szCs w:val="21"/>
          <w:highlight w:val="none"/>
        </w:rPr>
      </w:pPr>
    </w:p>
    <w:p>
      <w:pPr>
        <w:pStyle w:val="4"/>
        <w:adjustRightInd w:val="0"/>
        <w:snapToGrid w:val="0"/>
        <w:spacing w:before="156" w:beforeLines="50" w:after="156" w:afterLines="50" w:line="360" w:lineRule="auto"/>
        <w:jc w:val="center"/>
        <w:rPr>
          <w:b w:val="0"/>
          <w:bCs w:val="0"/>
          <w:highlight w:val="none"/>
        </w:rPr>
      </w:pPr>
      <w:bookmarkStart w:id="121" w:name="_Toc275865608"/>
      <w:r>
        <w:rPr>
          <w:rFonts w:hint="eastAsia"/>
          <w:b w:val="0"/>
          <w:bCs w:val="0"/>
          <w:highlight w:val="none"/>
        </w:rPr>
        <w:t>法定代表人证明书</w:t>
      </w:r>
      <w:bookmarkEnd w:id="115"/>
      <w:bookmarkEnd w:id="116"/>
      <w:bookmarkEnd w:id="117"/>
      <w:bookmarkEnd w:id="118"/>
      <w:bookmarkEnd w:id="119"/>
      <w:bookmarkEnd w:id="121"/>
    </w:p>
    <w:p>
      <w:pPr>
        <w:tabs>
          <w:tab w:val="left" w:pos="900"/>
        </w:tabs>
        <w:spacing w:line="480" w:lineRule="auto"/>
        <w:ind w:firstLine="945" w:firstLineChars="450"/>
        <w:rPr>
          <w:rFonts w:ascii="宋体" w:hAnsi="宋体" w:cs="宋体"/>
          <w:szCs w:val="21"/>
          <w:highlight w:val="none"/>
        </w:rPr>
      </w:pPr>
      <w:r>
        <w:rPr>
          <w:rFonts w:hint="eastAsia" w:ascii="宋体" w:hAnsi="宋体" w:cs="宋体"/>
          <w:szCs w:val="21"/>
          <w:highlight w:val="none"/>
        </w:rPr>
        <w:t>______________同志，现任我单位</w:t>
      </w:r>
      <w:r>
        <w:rPr>
          <w:rFonts w:hint="eastAsia" w:ascii="宋体" w:hAnsi="宋体" w:cs="宋体"/>
          <w:szCs w:val="21"/>
          <w:highlight w:val="none"/>
          <w:u w:val="single"/>
        </w:rPr>
        <w:t xml:space="preserve">         </w:t>
      </w:r>
      <w:r>
        <w:rPr>
          <w:rFonts w:hint="eastAsia" w:ascii="宋体" w:hAnsi="宋体" w:cs="宋体"/>
          <w:szCs w:val="21"/>
          <w:highlight w:val="none"/>
        </w:rPr>
        <w:t>职务，为法定代表人，特此证明。</w:t>
      </w:r>
    </w:p>
    <w:p>
      <w:pPr>
        <w:spacing w:line="480" w:lineRule="auto"/>
        <w:ind w:firstLine="420" w:firstLineChars="200"/>
        <w:rPr>
          <w:rFonts w:ascii="宋体" w:hAnsi="宋体" w:cs="宋体"/>
          <w:szCs w:val="21"/>
          <w:highlight w:val="none"/>
        </w:rPr>
      </w:pPr>
      <w:r>
        <w:rPr>
          <w:rFonts w:hint="eastAsia" w:ascii="宋体" w:hAnsi="宋体" w:cs="宋体"/>
          <w:szCs w:val="21"/>
          <w:highlight w:val="none"/>
        </w:rPr>
        <w:t>有效日期与本公司投标文件中标注的投标有效期相同。签发日期：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pPr>
        <w:spacing w:line="480" w:lineRule="auto"/>
        <w:ind w:firstLine="420" w:firstLineChars="200"/>
        <w:rPr>
          <w:rFonts w:ascii="宋体" w:hAnsi="宋体" w:cs="宋体"/>
          <w:szCs w:val="21"/>
          <w:highlight w:val="none"/>
        </w:rPr>
      </w:pPr>
      <w:r>
        <w:rPr>
          <w:rFonts w:hint="eastAsia" w:ascii="宋体" w:hAnsi="宋体" w:cs="宋体"/>
          <w:szCs w:val="21"/>
          <w:highlight w:val="none"/>
        </w:rPr>
        <w:t>附：</w:t>
      </w:r>
    </w:p>
    <w:p>
      <w:pPr>
        <w:spacing w:line="480" w:lineRule="auto"/>
        <w:ind w:firstLine="840" w:firstLineChars="400"/>
        <w:rPr>
          <w:rFonts w:ascii="宋体" w:hAnsi="宋体" w:cs="宋体"/>
          <w:szCs w:val="21"/>
          <w:highlight w:val="none"/>
        </w:rPr>
      </w:pPr>
      <w:r>
        <w:rPr>
          <w:rFonts w:hint="eastAsia" w:ascii="宋体" w:hAnsi="宋体" w:cs="宋体"/>
          <w:szCs w:val="21"/>
          <w:highlight w:val="none"/>
        </w:rPr>
        <w:t xml:space="preserve">营业执照（注册号）：                       </w:t>
      </w:r>
    </w:p>
    <w:p>
      <w:pPr>
        <w:spacing w:line="480" w:lineRule="auto"/>
        <w:ind w:firstLine="840" w:firstLineChars="400"/>
        <w:rPr>
          <w:rFonts w:ascii="宋体" w:hAnsi="宋体" w:cs="宋体"/>
          <w:szCs w:val="21"/>
          <w:highlight w:val="none"/>
        </w:rPr>
      </w:pPr>
      <w:r>
        <w:rPr>
          <w:rFonts w:hint="eastAsia" w:ascii="宋体" w:hAnsi="宋体" w:cs="宋体"/>
          <w:szCs w:val="21"/>
          <w:highlight w:val="none"/>
        </w:rPr>
        <w:t>经济性质：</w:t>
      </w:r>
    </w:p>
    <w:p>
      <w:pPr>
        <w:spacing w:line="480" w:lineRule="auto"/>
        <w:ind w:firstLine="840" w:firstLineChars="400"/>
        <w:rPr>
          <w:rFonts w:ascii="宋体" w:hAnsi="宋体" w:cs="宋体"/>
          <w:szCs w:val="21"/>
          <w:highlight w:val="none"/>
        </w:rPr>
      </w:pPr>
      <w:r>
        <w:rPr>
          <w:rFonts w:hint="eastAsia" w:ascii="宋体" w:hAnsi="宋体" w:cs="宋体"/>
          <w:szCs w:val="21"/>
          <w:highlight w:val="none"/>
        </w:rPr>
        <w:t>经营范围：</w:t>
      </w:r>
    </w:p>
    <w:p>
      <w:pPr>
        <w:spacing w:line="480" w:lineRule="auto"/>
        <w:ind w:firstLine="843" w:firstLineChars="400"/>
        <w:rPr>
          <w:rFonts w:ascii="宋体" w:hAnsi="宋体" w:cs="宋体"/>
          <w:szCs w:val="21"/>
          <w:highlight w:val="none"/>
        </w:rPr>
      </w:pPr>
      <w:r>
        <w:rPr>
          <w:rFonts w:hint="eastAsia" w:ascii="宋体" w:hAnsi="宋体" w:cs="宋体"/>
          <w:b/>
          <w:bCs/>
          <w:szCs w:val="21"/>
          <w:highlight w:val="none"/>
        </w:rPr>
        <mc:AlternateContent>
          <mc:Choice Requires="wps">
            <w:drawing>
              <wp:anchor distT="0" distB="0" distL="114300" distR="114300" simplePos="0" relativeHeight="251662336" behindDoc="0" locked="0" layoutInCell="1" allowOverlap="1">
                <wp:simplePos x="0" y="0"/>
                <wp:positionH relativeFrom="column">
                  <wp:posOffset>3528695</wp:posOffset>
                </wp:positionH>
                <wp:positionV relativeFrom="paragraph">
                  <wp:posOffset>243840</wp:posOffset>
                </wp:positionV>
                <wp:extent cx="2743200" cy="1622425"/>
                <wp:effectExtent l="4445" t="4445" r="8255" b="11430"/>
                <wp:wrapNone/>
                <wp:docPr id="2" name="矩形 2"/>
                <wp:cNvGraphicFramePr/>
                <a:graphic xmlns:a="http://schemas.openxmlformats.org/drawingml/2006/main">
                  <a:graphicData uri="http://schemas.microsoft.com/office/word/2010/wordprocessingShape">
                    <wps:wsp>
                      <wps:cNvSpPr/>
                      <wps:spPr>
                        <a:xfrm>
                          <a:off x="0" y="0"/>
                          <a:ext cx="2743200"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pPr>
                          </w:p>
                          <w:p>
                            <w:pPr>
                              <w:ind w:firstLine="1680" w:firstLineChars="800"/>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pPr>
                            <w:r>
                              <w:rPr>
                                <w:rFonts w:hint="eastAsia"/>
                              </w:rPr>
                              <w:t xml:space="preserve">        （反面</w:t>
                            </w:r>
                            <w:r>
                              <w:t>）</w:t>
                            </w:r>
                          </w:p>
                        </w:txbxContent>
                      </wps:txbx>
                      <wps:bodyPr upright="1"/>
                    </wps:wsp>
                  </a:graphicData>
                </a:graphic>
              </wp:anchor>
            </w:drawing>
          </mc:Choice>
          <mc:Fallback>
            <w:pict>
              <v:rect id="_x0000_s1026" o:spid="_x0000_s1026" o:spt="1" style="position:absolute;left:0pt;margin-left:277.85pt;margin-top:19.2pt;height:127.75pt;width:216pt;z-index:251662336;mso-width-relative:page;mso-height-relative:page;" fillcolor="#FFFFFF" filled="t" stroked="t" coordsize="21600,21600" o:gfxdata="UEsDBAoAAAAAAIdO4kAAAAAAAAAAAAAAAAAEAAAAZHJzL1BLAwQUAAAACACHTuJAuMYNg9kAAAAK&#10;AQAADwAAAGRycy9kb3ducmV2LnhtbE2PwVKDMBCG7874Dpl1xptNCmIBCT3o1BmPLb14C2QFlGwY&#10;Elrs0zee9Li73/z7/cV2MQM74eR6SxLWKwEMqbG6p1bCsdo9pMCcV6TVYAkl/KCDbXl7U6hc2zPt&#10;8XTwLQsh5HIlofN+zDl3TYdGuZUdkcLt005G+TBOLdeTOodwM/BIiCduVE/hQ6dGfOmw+T7MRkLd&#10;R0d12VdvwmS72L8v1df88Srl/d1aPAPzuPg/GH71gzqUwam2M2nHBglJkmwCKiFOH4EFIEs3YVFL&#10;iLI4A14W/H+F8gpQSwMEFAAAAAgAh07iQHHPt80FAgAAOAQAAA4AAABkcnMvZTJvRG9jLnhtbK1T&#10;zY7TMBC+I/EOlu80adhdIGq6B0q5IFhplwdw7UliyX+y3SZ9GiRuPASPg3gNxk4o3YVDD+SQfI7H&#10;38z3zXh1O2pFDuCDtKahy0VJCRhuhTRdQz8/bF+8piREZgRT1kBDjxDo7fr5s9Xgaqhsb5UAT5DE&#10;hHpwDe1jdHVRBN6DZmFhHRjcbK3XLOLSd4XwbEB2rYqqLG+KwXrhvOUQAv7dTJt0ZvSXENq2lRw2&#10;lu81mDixelAsoqTQSxfoOlfbtsDjp7YNEIlqKCqN+Y1JEO/Su1ivWN155nrJ5xLYJSU80aSZNJj0&#10;RLVhkZG9l39Racm9DbaNC251MQnJjqCKZfnEm/ueOcha0OrgTqaH/0fLPx7uPJGioRUlhmls+M8v&#10;3358/0qq5M3gQo0h9+7Oz6uAMAkdW6/TFyWQMft5PPkJYyQcf1avrl5iyynhuLe8qaqr6jqxFn+O&#10;Ox/ie7CaJNBQjw3LPrLDhxCn0N8hKVuwSoqtVCovfLd7qzw5MGzuNj8z+6MwZcjQ0DfXmJtwhhPb&#10;4qQg1A5VB9PlfI9OhHPiMj//Ik6FbVjopwIyQwpjtZYRfEY9MPHOCBKPDp01eKFoKkaDoEQB3r+E&#10;cmRkUl0Sid4pk5JAnu7ZpdSnqTMJxXE3ImmCOyuO2OC987Lr0eBlFpJ2cKByJ+bhTxN7vkZ8fuH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xg2D2QAAAAoBAAAPAAAAAAAAAAEAIAAAACIAAABk&#10;cnMvZG93bnJldi54bWxQSwECFAAUAAAACACHTuJAcc+3zQUCAAA4BAAADgAAAAAAAAABACAAAAAo&#10;AQAAZHJzL2Uyb0RvYy54bWxQSwUGAAAAAAYABgBZAQAAnwUAAAAA&#10;">
                <v:fill on="t" focussize="0,0"/>
                <v:stroke color="#000000" joinstyle="miter"/>
                <v:imagedata o:title=""/>
                <o:lock v:ext="edit" aspectratio="f"/>
                <v:textbox>
                  <w:txbxContent>
                    <w:p>
                      <w:pPr>
                        <w:ind w:firstLine="840" w:firstLineChars="400"/>
                      </w:pPr>
                    </w:p>
                    <w:p>
                      <w:pPr>
                        <w:ind w:firstLine="1680" w:firstLineChars="800"/>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pPr>
                      <w:r>
                        <w:rPr>
                          <w:rFonts w:hint="eastAsia"/>
                        </w:rPr>
                        <w:t xml:space="preserve">        （反面</w:t>
                      </w:r>
                      <w:r>
                        <w:t>）</w:t>
                      </w:r>
                    </w:p>
                  </w:txbxContent>
                </v:textbox>
              </v:rect>
            </w:pict>
          </mc:Fallback>
        </mc:AlternateContent>
      </w:r>
      <w:r>
        <w:rPr>
          <w:rFonts w:hint="eastAsia" w:ascii="宋体" w:hAnsi="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575945</wp:posOffset>
                </wp:positionH>
                <wp:positionV relativeFrom="paragraph">
                  <wp:posOffset>243840</wp:posOffset>
                </wp:positionV>
                <wp:extent cx="2743200" cy="1622425"/>
                <wp:effectExtent l="4445" t="4445" r="8255" b="11430"/>
                <wp:wrapNone/>
                <wp:docPr id="4" name="矩形 4"/>
                <wp:cNvGraphicFramePr/>
                <a:graphic xmlns:a="http://schemas.openxmlformats.org/drawingml/2006/main">
                  <a:graphicData uri="http://schemas.microsoft.com/office/word/2010/wordprocessingShape">
                    <wps:wsp>
                      <wps:cNvSpPr/>
                      <wps:spPr>
                        <a:xfrm>
                          <a:off x="0" y="0"/>
                          <a:ext cx="2743200" cy="162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840" w:firstLineChars="400"/>
                            </w:pPr>
                          </w:p>
                          <w:p>
                            <w:pPr>
                              <w:ind w:firstLine="1680" w:firstLineChars="800"/>
                            </w:pPr>
                            <w:r>
                              <w:rPr>
                                <w:rFonts w:hint="eastAsia"/>
                              </w:rPr>
                              <w:t>法定代表人</w:t>
                            </w:r>
                          </w:p>
                          <w:p>
                            <w:pPr>
                              <w:ind w:firstLine="1050" w:firstLineChars="500"/>
                            </w:pPr>
                            <w:r>
                              <w:rPr>
                                <w:rFonts w:hint="eastAsia"/>
                              </w:rPr>
                              <w:t>居民身份证复印件粘贴处</w:t>
                            </w:r>
                          </w:p>
                          <w:p>
                            <w:pPr>
                              <w:ind w:firstLine="1050" w:firstLineChars="500"/>
                            </w:pPr>
                            <w:r>
                              <w:rPr>
                                <w:rFonts w:hint="eastAsia"/>
                              </w:rPr>
                              <w:t xml:space="preserve"> </w:t>
                            </w:r>
                          </w:p>
                          <w:p>
                            <w:pPr>
                              <w:ind w:firstLine="1050" w:firstLineChars="500"/>
                            </w:pPr>
                            <w:r>
                              <w:t xml:space="preserve">       </w:t>
                            </w:r>
                            <w:r>
                              <w:rPr>
                                <w:rFonts w:hint="eastAsia"/>
                              </w:rPr>
                              <w:t>（正面</w:t>
                            </w:r>
                            <w:r>
                              <w:t>）</w:t>
                            </w:r>
                          </w:p>
                        </w:txbxContent>
                      </wps:txbx>
                      <wps:bodyPr upright="1"/>
                    </wps:wsp>
                  </a:graphicData>
                </a:graphic>
              </wp:anchor>
            </w:drawing>
          </mc:Choice>
          <mc:Fallback>
            <w:pict>
              <v:rect id="_x0000_s1026" o:spid="_x0000_s1026" o:spt="1" style="position:absolute;left:0pt;margin-left:45.35pt;margin-top:19.2pt;height:127.75pt;width:216pt;z-index:251659264;mso-width-relative:page;mso-height-relative:page;" fillcolor="#FFFFFF" filled="t" stroked="t" coordsize="21600,21600" o:gfxdata="UEsDBAoAAAAAAIdO4kAAAAAAAAAAAAAAAAAEAAAAZHJzL1BLAwQUAAAACACHTuJAF5+qi9gAAAAJ&#10;AQAADwAAAGRycy9kb3ducmV2LnhtbE2PzU7DMBCE70i8g7VI3KjdhJ8mxOkBVCSObXrhtomXJBDb&#10;Uey0gadnOcFxdkYz3xbbxQ7iRFPovdOwXikQ5BpvetdqOFa7mw2IENEZHLwjDV8UYFteXhSYG392&#10;ezodYiu4xIUcNXQxjrmUoenIYlj5kRx7736yGFlOrTQTnrncDjJR6l5a7B0vdDjSU0fN52G2Guo+&#10;OeL3vnpRNtul8XWpPua3Z62vr9bqEUSkJf6F4Ref0aFkptrPzgQxaMjUAyc1pJtbEOzfJQkfag1J&#10;lmYgy0L+/6D8AVBLAwQUAAAACACHTuJA0kqnWwUCAAA4BAAADgAAAGRycy9lMm9Eb2MueG1srVPN&#10;jtMwEL4j8Q6W7zRt6C4QNd0DpVwQrLTLA7i2k1jynzxukz4NEjcegsdBvAZjJ5Tuz6EHckg+x+Nv&#10;5vtmvLoZjCYHGUA5W9PFbE6JtNwJZduafr3fvnpLCURmBdPOypoeJdCb9csXq95XsnSd00IGgiQW&#10;qt7XtIvRV0UBvJOGwcx5aXGzccGwiMvQFiKwHtmNLsr5/LroXRA+OC4B8O9m3KQTY7iE0DWN4nLj&#10;+N5IG0fWIDWLKAk65YGuc7VNI3n80jQgI9E1RaUxvzEJ4l16F+sVq9rAfKf4VAK7pIRHmgxTFpOe&#10;qDYsMrIP6gmVUTw4cE2ccWeKUUh2BFUs5o+8ueuYl1kLWg3+ZDr8P1r++XAbiBI1XVJimcGG//72&#10;49fP72SZvOk9VBhy52/DtAKESejQBJO+KIEM2c/jyU85RMLxZ/lm+RpbTgnHvcV1WS7Lq8Ra/Dvu&#10;A8SP0hmSQE0DNiz7yA6fII6hf0NSNnBaia3SOi9Cu3uvAzkwbO42PxP7gzBtSV/Td1eYm3CGE9vg&#10;pCA0HlWDbXO+ByfgnHien+eIU2EbBt1YQGZIYawyKsqQUSeZ+GAFiUePzlq8UDQVY6SgREu8fwnl&#10;yMiUviQSvdM2JZF5uieXUp/GziQUh92ApAnunDhig/c+qLZDgxdZSNrBgcqdmIY/Tez5GvH5h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efqovYAAAACQEAAA8AAAAAAAAAAQAgAAAAIgAAAGRy&#10;cy9kb3ducmV2LnhtbFBLAQIUABQAAAAIAIdO4kDSSqdbBQIAADgEAAAOAAAAAAAAAAEAIAAAACcB&#10;AABkcnMvZTJvRG9jLnhtbFBLBQYAAAAABgAGAFkBAACeBQAAAAA=&#10;">
                <v:fill on="t" focussize="0,0"/>
                <v:stroke color="#000000" joinstyle="miter"/>
                <v:imagedata o:title=""/>
                <o:lock v:ext="edit" aspectratio="f"/>
                <v:textbox>
                  <w:txbxContent>
                    <w:p>
                      <w:pPr>
                        <w:ind w:firstLine="840" w:firstLineChars="400"/>
                      </w:pPr>
                    </w:p>
                    <w:p>
                      <w:pPr>
                        <w:ind w:firstLine="1680" w:firstLineChars="800"/>
                      </w:pPr>
                      <w:r>
                        <w:rPr>
                          <w:rFonts w:hint="eastAsia"/>
                        </w:rPr>
                        <w:t>法定代表人</w:t>
                      </w:r>
                    </w:p>
                    <w:p>
                      <w:pPr>
                        <w:ind w:firstLine="1050" w:firstLineChars="500"/>
                      </w:pPr>
                      <w:r>
                        <w:rPr>
                          <w:rFonts w:hint="eastAsia"/>
                        </w:rPr>
                        <w:t>居民身份证复印件粘贴处</w:t>
                      </w:r>
                    </w:p>
                    <w:p>
                      <w:pPr>
                        <w:ind w:firstLine="1050" w:firstLineChars="500"/>
                      </w:pPr>
                      <w:r>
                        <w:rPr>
                          <w:rFonts w:hint="eastAsia"/>
                        </w:rPr>
                        <w:t xml:space="preserve"> </w:t>
                      </w:r>
                    </w:p>
                    <w:p>
                      <w:pPr>
                        <w:ind w:firstLine="1050" w:firstLineChars="500"/>
                      </w:pPr>
                      <w:r>
                        <w:t xml:space="preserve">       </w:t>
                      </w:r>
                      <w:r>
                        <w:rPr>
                          <w:rFonts w:hint="eastAsia"/>
                        </w:rPr>
                        <w:t>（正面</w:t>
                      </w:r>
                      <w:r>
                        <w:t>）</w:t>
                      </w:r>
                    </w:p>
                  </w:txbxContent>
                </v:textbox>
              </v:rect>
            </w:pict>
          </mc:Fallback>
        </mc:AlternateContent>
      </w:r>
    </w:p>
    <w:p>
      <w:pPr>
        <w:spacing w:line="500" w:lineRule="exact"/>
        <w:rPr>
          <w:rFonts w:ascii="宋体" w:hAnsi="宋体" w:cs="宋体"/>
          <w:b/>
          <w:bCs/>
          <w:szCs w:val="21"/>
          <w:highlight w:val="none"/>
        </w:rPr>
      </w:pPr>
    </w:p>
    <w:p>
      <w:pPr>
        <w:spacing w:line="500" w:lineRule="exact"/>
        <w:rPr>
          <w:rFonts w:ascii="宋体" w:hAnsi="宋体" w:cs="宋体"/>
          <w:b/>
          <w:bCs/>
          <w:szCs w:val="21"/>
          <w:highlight w:val="none"/>
        </w:rPr>
      </w:pPr>
    </w:p>
    <w:p>
      <w:pPr>
        <w:spacing w:line="500" w:lineRule="exact"/>
        <w:rPr>
          <w:rFonts w:ascii="宋体" w:hAnsi="宋体" w:cs="宋体"/>
          <w:b/>
          <w:bCs/>
          <w:szCs w:val="21"/>
          <w:highlight w:val="none"/>
        </w:rPr>
      </w:pPr>
    </w:p>
    <w:p>
      <w:pPr>
        <w:spacing w:line="500" w:lineRule="exact"/>
        <w:rPr>
          <w:rFonts w:ascii="宋体" w:hAnsi="宋体" w:cs="宋体"/>
          <w:b/>
          <w:bCs/>
          <w:szCs w:val="21"/>
          <w:highlight w:val="none"/>
        </w:rPr>
      </w:pPr>
    </w:p>
    <w:p>
      <w:pPr>
        <w:spacing w:line="500" w:lineRule="exact"/>
        <w:rPr>
          <w:rFonts w:ascii="宋体" w:hAnsi="宋体" w:cs="宋体"/>
          <w:b/>
          <w:bCs/>
          <w:szCs w:val="21"/>
          <w:highlight w:val="none"/>
        </w:rPr>
      </w:pPr>
    </w:p>
    <w:p>
      <w:pPr>
        <w:spacing w:line="500" w:lineRule="exact"/>
        <w:rPr>
          <w:rFonts w:ascii="宋体" w:hAnsi="宋体" w:cs="宋体"/>
          <w:b/>
          <w:bCs/>
          <w:szCs w:val="21"/>
          <w:highlight w:val="none"/>
        </w:rPr>
      </w:pPr>
    </w:p>
    <w:p>
      <w:pPr>
        <w:spacing w:line="500" w:lineRule="exact"/>
        <w:rPr>
          <w:rFonts w:ascii="宋体" w:hAnsi="宋体" w:cs="宋体"/>
          <w:b/>
          <w:bCs/>
          <w:szCs w:val="21"/>
          <w:highlight w:val="none"/>
        </w:rPr>
      </w:pPr>
      <w:r>
        <w:rPr>
          <w:rFonts w:hint="eastAsia" w:ascii="宋体" w:hAnsi="宋体" w:cs="宋体"/>
          <w:b/>
          <w:bCs/>
          <w:szCs w:val="21"/>
          <w:highlight w:val="none"/>
        </w:rPr>
        <w:t xml:space="preserve">                         </w:t>
      </w:r>
    </w:p>
    <w:p>
      <w:pPr>
        <w:spacing w:line="500" w:lineRule="exact"/>
        <w:rPr>
          <w:rFonts w:ascii="宋体" w:hAnsi="宋体" w:cs="宋体"/>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投标人名称(加盖公章)：</w:t>
      </w:r>
    </w:p>
    <w:p>
      <w:pPr>
        <w:spacing w:line="500" w:lineRule="exact"/>
        <w:rPr>
          <w:rFonts w:ascii="宋体" w:hAnsi="宋体" w:cs="宋体"/>
          <w:szCs w:val="21"/>
          <w:highlight w:val="none"/>
        </w:rPr>
      </w:pPr>
      <w:r>
        <w:rPr>
          <w:rFonts w:hint="eastAsia" w:ascii="宋体" w:hAnsi="宋体" w:cs="宋体"/>
          <w:szCs w:val="21"/>
          <w:highlight w:val="none"/>
        </w:rPr>
        <w:t xml:space="preserve">                                           地址：</w:t>
      </w:r>
    </w:p>
    <w:p>
      <w:pPr>
        <w:spacing w:line="500" w:lineRule="exact"/>
        <w:rPr>
          <w:rFonts w:ascii="宋体" w:hAnsi="宋体" w:cs="宋体"/>
          <w:b/>
          <w:bCs/>
          <w:szCs w:val="21"/>
          <w:highlight w:val="none"/>
        </w:rPr>
      </w:pPr>
      <w:r>
        <w:rPr>
          <w:rFonts w:hint="eastAsia" w:ascii="宋体" w:hAnsi="宋体" w:cs="宋体"/>
          <w:szCs w:val="21"/>
          <w:highlight w:val="none"/>
        </w:rPr>
        <w:t xml:space="preserve">                                           日期：</w:t>
      </w:r>
    </w:p>
    <w:p>
      <w:pPr>
        <w:numPr>
          <w:ilvl w:val="0"/>
          <w:numId w:val="80"/>
        </w:numPr>
        <w:spacing w:line="440" w:lineRule="exact"/>
        <w:rPr>
          <w:rFonts w:ascii="宋体" w:hAnsi="宋体" w:cs="宋体"/>
          <w:bCs/>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 xml:space="preserve">   </w:t>
      </w:r>
    </w:p>
    <w:p>
      <w:pPr>
        <w:pStyle w:val="4"/>
        <w:adjustRightInd w:val="0"/>
        <w:snapToGrid w:val="0"/>
        <w:spacing w:before="156" w:beforeLines="50" w:after="156" w:afterLines="50" w:line="360" w:lineRule="auto"/>
        <w:jc w:val="center"/>
        <w:rPr>
          <w:b w:val="0"/>
          <w:bCs w:val="0"/>
          <w:highlight w:val="none"/>
        </w:rPr>
      </w:pPr>
      <w:r>
        <w:rPr>
          <w:rFonts w:hint="eastAsia"/>
          <w:b w:val="0"/>
          <w:bCs w:val="0"/>
          <w:highlight w:val="none"/>
        </w:rPr>
        <w:t>开标一览表(报价表)</w:t>
      </w:r>
    </w:p>
    <w:p>
      <w:pPr>
        <w:tabs>
          <w:tab w:val="left" w:pos="7740"/>
        </w:tabs>
        <w:adjustRightInd w:val="0"/>
        <w:snapToGrid w:val="0"/>
        <w:rPr>
          <w:rFonts w:ascii="宋体" w:hAnsi="宋体" w:cs="宋体"/>
          <w:szCs w:val="21"/>
          <w:highlight w:val="none"/>
        </w:rPr>
      </w:pPr>
      <w:r>
        <w:rPr>
          <w:rFonts w:hint="eastAsia" w:ascii="宋体" w:hAnsi="宋体" w:cs="宋体"/>
          <w:szCs w:val="21"/>
          <w:highlight w:val="none"/>
        </w:rPr>
        <w:t>投标人名称：                                                    项目编号：GDZC-22GZ131</w:t>
      </w:r>
    </w:p>
    <w:tbl>
      <w:tblPr>
        <w:tblStyle w:val="25"/>
        <w:tblW w:w="91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77"/>
        <w:gridCol w:w="2664"/>
        <w:gridCol w:w="27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777"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highlight w:val="none"/>
              </w:rPr>
            </w:pPr>
            <w:r>
              <w:rPr>
                <w:rFonts w:hint="eastAsia" w:ascii="宋体"/>
                <w:b/>
                <w:szCs w:val="21"/>
                <w:highlight w:val="none"/>
              </w:rPr>
              <w:t>采购内容</w:t>
            </w:r>
          </w:p>
        </w:tc>
        <w:tc>
          <w:tcPr>
            <w:tcW w:w="2664"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highlight w:val="none"/>
              </w:rPr>
            </w:pPr>
            <w:r>
              <w:rPr>
                <w:rFonts w:hint="eastAsia" w:ascii="宋体"/>
                <w:b/>
                <w:szCs w:val="21"/>
                <w:highlight w:val="none"/>
              </w:rPr>
              <w:t>投标下浮率</w:t>
            </w:r>
          </w:p>
        </w:tc>
        <w:tc>
          <w:tcPr>
            <w:tcW w:w="2717"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highlight w:val="none"/>
              </w:rPr>
            </w:pPr>
            <w:r>
              <w:rPr>
                <w:rFonts w:hint="eastAsia" w:ascii="宋体"/>
                <w:b/>
                <w:szCs w:val="21"/>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3777" w:type="dxa"/>
            <w:tcBorders>
              <w:top w:val="single" w:color="auto" w:sz="4" w:space="0"/>
            </w:tcBorders>
            <w:vAlign w:val="center"/>
          </w:tcPr>
          <w:p>
            <w:pPr>
              <w:autoSpaceDE w:val="0"/>
              <w:autoSpaceDN w:val="0"/>
              <w:adjustRightInd w:val="0"/>
              <w:jc w:val="center"/>
              <w:rPr>
                <w:rFonts w:ascii="宋体" w:hAnsi="宋体"/>
                <w:highlight w:val="none"/>
              </w:rPr>
            </w:pPr>
            <w:r>
              <w:rPr>
                <w:rFonts w:hint="eastAsia" w:ascii="宋体" w:hAnsi="宋体"/>
                <w:highlight w:val="none"/>
              </w:rPr>
              <w:t>调味品、干货、粮油主食及副食品等市面供应食材以及辅助用品配送</w:t>
            </w:r>
            <w:r>
              <w:rPr>
                <w:rFonts w:hint="eastAsia" w:ascii="宋体" w:cs="宋体"/>
                <w:kern w:val="0"/>
                <w:szCs w:val="21"/>
                <w:highlight w:val="none"/>
              </w:rPr>
              <w:t>服务</w:t>
            </w:r>
          </w:p>
        </w:tc>
        <w:tc>
          <w:tcPr>
            <w:tcW w:w="2664" w:type="dxa"/>
            <w:tcBorders>
              <w:top w:val="single" w:color="auto" w:sz="4" w:space="0"/>
            </w:tcBorders>
            <w:vAlign w:val="center"/>
          </w:tcPr>
          <w:p>
            <w:pPr>
              <w:rPr>
                <w:rFonts w:ascii="宋体"/>
                <w:bCs/>
                <w:szCs w:val="21"/>
                <w:highlight w:val="none"/>
                <w:u w:val="single"/>
              </w:rPr>
            </w:pPr>
            <w:r>
              <w:rPr>
                <w:rFonts w:hint="eastAsia" w:ascii="宋体"/>
                <w:bCs/>
                <w:szCs w:val="21"/>
                <w:highlight w:val="none"/>
              </w:rPr>
              <w:t>小写：</w:t>
            </w:r>
            <w:r>
              <w:rPr>
                <w:rFonts w:hint="eastAsia" w:ascii="宋体"/>
                <w:bCs/>
                <w:szCs w:val="21"/>
                <w:highlight w:val="none"/>
                <w:u w:val="single"/>
              </w:rPr>
              <w:t xml:space="preserve">               %</w:t>
            </w:r>
          </w:p>
          <w:p>
            <w:pPr>
              <w:adjustRightInd w:val="0"/>
              <w:snapToGrid w:val="0"/>
              <w:rPr>
                <w:rFonts w:ascii="宋体"/>
                <w:bCs/>
                <w:szCs w:val="21"/>
                <w:highlight w:val="none"/>
              </w:rPr>
            </w:pPr>
            <w:r>
              <w:rPr>
                <w:rFonts w:hint="eastAsia" w:ascii="宋体"/>
                <w:bCs/>
                <w:szCs w:val="21"/>
                <w:highlight w:val="none"/>
              </w:rPr>
              <w:t>大写：百分之</w:t>
            </w:r>
            <w:r>
              <w:rPr>
                <w:rFonts w:hint="eastAsia" w:ascii="宋体"/>
                <w:bCs/>
                <w:szCs w:val="21"/>
                <w:highlight w:val="none"/>
                <w:u w:val="single"/>
              </w:rPr>
              <w:t xml:space="preserve">          </w:t>
            </w:r>
          </w:p>
        </w:tc>
        <w:tc>
          <w:tcPr>
            <w:tcW w:w="2717" w:type="dxa"/>
            <w:tcBorders>
              <w:top w:val="single" w:color="auto" w:sz="4" w:space="0"/>
            </w:tcBorders>
            <w:vAlign w:val="center"/>
          </w:tcPr>
          <w:p>
            <w:pPr>
              <w:adjustRightInd w:val="0"/>
              <w:snapToGrid w:val="0"/>
              <w:jc w:val="center"/>
              <w:rPr>
                <w:rFonts w:hint="eastAsia" w:ascii="宋体" w:hAnsi="宋体" w:eastAsia="宋体"/>
                <w:szCs w:val="21"/>
                <w:highlight w:val="none"/>
                <w:lang w:eastAsia="zh-CN"/>
              </w:rPr>
            </w:pPr>
            <w:r>
              <w:rPr>
                <w:rFonts w:hint="eastAsia" w:ascii="宋体" w:hAnsi="宋体"/>
                <w:szCs w:val="21"/>
                <w:highlight w:val="none"/>
                <w:lang w:eastAsia="zh-CN"/>
              </w:rPr>
              <w:t>自合同签订之日起36个月</w:t>
            </w:r>
          </w:p>
        </w:tc>
      </w:tr>
    </w:tbl>
    <w:p>
      <w:pPr>
        <w:spacing w:line="500" w:lineRule="exact"/>
        <w:rPr>
          <w:rFonts w:ascii="宋体" w:hAnsi="宋体" w:cs="宋体"/>
          <w:szCs w:val="21"/>
          <w:highlight w:val="none"/>
        </w:rPr>
      </w:pPr>
    </w:p>
    <w:p>
      <w:pPr>
        <w:spacing w:line="500" w:lineRule="exact"/>
        <w:rPr>
          <w:rFonts w:ascii="宋体" w:hAnsi="宋体" w:cs="宋体"/>
          <w:szCs w:val="21"/>
          <w:highlight w:val="none"/>
          <w:u w:val="single"/>
        </w:rPr>
      </w:pPr>
      <w:r>
        <w:rPr>
          <w:rFonts w:hint="eastAsia" w:ascii="宋体" w:hAnsi="宋体" w:cs="宋体"/>
          <w:szCs w:val="21"/>
          <w:highlight w:val="none"/>
        </w:rPr>
        <w:t>投标人名称(加盖公章)</w:t>
      </w:r>
      <w:r>
        <w:rPr>
          <w:rFonts w:hint="eastAsia" w:ascii="宋体" w:hAnsi="宋体" w:cs="宋体"/>
          <w:spacing w:val="4"/>
          <w:szCs w:val="21"/>
          <w:highlight w:val="none"/>
        </w:rPr>
        <w:t>：</w:t>
      </w:r>
      <w:r>
        <w:rPr>
          <w:rFonts w:hint="eastAsia" w:ascii="宋体" w:hAnsi="宋体" w:cs="宋体"/>
          <w:spacing w:val="4"/>
          <w:szCs w:val="21"/>
          <w:highlight w:val="none"/>
          <w:u w:val="single"/>
        </w:rPr>
        <w:t xml:space="preserve">                             </w:t>
      </w:r>
    </w:p>
    <w:p>
      <w:pPr>
        <w:rPr>
          <w:rFonts w:ascii="宋体" w:hAnsi="宋体" w:cs="宋体"/>
          <w:spacing w:val="4"/>
          <w:szCs w:val="21"/>
          <w:highlight w:val="none"/>
        </w:rPr>
      </w:pPr>
    </w:p>
    <w:p>
      <w:pPr>
        <w:spacing w:line="520" w:lineRule="exact"/>
        <w:rPr>
          <w:rFonts w:ascii="宋体" w:hAnsi="宋体" w:cs="宋体"/>
          <w:spacing w:val="4"/>
          <w:szCs w:val="21"/>
          <w:highlight w:val="none"/>
        </w:rPr>
      </w:pPr>
      <w:r>
        <w:rPr>
          <w:rFonts w:hint="eastAsia" w:ascii="宋体" w:hAnsi="宋体" w:cs="宋体"/>
          <w:szCs w:val="21"/>
          <w:highlight w:val="none"/>
        </w:rPr>
        <w:t>法定代表人或投标人授权代表（签名或盖章）：</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职务：</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日期</w:t>
      </w:r>
      <w:r>
        <w:rPr>
          <w:rFonts w:hint="eastAsia" w:ascii="宋体" w:hAnsi="宋体" w:cs="宋体"/>
          <w:spacing w:val="4"/>
          <w:szCs w:val="21"/>
          <w:highlight w:val="none"/>
          <w:u w:val="single"/>
        </w:rPr>
        <w:t xml:space="preserve">         </w:t>
      </w:r>
    </w:p>
    <w:p>
      <w:pPr>
        <w:spacing w:line="400" w:lineRule="exact"/>
        <w:rPr>
          <w:rFonts w:ascii="宋体" w:hAnsi="宋体" w:cs="宋体"/>
          <w:b/>
          <w:bCs/>
          <w:szCs w:val="21"/>
          <w:highlight w:val="none"/>
        </w:rPr>
      </w:pPr>
    </w:p>
    <w:p>
      <w:pPr>
        <w:spacing w:line="400" w:lineRule="exact"/>
        <w:rPr>
          <w:rFonts w:ascii="宋体" w:hAnsi="宋体" w:cs="宋体"/>
          <w:b/>
          <w:bCs/>
          <w:szCs w:val="21"/>
          <w:highlight w:val="none"/>
        </w:rPr>
      </w:pPr>
      <w:r>
        <w:rPr>
          <w:rFonts w:hint="eastAsia" w:ascii="宋体" w:hAnsi="宋体" w:cs="宋体"/>
          <w:b/>
          <w:bCs/>
          <w:szCs w:val="21"/>
          <w:highlight w:val="none"/>
        </w:rPr>
        <w:t>备注：</w:t>
      </w:r>
    </w:p>
    <w:p>
      <w:pPr>
        <w:numPr>
          <w:ilvl w:val="1"/>
          <w:numId w:val="85"/>
        </w:numPr>
        <w:tabs>
          <w:tab w:val="left" w:pos="360"/>
          <w:tab w:val="clear" w:pos="1620"/>
        </w:tabs>
        <w:snapToGrid w:val="0"/>
        <w:spacing w:line="360" w:lineRule="auto"/>
        <w:ind w:left="360"/>
        <w:rPr>
          <w:rFonts w:ascii="宋体" w:hAnsi="宋体" w:cs="宋体"/>
          <w:b/>
          <w:bCs/>
          <w:szCs w:val="21"/>
          <w:highlight w:val="none"/>
        </w:rPr>
      </w:pPr>
      <w:r>
        <w:rPr>
          <w:rFonts w:hint="eastAsia" w:ascii="宋体" w:hAnsi="宋体" w:cs="宋体"/>
          <w:b/>
          <w:szCs w:val="21"/>
          <w:highlight w:val="none"/>
        </w:rPr>
        <w:t>此表为投标文件的组成部分，须附在正、副本的投标文件中，并另封装一份于开标小信封中。</w:t>
      </w:r>
    </w:p>
    <w:p>
      <w:pPr>
        <w:numPr>
          <w:ilvl w:val="1"/>
          <w:numId w:val="85"/>
        </w:numPr>
        <w:tabs>
          <w:tab w:val="left" w:pos="360"/>
          <w:tab w:val="clear" w:pos="1620"/>
        </w:tabs>
        <w:snapToGrid w:val="0"/>
        <w:spacing w:line="360" w:lineRule="auto"/>
        <w:ind w:left="360"/>
        <w:rPr>
          <w:rFonts w:ascii="宋体" w:hAnsi="宋体" w:cs="宋体"/>
          <w:b/>
          <w:bCs/>
          <w:szCs w:val="21"/>
          <w:highlight w:val="none"/>
        </w:rPr>
      </w:pPr>
      <w:r>
        <w:rPr>
          <w:rFonts w:hint="eastAsia" w:ascii="宋体" w:hAnsi="宋体" w:cs="宋体"/>
          <w:b/>
          <w:szCs w:val="21"/>
          <w:highlight w:val="none"/>
        </w:rPr>
        <w:t>此表内投标报价为最终价，投标文件内不得含有任何对本报价进行修改的其他说明或资料，否则为无效投标</w:t>
      </w:r>
      <w:r>
        <w:rPr>
          <w:rFonts w:hint="eastAsia" w:ascii="宋体" w:hAnsi="宋体" w:cs="宋体"/>
          <w:b/>
          <w:bCs/>
          <w:szCs w:val="21"/>
          <w:highlight w:val="none"/>
        </w:rPr>
        <w:t>。</w:t>
      </w:r>
    </w:p>
    <w:p>
      <w:pPr>
        <w:numPr>
          <w:ilvl w:val="1"/>
          <w:numId w:val="85"/>
        </w:numPr>
        <w:tabs>
          <w:tab w:val="left" w:pos="360"/>
          <w:tab w:val="left" w:pos="840"/>
          <w:tab w:val="clear" w:pos="1620"/>
        </w:tabs>
        <w:snapToGrid w:val="0"/>
        <w:spacing w:line="360" w:lineRule="auto"/>
        <w:ind w:left="360"/>
        <w:rPr>
          <w:rFonts w:ascii="宋体" w:hAnsi="宋体" w:cs="宋体"/>
          <w:b/>
          <w:szCs w:val="21"/>
          <w:highlight w:val="none"/>
        </w:rPr>
      </w:pPr>
      <w:r>
        <w:rPr>
          <w:rFonts w:hint="eastAsia" w:ascii="宋体" w:hAnsi="宋体" w:cs="宋体"/>
          <w:b/>
          <w:szCs w:val="21"/>
          <w:highlight w:val="none"/>
        </w:rPr>
        <w:t>投标报价要求具体见第五章“</w:t>
      </w:r>
      <w:bookmarkStart w:id="122" w:name="_Toc322076489"/>
      <w:r>
        <w:rPr>
          <w:rFonts w:hint="eastAsia" w:ascii="宋体" w:hAnsi="宋体" w:cs="宋体"/>
          <w:b/>
          <w:bCs/>
          <w:szCs w:val="21"/>
          <w:highlight w:val="none"/>
        </w:rPr>
        <w:t>投标报价</w:t>
      </w:r>
      <w:bookmarkEnd w:id="122"/>
      <w:r>
        <w:rPr>
          <w:rFonts w:hint="eastAsia" w:ascii="宋体" w:hAnsi="宋体" w:cs="宋体"/>
          <w:b/>
          <w:szCs w:val="21"/>
          <w:highlight w:val="none"/>
        </w:rPr>
        <w:t>”要求及用户需求书的要求。</w:t>
      </w:r>
    </w:p>
    <w:p>
      <w:pPr>
        <w:numPr>
          <w:ilvl w:val="1"/>
          <w:numId w:val="85"/>
        </w:numPr>
        <w:tabs>
          <w:tab w:val="left" w:pos="360"/>
          <w:tab w:val="left" w:pos="840"/>
          <w:tab w:val="clear" w:pos="1620"/>
        </w:tabs>
        <w:snapToGrid w:val="0"/>
        <w:spacing w:line="360" w:lineRule="auto"/>
        <w:ind w:left="360"/>
        <w:rPr>
          <w:rFonts w:ascii="宋体" w:hAnsi="宋体" w:cs="宋体"/>
          <w:b/>
          <w:bCs/>
          <w:szCs w:val="21"/>
          <w:highlight w:val="none"/>
        </w:rPr>
      </w:pPr>
      <w:r>
        <w:rPr>
          <w:rFonts w:hint="eastAsia" w:ascii="宋体" w:hAnsi="宋体" w:cs="宋体"/>
          <w:b/>
          <w:bCs/>
          <w:szCs w:val="21"/>
          <w:highlight w:val="none"/>
        </w:rPr>
        <w:t>本项目不接受有选择性的投标报价</w:t>
      </w:r>
      <w:r>
        <w:rPr>
          <w:rFonts w:hint="eastAsia" w:ascii="宋体" w:hAnsi="宋体"/>
          <w:b/>
          <w:color w:val="auto"/>
          <w:highlight w:val="none"/>
        </w:rPr>
        <w:t>，只允许报一个下浮率，且所报的下浮率应当适用于所有食材</w:t>
      </w:r>
      <w:r>
        <w:rPr>
          <w:rFonts w:hint="eastAsia" w:ascii="宋体" w:hAnsi="宋体" w:cs="宋体"/>
          <w:b/>
          <w:szCs w:val="21"/>
          <w:highlight w:val="none"/>
        </w:rPr>
        <w:t>。</w:t>
      </w:r>
    </w:p>
    <w:p>
      <w:pPr>
        <w:numPr>
          <w:ilvl w:val="1"/>
          <w:numId w:val="85"/>
        </w:numPr>
        <w:tabs>
          <w:tab w:val="left" w:pos="360"/>
          <w:tab w:val="left" w:pos="840"/>
          <w:tab w:val="clear" w:pos="1620"/>
        </w:tabs>
        <w:snapToGrid w:val="0"/>
        <w:spacing w:line="360" w:lineRule="auto"/>
        <w:ind w:left="360"/>
        <w:rPr>
          <w:rFonts w:ascii="宋体" w:hAnsi="宋体" w:cs="宋体"/>
          <w:b/>
          <w:bCs/>
          <w:szCs w:val="21"/>
          <w:highlight w:val="none"/>
        </w:rPr>
      </w:pPr>
      <w:r>
        <w:rPr>
          <w:rFonts w:hint="eastAsia" w:ascii="宋体" w:hAnsi="宋体" w:cs="宋体"/>
          <w:b/>
          <w:bCs/>
          <w:spacing w:val="4"/>
          <w:szCs w:val="21"/>
          <w:highlight w:val="none"/>
        </w:rPr>
        <w:t>中文大写金额用汉字，如壹、贰、叁、肆、伍、陆、柒、捌、玖、拾、佰、仟、万、亿、元、角、分、零、整（正）等。</w:t>
      </w:r>
    </w:p>
    <w:p>
      <w:pPr>
        <w:numPr>
          <w:ilvl w:val="1"/>
          <w:numId w:val="85"/>
        </w:numPr>
        <w:tabs>
          <w:tab w:val="left" w:pos="360"/>
          <w:tab w:val="left" w:pos="840"/>
          <w:tab w:val="clear" w:pos="1620"/>
        </w:tabs>
        <w:snapToGrid w:val="0"/>
        <w:spacing w:line="360" w:lineRule="auto"/>
        <w:ind w:left="360"/>
        <w:rPr>
          <w:rFonts w:ascii="宋体" w:hAnsi="宋体" w:cs="宋体"/>
          <w:b/>
          <w:bCs/>
          <w:szCs w:val="21"/>
          <w:highlight w:val="none"/>
        </w:rPr>
      </w:pPr>
      <w:r>
        <w:rPr>
          <w:rFonts w:hint="eastAsia" w:ascii="宋体" w:hAnsi="宋体"/>
          <w:b/>
          <w:color w:val="auto"/>
          <w:highlight w:val="none"/>
        </w:rPr>
        <w:t>本项目投标报价为下浮率报价【如投标下浮率报价为10%，则供货价:产品货款＝产品的基准价×（1-10%）×实际供货量】</w:t>
      </w:r>
      <w:r>
        <w:rPr>
          <w:rFonts w:hint="eastAsia" w:ascii="宋体" w:hAnsi="宋体"/>
          <w:b/>
          <w:color w:val="auto"/>
          <w:highlight w:val="none"/>
          <w:lang w:val="en-US" w:eastAsia="zh-CN"/>
        </w:rPr>
        <w:t>。</w:t>
      </w:r>
    </w:p>
    <w:p>
      <w:pPr>
        <w:numPr>
          <w:ilvl w:val="1"/>
          <w:numId w:val="85"/>
        </w:numPr>
        <w:tabs>
          <w:tab w:val="left" w:pos="360"/>
          <w:tab w:val="left" w:pos="840"/>
          <w:tab w:val="clear" w:pos="1620"/>
        </w:tabs>
        <w:snapToGrid w:val="0"/>
        <w:spacing w:line="360" w:lineRule="auto"/>
        <w:ind w:left="360"/>
        <w:rPr>
          <w:rFonts w:ascii="宋体" w:hAnsi="宋体" w:cs="宋体"/>
          <w:b/>
          <w:bCs/>
          <w:szCs w:val="21"/>
          <w:highlight w:val="none"/>
        </w:rPr>
      </w:pPr>
      <w:r>
        <w:rPr>
          <w:rFonts w:hint="eastAsia" w:ascii="宋体" w:hAnsi="宋体" w:cs="宋体"/>
          <w:b/>
          <w:szCs w:val="21"/>
          <w:highlight w:val="none"/>
        </w:rPr>
        <w:t>若报价有小数点后的数值的，保留小数点后两位小数。</w:t>
      </w:r>
    </w:p>
    <w:p>
      <w:pPr>
        <w:rPr>
          <w:rFonts w:ascii="宋体" w:hAnsi="宋体" w:cs="宋体"/>
          <w:b/>
          <w:bCs/>
          <w:szCs w:val="21"/>
          <w:highlight w:val="none"/>
        </w:rPr>
      </w:pPr>
      <w:r>
        <w:rPr>
          <w:rFonts w:hint="eastAsia" w:ascii="宋体" w:hAnsi="宋体" w:cs="宋体"/>
          <w:b/>
          <w:szCs w:val="21"/>
          <w:highlight w:val="none"/>
        </w:rPr>
        <w:br w:type="page"/>
      </w:r>
    </w:p>
    <w:p>
      <w:pPr>
        <w:numPr>
          <w:ilvl w:val="0"/>
          <w:numId w:val="80"/>
        </w:numPr>
        <w:spacing w:line="440" w:lineRule="exact"/>
        <w:rPr>
          <w:rFonts w:ascii="宋体" w:hAnsi="宋体" w:cs="宋体"/>
          <w:bCs/>
          <w:szCs w:val="21"/>
          <w:highlight w:val="none"/>
        </w:rPr>
      </w:pPr>
    </w:p>
    <w:p>
      <w:pPr>
        <w:pStyle w:val="4"/>
        <w:adjustRightInd w:val="0"/>
        <w:snapToGrid w:val="0"/>
        <w:spacing w:before="156" w:beforeLines="50" w:after="156" w:afterLines="50" w:line="360" w:lineRule="auto"/>
        <w:jc w:val="center"/>
        <w:rPr>
          <w:b w:val="0"/>
          <w:bCs w:val="0"/>
          <w:highlight w:val="none"/>
        </w:rPr>
      </w:pPr>
      <w:bookmarkStart w:id="123" w:name="_Toc275865619"/>
      <w:r>
        <w:rPr>
          <w:rFonts w:hint="eastAsia"/>
          <w:b w:val="0"/>
          <w:bCs w:val="0"/>
          <w:highlight w:val="none"/>
        </w:rPr>
        <w:t>实质性响应一览表</w:t>
      </w:r>
      <w:bookmarkEnd w:id="123"/>
    </w:p>
    <w:p>
      <w:pPr>
        <w:widowControl/>
        <w:wordWrap w:val="0"/>
        <w:spacing w:line="360" w:lineRule="auto"/>
        <w:jc w:val="left"/>
        <w:rPr>
          <w:rFonts w:ascii="宋体" w:hAnsi="宋体" w:cs="宋体"/>
          <w:b/>
          <w:szCs w:val="21"/>
          <w:highlight w:val="none"/>
        </w:rPr>
      </w:pPr>
      <w:r>
        <w:rPr>
          <w:rFonts w:hint="eastAsia" w:ascii="宋体" w:hAnsi="宋体" w:cs="宋体"/>
          <w:szCs w:val="21"/>
          <w:highlight w:val="none"/>
        </w:rPr>
        <w:t>投标人名称：                                                     项目编号：GDZC-22GZ131</w:t>
      </w:r>
      <w:r>
        <w:rPr>
          <w:rFonts w:hint="eastAsia" w:ascii="宋体" w:hAnsi="宋体" w:cs="宋体"/>
          <w:kern w:val="0"/>
          <w:szCs w:val="21"/>
          <w:highlight w:val="none"/>
        </w:rPr>
        <w:t> </w:t>
      </w:r>
    </w:p>
    <w:tbl>
      <w:tblPr>
        <w:tblStyle w:val="25"/>
        <w:tblW w:w="9223" w:type="dxa"/>
        <w:tblInd w:w="6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628"/>
        <w:gridCol w:w="1710"/>
        <w:gridCol w:w="1726"/>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19" w:type="dxa"/>
            <w:tcBorders>
              <w:top w:val="single" w:color="auto" w:sz="12" w:space="0"/>
              <w:bottom w:val="double" w:color="auto" w:sz="4" w:space="0"/>
            </w:tcBorders>
            <w:shd w:val="clear" w:color="auto" w:fill="EEECE1"/>
            <w:vAlign w:val="center"/>
          </w:tcPr>
          <w:p>
            <w:pPr>
              <w:ind w:left="-90" w:leftChars="-43" w:right="-103" w:rightChars="-49"/>
              <w:jc w:val="center"/>
              <w:rPr>
                <w:rFonts w:ascii="宋体" w:hAnsi="宋体"/>
                <w:szCs w:val="21"/>
                <w:highlight w:val="none"/>
              </w:rPr>
            </w:pPr>
            <w:r>
              <w:rPr>
                <w:rFonts w:hint="eastAsia" w:ascii="宋体" w:hAnsi="宋体"/>
                <w:szCs w:val="21"/>
                <w:highlight w:val="none"/>
              </w:rPr>
              <w:t>序号</w:t>
            </w:r>
          </w:p>
        </w:tc>
        <w:tc>
          <w:tcPr>
            <w:tcW w:w="3628" w:type="dxa"/>
            <w:tcBorders>
              <w:top w:val="single" w:color="auto" w:sz="12" w:space="0"/>
              <w:bottom w:val="double" w:color="auto" w:sz="4" w:space="0"/>
            </w:tcBorders>
            <w:shd w:val="clear" w:color="auto" w:fill="EEECE1"/>
            <w:vAlign w:val="center"/>
          </w:tcPr>
          <w:p>
            <w:pPr>
              <w:jc w:val="center"/>
              <w:rPr>
                <w:rFonts w:ascii="宋体" w:hAnsi="宋体"/>
                <w:highlight w:val="none"/>
              </w:rPr>
            </w:pPr>
            <w:r>
              <w:rPr>
                <w:rFonts w:hint="eastAsia" w:ascii="宋体" w:hAnsi="宋体"/>
                <w:highlight w:val="none"/>
              </w:rPr>
              <w:t>原条款描述</w:t>
            </w:r>
          </w:p>
        </w:tc>
        <w:tc>
          <w:tcPr>
            <w:tcW w:w="1710" w:type="dxa"/>
            <w:tcBorders>
              <w:top w:val="single" w:color="auto" w:sz="12" w:space="0"/>
              <w:bottom w:val="double" w:color="auto" w:sz="4" w:space="0"/>
            </w:tcBorders>
            <w:shd w:val="clear" w:color="auto" w:fill="EEECE1"/>
            <w:vAlign w:val="center"/>
          </w:tcPr>
          <w:p>
            <w:pPr>
              <w:jc w:val="center"/>
              <w:rPr>
                <w:rFonts w:ascii="宋体" w:hAnsi="宋体"/>
                <w:highlight w:val="none"/>
              </w:rPr>
            </w:pPr>
            <w:r>
              <w:rPr>
                <w:rFonts w:hint="eastAsia" w:ascii="宋体" w:hAnsi="宋体"/>
                <w:highlight w:val="none"/>
              </w:rPr>
              <w:t>投标人响应描述</w:t>
            </w:r>
          </w:p>
        </w:tc>
        <w:tc>
          <w:tcPr>
            <w:tcW w:w="1726"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highlight w:val="none"/>
              </w:rPr>
            </w:pPr>
            <w:r>
              <w:rPr>
                <w:rFonts w:hint="eastAsia" w:ascii="宋体" w:hAnsi="宋体"/>
                <w:highlight w:val="none"/>
              </w:rPr>
              <w:t>偏离情况说明</w:t>
            </w:r>
          </w:p>
          <w:p>
            <w:pPr>
              <w:jc w:val="center"/>
              <w:rPr>
                <w:rFonts w:ascii="宋体" w:hAnsi="宋体"/>
                <w:highlight w:val="none"/>
              </w:rPr>
            </w:pPr>
            <w:r>
              <w:rPr>
                <w:rFonts w:hint="eastAsia" w:ascii="宋体" w:hAnsi="宋体"/>
                <w:highlight w:val="none"/>
              </w:rPr>
              <w:t>（</w:t>
            </w:r>
            <w:r>
              <w:rPr>
                <w:rFonts w:hint="eastAsia"/>
                <w:highlight w:val="none"/>
              </w:rPr>
              <w:t>正偏离/完全响应/负偏离</w:t>
            </w:r>
            <w:r>
              <w:rPr>
                <w:rFonts w:hint="eastAsia" w:ascii="宋体" w:hAnsi="宋体"/>
                <w:highlight w:val="none"/>
              </w:rPr>
              <w:t>）</w:t>
            </w:r>
          </w:p>
        </w:tc>
        <w:tc>
          <w:tcPr>
            <w:tcW w:w="1440"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highlight w:val="none"/>
              </w:rPr>
            </w:pPr>
            <w:r>
              <w:rPr>
                <w:rFonts w:hint="eastAsia" w:ascii="宋体" w:hAnsi="宋体"/>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23" w:type="dxa"/>
            <w:gridSpan w:val="5"/>
            <w:tcBorders>
              <w:top w:val="double" w:color="auto" w:sz="4" w:space="0"/>
            </w:tcBorders>
            <w:vAlign w:val="center"/>
          </w:tcPr>
          <w:p>
            <w:pPr>
              <w:jc w:val="center"/>
              <w:rPr>
                <w:rFonts w:ascii="宋体" w:hAnsi="宋体" w:cs="宋体"/>
                <w:szCs w:val="21"/>
                <w:highlight w:val="none"/>
              </w:rPr>
            </w:pPr>
            <w:r>
              <w:rPr>
                <w:rFonts w:hint="eastAsia"/>
                <w:b/>
                <w:bCs/>
                <w:highlight w:val="none"/>
              </w:rPr>
              <w:t>“</w:t>
            </w:r>
            <w:r>
              <w:rPr>
                <w:rFonts w:hint="eastAsia" w:ascii="宋体"/>
                <w:b/>
                <w:bCs/>
                <w:szCs w:val="20"/>
                <w:highlight w:val="none"/>
              </w:rPr>
              <w:t>★</w:t>
            </w:r>
            <w:r>
              <w:rPr>
                <w:rFonts w:hint="eastAsia"/>
                <w:b/>
                <w:bCs/>
                <w:highlight w:val="none"/>
              </w:rPr>
              <w:t>”号</w:t>
            </w:r>
            <w:r>
              <w:rPr>
                <w:rFonts w:hint="eastAsia" w:ascii="宋体" w:hAnsi="宋体"/>
                <w:b/>
                <w:bCs/>
                <w:highlight w:val="none"/>
              </w:rPr>
              <w:t>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tcBorders>
              <w:top w:val="double" w:color="auto" w:sz="4" w:space="0"/>
            </w:tcBorders>
            <w:vAlign w:val="center"/>
          </w:tcPr>
          <w:p>
            <w:pPr>
              <w:numPr>
                <w:ilvl w:val="0"/>
                <w:numId w:val="86"/>
              </w:numPr>
              <w:ind w:left="-38"/>
              <w:jc w:val="center"/>
              <w:rPr>
                <w:rFonts w:ascii="宋体" w:hAnsi="宋体"/>
                <w:szCs w:val="21"/>
                <w:highlight w:val="none"/>
              </w:rPr>
            </w:pPr>
          </w:p>
        </w:tc>
        <w:tc>
          <w:tcPr>
            <w:tcW w:w="3628" w:type="dxa"/>
            <w:tcBorders>
              <w:top w:val="double" w:color="auto" w:sz="4" w:space="0"/>
            </w:tcBorders>
            <w:vAlign w:val="center"/>
          </w:tcPr>
          <w:p>
            <w:pPr>
              <w:rPr>
                <w:rFonts w:ascii="宋体" w:hAnsi="宋体"/>
                <w:highlight w:val="none"/>
              </w:rPr>
            </w:pPr>
            <w:r>
              <w:rPr>
                <w:rFonts w:hint="eastAsia" w:ascii="宋体" w:hAnsi="宋体" w:cs="宋体"/>
                <w:b/>
                <w:bCs/>
                <w:szCs w:val="21"/>
                <w:highlight w:val="none"/>
              </w:rPr>
              <w:t>★</w:t>
            </w:r>
            <w:r>
              <w:rPr>
                <w:rFonts w:hint="eastAsia" w:ascii="宋体" w:hAnsi="宋体" w:cs="宋体"/>
                <w:szCs w:val="21"/>
                <w:highlight w:val="none"/>
              </w:rPr>
              <w:t>中标人所提供的产品必须符合《中华人民共和国质量法》质量标准，如产品质量未达到所设定的质量标准或违反《中华人民共和国质量法》中的规定，中标人接受无条件停止售卖。给招标人造成的经济损失，将由中标人承担一切相关赔偿责任（投标时提供承诺函，格式自定）。</w:t>
            </w:r>
          </w:p>
        </w:tc>
        <w:tc>
          <w:tcPr>
            <w:tcW w:w="1710" w:type="dxa"/>
            <w:tcBorders>
              <w:top w:val="double" w:color="auto" w:sz="4" w:space="0"/>
            </w:tcBorders>
            <w:vAlign w:val="center"/>
          </w:tcPr>
          <w:p>
            <w:pPr>
              <w:jc w:val="center"/>
              <w:rPr>
                <w:rFonts w:ascii="宋体" w:hAnsi="宋体"/>
                <w:highlight w:val="none"/>
              </w:rPr>
            </w:pPr>
          </w:p>
        </w:tc>
        <w:tc>
          <w:tcPr>
            <w:tcW w:w="1726" w:type="dxa"/>
            <w:tcBorders>
              <w:top w:val="double" w:color="auto" w:sz="4" w:space="0"/>
              <w:right w:val="single" w:color="auto" w:sz="2" w:space="0"/>
            </w:tcBorders>
            <w:vAlign w:val="center"/>
          </w:tcPr>
          <w:p>
            <w:pPr>
              <w:jc w:val="center"/>
              <w:rPr>
                <w:rFonts w:ascii="宋体" w:hAnsi="宋体"/>
                <w:highlight w:val="none"/>
              </w:rPr>
            </w:pPr>
          </w:p>
        </w:tc>
        <w:tc>
          <w:tcPr>
            <w:tcW w:w="1440" w:type="dxa"/>
            <w:tcBorders>
              <w:top w:val="double" w:color="auto" w:sz="4" w:space="0"/>
              <w:left w:val="single" w:color="auto" w:sz="2" w:space="0"/>
            </w:tcBorders>
            <w:vAlign w:val="center"/>
          </w:tcPr>
          <w:p>
            <w:pPr>
              <w:jc w:val="center"/>
              <w:rPr>
                <w:rFonts w:ascii="宋体" w:hAnsi="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numPr>
                <w:ilvl w:val="0"/>
                <w:numId w:val="86"/>
              </w:numPr>
              <w:ind w:left="-38"/>
              <w:jc w:val="center"/>
              <w:rPr>
                <w:rFonts w:ascii="宋体" w:hAnsi="宋体"/>
                <w:szCs w:val="21"/>
                <w:highlight w:val="none"/>
              </w:rPr>
            </w:pPr>
          </w:p>
        </w:tc>
        <w:tc>
          <w:tcPr>
            <w:tcW w:w="3628" w:type="dxa"/>
            <w:vAlign w:val="center"/>
          </w:tcPr>
          <w:p>
            <w:pPr>
              <w:rPr>
                <w:rFonts w:ascii="宋体" w:hAnsi="宋体" w:cs="宋体"/>
                <w:highlight w:val="none"/>
              </w:rPr>
            </w:pPr>
            <w:r>
              <w:rPr>
                <w:rFonts w:hint="eastAsia" w:ascii="宋体" w:hAnsi="宋体" w:cs="宋体"/>
                <w:highlight w:val="none"/>
              </w:rPr>
              <w:t>★为了维护招标人的声誉及店客的利益，中标人必须无条件保证供应的原料绝对符合国家食品卫生条例的要求，如因卫生、质量问题导致店客和招标人受到经济损失，由中标人负责，招标人可因后果严重程度要求中标人进行赔偿。如情节严重，招标人有权终止合同，中标人必须支付5000元（大写：人民币伍仟元整）的违约金及承担一切法律责任（投标时提供承诺函，格式自定）。</w:t>
            </w:r>
          </w:p>
        </w:tc>
        <w:tc>
          <w:tcPr>
            <w:tcW w:w="1710" w:type="dxa"/>
            <w:vAlign w:val="center"/>
          </w:tcPr>
          <w:p>
            <w:pPr>
              <w:jc w:val="center"/>
              <w:rPr>
                <w:rFonts w:ascii="宋体" w:hAnsi="宋体"/>
                <w:highlight w:val="none"/>
              </w:rPr>
            </w:pPr>
          </w:p>
        </w:tc>
        <w:tc>
          <w:tcPr>
            <w:tcW w:w="1726" w:type="dxa"/>
            <w:tcBorders>
              <w:right w:val="single" w:color="auto" w:sz="2" w:space="0"/>
            </w:tcBorders>
            <w:vAlign w:val="center"/>
          </w:tcPr>
          <w:p>
            <w:pPr>
              <w:jc w:val="center"/>
              <w:rPr>
                <w:rFonts w:ascii="宋体" w:hAnsi="宋体"/>
                <w:highlight w:val="none"/>
              </w:rPr>
            </w:pPr>
          </w:p>
        </w:tc>
        <w:tc>
          <w:tcPr>
            <w:tcW w:w="1440" w:type="dxa"/>
            <w:tcBorders>
              <w:left w:val="single" w:color="auto" w:sz="2" w:space="0"/>
            </w:tcBorders>
            <w:vAlign w:val="center"/>
          </w:tcPr>
          <w:p>
            <w:pPr>
              <w:jc w:val="center"/>
              <w:rPr>
                <w:rFonts w:ascii="宋体" w:hAnsi="宋体"/>
                <w:sz w:val="18"/>
                <w:szCs w:val="18"/>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numPr>
                <w:ilvl w:val="0"/>
                <w:numId w:val="86"/>
              </w:numPr>
              <w:ind w:left="-38"/>
              <w:jc w:val="center"/>
              <w:rPr>
                <w:rFonts w:ascii="宋体" w:hAnsi="宋体"/>
                <w:szCs w:val="21"/>
                <w:highlight w:val="none"/>
              </w:rPr>
            </w:pPr>
          </w:p>
        </w:tc>
        <w:tc>
          <w:tcPr>
            <w:tcW w:w="3628" w:type="dxa"/>
            <w:vAlign w:val="center"/>
          </w:tcPr>
          <w:p>
            <w:pPr>
              <w:rPr>
                <w:rFonts w:ascii="宋体" w:hAnsi="宋体" w:cs="宋体"/>
                <w:highlight w:val="none"/>
              </w:rPr>
            </w:pPr>
            <w:r>
              <w:rPr>
                <w:rFonts w:hint="eastAsia" w:ascii="宋体" w:hAnsi="宋体" w:cs="宋体"/>
                <w:highlight w:val="none"/>
              </w:rPr>
              <w:t>★食品运输必须采用符合卫生标准的外包装和运载工具，并且要保持清洁和定期消毒。运输车厢的内仓，包括地面、墙面和顶，应使用抗腐蚀、防潮，易清洁消毒的材料。车厢内无不良气味、异味（投标时提供承诺函，格式自定）。</w:t>
            </w:r>
          </w:p>
        </w:tc>
        <w:tc>
          <w:tcPr>
            <w:tcW w:w="1710" w:type="dxa"/>
            <w:vAlign w:val="center"/>
          </w:tcPr>
          <w:p>
            <w:pPr>
              <w:spacing w:line="400" w:lineRule="exact"/>
              <w:jc w:val="center"/>
              <w:rPr>
                <w:rFonts w:ascii="宋体" w:hAnsi="宋体"/>
                <w:highlight w:val="none"/>
              </w:rPr>
            </w:pPr>
          </w:p>
        </w:tc>
        <w:tc>
          <w:tcPr>
            <w:tcW w:w="1726" w:type="dxa"/>
            <w:tcBorders>
              <w:right w:val="single" w:color="auto" w:sz="2" w:space="0"/>
            </w:tcBorders>
            <w:vAlign w:val="center"/>
          </w:tcPr>
          <w:p>
            <w:pPr>
              <w:spacing w:line="400" w:lineRule="exact"/>
              <w:jc w:val="center"/>
              <w:rPr>
                <w:rFonts w:ascii="宋体" w:hAnsi="宋体"/>
                <w:highlight w:val="none"/>
              </w:rPr>
            </w:pPr>
          </w:p>
        </w:tc>
        <w:tc>
          <w:tcPr>
            <w:tcW w:w="1440" w:type="dxa"/>
            <w:tcBorders>
              <w:left w:val="single" w:color="auto" w:sz="2" w:space="0"/>
            </w:tcBorders>
            <w:vAlign w:val="center"/>
          </w:tcPr>
          <w:p>
            <w:pPr>
              <w:spacing w:line="400" w:lineRule="exact"/>
              <w:jc w:val="center"/>
              <w:rPr>
                <w:rFonts w:ascii="宋体" w:hAnsi="宋体"/>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23" w:type="dxa"/>
            <w:gridSpan w:val="5"/>
            <w:vAlign w:val="center"/>
          </w:tcPr>
          <w:p>
            <w:pPr>
              <w:spacing w:line="400" w:lineRule="exact"/>
              <w:jc w:val="center"/>
              <w:rPr>
                <w:rFonts w:ascii="宋体" w:hAnsi="宋体" w:cs="宋体"/>
                <w:szCs w:val="21"/>
                <w:highlight w:val="none"/>
              </w:rPr>
            </w:pPr>
            <w:r>
              <w:rPr>
                <w:rFonts w:hint="eastAsia" w:ascii="宋体" w:hAnsi="宋体" w:cs="宋体"/>
                <w:b/>
                <w:bCs/>
                <w:highlight w:val="none"/>
              </w:rPr>
              <w:t>商务要求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numPr>
                <w:ilvl w:val="0"/>
                <w:numId w:val="87"/>
              </w:numPr>
              <w:jc w:val="center"/>
              <w:rPr>
                <w:rFonts w:ascii="宋体" w:hAnsi="宋体"/>
                <w:szCs w:val="21"/>
                <w:highlight w:val="none"/>
              </w:rPr>
            </w:pPr>
          </w:p>
        </w:tc>
        <w:tc>
          <w:tcPr>
            <w:tcW w:w="3628" w:type="dxa"/>
            <w:vAlign w:val="center"/>
          </w:tcPr>
          <w:p>
            <w:pPr>
              <w:rPr>
                <w:rFonts w:ascii="宋体" w:hAnsi="宋体" w:cs="宋体"/>
                <w:highlight w:val="none"/>
              </w:rPr>
            </w:pPr>
            <w:r>
              <w:rPr>
                <w:rFonts w:hint="eastAsia" w:ascii="宋体" w:hAnsi="宋体" w:cs="宋体"/>
                <w:highlight w:val="none"/>
              </w:rPr>
              <w:t>一、服务期限及服务地点</w:t>
            </w:r>
          </w:p>
          <w:p>
            <w:pPr>
              <w:rPr>
                <w:rFonts w:ascii="宋体" w:hAnsi="宋体" w:cs="宋体"/>
                <w:highlight w:val="none"/>
              </w:rPr>
            </w:pPr>
            <w:r>
              <w:rPr>
                <w:rFonts w:hint="eastAsia" w:ascii="宋体" w:hAnsi="宋体" w:cs="宋体"/>
                <w:highlight w:val="none"/>
              </w:rPr>
              <w:t>（一）服务期限：</w:t>
            </w:r>
            <w:r>
              <w:rPr>
                <w:rFonts w:hint="eastAsia" w:ascii="宋体" w:hAnsi="宋体" w:cs="宋体"/>
                <w:highlight w:val="none"/>
                <w:lang w:eastAsia="zh-CN"/>
              </w:rPr>
              <w:t>自合同签订之日起36个月</w:t>
            </w:r>
            <w:r>
              <w:rPr>
                <w:rFonts w:hint="eastAsia" w:ascii="宋体" w:hAnsi="宋体" w:cs="宋体"/>
                <w:highlight w:val="none"/>
              </w:rPr>
              <w:t>。</w:t>
            </w:r>
          </w:p>
          <w:p>
            <w:pPr>
              <w:rPr>
                <w:rFonts w:ascii="宋体" w:hAnsi="宋体" w:cs="宋体"/>
                <w:highlight w:val="none"/>
              </w:rPr>
            </w:pPr>
            <w:r>
              <w:rPr>
                <w:rFonts w:hint="eastAsia" w:ascii="宋体" w:hAnsi="宋体" w:cs="宋体"/>
                <w:highlight w:val="none"/>
              </w:rPr>
              <w:t>（二）服务地点：招标人指定地点。</w:t>
            </w:r>
          </w:p>
        </w:tc>
        <w:tc>
          <w:tcPr>
            <w:tcW w:w="1710" w:type="dxa"/>
            <w:vAlign w:val="center"/>
          </w:tcPr>
          <w:p>
            <w:pPr>
              <w:spacing w:line="400" w:lineRule="exact"/>
              <w:jc w:val="center"/>
              <w:rPr>
                <w:rFonts w:ascii="宋体" w:hAnsi="宋体"/>
                <w:highlight w:val="none"/>
              </w:rPr>
            </w:pPr>
          </w:p>
        </w:tc>
        <w:tc>
          <w:tcPr>
            <w:tcW w:w="1726" w:type="dxa"/>
            <w:tcBorders>
              <w:right w:val="single" w:color="auto" w:sz="2" w:space="0"/>
            </w:tcBorders>
            <w:vAlign w:val="center"/>
          </w:tcPr>
          <w:p>
            <w:pPr>
              <w:spacing w:line="400" w:lineRule="exact"/>
              <w:jc w:val="center"/>
              <w:rPr>
                <w:rFonts w:ascii="宋体" w:hAnsi="宋体"/>
                <w:highlight w:val="none"/>
              </w:rPr>
            </w:pPr>
          </w:p>
        </w:tc>
        <w:tc>
          <w:tcPr>
            <w:tcW w:w="1440" w:type="dxa"/>
            <w:tcBorders>
              <w:left w:val="single" w:color="auto" w:sz="2"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numPr>
                <w:ilvl w:val="0"/>
                <w:numId w:val="87"/>
              </w:numPr>
              <w:jc w:val="center"/>
              <w:rPr>
                <w:rFonts w:ascii="宋体" w:hAnsi="宋体"/>
                <w:szCs w:val="21"/>
                <w:highlight w:val="none"/>
              </w:rPr>
            </w:pPr>
          </w:p>
        </w:tc>
        <w:tc>
          <w:tcPr>
            <w:tcW w:w="3628" w:type="dxa"/>
            <w:vAlign w:val="center"/>
          </w:tcPr>
          <w:p>
            <w:pPr>
              <w:rPr>
                <w:rFonts w:ascii="宋体" w:hAnsi="宋体" w:cs="宋体"/>
                <w:highlight w:val="none"/>
              </w:rPr>
            </w:pPr>
            <w:r>
              <w:rPr>
                <w:rFonts w:hint="eastAsia" w:ascii="宋体" w:hAnsi="宋体" w:cs="宋体"/>
                <w:highlight w:val="none"/>
              </w:rPr>
              <w:t>二、报价要求</w:t>
            </w:r>
          </w:p>
          <w:p>
            <w:pPr>
              <w:rPr>
                <w:rFonts w:ascii="宋体" w:hAnsi="宋体" w:cs="宋体"/>
                <w:highlight w:val="none"/>
              </w:rPr>
            </w:pPr>
            <w:r>
              <w:rPr>
                <w:rFonts w:hint="eastAsia" w:ascii="宋体" w:hAnsi="宋体" w:cs="宋体"/>
                <w:highlight w:val="none"/>
              </w:rPr>
              <w:t>（一）投标下浮率有效报价范围：0%≤投标下浮率＜100%，报价精确到小数点后两位，中标下浮率为该投标人的投标下浮率。</w:t>
            </w:r>
          </w:p>
          <w:p>
            <w:pPr>
              <w:rPr>
                <w:rFonts w:ascii="宋体" w:hAnsi="宋体" w:cs="宋体"/>
                <w:highlight w:val="none"/>
              </w:rPr>
            </w:pPr>
            <w:r>
              <w:rPr>
                <w:rFonts w:hint="eastAsia" w:ascii="宋体" w:hAnsi="宋体" w:cs="宋体"/>
                <w:highlight w:val="none"/>
              </w:rPr>
              <w:t>（二）投标下浮率必须为固定的报价（如10%），不得存在区间值（如5%～10%），不接受有选择性报价，且所报的投标下浮率应当适用于本项目内的全部供货内容。</w:t>
            </w:r>
          </w:p>
          <w:p>
            <w:pPr>
              <w:rPr>
                <w:rFonts w:ascii="宋体" w:hAnsi="宋体" w:cs="宋体"/>
                <w:highlight w:val="none"/>
              </w:rPr>
            </w:pPr>
            <w:r>
              <w:rPr>
                <w:rFonts w:hint="eastAsia" w:ascii="宋体" w:hAnsi="宋体" w:cs="宋体"/>
                <w:highlight w:val="none"/>
              </w:rPr>
              <w:t>（三）本项目结算单价及合价必须为全包价，包括了货物、检验检疫费、质量检测费、配送运输费、包装费、装卸费、搬运费、不合格货物的退换费用、人工费（社保、节假日慰问金等）、运营、保险、验收、售后服务、税费、其他伴随服务费用及合同实施过程中的应预见和不可预见费用等完成本招标内容所需的一切费用。</w:t>
            </w:r>
          </w:p>
          <w:p>
            <w:pPr>
              <w:rPr>
                <w:rFonts w:ascii="宋体" w:hAnsi="宋体" w:cs="宋体"/>
                <w:highlight w:val="none"/>
              </w:rPr>
            </w:pPr>
            <w:r>
              <w:rPr>
                <w:rFonts w:hint="eastAsia" w:ascii="宋体" w:hAnsi="宋体" w:cs="宋体"/>
                <w:highlight w:val="none"/>
              </w:rPr>
              <w:t>（四）投标下浮率由各投标人自行报价</w:t>
            </w:r>
          </w:p>
          <w:p>
            <w:pPr>
              <w:rPr>
                <w:rFonts w:ascii="宋体" w:hAnsi="宋体" w:cs="宋体"/>
                <w:highlight w:val="none"/>
              </w:rPr>
            </w:pPr>
            <w:r>
              <w:rPr>
                <w:rFonts w:hint="eastAsia" w:ascii="宋体" w:hAnsi="宋体" w:cs="宋体"/>
                <w:highlight w:val="none"/>
              </w:rPr>
              <w:t>（五）结算公式：项目结算单价=采购部确定当月价格╳（1-中标下浮率）。</w:t>
            </w:r>
          </w:p>
        </w:tc>
        <w:tc>
          <w:tcPr>
            <w:tcW w:w="1710" w:type="dxa"/>
            <w:vAlign w:val="center"/>
          </w:tcPr>
          <w:p>
            <w:pPr>
              <w:spacing w:line="400" w:lineRule="exact"/>
              <w:jc w:val="center"/>
              <w:rPr>
                <w:rFonts w:ascii="宋体" w:hAnsi="宋体"/>
                <w:highlight w:val="none"/>
              </w:rPr>
            </w:pPr>
          </w:p>
        </w:tc>
        <w:tc>
          <w:tcPr>
            <w:tcW w:w="1726" w:type="dxa"/>
            <w:tcBorders>
              <w:right w:val="single" w:color="auto" w:sz="2" w:space="0"/>
            </w:tcBorders>
            <w:vAlign w:val="center"/>
          </w:tcPr>
          <w:p>
            <w:pPr>
              <w:spacing w:line="400" w:lineRule="exact"/>
              <w:jc w:val="center"/>
              <w:rPr>
                <w:rFonts w:ascii="宋体" w:hAnsi="宋体"/>
                <w:highlight w:val="none"/>
              </w:rPr>
            </w:pPr>
          </w:p>
        </w:tc>
        <w:tc>
          <w:tcPr>
            <w:tcW w:w="1440" w:type="dxa"/>
            <w:tcBorders>
              <w:left w:val="single" w:color="auto" w:sz="2"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numPr>
                <w:ilvl w:val="0"/>
                <w:numId w:val="87"/>
              </w:numPr>
              <w:jc w:val="center"/>
              <w:rPr>
                <w:rFonts w:ascii="宋体" w:hAnsi="宋体"/>
                <w:szCs w:val="21"/>
                <w:highlight w:val="none"/>
              </w:rPr>
            </w:pPr>
          </w:p>
        </w:tc>
        <w:tc>
          <w:tcPr>
            <w:tcW w:w="3628" w:type="dxa"/>
            <w:vAlign w:val="center"/>
          </w:tcPr>
          <w:p>
            <w:pPr>
              <w:rPr>
                <w:rFonts w:ascii="宋体" w:hAnsi="宋体" w:cs="宋体"/>
                <w:highlight w:val="none"/>
              </w:rPr>
            </w:pPr>
            <w:r>
              <w:rPr>
                <w:rFonts w:hint="eastAsia" w:ascii="宋体" w:hAnsi="宋体" w:cs="宋体"/>
                <w:highlight w:val="none"/>
              </w:rPr>
              <w:t>三、采购项目交货时间</w:t>
            </w:r>
          </w:p>
          <w:p>
            <w:pPr>
              <w:rPr>
                <w:rFonts w:ascii="宋体" w:hAnsi="宋体" w:cs="宋体"/>
                <w:highlight w:val="none"/>
              </w:rPr>
            </w:pPr>
            <w:r>
              <w:rPr>
                <w:rFonts w:hint="eastAsia" w:ascii="宋体" w:hAnsi="宋体" w:cs="宋体"/>
                <w:highlight w:val="none"/>
              </w:rPr>
              <w:t>服务期内，每天供货两次，除农历年初一之外，中标人必须在每天上午九点前完成第一次交货，下午两点前完成第二次供货。招标人临时加单的，中标人必须配合，在1小时内完成供货。</w:t>
            </w:r>
          </w:p>
        </w:tc>
        <w:tc>
          <w:tcPr>
            <w:tcW w:w="1710" w:type="dxa"/>
            <w:vAlign w:val="center"/>
          </w:tcPr>
          <w:p>
            <w:pPr>
              <w:spacing w:line="400" w:lineRule="exact"/>
              <w:jc w:val="center"/>
              <w:rPr>
                <w:rFonts w:ascii="宋体" w:hAnsi="宋体"/>
                <w:highlight w:val="none"/>
              </w:rPr>
            </w:pPr>
          </w:p>
        </w:tc>
        <w:tc>
          <w:tcPr>
            <w:tcW w:w="1726" w:type="dxa"/>
            <w:tcBorders>
              <w:right w:val="single" w:color="auto" w:sz="2" w:space="0"/>
            </w:tcBorders>
            <w:vAlign w:val="center"/>
          </w:tcPr>
          <w:p>
            <w:pPr>
              <w:spacing w:line="400" w:lineRule="exact"/>
              <w:jc w:val="center"/>
              <w:rPr>
                <w:rFonts w:ascii="宋体" w:hAnsi="宋体"/>
                <w:highlight w:val="none"/>
              </w:rPr>
            </w:pPr>
          </w:p>
        </w:tc>
        <w:tc>
          <w:tcPr>
            <w:tcW w:w="1440" w:type="dxa"/>
            <w:tcBorders>
              <w:left w:val="single" w:color="auto" w:sz="2"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numPr>
                <w:ilvl w:val="0"/>
                <w:numId w:val="87"/>
              </w:numPr>
              <w:jc w:val="center"/>
              <w:rPr>
                <w:rFonts w:ascii="宋体" w:hAnsi="宋体"/>
                <w:szCs w:val="21"/>
                <w:highlight w:val="none"/>
              </w:rPr>
            </w:pPr>
          </w:p>
        </w:tc>
        <w:tc>
          <w:tcPr>
            <w:tcW w:w="3628" w:type="dxa"/>
            <w:vAlign w:val="center"/>
          </w:tcPr>
          <w:p>
            <w:pPr>
              <w:rPr>
                <w:rFonts w:ascii="宋体" w:hAnsi="宋体" w:cs="宋体"/>
                <w:highlight w:val="none"/>
              </w:rPr>
            </w:pPr>
            <w:r>
              <w:rPr>
                <w:rFonts w:hint="eastAsia" w:ascii="宋体" w:hAnsi="宋体" w:cs="宋体"/>
                <w:highlight w:val="none"/>
              </w:rPr>
              <w:t>四、双方责任</w:t>
            </w:r>
          </w:p>
          <w:p>
            <w:pPr>
              <w:rPr>
                <w:rFonts w:ascii="宋体" w:hAnsi="宋体" w:cs="宋体"/>
                <w:highlight w:val="none"/>
              </w:rPr>
            </w:pPr>
            <w:r>
              <w:rPr>
                <w:rFonts w:hint="eastAsia" w:ascii="宋体" w:hAnsi="宋体" w:cs="宋体"/>
                <w:highlight w:val="none"/>
              </w:rPr>
              <w:t>（一）招标人责任：向中标人提供所需的相关资料。</w:t>
            </w:r>
          </w:p>
          <w:p>
            <w:pPr>
              <w:rPr>
                <w:rFonts w:ascii="宋体" w:hAnsi="宋体" w:cs="宋体"/>
                <w:highlight w:val="none"/>
              </w:rPr>
            </w:pPr>
            <w:r>
              <w:rPr>
                <w:rFonts w:hint="eastAsia" w:ascii="宋体" w:hAnsi="宋体" w:cs="宋体"/>
                <w:highlight w:val="none"/>
              </w:rPr>
              <w:t>（二）中标人责任：</w:t>
            </w:r>
          </w:p>
          <w:p>
            <w:pPr>
              <w:rPr>
                <w:rFonts w:ascii="宋体" w:hAnsi="宋体" w:cs="宋体"/>
                <w:highlight w:val="none"/>
              </w:rPr>
            </w:pPr>
            <w:r>
              <w:rPr>
                <w:rFonts w:hint="eastAsia" w:ascii="宋体" w:hAnsi="宋体" w:cs="宋体"/>
                <w:highlight w:val="none"/>
              </w:rPr>
              <w:t>1.由中标人原因，造成验收时物品不合格的，由中标人承担违约责任。</w:t>
            </w:r>
          </w:p>
          <w:p>
            <w:pPr>
              <w:rPr>
                <w:rFonts w:ascii="宋体" w:hAnsi="宋体" w:cs="宋体"/>
                <w:highlight w:val="none"/>
              </w:rPr>
            </w:pPr>
            <w:r>
              <w:rPr>
                <w:rFonts w:hint="eastAsia" w:ascii="宋体" w:hAnsi="宋体" w:cs="宋体"/>
                <w:highlight w:val="none"/>
              </w:rPr>
              <w:t>2.中标人必须承担的食品安全责任。</w:t>
            </w:r>
          </w:p>
          <w:p>
            <w:pPr>
              <w:rPr>
                <w:rFonts w:ascii="宋体" w:hAnsi="宋体" w:cs="宋体"/>
                <w:highlight w:val="none"/>
              </w:rPr>
            </w:pPr>
            <w:r>
              <w:rPr>
                <w:rFonts w:hint="eastAsia" w:ascii="宋体" w:hAnsi="宋体" w:cs="宋体"/>
                <w:highlight w:val="none"/>
              </w:rPr>
              <w:t>（三）违约责任：</w:t>
            </w:r>
          </w:p>
          <w:p>
            <w:pPr>
              <w:rPr>
                <w:rFonts w:ascii="宋体" w:hAnsi="宋体" w:cs="宋体"/>
                <w:highlight w:val="none"/>
              </w:rPr>
            </w:pPr>
            <w:r>
              <w:rPr>
                <w:rFonts w:hint="eastAsia" w:ascii="宋体" w:hAnsi="宋体" w:cs="宋体"/>
                <w:highlight w:val="none"/>
              </w:rPr>
              <w:t>1.中标人未能按双方要求供货批次的时间交付物品，则向招标人支付该批次货款总额30%的违约金。中标人连续三次逾期交货的，招标人有权终止合同。</w:t>
            </w:r>
          </w:p>
          <w:p>
            <w:pPr>
              <w:rPr>
                <w:rFonts w:ascii="宋体" w:hAnsi="宋体" w:cs="宋体"/>
                <w:highlight w:val="none"/>
              </w:rPr>
            </w:pPr>
            <w:r>
              <w:rPr>
                <w:rFonts w:hint="eastAsia" w:ascii="宋体" w:hAnsi="宋体" w:cs="宋体"/>
                <w:highlight w:val="none"/>
              </w:rPr>
              <w:t>2.中标人交付的物品不符合合同规定的，招标人有权拒收，中标人向招标人支付该批次货款总额10%的违约金。</w:t>
            </w:r>
          </w:p>
          <w:p>
            <w:pPr>
              <w:rPr>
                <w:rFonts w:ascii="宋体" w:hAnsi="宋体" w:cs="宋体"/>
                <w:highlight w:val="none"/>
              </w:rPr>
            </w:pPr>
            <w:r>
              <w:rPr>
                <w:rFonts w:hint="eastAsia" w:ascii="宋体" w:hAnsi="宋体" w:cs="宋体"/>
                <w:highlight w:val="none"/>
              </w:rPr>
              <w:t>3.招标人无正当理由拒收物品，拒付货款的，招标人应向中标人偿付该批次货款总额5%的违约金。</w:t>
            </w:r>
          </w:p>
          <w:p>
            <w:pPr>
              <w:rPr>
                <w:rFonts w:ascii="宋体" w:hAnsi="宋体" w:cs="宋体"/>
                <w:highlight w:val="none"/>
              </w:rPr>
            </w:pPr>
            <w:r>
              <w:rPr>
                <w:rFonts w:hint="eastAsia" w:ascii="宋体" w:hAnsi="宋体" w:cs="宋体"/>
                <w:highlight w:val="none"/>
              </w:rPr>
              <w:t>4.招标人超过合同约定的付款期限后的十五天仍不付款（由于中标人自身原因与责任除外，如未及时与招标人对账，未及时提供收货单及有效发票等），则每日按该批次应付未付款项的0.5‰向中标人偿付违约金。</w:t>
            </w:r>
          </w:p>
          <w:p>
            <w:pPr>
              <w:rPr>
                <w:rFonts w:ascii="宋体" w:hAnsi="宋体" w:cs="宋体"/>
                <w:highlight w:val="none"/>
              </w:rPr>
            </w:pPr>
            <w:r>
              <w:rPr>
                <w:rFonts w:hint="eastAsia" w:ascii="宋体" w:hAnsi="宋体" w:cs="宋体"/>
                <w:highlight w:val="none"/>
              </w:rPr>
              <w:t>5.中标人应保障在质量保证期内，完全符合招标文件内对质量的要求、检验标准等，如不符合要求则招标人有权利终止合同。</w:t>
            </w:r>
          </w:p>
          <w:p>
            <w:pPr>
              <w:rPr>
                <w:rFonts w:ascii="宋体" w:hAnsi="宋体" w:cs="宋体"/>
                <w:highlight w:val="none"/>
              </w:rPr>
            </w:pPr>
            <w:r>
              <w:rPr>
                <w:rFonts w:hint="eastAsia" w:ascii="宋体" w:hAnsi="宋体" w:cs="宋体"/>
                <w:highlight w:val="none"/>
              </w:rPr>
              <w:t>6.中标人保证提供给招标人该批物品的任何一部分及各部分的总和，免受第三方的侵犯专利权、商标权或其他知识产权的起诉。如发生此类纠纷，由中标人承担一切责任。</w:t>
            </w:r>
          </w:p>
        </w:tc>
        <w:tc>
          <w:tcPr>
            <w:tcW w:w="1710" w:type="dxa"/>
            <w:vAlign w:val="center"/>
          </w:tcPr>
          <w:p>
            <w:pPr>
              <w:spacing w:line="400" w:lineRule="exact"/>
              <w:jc w:val="center"/>
              <w:rPr>
                <w:rFonts w:ascii="宋体" w:hAnsi="宋体"/>
                <w:highlight w:val="none"/>
              </w:rPr>
            </w:pPr>
          </w:p>
        </w:tc>
        <w:tc>
          <w:tcPr>
            <w:tcW w:w="1726" w:type="dxa"/>
            <w:tcBorders>
              <w:right w:val="single" w:color="auto" w:sz="2" w:space="0"/>
            </w:tcBorders>
            <w:vAlign w:val="center"/>
          </w:tcPr>
          <w:p>
            <w:pPr>
              <w:spacing w:line="400" w:lineRule="exact"/>
              <w:jc w:val="center"/>
              <w:rPr>
                <w:rFonts w:ascii="宋体" w:hAnsi="宋体"/>
                <w:highlight w:val="none"/>
              </w:rPr>
            </w:pPr>
          </w:p>
        </w:tc>
        <w:tc>
          <w:tcPr>
            <w:tcW w:w="1440" w:type="dxa"/>
            <w:tcBorders>
              <w:left w:val="single" w:color="auto" w:sz="2" w:space="0"/>
            </w:tcBorders>
            <w:vAlign w:val="center"/>
          </w:tcPr>
          <w:p>
            <w:pPr>
              <w:tabs>
                <w:tab w:val="left" w:pos="489"/>
              </w:tabs>
              <w:spacing w:line="400" w:lineRule="exact"/>
              <w:jc w:val="left"/>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numPr>
                <w:ilvl w:val="0"/>
                <w:numId w:val="87"/>
              </w:numPr>
              <w:jc w:val="center"/>
              <w:rPr>
                <w:rFonts w:ascii="宋体" w:hAnsi="宋体"/>
                <w:szCs w:val="21"/>
                <w:highlight w:val="none"/>
              </w:rPr>
            </w:pPr>
          </w:p>
        </w:tc>
        <w:tc>
          <w:tcPr>
            <w:tcW w:w="3628" w:type="dxa"/>
            <w:vAlign w:val="center"/>
          </w:tcPr>
          <w:p>
            <w:pPr>
              <w:rPr>
                <w:rFonts w:ascii="宋体" w:hAnsi="宋体" w:cs="宋体"/>
                <w:highlight w:val="none"/>
              </w:rPr>
            </w:pPr>
            <w:r>
              <w:rPr>
                <w:rFonts w:hint="eastAsia" w:ascii="宋体" w:hAnsi="宋体" w:cs="宋体"/>
                <w:highlight w:val="none"/>
              </w:rPr>
              <w:t>五、定价标准及结算方式</w:t>
            </w:r>
          </w:p>
          <w:p>
            <w:pPr>
              <w:rPr>
                <w:rFonts w:ascii="宋体" w:hAnsi="宋体" w:cs="宋体"/>
                <w:highlight w:val="none"/>
              </w:rPr>
            </w:pPr>
            <w:r>
              <w:rPr>
                <w:rFonts w:hint="eastAsia" w:ascii="宋体" w:hAnsi="宋体" w:cs="宋体"/>
                <w:highlight w:val="none"/>
              </w:rPr>
              <w:t>（一）每月20日前后（遇节假日相应提前或延迟）由招标人的使用部门、采购部、财务部和纪检监察工作小组代表组成核价小组联合核查市场价格，报价单由采购部制定，由采购部负责按照核查价格与中标人确定下月的价格，由招标人使用部门负责人、采购员、纪检监察工作小组代表、采购负责人、财务负责人等在报价单上签名后生效。</w:t>
            </w:r>
          </w:p>
          <w:p>
            <w:pPr>
              <w:rPr>
                <w:rFonts w:ascii="宋体" w:hAnsi="宋体" w:cs="宋体"/>
                <w:highlight w:val="none"/>
              </w:rPr>
            </w:pPr>
            <w:r>
              <w:rPr>
                <w:rFonts w:hint="eastAsia" w:ascii="宋体" w:hAnsi="宋体" w:cs="宋体"/>
                <w:highlight w:val="none"/>
              </w:rPr>
              <w:t>（二）餐饮物资每月的日常采购定价如遇核价小组无法确定的情况下，由采购部负责人请示采购领导小组确定。</w:t>
            </w:r>
          </w:p>
          <w:p>
            <w:pPr>
              <w:rPr>
                <w:rFonts w:ascii="宋体" w:hAnsi="宋体" w:cs="宋体"/>
                <w:highlight w:val="none"/>
              </w:rPr>
            </w:pPr>
            <w:r>
              <w:rPr>
                <w:rFonts w:hint="eastAsia" w:ascii="宋体" w:hAnsi="宋体" w:cs="宋体"/>
                <w:highlight w:val="none"/>
              </w:rPr>
              <w:t>（三）餐饮用料由行政总厨及楼面负责人，根据当天经营情况，预测明天用量，填写每日物资需求计划表，在当天晚上规定时间前提交采购部。采购员按照计划内容通知中标人。</w:t>
            </w:r>
          </w:p>
          <w:p>
            <w:pPr>
              <w:rPr>
                <w:rFonts w:ascii="宋体" w:hAnsi="宋体" w:cs="宋体"/>
                <w:highlight w:val="none"/>
              </w:rPr>
            </w:pPr>
            <w:r>
              <w:rPr>
                <w:rFonts w:hint="eastAsia" w:ascii="宋体" w:hAnsi="宋体" w:cs="宋体"/>
                <w:highlight w:val="none"/>
              </w:rPr>
              <w:t>（四）中标人交货时，由采购员、仓管员、使用部门人员共同验收，并签署验收单。</w:t>
            </w:r>
          </w:p>
          <w:p>
            <w:pPr>
              <w:rPr>
                <w:rFonts w:ascii="宋体" w:hAnsi="宋体" w:cs="宋体"/>
                <w:highlight w:val="none"/>
              </w:rPr>
            </w:pPr>
            <w:r>
              <w:rPr>
                <w:rFonts w:hint="eastAsia" w:ascii="宋体" w:hAnsi="宋体" w:cs="宋体"/>
                <w:highlight w:val="none"/>
              </w:rPr>
              <w:t>（五）每月的结算金额＝（汇总各类供应品）当月每日的结算金额合计－当月考核扣除结算款。</w:t>
            </w:r>
          </w:p>
          <w:p>
            <w:pPr>
              <w:rPr>
                <w:rFonts w:ascii="宋体" w:hAnsi="宋体" w:cs="宋体"/>
                <w:highlight w:val="none"/>
              </w:rPr>
            </w:pPr>
            <w:r>
              <w:rPr>
                <w:rFonts w:hint="eastAsia" w:ascii="宋体" w:hAnsi="宋体" w:cs="宋体"/>
                <w:highlight w:val="none"/>
              </w:rPr>
              <w:t>（六）交付货款：中标人按招标人要求完成上月供货后，于次月10日前凭国家正式增值税专用发票向招标人申请付款，招标人收到申请并经核对无误后在10个工作日内结清上月供货货款。招标人以月结支票、银行汇票、电汇及网络支付等方式向中标人支付上个月物品的总价给中标人。</w:t>
            </w:r>
          </w:p>
        </w:tc>
        <w:tc>
          <w:tcPr>
            <w:tcW w:w="1710" w:type="dxa"/>
            <w:vAlign w:val="center"/>
          </w:tcPr>
          <w:p>
            <w:pPr>
              <w:spacing w:line="400" w:lineRule="exact"/>
              <w:jc w:val="center"/>
              <w:rPr>
                <w:rFonts w:ascii="宋体" w:hAnsi="宋体"/>
                <w:highlight w:val="none"/>
              </w:rPr>
            </w:pPr>
          </w:p>
        </w:tc>
        <w:tc>
          <w:tcPr>
            <w:tcW w:w="1726" w:type="dxa"/>
            <w:tcBorders>
              <w:right w:val="single" w:color="auto" w:sz="2" w:space="0"/>
            </w:tcBorders>
            <w:vAlign w:val="center"/>
          </w:tcPr>
          <w:p>
            <w:pPr>
              <w:spacing w:line="400" w:lineRule="exact"/>
              <w:jc w:val="center"/>
              <w:rPr>
                <w:rFonts w:ascii="宋体" w:hAnsi="宋体"/>
                <w:highlight w:val="none"/>
              </w:rPr>
            </w:pPr>
          </w:p>
        </w:tc>
        <w:tc>
          <w:tcPr>
            <w:tcW w:w="1440" w:type="dxa"/>
            <w:tcBorders>
              <w:left w:val="single" w:color="auto" w:sz="2" w:space="0"/>
            </w:tcBorders>
            <w:vAlign w:val="center"/>
          </w:tcPr>
          <w:p>
            <w:pPr>
              <w:spacing w:line="400" w:lineRule="exact"/>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numPr>
                <w:ilvl w:val="0"/>
                <w:numId w:val="87"/>
              </w:numPr>
              <w:jc w:val="center"/>
              <w:rPr>
                <w:rFonts w:ascii="宋体" w:hAnsi="宋体"/>
                <w:szCs w:val="21"/>
                <w:highlight w:val="none"/>
              </w:rPr>
            </w:pPr>
          </w:p>
        </w:tc>
        <w:tc>
          <w:tcPr>
            <w:tcW w:w="3628" w:type="dxa"/>
            <w:vAlign w:val="center"/>
          </w:tcPr>
          <w:p>
            <w:pPr>
              <w:rPr>
                <w:rFonts w:ascii="宋体" w:hAnsi="宋体" w:cs="宋体"/>
                <w:highlight w:val="none"/>
              </w:rPr>
            </w:pPr>
            <w:r>
              <w:rPr>
                <w:rFonts w:hint="eastAsia" w:ascii="宋体" w:hAnsi="宋体" w:cs="宋体"/>
                <w:highlight w:val="none"/>
              </w:rPr>
              <w:t>六、付款方式</w:t>
            </w:r>
          </w:p>
          <w:p>
            <w:pPr>
              <w:rPr>
                <w:rFonts w:ascii="宋体" w:hAnsi="宋体" w:cs="宋体"/>
                <w:highlight w:val="none"/>
              </w:rPr>
            </w:pPr>
            <w:r>
              <w:rPr>
                <w:rFonts w:hint="eastAsia" w:ascii="宋体" w:hAnsi="宋体" w:cs="宋体"/>
                <w:highlight w:val="none"/>
              </w:rPr>
              <w:t>（一）供货数量：以招标人当月实际购买量为准。</w:t>
            </w:r>
          </w:p>
          <w:p>
            <w:pPr>
              <w:rPr>
                <w:rFonts w:ascii="宋体" w:hAnsi="宋体" w:cs="宋体"/>
                <w:highlight w:val="none"/>
              </w:rPr>
            </w:pPr>
            <w:r>
              <w:rPr>
                <w:rFonts w:hint="eastAsia" w:ascii="宋体" w:hAnsi="宋体" w:cs="宋体"/>
                <w:highlight w:val="none"/>
              </w:rPr>
              <w:t>（二）供货货款：采购部与中标人确定当月价格╳（1-中标下浮率）╳当月实际供货数量</w:t>
            </w:r>
          </w:p>
          <w:p>
            <w:pPr>
              <w:rPr>
                <w:rFonts w:ascii="宋体" w:hAnsi="宋体" w:cs="宋体"/>
                <w:highlight w:val="none"/>
              </w:rPr>
            </w:pPr>
            <w:r>
              <w:rPr>
                <w:rFonts w:hint="eastAsia" w:ascii="宋体" w:hAnsi="宋体" w:cs="宋体"/>
                <w:highlight w:val="none"/>
              </w:rPr>
              <w:t>（三）付款方式：中标人按招标人要求完成上月供货后，于次月10日前凭国家正式增值税专用发票向招标人申请付款，招标人收到申请并经核对无误后在10个工作日内结清上月供货货款。</w:t>
            </w:r>
          </w:p>
        </w:tc>
        <w:tc>
          <w:tcPr>
            <w:tcW w:w="1710" w:type="dxa"/>
            <w:vAlign w:val="center"/>
          </w:tcPr>
          <w:p>
            <w:pPr>
              <w:spacing w:line="400" w:lineRule="exact"/>
              <w:jc w:val="center"/>
              <w:rPr>
                <w:rFonts w:ascii="宋体" w:hAnsi="宋体"/>
                <w:highlight w:val="none"/>
              </w:rPr>
            </w:pPr>
          </w:p>
        </w:tc>
        <w:tc>
          <w:tcPr>
            <w:tcW w:w="1726" w:type="dxa"/>
            <w:tcBorders>
              <w:right w:val="single" w:color="auto" w:sz="2" w:space="0"/>
            </w:tcBorders>
            <w:vAlign w:val="center"/>
          </w:tcPr>
          <w:p>
            <w:pPr>
              <w:spacing w:line="400" w:lineRule="exact"/>
              <w:jc w:val="center"/>
              <w:rPr>
                <w:rFonts w:ascii="宋体" w:hAnsi="宋体"/>
                <w:highlight w:val="none"/>
              </w:rPr>
            </w:pPr>
          </w:p>
        </w:tc>
        <w:tc>
          <w:tcPr>
            <w:tcW w:w="1440" w:type="dxa"/>
            <w:tcBorders>
              <w:left w:val="single" w:color="auto" w:sz="2" w:space="0"/>
            </w:tcBorders>
            <w:vAlign w:val="center"/>
          </w:tcPr>
          <w:p>
            <w:pPr>
              <w:spacing w:line="400" w:lineRule="exact"/>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bl>
    <w:p>
      <w:pPr>
        <w:spacing w:line="400" w:lineRule="exact"/>
        <w:rPr>
          <w:rFonts w:ascii="宋体" w:hAnsi="宋体" w:cs="宋体"/>
          <w:szCs w:val="21"/>
          <w:highlight w:val="none"/>
        </w:rPr>
      </w:pPr>
      <w:r>
        <w:rPr>
          <w:rFonts w:hint="eastAsia" w:ascii="宋体" w:hAnsi="宋体" w:cs="宋体"/>
          <w:szCs w:val="21"/>
          <w:highlight w:val="none"/>
        </w:rPr>
        <w:t>说明：</w:t>
      </w:r>
    </w:p>
    <w:p>
      <w:pPr>
        <w:numPr>
          <w:ilvl w:val="0"/>
          <w:numId w:val="88"/>
        </w:numPr>
        <w:spacing w:line="400" w:lineRule="exact"/>
        <w:rPr>
          <w:rFonts w:ascii="宋体" w:hAnsi="宋体" w:cs="宋体"/>
          <w:szCs w:val="21"/>
          <w:highlight w:val="none"/>
        </w:rPr>
      </w:pPr>
      <w:r>
        <w:rPr>
          <w:rFonts w:hint="eastAsia" w:ascii="宋体" w:hAnsi="宋体" w:cs="宋体"/>
          <w:szCs w:val="21"/>
          <w:highlight w:val="none"/>
        </w:rPr>
        <w:t>投标人必须对应招标文件带“</w:t>
      </w:r>
      <w:r>
        <w:rPr>
          <w:rFonts w:hint="eastAsia" w:ascii="宋体" w:hAnsi="宋体" w:cs="宋体"/>
          <w:b/>
          <w:bCs/>
          <w:szCs w:val="21"/>
          <w:highlight w:val="none"/>
        </w:rPr>
        <w:t>★</w:t>
      </w:r>
      <w:r>
        <w:rPr>
          <w:rFonts w:hint="eastAsia" w:ascii="宋体" w:hAnsi="宋体" w:cs="宋体"/>
          <w:szCs w:val="21"/>
          <w:highlight w:val="none"/>
        </w:rPr>
        <w:t>”的实质性条款</w:t>
      </w:r>
      <w:r>
        <w:rPr>
          <w:rFonts w:hint="eastAsia"/>
          <w:highlight w:val="none"/>
        </w:rPr>
        <w:t>及商务要求</w:t>
      </w:r>
      <w:r>
        <w:rPr>
          <w:rFonts w:hint="eastAsia" w:ascii="宋体" w:hAnsi="宋体" w:cs="宋体"/>
          <w:szCs w:val="21"/>
          <w:highlight w:val="none"/>
        </w:rPr>
        <w:t>逐条应答并按要求填写上表。</w:t>
      </w:r>
    </w:p>
    <w:p>
      <w:pPr>
        <w:numPr>
          <w:ilvl w:val="0"/>
          <w:numId w:val="88"/>
        </w:numPr>
        <w:spacing w:line="400" w:lineRule="exact"/>
        <w:rPr>
          <w:rFonts w:ascii="宋体" w:hAnsi="宋体" w:cs="宋体"/>
          <w:szCs w:val="21"/>
          <w:highlight w:val="none"/>
        </w:rPr>
      </w:pPr>
      <w:r>
        <w:rPr>
          <w:rFonts w:hint="eastAsia" w:ascii="宋体" w:hAnsi="宋体" w:cs="宋体"/>
          <w:szCs w:val="21"/>
          <w:highlight w:val="none"/>
        </w:rPr>
        <w:t>本表中“原条款描述”的条款与用户需求中的条款描述不一致的以用户需求中规定的为准。</w:t>
      </w:r>
    </w:p>
    <w:p>
      <w:pPr>
        <w:spacing w:line="500" w:lineRule="exact"/>
        <w:rPr>
          <w:rFonts w:ascii="宋体" w:hAnsi="宋体" w:cs="宋体"/>
          <w:spacing w:val="4"/>
          <w:szCs w:val="21"/>
          <w:highlight w:val="none"/>
        </w:rPr>
      </w:pPr>
    </w:p>
    <w:p>
      <w:pPr>
        <w:spacing w:line="500" w:lineRule="exact"/>
        <w:ind w:firstLine="109" w:firstLineChars="50"/>
        <w:rPr>
          <w:rFonts w:ascii="宋体" w:hAnsi="宋体" w:cs="宋体"/>
          <w:szCs w:val="21"/>
          <w:highlight w:val="none"/>
          <w:u w:val="single"/>
        </w:rPr>
      </w:pPr>
      <w:r>
        <w:rPr>
          <w:rFonts w:hint="eastAsia" w:ascii="宋体" w:hAnsi="宋体" w:cs="宋体"/>
          <w:spacing w:val="4"/>
          <w:szCs w:val="21"/>
          <w:highlight w:val="none"/>
        </w:rPr>
        <w:t>投标人名称（加盖公章）：</w:t>
      </w:r>
      <w:r>
        <w:rPr>
          <w:rFonts w:hint="eastAsia" w:ascii="宋体" w:hAnsi="宋体" w:cs="宋体"/>
          <w:spacing w:val="4"/>
          <w:szCs w:val="21"/>
          <w:highlight w:val="none"/>
          <w:u w:val="single"/>
        </w:rPr>
        <w:t xml:space="preserve">                             </w:t>
      </w:r>
    </w:p>
    <w:p>
      <w:pPr>
        <w:rPr>
          <w:rFonts w:ascii="宋体" w:hAnsi="宋体" w:cs="宋体"/>
          <w:spacing w:val="4"/>
          <w:szCs w:val="21"/>
          <w:highlight w:val="none"/>
        </w:rPr>
      </w:pPr>
    </w:p>
    <w:p>
      <w:pPr>
        <w:spacing w:line="440" w:lineRule="exact"/>
        <w:ind w:firstLine="105" w:firstLineChars="50"/>
        <w:rPr>
          <w:rFonts w:ascii="宋体" w:hAnsi="宋体" w:cs="宋体"/>
          <w:spacing w:val="4"/>
          <w:szCs w:val="21"/>
          <w:highlight w:val="none"/>
          <w:u w:val="single"/>
        </w:rPr>
      </w:pPr>
      <w:r>
        <w:rPr>
          <w:rFonts w:hint="eastAsia" w:ascii="宋体" w:hAnsi="宋体" w:cs="宋体"/>
          <w:szCs w:val="21"/>
          <w:highlight w:val="none"/>
        </w:rPr>
        <w:t>法定代表人或投标人授权代表（签名或盖章）：</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职务：</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日期</w:t>
      </w:r>
      <w:r>
        <w:rPr>
          <w:rFonts w:hint="eastAsia" w:ascii="宋体" w:hAnsi="宋体" w:cs="宋体"/>
          <w:spacing w:val="4"/>
          <w:szCs w:val="21"/>
          <w:highlight w:val="none"/>
          <w:u w:val="single"/>
        </w:rPr>
        <w:t xml:space="preserve">       </w:t>
      </w:r>
    </w:p>
    <w:p>
      <w:pPr>
        <w:spacing w:line="400" w:lineRule="exact"/>
        <w:rPr>
          <w:rFonts w:ascii="宋体" w:hAnsi="宋体" w:cs="宋体"/>
          <w:b/>
          <w:bCs/>
          <w:szCs w:val="21"/>
          <w:highlight w:val="none"/>
        </w:rPr>
        <w:sectPr>
          <w:pgSz w:w="11906" w:h="16838"/>
          <w:pgMar w:top="1440" w:right="1286" w:bottom="1440" w:left="1440" w:header="851" w:footer="992" w:gutter="0"/>
          <w:cols w:space="720" w:num="1"/>
          <w:docGrid w:type="lines" w:linePitch="312" w:charSpace="0"/>
        </w:sectPr>
      </w:pPr>
    </w:p>
    <w:p>
      <w:pPr>
        <w:numPr>
          <w:ilvl w:val="0"/>
          <w:numId w:val="80"/>
        </w:numPr>
        <w:spacing w:line="440" w:lineRule="exact"/>
        <w:rPr>
          <w:rFonts w:ascii="宋体" w:hAnsi="宋体" w:cs="宋体"/>
          <w:bCs/>
          <w:szCs w:val="21"/>
          <w:highlight w:val="none"/>
        </w:rPr>
      </w:pPr>
      <w:bookmarkStart w:id="124" w:name="_Toc229227176"/>
      <w:r>
        <w:rPr>
          <w:rFonts w:hint="eastAsia" w:ascii="宋体" w:hAnsi="宋体" w:cs="宋体"/>
          <w:bCs/>
          <w:szCs w:val="21"/>
          <w:highlight w:val="none"/>
        </w:rPr>
        <w:t xml:space="preserve">    </w:t>
      </w:r>
    </w:p>
    <w:bookmarkEnd w:id="124"/>
    <w:p>
      <w:pPr>
        <w:pStyle w:val="4"/>
        <w:adjustRightInd w:val="0"/>
        <w:snapToGrid w:val="0"/>
        <w:spacing w:before="156" w:beforeLines="50" w:after="156" w:afterLines="50" w:line="360" w:lineRule="auto"/>
        <w:jc w:val="center"/>
        <w:rPr>
          <w:b w:val="0"/>
          <w:bCs w:val="0"/>
          <w:highlight w:val="none"/>
        </w:rPr>
      </w:pPr>
      <w:r>
        <w:rPr>
          <w:rFonts w:hint="eastAsia"/>
          <w:b w:val="0"/>
          <w:bCs w:val="0"/>
          <w:highlight w:val="none"/>
        </w:rPr>
        <w:t>用户需求书响应一览表</w:t>
      </w:r>
    </w:p>
    <w:p>
      <w:pPr>
        <w:spacing w:after="156" w:afterLines="50"/>
        <w:jc w:val="center"/>
        <w:outlineLvl w:val="2"/>
        <w:rPr>
          <w:rFonts w:ascii="宋体" w:hAnsi="宋体" w:cs="宋体"/>
          <w:szCs w:val="21"/>
          <w:highlight w:val="none"/>
        </w:rPr>
      </w:pPr>
      <w:r>
        <w:rPr>
          <w:rFonts w:hint="eastAsia" w:ascii="宋体" w:hAnsi="宋体" w:cs="宋体"/>
          <w:szCs w:val="21"/>
          <w:highlight w:val="none"/>
        </w:rPr>
        <w:t>投标人名称：                                                     项目编号：GDZC-22GZ131</w:t>
      </w:r>
    </w:p>
    <w:tbl>
      <w:tblPr>
        <w:tblStyle w:val="25"/>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256"/>
        <w:gridCol w:w="2333"/>
        <w:gridCol w:w="2347"/>
        <w:gridCol w:w="15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序号</w:t>
            </w:r>
          </w:p>
        </w:tc>
        <w:tc>
          <w:tcPr>
            <w:tcW w:w="2256"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招标文件条款描述</w:t>
            </w:r>
          </w:p>
        </w:tc>
        <w:tc>
          <w:tcPr>
            <w:tcW w:w="2333"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投标人响应描述</w:t>
            </w:r>
          </w:p>
          <w:p>
            <w:pPr>
              <w:adjustRightInd w:val="0"/>
              <w:snapToGrid w:val="0"/>
              <w:ind w:left="-71" w:leftChars="-34" w:right="-73" w:rightChars="-35"/>
              <w:jc w:val="center"/>
              <w:rPr>
                <w:rFonts w:ascii="宋体" w:hAnsi="宋体" w:cs="宋体"/>
                <w:szCs w:val="21"/>
                <w:highlight w:val="none"/>
              </w:rPr>
            </w:pPr>
            <w:r>
              <w:rPr>
                <w:rFonts w:hint="eastAsia" w:ascii="宋体" w:hAnsi="宋体" w:cs="宋体"/>
                <w:b/>
                <w:bCs/>
                <w:szCs w:val="21"/>
                <w:highlight w:val="none"/>
              </w:rPr>
              <w:t>(投标人应按响应服务实际数据填写)</w:t>
            </w:r>
          </w:p>
        </w:tc>
        <w:tc>
          <w:tcPr>
            <w:tcW w:w="2347"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偏离情况说明</w:t>
            </w:r>
          </w:p>
          <w:p>
            <w:pPr>
              <w:adjustRightInd w:val="0"/>
              <w:snapToGrid w:val="0"/>
              <w:jc w:val="center"/>
              <w:rPr>
                <w:rFonts w:ascii="宋体" w:hAnsi="宋体" w:cs="宋体"/>
                <w:b/>
                <w:szCs w:val="21"/>
                <w:highlight w:val="none"/>
              </w:rPr>
            </w:pPr>
            <w:r>
              <w:rPr>
                <w:rFonts w:hint="eastAsia" w:ascii="宋体" w:hAnsi="宋体" w:cs="宋体"/>
                <w:b/>
                <w:szCs w:val="21"/>
                <w:highlight w:val="none"/>
              </w:rPr>
              <w:t>（正偏离/完全响应/负偏离）</w:t>
            </w:r>
          </w:p>
        </w:tc>
        <w:tc>
          <w:tcPr>
            <w:tcW w:w="1555" w:type="dxa"/>
            <w:tcBorders>
              <w:top w:val="single" w:color="auto" w:sz="12" w:space="0"/>
              <w:bottom w:val="double" w:color="auto" w:sz="4" w:space="0"/>
            </w:tcBorders>
            <w:shd w:val="clear" w:color="auto" w:fill="EEECE1"/>
            <w:vAlign w:val="center"/>
          </w:tcPr>
          <w:p>
            <w:pPr>
              <w:adjustRightInd w:val="0"/>
              <w:snapToGrid w:val="0"/>
              <w:ind w:left="-71" w:leftChars="-34" w:right="-73" w:rightChars="-35"/>
              <w:jc w:val="center"/>
              <w:rPr>
                <w:rFonts w:ascii="宋体" w:hAnsi="宋体" w:cs="宋体"/>
                <w:szCs w:val="21"/>
                <w:highlight w:val="none"/>
              </w:rPr>
            </w:pPr>
            <w:r>
              <w:rPr>
                <w:rFonts w:hint="eastAsia" w:ascii="宋体" w:hAnsi="宋体" w:cs="宋体"/>
                <w:szCs w:val="21"/>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pPr>
              <w:spacing w:line="400" w:lineRule="exact"/>
              <w:jc w:val="center"/>
              <w:rPr>
                <w:rFonts w:ascii="宋体" w:hAnsi="宋体" w:cs="宋体"/>
                <w:b/>
                <w:szCs w:val="21"/>
                <w:highlight w:val="none"/>
              </w:rPr>
            </w:pPr>
            <w:r>
              <w:rPr>
                <w:rFonts w:hint="eastAsia" w:ascii="宋体" w:hAnsi="宋体" w:cs="宋体"/>
                <w:b/>
                <w:szCs w:val="21"/>
                <w:highlight w:val="none"/>
              </w:rPr>
              <w:t>一般条款（除带“</w:t>
            </w:r>
            <w:r>
              <w:rPr>
                <w:rFonts w:hint="eastAsia" w:ascii="宋体" w:hAnsi="宋体" w:cs="宋体"/>
                <w:b/>
                <w:bCs/>
                <w:szCs w:val="21"/>
                <w:highlight w:val="none"/>
              </w:rPr>
              <w:t>★</w:t>
            </w:r>
            <w:r>
              <w:rPr>
                <w:rFonts w:hint="eastAsia" w:ascii="宋体" w:hAnsi="宋体" w:cs="宋体"/>
                <w:b/>
                <w:szCs w:val="21"/>
                <w:highlight w:val="none"/>
              </w:rPr>
              <w:t>”及商务要求之外的条款）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9"/>
              </w:numPr>
              <w:jc w:val="center"/>
              <w:rPr>
                <w:rFonts w:ascii="宋体" w:hAnsi="宋体" w:cs="宋体"/>
                <w:szCs w:val="21"/>
                <w:highlight w:val="none"/>
              </w:rPr>
            </w:pPr>
          </w:p>
        </w:tc>
        <w:tc>
          <w:tcPr>
            <w:tcW w:w="2256" w:type="dxa"/>
            <w:vAlign w:val="center"/>
          </w:tcPr>
          <w:p>
            <w:pPr>
              <w:spacing w:line="400" w:lineRule="exact"/>
              <w:jc w:val="center"/>
              <w:rPr>
                <w:rFonts w:ascii="宋体" w:hAnsi="宋体" w:cs="宋体"/>
                <w:szCs w:val="21"/>
                <w:highlight w:val="none"/>
              </w:rPr>
            </w:pPr>
          </w:p>
        </w:tc>
        <w:tc>
          <w:tcPr>
            <w:tcW w:w="2333" w:type="dxa"/>
            <w:vAlign w:val="center"/>
          </w:tcPr>
          <w:p>
            <w:pPr>
              <w:spacing w:line="400" w:lineRule="exact"/>
              <w:jc w:val="center"/>
              <w:rPr>
                <w:rFonts w:ascii="宋体" w:hAnsi="宋体" w:cs="宋体"/>
                <w:szCs w:val="21"/>
                <w:highlight w:val="none"/>
              </w:rPr>
            </w:pPr>
          </w:p>
        </w:tc>
        <w:tc>
          <w:tcPr>
            <w:tcW w:w="2347" w:type="dxa"/>
            <w:vAlign w:val="center"/>
          </w:tcPr>
          <w:p>
            <w:pPr>
              <w:spacing w:line="400" w:lineRule="exact"/>
              <w:jc w:val="center"/>
              <w:rPr>
                <w:rFonts w:ascii="宋体" w:hAnsi="宋体" w:cs="宋体"/>
                <w:szCs w:val="21"/>
                <w:highlight w:val="none"/>
              </w:rPr>
            </w:pPr>
          </w:p>
        </w:tc>
        <w:tc>
          <w:tcPr>
            <w:tcW w:w="1555" w:type="dxa"/>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9"/>
              </w:numPr>
              <w:jc w:val="center"/>
              <w:rPr>
                <w:rFonts w:ascii="宋体" w:hAnsi="宋体" w:cs="宋体"/>
                <w:szCs w:val="21"/>
                <w:highlight w:val="none"/>
              </w:rPr>
            </w:pPr>
          </w:p>
        </w:tc>
        <w:tc>
          <w:tcPr>
            <w:tcW w:w="2256" w:type="dxa"/>
            <w:vAlign w:val="center"/>
          </w:tcPr>
          <w:p>
            <w:pPr>
              <w:spacing w:line="400" w:lineRule="exact"/>
              <w:jc w:val="center"/>
              <w:rPr>
                <w:rFonts w:ascii="宋体" w:hAnsi="宋体" w:cs="宋体"/>
                <w:szCs w:val="21"/>
                <w:highlight w:val="none"/>
              </w:rPr>
            </w:pPr>
          </w:p>
        </w:tc>
        <w:tc>
          <w:tcPr>
            <w:tcW w:w="2333" w:type="dxa"/>
            <w:vAlign w:val="center"/>
          </w:tcPr>
          <w:p>
            <w:pPr>
              <w:spacing w:line="400" w:lineRule="exact"/>
              <w:jc w:val="center"/>
              <w:rPr>
                <w:rFonts w:ascii="宋体" w:hAnsi="宋体" w:cs="宋体"/>
                <w:szCs w:val="21"/>
                <w:highlight w:val="none"/>
              </w:rPr>
            </w:pPr>
          </w:p>
        </w:tc>
        <w:tc>
          <w:tcPr>
            <w:tcW w:w="2347" w:type="dxa"/>
            <w:vAlign w:val="center"/>
          </w:tcPr>
          <w:p>
            <w:pPr>
              <w:spacing w:line="400" w:lineRule="exact"/>
              <w:jc w:val="center"/>
              <w:rPr>
                <w:rFonts w:ascii="宋体" w:hAnsi="宋体" w:cs="宋体"/>
                <w:szCs w:val="21"/>
                <w:highlight w:val="none"/>
              </w:rPr>
            </w:pPr>
          </w:p>
        </w:tc>
        <w:tc>
          <w:tcPr>
            <w:tcW w:w="1555" w:type="dxa"/>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9"/>
              </w:numPr>
              <w:jc w:val="center"/>
              <w:rPr>
                <w:rFonts w:ascii="宋体" w:hAnsi="宋体" w:cs="宋体"/>
                <w:szCs w:val="21"/>
                <w:highlight w:val="none"/>
              </w:rPr>
            </w:pPr>
          </w:p>
        </w:tc>
        <w:tc>
          <w:tcPr>
            <w:tcW w:w="2256" w:type="dxa"/>
            <w:vAlign w:val="center"/>
          </w:tcPr>
          <w:p>
            <w:pPr>
              <w:spacing w:line="400" w:lineRule="exact"/>
              <w:jc w:val="center"/>
              <w:rPr>
                <w:rFonts w:ascii="宋体" w:hAnsi="宋体" w:cs="宋体"/>
                <w:szCs w:val="21"/>
                <w:highlight w:val="none"/>
              </w:rPr>
            </w:pPr>
          </w:p>
        </w:tc>
        <w:tc>
          <w:tcPr>
            <w:tcW w:w="2333" w:type="dxa"/>
            <w:vAlign w:val="center"/>
          </w:tcPr>
          <w:p>
            <w:pPr>
              <w:spacing w:line="400" w:lineRule="exact"/>
              <w:jc w:val="center"/>
              <w:rPr>
                <w:rFonts w:ascii="宋体" w:hAnsi="宋体" w:cs="宋体"/>
                <w:szCs w:val="21"/>
                <w:highlight w:val="none"/>
              </w:rPr>
            </w:pPr>
          </w:p>
        </w:tc>
        <w:tc>
          <w:tcPr>
            <w:tcW w:w="2347" w:type="dxa"/>
            <w:vAlign w:val="center"/>
          </w:tcPr>
          <w:p>
            <w:pPr>
              <w:spacing w:line="400" w:lineRule="exact"/>
              <w:jc w:val="center"/>
              <w:rPr>
                <w:rFonts w:ascii="宋体" w:hAnsi="宋体" w:cs="宋体"/>
                <w:szCs w:val="21"/>
                <w:highlight w:val="none"/>
              </w:rPr>
            </w:pPr>
          </w:p>
        </w:tc>
        <w:tc>
          <w:tcPr>
            <w:tcW w:w="1555" w:type="dxa"/>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9"/>
              </w:numPr>
              <w:jc w:val="center"/>
              <w:rPr>
                <w:rFonts w:ascii="宋体" w:hAnsi="宋体" w:cs="宋体"/>
                <w:szCs w:val="21"/>
                <w:highlight w:val="none"/>
              </w:rPr>
            </w:pPr>
          </w:p>
        </w:tc>
        <w:tc>
          <w:tcPr>
            <w:tcW w:w="2256" w:type="dxa"/>
            <w:vAlign w:val="center"/>
          </w:tcPr>
          <w:p>
            <w:pPr>
              <w:spacing w:line="400" w:lineRule="exact"/>
              <w:jc w:val="center"/>
              <w:rPr>
                <w:rFonts w:ascii="宋体" w:hAnsi="宋体" w:cs="宋体"/>
                <w:szCs w:val="21"/>
                <w:highlight w:val="none"/>
              </w:rPr>
            </w:pPr>
          </w:p>
        </w:tc>
        <w:tc>
          <w:tcPr>
            <w:tcW w:w="2333" w:type="dxa"/>
            <w:vAlign w:val="center"/>
          </w:tcPr>
          <w:p>
            <w:pPr>
              <w:spacing w:line="400" w:lineRule="exact"/>
              <w:jc w:val="center"/>
              <w:rPr>
                <w:rFonts w:ascii="宋体" w:hAnsi="宋体" w:cs="宋体"/>
                <w:szCs w:val="21"/>
                <w:highlight w:val="none"/>
              </w:rPr>
            </w:pPr>
          </w:p>
        </w:tc>
        <w:tc>
          <w:tcPr>
            <w:tcW w:w="2347" w:type="dxa"/>
            <w:vAlign w:val="center"/>
          </w:tcPr>
          <w:p>
            <w:pPr>
              <w:spacing w:line="400" w:lineRule="exact"/>
              <w:jc w:val="center"/>
              <w:rPr>
                <w:rFonts w:ascii="宋体" w:hAnsi="宋体" w:cs="宋体"/>
                <w:szCs w:val="21"/>
                <w:highlight w:val="none"/>
              </w:rPr>
            </w:pPr>
          </w:p>
        </w:tc>
        <w:tc>
          <w:tcPr>
            <w:tcW w:w="1555" w:type="dxa"/>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9"/>
              </w:numPr>
              <w:jc w:val="center"/>
              <w:rPr>
                <w:rFonts w:ascii="宋体" w:hAnsi="宋体" w:cs="宋体"/>
                <w:szCs w:val="21"/>
                <w:highlight w:val="none"/>
              </w:rPr>
            </w:pPr>
          </w:p>
        </w:tc>
        <w:tc>
          <w:tcPr>
            <w:tcW w:w="2256" w:type="dxa"/>
            <w:vAlign w:val="center"/>
          </w:tcPr>
          <w:p>
            <w:pPr>
              <w:spacing w:line="400" w:lineRule="exact"/>
              <w:jc w:val="center"/>
              <w:rPr>
                <w:rFonts w:ascii="宋体" w:hAnsi="宋体" w:cs="宋体"/>
                <w:szCs w:val="21"/>
                <w:highlight w:val="none"/>
              </w:rPr>
            </w:pPr>
          </w:p>
        </w:tc>
        <w:tc>
          <w:tcPr>
            <w:tcW w:w="2333" w:type="dxa"/>
            <w:vAlign w:val="center"/>
          </w:tcPr>
          <w:p>
            <w:pPr>
              <w:spacing w:line="400" w:lineRule="exact"/>
              <w:jc w:val="center"/>
              <w:rPr>
                <w:rFonts w:ascii="宋体" w:hAnsi="宋体" w:cs="宋体"/>
                <w:szCs w:val="21"/>
                <w:highlight w:val="none"/>
              </w:rPr>
            </w:pPr>
          </w:p>
        </w:tc>
        <w:tc>
          <w:tcPr>
            <w:tcW w:w="2347" w:type="dxa"/>
            <w:vAlign w:val="center"/>
          </w:tcPr>
          <w:p>
            <w:pPr>
              <w:spacing w:line="400" w:lineRule="exact"/>
              <w:jc w:val="center"/>
              <w:rPr>
                <w:rFonts w:ascii="宋体" w:hAnsi="宋体" w:cs="宋体"/>
                <w:szCs w:val="21"/>
                <w:highlight w:val="none"/>
              </w:rPr>
            </w:pPr>
          </w:p>
        </w:tc>
        <w:tc>
          <w:tcPr>
            <w:tcW w:w="1555" w:type="dxa"/>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9"/>
              </w:numPr>
              <w:jc w:val="center"/>
              <w:rPr>
                <w:rFonts w:ascii="宋体" w:hAnsi="宋体" w:cs="宋体"/>
                <w:szCs w:val="21"/>
                <w:highlight w:val="none"/>
              </w:rPr>
            </w:pPr>
          </w:p>
        </w:tc>
        <w:tc>
          <w:tcPr>
            <w:tcW w:w="2256" w:type="dxa"/>
            <w:vAlign w:val="center"/>
          </w:tcPr>
          <w:p>
            <w:pPr>
              <w:spacing w:line="400" w:lineRule="exact"/>
              <w:jc w:val="center"/>
              <w:rPr>
                <w:rFonts w:ascii="宋体" w:hAnsi="宋体" w:cs="宋体"/>
                <w:szCs w:val="21"/>
                <w:highlight w:val="none"/>
              </w:rPr>
            </w:pPr>
          </w:p>
        </w:tc>
        <w:tc>
          <w:tcPr>
            <w:tcW w:w="2333" w:type="dxa"/>
            <w:vAlign w:val="center"/>
          </w:tcPr>
          <w:p>
            <w:pPr>
              <w:spacing w:line="400" w:lineRule="exact"/>
              <w:jc w:val="center"/>
              <w:rPr>
                <w:rFonts w:ascii="宋体" w:hAnsi="宋体" w:cs="宋体"/>
                <w:szCs w:val="21"/>
                <w:highlight w:val="none"/>
              </w:rPr>
            </w:pPr>
          </w:p>
        </w:tc>
        <w:tc>
          <w:tcPr>
            <w:tcW w:w="2347" w:type="dxa"/>
            <w:vAlign w:val="center"/>
          </w:tcPr>
          <w:p>
            <w:pPr>
              <w:spacing w:line="400" w:lineRule="exact"/>
              <w:jc w:val="center"/>
              <w:rPr>
                <w:rFonts w:ascii="宋体" w:hAnsi="宋体" w:cs="宋体"/>
                <w:szCs w:val="21"/>
                <w:highlight w:val="none"/>
              </w:rPr>
            </w:pPr>
          </w:p>
        </w:tc>
        <w:tc>
          <w:tcPr>
            <w:tcW w:w="1555" w:type="dxa"/>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535" w:type="dxa"/>
            <w:vAlign w:val="center"/>
          </w:tcPr>
          <w:p>
            <w:pPr>
              <w:numPr>
                <w:ilvl w:val="0"/>
                <w:numId w:val="89"/>
              </w:numPr>
              <w:jc w:val="center"/>
              <w:rPr>
                <w:rFonts w:ascii="宋体" w:hAnsi="宋体" w:cs="宋体"/>
                <w:szCs w:val="21"/>
                <w:highlight w:val="none"/>
              </w:rPr>
            </w:pPr>
          </w:p>
        </w:tc>
        <w:tc>
          <w:tcPr>
            <w:tcW w:w="2256" w:type="dxa"/>
            <w:vAlign w:val="center"/>
          </w:tcPr>
          <w:p>
            <w:pPr>
              <w:spacing w:line="400" w:lineRule="exact"/>
              <w:jc w:val="center"/>
              <w:rPr>
                <w:rFonts w:ascii="宋体" w:hAnsi="宋体" w:cs="宋体"/>
                <w:szCs w:val="21"/>
                <w:highlight w:val="none"/>
              </w:rPr>
            </w:pPr>
          </w:p>
        </w:tc>
        <w:tc>
          <w:tcPr>
            <w:tcW w:w="2333" w:type="dxa"/>
            <w:vAlign w:val="center"/>
          </w:tcPr>
          <w:p>
            <w:pPr>
              <w:spacing w:line="400" w:lineRule="exact"/>
              <w:jc w:val="center"/>
              <w:rPr>
                <w:rFonts w:ascii="宋体" w:hAnsi="宋体" w:cs="宋体"/>
                <w:szCs w:val="21"/>
                <w:highlight w:val="none"/>
              </w:rPr>
            </w:pPr>
          </w:p>
        </w:tc>
        <w:tc>
          <w:tcPr>
            <w:tcW w:w="2347" w:type="dxa"/>
            <w:vAlign w:val="center"/>
          </w:tcPr>
          <w:p>
            <w:pPr>
              <w:spacing w:line="400" w:lineRule="exact"/>
              <w:jc w:val="center"/>
              <w:rPr>
                <w:rFonts w:ascii="宋体" w:hAnsi="宋体" w:cs="宋体"/>
                <w:szCs w:val="21"/>
                <w:highlight w:val="none"/>
              </w:rPr>
            </w:pPr>
          </w:p>
        </w:tc>
        <w:tc>
          <w:tcPr>
            <w:tcW w:w="1555" w:type="dxa"/>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89"/>
              </w:numPr>
              <w:jc w:val="center"/>
              <w:rPr>
                <w:rFonts w:ascii="宋体" w:hAnsi="宋体" w:cs="宋体"/>
                <w:szCs w:val="21"/>
                <w:highlight w:val="none"/>
              </w:rPr>
            </w:pPr>
          </w:p>
        </w:tc>
        <w:tc>
          <w:tcPr>
            <w:tcW w:w="2256" w:type="dxa"/>
            <w:vAlign w:val="center"/>
          </w:tcPr>
          <w:p>
            <w:pPr>
              <w:spacing w:line="400" w:lineRule="exact"/>
              <w:jc w:val="center"/>
              <w:rPr>
                <w:rFonts w:ascii="宋体" w:hAnsi="宋体" w:cs="宋体"/>
                <w:szCs w:val="21"/>
                <w:highlight w:val="none"/>
              </w:rPr>
            </w:pPr>
          </w:p>
        </w:tc>
        <w:tc>
          <w:tcPr>
            <w:tcW w:w="2333" w:type="dxa"/>
            <w:vAlign w:val="center"/>
          </w:tcPr>
          <w:p>
            <w:pPr>
              <w:spacing w:line="400" w:lineRule="exact"/>
              <w:jc w:val="center"/>
              <w:rPr>
                <w:rFonts w:ascii="宋体" w:hAnsi="宋体" w:cs="宋体"/>
                <w:szCs w:val="21"/>
                <w:highlight w:val="none"/>
              </w:rPr>
            </w:pPr>
          </w:p>
        </w:tc>
        <w:tc>
          <w:tcPr>
            <w:tcW w:w="2347" w:type="dxa"/>
            <w:vAlign w:val="center"/>
          </w:tcPr>
          <w:p>
            <w:pPr>
              <w:spacing w:line="400" w:lineRule="exact"/>
              <w:jc w:val="center"/>
              <w:rPr>
                <w:rFonts w:ascii="宋体" w:hAnsi="宋体" w:cs="宋体"/>
                <w:szCs w:val="21"/>
                <w:highlight w:val="none"/>
              </w:rPr>
            </w:pPr>
          </w:p>
        </w:tc>
        <w:tc>
          <w:tcPr>
            <w:tcW w:w="1555" w:type="dxa"/>
          </w:tcPr>
          <w:p>
            <w:pPr>
              <w:spacing w:line="400" w:lineRule="exact"/>
              <w:jc w:val="center"/>
              <w:rPr>
                <w:rFonts w:ascii="宋体" w:hAnsi="宋体" w:cs="宋体"/>
                <w:szCs w:val="21"/>
                <w:highlight w:val="none"/>
              </w:rPr>
            </w:pPr>
            <w:r>
              <w:rPr>
                <w:rFonts w:hint="eastAsia" w:ascii="宋体" w:hAnsi="宋体" w:cs="宋体"/>
                <w:szCs w:val="21"/>
                <w:highlight w:val="none"/>
              </w:rPr>
              <w:t>见《投标文件》第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bl>
    <w:p>
      <w:pPr>
        <w:adjustRightInd w:val="0"/>
        <w:snapToGrid w:val="0"/>
        <w:spacing w:line="460" w:lineRule="exact"/>
        <w:rPr>
          <w:rFonts w:ascii="宋体" w:hAnsi="宋体" w:cs="宋体"/>
          <w:szCs w:val="21"/>
          <w:highlight w:val="none"/>
        </w:rPr>
      </w:pPr>
      <w:r>
        <w:rPr>
          <w:rFonts w:hint="eastAsia" w:ascii="宋体" w:hAnsi="宋体" w:cs="宋体"/>
          <w:szCs w:val="21"/>
          <w:highlight w:val="none"/>
        </w:rPr>
        <w:t>备注：</w:t>
      </w:r>
    </w:p>
    <w:p>
      <w:pPr>
        <w:numPr>
          <w:ilvl w:val="0"/>
          <w:numId w:val="90"/>
        </w:numPr>
        <w:adjustRightInd w:val="0"/>
        <w:snapToGrid w:val="0"/>
        <w:spacing w:line="460" w:lineRule="exact"/>
        <w:rPr>
          <w:rFonts w:ascii="宋体" w:hAnsi="宋体" w:cs="宋体"/>
          <w:szCs w:val="21"/>
          <w:highlight w:val="none"/>
        </w:rPr>
      </w:pPr>
      <w:r>
        <w:rPr>
          <w:rFonts w:hint="eastAsia" w:ascii="宋体" w:hAnsi="宋体" w:cs="宋体"/>
          <w:kern w:val="0"/>
          <w:szCs w:val="21"/>
          <w:highlight w:val="none"/>
        </w:rPr>
        <w:t>用户需求中要求提供的相关证明资料必须一并提供，否则视为不响应。</w:t>
      </w:r>
    </w:p>
    <w:p>
      <w:pPr>
        <w:numPr>
          <w:ilvl w:val="0"/>
          <w:numId w:val="90"/>
        </w:numPr>
        <w:adjustRightInd w:val="0"/>
        <w:snapToGrid w:val="0"/>
        <w:spacing w:line="460" w:lineRule="exact"/>
        <w:rPr>
          <w:rFonts w:ascii="宋体" w:hAnsi="宋体" w:cs="宋体"/>
          <w:b/>
          <w:szCs w:val="21"/>
          <w:highlight w:val="none"/>
        </w:rPr>
      </w:pPr>
      <w:r>
        <w:rPr>
          <w:rFonts w:hint="eastAsia" w:ascii="宋体" w:hAnsi="宋体" w:cs="宋体"/>
          <w:b/>
          <w:szCs w:val="21"/>
          <w:highlight w:val="none"/>
        </w:rPr>
        <w:t>“</w:t>
      </w:r>
      <w:r>
        <w:rPr>
          <w:rFonts w:hint="eastAsia" w:ascii="宋体" w:hAnsi="宋体" w:cs="宋体"/>
          <w:szCs w:val="21"/>
          <w:highlight w:val="none"/>
        </w:rPr>
        <w:t>原条款描述</w:t>
      </w:r>
      <w:r>
        <w:rPr>
          <w:rFonts w:hint="eastAsia" w:ascii="宋体" w:hAnsi="宋体" w:cs="宋体"/>
          <w:b/>
          <w:szCs w:val="21"/>
          <w:highlight w:val="none"/>
        </w:rPr>
        <w:t>”的条款与用户需求中的条款描述不一致的，以用户需求中规定的为准。</w:t>
      </w:r>
    </w:p>
    <w:p>
      <w:pPr>
        <w:spacing w:line="500" w:lineRule="exact"/>
        <w:rPr>
          <w:rFonts w:ascii="宋体" w:hAnsi="宋体" w:cs="宋体"/>
          <w:szCs w:val="21"/>
          <w:highlight w:val="none"/>
          <w:u w:val="single"/>
        </w:rPr>
      </w:pPr>
      <w:r>
        <w:rPr>
          <w:rFonts w:hint="eastAsia" w:ascii="宋体" w:hAnsi="宋体" w:cs="宋体"/>
          <w:spacing w:val="4"/>
          <w:szCs w:val="21"/>
          <w:highlight w:val="none"/>
        </w:rPr>
        <w:t>投标人名称（加盖公章）：</w:t>
      </w:r>
      <w:r>
        <w:rPr>
          <w:rFonts w:hint="eastAsia" w:ascii="宋体" w:hAnsi="宋体" w:cs="宋体"/>
          <w:spacing w:val="4"/>
          <w:szCs w:val="21"/>
          <w:highlight w:val="none"/>
          <w:u w:val="single"/>
        </w:rPr>
        <w:t xml:space="preserve">                             </w:t>
      </w:r>
    </w:p>
    <w:p>
      <w:pPr>
        <w:rPr>
          <w:rFonts w:ascii="宋体" w:hAnsi="宋体" w:cs="宋体"/>
          <w:spacing w:val="4"/>
          <w:szCs w:val="21"/>
          <w:highlight w:val="none"/>
        </w:rPr>
      </w:pPr>
    </w:p>
    <w:p>
      <w:pPr>
        <w:spacing w:line="520" w:lineRule="exact"/>
        <w:rPr>
          <w:rFonts w:ascii="宋体" w:hAnsi="宋体" w:cs="宋体"/>
          <w:spacing w:val="4"/>
          <w:szCs w:val="21"/>
          <w:highlight w:val="none"/>
          <w:u w:val="single"/>
        </w:rPr>
      </w:pPr>
      <w:r>
        <w:rPr>
          <w:rFonts w:hint="eastAsia" w:ascii="宋体" w:hAnsi="宋体" w:cs="宋体"/>
          <w:szCs w:val="21"/>
          <w:highlight w:val="none"/>
        </w:rPr>
        <w:t>法定代表人或投标人授权代表（签名或盖章）：</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职务：</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日期</w:t>
      </w:r>
      <w:r>
        <w:rPr>
          <w:rFonts w:hint="eastAsia" w:ascii="宋体" w:hAnsi="宋体" w:cs="宋体"/>
          <w:spacing w:val="4"/>
          <w:szCs w:val="21"/>
          <w:highlight w:val="none"/>
          <w:u w:val="single"/>
        </w:rPr>
        <w:t xml:space="preserve">         </w:t>
      </w:r>
    </w:p>
    <w:p>
      <w:pPr>
        <w:spacing w:line="520" w:lineRule="exact"/>
        <w:rPr>
          <w:rFonts w:ascii="宋体" w:hAnsi="宋体" w:cs="宋体"/>
          <w:spacing w:val="4"/>
          <w:szCs w:val="21"/>
          <w:highlight w:val="none"/>
          <w:u w:val="single"/>
        </w:rPr>
      </w:pPr>
    </w:p>
    <w:p>
      <w:pPr>
        <w:spacing w:line="520" w:lineRule="exact"/>
        <w:rPr>
          <w:rFonts w:ascii="宋体" w:hAnsi="宋体" w:cs="宋体"/>
          <w:spacing w:val="4"/>
          <w:szCs w:val="21"/>
          <w:highlight w:val="none"/>
          <w:u w:val="single"/>
        </w:rPr>
      </w:pPr>
    </w:p>
    <w:p>
      <w:pPr>
        <w:rPr>
          <w:rFonts w:ascii="宋体" w:hAnsi="宋体" w:cs="宋体"/>
          <w:szCs w:val="21"/>
          <w:highlight w:val="none"/>
        </w:rPr>
      </w:pPr>
      <w:r>
        <w:rPr>
          <w:rFonts w:hint="eastAsia" w:ascii="宋体" w:hAnsi="宋体" w:cs="宋体"/>
          <w:szCs w:val="21"/>
          <w:highlight w:val="none"/>
        </w:rPr>
        <w:br w:type="page"/>
      </w:r>
    </w:p>
    <w:p>
      <w:pPr>
        <w:numPr>
          <w:ilvl w:val="0"/>
          <w:numId w:val="80"/>
        </w:numPr>
        <w:spacing w:line="440" w:lineRule="exact"/>
        <w:rPr>
          <w:rFonts w:ascii="宋体" w:hAnsi="宋体" w:cs="宋体"/>
          <w:bCs/>
          <w:szCs w:val="21"/>
          <w:highlight w:val="none"/>
        </w:rPr>
      </w:pPr>
    </w:p>
    <w:p>
      <w:pPr>
        <w:pStyle w:val="4"/>
        <w:adjustRightInd w:val="0"/>
        <w:snapToGrid w:val="0"/>
        <w:spacing w:before="156" w:beforeLines="50" w:after="156" w:afterLines="50" w:line="360" w:lineRule="auto"/>
        <w:jc w:val="center"/>
        <w:rPr>
          <w:b w:val="0"/>
          <w:bCs w:val="0"/>
          <w:highlight w:val="none"/>
        </w:rPr>
      </w:pPr>
      <w:bookmarkStart w:id="125" w:name="_Toc275865614"/>
      <w:r>
        <w:rPr>
          <w:rFonts w:hint="eastAsia"/>
          <w:b w:val="0"/>
          <w:bCs w:val="0"/>
          <w:highlight w:val="none"/>
        </w:rPr>
        <w:t>投标技术服务方案</w:t>
      </w:r>
      <w:bookmarkEnd w:id="125"/>
    </w:p>
    <w:p>
      <w:pPr>
        <w:spacing w:after="156" w:afterLines="50"/>
        <w:jc w:val="center"/>
        <w:outlineLvl w:val="2"/>
        <w:rPr>
          <w:rFonts w:ascii="宋体" w:hAnsi="宋体" w:cs="宋体"/>
          <w:b/>
          <w:szCs w:val="21"/>
          <w:highlight w:val="none"/>
        </w:rPr>
      </w:pPr>
      <w:r>
        <w:rPr>
          <w:rFonts w:hint="eastAsia" w:ascii="宋体" w:hAnsi="宋体" w:cs="宋体"/>
          <w:szCs w:val="21"/>
          <w:highlight w:val="none"/>
        </w:rPr>
        <w:t>投标人名称：                                                     项目编号：GDZC-22GZ131</w:t>
      </w:r>
    </w:p>
    <w:p>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主要内容应包括但不限于以下内容（格式自定）：</w:t>
      </w:r>
    </w:p>
    <w:p>
      <w:pPr>
        <w:numPr>
          <w:ilvl w:val="0"/>
          <w:numId w:val="91"/>
        </w:numPr>
        <w:tabs>
          <w:tab w:val="left" w:pos="420"/>
        </w:tabs>
        <w:spacing w:line="520" w:lineRule="exact"/>
        <w:rPr>
          <w:rFonts w:ascii="宋体" w:hAnsi="宋体" w:cs="宋体"/>
          <w:szCs w:val="21"/>
          <w:highlight w:val="none"/>
        </w:rPr>
      </w:pPr>
      <w:r>
        <w:rPr>
          <w:rFonts w:hint="eastAsia" w:ascii="宋体" w:hAnsi="宋体" w:cs="宋体"/>
          <w:szCs w:val="21"/>
          <w:highlight w:val="none"/>
        </w:rPr>
        <w:t>组织实施方案；</w:t>
      </w:r>
    </w:p>
    <w:p>
      <w:pPr>
        <w:numPr>
          <w:ilvl w:val="0"/>
          <w:numId w:val="91"/>
        </w:numPr>
        <w:tabs>
          <w:tab w:val="left" w:pos="420"/>
        </w:tabs>
        <w:spacing w:line="520" w:lineRule="exact"/>
        <w:rPr>
          <w:rFonts w:ascii="宋体" w:hAnsi="宋体" w:cs="宋体"/>
          <w:szCs w:val="21"/>
          <w:highlight w:val="none"/>
        </w:rPr>
      </w:pPr>
      <w:r>
        <w:rPr>
          <w:rFonts w:hint="eastAsia" w:ascii="宋体" w:hAnsi="宋体" w:cs="宋体"/>
          <w:szCs w:val="21"/>
          <w:highlight w:val="none"/>
        </w:rPr>
        <w:t>食品安全与质量保障措施；</w:t>
      </w:r>
    </w:p>
    <w:p>
      <w:pPr>
        <w:numPr>
          <w:ilvl w:val="0"/>
          <w:numId w:val="91"/>
        </w:numPr>
        <w:tabs>
          <w:tab w:val="left" w:pos="420"/>
        </w:tabs>
        <w:spacing w:line="520" w:lineRule="exact"/>
        <w:rPr>
          <w:rFonts w:ascii="宋体" w:hAnsi="宋体" w:cs="宋体"/>
          <w:szCs w:val="21"/>
          <w:highlight w:val="none"/>
        </w:rPr>
      </w:pPr>
      <w:r>
        <w:rPr>
          <w:rFonts w:hint="eastAsia" w:ascii="宋体" w:hAnsi="宋体" w:cs="宋体"/>
          <w:szCs w:val="21"/>
          <w:highlight w:val="none"/>
        </w:rPr>
        <w:t>应急处理方案；</w:t>
      </w:r>
    </w:p>
    <w:p>
      <w:pPr>
        <w:numPr>
          <w:ilvl w:val="0"/>
          <w:numId w:val="91"/>
        </w:numPr>
        <w:tabs>
          <w:tab w:val="left" w:pos="420"/>
        </w:tabs>
        <w:spacing w:line="520" w:lineRule="exact"/>
        <w:rPr>
          <w:rFonts w:ascii="宋体" w:hAnsi="宋体" w:cs="宋体"/>
          <w:szCs w:val="21"/>
          <w:highlight w:val="none"/>
        </w:rPr>
      </w:pPr>
      <w:r>
        <w:rPr>
          <w:rFonts w:hint="eastAsia" w:ascii="宋体" w:hAnsi="宋体" w:cs="宋体"/>
          <w:szCs w:val="21"/>
          <w:highlight w:val="none"/>
        </w:rPr>
        <w:t>食品供应渠道；</w:t>
      </w:r>
    </w:p>
    <w:p>
      <w:pPr>
        <w:numPr>
          <w:ilvl w:val="0"/>
          <w:numId w:val="91"/>
        </w:numPr>
        <w:tabs>
          <w:tab w:val="left" w:pos="420"/>
        </w:tabs>
        <w:spacing w:line="520" w:lineRule="exact"/>
        <w:rPr>
          <w:rFonts w:ascii="宋体" w:hAnsi="宋体" w:cs="宋体"/>
          <w:szCs w:val="21"/>
          <w:highlight w:val="none"/>
        </w:rPr>
      </w:pPr>
      <w:r>
        <w:rPr>
          <w:rFonts w:hint="eastAsia" w:asciiTheme="minorEastAsia" w:hAnsiTheme="minorEastAsia" w:eastAsiaTheme="minorEastAsia" w:cstheme="minorEastAsia"/>
          <w:bCs/>
          <w:color w:val="000000"/>
          <w:highlight w:val="none"/>
        </w:rPr>
        <w:t>服务便捷程度</w:t>
      </w:r>
      <w:r>
        <w:rPr>
          <w:rFonts w:hint="eastAsia" w:ascii="宋体" w:hAnsi="宋体" w:cs="宋体"/>
          <w:szCs w:val="21"/>
          <w:highlight w:val="none"/>
        </w:rPr>
        <w:t>；</w:t>
      </w:r>
    </w:p>
    <w:p>
      <w:pPr>
        <w:numPr>
          <w:ilvl w:val="0"/>
          <w:numId w:val="91"/>
        </w:numPr>
        <w:tabs>
          <w:tab w:val="left" w:pos="420"/>
        </w:tabs>
        <w:spacing w:line="520" w:lineRule="exact"/>
        <w:rPr>
          <w:rFonts w:ascii="宋体" w:hAnsi="宋体" w:cs="宋体"/>
          <w:szCs w:val="21"/>
          <w:highlight w:val="none"/>
        </w:rPr>
      </w:pPr>
      <w:r>
        <w:rPr>
          <w:rFonts w:hint="eastAsia"/>
          <w:highlight w:val="none"/>
        </w:rPr>
        <w:t>内部管理制度</w:t>
      </w:r>
      <w:r>
        <w:rPr>
          <w:rFonts w:hint="eastAsia"/>
          <w:highlight w:val="none"/>
          <w:lang w:eastAsia="zh-CN"/>
        </w:rPr>
        <w:t>；</w:t>
      </w:r>
    </w:p>
    <w:p>
      <w:pPr>
        <w:numPr>
          <w:ilvl w:val="0"/>
          <w:numId w:val="91"/>
        </w:numPr>
        <w:tabs>
          <w:tab w:val="left" w:pos="420"/>
        </w:tabs>
        <w:spacing w:line="520" w:lineRule="exact"/>
        <w:rPr>
          <w:rFonts w:ascii="宋体" w:hAnsi="宋体" w:cs="宋体"/>
          <w:szCs w:val="21"/>
          <w:highlight w:val="none"/>
        </w:rPr>
      </w:pPr>
      <w:r>
        <w:rPr>
          <w:rFonts w:hint="eastAsia" w:ascii="宋体" w:hAnsi="宋体" w:cs="宋体"/>
          <w:szCs w:val="21"/>
          <w:highlight w:val="none"/>
        </w:rPr>
        <w:t>投标人认为对投标有利的其他资料。</w:t>
      </w:r>
    </w:p>
    <w:p>
      <w:pPr>
        <w:spacing w:line="400" w:lineRule="exact"/>
        <w:rPr>
          <w:rFonts w:ascii="宋体" w:hAnsi="宋体" w:cs="宋体"/>
          <w:szCs w:val="21"/>
          <w:highlight w:val="none"/>
        </w:rPr>
      </w:pPr>
    </w:p>
    <w:p>
      <w:pPr>
        <w:spacing w:line="400" w:lineRule="exact"/>
        <w:rPr>
          <w:rFonts w:ascii="宋体" w:hAnsi="宋体" w:cs="宋体"/>
          <w:szCs w:val="21"/>
          <w:highlight w:val="none"/>
        </w:rPr>
      </w:pPr>
    </w:p>
    <w:p>
      <w:pPr>
        <w:spacing w:line="500" w:lineRule="exact"/>
        <w:rPr>
          <w:rFonts w:ascii="宋体" w:hAnsi="宋体" w:cs="宋体"/>
          <w:szCs w:val="21"/>
          <w:highlight w:val="none"/>
          <w:u w:val="single"/>
        </w:rPr>
      </w:pPr>
      <w:bookmarkStart w:id="126" w:name="_Toc50703730"/>
      <w:bookmarkStart w:id="127" w:name="_Toc50691037"/>
      <w:bookmarkStart w:id="128" w:name="_Toc43264518"/>
      <w:r>
        <w:rPr>
          <w:rFonts w:hint="eastAsia" w:ascii="宋体" w:hAnsi="宋体" w:cs="宋体"/>
          <w:spacing w:val="4"/>
          <w:szCs w:val="21"/>
          <w:highlight w:val="none"/>
        </w:rPr>
        <w:t>投标人名称（盖公章）：</w:t>
      </w:r>
      <w:r>
        <w:rPr>
          <w:rFonts w:hint="eastAsia" w:ascii="宋体" w:hAnsi="宋体" w:cs="宋体"/>
          <w:spacing w:val="4"/>
          <w:szCs w:val="21"/>
          <w:highlight w:val="none"/>
          <w:u w:val="single"/>
        </w:rPr>
        <w:t xml:space="preserve">                             </w:t>
      </w:r>
    </w:p>
    <w:p>
      <w:pPr>
        <w:rPr>
          <w:rFonts w:ascii="宋体" w:hAnsi="宋体" w:cs="宋体"/>
          <w:spacing w:val="4"/>
          <w:szCs w:val="21"/>
          <w:highlight w:val="none"/>
        </w:rPr>
      </w:pPr>
    </w:p>
    <w:p>
      <w:pPr>
        <w:spacing w:line="520" w:lineRule="exact"/>
        <w:rPr>
          <w:rFonts w:ascii="宋体" w:hAnsi="宋体" w:cs="宋体"/>
          <w:spacing w:val="4"/>
          <w:szCs w:val="21"/>
          <w:highlight w:val="none"/>
        </w:rPr>
        <w:sectPr>
          <w:pgSz w:w="11906" w:h="16838"/>
          <w:pgMar w:top="1440" w:right="1286" w:bottom="1440" w:left="1440" w:header="851" w:footer="992" w:gutter="0"/>
          <w:cols w:space="720" w:num="1"/>
          <w:docGrid w:type="lines" w:linePitch="312" w:charSpace="0"/>
        </w:sectPr>
      </w:pPr>
      <w:r>
        <w:rPr>
          <w:rFonts w:hint="eastAsia" w:ascii="宋体" w:hAnsi="宋体" w:cs="宋体"/>
          <w:szCs w:val="21"/>
          <w:highlight w:val="none"/>
        </w:rPr>
        <w:t>法定代表人或投标人授权代表（签名或盖章）：</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职务：</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日期</w:t>
      </w:r>
      <w:r>
        <w:rPr>
          <w:rFonts w:hint="eastAsia" w:ascii="宋体" w:hAnsi="宋体" w:cs="宋体"/>
          <w:spacing w:val="4"/>
          <w:szCs w:val="21"/>
          <w:highlight w:val="none"/>
          <w:u w:val="single"/>
        </w:rPr>
        <w:t xml:space="preserve">         </w:t>
      </w:r>
    </w:p>
    <w:p>
      <w:pPr>
        <w:numPr>
          <w:ilvl w:val="0"/>
          <w:numId w:val="80"/>
        </w:numPr>
        <w:spacing w:line="440" w:lineRule="exact"/>
        <w:rPr>
          <w:rFonts w:ascii="宋体" w:hAnsi="宋体" w:cs="宋体"/>
          <w:szCs w:val="21"/>
          <w:highlight w:val="none"/>
        </w:rPr>
      </w:pPr>
      <w:bookmarkStart w:id="129" w:name="_Toc275865616"/>
      <w:bookmarkStart w:id="130" w:name="_Toc173553182"/>
    </w:p>
    <w:p>
      <w:pPr>
        <w:pStyle w:val="4"/>
        <w:adjustRightInd w:val="0"/>
        <w:snapToGrid w:val="0"/>
        <w:spacing w:before="156" w:beforeLines="50" w:after="156" w:afterLines="50" w:line="360" w:lineRule="auto"/>
        <w:jc w:val="center"/>
        <w:rPr>
          <w:b w:val="0"/>
          <w:bCs w:val="0"/>
          <w:highlight w:val="none"/>
        </w:rPr>
      </w:pPr>
      <w:r>
        <w:rPr>
          <w:rFonts w:hint="eastAsia"/>
          <w:b w:val="0"/>
          <w:bCs w:val="0"/>
          <w:highlight w:val="none"/>
        </w:rPr>
        <w:t>投标人基本情况表</w:t>
      </w:r>
      <w:bookmarkEnd w:id="129"/>
      <w:bookmarkEnd w:id="130"/>
    </w:p>
    <w:p>
      <w:pPr>
        <w:numPr>
          <w:ilvl w:val="0"/>
          <w:numId w:val="92"/>
        </w:numPr>
        <w:spacing w:line="360" w:lineRule="auto"/>
        <w:rPr>
          <w:rFonts w:ascii="宋体" w:hAnsi="宋体" w:cs="宋体"/>
          <w:szCs w:val="21"/>
          <w:highlight w:val="none"/>
        </w:rPr>
      </w:pPr>
      <w:r>
        <w:rPr>
          <w:rFonts w:hint="eastAsia" w:ascii="宋体" w:hAnsi="宋体" w:cs="宋体"/>
          <w:szCs w:val="21"/>
          <w:highlight w:val="none"/>
        </w:rPr>
        <w:t>公司基本情况</w:t>
      </w:r>
    </w:p>
    <w:p>
      <w:pPr>
        <w:numPr>
          <w:ilvl w:val="1"/>
          <w:numId w:val="92"/>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公司名称：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电话号码：</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numPr>
          <w:ilvl w:val="1"/>
          <w:numId w:val="92"/>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numPr>
          <w:ilvl w:val="1"/>
          <w:numId w:val="92"/>
        </w:numPr>
        <w:tabs>
          <w:tab w:val="left" w:pos="420"/>
          <w:tab w:val="clear" w:pos="840"/>
        </w:tabs>
        <w:spacing w:line="360" w:lineRule="auto"/>
        <w:ind w:left="420"/>
        <w:rPr>
          <w:rFonts w:ascii="宋体" w:hAnsi="宋体" w:cs="宋体"/>
          <w:szCs w:val="21"/>
          <w:highlight w:val="none"/>
          <w:u w:val="single"/>
        </w:rPr>
      </w:pPr>
      <w:r>
        <w:rPr>
          <w:rFonts w:hint="eastAsia" w:ascii="宋体" w:hAnsi="宋体" w:cs="宋体"/>
          <w:szCs w:val="21"/>
          <w:highlight w:val="none"/>
        </w:rPr>
        <w:t>注册资金：</w:t>
      </w:r>
      <w:r>
        <w:rPr>
          <w:rFonts w:hint="eastAsia" w:ascii="宋体" w:hAnsi="宋体" w:cs="宋体"/>
          <w:szCs w:val="21"/>
          <w:highlight w:val="none"/>
          <w:u w:val="single"/>
        </w:rPr>
        <w:t xml:space="preserve">                              </w:t>
      </w:r>
      <w:r>
        <w:rPr>
          <w:rFonts w:hint="eastAsia" w:ascii="宋体" w:hAnsi="宋体" w:cs="宋体"/>
          <w:szCs w:val="21"/>
          <w:highlight w:val="none"/>
        </w:rPr>
        <w:t xml:space="preserve">  经济性质：</w:t>
      </w:r>
      <w:r>
        <w:rPr>
          <w:rFonts w:hint="eastAsia" w:ascii="宋体" w:hAnsi="宋体" w:cs="宋体"/>
          <w:szCs w:val="21"/>
          <w:highlight w:val="none"/>
          <w:u w:val="single"/>
        </w:rPr>
        <w:t xml:space="preserve">          </w:t>
      </w:r>
    </w:p>
    <w:p>
      <w:pPr>
        <w:numPr>
          <w:ilvl w:val="1"/>
          <w:numId w:val="92"/>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 xml:space="preserve">公司开户银行名称及账号：     </w:t>
      </w:r>
    </w:p>
    <w:p>
      <w:pPr>
        <w:numPr>
          <w:ilvl w:val="1"/>
          <w:numId w:val="92"/>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 xml:space="preserve">营业注册执照号：   </w:t>
      </w:r>
    </w:p>
    <w:p>
      <w:pPr>
        <w:numPr>
          <w:ilvl w:val="1"/>
          <w:numId w:val="92"/>
        </w:numPr>
        <w:tabs>
          <w:tab w:val="left" w:pos="420"/>
          <w:tab w:val="clear" w:pos="840"/>
        </w:tabs>
        <w:spacing w:line="360" w:lineRule="auto"/>
        <w:ind w:left="420"/>
        <w:rPr>
          <w:rFonts w:ascii="宋体" w:hAnsi="宋体" w:cs="宋体"/>
          <w:szCs w:val="21"/>
          <w:highlight w:val="none"/>
        </w:rPr>
      </w:pPr>
      <w:r>
        <w:rPr>
          <w:rFonts w:hint="eastAsia" w:ascii="宋体" w:hAnsi="宋体" w:cs="宋体"/>
          <w:szCs w:val="21"/>
          <w:highlight w:val="none"/>
        </w:rPr>
        <w:t>公司简介</w:t>
      </w:r>
    </w:p>
    <w:p>
      <w:pPr>
        <w:spacing w:line="360" w:lineRule="auto"/>
        <w:ind w:left="360"/>
        <w:rPr>
          <w:rFonts w:ascii="宋体" w:hAnsi="宋体" w:cs="宋体"/>
          <w:szCs w:val="21"/>
          <w:highlight w:val="none"/>
        </w:rPr>
      </w:pPr>
      <w:r>
        <w:rPr>
          <w:rFonts w:hint="eastAsia" w:ascii="宋体" w:hAnsi="宋体" w:cs="宋体"/>
          <w:szCs w:val="21"/>
          <w:highlight w:val="none"/>
        </w:rPr>
        <w:t>文字描述：</w:t>
      </w:r>
      <w:r>
        <w:rPr>
          <w:rFonts w:hint="eastAsia" w:ascii="宋体" w:hAnsi="宋体" w:cs="宋体"/>
          <w:bCs/>
          <w:szCs w:val="21"/>
          <w:highlight w:val="none"/>
          <w:lang w:val="en-GB"/>
        </w:rPr>
        <w:t>发展历程、经营规模及服务理念</w:t>
      </w:r>
      <w:r>
        <w:rPr>
          <w:rFonts w:hint="eastAsia" w:ascii="宋体" w:hAnsi="宋体" w:cs="宋体"/>
          <w:szCs w:val="21"/>
          <w:highlight w:val="none"/>
        </w:rPr>
        <w:t>、技术力量、财务状况、管理水平等方面进行阐述</w:t>
      </w:r>
    </w:p>
    <w:p>
      <w:pPr>
        <w:spacing w:line="360" w:lineRule="auto"/>
        <w:ind w:left="360"/>
        <w:rPr>
          <w:rFonts w:ascii="宋体" w:hAnsi="宋体" w:cs="宋体"/>
          <w:szCs w:val="21"/>
          <w:highlight w:val="none"/>
        </w:rPr>
      </w:pPr>
      <w:r>
        <w:rPr>
          <w:rFonts w:hint="eastAsia" w:ascii="宋体" w:hAnsi="宋体" w:cs="宋体"/>
          <w:szCs w:val="21"/>
          <w:highlight w:val="none"/>
        </w:rPr>
        <w:t>图片描述：</w:t>
      </w:r>
      <w:r>
        <w:rPr>
          <w:rFonts w:hint="eastAsia" w:ascii="宋体" w:hAnsi="宋体" w:cs="宋体"/>
          <w:bCs/>
          <w:szCs w:val="21"/>
          <w:highlight w:val="none"/>
          <w:lang w:val="en-GB"/>
        </w:rPr>
        <w:t>经营场所、主要或关键产品介绍、生产场所及工艺流程等。</w:t>
      </w:r>
    </w:p>
    <w:p>
      <w:pPr>
        <w:numPr>
          <w:ilvl w:val="0"/>
          <w:numId w:val="92"/>
        </w:numPr>
        <w:spacing w:line="360" w:lineRule="auto"/>
        <w:rPr>
          <w:rFonts w:ascii="宋体" w:hAnsi="宋体" w:cs="宋体"/>
          <w:szCs w:val="21"/>
          <w:highlight w:val="none"/>
        </w:rPr>
      </w:pPr>
      <w:r>
        <w:rPr>
          <w:rFonts w:hint="eastAsia" w:ascii="宋体" w:hAnsi="宋体" w:cs="宋体"/>
          <w:szCs w:val="21"/>
          <w:highlight w:val="none"/>
        </w:rPr>
        <w:t>投标人获得国家有关部门颁发的资质证书和奖项：</w:t>
      </w:r>
    </w:p>
    <w:tbl>
      <w:tblPr>
        <w:tblStyle w:val="2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49" w:type="dxa"/>
            <w:tcBorders>
              <w:top w:val="single" w:color="auto" w:sz="12" w:space="0"/>
              <w:left w:val="single" w:color="auto" w:sz="12" w:space="0"/>
            </w:tcBorders>
          </w:tcPr>
          <w:p>
            <w:pPr>
              <w:spacing w:line="360" w:lineRule="auto"/>
              <w:jc w:val="center"/>
              <w:rPr>
                <w:rFonts w:ascii="宋体" w:hAnsi="宋体" w:cs="宋体"/>
                <w:szCs w:val="21"/>
                <w:highlight w:val="none"/>
              </w:rPr>
            </w:pPr>
            <w:r>
              <w:rPr>
                <w:rFonts w:hint="eastAsia" w:ascii="宋体" w:hAnsi="宋体" w:cs="宋体"/>
                <w:szCs w:val="21"/>
                <w:highlight w:val="none"/>
              </w:rPr>
              <w:t xml:space="preserve">  证书名称</w:t>
            </w:r>
          </w:p>
        </w:tc>
        <w:tc>
          <w:tcPr>
            <w:tcW w:w="2349" w:type="dxa"/>
            <w:tcBorders>
              <w:top w:val="single" w:color="auto" w:sz="12" w:space="0"/>
            </w:tcBorders>
          </w:tcPr>
          <w:p>
            <w:pPr>
              <w:spacing w:line="360" w:lineRule="auto"/>
              <w:jc w:val="center"/>
              <w:rPr>
                <w:rFonts w:ascii="宋体" w:hAnsi="宋体" w:cs="宋体"/>
                <w:szCs w:val="21"/>
                <w:highlight w:val="none"/>
              </w:rPr>
            </w:pPr>
            <w:r>
              <w:rPr>
                <w:rFonts w:hint="eastAsia" w:ascii="宋体" w:hAnsi="宋体" w:cs="宋体"/>
                <w:szCs w:val="21"/>
                <w:highlight w:val="none"/>
              </w:rPr>
              <w:t>发证单位</w:t>
            </w:r>
          </w:p>
        </w:tc>
        <w:tc>
          <w:tcPr>
            <w:tcW w:w="2349" w:type="dxa"/>
            <w:tcBorders>
              <w:top w:val="single" w:color="auto" w:sz="12" w:space="0"/>
            </w:tcBorders>
          </w:tcPr>
          <w:p>
            <w:pPr>
              <w:spacing w:line="360" w:lineRule="auto"/>
              <w:jc w:val="center"/>
              <w:rPr>
                <w:rFonts w:ascii="宋体" w:hAnsi="宋体" w:cs="宋体"/>
                <w:szCs w:val="21"/>
                <w:highlight w:val="none"/>
              </w:rPr>
            </w:pPr>
            <w:r>
              <w:rPr>
                <w:rFonts w:hint="eastAsia" w:ascii="宋体" w:hAnsi="宋体" w:cs="宋体"/>
                <w:szCs w:val="21"/>
                <w:highlight w:val="none"/>
              </w:rPr>
              <w:t>证书等级</w:t>
            </w:r>
          </w:p>
        </w:tc>
        <w:tc>
          <w:tcPr>
            <w:tcW w:w="2349" w:type="dxa"/>
            <w:tcBorders>
              <w:top w:val="single" w:color="auto" w:sz="12" w:space="0"/>
              <w:right w:val="single" w:color="auto" w:sz="12" w:space="0"/>
            </w:tcBorders>
          </w:tcPr>
          <w:p>
            <w:pPr>
              <w:spacing w:line="360" w:lineRule="auto"/>
              <w:jc w:val="center"/>
              <w:rPr>
                <w:rFonts w:ascii="宋体" w:hAnsi="宋体" w:cs="宋体"/>
                <w:szCs w:val="21"/>
                <w:highlight w:val="none"/>
              </w:rPr>
            </w:pPr>
            <w:r>
              <w:rPr>
                <w:rFonts w:hint="eastAsia" w:ascii="宋体" w:hAnsi="宋体" w:cs="宋体"/>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tcBorders>
          </w:tcPr>
          <w:p>
            <w:pPr>
              <w:spacing w:line="360" w:lineRule="auto"/>
              <w:jc w:val="center"/>
              <w:rPr>
                <w:rFonts w:ascii="宋体" w:hAnsi="宋体" w:cs="宋体"/>
                <w:szCs w:val="21"/>
                <w:highlight w:val="none"/>
              </w:rPr>
            </w:pPr>
          </w:p>
        </w:tc>
        <w:tc>
          <w:tcPr>
            <w:tcW w:w="2349" w:type="dxa"/>
          </w:tcPr>
          <w:p>
            <w:pPr>
              <w:spacing w:line="360" w:lineRule="auto"/>
              <w:jc w:val="center"/>
              <w:rPr>
                <w:rFonts w:ascii="宋体" w:hAnsi="宋体" w:cs="宋体"/>
                <w:szCs w:val="21"/>
                <w:highlight w:val="none"/>
              </w:rPr>
            </w:pPr>
          </w:p>
        </w:tc>
        <w:tc>
          <w:tcPr>
            <w:tcW w:w="2349" w:type="dxa"/>
          </w:tcPr>
          <w:p>
            <w:pPr>
              <w:spacing w:line="360" w:lineRule="auto"/>
              <w:jc w:val="center"/>
              <w:rPr>
                <w:rFonts w:ascii="宋体" w:hAnsi="宋体" w:cs="宋体"/>
                <w:szCs w:val="21"/>
                <w:highlight w:val="none"/>
              </w:rPr>
            </w:pPr>
          </w:p>
        </w:tc>
        <w:tc>
          <w:tcPr>
            <w:tcW w:w="2349" w:type="dxa"/>
            <w:tcBorders>
              <w:right w:val="single" w:color="auto" w:sz="12" w:space="0"/>
            </w:tcBorders>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bottom w:val="single" w:color="auto" w:sz="12" w:space="0"/>
            </w:tcBorders>
          </w:tcPr>
          <w:p>
            <w:pPr>
              <w:spacing w:line="360" w:lineRule="auto"/>
              <w:jc w:val="center"/>
              <w:rPr>
                <w:rFonts w:ascii="宋体" w:hAnsi="宋体" w:cs="宋体"/>
                <w:szCs w:val="21"/>
                <w:highlight w:val="none"/>
              </w:rPr>
            </w:pPr>
          </w:p>
        </w:tc>
        <w:tc>
          <w:tcPr>
            <w:tcW w:w="2349" w:type="dxa"/>
            <w:tcBorders>
              <w:bottom w:val="single" w:color="auto" w:sz="12" w:space="0"/>
            </w:tcBorders>
          </w:tcPr>
          <w:p>
            <w:pPr>
              <w:spacing w:line="360" w:lineRule="auto"/>
              <w:jc w:val="center"/>
              <w:rPr>
                <w:rFonts w:ascii="宋体" w:hAnsi="宋体" w:cs="宋体"/>
                <w:szCs w:val="21"/>
                <w:highlight w:val="none"/>
              </w:rPr>
            </w:pPr>
          </w:p>
        </w:tc>
        <w:tc>
          <w:tcPr>
            <w:tcW w:w="2349" w:type="dxa"/>
            <w:tcBorders>
              <w:bottom w:val="single" w:color="auto" w:sz="12" w:space="0"/>
            </w:tcBorders>
          </w:tcPr>
          <w:p>
            <w:pPr>
              <w:spacing w:line="360" w:lineRule="auto"/>
              <w:jc w:val="center"/>
              <w:rPr>
                <w:rFonts w:ascii="宋体" w:hAnsi="宋体" w:cs="宋体"/>
                <w:szCs w:val="21"/>
                <w:highlight w:val="none"/>
              </w:rPr>
            </w:pPr>
          </w:p>
        </w:tc>
        <w:tc>
          <w:tcPr>
            <w:tcW w:w="2349" w:type="dxa"/>
            <w:tcBorders>
              <w:bottom w:val="single" w:color="auto" w:sz="12" w:space="0"/>
              <w:right w:val="single" w:color="auto" w:sz="12" w:space="0"/>
            </w:tcBorders>
          </w:tcPr>
          <w:p>
            <w:pPr>
              <w:spacing w:line="360" w:lineRule="auto"/>
              <w:jc w:val="center"/>
              <w:rPr>
                <w:rFonts w:ascii="宋体" w:hAnsi="宋体" w:cs="宋体"/>
                <w:szCs w:val="21"/>
                <w:highlight w:val="none"/>
              </w:rPr>
            </w:pPr>
          </w:p>
        </w:tc>
      </w:tr>
    </w:tbl>
    <w:p>
      <w:pPr>
        <w:spacing w:line="360" w:lineRule="auto"/>
        <w:rPr>
          <w:rFonts w:ascii="宋体" w:hAnsi="宋体" w:cs="宋体"/>
          <w:szCs w:val="21"/>
          <w:highlight w:val="none"/>
        </w:rPr>
      </w:pPr>
      <w:r>
        <w:rPr>
          <w:rFonts w:hint="eastAsia" w:ascii="宋体" w:hAnsi="宋体" w:cs="宋体"/>
          <w:szCs w:val="21"/>
          <w:highlight w:val="none"/>
        </w:rPr>
        <w:t xml:space="preserve">                                                                                                </w:t>
      </w:r>
    </w:p>
    <w:p>
      <w:pPr>
        <w:spacing w:line="360" w:lineRule="auto"/>
        <w:ind w:firstLine="315" w:firstLineChars="150"/>
        <w:rPr>
          <w:rFonts w:ascii="宋体" w:hAnsi="宋体" w:cs="宋体"/>
          <w:szCs w:val="21"/>
          <w:highlight w:val="none"/>
        </w:rPr>
      </w:pPr>
      <w:bookmarkStart w:id="131" w:name="_Toc43264525"/>
      <w:r>
        <w:rPr>
          <w:rFonts w:hint="eastAsia" w:ascii="宋体" w:hAnsi="宋体" w:cs="宋体"/>
          <w:szCs w:val="21"/>
          <w:highlight w:val="none"/>
        </w:rPr>
        <w:t>我/我们声明以上所述是正确无误的，您有权进行您认为必要的所有调查，</w:t>
      </w:r>
      <w:r>
        <w:rPr>
          <w:rFonts w:hint="eastAsia" w:ascii="宋体" w:hAnsi="宋体" w:cs="宋体"/>
          <w:szCs w:val="21"/>
          <w:highlight w:val="none"/>
          <w:lang w:val="en-GB"/>
        </w:rPr>
        <w:t>如以上数据有虚假，一经查实，自行承担相关责任。</w:t>
      </w:r>
    </w:p>
    <w:p>
      <w:pPr>
        <w:spacing w:line="500" w:lineRule="exact"/>
        <w:rPr>
          <w:rFonts w:ascii="宋体" w:hAnsi="宋体" w:cs="宋体"/>
          <w:spacing w:val="4"/>
          <w:szCs w:val="21"/>
          <w:highlight w:val="none"/>
        </w:rPr>
      </w:pPr>
    </w:p>
    <w:p>
      <w:pPr>
        <w:spacing w:line="500" w:lineRule="exact"/>
        <w:rPr>
          <w:rFonts w:ascii="宋体" w:hAnsi="宋体" w:cs="宋体"/>
          <w:szCs w:val="21"/>
          <w:highlight w:val="none"/>
          <w:u w:val="single"/>
        </w:rPr>
      </w:pPr>
      <w:r>
        <w:rPr>
          <w:rFonts w:hint="eastAsia" w:ascii="宋体" w:hAnsi="宋体" w:cs="宋体"/>
          <w:spacing w:val="4"/>
          <w:szCs w:val="21"/>
          <w:highlight w:val="none"/>
        </w:rPr>
        <w:t>投标人名称（盖公章）：</w:t>
      </w:r>
      <w:r>
        <w:rPr>
          <w:rFonts w:hint="eastAsia" w:ascii="宋体" w:hAnsi="宋体" w:cs="宋体"/>
          <w:spacing w:val="4"/>
          <w:szCs w:val="21"/>
          <w:highlight w:val="none"/>
          <w:u w:val="single"/>
        </w:rPr>
        <w:t xml:space="preserve">                             </w:t>
      </w:r>
    </w:p>
    <w:p>
      <w:pPr>
        <w:rPr>
          <w:rFonts w:ascii="宋体" w:hAnsi="宋体" w:cs="宋体"/>
          <w:spacing w:val="4"/>
          <w:szCs w:val="21"/>
          <w:highlight w:val="none"/>
        </w:rPr>
      </w:pPr>
    </w:p>
    <w:p>
      <w:pPr>
        <w:spacing w:line="520" w:lineRule="exact"/>
        <w:rPr>
          <w:rFonts w:ascii="宋体" w:hAnsi="宋体" w:cs="宋体"/>
          <w:spacing w:val="4"/>
          <w:szCs w:val="21"/>
          <w:highlight w:val="none"/>
        </w:rPr>
      </w:pPr>
      <w:r>
        <w:rPr>
          <w:rFonts w:hint="eastAsia" w:ascii="宋体" w:hAnsi="宋体" w:cs="宋体"/>
          <w:szCs w:val="21"/>
          <w:highlight w:val="none"/>
        </w:rPr>
        <w:t>法定代表人或投标人授权代表（签名或盖章）：</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职务：</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日期</w:t>
      </w:r>
      <w:r>
        <w:rPr>
          <w:rFonts w:hint="eastAsia" w:ascii="宋体" w:hAnsi="宋体" w:cs="宋体"/>
          <w:spacing w:val="4"/>
          <w:szCs w:val="21"/>
          <w:highlight w:val="none"/>
          <w:u w:val="single"/>
        </w:rPr>
        <w:t xml:space="preserve">         </w:t>
      </w: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numPr>
          <w:ilvl w:val="0"/>
          <w:numId w:val="80"/>
        </w:numPr>
        <w:spacing w:line="440" w:lineRule="exact"/>
        <w:rPr>
          <w:rFonts w:ascii="宋体" w:hAnsi="宋体" w:cs="宋体"/>
          <w:b/>
          <w:bCs/>
          <w:szCs w:val="21"/>
          <w:highlight w:val="none"/>
        </w:rPr>
      </w:pPr>
      <w:r>
        <w:rPr>
          <w:rFonts w:hint="eastAsia" w:ascii="宋体" w:hAnsi="宋体" w:cs="宋体"/>
          <w:b/>
          <w:bCs/>
          <w:szCs w:val="21"/>
          <w:highlight w:val="none"/>
        </w:rPr>
        <w:br w:type="page"/>
      </w:r>
    </w:p>
    <w:p>
      <w:pPr>
        <w:numPr>
          <w:ilvl w:val="0"/>
          <w:numId w:val="80"/>
        </w:numPr>
        <w:spacing w:line="440" w:lineRule="exact"/>
        <w:rPr>
          <w:rFonts w:ascii="宋体" w:hAnsi="宋体" w:cs="宋体"/>
          <w:szCs w:val="21"/>
          <w:highlight w:val="none"/>
        </w:rPr>
      </w:pPr>
      <w:bookmarkStart w:id="132" w:name="_Toc50691044"/>
      <w:bookmarkStart w:id="133" w:name="_Toc275865617"/>
      <w:bookmarkStart w:id="134" w:name="_Toc52165085"/>
      <w:bookmarkStart w:id="135" w:name="_Toc50737333"/>
      <w:bookmarkStart w:id="136" w:name="_Toc50736481"/>
      <w:bookmarkStart w:id="137" w:name="_Toc50737301"/>
    </w:p>
    <w:p>
      <w:pPr>
        <w:pStyle w:val="4"/>
        <w:adjustRightInd w:val="0"/>
        <w:snapToGrid w:val="0"/>
        <w:spacing w:before="156" w:beforeLines="50" w:after="156" w:afterLines="50" w:line="360" w:lineRule="auto"/>
        <w:jc w:val="center"/>
        <w:rPr>
          <w:b w:val="0"/>
          <w:bCs w:val="0"/>
          <w:highlight w:val="none"/>
        </w:rPr>
      </w:pPr>
      <w:r>
        <w:rPr>
          <w:rFonts w:hint="eastAsia"/>
          <w:b w:val="0"/>
          <w:bCs w:val="0"/>
          <w:highlight w:val="none"/>
        </w:rPr>
        <w:t>体系认证一览表</w:t>
      </w:r>
    </w:p>
    <w:p>
      <w:pPr>
        <w:widowControl/>
        <w:jc w:val="left"/>
        <w:rPr>
          <w:rFonts w:ascii="宋体" w:hAnsi="宋体" w:cs="宋体"/>
          <w:kern w:val="0"/>
          <w:szCs w:val="21"/>
          <w:highlight w:val="none"/>
          <w:lang w:bidi="ar"/>
        </w:rPr>
      </w:pPr>
    </w:p>
    <w:p>
      <w:pPr>
        <w:widowControl/>
        <w:jc w:val="left"/>
        <w:rPr>
          <w:rFonts w:ascii="宋体" w:hAnsi="宋体" w:cs="宋体"/>
          <w:spacing w:val="4"/>
          <w:szCs w:val="21"/>
          <w:highlight w:val="none"/>
        </w:rPr>
      </w:pPr>
      <w:r>
        <w:rPr>
          <w:rFonts w:hint="eastAsia" w:ascii="宋体" w:hAnsi="宋体" w:cs="宋体"/>
          <w:szCs w:val="21"/>
          <w:highlight w:val="none"/>
        </w:rPr>
        <w:t>投标人名称</w:t>
      </w:r>
      <w:r>
        <w:rPr>
          <w:rFonts w:hint="eastAsia" w:ascii="宋体" w:hAnsi="宋体" w:cs="宋体"/>
          <w:kern w:val="0"/>
          <w:szCs w:val="21"/>
          <w:highlight w:val="none"/>
          <w:lang w:bidi="ar"/>
        </w:rPr>
        <w:t>：                                             项目编号：GDZC-22GZ131</w:t>
      </w:r>
    </w:p>
    <w:tbl>
      <w:tblPr>
        <w:tblStyle w:val="26"/>
        <w:tblW w:w="90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64"/>
        <w:gridCol w:w="1881"/>
        <w:gridCol w:w="26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4" w:type="dxa"/>
            <w:tcBorders>
              <w:tl2br w:val="nil"/>
              <w:tr2bl w:val="nil"/>
            </w:tcBorders>
          </w:tcPr>
          <w:p>
            <w:pPr>
              <w:widowControl/>
              <w:spacing w:line="440" w:lineRule="exact"/>
              <w:jc w:val="center"/>
              <w:rPr>
                <w:rFonts w:ascii="宋体" w:hAnsi="宋体" w:cs="宋体"/>
                <w:b/>
                <w:spacing w:val="4"/>
                <w:szCs w:val="21"/>
                <w:highlight w:val="none"/>
              </w:rPr>
            </w:pPr>
            <w:r>
              <w:rPr>
                <w:rFonts w:hint="eastAsia" w:ascii="宋体" w:hAnsi="宋体" w:cs="宋体"/>
                <w:b/>
                <w:kern w:val="0"/>
                <w:szCs w:val="21"/>
                <w:highlight w:val="none"/>
                <w:lang w:bidi="ar"/>
              </w:rPr>
              <w:t>证书名称</w:t>
            </w:r>
          </w:p>
        </w:tc>
        <w:tc>
          <w:tcPr>
            <w:tcW w:w="2264" w:type="dxa"/>
            <w:tcBorders>
              <w:tl2br w:val="nil"/>
              <w:tr2bl w:val="nil"/>
            </w:tcBorders>
          </w:tcPr>
          <w:p>
            <w:pPr>
              <w:widowControl/>
              <w:spacing w:line="440" w:lineRule="exact"/>
              <w:jc w:val="center"/>
              <w:rPr>
                <w:rFonts w:ascii="宋体" w:hAnsi="宋体" w:cs="宋体"/>
                <w:b/>
                <w:spacing w:val="4"/>
                <w:szCs w:val="21"/>
                <w:highlight w:val="none"/>
              </w:rPr>
            </w:pPr>
            <w:r>
              <w:rPr>
                <w:rFonts w:hint="eastAsia" w:ascii="宋体" w:hAnsi="宋体" w:cs="宋体"/>
                <w:b/>
                <w:spacing w:val="4"/>
                <w:szCs w:val="21"/>
                <w:highlight w:val="none"/>
              </w:rPr>
              <w:t>发证机构</w:t>
            </w:r>
          </w:p>
        </w:tc>
        <w:tc>
          <w:tcPr>
            <w:tcW w:w="1881" w:type="dxa"/>
            <w:tcBorders>
              <w:tl2br w:val="nil"/>
              <w:tr2bl w:val="nil"/>
            </w:tcBorders>
          </w:tcPr>
          <w:p>
            <w:pPr>
              <w:widowControl/>
              <w:spacing w:line="440" w:lineRule="exact"/>
              <w:jc w:val="center"/>
              <w:rPr>
                <w:rFonts w:ascii="宋体" w:hAnsi="宋体" w:cs="宋体"/>
                <w:b/>
                <w:spacing w:val="4"/>
                <w:szCs w:val="21"/>
                <w:highlight w:val="none"/>
              </w:rPr>
            </w:pPr>
            <w:r>
              <w:rPr>
                <w:rFonts w:hint="eastAsia" w:ascii="宋体" w:hAnsi="宋体" w:cs="宋体"/>
                <w:b/>
                <w:kern w:val="0"/>
                <w:szCs w:val="21"/>
                <w:highlight w:val="none"/>
                <w:lang w:bidi="ar"/>
              </w:rPr>
              <w:t>证书有限期</w:t>
            </w:r>
          </w:p>
        </w:tc>
        <w:tc>
          <w:tcPr>
            <w:tcW w:w="2649" w:type="dxa"/>
            <w:tcBorders>
              <w:tl2br w:val="nil"/>
              <w:tr2bl w:val="nil"/>
            </w:tcBorders>
          </w:tcPr>
          <w:p>
            <w:pPr>
              <w:widowControl/>
              <w:spacing w:line="440" w:lineRule="exact"/>
              <w:jc w:val="center"/>
              <w:rPr>
                <w:rFonts w:ascii="宋体" w:hAnsi="宋体" w:cs="宋体"/>
                <w:b/>
                <w:spacing w:val="4"/>
                <w:szCs w:val="21"/>
                <w:highlight w:val="none"/>
              </w:rPr>
            </w:pPr>
            <w:r>
              <w:rPr>
                <w:rFonts w:hint="eastAsia" w:ascii="宋体" w:hAnsi="宋体" w:cs="宋体"/>
                <w:b/>
                <w:spacing w:val="4"/>
                <w:szCs w:val="21"/>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4" w:type="dxa"/>
            <w:tcBorders>
              <w:tl2br w:val="nil"/>
              <w:tr2bl w:val="nil"/>
            </w:tcBorders>
          </w:tcPr>
          <w:p>
            <w:pPr>
              <w:spacing w:line="440" w:lineRule="exact"/>
              <w:rPr>
                <w:rFonts w:ascii="宋体" w:hAnsi="宋体" w:cs="宋体"/>
                <w:spacing w:val="4"/>
                <w:szCs w:val="21"/>
                <w:highlight w:val="none"/>
              </w:rPr>
            </w:pPr>
          </w:p>
        </w:tc>
        <w:tc>
          <w:tcPr>
            <w:tcW w:w="2264" w:type="dxa"/>
            <w:tcBorders>
              <w:tl2br w:val="nil"/>
              <w:tr2bl w:val="nil"/>
            </w:tcBorders>
          </w:tcPr>
          <w:p>
            <w:pPr>
              <w:spacing w:line="440" w:lineRule="exact"/>
              <w:rPr>
                <w:rFonts w:ascii="宋体" w:hAnsi="宋体" w:cs="宋体"/>
                <w:spacing w:val="4"/>
                <w:szCs w:val="21"/>
                <w:highlight w:val="none"/>
              </w:rPr>
            </w:pPr>
          </w:p>
        </w:tc>
        <w:tc>
          <w:tcPr>
            <w:tcW w:w="1881" w:type="dxa"/>
            <w:tcBorders>
              <w:tl2br w:val="nil"/>
              <w:tr2bl w:val="nil"/>
            </w:tcBorders>
          </w:tcPr>
          <w:p>
            <w:pPr>
              <w:spacing w:line="440" w:lineRule="exact"/>
              <w:rPr>
                <w:rFonts w:ascii="宋体" w:hAnsi="宋体" w:cs="宋体"/>
                <w:spacing w:val="4"/>
                <w:szCs w:val="21"/>
                <w:highlight w:val="none"/>
              </w:rPr>
            </w:pPr>
          </w:p>
        </w:tc>
        <w:tc>
          <w:tcPr>
            <w:tcW w:w="2649" w:type="dxa"/>
            <w:tcBorders>
              <w:tl2br w:val="nil"/>
              <w:tr2bl w:val="nil"/>
            </w:tcBorders>
            <w:vAlign w:val="center"/>
          </w:tcPr>
          <w:p>
            <w:pPr>
              <w:adjustRightInd w:val="0"/>
              <w:snapToGrid w:val="0"/>
              <w:ind w:left="-84" w:leftChars="-40" w:right="-107" w:rightChars="-51"/>
              <w:jc w:val="center"/>
              <w:rPr>
                <w:rFonts w:ascii="宋体" w:hAnsi="宋体" w:cs="宋体"/>
                <w:spacing w:val="4"/>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4" w:type="dxa"/>
            <w:tcBorders>
              <w:tl2br w:val="nil"/>
              <w:tr2bl w:val="nil"/>
            </w:tcBorders>
          </w:tcPr>
          <w:p>
            <w:pPr>
              <w:spacing w:line="440" w:lineRule="exact"/>
              <w:rPr>
                <w:rFonts w:ascii="宋体" w:hAnsi="宋体" w:cs="宋体"/>
                <w:spacing w:val="4"/>
                <w:szCs w:val="21"/>
                <w:highlight w:val="none"/>
              </w:rPr>
            </w:pPr>
          </w:p>
        </w:tc>
        <w:tc>
          <w:tcPr>
            <w:tcW w:w="2264" w:type="dxa"/>
            <w:tcBorders>
              <w:tl2br w:val="nil"/>
              <w:tr2bl w:val="nil"/>
            </w:tcBorders>
          </w:tcPr>
          <w:p>
            <w:pPr>
              <w:spacing w:line="440" w:lineRule="exact"/>
              <w:rPr>
                <w:rFonts w:ascii="宋体" w:hAnsi="宋体" w:cs="宋体"/>
                <w:spacing w:val="4"/>
                <w:szCs w:val="21"/>
                <w:highlight w:val="none"/>
              </w:rPr>
            </w:pPr>
          </w:p>
        </w:tc>
        <w:tc>
          <w:tcPr>
            <w:tcW w:w="1881" w:type="dxa"/>
            <w:tcBorders>
              <w:tl2br w:val="nil"/>
              <w:tr2bl w:val="nil"/>
            </w:tcBorders>
          </w:tcPr>
          <w:p>
            <w:pPr>
              <w:spacing w:line="440" w:lineRule="exact"/>
              <w:rPr>
                <w:rFonts w:ascii="宋体" w:hAnsi="宋体" w:cs="宋体"/>
                <w:spacing w:val="4"/>
                <w:szCs w:val="21"/>
                <w:highlight w:val="none"/>
              </w:rPr>
            </w:pPr>
          </w:p>
        </w:tc>
        <w:tc>
          <w:tcPr>
            <w:tcW w:w="2649" w:type="dxa"/>
            <w:tcBorders>
              <w:tl2br w:val="nil"/>
              <w:tr2bl w:val="nil"/>
            </w:tcBorders>
            <w:vAlign w:val="center"/>
          </w:tcPr>
          <w:p>
            <w:pPr>
              <w:adjustRightInd w:val="0"/>
              <w:snapToGrid w:val="0"/>
              <w:ind w:left="-84" w:leftChars="-40" w:right="-107" w:rightChars="-51"/>
              <w:jc w:val="center"/>
              <w:rPr>
                <w:rFonts w:ascii="宋体" w:hAnsi="宋体" w:cs="宋体"/>
                <w:spacing w:val="4"/>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4" w:type="dxa"/>
            <w:tcBorders>
              <w:tl2br w:val="nil"/>
              <w:tr2bl w:val="nil"/>
            </w:tcBorders>
          </w:tcPr>
          <w:p>
            <w:pPr>
              <w:spacing w:line="440" w:lineRule="exact"/>
              <w:rPr>
                <w:rFonts w:ascii="宋体" w:hAnsi="宋体" w:cs="宋体"/>
                <w:spacing w:val="4"/>
                <w:szCs w:val="21"/>
                <w:highlight w:val="none"/>
              </w:rPr>
            </w:pPr>
          </w:p>
        </w:tc>
        <w:tc>
          <w:tcPr>
            <w:tcW w:w="2264" w:type="dxa"/>
            <w:tcBorders>
              <w:tl2br w:val="nil"/>
              <w:tr2bl w:val="nil"/>
            </w:tcBorders>
          </w:tcPr>
          <w:p>
            <w:pPr>
              <w:spacing w:line="440" w:lineRule="exact"/>
              <w:rPr>
                <w:rFonts w:ascii="宋体" w:hAnsi="宋体" w:cs="宋体"/>
                <w:spacing w:val="4"/>
                <w:szCs w:val="21"/>
                <w:highlight w:val="none"/>
              </w:rPr>
            </w:pPr>
          </w:p>
        </w:tc>
        <w:tc>
          <w:tcPr>
            <w:tcW w:w="1881" w:type="dxa"/>
            <w:tcBorders>
              <w:tl2br w:val="nil"/>
              <w:tr2bl w:val="nil"/>
            </w:tcBorders>
          </w:tcPr>
          <w:p>
            <w:pPr>
              <w:spacing w:line="440" w:lineRule="exact"/>
              <w:rPr>
                <w:rFonts w:ascii="宋体" w:hAnsi="宋体" w:cs="宋体"/>
                <w:spacing w:val="4"/>
                <w:szCs w:val="21"/>
                <w:highlight w:val="none"/>
              </w:rPr>
            </w:pPr>
          </w:p>
        </w:tc>
        <w:tc>
          <w:tcPr>
            <w:tcW w:w="2649" w:type="dxa"/>
            <w:tcBorders>
              <w:tl2br w:val="nil"/>
              <w:tr2bl w:val="nil"/>
            </w:tcBorders>
            <w:vAlign w:val="center"/>
          </w:tcPr>
          <w:p>
            <w:pPr>
              <w:adjustRightInd w:val="0"/>
              <w:snapToGrid w:val="0"/>
              <w:ind w:left="-84" w:leftChars="-40" w:right="-107" w:rightChars="-51"/>
              <w:jc w:val="center"/>
              <w:rPr>
                <w:rFonts w:ascii="宋体" w:hAnsi="宋体" w:cs="宋体"/>
                <w:spacing w:val="4"/>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4" w:type="dxa"/>
            <w:tcBorders>
              <w:tl2br w:val="nil"/>
              <w:tr2bl w:val="nil"/>
            </w:tcBorders>
          </w:tcPr>
          <w:p>
            <w:pPr>
              <w:spacing w:line="440" w:lineRule="exact"/>
              <w:rPr>
                <w:rFonts w:ascii="宋体" w:hAnsi="宋体" w:cs="宋体"/>
                <w:spacing w:val="4"/>
                <w:szCs w:val="21"/>
                <w:highlight w:val="none"/>
              </w:rPr>
            </w:pPr>
          </w:p>
        </w:tc>
        <w:tc>
          <w:tcPr>
            <w:tcW w:w="2264" w:type="dxa"/>
            <w:tcBorders>
              <w:tl2br w:val="nil"/>
              <w:tr2bl w:val="nil"/>
            </w:tcBorders>
          </w:tcPr>
          <w:p>
            <w:pPr>
              <w:spacing w:line="440" w:lineRule="exact"/>
              <w:rPr>
                <w:rFonts w:ascii="宋体" w:hAnsi="宋体" w:cs="宋体"/>
                <w:spacing w:val="4"/>
                <w:szCs w:val="21"/>
                <w:highlight w:val="none"/>
              </w:rPr>
            </w:pPr>
          </w:p>
        </w:tc>
        <w:tc>
          <w:tcPr>
            <w:tcW w:w="1881" w:type="dxa"/>
            <w:tcBorders>
              <w:tl2br w:val="nil"/>
              <w:tr2bl w:val="nil"/>
            </w:tcBorders>
          </w:tcPr>
          <w:p>
            <w:pPr>
              <w:spacing w:line="440" w:lineRule="exact"/>
              <w:rPr>
                <w:rFonts w:ascii="宋体" w:hAnsi="宋体" w:cs="宋体"/>
                <w:spacing w:val="4"/>
                <w:szCs w:val="21"/>
                <w:highlight w:val="none"/>
              </w:rPr>
            </w:pPr>
          </w:p>
        </w:tc>
        <w:tc>
          <w:tcPr>
            <w:tcW w:w="2649" w:type="dxa"/>
            <w:tcBorders>
              <w:tl2br w:val="nil"/>
              <w:tr2bl w:val="nil"/>
            </w:tcBorders>
            <w:vAlign w:val="center"/>
          </w:tcPr>
          <w:p>
            <w:pPr>
              <w:adjustRightInd w:val="0"/>
              <w:snapToGrid w:val="0"/>
              <w:ind w:left="-84" w:leftChars="-40" w:right="-107" w:rightChars="-51"/>
              <w:jc w:val="center"/>
              <w:rPr>
                <w:rFonts w:ascii="宋体" w:hAnsi="宋体" w:cs="宋体"/>
                <w:spacing w:val="4"/>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bl>
    <w:p>
      <w:pPr>
        <w:spacing w:line="440" w:lineRule="exact"/>
        <w:rPr>
          <w:rFonts w:ascii="宋体" w:hAnsi="宋体" w:cs="宋体"/>
          <w:spacing w:val="4"/>
          <w:szCs w:val="21"/>
          <w:highlight w:val="none"/>
        </w:rPr>
      </w:pPr>
      <w:r>
        <w:rPr>
          <w:rFonts w:hint="eastAsia" w:ascii="宋体" w:hAnsi="宋体" w:cs="宋体"/>
          <w:spacing w:val="4"/>
          <w:szCs w:val="21"/>
          <w:highlight w:val="none"/>
        </w:rPr>
        <w:t>备注：</w:t>
      </w:r>
    </w:p>
    <w:p>
      <w:pPr>
        <w:numPr>
          <w:ilvl w:val="0"/>
          <w:numId w:val="93"/>
        </w:numPr>
        <w:spacing w:line="440" w:lineRule="exact"/>
        <w:rPr>
          <w:rFonts w:ascii="宋体" w:hAnsi="宋体" w:cs="宋体"/>
          <w:spacing w:val="4"/>
          <w:szCs w:val="21"/>
          <w:highlight w:val="none"/>
        </w:rPr>
      </w:pPr>
      <w:r>
        <w:rPr>
          <w:rFonts w:hint="eastAsia" w:ascii="宋体" w:hAnsi="宋体" w:cs="宋体"/>
          <w:spacing w:val="4"/>
          <w:szCs w:val="21"/>
          <w:highlight w:val="none"/>
        </w:rPr>
        <w:t xml:space="preserve">根据评分表的要求提交相应资料。 </w:t>
      </w:r>
    </w:p>
    <w:p>
      <w:pPr>
        <w:numPr>
          <w:ilvl w:val="0"/>
          <w:numId w:val="93"/>
        </w:numPr>
        <w:spacing w:line="440" w:lineRule="exact"/>
        <w:rPr>
          <w:rFonts w:ascii="宋体" w:hAnsi="宋体" w:cs="宋体"/>
          <w:spacing w:val="4"/>
          <w:szCs w:val="21"/>
          <w:highlight w:val="none"/>
        </w:rPr>
      </w:pPr>
      <w:r>
        <w:rPr>
          <w:rFonts w:hint="eastAsia" w:ascii="宋体" w:hAnsi="宋体" w:cs="宋体"/>
          <w:spacing w:val="4"/>
          <w:szCs w:val="21"/>
          <w:highlight w:val="none"/>
        </w:rPr>
        <w:t>如本表格式内容不能满足需要，投标人可根据本表格式自行扩展填写，但必须体现以上内容。</w:t>
      </w:r>
    </w:p>
    <w:p>
      <w:pPr>
        <w:spacing w:line="440" w:lineRule="exact"/>
        <w:rPr>
          <w:rFonts w:ascii="宋体" w:hAnsi="宋体" w:cs="宋体"/>
          <w:spacing w:val="4"/>
          <w:szCs w:val="21"/>
          <w:highlight w:val="none"/>
        </w:rPr>
      </w:pPr>
    </w:p>
    <w:p>
      <w:pPr>
        <w:spacing w:line="500" w:lineRule="exact"/>
        <w:rPr>
          <w:rFonts w:ascii="宋体" w:hAnsi="宋体" w:cs="宋体"/>
          <w:szCs w:val="21"/>
          <w:highlight w:val="none"/>
          <w:u w:val="single"/>
        </w:rPr>
      </w:pPr>
      <w:r>
        <w:rPr>
          <w:rFonts w:hint="eastAsia" w:ascii="宋体" w:hAnsi="宋体" w:cs="宋体"/>
          <w:spacing w:val="4"/>
          <w:szCs w:val="21"/>
          <w:highlight w:val="none"/>
        </w:rPr>
        <w:t>投标人名称（加盖公章）：</w:t>
      </w:r>
      <w:r>
        <w:rPr>
          <w:rFonts w:hint="eastAsia" w:ascii="宋体" w:hAnsi="宋体" w:cs="宋体"/>
          <w:spacing w:val="4"/>
          <w:szCs w:val="21"/>
          <w:highlight w:val="none"/>
          <w:u w:val="single"/>
        </w:rPr>
        <w:t xml:space="preserve">                             </w:t>
      </w:r>
    </w:p>
    <w:p>
      <w:pPr>
        <w:rPr>
          <w:rFonts w:ascii="宋体" w:hAnsi="宋体" w:cs="宋体"/>
          <w:spacing w:val="4"/>
          <w:szCs w:val="21"/>
          <w:highlight w:val="none"/>
        </w:rPr>
      </w:pPr>
    </w:p>
    <w:p>
      <w:pPr>
        <w:spacing w:line="520" w:lineRule="exact"/>
        <w:rPr>
          <w:rFonts w:ascii="宋体" w:hAnsi="宋体" w:cs="宋体"/>
          <w:spacing w:val="4"/>
          <w:szCs w:val="21"/>
          <w:highlight w:val="none"/>
        </w:rPr>
      </w:pPr>
      <w:r>
        <w:rPr>
          <w:rFonts w:hint="eastAsia" w:ascii="宋体" w:hAnsi="宋体" w:cs="宋体"/>
          <w:szCs w:val="21"/>
          <w:highlight w:val="none"/>
        </w:rPr>
        <w:t>法定代表人或投标人授权代表（签名或盖章）：</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职务：</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日期</w:t>
      </w:r>
      <w:r>
        <w:rPr>
          <w:rFonts w:hint="eastAsia" w:ascii="宋体" w:hAnsi="宋体" w:cs="宋体"/>
          <w:spacing w:val="4"/>
          <w:szCs w:val="21"/>
          <w:highlight w:val="none"/>
          <w:u w:val="single"/>
        </w:rPr>
        <w:t xml:space="preserve">         </w:t>
      </w:r>
    </w:p>
    <w:p>
      <w:pPr>
        <w:rPr>
          <w:highlight w:val="none"/>
        </w:rPr>
      </w:pPr>
      <w:r>
        <w:rPr>
          <w:rFonts w:hint="eastAsia" w:ascii="宋体" w:hAnsi="宋体" w:cs="宋体"/>
          <w:spacing w:val="4"/>
          <w:szCs w:val="21"/>
          <w:highlight w:val="none"/>
        </w:rPr>
        <w:br w:type="page"/>
      </w:r>
    </w:p>
    <w:p>
      <w:pPr>
        <w:numPr>
          <w:ilvl w:val="0"/>
          <w:numId w:val="80"/>
        </w:numPr>
        <w:spacing w:line="440" w:lineRule="exact"/>
        <w:rPr>
          <w:rFonts w:ascii="Arial" w:hAnsi="Arial" w:eastAsia="黑体"/>
          <w:sz w:val="32"/>
          <w:szCs w:val="32"/>
          <w:highlight w:val="none"/>
        </w:rPr>
      </w:pPr>
    </w:p>
    <w:p>
      <w:pPr>
        <w:pStyle w:val="4"/>
        <w:adjustRightInd w:val="0"/>
        <w:snapToGrid w:val="0"/>
        <w:spacing w:before="156" w:beforeLines="50" w:after="156" w:afterLines="50" w:line="360" w:lineRule="auto"/>
        <w:jc w:val="center"/>
        <w:rPr>
          <w:b w:val="0"/>
          <w:bCs w:val="0"/>
          <w:highlight w:val="none"/>
        </w:rPr>
      </w:pPr>
      <w:r>
        <w:rPr>
          <w:rFonts w:hint="eastAsia"/>
          <w:b w:val="0"/>
          <w:bCs w:val="0"/>
          <w:highlight w:val="none"/>
        </w:rPr>
        <w:t>同类项目业绩一览表</w:t>
      </w:r>
      <w:bookmarkEnd w:id="131"/>
      <w:bookmarkEnd w:id="132"/>
      <w:bookmarkEnd w:id="133"/>
      <w:bookmarkEnd w:id="134"/>
      <w:bookmarkEnd w:id="135"/>
      <w:bookmarkEnd w:id="136"/>
      <w:bookmarkEnd w:id="137"/>
    </w:p>
    <w:p>
      <w:pPr>
        <w:spacing w:after="156" w:afterLines="50"/>
        <w:jc w:val="center"/>
        <w:outlineLvl w:val="2"/>
        <w:rPr>
          <w:rFonts w:ascii="宋体" w:hAnsi="宋体" w:cs="宋体"/>
          <w:szCs w:val="21"/>
          <w:highlight w:val="none"/>
        </w:rPr>
      </w:pPr>
      <w:r>
        <w:rPr>
          <w:rFonts w:hint="eastAsia" w:ascii="宋体" w:hAnsi="宋体" w:cs="宋体"/>
          <w:szCs w:val="21"/>
          <w:highlight w:val="none"/>
        </w:rPr>
        <w:t>投标人名称：                                                     项目编号：GDZC-22GZ131</w:t>
      </w:r>
    </w:p>
    <w:tbl>
      <w:tblPr>
        <w:tblStyle w:val="25"/>
        <w:tblW w:w="97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60"/>
        <w:gridCol w:w="1136"/>
        <w:gridCol w:w="1155"/>
        <w:gridCol w:w="1095"/>
        <w:gridCol w:w="1275"/>
        <w:gridCol w:w="1365"/>
        <w:gridCol w:w="18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0" w:type="dxa"/>
            <w:tcBorders>
              <w:top w:val="single" w:color="auto" w:sz="12" w:space="0"/>
              <w:bottom w:val="double" w:color="auto" w:sz="4" w:space="0"/>
            </w:tcBorders>
            <w:shd w:val="clear" w:color="auto" w:fill="EEECE1"/>
            <w:vAlign w:val="center"/>
          </w:tcPr>
          <w:p>
            <w:pPr>
              <w:adjustRightInd w:val="0"/>
              <w:snapToGrid w:val="0"/>
              <w:ind w:left="-69" w:leftChars="-33" w:right="-97" w:rightChars="-46"/>
              <w:jc w:val="center"/>
              <w:rPr>
                <w:rFonts w:ascii="宋体" w:hAnsi="宋体" w:cs="宋体"/>
                <w:szCs w:val="21"/>
                <w:highlight w:val="none"/>
              </w:rPr>
            </w:pPr>
            <w:r>
              <w:rPr>
                <w:rFonts w:hint="eastAsia" w:ascii="宋体" w:hAnsi="宋体" w:cs="宋体"/>
                <w:szCs w:val="21"/>
                <w:highlight w:val="none"/>
              </w:rPr>
              <w:t>序号</w:t>
            </w:r>
          </w:p>
        </w:tc>
        <w:tc>
          <w:tcPr>
            <w:tcW w:w="1260"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业主名称</w:t>
            </w:r>
          </w:p>
        </w:tc>
        <w:tc>
          <w:tcPr>
            <w:tcW w:w="1136"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项目名称</w:t>
            </w:r>
          </w:p>
        </w:tc>
        <w:tc>
          <w:tcPr>
            <w:tcW w:w="115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服务内容</w:t>
            </w:r>
          </w:p>
        </w:tc>
        <w:tc>
          <w:tcPr>
            <w:tcW w:w="109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合同总价</w:t>
            </w:r>
          </w:p>
        </w:tc>
        <w:tc>
          <w:tcPr>
            <w:tcW w:w="127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签约及完成时间</w:t>
            </w:r>
          </w:p>
        </w:tc>
        <w:tc>
          <w:tcPr>
            <w:tcW w:w="136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单位联系人及电话</w:t>
            </w:r>
          </w:p>
        </w:tc>
        <w:tc>
          <w:tcPr>
            <w:tcW w:w="1879"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tcBorders>
              <w:top w:val="double" w:color="auto" w:sz="4"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1260" w:type="dxa"/>
            <w:tcBorders>
              <w:top w:val="double" w:color="auto" w:sz="4" w:space="0"/>
            </w:tcBorders>
            <w:vAlign w:val="center"/>
          </w:tcPr>
          <w:p>
            <w:pPr>
              <w:spacing w:line="400" w:lineRule="exact"/>
              <w:jc w:val="center"/>
              <w:rPr>
                <w:rFonts w:ascii="宋体" w:hAnsi="宋体" w:cs="宋体"/>
                <w:szCs w:val="21"/>
                <w:highlight w:val="none"/>
              </w:rPr>
            </w:pPr>
          </w:p>
        </w:tc>
        <w:tc>
          <w:tcPr>
            <w:tcW w:w="1136" w:type="dxa"/>
            <w:tcBorders>
              <w:top w:val="double" w:color="auto" w:sz="4" w:space="0"/>
            </w:tcBorders>
            <w:vAlign w:val="center"/>
          </w:tcPr>
          <w:p>
            <w:pPr>
              <w:spacing w:line="400" w:lineRule="exact"/>
              <w:jc w:val="center"/>
              <w:rPr>
                <w:rFonts w:ascii="宋体" w:hAnsi="宋体" w:cs="宋体"/>
                <w:szCs w:val="21"/>
                <w:highlight w:val="none"/>
              </w:rPr>
            </w:pPr>
          </w:p>
        </w:tc>
        <w:tc>
          <w:tcPr>
            <w:tcW w:w="1155" w:type="dxa"/>
            <w:tcBorders>
              <w:top w:val="double" w:color="auto" w:sz="4" w:space="0"/>
            </w:tcBorders>
            <w:vAlign w:val="center"/>
          </w:tcPr>
          <w:p>
            <w:pPr>
              <w:spacing w:line="400" w:lineRule="exact"/>
              <w:jc w:val="center"/>
              <w:rPr>
                <w:rFonts w:ascii="宋体" w:hAnsi="宋体" w:cs="宋体"/>
                <w:szCs w:val="21"/>
                <w:highlight w:val="none"/>
              </w:rPr>
            </w:pPr>
          </w:p>
        </w:tc>
        <w:tc>
          <w:tcPr>
            <w:tcW w:w="1095" w:type="dxa"/>
            <w:tcBorders>
              <w:top w:val="double" w:color="auto" w:sz="4" w:space="0"/>
            </w:tcBorders>
            <w:vAlign w:val="center"/>
          </w:tcPr>
          <w:p>
            <w:pPr>
              <w:spacing w:line="400" w:lineRule="exact"/>
              <w:jc w:val="center"/>
              <w:rPr>
                <w:rFonts w:ascii="宋体" w:hAnsi="宋体" w:cs="宋体"/>
                <w:szCs w:val="21"/>
                <w:highlight w:val="none"/>
              </w:rPr>
            </w:pPr>
          </w:p>
        </w:tc>
        <w:tc>
          <w:tcPr>
            <w:tcW w:w="1275" w:type="dxa"/>
            <w:tcBorders>
              <w:top w:val="double" w:color="auto" w:sz="4" w:space="0"/>
            </w:tcBorders>
            <w:vAlign w:val="center"/>
          </w:tcPr>
          <w:p>
            <w:pPr>
              <w:spacing w:line="400" w:lineRule="exact"/>
              <w:jc w:val="center"/>
              <w:rPr>
                <w:rFonts w:ascii="宋体" w:hAnsi="宋体" w:cs="宋体"/>
                <w:szCs w:val="21"/>
                <w:highlight w:val="none"/>
              </w:rPr>
            </w:pPr>
          </w:p>
        </w:tc>
        <w:tc>
          <w:tcPr>
            <w:tcW w:w="1365" w:type="dxa"/>
            <w:tcBorders>
              <w:top w:val="double" w:color="auto" w:sz="4" w:space="0"/>
            </w:tcBorders>
            <w:vAlign w:val="center"/>
          </w:tcPr>
          <w:p>
            <w:pPr>
              <w:spacing w:line="400" w:lineRule="exact"/>
              <w:jc w:val="center"/>
              <w:rPr>
                <w:rFonts w:ascii="宋体" w:hAnsi="宋体" w:cs="宋体"/>
                <w:szCs w:val="21"/>
                <w:highlight w:val="none"/>
              </w:rPr>
            </w:pPr>
          </w:p>
        </w:tc>
        <w:tc>
          <w:tcPr>
            <w:tcW w:w="1879" w:type="dxa"/>
            <w:tcBorders>
              <w:top w:val="double" w:color="auto" w:sz="4" w:space="0"/>
            </w:tcBorders>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2</w:t>
            </w:r>
          </w:p>
        </w:tc>
        <w:tc>
          <w:tcPr>
            <w:tcW w:w="1260" w:type="dxa"/>
            <w:vAlign w:val="center"/>
          </w:tcPr>
          <w:p>
            <w:pPr>
              <w:spacing w:line="400" w:lineRule="exact"/>
              <w:jc w:val="center"/>
              <w:rPr>
                <w:rFonts w:ascii="宋体" w:hAnsi="宋体" w:cs="宋体"/>
                <w:szCs w:val="21"/>
                <w:highlight w:val="none"/>
              </w:rPr>
            </w:pPr>
          </w:p>
        </w:tc>
        <w:tc>
          <w:tcPr>
            <w:tcW w:w="1136" w:type="dxa"/>
            <w:vAlign w:val="center"/>
          </w:tcPr>
          <w:p>
            <w:pPr>
              <w:spacing w:line="400" w:lineRule="exact"/>
              <w:jc w:val="center"/>
              <w:rPr>
                <w:rFonts w:ascii="宋体" w:hAnsi="宋体" w:cs="宋体"/>
                <w:szCs w:val="21"/>
                <w:highlight w:val="none"/>
              </w:rPr>
            </w:pPr>
          </w:p>
        </w:tc>
        <w:tc>
          <w:tcPr>
            <w:tcW w:w="1155" w:type="dxa"/>
            <w:vAlign w:val="center"/>
          </w:tcPr>
          <w:p>
            <w:pPr>
              <w:spacing w:line="400" w:lineRule="exact"/>
              <w:jc w:val="center"/>
              <w:rPr>
                <w:rFonts w:ascii="宋体" w:hAnsi="宋体" w:cs="宋体"/>
                <w:szCs w:val="21"/>
                <w:highlight w:val="none"/>
              </w:rPr>
            </w:pPr>
          </w:p>
        </w:tc>
        <w:tc>
          <w:tcPr>
            <w:tcW w:w="1095" w:type="dxa"/>
            <w:vAlign w:val="center"/>
          </w:tcPr>
          <w:p>
            <w:pPr>
              <w:spacing w:line="400" w:lineRule="exact"/>
              <w:jc w:val="center"/>
              <w:rPr>
                <w:rFonts w:ascii="宋体" w:hAnsi="宋体" w:cs="宋体"/>
                <w:szCs w:val="21"/>
                <w:highlight w:val="none"/>
              </w:rPr>
            </w:pPr>
          </w:p>
        </w:tc>
        <w:tc>
          <w:tcPr>
            <w:tcW w:w="1275" w:type="dxa"/>
            <w:vAlign w:val="center"/>
          </w:tcPr>
          <w:p>
            <w:pPr>
              <w:spacing w:line="400" w:lineRule="exact"/>
              <w:jc w:val="center"/>
              <w:rPr>
                <w:rFonts w:ascii="宋体" w:hAnsi="宋体" w:cs="宋体"/>
                <w:szCs w:val="21"/>
                <w:highlight w:val="none"/>
              </w:rPr>
            </w:pPr>
          </w:p>
        </w:tc>
        <w:tc>
          <w:tcPr>
            <w:tcW w:w="1365" w:type="dxa"/>
            <w:vAlign w:val="center"/>
          </w:tcPr>
          <w:p>
            <w:pPr>
              <w:spacing w:line="400" w:lineRule="exact"/>
              <w:jc w:val="center"/>
              <w:rPr>
                <w:rFonts w:ascii="宋体" w:hAnsi="宋体" w:cs="宋体"/>
                <w:szCs w:val="21"/>
                <w:highlight w:val="none"/>
              </w:rPr>
            </w:pPr>
          </w:p>
        </w:tc>
        <w:tc>
          <w:tcPr>
            <w:tcW w:w="1879" w:type="dxa"/>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3</w:t>
            </w:r>
          </w:p>
        </w:tc>
        <w:tc>
          <w:tcPr>
            <w:tcW w:w="1260" w:type="dxa"/>
            <w:vAlign w:val="center"/>
          </w:tcPr>
          <w:p>
            <w:pPr>
              <w:spacing w:line="400" w:lineRule="exact"/>
              <w:jc w:val="center"/>
              <w:rPr>
                <w:rFonts w:ascii="宋体" w:hAnsi="宋体" w:cs="宋体"/>
                <w:szCs w:val="21"/>
                <w:highlight w:val="none"/>
              </w:rPr>
            </w:pPr>
          </w:p>
        </w:tc>
        <w:tc>
          <w:tcPr>
            <w:tcW w:w="1136" w:type="dxa"/>
            <w:vAlign w:val="center"/>
          </w:tcPr>
          <w:p>
            <w:pPr>
              <w:spacing w:line="400" w:lineRule="exact"/>
              <w:jc w:val="center"/>
              <w:rPr>
                <w:rFonts w:ascii="宋体" w:hAnsi="宋体" w:cs="宋体"/>
                <w:szCs w:val="21"/>
                <w:highlight w:val="none"/>
              </w:rPr>
            </w:pPr>
          </w:p>
        </w:tc>
        <w:tc>
          <w:tcPr>
            <w:tcW w:w="1155" w:type="dxa"/>
            <w:vAlign w:val="center"/>
          </w:tcPr>
          <w:p>
            <w:pPr>
              <w:spacing w:line="400" w:lineRule="exact"/>
              <w:jc w:val="center"/>
              <w:rPr>
                <w:rFonts w:ascii="宋体" w:hAnsi="宋体" w:cs="宋体"/>
                <w:szCs w:val="21"/>
                <w:highlight w:val="none"/>
              </w:rPr>
            </w:pPr>
          </w:p>
        </w:tc>
        <w:tc>
          <w:tcPr>
            <w:tcW w:w="1095" w:type="dxa"/>
            <w:vAlign w:val="center"/>
          </w:tcPr>
          <w:p>
            <w:pPr>
              <w:spacing w:line="400" w:lineRule="exact"/>
              <w:jc w:val="center"/>
              <w:rPr>
                <w:rFonts w:ascii="宋体" w:hAnsi="宋体" w:cs="宋体"/>
                <w:szCs w:val="21"/>
                <w:highlight w:val="none"/>
              </w:rPr>
            </w:pPr>
          </w:p>
        </w:tc>
        <w:tc>
          <w:tcPr>
            <w:tcW w:w="1275" w:type="dxa"/>
            <w:vAlign w:val="center"/>
          </w:tcPr>
          <w:p>
            <w:pPr>
              <w:spacing w:line="400" w:lineRule="exact"/>
              <w:jc w:val="center"/>
              <w:rPr>
                <w:rFonts w:ascii="宋体" w:hAnsi="宋体" w:cs="宋体"/>
                <w:szCs w:val="21"/>
                <w:highlight w:val="none"/>
              </w:rPr>
            </w:pPr>
          </w:p>
        </w:tc>
        <w:tc>
          <w:tcPr>
            <w:tcW w:w="1365" w:type="dxa"/>
            <w:vAlign w:val="center"/>
          </w:tcPr>
          <w:p>
            <w:pPr>
              <w:spacing w:line="400" w:lineRule="exact"/>
              <w:jc w:val="center"/>
              <w:rPr>
                <w:rFonts w:ascii="宋体" w:hAnsi="宋体" w:cs="宋体"/>
                <w:szCs w:val="21"/>
                <w:highlight w:val="none"/>
              </w:rPr>
            </w:pPr>
          </w:p>
        </w:tc>
        <w:tc>
          <w:tcPr>
            <w:tcW w:w="1879" w:type="dxa"/>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4</w:t>
            </w:r>
          </w:p>
        </w:tc>
        <w:tc>
          <w:tcPr>
            <w:tcW w:w="1260" w:type="dxa"/>
            <w:vAlign w:val="center"/>
          </w:tcPr>
          <w:p>
            <w:pPr>
              <w:spacing w:line="400" w:lineRule="exact"/>
              <w:jc w:val="center"/>
              <w:rPr>
                <w:rFonts w:ascii="宋体" w:hAnsi="宋体" w:cs="宋体"/>
                <w:szCs w:val="21"/>
                <w:highlight w:val="none"/>
              </w:rPr>
            </w:pPr>
          </w:p>
        </w:tc>
        <w:tc>
          <w:tcPr>
            <w:tcW w:w="1136" w:type="dxa"/>
            <w:vAlign w:val="center"/>
          </w:tcPr>
          <w:p>
            <w:pPr>
              <w:spacing w:line="400" w:lineRule="exact"/>
              <w:jc w:val="center"/>
              <w:rPr>
                <w:rFonts w:ascii="宋体" w:hAnsi="宋体" w:cs="宋体"/>
                <w:szCs w:val="21"/>
                <w:highlight w:val="none"/>
              </w:rPr>
            </w:pPr>
          </w:p>
        </w:tc>
        <w:tc>
          <w:tcPr>
            <w:tcW w:w="1155" w:type="dxa"/>
            <w:vAlign w:val="center"/>
          </w:tcPr>
          <w:p>
            <w:pPr>
              <w:spacing w:line="400" w:lineRule="exact"/>
              <w:jc w:val="center"/>
              <w:rPr>
                <w:rFonts w:ascii="宋体" w:hAnsi="宋体" w:cs="宋体"/>
                <w:szCs w:val="21"/>
                <w:highlight w:val="none"/>
              </w:rPr>
            </w:pPr>
          </w:p>
        </w:tc>
        <w:tc>
          <w:tcPr>
            <w:tcW w:w="1095" w:type="dxa"/>
            <w:vAlign w:val="center"/>
          </w:tcPr>
          <w:p>
            <w:pPr>
              <w:spacing w:line="400" w:lineRule="exact"/>
              <w:jc w:val="center"/>
              <w:rPr>
                <w:rFonts w:ascii="宋体" w:hAnsi="宋体" w:cs="宋体"/>
                <w:szCs w:val="21"/>
                <w:highlight w:val="none"/>
              </w:rPr>
            </w:pPr>
          </w:p>
        </w:tc>
        <w:tc>
          <w:tcPr>
            <w:tcW w:w="1275" w:type="dxa"/>
            <w:vAlign w:val="center"/>
          </w:tcPr>
          <w:p>
            <w:pPr>
              <w:spacing w:line="400" w:lineRule="exact"/>
              <w:jc w:val="center"/>
              <w:rPr>
                <w:rFonts w:ascii="宋体" w:hAnsi="宋体" w:cs="宋体"/>
                <w:szCs w:val="21"/>
                <w:highlight w:val="none"/>
              </w:rPr>
            </w:pPr>
          </w:p>
        </w:tc>
        <w:tc>
          <w:tcPr>
            <w:tcW w:w="1365" w:type="dxa"/>
            <w:vAlign w:val="center"/>
          </w:tcPr>
          <w:p>
            <w:pPr>
              <w:spacing w:line="400" w:lineRule="exact"/>
              <w:jc w:val="center"/>
              <w:rPr>
                <w:rFonts w:ascii="宋体" w:hAnsi="宋体" w:cs="宋体"/>
                <w:szCs w:val="21"/>
                <w:highlight w:val="none"/>
              </w:rPr>
            </w:pPr>
          </w:p>
        </w:tc>
        <w:tc>
          <w:tcPr>
            <w:tcW w:w="1879" w:type="dxa"/>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5</w:t>
            </w:r>
          </w:p>
        </w:tc>
        <w:tc>
          <w:tcPr>
            <w:tcW w:w="1260" w:type="dxa"/>
            <w:vAlign w:val="center"/>
          </w:tcPr>
          <w:p>
            <w:pPr>
              <w:spacing w:line="400" w:lineRule="exact"/>
              <w:jc w:val="center"/>
              <w:rPr>
                <w:rFonts w:ascii="宋体" w:hAnsi="宋体" w:cs="宋体"/>
                <w:szCs w:val="21"/>
                <w:highlight w:val="none"/>
              </w:rPr>
            </w:pPr>
          </w:p>
        </w:tc>
        <w:tc>
          <w:tcPr>
            <w:tcW w:w="1136" w:type="dxa"/>
            <w:vAlign w:val="center"/>
          </w:tcPr>
          <w:p>
            <w:pPr>
              <w:spacing w:line="400" w:lineRule="exact"/>
              <w:jc w:val="center"/>
              <w:rPr>
                <w:rFonts w:ascii="宋体" w:hAnsi="宋体" w:cs="宋体"/>
                <w:szCs w:val="21"/>
                <w:highlight w:val="none"/>
              </w:rPr>
            </w:pPr>
          </w:p>
        </w:tc>
        <w:tc>
          <w:tcPr>
            <w:tcW w:w="1155" w:type="dxa"/>
            <w:vAlign w:val="center"/>
          </w:tcPr>
          <w:p>
            <w:pPr>
              <w:spacing w:line="400" w:lineRule="exact"/>
              <w:jc w:val="center"/>
              <w:rPr>
                <w:rFonts w:ascii="宋体" w:hAnsi="宋体" w:cs="宋体"/>
                <w:szCs w:val="21"/>
                <w:highlight w:val="none"/>
              </w:rPr>
            </w:pPr>
          </w:p>
        </w:tc>
        <w:tc>
          <w:tcPr>
            <w:tcW w:w="1095" w:type="dxa"/>
            <w:vAlign w:val="center"/>
          </w:tcPr>
          <w:p>
            <w:pPr>
              <w:spacing w:line="400" w:lineRule="exact"/>
              <w:jc w:val="center"/>
              <w:rPr>
                <w:rFonts w:ascii="宋体" w:hAnsi="宋体" w:cs="宋体"/>
                <w:szCs w:val="21"/>
                <w:highlight w:val="none"/>
              </w:rPr>
            </w:pPr>
          </w:p>
        </w:tc>
        <w:tc>
          <w:tcPr>
            <w:tcW w:w="1275" w:type="dxa"/>
            <w:vAlign w:val="center"/>
          </w:tcPr>
          <w:p>
            <w:pPr>
              <w:spacing w:line="400" w:lineRule="exact"/>
              <w:jc w:val="center"/>
              <w:rPr>
                <w:rFonts w:ascii="宋体" w:hAnsi="宋体" w:cs="宋体"/>
                <w:szCs w:val="21"/>
                <w:highlight w:val="none"/>
              </w:rPr>
            </w:pPr>
          </w:p>
        </w:tc>
        <w:tc>
          <w:tcPr>
            <w:tcW w:w="1365" w:type="dxa"/>
            <w:vAlign w:val="center"/>
          </w:tcPr>
          <w:p>
            <w:pPr>
              <w:spacing w:line="400" w:lineRule="exact"/>
              <w:jc w:val="center"/>
              <w:rPr>
                <w:rFonts w:ascii="宋体" w:hAnsi="宋体" w:cs="宋体"/>
                <w:szCs w:val="21"/>
                <w:highlight w:val="none"/>
              </w:rPr>
            </w:pPr>
          </w:p>
        </w:tc>
        <w:tc>
          <w:tcPr>
            <w:tcW w:w="1879" w:type="dxa"/>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6</w:t>
            </w:r>
          </w:p>
        </w:tc>
        <w:tc>
          <w:tcPr>
            <w:tcW w:w="1260" w:type="dxa"/>
            <w:vAlign w:val="center"/>
          </w:tcPr>
          <w:p>
            <w:pPr>
              <w:spacing w:line="400" w:lineRule="exact"/>
              <w:jc w:val="center"/>
              <w:rPr>
                <w:rFonts w:ascii="宋体" w:hAnsi="宋体" w:cs="宋体"/>
                <w:szCs w:val="21"/>
                <w:highlight w:val="none"/>
              </w:rPr>
            </w:pPr>
          </w:p>
        </w:tc>
        <w:tc>
          <w:tcPr>
            <w:tcW w:w="1136" w:type="dxa"/>
            <w:vAlign w:val="center"/>
          </w:tcPr>
          <w:p>
            <w:pPr>
              <w:spacing w:line="400" w:lineRule="exact"/>
              <w:jc w:val="center"/>
              <w:rPr>
                <w:rFonts w:ascii="宋体" w:hAnsi="宋体" w:cs="宋体"/>
                <w:szCs w:val="21"/>
                <w:highlight w:val="none"/>
              </w:rPr>
            </w:pPr>
          </w:p>
        </w:tc>
        <w:tc>
          <w:tcPr>
            <w:tcW w:w="1155" w:type="dxa"/>
            <w:vAlign w:val="center"/>
          </w:tcPr>
          <w:p>
            <w:pPr>
              <w:spacing w:line="400" w:lineRule="exact"/>
              <w:jc w:val="center"/>
              <w:rPr>
                <w:rFonts w:ascii="宋体" w:hAnsi="宋体" w:cs="宋体"/>
                <w:szCs w:val="21"/>
                <w:highlight w:val="none"/>
              </w:rPr>
            </w:pPr>
          </w:p>
        </w:tc>
        <w:tc>
          <w:tcPr>
            <w:tcW w:w="1095" w:type="dxa"/>
            <w:vAlign w:val="center"/>
          </w:tcPr>
          <w:p>
            <w:pPr>
              <w:spacing w:line="400" w:lineRule="exact"/>
              <w:jc w:val="center"/>
              <w:rPr>
                <w:rFonts w:ascii="宋体" w:hAnsi="宋体" w:cs="宋体"/>
                <w:szCs w:val="21"/>
                <w:highlight w:val="none"/>
              </w:rPr>
            </w:pPr>
          </w:p>
        </w:tc>
        <w:tc>
          <w:tcPr>
            <w:tcW w:w="1275" w:type="dxa"/>
            <w:vAlign w:val="center"/>
          </w:tcPr>
          <w:p>
            <w:pPr>
              <w:spacing w:line="400" w:lineRule="exact"/>
              <w:jc w:val="center"/>
              <w:rPr>
                <w:rFonts w:ascii="宋体" w:hAnsi="宋体" w:cs="宋体"/>
                <w:szCs w:val="21"/>
                <w:highlight w:val="none"/>
              </w:rPr>
            </w:pPr>
          </w:p>
        </w:tc>
        <w:tc>
          <w:tcPr>
            <w:tcW w:w="1365" w:type="dxa"/>
            <w:vAlign w:val="center"/>
          </w:tcPr>
          <w:p>
            <w:pPr>
              <w:spacing w:line="400" w:lineRule="exact"/>
              <w:jc w:val="center"/>
              <w:rPr>
                <w:rFonts w:ascii="宋体" w:hAnsi="宋体" w:cs="宋体"/>
                <w:szCs w:val="21"/>
                <w:highlight w:val="none"/>
              </w:rPr>
            </w:pPr>
          </w:p>
        </w:tc>
        <w:tc>
          <w:tcPr>
            <w:tcW w:w="1879" w:type="dxa"/>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7</w:t>
            </w:r>
          </w:p>
        </w:tc>
        <w:tc>
          <w:tcPr>
            <w:tcW w:w="1260" w:type="dxa"/>
            <w:vAlign w:val="center"/>
          </w:tcPr>
          <w:p>
            <w:pPr>
              <w:spacing w:line="400" w:lineRule="exact"/>
              <w:jc w:val="center"/>
              <w:rPr>
                <w:rFonts w:ascii="宋体" w:hAnsi="宋体" w:cs="宋体"/>
                <w:szCs w:val="21"/>
                <w:highlight w:val="none"/>
              </w:rPr>
            </w:pPr>
          </w:p>
        </w:tc>
        <w:tc>
          <w:tcPr>
            <w:tcW w:w="1136" w:type="dxa"/>
            <w:vAlign w:val="center"/>
          </w:tcPr>
          <w:p>
            <w:pPr>
              <w:spacing w:line="400" w:lineRule="exact"/>
              <w:jc w:val="center"/>
              <w:rPr>
                <w:rFonts w:ascii="宋体" w:hAnsi="宋体" w:cs="宋体"/>
                <w:szCs w:val="21"/>
                <w:highlight w:val="none"/>
              </w:rPr>
            </w:pPr>
          </w:p>
        </w:tc>
        <w:tc>
          <w:tcPr>
            <w:tcW w:w="1155" w:type="dxa"/>
            <w:vAlign w:val="center"/>
          </w:tcPr>
          <w:p>
            <w:pPr>
              <w:spacing w:line="400" w:lineRule="exact"/>
              <w:jc w:val="center"/>
              <w:rPr>
                <w:rFonts w:ascii="宋体" w:hAnsi="宋体" w:cs="宋体"/>
                <w:szCs w:val="21"/>
                <w:highlight w:val="none"/>
              </w:rPr>
            </w:pPr>
          </w:p>
        </w:tc>
        <w:tc>
          <w:tcPr>
            <w:tcW w:w="1095" w:type="dxa"/>
            <w:vAlign w:val="center"/>
          </w:tcPr>
          <w:p>
            <w:pPr>
              <w:spacing w:line="400" w:lineRule="exact"/>
              <w:jc w:val="center"/>
              <w:rPr>
                <w:rFonts w:ascii="宋体" w:hAnsi="宋体" w:cs="宋体"/>
                <w:szCs w:val="21"/>
                <w:highlight w:val="none"/>
              </w:rPr>
            </w:pPr>
          </w:p>
        </w:tc>
        <w:tc>
          <w:tcPr>
            <w:tcW w:w="1275" w:type="dxa"/>
            <w:vAlign w:val="center"/>
          </w:tcPr>
          <w:p>
            <w:pPr>
              <w:spacing w:line="400" w:lineRule="exact"/>
              <w:jc w:val="center"/>
              <w:rPr>
                <w:rFonts w:ascii="宋体" w:hAnsi="宋体" w:cs="宋体"/>
                <w:szCs w:val="21"/>
                <w:highlight w:val="none"/>
              </w:rPr>
            </w:pPr>
          </w:p>
        </w:tc>
        <w:tc>
          <w:tcPr>
            <w:tcW w:w="1365" w:type="dxa"/>
            <w:vAlign w:val="center"/>
          </w:tcPr>
          <w:p>
            <w:pPr>
              <w:spacing w:line="400" w:lineRule="exact"/>
              <w:jc w:val="center"/>
              <w:rPr>
                <w:rFonts w:ascii="宋体" w:hAnsi="宋体" w:cs="宋体"/>
                <w:szCs w:val="21"/>
                <w:highlight w:val="none"/>
              </w:rPr>
            </w:pPr>
          </w:p>
        </w:tc>
        <w:tc>
          <w:tcPr>
            <w:tcW w:w="1879" w:type="dxa"/>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8</w:t>
            </w:r>
          </w:p>
        </w:tc>
        <w:tc>
          <w:tcPr>
            <w:tcW w:w="1260" w:type="dxa"/>
            <w:vAlign w:val="center"/>
          </w:tcPr>
          <w:p>
            <w:pPr>
              <w:spacing w:line="400" w:lineRule="exact"/>
              <w:jc w:val="center"/>
              <w:rPr>
                <w:rFonts w:ascii="宋体" w:hAnsi="宋体" w:cs="宋体"/>
                <w:szCs w:val="21"/>
                <w:highlight w:val="none"/>
              </w:rPr>
            </w:pPr>
          </w:p>
        </w:tc>
        <w:tc>
          <w:tcPr>
            <w:tcW w:w="1136" w:type="dxa"/>
            <w:vAlign w:val="center"/>
          </w:tcPr>
          <w:p>
            <w:pPr>
              <w:spacing w:line="400" w:lineRule="exact"/>
              <w:jc w:val="center"/>
              <w:rPr>
                <w:rFonts w:ascii="宋体" w:hAnsi="宋体" w:cs="宋体"/>
                <w:szCs w:val="21"/>
                <w:highlight w:val="none"/>
              </w:rPr>
            </w:pPr>
          </w:p>
        </w:tc>
        <w:tc>
          <w:tcPr>
            <w:tcW w:w="1155" w:type="dxa"/>
            <w:vAlign w:val="center"/>
          </w:tcPr>
          <w:p>
            <w:pPr>
              <w:spacing w:line="400" w:lineRule="exact"/>
              <w:jc w:val="center"/>
              <w:rPr>
                <w:rFonts w:ascii="宋体" w:hAnsi="宋体" w:cs="宋体"/>
                <w:szCs w:val="21"/>
                <w:highlight w:val="none"/>
              </w:rPr>
            </w:pPr>
          </w:p>
        </w:tc>
        <w:tc>
          <w:tcPr>
            <w:tcW w:w="1095" w:type="dxa"/>
            <w:vAlign w:val="center"/>
          </w:tcPr>
          <w:p>
            <w:pPr>
              <w:spacing w:line="400" w:lineRule="exact"/>
              <w:jc w:val="center"/>
              <w:rPr>
                <w:rFonts w:ascii="宋体" w:hAnsi="宋体" w:cs="宋体"/>
                <w:szCs w:val="21"/>
                <w:highlight w:val="none"/>
              </w:rPr>
            </w:pPr>
          </w:p>
        </w:tc>
        <w:tc>
          <w:tcPr>
            <w:tcW w:w="1275" w:type="dxa"/>
            <w:vAlign w:val="center"/>
          </w:tcPr>
          <w:p>
            <w:pPr>
              <w:spacing w:line="400" w:lineRule="exact"/>
              <w:jc w:val="center"/>
              <w:rPr>
                <w:rFonts w:ascii="宋体" w:hAnsi="宋体" w:cs="宋体"/>
                <w:szCs w:val="21"/>
                <w:highlight w:val="none"/>
              </w:rPr>
            </w:pPr>
          </w:p>
        </w:tc>
        <w:tc>
          <w:tcPr>
            <w:tcW w:w="1365" w:type="dxa"/>
            <w:vAlign w:val="center"/>
          </w:tcPr>
          <w:p>
            <w:pPr>
              <w:spacing w:line="400" w:lineRule="exact"/>
              <w:jc w:val="center"/>
              <w:rPr>
                <w:rFonts w:ascii="宋体" w:hAnsi="宋体" w:cs="宋体"/>
                <w:szCs w:val="21"/>
                <w:highlight w:val="none"/>
              </w:rPr>
            </w:pPr>
          </w:p>
        </w:tc>
        <w:tc>
          <w:tcPr>
            <w:tcW w:w="1879" w:type="dxa"/>
            <w:vAlign w:val="center"/>
          </w:tcPr>
          <w:p>
            <w:pPr>
              <w:adjustRightInd w:val="0"/>
              <w:snapToGrid w:val="0"/>
              <w:ind w:left="-84" w:leftChars="-40" w:right="-107" w:rightChars="-51"/>
              <w:jc w:val="center"/>
              <w:rPr>
                <w:rFonts w:ascii="宋体" w:hAnsi="宋体" w:cs="宋体"/>
                <w:szCs w:val="21"/>
                <w:highlight w:val="none"/>
              </w:rPr>
            </w:pPr>
            <w:r>
              <w:rPr>
                <w:rFonts w:hint="eastAsia" w:ascii="宋体" w:hAnsi="宋体" w:cs="宋体"/>
                <w:szCs w:val="21"/>
                <w:highlight w:val="none"/>
              </w:rPr>
              <w:t>见第</w:t>
            </w:r>
            <w:r>
              <w:rPr>
                <w:rFonts w:hint="eastAsia" w:ascii="宋体" w:hAnsi="宋体" w:cs="宋体"/>
                <w:szCs w:val="21"/>
                <w:highlight w:val="none"/>
                <w:u w:val="single"/>
              </w:rPr>
              <w:t xml:space="preserve">   </w:t>
            </w:r>
            <w:r>
              <w:rPr>
                <w:rFonts w:hint="eastAsia" w:ascii="宋体" w:hAnsi="宋体" w:cs="宋体"/>
                <w:szCs w:val="21"/>
                <w:highlight w:val="none"/>
              </w:rPr>
              <w:t>页</w:t>
            </w:r>
          </w:p>
        </w:tc>
      </w:tr>
    </w:tbl>
    <w:p>
      <w:pPr>
        <w:adjustRightInd w:val="0"/>
        <w:snapToGrid w:val="0"/>
        <w:spacing w:line="360" w:lineRule="auto"/>
        <w:rPr>
          <w:rFonts w:ascii="宋体" w:hAnsi="宋体" w:cs="宋体"/>
          <w:bCs/>
          <w:szCs w:val="21"/>
          <w:highlight w:val="none"/>
        </w:rPr>
      </w:pPr>
      <w:r>
        <w:rPr>
          <w:rFonts w:hint="eastAsia" w:ascii="宋体" w:hAnsi="宋体" w:cs="宋体"/>
          <w:bCs/>
          <w:szCs w:val="21"/>
          <w:highlight w:val="none"/>
        </w:rPr>
        <w:t>备注：</w:t>
      </w:r>
    </w:p>
    <w:p>
      <w:pPr>
        <w:numPr>
          <w:ilvl w:val="0"/>
          <w:numId w:val="94"/>
        </w:numPr>
        <w:adjustRightInd w:val="0"/>
        <w:snapToGrid w:val="0"/>
        <w:spacing w:line="360" w:lineRule="auto"/>
        <w:rPr>
          <w:rFonts w:ascii="宋体" w:hAnsi="宋体" w:cs="宋体"/>
          <w:bCs/>
          <w:szCs w:val="21"/>
          <w:highlight w:val="none"/>
        </w:rPr>
      </w:pPr>
      <w:r>
        <w:rPr>
          <w:rFonts w:hint="eastAsia" w:ascii="宋体" w:hAnsi="宋体" w:cs="宋体"/>
          <w:szCs w:val="21"/>
          <w:highlight w:val="none"/>
        </w:rPr>
        <w:t>根据评分表的要求提交相应资料</w:t>
      </w:r>
      <w:r>
        <w:rPr>
          <w:rFonts w:hint="eastAsia" w:ascii="宋体" w:hAnsi="宋体" w:cs="宋体"/>
          <w:bCs/>
          <w:szCs w:val="21"/>
          <w:highlight w:val="none"/>
        </w:rPr>
        <w:t>。</w:t>
      </w:r>
    </w:p>
    <w:p>
      <w:pPr>
        <w:numPr>
          <w:ilvl w:val="0"/>
          <w:numId w:val="94"/>
        </w:numPr>
        <w:adjustRightInd w:val="0"/>
        <w:snapToGrid w:val="0"/>
        <w:spacing w:line="360" w:lineRule="auto"/>
        <w:rPr>
          <w:rFonts w:ascii="宋体" w:hAnsi="宋体" w:cs="宋体"/>
          <w:bCs/>
          <w:szCs w:val="21"/>
          <w:highlight w:val="none"/>
        </w:rPr>
      </w:pPr>
      <w:r>
        <w:rPr>
          <w:rFonts w:hint="eastAsia" w:ascii="宋体" w:hAnsi="宋体" w:cs="宋体"/>
          <w:bCs/>
          <w:szCs w:val="21"/>
          <w:highlight w:val="none"/>
        </w:rPr>
        <w:t>如本表格式内容不能满足需要，投标人可根据本表格式自行扩展填写，但必须体现以上内容。</w:t>
      </w:r>
    </w:p>
    <w:p>
      <w:pPr>
        <w:spacing w:line="500" w:lineRule="exact"/>
        <w:rPr>
          <w:rFonts w:ascii="宋体" w:hAnsi="宋体" w:cs="宋体"/>
          <w:szCs w:val="21"/>
          <w:highlight w:val="none"/>
        </w:rPr>
      </w:pPr>
    </w:p>
    <w:p>
      <w:pPr>
        <w:spacing w:line="500" w:lineRule="exact"/>
        <w:rPr>
          <w:rFonts w:ascii="宋体" w:hAnsi="宋体" w:cs="宋体"/>
          <w:szCs w:val="21"/>
          <w:highlight w:val="none"/>
        </w:rPr>
      </w:pPr>
    </w:p>
    <w:p>
      <w:pPr>
        <w:spacing w:line="500" w:lineRule="exact"/>
        <w:rPr>
          <w:rFonts w:ascii="宋体" w:hAnsi="宋体" w:cs="宋体"/>
          <w:szCs w:val="21"/>
          <w:highlight w:val="none"/>
          <w:u w:val="single"/>
        </w:rPr>
      </w:pPr>
      <w:r>
        <w:rPr>
          <w:rFonts w:hint="eastAsia" w:ascii="宋体" w:hAnsi="宋体" w:cs="宋体"/>
          <w:spacing w:val="4"/>
          <w:szCs w:val="21"/>
          <w:highlight w:val="none"/>
        </w:rPr>
        <w:t>投标人名称（加盖公章）：</w:t>
      </w:r>
      <w:r>
        <w:rPr>
          <w:rFonts w:hint="eastAsia" w:ascii="宋体" w:hAnsi="宋体" w:cs="宋体"/>
          <w:spacing w:val="4"/>
          <w:szCs w:val="21"/>
          <w:highlight w:val="none"/>
          <w:u w:val="single"/>
        </w:rPr>
        <w:t xml:space="preserve">                             </w:t>
      </w:r>
    </w:p>
    <w:p>
      <w:pPr>
        <w:rPr>
          <w:rFonts w:ascii="宋体" w:hAnsi="宋体" w:cs="宋体"/>
          <w:spacing w:val="4"/>
          <w:szCs w:val="21"/>
          <w:highlight w:val="none"/>
        </w:rPr>
      </w:pPr>
    </w:p>
    <w:p>
      <w:pPr>
        <w:spacing w:line="520" w:lineRule="exact"/>
        <w:rPr>
          <w:rFonts w:ascii="宋体" w:hAnsi="宋体" w:cs="宋体"/>
          <w:spacing w:val="4"/>
          <w:szCs w:val="21"/>
          <w:highlight w:val="none"/>
        </w:rPr>
      </w:pPr>
      <w:r>
        <w:rPr>
          <w:rFonts w:hint="eastAsia" w:ascii="宋体" w:hAnsi="宋体" w:cs="宋体"/>
          <w:szCs w:val="21"/>
          <w:highlight w:val="none"/>
        </w:rPr>
        <w:t>法定代表人或投标人授权代表（签名或盖章）：</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日期</w:t>
      </w:r>
      <w:r>
        <w:rPr>
          <w:rFonts w:hint="eastAsia" w:ascii="宋体" w:hAnsi="宋体" w:cs="宋体"/>
          <w:spacing w:val="4"/>
          <w:szCs w:val="21"/>
          <w:highlight w:val="none"/>
          <w:u w:val="single"/>
        </w:rPr>
        <w:t xml:space="preserve">         </w:t>
      </w:r>
    </w:p>
    <w:p>
      <w:pPr>
        <w:spacing w:line="500" w:lineRule="exact"/>
        <w:rPr>
          <w:rFonts w:ascii="宋体" w:hAnsi="宋体" w:cs="宋体"/>
          <w:szCs w:val="21"/>
          <w:highlight w:val="none"/>
        </w:rPr>
      </w:pPr>
    </w:p>
    <w:p>
      <w:pPr>
        <w:pStyle w:val="4"/>
        <w:adjustRightInd w:val="0"/>
        <w:snapToGrid w:val="0"/>
        <w:spacing w:before="156" w:beforeLines="50" w:after="156" w:afterLines="50" w:line="360" w:lineRule="auto"/>
        <w:jc w:val="center"/>
        <w:rPr>
          <w:b w:val="0"/>
          <w:bCs w:val="0"/>
          <w:highlight w:val="none"/>
        </w:rPr>
      </w:pPr>
      <w:r>
        <w:rPr>
          <w:rFonts w:hint="eastAsia" w:ascii="宋体" w:hAnsi="宋体" w:eastAsia="宋体" w:cs="宋体"/>
          <w:sz w:val="21"/>
          <w:szCs w:val="21"/>
          <w:highlight w:val="none"/>
        </w:rPr>
        <w:br w:type="page"/>
      </w:r>
      <w:bookmarkEnd w:id="126"/>
      <w:bookmarkEnd w:id="127"/>
      <w:bookmarkStart w:id="138" w:name="_Toc259022219"/>
    </w:p>
    <w:p>
      <w:pPr>
        <w:numPr>
          <w:ilvl w:val="0"/>
          <w:numId w:val="80"/>
        </w:numPr>
        <w:spacing w:line="440" w:lineRule="exact"/>
        <w:rPr>
          <w:rFonts w:ascii="Arial" w:hAnsi="Arial" w:eastAsia="黑体"/>
          <w:sz w:val="32"/>
          <w:szCs w:val="32"/>
          <w:highlight w:val="none"/>
        </w:rPr>
      </w:pPr>
    </w:p>
    <w:bookmarkEnd w:id="128"/>
    <w:bookmarkEnd w:id="138"/>
    <w:p>
      <w:pPr>
        <w:pStyle w:val="4"/>
        <w:adjustRightInd w:val="0"/>
        <w:snapToGrid w:val="0"/>
        <w:spacing w:before="156" w:beforeLines="50" w:after="156" w:afterLines="50" w:line="360" w:lineRule="auto"/>
        <w:jc w:val="center"/>
        <w:rPr>
          <w:b w:val="0"/>
          <w:bCs w:val="0"/>
          <w:highlight w:val="none"/>
        </w:rPr>
      </w:pPr>
      <w:bookmarkStart w:id="139" w:name="_Toc275865624"/>
      <w:r>
        <w:rPr>
          <w:rFonts w:hint="eastAsia"/>
          <w:b w:val="0"/>
          <w:bCs w:val="0"/>
          <w:highlight w:val="none"/>
        </w:rPr>
        <w:t>招标代理服务费承诺书</w:t>
      </w:r>
      <w:bookmarkEnd w:id="139"/>
    </w:p>
    <w:p>
      <w:pPr>
        <w:spacing w:line="520" w:lineRule="exact"/>
        <w:ind w:left="315"/>
        <w:rPr>
          <w:rFonts w:ascii="宋体" w:hAnsi="宋体" w:cs="宋体"/>
          <w:b/>
          <w:szCs w:val="21"/>
          <w:highlight w:val="none"/>
        </w:rPr>
      </w:pPr>
      <w:r>
        <w:rPr>
          <w:rFonts w:hint="eastAsia" w:ascii="宋体" w:hAnsi="宋体" w:cs="宋体"/>
          <w:b/>
          <w:szCs w:val="21"/>
          <w:highlight w:val="none"/>
        </w:rPr>
        <w:t>广东中采招标有限公司:</w:t>
      </w:r>
    </w:p>
    <w:p>
      <w:pPr>
        <w:spacing w:line="360" w:lineRule="auto"/>
        <w:ind w:left="315" w:leftChars="150" w:firstLine="420" w:firstLineChars="200"/>
        <w:rPr>
          <w:rFonts w:ascii="宋体" w:hAnsi="宋体" w:cs="宋体"/>
          <w:szCs w:val="21"/>
          <w:highlight w:val="none"/>
        </w:rPr>
      </w:pPr>
      <w:r>
        <w:rPr>
          <w:rFonts w:hint="eastAsia" w:ascii="宋体" w:hAnsi="宋体" w:cs="宋体"/>
          <w:szCs w:val="21"/>
          <w:highlight w:val="none"/>
        </w:rPr>
        <w:t>本公司</w:t>
      </w:r>
      <w:r>
        <w:rPr>
          <w:rFonts w:hint="eastAsia" w:ascii="宋体" w:hAnsi="宋体" w:cs="宋体"/>
          <w:szCs w:val="21"/>
          <w:highlight w:val="none"/>
          <w:u w:val="single"/>
        </w:rPr>
        <w:t xml:space="preserve">       (投标人名称)      </w:t>
      </w:r>
      <w:r>
        <w:rPr>
          <w:rFonts w:hint="eastAsia" w:ascii="宋体" w:hAnsi="宋体" w:cs="宋体"/>
          <w:szCs w:val="21"/>
          <w:highlight w:val="none"/>
        </w:rPr>
        <w:t>在参加在贵公司举行的</w:t>
      </w:r>
      <w:r>
        <w:rPr>
          <w:rFonts w:hint="eastAsia" w:ascii="宋体" w:hAnsi="宋体" w:cs="宋体"/>
          <w:szCs w:val="21"/>
          <w:highlight w:val="none"/>
          <w:u w:val="single"/>
        </w:rPr>
        <w:t xml:space="preserve">       (项目名称)      </w:t>
      </w:r>
      <w:r>
        <w:rPr>
          <w:rFonts w:hint="eastAsia" w:ascii="宋体" w:hAnsi="宋体" w:cs="宋体"/>
          <w:szCs w:val="21"/>
          <w:highlight w:val="none"/>
        </w:rPr>
        <w:t>(项目编号：GDZC-22GZ131)的招标中如获中标，我公司保证按照招标文件规定缴纳“招标代理服务费”后，凭领取人身份证复印件并加盖公章领取《中标通知书》。</w:t>
      </w:r>
    </w:p>
    <w:p>
      <w:pPr>
        <w:spacing w:line="360" w:lineRule="auto"/>
        <w:ind w:left="315" w:leftChars="150" w:firstLine="420" w:firstLineChars="200"/>
        <w:rPr>
          <w:rFonts w:ascii="宋体" w:hAnsi="宋体" w:cs="宋体"/>
          <w:szCs w:val="21"/>
          <w:highlight w:val="none"/>
        </w:rPr>
      </w:pPr>
      <w:r>
        <w:rPr>
          <w:rFonts w:hint="eastAsia" w:ascii="宋体" w:hAnsi="宋体" w:cs="宋体"/>
          <w:szCs w:val="21"/>
          <w:highlight w:val="none"/>
        </w:rPr>
        <w:t>如我方违反上款承诺，愿凭贵公司开出的相关通知，同意广东中采招标有限公司办理支付手续，扣除我司提交的全部投标保证金，并愿承担全部由此引起的法律责任。</w:t>
      </w:r>
    </w:p>
    <w:p>
      <w:pPr>
        <w:spacing w:line="360" w:lineRule="auto"/>
        <w:ind w:left="150" w:firstLine="200"/>
        <w:rPr>
          <w:rFonts w:ascii="宋体" w:hAnsi="宋体" w:cs="宋体"/>
          <w:szCs w:val="21"/>
          <w:highlight w:val="none"/>
        </w:rPr>
      </w:pPr>
    </w:p>
    <w:p>
      <w:pPr>
        <w:spacing w:line="520" w:lineRule="exact"/>
        <w:ind w:firstLine="840" w:firstLineChars="400"/>
        <w:rPr>
          <w:rFonts w:ascii="宋体" w:hAnsi="宋体" w:cs="宋体"/>
          <w:szCs w:val="21"/>
          <w:highlight w:val="none"/>
        </w:rPr>
      </w:pPr>
      <w:r>
        <w:rPr>
          <w:rFonts w:hint="eastAsia" w:ascii="宋体" w:hAnsi="宋体" w:cs="宋体"/>
          <w:szCs w:val="21"/>
          <w:highlight w:val="none"/>
        </w:rPr>
        <w:t>特此承诺!</w:t>
      </w:r>
    </w:p>
    <w:p>
      <w:pPr>
        <w:spacing w:line="520" w:lineRule="exact"/>
        <w:ind w:left="315"/>
        <w:rPr>
          <w:rFonts w:ascii="宋体" w:hAnsi="宋体" w:cs="宋体"/>
          <w:szCs w:val="21"/>
          <w:highlight w:val="none"/>
        </w:rPr>
      </w:pPr>
    </w:p>
    <w:p>
      <w:pPr>
        <w:spacing w:line="520" w:lineRule="exact"/>
        <w:ind w:left="315"/>
        <w:rPr>
          <w:rFonts w:ascii="宋体" w:hAnsi="宋体" w:cs="宋体"/>
          <w:szCs w:val="21"/>
          <w:highlight w:val="none"/>
        </w:rPr>
      </w:pPr>
      <w:r>
        <w:rPr>
          <w:rFonts w:hint="eastAsia" w:ascii="宋体" w:hAnsi="宋体" w:cs="宋体"/>
          <w:szCs w:val="21"/>
          <w:highlight w:val="none"/>
        </w:rPr>
        <w:t>投标人名称(加盖公章):</w:t>
      </w:r>
    </w:p>
    <w:p>
      <w:pPr>
        <w:spacing w:line="520" w:lineRule="exact"/>
        <w:ind w:left="315"/>
        <w:rPr>
          <w:rFonts w:ascii="宋体" w:hAnsi="宋体" w:cs="宋体"/>
          <w:szCs w:val="21"/>
          <w:highlight w:val="none"/>
        </w:rPr>
      </w:pPr>
      <w:r>
        <w:rPr>
          <w:rFonts w:hint="eastAsia" w:ascii="宋体" w:hAnsi="宋体" w:cs="宋体"/>
          <w:szCs w:val="21"/>
          <w:highlight w:val="none"/>
        </w:rPr>
        <w:t>投标人地址:</w:t>
      </w:r>
    </w:p>
    <w:p>
      <w:pPr>
        <w:spacing w:line="520" w:lineRule="exact"/>
        <w:ind w:left="315"/>
        <w:rPr>
          <w:rFonts w:ascii="宋体" w:hAnsi="宋体" w:cs="宋体"/>
          <w:szCs w:val="21"/>
          <w:highlight w:val="none"/>
        </w:rPr>
      </w:pPr>
      <w:r>
        <w:rPr>
          <w:rFonts w:hint="eastAsia" w:ascii="宋体" w:hAnsi="宋体" w:cs="宋体"/>
          <w:szCs w:val="21"/>
          <w:highlight w:val="none"/>
        </w:rPr>
        <w:t>电话:</w:t>
      </w:r>
    </w:p>
    <w:p>
      <w:pPr>
        <w:spacing w:line="520" w:lineRule="exact"/>
        <w:ind w:left="315"/>
        <w:rPr>
          <w:rFonts w:ascii="宋体" w:hAnsi="宋体" w:cs="宋体"/>
          <w:szCs w:val="21"/>
          <w:highlight w:val="none"/>
        </w:rPr>
      </w:pPr>
      <w:r>
        <w:rPr>
          <w:rFonts w:hint="eastAsia" w:ascii="宋体" w:hAnsi="宋体" w:cs="宋体"/>
          <w:szCs w:val="21"/>
          <w:highlight w:val="none"/>
        </w:rPr>
        <w:t>传真:</w:t>
      </w:r>
    </w:p>
    <w:p>
      <w:pPr>
        <w:spacing w:line="520" w:lineRule="exact"/>
        <w:ind w:left="315"/>
        <w:rPr>
          <w:rFonts w:ascii="宋体" w:hAnsi="宋体" w:cs="宋体"/>
          <w:szCs w:val="21"/>
          <w:highlight w:val="none"/>
        </w:rPr>
      </w:pPr>
      <w:r>
        <w:rPr>
          <w:rFonts w:hint="eastAsia" w:ascii="宋体" w:hAnsi="宋体" w:cs="宋体"/>
          <w:szCs w:val="21"/>
          <w:highlight w:val="none"/>
        </w:rPr>
        <w:t>法定代表人或投标人授权代表（签名或盖章）：</w:t>
      </w:r>
    </w:p>
    <w:p>
      <w:pPr>
        <w:spacing w:line="520" w:lineRule="exact"/>
        <w:ind w:left="315"/>
        <w:rPr>
          <w:rFonts w:ascii="宋体" w:hAnsi="宋体" w:cs="宋体"/>
          <w:szCs w:val="21"/>
          <w:highlight w:val="none"/>
        </w:rPr>
      </w:pPr>
      <w:r>
        <w:rPr>
          <w:rFonts w:hint="eastAsia" w:ascii="宋体" w:hAnsi="宋体" w:cs="宋体"/>
          <w:szCs w:val="21"/>
          <w:highlight w:val="none"/>
        </w:rPr>
        <w:t>签署日期:</w:t>
      </w:r>
    </w:p>
    <w:p>
      <w:pPr>
        <w:spacing w:line="520" w:lineRule="exact"/>
        <w:ind w:left="315"/>
        <w:rPr>
          <w:rFonts w:ascii="宋体" w:hAnsi="宋体" w:cs="宋体"/>
          <w:szCs w:val="21"/>
          <w:highlight w:val="none"/>
        </w:rPr>
      </w:pPr>
    </w:p>
    <w:p>
      <w:pPr>
        <w:spacing w:line="520" w:lineRule="exact"/>
        <w:rPr>
          <w:rFonts w:ascii="宋体" w:hAnsi="宋体" w:cs="宋体"/>
          <w:szCs w:val="21"/>
          <w:highlight w:val="none"/>
        </w:rPr>
        <w:sectPr>
          <w:pgSz w:w="11906" w:h="16838"/>
          <w:pgMar w:top="1440" w:right="1286" w:bottom="1440" w:left="1440" w:header="851" w:footer="992" w:gutter="0"/>
          <w:cols w:space="720" w:num="1"/>
          <w:docGrid w:type="lines" w:linePitch="312" w:charSpace="0"/>
        </w:sectPr>
      </w:pPr>
    </w:p>
    <w:p>
      <w:pPr>
        <w:numPr>
          <w:ilvl w:val="0"/>
          <w:numId w:val="80"/>
        </w:numPr>
        <w:spacing w:line="440" w:lineRule="exact"/>
        <w:rPr>
          <w:rFonts w:ascii="宋体" w:hAnsi="宋体" w:cs="宋体"/>
          <w:szCs w:val="21"/>
          <w:highlight w:val="none"/>
        </w:rPr>
      </w:pPr>
    </w:p>
    <w:p>
      <w:pPr>
        <w:jc w:val="center"/>
        <w:rPr>
          <w:rFonts w:ascii="Arial" w:hAnsi="Arial" w:eastAsia="黑体"/>
          <w:sz w:val="32"/>
          <w:szCs w:val="32"/>
          <w:highlight w:val="none"/>
        </w:rPr>
      </w:pPr>
      <w:r>
        <w:rPr>
          <w:rFonts w:hint="eastAsia" w:ascii="Arial" w:hAnsi="Arial" w:eastAsia="黑体"/>
          <w:sz w:val="32"/>
          <w:szCs w:val="32"/>
          <w:highlight w:val="none"/>
        </w:rPr>
        <w:t>企业采购保证金退付委托书</w:t>
      </w:r>
    </w:p>
    <w:p>
      <w:pPr>
        <w:rPr>
          <w:rFonts w:ascii="宋体" w:hAnsi="宋体"/>
          <w:b/>
          <w:sz w:val="36"/>
          <w:szCs w:val="36"/>
          <w:highlight w:val="none"/>
        </w:rPr>
      </w:pPr>
    </w:p>
    <w:p>
      <w:pPr>
        <w:rPr>
          <w:rFonts w:ascii="宋体" w:hAnsi="宋体"/>
          <w:sz w:val="28"/>
          <w:szCs w:val="28"/>
          <w:highlight w:val="none"/>
        </w:rPr>
      </w:pPr>
      <w:r>
        <w:rPr>
          <w:rFonts w:hint="eastAsia" w:ascii="宋体" w:hAnsi="宋体"/>
          <w:sz w:val="28"/>
          <w:szCs w:val="28"/>
          <w:highlight w:val="none"/>
        </w:rPr>
        <w:t>佛山市南海公有资产流转服务有限公司：</w:t>
      </w:r>
    </w:p>
    <w:p>
      <w:pPr>
        <w:ind w:firstLine="560" w:firstLineChars="200"/>
        <w:rPr>
          <w:rFonts w:ascii="宋体" w:hAnsi="宋体"/>
          <w:sz w:val="28"/>
          <w:szCs w:val="28"/>
          <w:highlight w:val="none"/>
        </w:rPr>
      </w:pPr>
      <w:r>
        <w:rPr>
          <w:rFonts w:hint="eastAsia" w:ascii="宋体" w:hAnsi="宋体"/>
          <w:sz w:val="28"/>
          <w:szCs w:val="28"/>
          <w:highlight w:val="none"/>
        </w:rPr>
        <w:t>兹委托贵司将招标人：</w:t>
      </w:r>
      <w:r>
        <w:rPr>
          <w:rFonts w:hint="eastAsia" w:ascii="宋体" w:hAnsi="宋体"/>
          <w:sz w:val="28"/>
          <w:szCs w:val="28"/>
          <w:highlight w:val="none"/>
          <w:u w:val="single"/>
        </w:rPr>
        <w:t>佛山市南海承展千灯湖酒店投资管理有限公司</w:t>
      </w:r>
      <w:r>
        <w:rPr>
          <w:rFonts w:hint="eastAsia" w:ascii="宋体" w:hAnsi="宋体"/>
          <w:sz w:val="28"/>
          <w:szCs w:val="28"/>
          <w:highlight w:val="none"/>
        </w:rPr>
        <w:t>的企业采购项目“</w:t>
      </w:r>
      <w:r>
        <w:rPr>
          <w:rFonts w:hint="eastAsia" w:ascii="宋体" w:hAnsi="宋体"/>
          <w:sz w:val="28"/>
          <w:szCs w:val="28"/>
          <w:highlight w:val="none"/>
          <w:u w:val="single"/>
        </w:rPr>
        <w:t>承展千灯湖酒店餐饮餐调料、蛋奶、粮油类采购</w:t>
      </w:r>
      <w:r>
        <w:rPr>
          <w:rFonts w:hint="eastAsia" w:ascii="宋体" w:hAnsi="宋体"/>
          <w:sz w:val="28"/>
          <w:szCs w:val="28"/>
          <w:highlight w:val="none"/>
        </w:rPr>
        <w:t>”（项目编号：</w:t>
      </w:r>
      <w:r>
        <w:rPr>
          <w:rFonts w:hint="eastAsia" w:ascii="宋体" w:hAnsi="宋体"/>
          <w:sz w:val="28"/>
          <w:szCs w:val="28"/>
          <w:highlight w:val="none"/>
          <w:u w:val="single"/>
        </w:rPr>
        <w:t>GDZC-22GZ131）</w:t>
      </w:r>
    </w:p>
    <w:p>
      <w:pPr>
        <w:ind w:firstLine="560" w:firstLineChars="200"/>
        <w:rPr>
          <w:rFonts w:ascii="宋体" w:hAnsi="宋体"/>
          <w:sz w:val="28"/>
          <w:szCs w:val="28"/>
          <w:highlight w:val="none"/>
        </w:rPr>
      </w:pPr>
      <w:r>
        <w:rPr>
          <w:rFonts w:hint="eastAsia" w:ascii="宋体" w:hAnsi="宋体"/>
          <w:sz w:val="28"/>
          <w:szCs w:val="28"/>
          <w:highlight w:val="none"/>
        </w:rPr>
        <w:t>项目</w:t>
      </w:r>
      <w:r>
        <w:rPr>
          <w:rFonts w:hint="eastAsia" w:ascii="宋体" w:hAnsi="宋体"/>
          <w:sz w:val="28"/>
          <w:szCs w:val="28"/>
          <w:highlight w:val="none"/>
          <w:u w:val="single"/>
        </w:rPr>
        <w:t>保证金</w:t>
      </w:r>
      <w:r>
        <w:rPr>
          <w:rFonts w:hint="eastAsia" w:ascii="宋体" w:hAnsi="宋体"/>
          <w:sz w:val="28"/>
          <w:szCs w:val="28"/>
          <w:highlight w:val="none"/>
        </w:rPr>
        <w:t>：人民币大写:</w:t>
      </w:r>
      <w:r>
        <w:rPr>
          <w:rFonts w:hint="eastAsia" w:ascii="宋体" w:hAnsi="宋体"/>
          <w:sz w:val="28"/>
          <w:szCs w:val="28"/>
          <w:highlight w:val="none"/>
          <w:u w:val="single"/>
        </w:rPr>
        <w:t xml:space="preserve">                  </w:t>
      </w:r>
      <w:r>
        <w:rPr>
          <w:rFonts w:hint="eastAsia" w:ascii="宋体" w:hAnsi="宋体"/>
          <w:sz w:val="28"/>
          <w:szCs w:val="28"/>
          <w:highlight w:val="none"/>
        </w:rPr>
        <w:t>（小写：￥</w:t>
      </w:r>
      <w:r>
        <w:rPr>
          <w:rFonts w:hint="eastAsia" w:ascii="宋体" w:hAnsi="宋体"/>
          <w:sz w:val="28"/>
          <w:szCs w:val="28"/>
          <w:highlight w:val="none"/>
          <w:u w:val="single"/>
        </w:rPr>
        <w:t xml:space="preserve">          </w:t>
      </w:r>
      <w:r>
        <w:rPr>
          <w:rFonts w:hint="eastAsia" w:ascii="宋体" w:hAnsi="宋体"/>
          <w:sz w:val="28"/>
          <w:szCs w:val="28"/>
          <w:highlight w:val="none"/>
        </w:rPr>
        <w:t>）退回以下帐户：</w:t>
      </w:r>
    </w:p>
    <w:p>
      <w:pPr>
        <w:rPr>
          <w:rFonts w:ascii="宋体" w:hAnsi="宋体"/>
          <w:sz w:val="28"/>
          <w:szCs w:val="28"/>
          <w:highlight w:val="none"/>
          <w:u w:val="single"/>
        </w:rPr>
      </w:pPr>
      <w:r>
        <w:rPr>
          <w:rFonts w:hint="eastAsia" w:ascii="宋体" w:hAnsi="宋体"/>
          <w:sz w:val="28"/>
          <w:szCs w:val="28"/>
          <w:highlight w:val="none"/>
        </w:rPr>
        <w:t xml:space="preserve">户名： </w:t>
      </w:r>
      <w:r>
        <w:rPr>
          <w:rFonts w:hint="eastAsia" w:ascii="宋体" w:hAnsi="宋体"/>
          <w:sz w:val="28"/>
          <w:szCs w:val="28"/>
          <w:highlight w:val="none"/>
          <w:u w:val="single"/>
        </w:rPr>
        <w:t xml:space="preserve">                     （与缴款人或者单位一致）</w:t>
      </w:r>
    </w:p>
    <w:p>
      <w:pPr>
        <w:rPr>
          <w:rFonts w:ascii="宋体" w:hAnsi="宋体"/>
          <w:sz w:val="28"/>
          <w:szCs w:val="28"/>
          <w:highlight w:val="none"/>
          <w:u w:val="single"/>
        </w:rPr>
      </w:pPr>
      <w:r>
        <w:rPr>
          <w:rFonts w:hint="eastAsia" w:ascii="宋体" w:hAnsi="宋体"/>
          <w:sz w:val="28"/>
          <w:szCs w:val="28"/>
          <w:highlight w:val="none"/>
        </w:rPr>
        <w:t xml:space="preserve">账号： </w:t>
      </w:r>
      <w:r>
        <w:rPr>
          <w:rFonts w:hint="eastAsia" w:ascii="宋体" w:hAnsi="宋体"/>
          <w:sz w:val="28"/>
          <w:szCs w:val="28"/>
          <w:highlight w:val="none"/>
          <w:u w:val="single"/>
        </w:rPr>
        <w:t xml:space="preserve">                                             </w:t>
      </w:r>
    </w:p>
    <w:p>
      <w:pPr>
        <w:rPr>
          <w:rFonts w:ascii="宋体" w:hAnsi="宋体"/>
          <w:sz w:val="28"/>
          <w:szCs w:val="28"/>
          <w:highlight w:val="none"/>
          <w:u w:val="single"/>
        </w:rPr>
      </w:pPr>
      <w:r>
        <w:rPr>
          <w:rFonts w:hint="eastAsia" w:ascii="宋体" w:hAnsi="宋体"/>
          <w:sz w:val="28"/>
          <w:szCs w:val="28"/>
          <w:highlight w:val="none"/>
        </w:rPr>
        <w:t>开户银行：</w:t>
      </w:r>
      <w:r>
        <w:rPr>
          <w:rFonts w:hint="eastAsia" w:ascii="宋体" w:hAnsi="宋体"/>
          <w:sz w:val="28"/>
          <w:szCs w:val="28"/>
          <w:highlight w:val="none"/>
          <w:u w:val="single"/>
        </w:rPr>
        <w:t xml:space="preserve">                                          </w:t>
      </w:r>
    </w:p>
    <w:p>
      <w:pPr>
        <w:rPr>
          <w:rFonts w:ascii="宋体" w:hAnsi="宋体"/>
          <w:sz w:val="28"/>
          <w:szCs w:val="28"/>
          <w:highlight w:val="none"/>
          <w:u w:val="single"/>
        </w:rPr>
      </w:pPr>
      <w:r>
        <w:rPr>
          <w:rFonts w:hint="eastAsia" w:ascii="宋体" w:hAnsi="宋体"/>
          <w:sz w:val="28"/>
          <w:szCs w:val="28"/>
          <w:highlight w:val="none"/>
        </w:rPr>
        <w:t>联系方式：</w:t>
      </w:r>
      <w:r>
        <w:rPr>
          <w:rFonts w:hint="eastAsia" w:ascii="宋体" w:hAnsi="宋体"/>
          <w:sz w:val="28"/>
          <w:szCs w:val="28"/>
          <w:highlight w:val="none"/>
          <w:u w:val="single"/>
        </w:rPr>
        <w:t xml:space="preserve">                                          </w:t>
      </w:r>
    </w:p>
    <w:p>
      <w:pPr>
        <w:ind w:firstLine="560" w:firstLineChars="200"/>
        <w:rPr>
          <w:rFonts w:ascii="宋体" w:hAnsi="宋体"/>
          <w:sz w:val="28"/>
          <w:szCs w:val="28"/>
          <w:highlight w:val="none"/>
        </w:rPr>
      </w:pPr>
      <w:r>
        <w:rPr>
          <w:rFonts w:hint="eastAsia" w:ascii="宋体" w:hAnsi="宋体"/>
          <w:sz w:val="28"/>
          <w:szCs w:val="28"/>
          <w:highlight w:val="none"/>
        </w:rPr>
        <w:t>此委托退款账号及户名经本人（单位）核对无误，如有差异导致款项错退，本（单位）人承担其经济责任。</w:t>
      </w:r>
    </w:p>
    <w:p>
      <w:pPr>
        <w:ind w:firstLine="560" w:firstLineChars="200"/>
        <w:rPr>
          <w:rFonts w:ascii="宋体" w:hAnsi="宋体"/>
          <w:sz w:val="28"/>
          <w:szCs w:val="28"/>
          <w:highlight w:val="none"/>
        </w:rPr>
      </w:pPr>
      <w:r>
        <w:rPr>
          <w:rFonts w:hint="eastAsia" w:ascii="宋体" w:hAnsi="宋体"/>
          <w:sz w:val="28"/>
          <w:szCs w:val="28"/>
          <w:highlight w:val="none"/>
        </w:rPr>
        <w:t>特此委托</w:t>
      </w:r>
    </w:p>
    <w:p>
      <w:pPr>
        <w:rPr>
          <w:rFonts w:ascii="宋体" w:hAnsi="宋体"/>
          <w:sz w:val="28"/>
          <w:szCs w:val="28"/>
          <w:highlight w:val="none"/>
        </w:rPr>
      </w:pPr>
      <w:r>
        <w:rPr>
          <w:rFonts w:hint="eastAsia" w:ascii="宋体" w:hAnsi="宋体"/>
          <w:sz w:val="28"/>
          <w:szCs w:val="28"/>
          <w:highlight w:val="none"/>
        </w:rPr>
        <w:t xml:space="preserve">                                        </w:t>
      </w:r>
    </w:p>
    <w:p>
      <w:pPr>
        <w:ind w:right="560" w:firstLine="3500" w:firstLineChars="1250"/>
        <w:rPr>
          <w:rFonts w:ascii="宋体" w:hAnsi="宋体"/>
          <w:sz w:val="28"/>
          <w:szCs w:val="28"/>
          <w:highlight w:val="none"/>
        </w:rPr>
      </w:pPr>
      <w:r>
        <w:rPr>
          <w:rFonts w:hint="eastAsia" w:ascii="宋体" w:hAnsi="宋体"/>
          <w:sz w:val="28"/>
          <w:szCs w:val="28"/>
          <w:highlight w:val="none"/>
        </w:rPr>
        <w:t>单位（单位盖章）：</w:t>
      </w:r>
    </w:p>
    <w:p>
      <w:pPr>
        <w:ind w:right="560" w:firstLine="3640" w:firstLineChars="1300"/>
        <w:rPr>
          <w:rFonts w:ascii="宋体" w:hAnsi="宋体"/>
          <w:sz w:val="28"/>
          <w:szCs w:val="28"/>
          <w:highlight w:val="none"/>
        </w:rPr>
      </w:pPr>
      <w:r>
        <w:rPr>
          <w:rFonts w:hint="eastAsia" w:ascii="宋体" w:hAnsi="宋体"/>
          <w:sz w:val="28"/>
          <w:szCs w:val="28"/>
          <w:highlight w:val="none"/>
        </w:rPr>
        <w:t xml:space="preserve">   </w:t>
      </w:r>
    </w:p>
    <w:p>
      <w:pPr>
        <w:rPr>
          <w:rFonts w:ascii="宋体" w:hAnsi="宋体"/>
          <w:sz w:val="28"/>
          <w:szCs w:val="28"/>
          <w:highlight w:val="none"/>
        </w:rPr>
      </w:pPr>
      <w:r>
        <w:rPr>
          <w:rFonts w:hint="eastAsia" w:ascii="宋体" w:hAnsi="宋体"/>
          <w:sz w:val="28"/>
          <w:szCs w:val="28"/>
          <w:highlight w:val="none"/>
        </w:rPr>
        <w:t xml:space="preserve">                                年     月     日</w:t>
      </w:r>
    </w:p>
    <w:p>
      <w:pPr>
        <w:rPr>
          <w:rFonts w:ascii="宋体" w:hAnsi="宋体"/>
          <w:sz w:val="28"/>
          <w:szCs w:val="28"/>
          <w:highlight w:val="none"/>
        </w:rPr>
      </w:pPr>
      <w:r>
        <w:rPr>
          <w:rFonts w:hint="eastAsia" w:ascii="宋体" w:hAnsi="宋体"/>
          <w:sz w:val="28"/>
          <w:szCs w:val="28"/>
          <w:highlight w:val="none"/>
        </w:rPr>
        <w:br w:type="page"/>
      </w:r>
    </w:p>
    <w:p>
      <w:pPr>
        <w:numPr>
          <w:ilvl w:val="0"/>
          <w:numId w:val="80"/>
        </w:numPr>
        <w:spacing w:line="440" w:lineRule="exact"/>
        <w:rPr>
          <w:rFonts w:ascii="宋体" w:hAnsi="宋体"/>
          <w:sz w:val="28"/>
          <w:szCs w:val="28"/>
          <w:highlight w:val="none"/>
        </w:rPr>
      </w:pPr>
    </w:p>
    <w:p>
      <w:pPr>
        <w:pStyle w:val="2"/>
        <w:jc w:val="center"/>
        <w:rPr>
          <w:rFonts w:ascii="Arial" w:hAnsi="Arial" w:eastAsia="黑体"/>
          <w:b w:val="0"/>
          <w:szCs w:val="32"/>
          <w:highlight w:val="none"/>
        </w:rPr>
      </w:pPr>
      <w:r>
        <w:rPr>
          <w:rFonts w:hint="eastAsia" w:ascii="Arial" w:hAnsi="Arial" w:eastAsia="黑体"/>
          <w:b w:val="0"/>
          <w:szCs w:val="32"/>
          <w:highlight w:val="none"/>
        </w:rPr>
        <w:t>投标保证金递交证明文件</w:t>
      </w:r>
    </w:p>
    <w:p>
      <w:pPr>
        <w:rPr>
          <w:rFonts w:ascii="Arial" w:hAnsi="Arial" w:eastAsia="黑体"/>
          <w:bCs/>
          <w:sz w:val="32"/>
          <w:szCs w:val="32"/>
          <w:highlight w:val="none"/>
        </w:rPr>
      </w:pPr>
      <w:r>
        <w:rPr>
          <w:rFonts w:hint="eastAsia" w:ascii="Arial" w:hAnsi="Arial" w:eastAsia="黑体"/>
          <w:bCs/>
          <w:sz w:val="32"/>
          <w:szCs w:val="32"/>
          <w:highlight w:val="none"/>
        </w:rPr>
        <w:br w:type="page"/>
      </w:r>
    </w:p>
    <w:p>
      <w:pPr>
        <w:numPr>
          <w:ilvl w:val="0"/>
          <w:numId w:val="80"/>
        </w:numPr>
        <w:spacing w:line="440" w:lineRule="exact"/>
        <w:rPr>
          <w:rFonts w:ascii="Arial" w:hAnsi="Arial" w:eastAsia="黑体"/>
          <w:bCs/>
          <w:sz w:val="32"/>
          <w:szCs w:val="32"/>
          <w:highlight w:val="none"/>
        </w:rPr>
      </w:pPr>
    </w:p>
    <w:p>
      <w:pPr>
        <w:pStyle w:val="2"/>
        <w:jc w:val="center"/>
        <w:rPr>
          <w:rFonts w:ascii="宋体" w:eastAsia="宋体"/>
          <w:sz w:val="28"/>
          <w:szCs w:val="28"/>
          <w:highlight w:val="none"/>
        </w:rPr>
      </w:pPr>
      <w:r>
        <w:rPr>
          <w:rFonts w:hint="eastAsia" w:ascii="Arial" w:hAnsi="Arial" w:eastAsia="黑体"/>
          <w:b w:val="0"/>
          <w:szCs w:val="32"/>
          <w:highlight w:val="none"/>
        </w:rPr>
        <w:t>投标人认为需要提供的其他商务资料</w:t>
      </w:r>
    </w:p>
    <w:p>
      <w:pPr>
        <w:rPr>
          <w:highlight w:val="none"/>
        </w:rPr>
      </w:pPr>
    </w:p>
    <w:p>
      <w:pPr>
        <w:rPr>
          <w:rFonts w:ascii="宋体" w:hAnsi="宋体" w:cs="宋体"/>
          <w:szCs w:val="21"/>
          <w:highlight w:val="none"/>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2070" w:firstLineChars="11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Akg8QBAACQ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TkWtAeHNMWLj0k1FHqKkYDqowmpYqb8Lje8l6+JG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gpAkg8QBAACQAwAADgAAAAAAAAABACAAAAAeAQAAZHJzL2Uyb0RvYy54bWxQ&#10;SwUGAAAAAAYABgBZAQAAVAUAAAAA&#10;">
              <v:fill on="f" focussize="0,0"/>
              <v:stroke on="f"/>
              <v:imagedata o:title=""/>
              <o:lock v:ext="edit" aspectratio="f"/>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2430" w:firstLineChars="13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5yG/sQBAACQ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2JVJoV6DxUmPnlMjcOdG3BvZj+gMxEf2mDSFykRjKO+p4u+cohEpEflqiwLDAmMzRfEZ8/PfYD4&#10;XjpDklHTgAPMuvLjI8QxdU5J1ay7V1rnIWr7lwMxk4el3scekxWH3TAR2rnmhHx6nH1NLa46JfrB&#10;orRpTWYjzMZuMlIN8LeHiIVzPwl1hJqK4aAyo2mp0ib8ec9Zzz/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5yG/sQBAACQAwAADgAAAAAAAAABACAAAAAeAQAAZHJzL2Uyb0RvYy54bWxQ&#10;SwUGAAAAAAYABgBZAQAAVAUAAAAA&#10;">
              <v:fill on="f" focussize="0,0"/>
              <v:stroke on="f"/>
              <v:imagedata o:title=""/>
              <o:lock v:ext="edit" aspectratio="f"/>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ascii="宋体" w:hAnsi="宋体" w:cs="宋体"/>
        <w:sz w:val="24"/>
      </w:rPr>
      <w:drawing>
        <wp:inline distT="0" distB="0" distL="114300" distR="114300">
          <wp:extent cx="457835" cy="411480"/>
          <wp:effectExtent l="0" t="0" r="12065" b="7620"/>
          <wp:docPr id="9" name="图片 2"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cs="宋体"/>
        <w:sz w:val="24"/>
      </w:rPr>
      <w:t xml:space="preserve"> </w:t>
    </w:r>
    <w:r>
      <w:rPr>
        <w:rFonts w:hint="eastAsia" w:ascii="宋体" w:hAnsi="宋体" w:cs="宋体"/>
      </w:rPr>
      <w:t>广东中采招标有限公司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ascii="宋体" w:hAnsi="宋体" w:cs="宋体"/>
        <w:sz w:val="24"/>
      </w:rPr>
      <w:drawing>
        <wp:inline distT="0" distB="0" distL="114300" distR="114300">
          <wp:extent cx="457835" cy="411480"/>
          <wp:effectExtent l="0" t="0" r="12065" b="7620"/>
          <wp:docPr id="10" name="图片 4"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hint="eastAsia" w:ascii="宋体" w:hAnsi="宋体" w:cs="宋体"/>
      </w:rPr>
      <w:t>广东中采招标有限公司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62CE3"/>
    <w:multiLevelType w:val="singleLevel"/>
    <w:tmpl w:val="80C62CE3"/>
    <w:lvl w:ilvl="0" w:tentative="0">
      <w:start w:val="1"/>
      <w:numFmt w:val="chineseCounting"/>
      <w:suff w:val="nothing"/>
      <w:lvlText w:val="（%1）"/>
      <w:lvlJc w:val="left"/>
      <w:pPr>
        <w:ind w:left="-420" w:firstLine="420"/>
      </w:pPr>
      <w:rPr>
        <w:rFonts w:hint="eastAsia"/>
      </w:rPr>
    </w:lvl>
  </w:abstractNum>
  <w:abstractNum w:abstractNumId="1">
    <w:nsid w:val="8D3858CB"/>
    <w:multiLevelType w:val="singleLevel"/>
    <w:tmpl w:val="8D3858CB"/>
    <w:lvl w:ilvl="0" w:tentative="0">
      <w:start w:val="1"/>
      <w:numFmt w:val="chineseCounting"/>
      <w:suff w:val="nothing"/>
      <w:lvlText w:val="（%1）"/>
      <w:lvlJc w:val="left"/>
      <w:pPr>
        <w:ind w:left="0" w:firstLine="420"/>
      </w:pPr>
      <w:rPr>
        <w:rFonts w:hint="eastAsia"/>
      </w:rPr>
    </w:lvl>
  </w:abstractNum>
  <w:abstractNum w:abstractNumId="2">
    <w:nsid w:val="9061DB4A"/>
    <w:multiLevelType w:val="singleLevel"/>
    <w:tmpl w:val="9061DB4A"/>
    <w:lvl w:ilvl="0" w:tentative="0">
      <w:start w:val="1"/>
      <w:numFmt w:val="decimal"/>
      <w:lvlText w:val="%1."/>
      <w:lvlJc w:val="left"/>
      <w:pPr>
        <w:ind w:left="425" w:hanging="425"/>
      </w:pPr>
      <w:rPr>
        <w:rFonts w:hint="default"/>
      </w:rPr>
    </w:lvl>
  </w:abstractNum>
  <w:abstractNum w:abstractNumId="3">
    <w:nsid w:val="937E4322"/>
    <w:multiLevelType w:val="singleLevel"/>
    <w:tmpl w:val="937E4322"/>
    <w:lvl w:ilvl="0" w:tentative="0">
      <w:start w:val="1"/>
      <w:numFmt w:val="decimal"/>
      <w:lvlText w:val="%1."/>
      <w:lvlJc w:val="left"/>
      <w:pPr>
        <w:ind w:left="425" w:hanging="425"/>
      </w:pPr>
      <w:rPr>
        <w:rFonts w:hint="default"/>
      </w:rPr>
    </w:lvl>
  </w:abstractNum>
  <w:abstractNum w:abstractNumId="4">
    <w:nsid w:val="9395C33E"/>
    <w:multiLevelType w:val="singleLevel"/>
    <w:tmpl w:val="9395C33E"/>
    <w:lvl w:ilvl="0" w:tentative="0">
      <w:start w:val="1"/>
      <w:numFmt w:val="decimal"/>
      <w:lvlText w:val="%1."/>
      <w:lvlJc w:val="left"/>
      <w:pPr>
        <w:ind w:left="425" w:hanging="425"/>
      </w:pPr>
      <w:rPr>
        <w:rFonts w:hint="default"/>
      </w:rPr>
    </w:lvl>
  </w:abstractNum>
  <w:abstractNum w:abstractNumId="5">
    <w:nsid w:val="943D2E44"/>
    <w:multiLevelType w:val="singleLevel"/>
    <w:tmpl w:val="943D2E44"/>
    <w:lvl w:ilvl="0" w:tentative="0">
      <w:start w:val="1"/>
      <w:numFmt w:val="decimal"/>
      <w:lvlText w:val="%1."/>
      <w:lvlJc w:val="left"/>
      <w:pPr>
        <w:ind w:left="425" w:hanging="425"/>
      </w:pPr>
      <w:rPr>
        <w:rFonts w:hint="default"/>
      </w:rPr>
    </w:lvl>
  </w:abstractNum>
  <w:abstractNum w:abstractNumId="6">
    <w:nsid w:val="9C08EF55"/>
    <w:multiLevelType w:val="singleLevel"/>
    <w:tmpl w:val="9C08EF55"/>
    <w:lvl w:ilvl="0" w:tentative="0">
      <w:start w:val="1"/>
      <w:numFmt w:val="chineseCounting"/>
      <w:suff w:val="nothing"/>
      <w:lvlText w:val="（%1）"/>
      <w:lvlJc w:val="left"/>
      <w:pPr>
        <w:ind w:left="-420" w:firstLine="420"/>
      </w:pPr>
      <w:rPr>
        <w:rFonts w:hint="eastAsia"/>
      </w:rPr>
    </w:lvl>
  </w:abstractNum>
  <w:abstractNum w:abstractNumId="7">
    <w:nsid w:val="A48F7A34"/>
    <w:multiLevelType w:val="singleLevel"/>
    <w:tmpl w:val="A48F7A34"/>
    <w:lvl w:ilvl="0" w:tentative="0">
      <w:start w:val="1"/>
      <w:numFmt w:val="chineseCounting"/>
      <w:suff w:val="nothing"/>
      <w:lvlText w:val="（%1）"/>
      <w:lvlJc w:val="left"/>
      <w:pPr>
        <w:ind w:left="0" w:firstLine="420"/>
      </w:pPr>
      <w:rPr>
        <w:rFonts w:hint="eastAsia"/>
      </w:rPr>
    </w:lvl>
  </w:abstractNum>
  <w:abstractNum w:abstractNumId="8">
    <w:nsid w:val="A5A3059A"/>
    <w:multiLevelType w:val="singleLevel"/>
    <w:tmpl w:val="A5A3059A"/>
    <w:lvl w:ilvl="0" w:tentative="0">
      <w:start w:val="1"/>
      <w:numFmt w:val="decimal"/>
      <w:lvlText w:val="%1."/>
      <w:lvlJc w:val="left"/>
      <w:pPr>
        <w:ind w:left="425" w:hanging="425"/>
      </w:pPr>
      <w:rPr>
        <w:rFonts w:hint="default"/>
      </w:rPr>
    </w:lvl>
  </w:abstractNum>
  <w:abstractNum w:abstractNumId="9">
    <w:nsid w:val="A5AEB2D3"/>
    <w:multiLevelType w:val="singleLevel"/>
    <w:tmpl w:val="A5AEB2D3"/>
    <w:lvl w:ilvl="0" w:tentative="0">
      <w:start w:val="1"/>
      <w:numFmt w:val="chineseCounting"/>
      <w:suff w:val="nothing"/>
      <w:lvlText w:val="（%1）"/>
      <w:lvlJc w:val="left"/>
      <w:pPr>
        <w:ind w:left="0" w:firstLine="420"/>
      </w:pPr>
      <w:rPr>
        <w:rFonts w:hint="eastAsia"/>
      </w:rPr>
    </w:lvl>
  </w:abstractNum>
  <w:abstractNum w:abstractNumId="10">
    <w:nsid w:val="A891B793"/>
    <w:multiLevelType w:val="singleLevel"/>
    <w:tmpl w:val="A891B793"/>
    <w:lvl w:ilvl="0" w:tentative="0">
      <w:start w:val="1"/>
      <w:numFmt w:val="chineseCounting"/>
      <w:suff w:val="nothing"/>
      <w:lvlText w:val="（%1）"/>
      <w:lvlJc w:val="left"/>
      <w:pPr>
        <w:ind w:left="0" w:firstLine="420"/>
      </w:pPr>
      <w:rPr>
        <w:rFonts w:hint="eastAsia"/>
      </w:rPr>
    </w:lvl>
  </w:abstractNum>
  <w:abstractNum w:abstractNumId="11">
    <w:nsid w:val="AA2DC3A0"/>
    <w:multiLevelType w:val="singleLevel"/>
    <w:tmpl w:val="AA2DC3A0"/>
    <w:lvl w:ilvl="0" w:tentative="0">
      <w:start w:val="1"/>
      <w:numFmt w:val="decimal"/>
      <w:lvlText w:val="%1."/>
      <w:lvlJc w:val="left"/>
      <w:pPr>
        <w:ind w:left="425" w:hanging="425"/>
      </w:pPr>
      <w:rPr>
        <w:rFonts w:hint="default"/>
      </w:rPr>
    </w:lvl>
  </w:abstractNum>
  <w:abstractNum w:abstractNumId="12">
    <w:nsid w:val="AB59D681"/>
    <w:multiLevelType w:val="singleLevel"/>
    <w:tmpl w:val="AB59D681"/>
    <w:lvl w:ilvl="0" w:tentative="0">
      <w:start w:val="1"/>
      <w:numFmt w:val="chineseCounting"/>
      <w:suff w:val="nothing"/>
      <w:lvlText w:val="（%1）"/>
      <w:lvlJc w:val="left"/>
      <w:pPr>
        <w:ind w:left="-420" w:firstLine="420"/>
      </w:pPr>
      <w:rPr>
        <w:rFonts w:hint="eastAsia"/>
      </w:rPr>
    </w:lvl>
  </w:abstractNum>
  <w:abstractNum w:abstractNumId="13">
    <w:nsid w:val="AB801DA0"/>
    <w:multiLevelType w:val="singleLevel"/>
    <w:tmpl w:val="AB801DA0"/>
    <w:lvl w:ilvl="0" w:tentative="0">
      <w:start w:val="1"/>
      <w:numFmt w:val="decimal"/>
      <w:lvlText w:val="(%1)"/>
      <w:lvlJc w:val="left"/>
      <w:pPr>
        <w:ind w:left="425" w:hanging="425"/>
      </w:pPr>
      <w:rPr>
        <w:rFonts w:hint="default"/>
      </w:rPr>
    </w:lvl>
  </w:abstractNum>
  <w:abstractNum w:abstractNumId="14">
    <w:nsid w:val="ACB76DDD"/>
    <w:multiLevelType w:val="singleLevel"/>
    <w:tmpl w:val="ACB76DDD"/>
    <w:lvl w:ilvl="0" w:tentative="0">
      <w:start w:val="1"/>
      <w:numFmt w:val="decimal"/>
      <w:lvlText w:val="%1."/>
      <w:lvlJc w:val="left"/>
      <w:pPr>
        <w:ind w:left="425" w:hanging="425"/>
      </w:pPr>
      <w:rPr>
        <w:rFonts w:hint="default"/>
      </w:rPr>
    </w:lvl>
  </w:abstractNum>
  <w:abstractNum w:abstractNumId="15">
    <w:nsid w:val="AD808319"/>
    <w:multiLevelType w:val="singleLevel"/>
    <w:tmpl w:val="AD808319"/>
    <w:lvl w:ilvl="0" w:tentative="0">
      <w:start w:val="1"/>
      <w:numFmt w:val="chineseCounting"/>
      <w:suff w:val="nothing"/>
      <w:lvlText w:val="（%1）"/>
      <w:lvlJc w:val="left"/>
      <w:pPr>
        <w:ind w:left="0" w:firstLine="420"/>
      </w:pPr>
      <w:rPr>
        <w:rFonts w:hint="eastAsia"/>
      </w:rPr>
    </w:lvl>
  </w:abstractNum>
  <w:abstractNum w:abstractNumId="16">
    <w:nsid w:val="B0AB1B8D"/>
    <w:multiLevelType w:val="singleLevel"/>
    <w:tmpl w:val="B0AB1B8D"/>
    <w:lvl w:ilvl="0" w:tentative="0">
      <w:start w:val="1"/>
      <w:numFmt w:val="chineseCounting"/>
      <w:suff w:val="nothing"/>
      <w:lvlText w:val="（%1）"/>
      <w:lvlJc w:val="left"/>
      <w:pPr>
        <w:ind w:left="197" w:firstLine="420"/>
      </w:pPr>
      <w:rPr>
        <w:rFonts w:hint="eastAsia"/>
      </w:rPr>
    </w:lvl>
  </w:abstractNum>
  <w:abstractNum w:abstractNumId="17">
    <w:nsid w:val="B0D749D0"/>
    <w:multiLevelType w:val="singleLevel"/>
    <w:tmpl w:val="B0D749D0"/>
    <w:lvl w:ilvl="0" w:tentative="0">
      <w:start w:val="1"/>
      <w:numFmt w:val="decimal"/>
      <w:lvlText w:val="%1."/>
      <w:lvlJc w:val="left"/>
      <w:pPr>
        <w:ind w:left="425" w:hanging="425"/>
      </w:pPr>
      <w:rPr>
        <w:rFonts w:hint="default"/>
      </w:rPr>
    </w:lvl>
  </w:abstractNum>
  <w:abstractNum w:abstractNumId="18">
    <w:nsid w:val="B3752756"/>
    <w:multiLevelType w:val="singleLevel"/>
    <w:tmpl w:val="B3752756"/>
    <w:lvl w:ilvl="0" w:tentative="0">
      <w:start w:val="1"/>
      <w:numFmt w:val="decimal"/>
      <w:lvlText w:val="%1."/>
      <w:lvlJc w:val="left"/>
      <w:pPr>
        <w:ind w:left="425" w:hanging="425"/>
      </w:pPr>
      <w:rPr>
        <w:rFonts w:hint="default"/>
      </w:rPr>
    </w:lvl>
  </w:abstractNum>
  <w:abstractNum w:abstractNumId="19">
    <w:nsid w:val="B9DA62D8"/>
    <w:multiLevelType w:val="singleLevel"/>
    <w:tmpl w:val="B9DA62D8"/>
    <w:lvl w:ilvl="0" w:tentative="0">
      <w:start w:val="1"/>
      <w:numFmt w:val="decimal"/>
      <w:lvlText w:val="%1."/>
      <w:lvlJc w:val="left"/>
      <w:pPr>
        <w:ind w:left="425" w:hanging="425"/>
      </w:pPr>
      <w:rPr>
        <w:rFonts w:hint="default"/>
      </w:rPr>
    </w:lvl>
  </w:abstractNum>
  <w:abstractNum w:abstractNumId="20">
    <w:nsid w:val="BF74DCE3"/>
    <w:multiLevelType w:val="singleLevel"/>
    <w:tmpl w:val="BF74DCE3"/>
    <w:lvl w:ilvl="0" w:tentative="0">
      <w:start w:val="1"/>
      <w:numFmt w:val="decimal"/>
      <w:lvlText w:val="%1."/>
      <w:lvlJc w:val="left"/>
      <w:pPr>
        <w:ind w:left="425" w:hanging="425"/>
      </w:pPr>
      <w:rPr>
        <w:rFonts w:hint="default"/>
      </w:rPr>
    </w:lvl>
  </w:abstractNum>
  <w:abstractNum w:abstractNumId="21">
    <w:nsid w:val="BFAF476B"/>
    <w:multiLevelType w:val="singleLevel"/>
    <w:tmpl w:val="BFAF476B"/>
    <w:lvl w:ilvl="0" w:tentative="0">
      <w:start w:val="1"/>
      <w:numFmt w:val="chineseCounting"/>
      <w:suff w:val="nothing"/>
      <w:lvlText w:val="%1、"/>
      <w:lvlJc w:val="left"/>
      <w:pPr>
        <w:ind w:left="0" w:firstLine="420"/>
      </w:pPr>
      <w:rPr>
        <w:rFonts w:hint="eastAsia"/>
      </w:rPr>
    </w:lvl>
  </w:abstractNum>
  <w:abstractNum w:abstractNumId="22">
    <w:nsid w:val="BFB8C414"/>
    <w:multiLevelType w:val="singleLevel"/>
    <w:tmpl w:val="BFB8C414"/>
    <w:lvl w:ilvl="0" w:tentative="0">
      <w:start w:val="1"/>
      <w:numFmt w:val="chineseCounting"/>
      <w:suff w:val="nothing"/>
      <w:lvlText w:val="（%1）"/>
      <w:lvlJc w:val="left"/>
      <w:pPr>
        <w:ind w:left="0" w:firstLine="420"/>
      </w:pPr>
      <w:rPr>
        <w:rFonts w:hint="eastAsia"/>
      </w:rPr>
    </w:lvl>
  </w:abstractNum>
  <w:abstractNum w:abstractNumId="23">
    <w:nsid w:val="C1A7B9BE"/>
    <w:multiLevelType w:val="singleLevel"/>
    <w:tmpl w:val="C1A7B9BE"/>
    <w:lvl w:ilvl="0" w:tentative="0">
      <w:start w:val="1"/>
      <w:numFmt w:val="chineseCounting"/>
      <w:suff w:val="nothing"/>
      <w:lvlText w:val="%1、"/>
      <w:lvlJc w:val="left"/>
      <w:pPr>
        <w:ind w:left="0" w:firstLine="420"/>
      </w:pPr>
      <w:rPr>
        <w:rFonts w:hint="eastAsia"/>
      </w:rPr>
    </w:lvl>
  </w:abstractNum>
  <w:abstractNum w:abstractNumId="24">
    <w:nsid w:val="C37BEE4C"/>
    <w:multiLevelType w:val="singleLevel"/>
    <w:tmpl w:val="C37BEE4C"/>
    <w:lvl w:ilvl="0" w:tentative="0">
      <w:start w:val="1"/>
      <w:numFmt w:val="decimal"/>
      <w:lvlText w:val="%1."/>
      <w:lvlJc w:val="left"/>
      <w:pPr>
        <w:ind w:left="425" w:hanging="425"/>
      </w:pPr>
      <w:rPr>
        <w:rFonts w:hint="default"/>
      </w:rPr>
    </w:lvl>
  </w:abstractNum>
  <w:abstractNum w:abstractNumId="25">
    <w:nsid w:val="CE21935E"/>
    <w:multiLevelType w:val="singleLevel"/>
    <w:tmpl w:val="CE21935E"/>
    <w:lvl w:ilvl="0" w:tentative="0">
      <w:start w:val="1"/>
      <w:numFmt w:val="decimal"/>
      <w:lvlText w:val="(%1)"/>
      <w:lvlJc w:val="left"/>
      <w:pPr>
        <w:ind w:left="425" w:hanging="425"/>
      </w:pPr>
      <w:rPr>
        <w:rFonts w:hint="default"/>
      </w:rPr>
    </w:lvl>
  </w:abstractNum>
  <w:abstractNum w:abstractNumId="26">
    <w:nsid w:val="D09D8433"/>
    <w:multiLevelType w:val="singleLevel"/>
    <w:tmpl w:val="D09D8433"/>
    <w:lvl w:ilvl="0" w:tentative="0">
      <w:start w:val="1"/>
      <w:numFmt w:val="chineseCounting"/>
      <w:suff w:val="nothing"/>
      <w:lvlText w:val="%1、"/>
      <w:lvlJc w:val="left"/>
      <w:pPr>
        <w:ind w:left="0" w:firstLine="420"/>
      </w:pPr>
      <w:rPr>
        <w:rFonts w:hint="eastAsia"/>
      </w:rPr>
    </w:lvl>
  </w:abstractNum>
  <w:abstractNum w:abstractNumId="27">
    <w:nsid w:val="D1039715"/>
    <w:multiLevelType w:val="singleLevel"/>
    <w:tmpl w:val="D1039715"/>
    <w:lvl w:ilvl="0" w:tentative="0">
      <w:start w:val="1"/>
      <w:numFmt w:val="chineseCounting"/>
      <w:suff w:val="nothing"/>
      <w:lvlText w:val="（%1）"/>
      <w:lvlJc w:val="left"/>
      <w:pPr>
        <w:ind w:left="0" w:firstLine="420"/>
      </w:pPr>
      <w:rPr>
        <w:rFonts w:hint="eastAsia"/>
      </w:rPr>
    </w:lvl>
  </w:abstractNum>
  <w:abstractNum w:abstractNumId="28">
    <w:nsid w:val="D8615FD8"/>
    <w:multiLevelType w:val="singleLevel"/>
    <w:tmpl w:val="D8615FD8"/>
    <w:lvl w:ilvl="0" w:tentative="0">
      <w:start w:val="1"/>
      <w:numFmt w:val="decimal"/>
      <w:lvlText w:val="%1."/>
      <w:lvlJc w:val="left"/>
      <w:pPr>
        <w:ind w:left="425" w:hanging="425"/>
      </w:pPr>
      <w:rPr>
        <w:rFonts w:hint="default"/>
      </w:rPr>
    </w:lvl>
  </w:abstractNum>
  <w:abstractNum w:abstractNumId="29">
    <w:nsid w:val="D87B7D55"/>
    <w:multiLevelType w:val="singleLevel"/>
    <w:tmpl w:val="D87B7D55"/>
    <w:lvl w:ilvl="0" w:tentative="0">
      <w:start w:val="1"/>
      <w:numFmt w:val="chineseCounting"/>
      <w:suff w:val="nothing"/>
      <w:lvlText w:val="（%1）"/>
      <w:lvlJc w:val="left"/>
      <w:pPr>
        <w:ind w:left="-420" w:firstLine="420"/>
      </w:pPr>
      <w:rPr>
        <w:rFonts w:hint="eastAsia"/>
      </w:rPr>
    </w:lvl>
  </w:abstractNum>
  <w:abstractNum w:abstractNumId="30">
    <w:nsid w:val="DF79404E"/>
    <w:multiLevelType w:val="singleLevel"/>
    <w:tmpl w:val="DF79404E"/>
    <w:lvl w:ilvl="0" w:tentative="0">
      <w:start w:val="1"/>
      <w:numFmt w:val="decimal"/>
      <w:lvlText w:val="%1."/>
      <w:lvlJc w:val="left"/>
      <w:pPr>
        <w:ind w:left="425" w:hanging="425"/>
      </w:pPr>
      <w:rPr>
        <w:rFonts w:hint="default"/>
      </w:rPr>
    </w:lvl>
  </w:abstractNum>
  <w:abstractNum w:abstractNumId="31">
    <w:nsid w:val="E38E949B"/>
    <w:multiLevelType w:val="singleLevel"/>
    <w:tmpl w:val="E38E949B"/>
    <w:lvl w:ilvl="0" w:tentative="0">
      <w:start w:val="1"/>
      <w:numFmt w:val="chineseCounting"/>
      <w:suff w:val="nothing"/>
      <w:lvlText w:val="（%1）"/>
      <w:lvlJc w:val="left"/>
      <w:pPr>
        <w:ind w:left="0" w:firstLine="420"/>
      </w:pPr>
      <w:rPr>
        <w:rFonts w:hint="eastAsia"/>
      </w:rPr>
    </w:lvl>
  </w:abstractNum>
  <w:abstractNum w:abstractNumId="32">
    <w:nsid w:val="E4D7E4C9"/>
    <w:multiLevelType w:val="singleLevel"/>
    <w:tmpl w:val="E4D7E4C9"/>
    <w:lvl w:ilvl="0" w:tentative="0">
      <w:start w:val="1"/>
      <w:numFmt w:val="decimal"/>
      <w:lvlText w:val="%1."/>
      <w:lvlJc w:val="left"/>
      <w:pPr>
        <w:ind w:left="425" w:hanging="425"/>
      </w:pPr>
      <w:rPr>
        <w:rFonts w:hint="default"/>
      </w:rPr>
    </w:lvl>
  </w:abstractNum>
  <w:abstractNum w:abstractNumId="33">
    <w:nsid w:val="E625F336"/>
    <w:multiLevelType w:val="singleLevel"/>
    <w:tmpl w:val="E625F336"/>
    <w:lvl w:ilvl="0" w:tentative="0">
      <w:start w:val="1"/>
      <w:numFmt w:val="decimal"/>
      <w:lvlText w:val="%1."/>
      <w:lvlJc w:val="left"/>
      <w:pPr>
        <w:ind w:left="425" w:hanging="425"/>
      </w:pPr>
      <w:rPr>
        <w:rFonts w:hint="default"/>
      </w:rPr>
    </w:lvl>
  </w:abstractNum>
  <w:abstractNum w:abstractNumId="34">
    <w:nsid w:val="EC968F45"/>
    <w:multiLevelType w:val="singleLevel"/>
    <w:tmpl w:val="EC968F45"/>
    <w:lvl w:ilvl="0" w:tentative="0">
      <w:start w:val="1"/>
      <w:numFmt w:val="chineseCounting"/>
      <w:suff w:val="nothing"/>
      <w:lvlText w:val="（%1）"/>
      <w:lvlJc w:val="left"/>
      <w:pPr>
        <w:ind w:left="0" w:firstLine="420"/>
      </w:pPr>
      <w:rPr>
        <w:rFonts w:hint="eastAsia"/>
      </w:rPr>
    </w:lvl>
  </w:abstractNum>
  <w:abstractNum w:abstractNumId="35">
    <w:nsid w:val="EEDEB5D8"/>
    <w:multiLevelType w:val="singleLevel"/>
    <w:tmpl w:val="EEDEB5D8"/>
    <w:lvl w:ilvl="0" w:tentative="0">
      <w:start w:val="1"/>
      <w:numFmt w:val="chineseCounting"/>
      <w:suff w:val="nothing"/>
      <w:lvlText w:val="（%1）"/>
      <w:lvlJc w:val="left"/>
      <w:pPr>
        <w:ind w:left="0" w:firstLine="420"/>
      </w:pPr>
      <w:rPr>
        <w:rFonts w:hint="eastAsia"/>
      </w:rPr>
    </w:lvl>
  </w:abstractNum>
  <w:abstractNum w:abstractNumId="36">
    <w:nsid w:val="F710B8D3"/>
    <w:multiLevelType w:val="singleLevel"/>
    <w:tmpl w:val="F710B8D3"/>
    <w:lvl w:ilvl="0" w:tentative="0">
      <w:start w:val="1"/>
      <w:numFmt w:val="decimal"/>
      <w:lvlText w:val="%1."/>
      <w:lvlJc w:val="left"/>
      <w:pPr>
        <w:ind w:left="425" w:hanging="425"/>
      </w:pPr>
      <w:rPr>
        <w:rFonts w:hint="default"/>
      </w:rPr>
    </w:lvl>
  </w:abstractNum>
  <w:abstractNum w:abstractNumId="37">
    <w:nsid w:val="F795C01A"/>
    <w:multiLevelType w:val="singleLevel"/>
    <w:tmpl w:val="F795C01A"/>
    <w:lvl w:ilvl="0" w:tentative="0">
      <w:start w:val="1"/>
      <w:numFmt w:val="chineseCounting"/>
      <w:suff w:val="nothing"/>
      <w:lvlText w:val="（%1）"/>
      <w:lvlJc w:val="left"/>
      <w:pPr>
        <w:ind w:left="0" w:firstLine="420"/>
      </w:pPr>
      <w:rPr>
        <w:rFonts w:hint="eastAsia"/>
      </w:rPr>
    </w:lvl>
  </w:abstractNum>
  <w:abstractNum w:abstractNumId="38">
    <w:nsid w:val="FB2DABA8"/>
    <w:multiLevelType w:val="singleLevel"/>
    <w:tmpl w:val="FB2DABA8"/>
    <w:lvl w:ilvl="0" w:tentative="0">
      <w:start w:val="1"/>
      <w:numFmt w:val="decimal"/>
      <w:lvlText w:val="%1."/>
      <w:lvlJc w:val="left"/>
      <w:pPr>
        <w:ind w:left="425" w:hanging="425"/>
      </w:pPr>
      <w:rPr>
        <w:rFonts w:hint="default"/>
      </w:rPr>
    </w:lvl>
  </w:abstractNum>
  <w:abstractNum w:abstractNumId="39">
    <w:nsid w:val="FE5E011F"/>
    <w:multiLevelType w:val="multilevel"/>
    <w:tmpl w:val="FE5E011F"/>
    <w:lvl w:ilvl="0" w:tentative="0">
      <w:start w:val="1"/>
      <w:numFmt w:val="decimal"/>
      <w:lvlText w:val="%1"/>
      <w:lvlJc w:val="center"/>
      <w:pPr>
        <w:tabs>
          <w:tab w:val="left" w:pos="142"/>
        </w:tabs>
        <w:ind w:left="-38"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2.%3"/>
      <w:lvlJc w:val="left"/>
      <w:pPr>
        <w:tabs>
          <w:tab w:val="left" w:pos="851"/>
        </w:tabs>
        <w:ind w:left="851" w:hanging="851"/>
      </w:pPr>
      <w:rPr>
        <w:rFonts w:hint="default" w:ascii="宋体" w:hAnsi="宋体" w:eastAsia="宋体" w:cs="Times New Roman"/>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029D8CF8"/>
    <w:multiLevelType w:val="singleLevel"/>
    <w:tmpl w:val="029D8CF8"/>
    <w:lvl w:ilvl="0" w:tentative="0">
      <w:start w:val="1"/>
      <w:numFmt w:val="chineseCounting"/>
      <w:suff w:val="nothing"/>
      <w:lvlText w:val="（%1）"/>
      <w:lvlJc w:val="left"/>
      <w:pPr>
        <w:ind w:left="-420" w:firstLine="420"/>
      </w:pPr>
      <w:rPr>
        <w:rFonts w:hint="eastAsia"/>
      </w:rPr>
    </w:lvl>
  </w:abstractNum>
  <w:abstractNum w:abstractNumId="42">
    <w:nsid w:val="08F70496"/>
    <w:multiLevelType w:val="singleLevel"/>
    <w:tmpl w:val="08F70496"/>
    <w:lvl w:ilvl="0" w:tentative="0">
      <w:start w:val="1"/>
      <w:numFmt w:val="decimal"/>
      <w:lvlText w:val="%1."/>
      <w:lvlJc w:val="left"/>
      <w:pPr>
        <w:ind w:left="425" w:hanging="425"/>
      </w:pPr>
      <w:rPr>
        <w:rFonts w:hint="default"/>
      </w:rPr>
    </w:lvl>
  </w:abstractNum>
  <w:abstractNum w:abstractNumId="43">
    <w:nsid w:val="0D48F84E"/>
    <w:multiLevelType w:val="singleLevel"/>
    <w:tmpl w:val="0D48F84E"/>
    <w:lvl w:ilvl="0" w:tentative="0">
      <w:start w:val="1"/>
      <w:numFmt w:val="decimal"/>
      <w:lvlText w:val="%1."/>
      <w:lvlJc w:val="left"/>
      <w:pPr>
        <w:ind w:left="425" w:hanging="425"/>
      </w:pPr>
      <w:rPr>
        <w:rFonts w:hint="default"/>
      </w:rPr>
    </w:lvl>
  </w:abstractNum>
  <w:abstractNum w:abstractNumId="44">
    <w:nsid w:val="0D4B1B9F"/>
    <w:multiLevelType w:val="multilevel"/>
    <w:tmpl w:val="0D4B1B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D6638A3"/>
    <w:multiLevelType w:val="singleLevel"/>
    <w:tmpl w:val="0D6638A3"/>
    <w:lvl w:ilvl="0" w:tentative="0">
      <w:start w:val="1"/>
      <w:numFmt w:val="bullet"/>
      <w:pStyle w:val="46"/>
      <w:lvlText w:val=""/>
      <w:lvlJc w:val="left"/>
      <w:pPr>
        <w:tabs>
          <w:tab w:val="left" w:pos="425"/>
        </w:tabs>
        <w:ind w:left="425" w:hanging="425"/>
      </w:pPr>
      <w:rPr>
        <w:rFonts w:hint="default" w:ascii="Symbol" w:hAnsi="Symbol"/>
      </w:rPr>
    </w:lvl>
  </w:abstractNum>
  <w:abstractNum w:abstractNumId="46">
    <w:nsid w:val="0E2FDA73"/>
    <w:multiLevelType w:val="multilevel"/>
    <w:tmpl w:val="0E2FDA7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0EE21A4A"/>
    <w:multiLevelType w:val="multilevel"/>
    <w:tmpl w:val="0EE21A4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1077DFAA"/>
    <w:multiLevelType w:val="singleLevel"/>
    <w:tmpl w:val="1077DFAA"/>
    <w:lvl w:ilvl="0" w:tentative="0">
      <w:start w:val="1"/>
      <w:numFmt w:val="chineseCounting"/>
      <w:suff w:val="nothing"/>
      <w:lvlText w:val="（%1）"/>
      <w:lvlJc w:val="left"/>
      <w:pPr>
        <w:ind w:left="0" w:firstLine="420"/>
      </w:pPr>
      <w:rPr>
        <w:rFonts w:hint="eastAsia"/>
      </w:rPr>
    </w:lvl>
  </w:abstractNum>
  <w:abstractNum w:abstractNumId="49">
    <w:nsid w:val="1161729F"/>
    <w:multiLevelType w:val="singleLevel"/>
    <w:tmpl w:val="1161729F"/>
    <w:lvl w:ilvl="0" w:tentative="0">
      <w:start w:val="1"/>
      <w:numFmt w:val="chineseCounting"/>
      <w:suff w:val="nothing"/>
      <w:lvlText w:val="（%1）"/>
      <w:lvlJc w:val="left"/>
      <w:pPr>
        <w:ind w:left="0" w:firstLine="420"/>
      </w:pPr>
      <w:rPr>
        <w:rFonts w:hint="eastAsia"/>
      </w:rPr>
    </w:lvl>
  </w:abstractNum>
  <w:abstractNum w:abstractNumId="50">
    <w:nsid w:val="1213CB6E"/>
    <w:multiLevelType w:val="singleLevel"/>
    <w:tmpl w:val="1213CB6E"/>
    <w:lvl w:ilvl="0" w:tentative="0">
      <w:start w:val="1"/>
      <w:numFmt w:val="decimal"/>
      <w:lvlText w:val="%1"/>
      <w:lvlJc w:val="left"/>
      <w:pPr>
        <w:tabs>
          <w:tab w:val="left" w:pos="420"/>
        </w:tabs>
        <w:ind w:left="425" w:hanging="425"/>
      </w:pPr>
      <w:rPr>
        <w:rFonts w:hint="default"/>
      </w:rPr>
    </w:lvl>
  </w:abstractNum>
  <w:abstractNum w:abstractNumId="51">
    <w:nsid w:val="13C34E09"/>
    <w:multiLevelType w:val="multilevel"/>
    <w:tmpl w:val="13C34E09"/>
    <w:lvl w:ilvl="0" w:tentative="0">
      <w:start w:val="1"/>
      <w:numFmt w:val="decimal"/>
      <w:lvlText w:val="%1"/>
      <w:lvlJc w:val="center"/>
      <w:pPr>
        <w:tabs>
          <w:tab w:val="left" w:pos="142"/>
        </w:tabs>
        <w:ind w:left="-38"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1502D5C3"/>
    <w:multiLevelType w:val="singleLevel"/>
    <w:tmpl w:val="1502D5C3"/>
    <w:lvl w:ilvl="0" w:tentative="0">
      <w:start w:val="1"/>
      <w:numFmt w:val="chineseCounting"/>
      <w:suff w:val="nothing"/>
      <w:lvlText w:val="（%1）"/>
      <w:lvlJc w:val="left"/>
      <w:pPr>
        <w:ind w:left="-420" w:firstLine="420"/>
      </w:pPr>
      <w:rPr>
        <w:rFonts w:hint="eastAsia"/>
      </w:rPr>
    </w:lvl>
  </w:abstractNum>
  <w:abstractNum w:abstractNumId="53">
    <w:nsid w:val="15EFC4A8"/>
    <w:multiLevelType w:val="singleLevel"/>
    <w:tmpl w:val="15EFC4A8"/>
    <w:lvl w:ilvl="0" w:tentative="0">
      <w:start w:val="1"/>
      <w:numFmt w:val="chineseCounting"/>
      <w:suff w:val="nothing"/>
      <w:lvlText w:val="（%1）"/>
      <w:lvlJc w:val="left"/>
      <w:pPr>
        <w:ind w:left="0" w:firstLine="420"/>
      </w:pPr>
      <w:rPr>
        <w:rFonts w:hint="eastAsia"/>
      </w:rPr>
    </w:lvl>
  </w:abstractNum>
  <w:abstractNum w:abstractNumId="54">
    <w:nsid w:val="18A58246"/>
    <w:multiLevelType w:val="singleLevel"/>
    <w:tmpl w:val="18A58246"/>
    <w:lvl w:ilvl="0" w:tentative="0">
      <w:start w:val="1"/>
      <w:numFmt w:val="decimal"/>
      <w:lvlText w:val="%1."/>
      <w:lvlJc w:val="left"/>
      <w:pPr>
        <w:ind w:left="425" w:hanging="425"/>
      </w:pPr>
      <w:rPr>
        <w:rFonts w:hint="default"/>
        <w:color w:val="auto"/>
      </w:rPr>
    </w:lvl>
  </w:abstractNum>
  <w:abstractNum w:abstractNumId="55">
    <w:nsid w:val="194A7771"/>
    <w:multiLevelType w:val="singleLevel"/>
    <w:tmpl w:val="194A7771"/>
    <w:lvl w:ilvl="0" w:tentative="0">
      <w:start w:val="1"/>
      <w:numFmt w:val="chineseCounting"/>
      <w:suff w:val="nothing"/>
      <w:lvlText w:val="（%1）"/>
      <w:lvlJc w:val="left"/>
      <w:pPr>
        <w:ind w:left="197" w:firstLine="420"/>
      </w:pPr>
      <w:rPr>
        <w:rFonts w:hint="eastAsia"/>
      </w:rPr>
    </w:lvl>
  </w:abstractNum>
  <w:abstractNum w:abstractNumId="56">
    <w:nsid w:val="1CDF3E21"/>
    <w:multiLevelType w:val="multilevel"/>
    <w:tmpl w:val="1CDF3E21"/>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1E409474"/>
    <w:multiLevelType w:val="singleLevel"/>
    <w:tmpl w:val="1E409474"/>
    <w:lvl w:ilvl="0" w:tentative="0">
      <w:start w:val="1"/>
      <w:numFmt w:val="decimal"/>
      <w:lvlText w:val="%1."/>
      <w:lvlJc w:val="left"/>
      <w:pPr>
        <w:ind w:left="425" w:hanging="425"/>
      </w:pPr>
      <w:rPr>
        <w:rFonts w:hint="default"/>
      </w:rPr>
    </w:lvl>
  </w:abstractNum>
  <w:abstractNum w:abstractNumId="58">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24A61ACD"/>
    <w:multiLevelType w:val="multilevel"/>
    <w:tmpl w:val="24A61AC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28BD1ECA"/>
    <w:multiLevelType w:val="singleLevel"/>
    <w:tmpl w:val="28BD1ECA"/>
    <w:lvl w:ilvl="0" w:tentative="0">
      <w:start w:val="1"/>
      <w:numFmt w:val="chineseCounting"/>
      <w:suff w:val="nothing"/>
      <w:lvlText w:val="（%1）"/>
      <w:lvlJc w:val="left"/>
      <w:pPr>
        <w:ind w:left="-420" w:firstLine="420"/>
      </w:pPr>
      <w:rPr>
        <w:rFonts w:hint="eastAsia"/>
      </w:rPr>
    </w:lvl>
  </w:abstractNum>
  <w:abstractNum w:abstractNumId="61">
    <w:nsid w:val="2C33BC3A"/>
    <w:multiLevelType w:val="singleLevel"/>
    <w:tmpl w:val="2C33BC3A"/>
    <w:lvl w:ilvl="0" w:tentative="0">
      <w:start w:val="1"/>
      <w:numFmt w:val="decimal"/>
      <w:lvlText w:val="%1."/>
      <w:lvlJc w:val="left"/>
      <w:pPr>
        <w:ind w:left="425" w:hanging="425"/>
      </w:pPr>
      <w:rPr>
        <w:rFonts w:hint="default"/>
      </w:rPr>
    </w:lvl>
  </w:abstractNum>
  <w:abstractNum w:abstractNumId="62">
    <w:nsid w:val="2F59E146"/>
    <w:multiLevelType w:val="singleLevel"/>
    <w:tmpl w:val="2F59E146"/>
    <w:lvl w:ilvl="0" w:tentative="0">
      <w:start w:val="1"/>
      <w:numFmt w:val="chineseCounting"/>
      <w:suff w:val="nothing"/>
      <w:lvlText w:val="（%1）"/>
      <w:lvlJc w:val="left"/>
      <w:pPr>
        <w:ind w:left="0" w:firstLine="420"/>
      </w:pPr>
      <w:rPr>
        <w:rFonts w:hint="eastAsia"/>
      </w:rPr>
    </w:lvl>
  </w:abstractNum>
  <w:abstractNum w:abstractNumId="63">
    <w:nsid w:val="325C3D3A"/>
    <w:multiLevelType w:val="singleLevel"/>
    <w:tmpl w:val="325C3D3A"/>
    <w:lvl w:ilvl="0" w:tentative="0">
      <w:start w:val="1"/>
      <w:numFmt w:val="chineseCounting"/>
      <w:suff w:val="nothing"/>
      <w:lvlText w:val="（%1）"/>
      <w:lvlJc w:val="left"/>
      <w:pPr>
        <w:ind w:left="-420" w:firstLine="420"/>
      </w:pPr>
      <w:rPr>
        <w:rFonts w:hint="eastAsia"/>
      </w:rPr>
    </w:lvl>
  </w:abstractNum>
  <w:abstractNum w:abstractNumId="64">
    <w:nsid w:val="35C015D7"/>
    <w:multiLevelType w:val="singleLevel"/>
    <w:tmpl w:val="35C015D7"/>
    <w:lvl w:ilvl="0" w:tentative="0">
      <w:start w:val="1"/>
      <w:numFmt w:val="chineseCounting"/>
      <w:suff w:val="nothing"/>
      <w:lvlText w:val="（%1）"/>
      <w:lvlJc w:val="left"/>
      <w:pPr>
        <w:ind w:left="0" w:firstLine="420"/>
      </w:pPr>
      <w:rPr>
        <w:rFonts w:hint="eastAsia"/>
      </w:rPr>
    </w:lvl>
  </w:abstractNum>
  <w:abstractNum w:abstractNumId="65">
    <w:nsid w:val="39287919"/>
    <w:multiLevelType w:val="multilevel"/>
    <w:tmpl w:val="3928791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3A8C4C78"/>
    <w:multiLevelType w:val="multilevel"/>
    <w:tmpl w:val="3A8C4C78"/>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67">
    <w:nsid w:val="3E268435"/>
    <w:multiLevelType w:val="singleLevel"/>
    <w:tmpl w:val="3E268435"/>
    <w:lvl w:ilvl="0" w:tentative="0">
      <w:start w:val="1"/>
      <w:numFmt w:val="decimal"/>
      <w:lvlText w:val="%1."/>
      <w:lvlJc w:val="left"/>
      <w:pPr>
        <w:ind w:left="425" w:hanging="425"/>
      </w:pPr>
      <w:rPr>
        <w:rFonts w:hint="default"/>
      </w:rPr>
    </w:lvl>
  </w:abstractNum>
  <w:abstractNum w:abstractNumId="68">
    <w:nsid w:val="3F82F553"/>
    <w:multiLevelType w:val="singleLevel"/>
    <w:tmpl w:val="3F82F553"/>
    <w:lvl w:ilvl="0" w:tentative="0">
      <w:start w:val="1"/>
      <w:numFmt w:val="chineseCounting"/>
      <w:suff w:val="nothing"/>
      <w:lvlText w:val="（%1）"/>
      <w:lvlJc w:val="left"/>
      <w:pPr>
        <w:ind w:left="-420" w:firstLine="420"/>
      </w:pPr>
      <w:rPr>
        <w:rFonts w:hint="eastAsia"/>
      </w:rPr>
    </w:lvl>
  </w:abstractNum>
  <w:abstractNum w:abstractNumId="69">
    <w:nsid w:val="42CB4F14"/>
    <w:multiLevelType w:val="singleLevel"/>
    <w:tmpl w:val="42CB4F14"/>
    <w:lvl w:ilvl="0" w:tentative="0">
      <w:start w:val="1"/>
      <w:numFmt w:val="decimal"/>
      <w:lvlText w:val="%1"/>
      <w:lvlJc w:val="left"/>
      <w:pPr>
        <w:tabs>
          <w:tab w:val="left" w:pos="420"/>
        </w:tabs>
        <w:ind w:left="425" w:hanging="425"/>
      </w:pPr>
      <w:rPr>
        <w:rFonts w:hint="default"/>
      </w:rPr>
    </w:lvl>
  </w:abstractNum>
  <w:abstractNum w:abstractNumId="70">
    <w:nsid w:val="42D11E4A"/>
    <w:multiLevelType w:val="multilevel"/>
    <w:tmpl w:val="42D11E4A"/>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48293B8C"/>
    <w:multiLevelType w:val="singleLevel"/>
    <w:tmpl w:val="48293B8C"/>
    <w:lvl w:ilvl="0" w:tentative="0">
      <w:start w:val="1"/>
      <w:numFmt w:val="decimal"/>
      <w:lvlText w:val="%1."/>
      <w:lvlJc w:val="left"/>
      <w:pPr>
        <w:ind w:left="425" w:hanging="425"/>
      </w:pPr>
      <w:rPr>
        <w:rFonts w:hint="default"/>
      </w:rPr>
    </w:lvl>
  </w:abstractNum>
  <w:abstractNum w:abstractNumId="72">
    <w:nsid w:val="48386005"/>
    <w:multiLevelType w:val="multilevel"/>
    <w:tmpl w:val="48386005"/>
    <w:lvl w:ilvl="0" w:tentative="0">
      <w:start w:val="1"/>
      <w:numFmt w:val="decimal"/>
      <w:lvlText w:val="%1."/>
      <w:lvlJc w:val="left"/>
      <w:pPr>
        <w:ind w:left="562" w:hanging="420"/>
      </w:pPr>
      <w:rPr>
        <w:rFonts w:hint="default" w:ascii="Times New Roman" w:hAnsi="Times New Roman" w:cs="Times New Roman"/>
      </w:rPr>
    </w:lvl>
    <w:lvl w:ilvl="1" w:tentative="0">
      <w:start w:val="1"/>
      <w:numFmt w:val="lowerLetter"/>
      <w:lvlText w:val="%2)"/>
      <w:lvlJc w:val="left"/>
      <w:pPr>
        <w:ind w:left="982" w:hanging="420"/>
      </w:pPr>
      <w:rPr>
        <w:rFonts w:hint="default" w:ascii="Times New Roman" w:hAnsi="Times New Roman" w:cs="Times New Roman"/>
      </w:rPr>
    </w:lvl>
    <w:lvl w:ilvl="2" w:tentative="0">
      <w:start w:val="1"/>
      <w:numFmt w:val="lowerRoman"/>
      <w:lvlText w:val="%3."/>
      <w:lvlJc w:val="right"/>
      <w:pPr>
        <w:ind w:left="1402" w:hanging="420"/>
      </w:pPr>
      <w:rPr>
        <w:rFonts w:hint="default" w:ascii="Times New Roman" w:hAnsi="Times New Roman" w:cs="Times New Roman"/>
      </w:rPr>
    </w:lvl>
    <w:lvl w:ilvl="3" w:tentative="0">
      <w:start w:val="1"/>
      <w:numFmt w:val="decimal"/>
      <w:lvlText w:val="%4."/>
      <w:lvlJc w:val="left"/>
      <w:pPr>
        <w:ind w:left="1822" w:hanging="420"/>
      </w:pPr>
      <w:rPr>
        <w:rFonts w:hint="default" w:ascii="Times New Roman" w:hAnsi="Times New Roman" w:cs="Times New Roman"/>
      </w:rPr>
    </w:lvl>
    <w:lvl w:ilvl="4" w:tentative="0">
      <w:start w:val="1"/>
      <w:numFmt w:val="lowerLetter"/>
      <w:lvlText w:val="%5)"/>
      <w:lvlJc w:val="left"/>
      <w:pPr>
        <w:ind w:left="2242" w:hanging="420"/>
      </w:pPr>
      <w:rPr>
        <w:rFonts w:hint="default" w:ascii="Times New Roman" w:hAnsi="Times New Roman" w:cs="Times New Roman"/>
      </w:rPr>
    </w:lvl>
    <w:lvl w:ilvl="5" w:tentative="0">
      <w:start w:val="1"/>
      <w:numFmt w:val="lowerRoman"/>
      <w:lvlText w:val="%6."/>
      <w:lvlJc w:val="right"/>
      <w:pPr>
        <w:ind w:left="2662" w:hanging="420"/>
      </w:pPr>
      <w:rPr>
        <w:rFonts w:hint="default" w:ascii="Times New Roman" w:hAnsi="Times New Roman" w:cs="Times New Roman"/>
      </w:rPr>
    </w:lvl>
    <w:lvl w:ilvl="6" w:tentative="0">
      <w:start w:val="1"/>
      <w:numFmt w:val="decimal"/>
      <w:lvlText w:val="%7."/>
      <w:lvlJc w:val="left"/>
      <w:pPr>
        <w:ind w:left="3082" w:hanging="420"/>
      </w:pPr>
      <w:rPr>
        <w:rFonts w:hint="default" w:ascii="Times New Roman" w:hAnsi="Times New Roman" w:cs="Times New Roman"/>
      </w:rPr>
    </w:lvl>
    <w:lvl w:ilvl="7" w:tentative="0">
      <w:start w:val="1"/>
      <w:numFmt w:val="lowerLetter"/>
      <w:lvlText w:val="%8)"/>
      <w:lvlJc w:val="left"/>
      <w:pPr>
        <w:ind w:left="3502" w:hanging="420"/>
      </w:pPr>
      <w:rPr>
        <w:rFonts w:hint="default" w:ascii="Times New Roman" w:hAnsi="Times New Roman" w:cs="Times New Roman"/>
      </w:rPr>
    </w:lvl>
    <w:lvl w:ilvl="8" w:tentative="0">
      <w:start w:val="1"/>
      <w:numFmt w:val="lowerRoman"/>
      <w:lvlText w:val="%9."/>
      <w:lvlJc w:val="right"/>
      <w:pPr>
        <w:ind w:left="3922" w:hanging="420"/>
      </w:pPr>
      <w:rPr>
        <w:rFonts w:hint="default" w:ascii="Times New Roman" w:hAnsi="Times New Roman" w:cs="Times New Roman"/>
      </w:rPr>
    </w:lvl>
  </w:abstractNum>
  <w:abstractNum w:abstractNumId="73">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4">
    <w:nsid w:val="50675357"/>
    <w:multiLevelType w:val="multilevel"/>
    <w:tmpl w:val="50675357"/>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5">
    <w:nsid w:val="526EB4F0"/>
    <w:multiLevelType w:val="singleLevel"/>
    <w:tmpl w:val="526EB4F0"/>
    <w:lvl w:ilvl="0" w:tentative="0">
      <w:start w:val="1"/>
      <w:numFmt w:val="chineseCounting"/>
      <w:suff w:val="nothing"/>
      <w:lvlText w:val="（%1）"/>
      <w:lvlJc w:val="left"/>
      <w:pPr>
        <w:ind w:left="197" w:firstLine="420"/>
      </w:pPr>
      <w:rPr>
        <w:rFonts w:hint="eastAsia"/>
      </w:rPr>
    </w:lvl>
  </w:abstractNum>
  <w:abstractNum w:abstractNumId="76">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7">
    <w:nsid w:val="5631A12C"/>
    <w:multiLevelType w:val="singleLevel"/>
    <w:tmpl w:val="5631A12C"/>
    <w:lvl w:ilvl="0" w:tentative="0">
      <w:start w:val="1"/>
      <w:numFmt w:val="chineseCounting"/>
      <w:suff w:val="nothing"/>
      <w:lvlText w:val="%1、"/>
      <w:lvlJc w:val="left"/>
      <w:pPr>
        <w:ind w:left="0" w:firstLine="420"/>
      </w:pPr>
      <w:rPr>
        <w:rFonts w:hint="eastAsia"/>
      </w:rPr>
    </w:lvl>
  </w:abstractNum>
  <w:abstractNum w:abstractNumId="78">
    <w:nsid w:val="56583332"/>
    <w:multiLevelType w:val="multilevel"/>
    <w:tmpl w:val="56583332"/>
    <w:lvl w:ilvl="0" w:tentative="0">
      <w:start w:val="1"/>
      <w:numFmt w:val="decimal"/>
      <w:lvlText w:val="%1."/>
      <w:lvlJc w:val="left"/>
      <w:pPr>
        <w:tabs>
          <w:tab w:val="left" w:pos="425"/>
        </w:tabs>
        <w:ind w:left="425" w:hanging="425"/>
      </w:pPr>
      <w:rPr>
        <w:rFonts w:ascii="宋体" w:hAnsi="宋体" w:eastAsia="宋体"/>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9">
    <w:nsid w:val="59170E7C"/>
    <w:multiLevelType w:val="multilevel"/>
    <w:tmpl w:val="59170E7C"/>
    <w:lvl w:ilvl="0" w:tentative="0">
      <w:start w:val="1"/>
      <w:numFmt w:val="chineseCountingThousand"/>
      <w:lvlText w:val="%1、"/>
      <w:lvlJc w:val="left"/>
      <w:pPr>
        <w:ind w:left="861" w:hanging="42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80">
    <w:nsid w:val="594FA2EA"/>
    <w:multiLevelType w:val="singleLevel"/>
    <w:tmpl w:val="594FA2EA"/>
    <w:lvl w:ilvl="0" w:tentative="0">
      <w:start w:val="1"/>
      <w:numFmt w:val="chineseCounting"/>
      <w:suff w:val="nothing"/>
      <w:lvlText w:val="（%1）"/>
      <w:lvlJc w:val="left"/>
      <w:pPr>
        <w:ind w:left="0" w:firstLine="420"/>
      </w:pPr>
      <w:rPr>
        <w:rFonts w:hint="eastAsia"/>
      </w:rPr>
    </w:lvl>
  </w:abstractNum>
  <w:abstractNum w:abstractNumId="81">
    <w:nsid w:val="59B54A3C"/>
    <w:multiLevelType w:val="singleLevel"/>
    <w:tmpl w:val="59B54A3C"/>
    <w:lvl w:ilvl="0" w:tentative="0">
      <w:start w:val="1"/>
      <w:numFmt w:val="decimal"/>
      <w:lvlText w:val="%1."/>
      <w:lvlJc w:val="left"/>
      <w:pPr>
        <w:ind w:left="425" w:hanging="425"/>
      </w:pPr>
      <w:rPr>
        <w:rFonts w:hint="default"/>
      </w:rPr>
    </w:lvl>
  </w:abstractNum>
  <w:abstractNum w:abstractNumId="82">
    <w:nsid w:val="5B9A6BA0"/>
    <w:multiLevelType w:val="multilevel"/>
    <w:tmpl w:val="5B9A6BA0"/>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624878E4"/>
    <w:multiLevelType w:val="singleLevel"/>
    <w:tmpl w:val="624878E4"/>
    <w:lvl w:ilvl="0" w:tentative="0">
      <w:start w:val="1"/>
      <w:numFmt w:val="chineseCounting"/>
      <w:suff w:val="nothing"/>
      <w:lvlText w:val="%1、"/>
      <w:lvlJc w:val="left"/>
      <w:pPr>
        <w:ind w:left="0" w:firstLine="420"/>
      </w:pPr>
      <w:rPr>
        <w:rFonts w:hint="eastAsia"/>
      </w:rPr>
    </w:lvl>
  </w:abstractNum>
  <w:abstractNum w:abstractNumId="84">
    <w:nsid w:val="64874A3C"/>
    <w:multiLevelType w:val="multilevel"/>
    <w:tmpl w:val="64874A3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5">
    <w:nsid w:val="69C56FEF"/>
    <w:multiLevelType w:val="multilevel"/>
    <w:tmpl w:val="69C56FE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6D96CF5E"/>
    <w:multiLevelType w:val="singleLevel"/>
    <w:tmpl w:val="6D96CF5E"/>
    <w:lvl w:ilvl="0" w:tentative="0">
      <w:start w:val="1"/>
      <w:numFmt w:val="decimal"/>
      <w:lvlText w:val="%1."/>
      <w:lvlJc w:val="left"/>
      <w:pPr>
        <w:ind w:left="425" w:hanging="425"/>
      </w:pPr>
      <w:rPr>
        <w:rFonts w:hint="default"/>
      </w:rPr>
    </w:lvl>
  </w:abstractNum>
  <w:abstractNum w:abstractNumId="87">
    <w:nsid w:val="6E2ABAE5"/>
    <w:multiLevelType w:val="singleLevel"/>
    <w:tmpl w:val="6E2ABAE5"/>
    <w:lvl w:ilvl="0" w:tentative="0">
      <w:start w:val="1"/>
      <w:numFmt w:val="decimal"/>
      <w:lvlText w:val="%1."/>
      <w:lvlJc w:val="left"/>
      <w:pPr>
        <w:ind w:left="425" w:hanging="425"/>
      </w:pPr>
      <w:rPr>
        <w:rFonts w:hint="default"/>
      </w:rPr>
    </w:lvl>
  </w:abstractNum>
  <w:abstractNum w:abstractNumId="88">
    <w:nsid w:val="7061088D"/>
    <w:multiLevelType w:val="multilevel"/>
    <w:tmpl w:val="7061088D"/>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9">
    <w:nsid w:val="71BA7509"/>
    <w:multiLevelType w:val="multilevel"/>
    <w:tmpl w:val="71BA7509"/>
    <w:lvl w:ilvl="0" w:tentative="0">
      <w:start w:val="1"/>
      <w:numFmt w:val="decimal"/>
      <w:lvlText w:val="%1."/>
      <w:lvlJc w:val="left"/>
      <w:pPr>
        <w:ind w:left="562" w:hanging="420"/>
      </w:pPr>
      <w:rPr>
        <w:rFonts w:hint="default" w:ascii="Times New Roman" w:hAnsi="Times New Roman" w:cs="Times New Roman"/>
      </w:rPr>
    </w:lvl>
    <w:lvl w:ilvl="1" w:tentative="0">
      <w:start w:val="1"/>
      <w:numFmt w:val="lowerLetter"/>
      <w:lvlText w:val="%2)"/>
      <w:lvlJc w:val="left"/>
      <w:pPr>
        <w:ind w:left="982" w:hanging="420"/>
      </w:pPr>
      <w:rPr>
        <w:rFonts w:hint="default" w:ascii="Times New Roman" w:hAnsi="Times New Roman" w:cs="Times New Roman"/>
      </w:rPr>
    </w:lvl>
    <w:lvl w:ilvl="2" w:tentative="0">
      <w:start w:val="1"/>
      <w:numFmt w:val="lowerRoman"/>
      <w:lvlText w:val="%3."/>
      <w:lvlJc w:val="right"/>
      <w:pPr>
        <w:ind w:left="1402" w:hanging="420"/>
      </w:pPr>
      <w:rPr>
        <w:rFonts w:hint="default" w:ascii="Times New Roman" w:hAnsi="Times New Roman" w:cs="Times New Roman"/>
      </w:rPr>
    </w:lvl>
    <w:lvl w:ilvl="3" w:tentative="0">
      <w:start w:val="1"/>
      <w:numFmt w:val="decimal"/>
      <w:lvlText w:val="%4."/>
      <w:lvlJc w:val="left"/>
      <w:pPr>
        <w:ind w:left="1822" w:hanging="420"/>
      </w:pPr>
      <w:rPr>
        <w:rFonts w:hint="default" w:ascii="Times New Roman" w:hAnsi="Times New Roman" w:cs="Times New Roman"/>
      </w:rPr>
    </w:lvl>
    <w:lvl w:ilvl="4" w:tentative="0">
      <w:start w:val="1"/>
      <w:numFmt w:val="lowerLetter"/>
      <w:lvlText w:val="%5)"/>
      <w:lvlJc w:val="left"/>
      <w:pPr>
        <w:ind w:left="2242" w:hanging="420"/>
      </w:pPr>
      <w:rPr>
        <w:rFonts w:hint="default" w:ascii="Times New Roman" w:hAnsi="Times New Roman" w:cs="Times New Roman"/>
      </w:rPr>
    </w:lvl>
    <w:lvl w:ilvl="5" w:tentative="0">
      <w:start w:val="1"/>
      <w:numFmt w:val="lowerRoman"/>
      <w:lvlText w:val="%6."/>
      <w:lvlJc w:val="right"/>
      <w:pPr>
        <w:ind w:left="2662" w:hanging="420"/>
      </w:pPr>
      <w:rPr>
        <w:rFonts w:hint="default" w:ascii="Times New Roman" w:hAnsi="Times New Roman" w:cs="Times New Roman"/>
      </w:rPr>
    </w:lvl>
    <w:lvl w:ilvl="6" w:tentative="0">
      <w:start w:val="1"/>
      <w:numFmt w:val="decimal"/>
      <w:lvlText w:val="%7."/>
      <w:lvlJc w:val="left"/>
      <w:pPr>
        <w:ind w:left="3082" w:hanging="420"/>
      </w:pPr>
      <w:rPr>
        <w:rFonts w:hint="default" w:ascii="Times New Roman" w:hAnsi="Times New Roman" w:cs="Times New Roman"/>
      </w:rPr>
    </w:lvl>
    <w:lvl w:ilvl="7" w:tentative="0">
      <w:start w:val="1"/>
      <w:numFmt w:val="lowerLetter"/>
      <w:lvlText w:val="%8)"/>
      <w:lvlJc w:val="left"/>
      <w:pPr>
        <w:ind w:left="3502" w:hanging="420"/>
      </w:pPr>
      <w:rPr>
        <w:rFonts w:hint="default" w:ascii="Times New Roman" w:hAnsi="Times New Roman" w:cs="Times New Roman"/>
      </w:rPr>
    </w:lvl>
    <w:lvl w:ilvl="8" w:tentative="0">
      <w:start w:val="1"/>
      <w:numFmt w:val="lowerRoman"/>
      <w:lvlText w:val="%9."/>
      <w:lvlJc w:val="right"/>
      <w:pPr>
        <w:ind w:left="3922" w:hanging="420"/>
      </w:pPr>
      <w:rPr>
        <w:rFonts w:hint="default" w:ascii="Times New Roman" w:hAnsi="Times New Roman" w:cs="Times New Roman"/>
      </w:rPr>
    </w:lvl>
  </w:abstractNum>
  <w:abstractNum w:abstractNumId="90">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1">
    <w:nsid w:val="7A0E425D"/>
    <w:multiLevelType w:val="multilevel"/>
    <w:tmpl w:val="7A0E425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7CE7AD73"/>
    <w:multiLevelType w:val="singleLevel"/>
    <w:tmpl w:val="7CE7AD73"/>
    <w:lvl w:ilvl="0" w:tentative="0">
      <w:start w:val="1"/>
      <w:numFmt w:val="chineseCounting"/>
      <w:suff w:val="nothing"/>
      <w:lvlText w:val="（%1）"/>
      <w:lvlJc w:val="left"/>
      <w:pPr>
        <w:ind w:left="-420" w:firstLine="420"/>
      </w:pPr>
      <w:rPr>
        <w:rFonts w:hint="eastAsia"/>
      </w:rPr>
    </w:lvl>
  </w:abstractNum>
  <w:abstractNum w:abstractNumId="93">
    <w:nsid w:val="7FC89783"/>
    <w:multiLevelType w:val="singleLevel"/>
    <w:tmpl w:val="7FC89783"/>
    <w:lvl w:ilvl="0" w:tentative="0">
      <w:start w:val="1"/>
      <w:numFmt w:val="decimal"/>
      <w:lvlText w:val="%1."/>
      <w:lvlJc w:val="left"/>
      <w:pPr>
        <w:ind w:left="425" w:hanging="425"/>
      </w:pPr>
      <w:rPr>
        <w:rFonts w:hint="default"/>
      </w:rPr>
    </w:lvl>
  </w:abstractNum>
  <w:num w:numId="1">
    <w:abstractNumId w:val="45"/>
  </w:num>
  <w:num w:numId="2">
    <w:abstractNumId w:val="77"/>
  </w:num>
  <w:num w:numId="3">
    <w:abstractNumId w:val="44"/>
  </w:num>
  <w:num w:numId="4">
    <w:abstractNumId w:val="87"/>
  </w:num>
  <w:num w:numId="5">
    <w:abstractNumId w:val="25"/>
  </w:num>
  <w:num w:numId="6">
    <w:abstractNumId w:val="76"/>
  </w:num>
  <w:num w:numId="7">
    <w:abstractNumId w:val="78"/>
  </w:num>
  <w:num w:numId="8">
    <w:abstractNumId w:val="71"/>
  </w:num>
  <w:num w:numId="9">
    <w:abstractNumId w:val="82"/>
  </w:num>
  <w:num w:numId="10">
    <w:abstractNumId w:val="46"/>
  </w:num>
  <w:num w:numId="11">
    <w:abstractNumId w:val="23"/>
  </w:num>
  <w:num w:numId="12">
    <w:abstractNumId w:val="80"/>
  </w:num>
  <w:num w:numId="13">
    <w:abstractNumId w:val="15"/>
  </w:num>
  <w:num w:numId="14">
    <w:abstractNumId w:val="31"/>
  </w:num>
  <w:num w:numId="15">
    <w:abstractNumId w:val="22"/>
  </w:num>
  <w:num w:numId="16">
    <w:abstractNumId w:val="4"/>
  </w:num>
  <w:num w:numId="17">
    <w:abstractNumId w:val="37"/>
  </w:num>
  <w:num w:numId="18">
    <w:abstractNumId w:val="48"/>
  </w:num>
  <w:num w:numId="19">
    <w:abstractNumId w:val="53"/>
  </w:num>
  <w:num w:numId="20">
    <w:abstractNumId w:val="67"/>
  </w:num>
  <w:num w:numId="21">
    <w:abstractNumId w:val="32"/>
  </w:num>
  <w:num w:numId="22">
    <w:abstractNumId w:val="57"/>
  </w:num>
  <w:num w:numId="23">
    <w:abstractNumId w:val="62"/>
  </w:num>
  <w:num w:numId="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9"/>
  </w:num>
  <w:num w:numId="27">
    <w:abstractNumId w:val="63"/>
  </w:num>
  <w:num w:numId="28">
    <w:abstractNumId w:val="6"/>
  </w:num>
  <w:num w:numId="29">
    <w:abstractNumId w:val="93"/>
  </w:num>
  <w:num w:numId="30">
    <w:abstractNumId w:val="43"/>
  </w:num>
  <w:num w:numId="31">
    <w:abstractNumId w:val="60"/>
  </w:num>
  <w:num w:numId="32">
    <w:abstractNumId w:val="41"/>
  </w:num>
  <w:num w:numId="33">
    <w:abstractNumId w:val="65"/>
  </w:num>
  <w:num w:numId="34">
    <w:abstractNumId w:val="59"/>
  </w:num>
  <w:num w:numId="35">
    <w:abstractNumId w:val="69"/>
  </w:num>
  <w:num w:numId="36">
    <w:abstractNumId w:val="30"/>
  </w:num>
  <w:num w:numId="37">
    <w:abstractNumId w:val="14"/>
  </w:num>
  <w:num w:numId="38">
    <w:abstractNumId w:val="17"/>
  </w:num>
  <w:num w:numId="39">
    <w:abstractNumId w:val="38"/>
  </w:num>
  <w:num w:numId="40">
    <w:abstractNumId w:val="19"/>
  </w:num>
  <w:num w:numId="41">
    <w:abstractNumId w:val="28"/>
  </w:num>
  <w:num w:numId="42">
    <w:abstractNumId w:val="70"/>
  </w:num>
  <w:num w:numId="43">
    <w:abstractNumId w:val="50"/>
  </w:num>
  <w:num w:numId="44">
    <w:abstractNumId w:val="86"/>
  </w:num>
  <w:num w:numId="45">
    <w:abstractNumId w:val="24"/>
  </w:num>
  <w:num w:numId="46">
    <w:abstractNumId w:val="88"/>
  </w:num>
  <w:num w:numId="47">
    <w:abstractNumId w:val="74"/>
  </w:num>
  <w:num w:numId="48">
    <w:abstractNumId w:val="83"/>
  </w:num>
  <w:num w:numId="49">
    <w:abstractNumId w:val="40"/>
  </w:num>
  <w:num w:numId="50">
    <w:abstractNumId w:val="21"/>
  </w:num>
  <w:num w:numId="51">
    <w:abstractNumId w:val="9"/>
  </w:num>
  <w:num w:numId="52">
    <w:abstractNumId w:val="49"/>
  </w:num>
  <w:num w:numId="53">
    <w:abstractNumId w:val="7"/>
  </w:num>
  <w:num w:numId="54">
    <w:abstractNumId w:val="27"/>
  </w:num>
  <w:num w:numId="55">
    <w:abstractNumId w:val="33"/>
  </w:num>
  <w:num w:numId="56">
    <w:abstractNumId w:val="1"/>
  </w:num>
  <w:num w:numId="57">
    <w:abstractNumId w:val="35"/>
  </w:num>
  <w:num w:numId="58">
    <w:abstractNumId w:val="64"/>
  </w:num>
  <w:num w:numId="59">
    <w:abstractNumId w:val="3"/>
  </w:num>
  <w:num w:numId="60">
    <w:abstractNumId w:val="36"/>
  </w:num>
  <w:num w:numId="61">
    <w:abstractNumId w:val="11"/>
  </w:num>
  <w:num w:numId="62">
    <w:abstractNumId w:val="34"/>
  </w:num>
  <w:num w:numId="63">
    <w:abstractNumId w:val="89"/>
  </w:num>
  <w:num w:numId="64">
    <w:abstractNumId w:val="52"/>
  </w:num>
  <w:num w:numId="65">
    <w:abstractNumId w:val="68"/>
  </w:num>
  <w:num w:numId="66">
    <w:abstractNumId w:val="0"/>
  </w:num>
  <w:num w:numId="67">
    <w:abstractNumId w:val="20"/>
  </w:num>
  <w:num w:numId="68">
    <w:abstractNumId w:val="61"/>
  </w:num>
  <w:num w:numId="69">
    <w:abstractNumId w:val="92"/>
  </w:num>
  <w:num w:numId="70">
    <w:abstractNumId w:val="12"/>
  </w:num>
  <w:num w:numId="71">
    <w:abstractNumId w:val="10"/>
  </w:num>
  <w:num w:numId="72">
    <w:abstractNumId w:val="5"/>
  </w:num>
  <w:num w:numId="73">
    <w:abstractNumId w:val="75"/>
  </w:num>
  <w:num w:numId="74">
    <w:abstractNumId w:val="55"/>
  </w:num>
  <w:num w:numId="75">
    <w:abstractNumId w:val="8"/>
  </w:num>
  <w:num w:numId="76">
    <w:abstractNumId w:val="16"/>
  </w:num>
  <w:num w:numId="77">
    <w:abstractNumId w:val="47"/>
  </w:num>
  <w:num w:numId="78">
    <w:abstractNumId w:val="84"/>
  </w:num>
  <w:num w:numId="79">
    <w:abstractNumId w:val="91"/>
  </w:num>
  <w:num w:numId="80">
    <w:abstractNumId w:val="66"/>
  </w:num>
  <w:num w:numId="81">
    <w:abstractNumId w:val="90"/>
  </w:num>
  <w:num w:numId="82">
    <w:abstractNumId w:val="79"/>
  </w:num>
  <w:num w:numId="83">
    <w:abstractNumId w:val="18"/>
  </w:num>
  <w:num w:numId="84">
    <w:abstractNumId w:val="13"/>
  </w:num>
  <w:num w:numId="85">
    <w:abstractNumId w:val="73"/>
  </w:num>
  <w:num w:numId="86">
    <w:abstractNumId w:val="56"/>
  </w:num>
  <w:num w:numId="87">
    <w:abstractNumId w:val="39"/>
  </w:num>
  <w:num w:numId="88">
    <w:abstractNumId w:val="81"/>
  </w:num>
  <w:num w:numId="89">
    <w:abstractNumId w:val="51"/>
  </w:num>
  <w:num w:numId="90">
    <w:abstractNumId w:val="85"/>
  </w:num>
  <w:num w:numId="91">
    <w:abstractNumId w:val="54"/>
  </w:num>
  <w:num w:numId="92">
    <w:abstractNumId w:val="58"/>
  </w:num>
  <w:num w:numId="93">
    <w:abstractNumId w:val="42"/>
  </w:num>
  <w:num w:numId="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YzJhNDZkZjEwNzRlZDYzYzc3YjI4NWViMjIzMDQifQ=="/>
  </w:docVars>
  <w:rsids>
    <w:rsidRoot w:val="00172A27"/>
    <w:rsid w:val="00172A27"/>
    <w:rsid w:val="0037433E"/>
    <w:rsid w:val="007D57E7"/>
    <w:rsid w:val="00865EB1"/>
    <w:rsid w:val="008B66BE"/>
    <w:rsid w:val="00A8204E"/>
    <w:rsid w:val="00BA7578"/>
    <w:rsid w:val="00BD6D63"/>
    <w:rsid w:val="00DB4206"/>
    <w:rsid w:val="010749DF"/>
    <w:rsid w:val="0160663A"/>
    <w:rsid w:val="01725B2E"/>
    <w:rsid w:val="017602C7"/>
    <w:rsid w:val="01A3355E"/>
    <w:rsid w:val="01E26F49"/>
    <w:rsid w:val="0296155C"/>
    <w:rsid w:val="03352E99"/>
    <w:rsid w:val="03AB112D"/>
    <w:rsid w:val="03F2675C"/>
    <w:rsid w:val="03F6609D"/>
    <w:rsid w:val="04625286"/>
    <w:rsid w:val="04BD767E"/>
    <w:rsid w:val="04F32B7C"/>
    <w:rsid w:val="0557328E"/>
    <w:rsid w:val="05FD0E24"/>
    <w:rsid w:val="068E5FE8"/>
    <w:rsid w:val="06BC2494"/>
    <w:rsid w:val="0755200E"/>
    <w:rsid w:val="07622817"/>
    <w:rsid w:val="0765760B"/>
    <w:rsid w:val="07C13314"/>
    <w:rsid w:val="081F329C"/>
    <w:rsid w:val="0846167D"/>
    <w:rsid w:val="085363EE"/>
    <w:rsid w:val="08CD76A1"/>
    <w:rsid w:val="08FD582C"/>
    <w:rsid w:val="092316B6"/>
    <w:rsid w:val="09486BF7"/>
    <w:rsid w:val="0949325D"/>
    <w:rsid w:val="099A3A3F"/>
    <w:rsid w:val="09A24EE0"/>
    <w:rsid w:val="09A90A8C"/>
    <w:rsid w:val="09B83AA4"/>
    <w:rsid w:val="09B84AE7"/>
    <w:rsid w:val="0A1E49C5"/>
    <w:rsid w:val="0A2D5C34"/>
    <w:rsid w:val="0AAA1108"/>
    <w:rsid w:val="0AE84B42"/>
    <w:rsid w:val="0AF127C4"/>
    <w:rsid w:val="0B352B6E"/>
    <w:rsid w:val="0B637501"/>
    <w:rsid w:val="0BE5207C"/>
    <w:rsid w:val="0C822B4D"/>
    <w:rsid w:val="0C95392B"/>
    <w:rsid w:val="0CD54C8D"/>
    <w:rsid w:val="0CE02DC3"/>
    <w:rsid w:val="0D1B1185"/>
    <w:rsid w:val="0D2B3020"/>
    <w:rsid w:val="0D776115"/>
    <w:rsid w:val="0DE50C90"/>
    <w:rsid w:val="0E182857"/>
    <w:rsid w:val="0E190BDD"/>
    <w:rsid w:val="0EAB7151"/>
    <w:rsid w:val="0EC72EAE"/>
    <w:rsid w:val="101B0461"/>
    <w:rsid w:val="10236A4A"/>
    <w:rsid w:val="111F5EAD"/>
    <w:rsid w:val="115B32BE"/>
    <w:rsid w:val="11A70DEB"/>
    <w:rsid w:val="125F388A"/>
    <w:rsid w:val="126E010B"/>
    <w:rsid w:val="13E64DC9"/>
    <w:rsid w:val="13F30377"/>
    <w:rsid w:val="143B48F0"/>
    <w:rsid w:val="1473140E"/>
    <w:rsid w:val="15697ADB"/>
    <w:rsid w:val="15F831F7"/>
    <w:rsid w:val="15FB082B"/>
    <w:rsid w:val="161575D0"/>
    <w:rsid w:val="16505CD8"/>
    <w:rsid w:val="16583D36"/>
    <w:rsid w:val="16607C9A"/>
    <w:rsid w:val="1663200A"/>
    <w:rsid w:val="16B60CEC"/>
    <w:rsid w:val="16E669E7"/>
    <w:rsid w:val="17500CF0"/>
    <w:rsid w:val="176A5E0F"/>
    <w:rsid w:val="176F05D7"/>
    <w:rsid w:val="17740758"/>
    <w:rsid w:val="178A4DAA"/>
    <w:rsid w:val="17F5755B"/>
    <w:rsid w:val="182E4043"/>
    <w:rsid w:val="18372DD4"/>
    <w:rsid w:val="183E792D"/>
    <w:rsid w:val="1853583F"/>
    <w:rsid w:val="188669B0"/>
    <w:rsid w:val="18F4720E"/>
    <w:rsid w:val="19C902E5"/>
    <w:rsid w:val="19ED134B"/>
    <w:rsid w:val="1AC26EA1"/>
    <w:rsid w:val="1AEE57F1"/>
    <w:rsid w:val="1B511BE3"/>
    <w:rsid w:val="1BA476CB"/>
    <w:rsid w:val="1BED368A"/>
    <w:rsid w:val="1C912932"/>
    <w:rsid w:val="1CEC58F2"/>
    <w:rsid w:val="1D403B13"/>
    <w:rsid w:val="1DD122CE"/>
    <w:rsid w:val="1E23203A"/>
    <w:rsid w:val="1E374999"/>
    <w:rsid w:val="1E7B3867"/>
    <w:rsid w:val="1EAD5FFB"/>
    <w:rsid w:val="1F004D03"/>
    <w:rsid w:val="1F7F6C96"/>
    <w:rsid w:val="203E68CA"/>
    <w:rsid w:val="20F92361"/>
    <w:rsid w:val="21156CED"/>
    <w:rsid w:val="21551BDE"/>
    <w:rsid w:val="21C916A0"/>
    <w:rsid w:val="21E43532"/>
    <w:rsid w:val="22973AEC"/>
    <w:rsid w:val="22BA1001"/>
    <w:rsid w:val="22BA61D7"/>
    <w:rsid w:val="22FB5F0E"/>
    <w:rsid w:val="230D56BB"/>
    <w:rsid w:val="23A748FB"/>
    <w:rsid w:val="23C32EE1"/>
    <w:rsid w:val="24285B18"/>
    <w:rsid w:val="24732D05"/>
    <w:rsid w:val="24862552"/>
    <w:rsid w:val="2534072F"/>
    <w:rsid w:val="26CF75FF"/>
    <w:rsid w:val="27C2106B"/>
    <w:rsid w:val="27F01F36"/>
    <w:rsid w:val="27F84F0B"/>
    <w:rsid w:val="28886FD9"/>
    <w:rsid w:val="28BC6194"/>
    <w:rsid w:val="292D42E5"/>
    <w:rsid w:val="294D1BDB"/>
    <w:rsid w:val="296024B3"/>
    <w:rsid w:val="299C7EBE"/>
    <w:rsid w:val="2A0F4881"/>
    <w:rsid w:val="2A177D0E"/>
    <w:rsid w:val="2A4B7A45"/>
    <w:rsid w:val="2B207B4B"/>
    <w:rsid w:val="2B784396"/>
    <w:rsid w:val="2B7F1150"/>
    <w:rsid w:val="2BCF4B21"/>
    <w:rsid w:val="2BE50A91"/>
    <w:rsid w:val="2C2C4B27"/>
    <w:rsid w:val="2C375F92"/>
    <w:rsid w:val="2C6B26CD"/>
    <w:rsid w:val="2CE41BA6"/>
    <w:rsid w:val="2D84175E"/>
    <w:rsid w:val="2D901995"/>
    <w:rsid w:val="2D920CB3"/>
    <w:rsid w:val="2E3C33CB"/>
    <w:rsid w:val="2EC1140C"/>
    <w:rsid w:val="2F594899"/>
    <w:rsid w:val="2F810F3A"/>
    <w:rsid w:val="2FE50357"/>
    <w:rsid w:val="306D3EB6"/>
    <w:rsid w:val="312D65A0"/>
    <w:rsid w:val="31500131"/>
    <w:rsid w:val="316D441D"/>
    <w:rsid w:val="323D4609"/>
    <w:rsid w:val="32426F32"/>
    <w:rsid w:val="3250622E"/>
    <w:rsid w:val="3257092C"/>
    <w:rsid w:val="329F74C0"/>
    <w:rsid w:val="3347509A"/>
    <w:rsid w:val="33657A72"/>
    <w:rsid w:val="338E1D73"/>
    <w:rsid w:val="338E1EAD"/>
    <w:rsid w:val="33A87E93"/>
    <w:rsid w:val="340450B3"/>
    <w:rsid w:val="34A913C8"/>
    <w:rsid w:val="35180B3A"/>
    <w:rsid w:val="35911F75"/>
    <w:rsid w:val="35B14302"/>
    <w:rsid w:val="35E84DD2"/>
    <w:rsid w:val="3651044C"/>
    <w:rsid w:val="371166D0"/>
    <w:rsid w:val="388F2B06"/>
    <w:rsid w:val="38C46413"/>
    <w:rsid w:val="3934018F"/>
    <w:rsid w:val="39424758"/>
    <w:rsid w:val="399006DD"/>
    <w:rsid w:val="3A4A3181"/>
    <w:rsid w:val="3A5851C7"/>
    <w:rsid w:val="3A9F345B"/>
    <w:rsid w:val="3B5C2FB9"/>
    <w:rsid w:val="3C1942E8"/>
    <w:rsid w:val="3C5D6FF5"/>
    <w:rsid w:val="3CBD2D17"/>
    <w:rsid w:val="3CCB0E2F"/>
    <w:rsid w:val="3CDB012B"/>
    <w:rsid w:val="3E692AE5"/>
    <w:rsid w:val="3EBA471D"/>
    <w:rsid w:val="3EF17652"/>
    <w:rsid w:val="3FB8579D"/>
    <w:rsid w:val="3FDD4FD1"/>
    <w:rsid w:val="3FF14E23"/>
    <w:rsid w:val="40133356"/>
    <w:rsid w:val="40767412"/>
    <w:rsid w:val="409E6D27"/>
    <w:rsid w:val="41CA4038"/>
    <w:rsid w:val="42134FD7"/>
    <w:rsid w:val="4235251C"/>
    <w:rsid w:val="42476483"/>
    <w:rsid w:val="42505E4B"/>
    <w:rsid w:val="42A411D5"/>
    <w:rsid w:val="42BB4F19"/>
    <w:rsid w:val="42CD123A"/>
    <w:rsid w:val="42EC23C2"/>
    <w:rsid w:val="43024224"/>
    <w:rsid w:val="43F77FFF"/>
    <w:rsid w:val="4426131B"/>
    <w:rsid w:val="442E7F02"/>
    <w:rsid w:val="44517853"/>
    <w:rsid w:val="44660FA2"/>
    <w:rsid w:val="448A612D"/>
    <w:rsid w:val="44AC3F23"/>
    <w:rsid w:val="44E843BE"/>
    <w:rsid w:val="45194FC1"/>
    <w:rsid w:val="452E4F7F"/>
    <w:rsid w:val="45566B37"/>
    <w:rsid w:val="45E43BB6"/>
    <w:rsid w:val="469C45E8"/>
    <w:rsid w:val="47121E0B"/>
    <w:rsid w:val="49562359"/>
    <w:rsid w:val="49780189"/>
    <w:rsid w:val="498645DA"/>
    <w:rsid w:val="499334E1"/>
    <w:rsid w:val="499C4585"/>
    <w:rsid w:val="49E02A82"/>
    <w:rsid w:val="49F070CC"/>
    <w:rsid w:val="4A02625E"/>
    <w:rsid w:val="4A424620"/>
    <w:rsid w:val="4B49179F"/>
    <w:rsid w:val="4B8D02E0"/>
    <w:rsid w:val="4B8F7B0B"/>
    <w:rsid w:val="4CAA046B"/>
    <w:rsid w:val="4D155D00"/>
    <w:rsid w:val="4D2661EC"/>
    <w:rsid w:val="4D9A0DDD"/>
    <w:rsid w:val="4DA35CBB"/>
    <w:rsid w:val="4E33436C"/>
    <w:rsid w:val="4E460916"/>
    <w:rsid w:val="4EF75E9B"/>
    <w:rsid w:val="4FB13003"/>
    <w:rsid w:val="50243034"/>
    <w:rsid w:val="5063449D"/>
    <w:rsid w:val="50D22D4B"/>
    <w:rsid w:val="50EB49F0"/>
    <w:rsid w:val="50F232DC"/>
    <w:rsid w:val="510572BA"/>
    <w:rsid w:val="51064072"/>
    <w:rsid w:val="511B2D0D"/>
    <w:rsid w:val="513F55C8"/>
    <w:rsid w:val="516038A0"/>
    <w:rsid w:val="51951911"/>
    <w:rsid w:val="522C1FBE"/>
    <w:rsid w:val="52E3051F"/>
    <w:rsid w:val="537F0B0F"/>
    <w:rsid w:val="53DD25AF"/>
    <w:rsid w:val="544277E3"/>
    <w:rsid w:val="54B809D5"/>
    <w:rsid w:val="54F06299"/>
    <w:rsid w:val="55940563"/>
    <w:rsid w:val="5605775A"/>
    <w:rsid w:val="568B4ECD"/>
    <w:rsid w:val="56FD0265"/>
    <w:rsid w:val="57425699"/>
    <w:rsid w:val="575B44E8"/>
    <w:rsid w:val="57725A39"/>
    <w:rsid w:val="57FB0F9A"/>
    <w:rsid w:val="587F289B"/>
    <w:rsid w:val="58D60F59"/>
    <w:rsid w:val="58F43155"/>
    <w:rsid w:val="5AA62C34"/>
    <w:rsid w:val="5B260117"/>
    <w:rsid w:val="5B7376CD"/>
    <w:rsid w:val="5BAB0797"/>
    <w:rsid w:val="5BC24DBA"/>
    <w:rsid w:val="5BF308E3"/>
    <w:rsid w:val="5CBA2F68"/>
    <w:rsid w:val="5D051E04"/>
    <w:rsid w:val="5D3B687E"/>
    <w:rsid w:val="5D987EB6"/>
    <w:rsid w:val="5DCD117D"/>
    <w:rsid w:val="5E4A7650"/>
    <w:rsid w:val="5E7233E3"/>
    <w:rsid w:val="5F087282"/>
    <w:rsid w:val="5F494005"/>
    <w:rsid w:val="6025334A"/>
    <w:rsid w:val="60303201"/>
    <w:rsid w:val="61285EF2"/>
    <w:rsid w:val="612E2050"/>
    <w:rsid w:val="61905D24"/>
    <w:rsid w:val="623108D2"/>
    <w:rsid w:val="6242593C"/>
    <w:rsid w:val="62F52FF4"/>
    <w:rsid w:val="633F1D35"/>
    <w:rsid w:val="63F34F71"/>
    <w:rsid w:val="64423B23"/>
    <w:rsid w:val="64954793"/>
    <w:rsid w:val="65632B67"/>
    <w:rsid w:val="6577326A"/>
    <w:rsid w:val="658D4739"/>
    <w:rsid w:val="6598698C"/>
    <w:rsid w:val="65CC5E2D"/>
    <w:rsid w:val="66327A7C"/>
    <w:rsid w:val="66460A96"/>
    <w:rsid w:val="66E10B5B"/>
    <w:rsid w:val="67234A9A"/>
    <w:rsid w:val="679E6389"/>
    <w:rsid w:val="680D31EF"/>
    <w:rsid w:val="68317CD4"/>
    <w:rsid w:val="683A17D1"/>
    <w:rsid w:val="689F15D5"/>
    <w:rsid w:val="69112C0A"/>
    <w:rsid w:val="691C6653"/>
    <w:rsid w:val="697B39AC"/>
    <w:rsid w:val="699219E6"/>
    <w:rsid w:val="699D3005"/>
    <w:rsid w:val="69A039F4"/>
    <w:rsid w:val="69EA4D16"/>
    <w:rsid w:val="6A5B729C"/>
    <w:rsid w:val="6ABE1B1B"/>
    <w:rsid w:val="6AE20869"/>
    <w:rsid w:val="6AF723A7"/>
    <w:rsid w:val="6B6E2D09"/>
    <w:rsid w:val="6B84720A"/>
    <w:rsid w:val="6BC80049"/>
    <w:rsid w:val="6BF4753F"/>
    <w:rsid w:val="6CD24F29"/>
    <w:rsid w:val="6CF22BB9"/>
    <w:rsid w:val="6F0F753C"/>
    <w:rsid w:val="6F3506C9"/>
    <w:rsid w:val="6F391C3C"/>
    <w:rsid w:val="6F6618B3"/>
    <w:rsid w:val="6FA0459C"/>
    <w:rsid w:val="6FD14E27"/>
    <w:rsid w:val="70392B8D"/>
    <w:rsid w:val="71A11B73"/>
    <w:rsid w:val="71DA6A30"/>
    <w:rsid w:val="725B14C2"/>
    <w:rsid w:val="72857FA7"/>
    <w:rsid w:val="72D141D7"/>
    <w:rsid w:val="730A7FCE"/>
    <w:rsid w:val="731967EC"/>
    <w:rsid w:val="745369D2"/>
    <w:rsid w:val="74FF2DF0"/>
    <w:rsid w:val="752D16B6"/>
    <w:rsid w:val="755846E6"/>
    <w:rsid w:val="75E152D1"/>
    <w:rsid w:val="76861594"/>
    <w:rsid w:val="769D30E2"/>
    <w:rsid w:val="76F00FE1"/>
    <w:rsid w:val="7762443F"/>
    <w:rsid w:val="77CC5AE0"/>
    <w:rsid w:val="77FF510A"/>
    <w:rsid w:val="780046F0"/>
    <w:rsid w:val="781C47A6"/>
    <w:rsid w:val="78993763"/>
    <w:rsid w:val="78E26AAF"/>
    <w:rsid w:val="79375558"/>
    <w:rsid w:val="799C6593"/>
    <w:rsid w:val="79A15F5D"/>
    <w:rsid w:val="79D22916"/>
    <w:rsid w:val="7A39380A"/>
    <w:rsid w:val="7A3D1560"/>
    <w:rsid w:val="7AAE09BC"/>
    <w:rsid w:val="7AD31FBF"/>
    <w:rsid w:val="7BE92CC9"/>
    <w:rsid w:val="7C5A1E13"/>
    <w:rsid w:val="7DC234D7"/>
    <w:rsid w:val="7DD716D0"/>
    <w:rsid w:val="7E6714B5"/>
    <w:rsid w:val="7FDE270E"/>
    <w:rsid w:val="7FDF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outlineLvl w:val="2"/>
    </w:pPr>
    <w:rPr>
      <w:rFonts w:ascii="楷体_GB2312" w:hAnsi="宋体" w:eastAsia="楷体_GB2312"/>
      <w:b/>
      <w:bCs/>
      <w:sz w:val="32"/>
    </w:rPr>
  </w:style>
  <w:style w:type="paragraph" w:styleId="5">
    <w:name w:val="heading 4"/>
    <w:basedOn w:val="6"/>
    <w:next w:val="6"/>
    <w:qFormat/>
    <w:uiPriority w:val="1"/>
    <w:pPr>
      <w:ind w:left="1091"/>
      <w:outlineLvl w:val="3"/>
    </w:pPr>
    <w:rPr>
      <w:rFonts w:ascii="宋体" w:hAnsi="宋体" w:cs="宋体"/>
      <w:b/>
      <w:bCs/>
      <w:sz w:val="28"/>
      <w:szCs w:val="28"/>
      <w:lang w:val="zh-CN" w:bidi="zh-CN"/>
    </w:rPr>
  </w:style>
  <w:style w:type="paragraph" w:styleId="8">
    <w:name w:val="heading 6"/>
    <w:basedOn w:val="6"/>
    <w:next w:val="6"/>
    <w:qFormat/>
    <w:uiPriority w:val="1"/>
    <w:pPr>
      <w:ind w:left="791"/>
      <w:outlineLvl w:val="5"/>
    </w:pPr>
    <w:rPr>
      <w:rFonts w:ascii="宋体" w:hAnsi="宋体" w:cs="宋体"/>
      <w:b/>
      <w:bCs/>
      <w:szCs w:val="21"/>
      <w:lang w:val="zh-CN" w:bidi="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6">
    <w:name w:val="正文_0_1"/>
    <w:basedOn w:val="7"/>
    <w:next w:val="3"/>
    <w:qFormat/>
    <w:uiPriority w:val="0"/>
  </w:style>
  <w:style w:type="paragraph" w:customStyle="1" w:styleId="7">
    <w:name w:val="正文_1_1"/>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Normal Indent"/>
    <w:basedOn w:val="1"/>
    <w:next w:val="10"/>
    <w:qFormat/>
    <w:uiPriority w:val="0"/>
    <w:pPr>
      <w:ind w:firstLine="420" w:firstLineChars="200"/>
    </w:pPr>
    <w:rPr>
      <w:szCs w:val="21"/>
    </w:r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1">
    <w:name w:val="annotation text"/>
    <w:basedOn w:val="12"/>
    <w:link w:val="63"/>
    <w:qFormat/>
    <w:uiPriority w:val="99"/>
    <w:pPr>
      <w:jc w:val="left"/>
    </w:pPr>
  </w:style>
  <w:style w:type="paragraph" w:customStyle="1" w:styleId="12">
    <w:name w:val="正文_2"/>
    <w:next w:val="13"/>
    <w:link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Plain Text"/>
    <w:basedOn w:val="1"/>
    <w:qFormat/>
    <w:uiPriority w:val="0"/>
    <w:rPr>
      <w:rFonts w:ascii="宋体" w:hAnsi="Courier New" w:cs="Courier New"/>
      <w:szCs w:val="21"/>
    </w:rPr>
  </w:style>
  <w:style w:type="paragraph" w:styleId="14">
    <w:name w:val="Body Text"/>
    <w:basedOn w:val="1"/>
    <w:qFormat/>
    <w:uiPriority w:val="0"/>
    <w:pPr>
      <w:spacing w:after="120"/>
    </w:pPr>
  </w:style>
  <w:style w:type="paragraph" w:styleId="15">
    <w:name w:val="endnote text"/>
    <w:basedOn w:val="1"/>
    <w:qFormat/>
    <w:uiPriority w:val="0"/>
    <w:pPr>
      <w:snapToGrid w:val="0"/>
      <w:jc w:val="left"/>
    </w:pPr>
    <w:rPr>
      <w:rFonts w:ascii="Times New Roman" w:hAnsi="Times New Roman"/>
    </w:rPr>
  </w:style>
  <w:style w:type="paragraph" w:styleId="16">
    <w:name w:val="Balloon Text"/>
    <w:basedOn w:val="1"/>
    <w:link w:val="6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360" w:lineRule="auto"/>
    </w:pPr>
    <w:rPr>
      <w:szCs w:val="20"/>
    </w:rPr>
  </w:style>
  <w:style w:type="paragraph" w:styleId="20">
    <w:name w:val="Body Text Indent 3"/>
    <w:basedOn w:val="1"/>
    <w:qFormat/>
    <w:uiPriority w:val="0"/>
    <w:pPr>
      <w:spacing w:line="360" w:lineRule="auto"/>
      <w:ind w:left="1260" w:leftChars="600"/>
    </w:pPr>
    <w:rPr>
      <w:rFonts w:ascii="宋体" w:hAnsi="宋体"/>
      <w:b/>
      <w:bCs/>
      <w:sz w:val="24"/>
    </w:rPr>
  </w:style>
  <w:style w:type="paragraph" w:styleId="21">
    <w:name w:val="HTML Preformatted"/>
    <w:basedOn w:val="2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customStyle="1" w:styleId="22">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annotation subject"/>
    <w:basedOn w:val="11"/>
    <w:next w:val="11"/>
    <w:link w:val="64"/>
    <w:qFormat/>
    <w:uiPriority w:val="0"/>
    <w:rPr>
      <w:b/>
      <w:bCs/>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qFormat/>
    <w:uiPriority w:val="99"/>
    <w:rPr>
      <w:color w:val="000000"/>
      <w:sz w:val="18"/>
      <w:szCs w:val="18"/>
      <w:u w:val="none"/>
    </w:rPr>
  </w:style>
  <w:style w:type="character" w:styleId="32">
    <w:name w:val="annotation reference"/>
    <w:semiHidden/>
    <w:qFormat/>
    <w:uiPriority w:val="0"/>
    <w:rPr>
      <w:sz w:val="21"/>
      <w:szCs w:val="21"/>
    </w:rPr>
  </w:style>
  <w:style w:type="paragraph" w:customStyle="1" w:styleId="33">
    <w:name w:val="纯文本1"/>
    <w:basedOn w:val="1"/>
    <w:qFormat/>
    <w:uiPriority w:val="0"/>
    <w:rPr>
      <w:rFonts w:ascii="宋体" w:hAnsi="Courier New" w:cs="Courier New"/>
      <w:szCs w:val="21"/>
    </w:rPr>
  </w:style>
  <w:style w:type="paragraph" w:customStyle="1" w:styleId="34">
    <w:name w:val="Plain Text1"/>
    <w:basedOn w:val="1"/>
    <w:qFormat/>
    <w:uiPriority w:val="0"/>
    <w:rPr>
      <w:rFonts w:ascii="宋体" w:hAnsi="Courier New" w:cs="Courier New"/>
      <w:szCs w:val="21"/>
    </w:rPr>
  </w:style>
  <w:style w:type="paragraph" w:customStyle="1" w:styleId="35">
    <w:name w:val="表格文字"/>
    <w:basedOn w:val="1"/>
    <w:qFormat/>
    <w:uiPriority w:val="0"/>
    <w:pPr>
      <w:spacing w:before="25" w:after="25"/>
      <w:jc w:val="left"/>
    </w:pPr>
    <w:rPr>
      <w:bCs/>
      <w:spacing w:val="10"/>
      <w:kern w:val="0"/>
      <w:sz w:val="24"/>
    </w:rPr>
  </w:style>
  <w:style w:type="paragraph" w:customStyle="1" w:styleId="36">
    <w:name w:val="正文缩进1"/>
    <w:basedOn w:val="1"/>
    <w:next w:val="10"/>
    <w:qFormat/>
    <w:uiPriority w:val="0"/>
    <w:pPr>
      <w:ind w:firstLine="420" w:firstLineChars="200"/>
    </w:pPr>
    <w:rPr>
      <w:szCs w:val="21"/>
    </w:rPr>
  </w:style>
  <w:style w:type="paragraph" w:customStyle="1" w:styleId="3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0_0_0"/>
    <w:basedOn w:val="39"/>
    <w:qFormat/>
    <w:uiPriority w:val="0"/>
  </w:style>
  <w:style w:type="paragraph" w:customStyle="1" w:styleId="39">
    <w:name w:val="正文_1_0"/>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Normal Indent1"/>
    <w:basedOn w:val="1"/>
    <w:qFormat/>
    <w:uiPriority w:val="0"/>
    <w:pPr>
      <w:ind w:firstLine="420" w:firstLineChars="200"/>
    </w:pPr>
  </w:style>
  <w:style w:type="paragraph" w:customStyle="1" w:styleId="41">
    <w:name w:val="正文_1"/>
    <w:basedOn w:val="12"/>
    <w:next w:val="3"/>
    <w:qFormat/>
    <w:uiPriority w:val="0"/>
    <w:rPr>
      <w:rFonts w:ascii="Times New Roman" w:hAnsi="Times New Roman" w:cs="Calibri"/>
      <w:szCs w:val="21"/>
    </w:rPr>
  </w:style>
  <w:style w:type="character" w:customStyle="1" w:styleId="42">
    <w:name w:val="16"/>
    <w:qFormat/>
    <w:uiPriority w:val="0"/>
    <w:rPr>
      <w:rFonts w:hint="default" w:ascii="Times New Roman" w:hAnsi="Times New Roman" w:cs="Times New Roman"/>
    </w:rPr>
  </w:style>
  <w:style w:type="character" w:customStyle="1" w:styleId="43">
    <w:name w:val="font11"/>
    <w:basedOn w:val="27"/>
    <w:qFormat/>
    <w:uiPriority w:val="0"/>
    <w:rPr>
      <w:rFonts w:hint="eastAsia" w:ascii="宋体" w:hAnsi="宋体" w:eastAsia="宋体" w:cs="宋体"/>
      <w:color w:val="000000"/>
      <w:sz w:val="21"/>
      <w:szCs w:val="21"/>
      <w:u w:val="none"/>
    </w:rPr>
  </w:style>
  <w:style w:type="paragraph" w:customStyle="1" w:styleId="44">
    <w:name w:val="普通(网站)_0"/>
    <w:basedOn w:val="6"/>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45">
    <w:name w:val="正文_0_0"/>
    <w:basedOn w:val="39"/>
    <w:next w:val="4"/>
    <w:qFormat/>
    <w:uiPriority w:val="0"/>
  </w:style>
  <w:style w:type="paragraph" w:customStyle="1" w:styleId="46">
    <w:name w:val="文件标题"/>
    <w:basedOn w:val="1"/>
    <w:qFormat/>
    <w:uiPriority w:val="99"/>
    <w:pPr>
      <w:numPr>
        <w:ilvl w:val="0"/>
        <w:numId w:val="1"/>
      </w:numPr>
    </w:pPr>
    <w:rPr>
      <w:rFonts w:ascii="宋体" w:hAnsi="宋体" w:cs="宋体"/>
      <w:szCs w:val="21"/>
    </w:rPr>
  </w:style>
  <w:style w:type="paragraph" w:customStyle="1" w:styleId="47">
    <w:name w:val="[Normal]"/>
    <w:qFormat/>
    <w:uiPriority w:val="0"/>
    <w:rPr>
      <w:rFonts w:ascii="宋体" w:hAnsi="宋体" w:eastAsia="宋体" w:cs="Times New Roman"/>
      <w:sz w:val="24"/>
      <w:lang w:val="en-US" w:eastAsia="en-US" w:bidi="ar-SA"/>
    </w:rPr>
  </w:style>
  <w:style w:type="paragraph" w:customStyle="1" w:styleId="4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1_1_0_0"/>
    <w:qFormat/>
    <w:uiPriority w:val="0"/>
    <w:pPr>
      <w:widowControl w:val="0"/>
      <w:jc w:val="both"/>
    </w:pPr>
    <w:rPr>
      <w:rFonts w:ascii="Calibri" w:hAnsi="Calibri" w:eastAsia="宋体" w:cs="Times New Roman"/>
      <w:color w:val="0000FF"/>
      <w:kern w:val="2"/>
      <w:sz w:val="24"/>
      <w:szCs w:val="24"/>
      <w:lang w:val="en-US" w:eastAsia="zh-CN" w:bidi="ar-SA"/>
    </w:rPr>
  </w:style>
  <w:style w:type="paragraph" w:customStyle="1" w:styleId="50">
    <w:name w:val="_Style 21"/>
    <w:basedOn w:val="49"/>
    <w:qFormat/>
    <w:uiPriority w:val="99"/>
    <w:pPr>
      <w:ind w:firstLine="420" w:firstLineChars="200"/>
    </w:pPr>
    <w:rPr>
      <w:rFonts w:ascii="Times New Roman" w:hAnsi="Times New Roman" w:cs="宋体"/>
      <w:szCs w:val="21"/>
    </w:rPr>
  </w:style>
  <w:style w:type="paragraph" w:customStyle="1" w:styleId="51">
    <w:name w:val="_Style 3"/>
    <w:basedOn w:val="1"/>
    <w:next w:val="20"/>
    <w:qFormat/>
    <w:uiPriority w:val="34"/>
    <w:pPr>
      <w:ind w:firstLine="420" w:firstLineChars="200"/>
    </w:pPr>
    <w:rPr>
      <w:sz w:val="24"/>
      <w:szCs w:val="22"/>
    </w:rPr>
  </w:style>
  <w:style w:type="paragraph" w:customStyle="1" w:styleId="52">
    <w:name w:val="正文_0_0_0_0"/>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4">
    <w:name w:val="列出段落1"/>
    <w:basedOn w:val="6"/>
    <w:qFormat/>
    <w:uiPriority w:val="99"/>
    <w:pPr>
      <w:ind w:firstLine="420" w:firstLineChars="200"/>
    </w:pPr>
  </w:style>
  <w:style w:type="paragraph" w:customStyle="1" w:styleId="5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56">
    <w:name w:val="正文缩进_0"/>
    <w:basedOn w:val="39"/>
    <w:unhideWhenUsed/>
    <w:qFormat/>
    <w:uiPriority w:val="0"/>
    <w:pPr>
      <w:ind w:firstLine="420" w:firstLineChars="200"/>
    </w:pPr>
    <w:rPr>
      <w:rFonts w:ascii="Calibri" w:hAnsi="Calibri"/>
    </w:rPr>
  </w:style>
  <w:style w:type="paragraph" w:customStyle="1" w:styleId="5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8">
    <w:name w:val="样式 标题 1合同标题卷标题TITRE11h1标题 1 1标书1H11st levelSection Hea..."/>
    <w:basedOn w:val="3"/>
    <w:qFormat/>
    <w:uiPriority w:val="0"/>
    <w:pPr>
      <w:spacing w:before="40" w:after="40"/>
    </w:pPr>
  </w:style>
  <w:style w:type="character" w:customStyle="1" w:styleId="59">
    <w:name w:val="ask-title"/>
    <w:basedOn w:val="27"/>
    <w:qFormat/>
    <w:uiPriority w:val="0"/>
  </w:style>
  <w:style w:type="paragraph" w:customStyle="1" w:styleId="60">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批注框文本 Char"/>
    <w:basedOn w:val="27"/>
    <w:link w:val="16"/>
    <w:qFormat/>
    <w:uiPriority w:val="0"/>
    <w:rPr>
      <w:rFonts w:ascii="Calibri" w:hAnsi="Calibri"/>
      <w:kern w:val="2"/>
      <w:sz w:val="18"/>
      <w:szCs w:val="18"/>
    </w:rPr>
  </w:style>
  <w:style w:type="character" w:customStyle="1" w:styleId="62">
    <w:name w:val="正文_2 Char"/>
    <w:basedOn w:val="27"/>
    <w:link w:val="12"/>
    <w:qFormat/>
    <w:uiPriority w:val="0"/>
    <w:rPr>
      <w:rFonts w:ascii="Calibri" w:hAnsi="Calibri"/>
      <w:kern w:val="2"/>
      <w:sz w:val="21"/>
      <w:szCs w:val="22"/>
    </w:rPr>
  </w:style>
  <w:style w:type="character" w:customStyle="1" w:styleId="63">
    <w:name w:val="批注文字 Char"/>
    <w:basedOn w:val="62"/>
    <w:link w:val="11"/>
    <w:qFormat/>
    <w:uiPriority w:val="99"/>
    <w:rPr>
      <w:rFonts w:ascii="Calibri" w:hAnsi="Calibri"/>
      <w:kern w:val="2"/>
      <w:sz w:val="21"/>
      <w:szCs w:val="22"/>
    </w:rPr>
  </w:style>
  <w:style w:type="character" w:customStyle="1" w:styleId="64">
    <w:name w:val="批注主题 Char"/>
    <w:basedOn w:val="63"/>
    <w:link w:val="24"/>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38517</Words>
  <Characters>39556</Characters>
  <Lines>38</Lines>
  <Paragraphs>88</Paragraphs>
  <TotalTime>0</TotalTime>
  <ScaleCrop>false</ScaleCrop>
  <LinksUpToDate>false</LinksUpToDate>
  <CharactersWithSpaces>41896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2022-06-03T13:47:00Z</dcterms:created>
  <dc:creator>dell</dc:creator>
  <cp:lastModifiedBy>zhumaihan</cp:lastModifiedBy>
  <cp:lastPrinted>2021-06-15T09:42:00Z</cp:lastPrinted>
  <dcterms:modified xsi:type="dcterms:W3CDTF">2022-09-02T05:20:02Z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A8E01B8CED2B47EA95543865B003369F</vt:lpwstr>
  </property>
</Properties>
</file>