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采购需求</w:t>
      </w:r>
    </w:p>
    <w:p>
      <w:bookmarkStart w:id="0" w:name="_GoBack"/>
      <w:bookmarkEnd w:id="0"/>
      <w:r>
        <w:rPr>
          <w:rFonts w:hint="eastAsia"/>
          <w:lang w:eastAsia="zh-CN"/>
        </w:rPr>
        <w:t>一</w:t>
      </w:r>
      <w:r>
        <w:rPr>
          <w:rFonts w:hint="eastAsia"/>
        </w:rPr>
        <w:t>、具体要求</w:t>
      </w:r>
    </w:p>
    <w:p>
      <w:pPr>
        <w:pStyle w:val="6"/>
        <w:tabs>
          <w:tab w:val="left" w:pos="540"/>
        </w:tabs>
        <w:adjustRightInd w:val="0"/>
        <w:snapToGrid w:val="0"/>
        <w:jc w:val="center"/>
        <w:rPr>
          <w:rFonts w:hAnsi="宋体" w:eastAsia="宋体" w:cs="宋体"/>
          <w:b/>
          <w:bCs/>
        </w:rPr>
      </w:pPr>
      <w:r>
        <w:rPr>
          <w:rFonts w:hint="eastAsia" w:hAnsi="宋体" w:eastAsia="宋体" w:cs="宋体"/>
          <w:b/>
          <w:bCs/>
        </w:rPr>
        <w:t>平安钟服务内容及设备要求一览</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113"/>
        <w:gridCol w:w="1986"/>
        <w:gridCol w:w="4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32"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类别</w:t>
            </w:r>
          </w:p>
        </w:tc>
        <w:tc>
          <w:tcPr>
            <w:tcW w:w="653"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cs="宋体"/>
                <w:b/>
                <w:bCs/>
              </w:rPr>
              <w:t>要求</w:t>
            </w:r>
          </w:p>
        </w:tc>
        <w:tc>
          <w:tcPr>
            <w:tcW w:w="3713" w:type="pct"/>
            <w:gridSpan w:val="2"/>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具体内容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restar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rPr>
              <w:t>基本服务内容</w:t>
            </w:r>
          </w:p>
        </w:tc>
        <w:tc>
          <w:tcPr>
            <w:tcW w:w="653" w:type="pct"/>
            <w:vMerge w:val="restar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color w:val="000000"/>
                <w:kern w:val="0"/>
                <w:lang w:bidi="ar"/>
              </w:rPr>
              <w:t>安装调试工作内容</w:t>
            </w:r>
          </w:p>
        </w:tc>
        <w:tc>
          <w:tcPr>
            <w:tcW w:w="3713" w:type="pct"/>
            <w:gridSpan w:val="2"/>
            <w:tcBorders>
              <w:tl2br w:val="nil"/>
              <w:tr2bl w:val="nil"/>
            </w:tcBorders>
          </w:tcPr>
          <w:p>
            <w:pPr>
              <w:pStyle w:val="6"/>
              <w:tabs>
                <w:tab w:val="left" w:pos="540"/>
              </w:tabs>
              <w:adjustRightInd w:val="0"/>
              <w:snapToGrid w:val="0"/>
              <w:jc w:val="left"/>
              <w:rPr>
                <w:rFonts w:hAnsi="宋体" w:eastAsia="宋体" w:cs="宋体"/>
                <w:bCs/>
              </w:rPr>
            </w:pPr>
            <w:r>
              <w:rPr>
                <w:rFonts w:hint="eastAsia" w:hAnsi="宋体" w:eastAsia="宋体" w:cs="宋体"/>
                <w:bCs/>
              </w:rPr>
              <w:t>移动平安钟：1.对用户安装设备环境进行检查，确认信号接收是否正常；2.进行设备安装工作；3.对设备进行安装调试；4.指导用户正确使用设备；5.现场跟</w:t>
            </w:r>
            <w:r>
              <w:rPr>
                <w:rFonts w:hint="eastAsia" w:hAnsi="宋体" w:cs="宋体"/>
                <w:bCs/>
              </w:rPr>
              <w:t>中标人</w:t>
            </w:r>
            <w:r>
              <w:rPr>
                <w:rFonts w:hint="eastAsia" w:hAnsi="宋体" w:eastAsia="宋体" w:cs="宋体"/>
                <w:bCs/>
              </w:rPr>
              <w:t>服务中心确认设备启用正常。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3713" w:type="pct"/>
            <w:gridSpan w:val="2"/>
            <w:tcBorders>
              <w:tl2br w:val="nil"/>
              <w:tr2bl w:val="nil"/>
            </w:tcBorders>
          </w:tcPr>
          <w:p>
            <w:pPr>
              <w:pStyle w:val="6"/>
              <w:tabs>
                <w:tab w:val="left" w:pos="540"/>
              </w:tabs>
              <w:adjustRightInd w:val="0"/>
              <w:snapToGrid w:val="0"/>
              <w:jc w:val="left"/>
              <w:rPr>
                <w:rFonts w:hAnsi="宋体" w:eastAsia="宋体" w:cs="宋体"/>
                <w:bCs/>
              </w:rPr>
            </w:pPr>
            <w:r>
              <w:rPr>
                <w:rFonts w:hint="eastAsia" w:hAnsi="宋体" w:eastAsia="宋体" w:cs="宋体"/>
                <w:bCs/>
              </w:rPr>
              <w:t>固定平安钟：1.对用户安装设备环境进行检查；2.对安装设备线路进行检测，需要外部拉线或内部拉线的提供布线用的材料以及现场布线工作；3.进行设备安装工作；4.对设备进行安装调试；5.指导用户正确使用设备；6.现场跟</w:t>
            </w:r>
            <w:r>
              <w:rPr>
                <w:rFonts w:hint="eastAsia" w:hAnsi="宋体" w:cs="宋体"/>
                <w:bCs/>
              </w:rPr>
              <w:t>中标人</w:t>
            </w:r>
            <w:r>
              <w:rPr>
                <w:rFonts w:hint="eastAsia" w:hAnsi="宋体" w:eastAsia="宋体" w:cs="宋体"/>
                <w:bCs/>
              </w:rPr>
              <w:t>服务中心确认设备启用正常。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color w:val="000000"/>
                <w:kern w:val="0"/>
                <w:lang w:bidi="ar"/>
              </w:rPr>
              <w:t>注册登记工作内容</w:t>
            </w:r>
          </w:p>
        </w:tc>
        <w:tc>
          <w:tcPr>
            <w:tcW w:w="3713" w:type="pct"/>
            <w:gridSpan w:val="2"/>
            <w:tcBorders>
              <w:tl2br w:val="nil"/>
              <w:tr2bl w:val="nil"/>
            </w:tcBorders>
          </w:tcPr>
          <w:p>
            <w:pPr>
              <w:pStyle w:val="6"/>
              <w:tabs>
                <w:tab w:val="left" w:pos="540"/>
              </w:tabs>
              <w:adjustRightInd w:val="0"/>
              <w:snapToGrid w:val="0"/>
              <w:jc w:val="left"/>
              <w:rPr>
                <w:rFonts w:hAnsi="宋体" w:eastAsia="宋体" w:cs="宋体"/>
                <w:bCs/>
              </w:rPr>
            </w:pPr>
            <w:r>
              <w:rPr>
                <w:rFonts w:hint="eastAsia" w:hAnsi="宋体" w:eastAsia="宋体" w:cs="宋体"/>
                <w:bCs/>
              </w:rPr>
              <w:t>1.业务员对拟安装用户进行系统注册生成用户编号；2 现场对用户进行申请资料核实；3.对用户申请安装设备进行核实；4.对用户进行《呼援服务登记表》资料填写；5.跟用户讲解《呼援服务协议》，用户确认清楚知悉协议内容、免责条款、服务收费办法等后在该协议签字；6.资料录入员收到安装员返回的《呼援服务登记表》及《呼援服务协议》后在</w:t>
            </w:r>
            <w:r>
              <w:rPr>
                <w:rFonts w:hint="eastAsia" w:hAnsi="宋体" w:cs="宋体"/>
                <w:bCs/>
              </w:rPr>
              <w:t>中标人</w:t>
            </w:r>
            <w:r>
              <w:rPr>
                <w:rFonts w:hint="eastAsia" w:hAnsi="宋体" w:eastAsia="宋体" w:cs="宋体"/>
                <w:bCs/>
              </w:rPr>
              <w:t>呼援服务平台进行用户资料录入；5.对用户申请资料、《呼援服务登记表》《呼援服务协议》进行入册登记归档维护。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color w:val="000000"/>
                <w:kern w:val="0"/>
                <w:lang w:bidi="ar"/>
              </w:rPr>
              <w:t>常态化服务内容</w:t>
            </w:r>
          </w:p>
        </w:tc>
        <w:tc>
          <w:tcPr>
            <w:tcW w:w="3713" w:type="pct"/>
            <w:gridSpan w:val="2"/>
            <w:tcBorders>
              <w:tl2br w:val="nil"/>
              <w:tr2bl w:val="nil"/>
            </w:tcBorders>
          </w:tcPr>
          <w:p>
            <w:pPr>
              <w:pStyle w:val="6"/>
              <w:tabs>
                <w:tab w:val="left" w:pos="540"/>
              </w:tabs>
              <w:adjustRightInd w:val="0"/>
              <w:snapToGrid w:val="0"/>
              <w:jc w:val="left"/>
              <w:rPr>
                <w:rFonts w:hAnsi="宋体" w:eastAsia="宋体" w:cs="宋体"/>
                <w:bCs/>
              </w:rPr>
            </w:pPr>
            <w:r>
              <w:rPr>
                <w:rFonts w:hint="eastAsia" w:hAnsi="宋体" w:eastAsia="宋体" w:cs="宋体"/>
                <w:bCs/>
              </w:rPr>
              <w:t>一.手机轨迹定位服务（适用移动平安钟服务）</w:t>
            </w:r>
          </w:p>
          <w:p>
            <w:pPr>
              <w:pStyle w:val="6"/>
              <w:tabs>
                <w:tab w:val="left" w:pos="540"/>
              </w:tabs>
              <w:adjustRightInd w:val="0"/>
              <w:snapToGrid w:val="0"/>
              <w:jc w:val="left"/>
              <w:rPr>
                <w:rFonts w:hAnsi="宋体" w:eastAsia="宋体" w:cs="宋体"/>
                <w:bCs/>
              </w:rPr>
            </w:pPr>
            <w:r>
              <w:rPr>
                <w:rFonts w:hint="eastAsia" w:hAnsi="宋体" w:eastAsia="宋体" w:cs="宋体"/>
                <w:bCs/>
              </w:rPr>
              <w:t>1. 手机用户或指定紧急联系人可随时致电中标人呼援服务平台查询用户手机活动定位轨迹信息；</w:t>
            </w:r>
          </w:p>
          <w:p>
            <w:pPr>
              <w:pStyle w:val="6"/>
              <w:tabs>
                <w:tab w:val="left" w:pos="540"/>
              </w:tabs>
              <w:adjustRightInd w:val="0"/>
              <w:snapToGrid w:val="0"/>
              <w:jc w:val="left"/>
              <w:rPr>
                <w:rFonts w:hAnsi="宋体" w:eastAsia="宋体" w:cs="宋体"/>
                <w:bCs/>
              </w:rPr>
            </w:pPr>
            <w:r>
              <w:rPr>
                <w:rFonts w:hint="eastAsia" w:hAnsi="宋体" w:eastAsia="宋体" w:cs="宋体"/>
                <w:bCs/>
              </w:rPr>
              <w:t>2. 为手机用户或指定紧急联系人提供查询定位历史轨迹信息；</w:t>
            </w:r>
          </w:p>
          <w:p>
            <w:pPr>
              <w:pStyle w:val="6"/>
              <w:tabs>
                <w:tab w:val="left" w:pos="540"/>
              </w:tabs>
              <w:adjustRightInd w:val="0"/>
              <w:snapToGrid w:val="0"/>
              <w:jc w:val="left"/>
              <w:rPr>
                <w:rFonts w:hAnsi="宋体" w:eastAsia="宋体" w:cs="宋体"/>
                <w:bCs/>
              </w:rPr>
            </w:pPr>
            <w:r>
              <w:rPr>
                <w:rFonts w:hint="eastAsia" w:hAnsi="宋体" w:eastAsia="宋体" w:cs="宋体"/>
                <w:bCs/>
              </w:rPr>
              <w:t>3. 经手机用户或指定紧急联系人同意，可为用户设定越界报警功能。</w:t>
            </w:r>
          </w:p>
          <w:p>
            <w:pPr>
              <w:pStyle w:val="6"/>
              <w:tabs>
                <w:tab w:val="left" w:pos="540"/>
              </w:tabs>
              <w:adjustRightInd w:val="0"/>
              <w:snapToGrid w:val="0"/>
              <w:jc w:val="left"/>
              <w:rPr>
                <w:rFonts w:hAnsi="宋体" w:eastAsia="宋体" w:cs="宋体"/>
                <w:bCs/>
              </w:rPr>
            </w:pPr>
            <w:r>
              <w:rPr>
                <w:rFonts w:hint="eastAsia" w:hAnsi="宋体" w:eastAsia="宋体" w:cs="宋体"/>
                <w:bCs/>
              </w:rPr>
              <w:t>二．基本服务：（适用移动和固定平安钟服务）</w:t>
            </w:r>
          </w:p>
          <w:p>
            <w:pPr>
              <w:pStyle w:val="6"/>
              <w:tabs>
                <w:tab w:val="left" w:pos="540"/>
              </w:tabs>
              <w:adjustRightInd w:val="0"/>
              <w:snapToGrid w:val="0"/>
              <w:jc w:val="left"/>
              <w:rPr>
                <w:rFonts w:hAnsi="宋体" w:eastAsia="宋体" w:cs="宋体"/>
                <w:bCs/>
              </w:rPr>
            </w:pPr>
            <w:r>
              <w:rPr>
                <w:rFonts w:hint="eastAsia" w:hAnsi="宋体" w:eastAsia="宋体" w:cs="宋体"/>
                <w:bCs/>
              </w:rPr>
              <w:t>（一）紧急救援服务（含医疗救援、治安救援、火警救援、以及其他救援服务）：在用户因遇到危急或意外情况按键呼叫时，服务座席即时联系公共救援机构（医院急救中心、警务部门、消防部门）施救，或联系社区机构、用户亲友上门救</w:t>
            </w:r>
            <w:r>
              <w:rPr>
                <w:rFonts w:hint="eastAsia" w:hAnsi="宋体" w:eastAsia="宋体" w:cs="宋体"/>
                <w:bCs/>
                <w:highlight w:val="none"/>
              </w:rPr>
              <w:t>助。为110、119、120等紧急救援机构提供用户的病情信息、位置信息等，给予信息支持，以保障用户的安全和及时救治，同时做好三方通话录音信息的保留工作。（二）生活支援服务（含医疗保健、居家维修、家政护理等）：在用户因日常生活需求服务按键呼叫时，服务座席转介社会服务机构、所需服务的供应商等上门提供长者送餐、家政服务、维修服务、</w:t>
            </w:r>
            <w:r>
              <w:rPr>
                <w:rFonts w:hint="eastAsia" w:hAnsi="宋体" w:eastAsia="宋体" w:cs="宋体"/>
                <w:bCs/>
              </w:rPr>
              <w:t>医疗巡诊服务等有偿或低偿服务；或联系社会工作者、志愿者为用户提供低偿或无偿服务。其中属于政府规定的居家养老服务对象的，首选联系政府部门指定的居家养老服务机构。（三）亲情关怀服务（含定期回访、咨询服务、家人看望、亲友联系等）：服务座席定期回访问候用户，为用户联络家人亲友，为用户提供社区服务等咨询，给予心理咨询或精神慰藉。（四）信息关爱服务（含灾害天气提醒、生日祝福等）：协助政府开展“平安钟”服务对象普查，提供用户健康档案管理服务、定时提醒、生日提醒、代发短信、天气预报、文化娱乐、体育健身及老年康复活动、亲情号码绑定等无偿或有偿服务。（五）网格化服务：对用户采用片区网格管理开展线下安装、维修、更新居住路线、社区宣传、社区活动、志愿服务等工作，与24小时客服中心配合做好用户紧急呼援、求助等线下服务的跟踪和落实；</w:t>
            </w:r>
          </w:p>
          <w:p>
            <w:pPr>
              <w:pStyle w:val="6"/>
              <w:tabs>
                <w:tab w:val="left" w:pos="540"/>
              </w:tabs>
              <w:adjustRightInd w:val="0"/>
              <w:snapToGrid w:val="0"/>
              <w:jc w:val="left"/>
              <w:rPr>
                <w:rFonts w:hAnsi="宋体" w:eastAsia="宋体" w:cs="宋体"/>
                <w:bCs/>
              </w:rPr>
            </w:pPr>
            <w:r>
              <w:rPr>
                <w:rFonts w:hint="eastAsia" w:hAnsi="宋体" w:eastAsia="宋体" w:cs="宋体"/>
                <w:bCs/>
              </w:rPr>
              <w:t>三．在合同履行期间，中标人应根据用户实际需求情况增设特色服务，还应在服务过程中根据采购人的需求不断增加新的应用。中标人增设特色服务情况及成效将作为服务绩效评估的重要指标之一。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2" w:type="pct"/>
            <w:vMerge w:val="restar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color w:val="000000"/>
                <w:kern w:val="0"/>
                <w:lang w:bidi="ar"/>
              </w:rPr>
              <w:t>设备要求</w:t>
            </w:r>
          </w:p>
        </w:tc>
        <w:tc>
          <w:tcPr>
            <w:tcW w:w="653"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cs="宋体"/>
                <w:color w:val="000000"/>
              </w:rPr>
              <w:t>设备类型</w:t>
            </w: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功能要求</w:t>
            </w:r>
          </w:p>
        </w:tc>
        <w:tc>
          <w:tcPr>
            <w:tcW w:w="2548"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restar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cs="宋体"/>
              </w:rPr>
              <w:t>固定平安钟</w:t>
            </w: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通迅类型</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提供有线固定电话、无线4G全网通固定电话二种产品类型供选择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通话功能</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支持双工、半双工、双向通话功能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一键SOS报警</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主机按键一键报警与遥控器一键报警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远程SOS遥控器拨号</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支持远程遥控拨号，距离：无遮挡时＞30米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亲情号码</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支持亲情号码设置与拨打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后备电池</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交流电断开或停电，设备自动切换使用后备电源，后备电源待机时长大于24小时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智能挂机</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通话结束后，电话机智能识别挂机，确保线路正常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故障上报</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支持设备故障上报，如：断电，电池电量低，遥控器电池电压低等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通话音量</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≥120分贝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整套配置</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设备一台，遥控器一个，充电器及电源线一套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rPr>
              <w:t>系统支持</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支持管理平台</w:t>
            </w:r>
            <w:r>
              <w:rPr>
                <w:rFonts w:hint="eastAsia" w:hAnsi="宋体" w:cs="宋体"/>
              </w:rPr>
              <w:t>绑定管理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rPr>
              <w:t>平台联动</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rPr>
              <w:t>产品需具备一键拨号功能，紧急情况下，一键SOS键呼叫平台进行求助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restart"/>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r>
              <w:rPr>
                <w:rFonts w:hint="eastAsia" w:hAnsi="宋体" w:cs="宋体"/>
                <w:color w:val="000000"/>
                <w:kern w:val="0"/>
                <w:lang w:bidi="ar"/>
              </w:rPr>
              <w:t>移动平安钟</w:t>
            </w: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通迅类型</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4G全网通，支持中国移动、中国联通、中国电信</w:t>
            </w:r>
            <w:r>
              <w:rPr>
                <w:rFonts w:hint="eastAsia" w:hAnsi="宋体" w:cs="宋体"/>
                <w:bCs/>
              </w:rPr>
              <w:t>等运营商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双向通话</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支持双向高清通话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vMerge w:val="restar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rPr>
              <w:t>定位功能</w:t>
            </w:r>
          </w:p>
        </w:tc>
        <w:tc>
          <w:tcPr>
            <w:tcW w:w="2548" w:type="pct"/>
            <w:tcBorders>
              <w:tl2br w:val="nil"/>
              <w:tr2bl w:val="nil"/>
            </w:tcBorders>
            <w:vAlign w:val="center"/>
          </w:tcPr>
          <w:p>
            <w:pPr>
              <w:pStyle w:val="6"/>
              <w:numPr>
                <w:ilvl w:val="0"/>
                <w:numId w:val="2"/>
              </w:numPr>
              <w:tabs>
                <w:tab w:val="left" w:pos="540"/>
              </w:tabs>
              <w:adjustRightInd w:val="0"/>
              <w:snapToGrid w:val="0"/>
              <w:jc w:val="left"/>
              <w:rPr>
                <w:rFonts w:hAnsi="宋体" w:cs="宋体"/>
                <w:bCs/>
              </w:rPr>
            </w:pPr>
            <w:r>
              <w:rPr>
                <w:rFonts w:hint="eastAsia" w:hAnsi="宋体" w:eastAsia="宋体" w:cs="宋体"/>
                <w:bCs/>
              </w:rPr>
              <w:t>支持GPS、北斗、WIFI、基站等四重以上定位模式，定位精准度5-40米</w:t>
            </w:r>
            <w:r>
              <w:rPr>
                <w:rFonts w:hint="eastAsia" w:hAnsi="宋体" w:cs="宋体"/>
                <w:bCs/>
              </w:rPr>
              <w:t>；</w:t>
            </w:r>
          </w:p>
          <w:p>
            <w:pPr>
              <w:pStyle w:val="6"/>
              <w:numPr>
                <w:ilvl w:val="0"/>
                <w:numId w:val="2"/>
              </w:numPr>
              <w:tabs>
                <w:tab w:val="left" w:pos="540"/>
              </w:tabs>
              <w:adjustRightInd w:val="0"/>
              <w:snapToGrid w:val="0"/>
              <w:jc w:val="left"/>
              <w:rPr>
                <w:rFonts w:hAnsi="宋体" w:cs="宋体"/>
                <w:bCs/>
              </w:rPr>
            </w:pPr>
            <w:r>
              <w:rPr>
                <w:rFonts w:hint="eastAsia" w:hAnsi="宋体" w:cs="宋体"/>
              </w:rPr>
              <w:t>具有</w:t>
            </w:r>
            <w:r>
              <w:rPr>
                <w:rFonts w:hint="eastAsia" w:hAnsi="宋体" w:eastAsia="宋体" w:cs="宋体"/>
              </w:rPr>
              <w:t>实时位置查询、历史轨迹查询、电子围栏</w:t>
            </w:r>
            <w:r>
              <w:rPr>
                <w:rFonts w:hint="eastAsia" w:hAnsi="宋体" w:cs="宋体"/>
              </w:rPr>
              <w:t>等功能。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rPr>
              <w:t>一键SOS报警</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支持物理按键一键报警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报警功能</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支持SOS报警，</w:t>
            </w:r>
            <w:r>
              <w:rPr>
                <w:rFonts w:hint="eastAsia" w:hAnsi="宋体" w:eastAsia="宋体" w:cs="宋体"/>
              </w:rPr>
              <w:t>电子围栏报警，低电量报警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亲情号码</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支持亲情号码存储与拨打，可设10</w:t>
            </w:r>
            <w:r>
              <w:rPr>
                <w:rFonts w:hint="eastAsia" w:hAnsi="宋体" w:cs="宋体"/>
                <w:bCs/>
              </w:rPr>
              <w:t>个</w:t>
            </w:r>
            <w:r>
              <w:rPr>
                <w:rFonts w:hint="eastAsia" w:hAnsi="宋体" w:eastAsia="宋体" w:cs="宋体"/>
                <w:bCs/>
              </w:rPr>
              <w:t>以上</w:t>
            </w:r>
            <w:r>
              <w:rPr>
                <w:rFonts w:hint="eastAsia" w:hAnsi="宋体" w:cs="宋体"/>
                <w:bCs/>
              </w:rPr>
              <w:t>亲情号码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待机时长</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w:t>
            </w:r>
            <w:r>
              <w:rPr>
                <w:rFonts w:hint="eastAsia" w:hAnsi="宋体" w:eastAsia="宋体" w:cs="宋体"/>
                <w:bCs/>
              </w:rPr>
              <w:t>3天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通话音量</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cs="宋体"/>
                <w:bCs/>
              </w:rPr>
              <w:t>≥</w:t>
            </w:r>
            <w:r>
              <w:rPr>
                <w:rFonts w:hint="eastAsia" w:hAnsi="宋体" w:eastAsia="宋体" w:cs="宋体"/>
                <w:bCs/>
              </w:rPr>
              <w:t>90分贝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健康监测</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运动计步，心率监测，血压监测等功能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rPr>
              <w:t>系统支持</w:t>
            </w:r>
          </w:p>
        </w:tc>
        <w:tc>
          <w:tcPr>
            <w:tcW w:w="2548" w:type="pct"/>
            <w:tcBorders>
              <w:tl2br w:val="nil"/>
              <w:tr2bl w:val="nil"/>
            </w:tcBorders>
            <w:vAlign w:val="center"/>
          </w:tcPr>
          <w:p>
            <w:pPr>
              <w:pStyle w:val="6"/>
              <w:tabs>
                <w:tab w:val="left" w:pos="540"/>
              </w:tabs>
              <w:adjustRightInd w:val="0"/>
              <w:snapToGrid w:val="0"/>
              <w:jc w:val="left"/>
              <w:rPr>
                <w:rFonts w:hAnsi="宋体" w:eastAsia="宋体" w:cs="宋体"/>
                <w:bCs/>
              </w:rPr>
            </w:pPr>
            <w:r>
              <w:rPr>
                <w:rFonts w:hint="eastAsia" w:hAnsi="宋体" w:eastAsia="宋体" w:cs="宋体"/>
                <w:bCs/>
              </w:rPr>
              <w:t>支持管理平台及</w:t>
            </w:r>
            <w:r>
              <w:rPr>
                <w:rFonts w:hint="eastAsia" w:hAnsi="宋体" w:eastAsia="宋体" w:cs="宋体"/>
              </w:rPr>
              <w:t>安卓、苹果</w:t>
            </w:r>
            <w:r>
              <w:rPr>
                <w:rFonts w:hint="eastAsia" w:hAnsi="宋体" w:cs="宋体"/>
              </w:rPr>
              <w:t>等操作</w:t>
            </w:r>
            <w:r>
              <w:rPr>
                <w:rFonts w:hint="eastAsia" w:hAnsi="宋体" w:eastAsia="宋体" w:cs="宋体"/>
              </w:rPr>
              <w:t>系统的APP应用绑定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rPr>
              <w:t>平台联动</w:t>
            </w:r>
          </w:p>
        </w:tc>
        <w:tc>
          <w:tcPr>
            <w:tcW w:w="2548" w:type="pct"/>
            <w:tcBorders>
              <w:tl2br w:val="nil"/>
              <w:tr2bl w:val="nil"/>
            </w:tcBorders>
            <w:vAlign w:val="center"/>
          </w:tcPr>
          <w:p>
            <w:pPr>
              <w:numPr>
                <w:ilvl w:val="0"/>
                <w:numId w:val="3"/>
              </w:numPr>
              <w:ind w:left="-1" w:leftChars="-119" w:hanging="249" w:hangingChars="119"/>
              <w:rPr>
                <w:rFonts w:ascii="宋体" w:hAnsi="宋体" w:eastAsia="宋体" w:cs="宋体"/>
                <w:bCs/>
                <w:u w:val="thick" w:color="FF0000"/>
              </w:rPr>
            </w:pPr>
            <w:r>
              <w:rPr>
                <w:rFonts w:hint="eastAsia" w:ascii="宋体" w:hAnsi="宋体" w:eastAsia="宋体" w:cs="宋体"/>
              </w:rPr>
              <w:t>（1）</w:t>
            </w:r>
            <w:r>
              <w:rPr>
                <w:rFonts w:hint="eastAsia" w:ascii="宋体" w:hAnsi="宋体" w:cs="宋体"/>
              </w:rPr>
              <w:t>产品需</w:t>
            </w:r>
            <w:r>
              <w:rPr>
                <w:rFonts w:hint="eastAsia" w:ascii="宋体" w:hAnsi="宋体" w:eastAsia="宋体" w:cs="宋体"/>
              </w:rPr>
              <w:t>具备接入统一管理平台功能，能及时上传相关的数据。（包括实时位置、行动轨迹、电子围栏、心率、血压、计步、佩戴状态等信息）</w:t>
            </w:r>
            <w:r>
              <w:rPr>
                <w:rFonts w:hint="eastAsia" w:ascii="宋体" w:hAnsi="宋体" w:cs="宋体"/>
              </w:rPr>
              <w:t>；</w:t>
            </w:r>
          </w:p>
          <w:p>
            <w:pPr>
              <w:pStyle w:val="6"/>
              <w:adjustRightInd w:val="0"/>
              <w:snapToGrid w:val="0"/>
              <w:jc w:val="left"/>
              <w:rPr>
                <w:rFonts w:hAnsi="宋体" w:eastAsia="宋体" w:cs="宋体"/>
                <w:bCs/>
              </w:rPr>
            </w:pPr>
            <w:r>
              <w:rPr>
                <w:rFonts w:hint="eastAsia" w:hAnsi="宋体" w:eastAsia="宋体" w:cs="宋体"/>
              </w:rPr>
              <w:t>（2）</w:t>
            </w:r>
            <w:r>
              <w:rPr>
                <w:rFonts w:hint="eastAsia" w:hAnsi="宋体" w:cs="宋体"/>
              </w:rPr>
              <w:t>产品需</w:t>
            </w:r>
            <w:r>
              <w:rPr>
                <w:rFonts w:hint="eastAsia" w:hAnsi="宋体" w:eastAsia="宋体" w:cs="宋体"/>
              </w:rPr>
              <w:t>具备一键拨号功能，紧急情况下，一键SOS键呼叫平台进行求助</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2" w:type="pct"/>
            <w:vMerge w:val="continue"/>
            <w:tcBorders>
              <w:tl2br w:val="nil"/>
              <w:tr2bl w:val="nil"/>
            </w:tcBorders>
          </w:tcPr>
          <w:p>
            <w:pPr>
              <w:pStyle w:val="6"/>
              <w:tabs>
                <w:tab w:val="left" w:pos="540"/>
              </w:tabs>
              <w:adjustRightInd w:val="0"/>
              <w:snapToGrid w:val="0"/>
              <w:jc w:val="center"/>
              <w:rPr>
                <w:rFonts w:hAnsi="宋体" w:eastAsia="宋体" w:cs="宋体"/>
              </w:rPr>
            </w:pPr>
          </w:p>
        </w:tc>
        <w:tc>
          <w:tcPr>
            <w:tcW w:w="653" w:type="pct"/>
            <w:vMerge w:val="continue"/>
            <w:tcBorders>
              <w:tl2br w:val="nil"/>
              <w:tr2bl w:val="nil"/>
            </w:tcBorders>
            <w:vAlign w:val="center"/>
          </w:tcPr>
          <w:p>
            <w:pPr>
              <w:pStyle w:val="6"/>
              <w:tabs>
                <w:tab w:val="left" w:pos="540"/>
              </w:tabs>
              <w:adjustRightInd w:val="0"/>
              <w:snapToGrid w:val="0"/>
              <w:jc w:val="center"/>
              <w:rPr>
                <w:rFonts w:hAnsi="宋体" w:eastAsia="宋体" w:cs="宋体"/>
                <w:color w:val="000000"/>
                <w:kern w:val="0"/>
                <w:lang w:bidi="ar"/>
              </w:rPr>
            </w:pPr>
          </w:p>
        </w:tc>
        <w:tc>
          <w:tcPr>
            <w:tcW w:w="1165"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整套配置</w:t>
            </w:r>
          </w:p>
        </w:tc>
        <w:tc>
          <w:tcPr>
            <w:tcW w:w="2548" w:type="pct"/>
            <w:tcBorders>
              <w:tl2br w:val="nil"/>
              <w:tr2bl w:val="nil"/>
            </w:tcBorders>
            <w:vAlign w:val="center"/>
          </w:tcPr>
          <w:p>
            <w:pPr>
              <w:pStyle w:val="12"/>
              <w:ind w:left="34" w:firstLine="0" w:firstLineChars="0"/>
              <w:rPr>
                <w:rFonts w:ascii="宋体" w:hAnsi="宋体" w:cs="宋体"/>
                <w:bCs/>
                <w:szCs w:val="21"/>
              </w:rPr>
            </w:pPr>
            <w:r>
              <w:rPr>
                <w:rFonts w:hint="eastAsia" w:ascii="宋体" w:hAnsi="宋体" w:cs="宋体"/>
                <w:bCs/>
                <w:szCs w:val="21"/>
              </w:rPr>
              <w:t>设备主机一台，充电器一个，充电线一条</w:t>
            </w:r>
          </w:p>
        </w:tc>
      </w:tr>
    </w:tbl>
    <w:p>
      <w:pPr>
        <w:pStyle w:val="3"/>
        <w:ind w:firstLine="0" w:firstLineChars="0"/>
      </w:pPr>
      <w:r>
        <w:rPr>
          <w:rFonts w:hint="eastAsia"/>
          <w:lang w:eastAsia="zh-CN"/>
        </w:rPr>
        <w:t>二</w:t>
      </w:r>
      <w:r>
        <w:rPr>
          <w:rFonts w:hint="eastAsia"/>
        </w:rPr>
        <w:t>、平台及终端设备技术要求</w:t>
      </w:r>
    </w:p>
    <w:tbl>
      <w:tblPr>
        <w:tblStyle w:val="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688"/>
        <w:gridCol w:w="4918"/>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59"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序号</w:t>
            </w:r>
          </w:p>
        </w:tc>
        <w:tc>
          <w:tcPr>
            <w:tcW w:w="991"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名称</w:t>
            </w:r>
          </w:p>
        </w:tc>
        <w:tc>
          <w:tcPr>
            <w:tcW w:w="2887"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技术</w:t>
            </w:r>
            <w:r>
              <w:rPr>
                <w:rFonts w:hint="eastAsia" w:hAnsi="宋体" w:cs="宋体"/>
                <w:b/>
                <w:bCs/>
              </w:rPr>
              <w:t>参数要求</w:t>
            </w:r>
          </w:p>
        </w:tc>
        <w:tc>
          <w:tcPr>
            <w:tcW w:w="562" w:type="pct"/>
            <w:tcBorders>
              <w:tl2br w:val="nil"/>
              <w:tr2bl w:val="nil"/>
            </w:tcBorders>
            <w:vAlign w:val="center"/>
          </w:tcPr>
          <w:p>
            <w:pPr>
              <w:pStyle w:val="6"/>
              <w:tabs>
                <w:tab w:val="left" w:pos="540"/>
              </w:tabs>
              <w:adjustRightInd w:val="0"/>
              <w:snapToGrid w:val="0"/>
              <w:jc w:val="center"/>
              <w:rPr>
                <w:rFonts w:hAnsi="宋体" w:eastAsia="宋体" w:cs="宋体"/>
                <w:b/>
                <w:bCs/>
              </w:rPr>
            </w:pPr>
            <w:r>
              <w:rPr>
                <w:rFonts w:hint="eastAsia" w:hAnsi="宋体" w:eastAsia="宋体" w:cs="宋体"/>
                <w:b/>
                <w:bC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rPr>
              <w:t>1</w:t>
            </w:r>
          </w:p>
        </w:tc>
        <w:tc>
          <w:tcPr>
            <w:tcW w:w="991"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平安</w:t>
            </w:r>
            <w:r>
              <w:rPr>
                <w:rFonts w:hint="eastAsia" w:hAnsi="宋体" w:cs="宋体"/>
                <w:bCs/>
              </w:rPr>
              <w:t>钟</w:t>
            </w:r>
            <w:r>
              <w:rPr>
                <w:rFonts w:hint="eastAsia" w:hAnsi="宋体" w:eastAsia="宋体" w:cs="宋体"/>
                <w:bCs/>
              </w:rPr>
              <w:t>呼援服务平台（含硬件、软件）</w:t>
            </w:r>
          </w:p>
        </w:tc>
        <w:tc>
          <w:tcPr>
            <w:tcW w:w="2887" w:type="pct"/>
            <w:tcBorders>
              <w:tl2br w:val="nil"/>
              <w:tr2bl w:val="nil"/>
            </w:tcBorders>
            <w:vAlign w:val="center"/>
          </w:tcPr>
          <w:p>
            <w:pPr>
              <w:pStyle w:val="6"/>
              <w:tabs>
                <w:tab w:val="left" w:pos="540"/>
              </w:tabs>
              <w:adjustRightInd w:val="0"/>
              <w:snapToGrid w:val="0"/>
              <w:rPr>
                <w:rFonts w:hAnsi="宋体" w:eastAsia="宋体" w:cs="宋体"/>
                <w:bCs/>
              </w:rPr>
            </w:pPr>
            <w:r>
              <w:rPr>
                <w:rFonts w:hint="eastAsia" w:hAnsi="宋体" w:eastAsia="宋体" w:cs="宋体"/>
                <w:bCs/>
              </w:rPr>
              <w:t>365</w:t>
            </w:r>
            <w:r>
              <w:rPr>
                <w:rFonts w:hint="eastAsia" w:hAnsi="宋体" w:cs="宋体"/>
                <w:bCs/>
              </w:rPr>
              <w:t>日</w:t>
            </w:r>
            <w:r>
              <w:rPr>
                <w:rFonts w:hint="eastAsia" w:hAnsi="宋体" w:eastAsia="宋体" w:cs="宋体"/>
                <w:bCs/>
              </w:rPr>
              <w:t>×24</w:t>
            </w:r>
            <w:r>
              <w:rPr>
                <w:rFonts w:hint="eastAsia" w:hAnsi="宋体" w:cs="宋体"/>
                <w:bCs/>
              </w:rPr>
              <w:t>小时</w:t>
            </w:r>
            <w:r>
              <w:rPr>
                <w:rFonts w:hint="eastAsia" w:hAnsi="宋体" w:eastAsia="宋体" w:cs="宋体"/>
                <w:bCs/>
              </w:rPr>
              <w:t>不间断运营，容量不少于80000用户。</w:t>
            </w:r>
          </w:p>
          <w:p>
            <w:pPr>
              <w:pStyle w:val="6"/>
              <w:tabs>
                <w:tab w:val="left" w:pos="540"/>
              </w:tabs>
              <w:adjustRightInd w:val="0"/>
              <w:snapToGrid w:val="0"/>
              <w:rPr>
                <w:rFonts w:hAnsi="宋体" w:eastAsia="宋体" w:cs="宋体"/>
                <w:bCs/>
              </w:rPr>
            </w:pPr>
            <w:r>
              <w:rPr>
                <w:rFonts w:hint="eastAsia" w:hAnsi="宋体" w:eastAsia="宋体" w:cs="宋体"/>
                <w:bCs/>
              </w:rPr>
              <w:t>由高速服务器、呼援服务平台系统、呼叫中心系统、移动端APP等集成。</w:t>
            </w:r>
          </w:p>
        </w:tc>
        <w:tc>
          <w:tcPr>
            <w:tcW w:w="562"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自行集成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9"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eastAsia="宋体" w:cs="宋体"/>
              </w:rPr>
              <w:t>2</w:t>
            </w:r>
          </w:p>
        </w:tc>
        <w:tc>
          <w:tcPr>
            <w:tcW w:w="991"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ascii="Times New Roman" w:hAnsi="Times New Roman" w:cs="Times New Roman"/>
                <w:bCs/>
              </w:rPr>
              <w:t>用户</w:t>
            </w:r>
            <w:r>
              <w:rPr>
                <w:rFonts w:hint="eastAsia" w:ascii="Times New Roman" w:hAnsi="Times New Roman" w:cs="Times New Roman"/>
                <w:bCs/>
              </w:rPr>
              <w:t>固定</w:t>
            </w:r>
            <w:r>
              <w:rPr>
                <w:rFonts w:ascii="Times New Roman" w:hAnsi="Times New Roman" w:cs="Times New Roman"/>
                <w:bCs/>
              </w:rPr>
              <w:t>终端</w:t>
            </w:r>
            <w:r>
              <w:rPr>
                <w:rFonts w:hint="eastAsia" w:ascii="Times New Roman" w:hAnsi="Times New Roman" w:cs="Times New Roman"/>
                <w:bCs/>
              </w:rPr>
              <w:t>设备</w:t>
            </w:r>
          </w:p>
        </w:tc>
        <w:tc>
          <w:tcPr>
            <w:tcW w:w="2887" w:type="pct"/>
            <w:tcBorders>
              <w:tl2br w:val="nil"/>
              <w:tr2bl w:val="nil"/>
            </w:tcBorders>
            <w:vAlign w:val="center"/>
          </w:tcPr>
          <w:p>
            <w:pPr>
              <w:pStyle w:val="6"/>
              <w:tabs>
                <w:tab w:val="left" w:pos="540"/>
              </w:tabs>
              <w:adjustRightInd w:val="0"/>
              <w:snapToGrid w:val="0"/>
              <w:rPr>
                <w:rFonts w:hAnsi="宋体" w:eastAsia="宋体" w:cs="宋体"/>
                <w:bCs/>
              </w:rPr>
            </w:pPr>
            <w:r>
              <w:rPr>
                <w:rFonts w:hint="eastAsia" w:hAnsi="宋体" w:eastAsia="宋体" w:cs="宋体"/>
                <w:bCs/>
              </w:rPr>
              <w:t>配备主机、呼叫遥控器、充电器。具备一键呼叫、强制抢线、双工转换、强制对讲、远程测控、定时自检、低电报警等基本功能。</w:t>
            </w:r>
          </w:p>
        </w:tc>
        <w:tc>
          <w:tcPr>
            <w:tcW w:w="562"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eastAsia="宋体" w:cs="宋体"/>
                <w:bCs/>
              </w:rPr>
              <w:t>定制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559" w:type="pct"/>
            <w:tcBorders>
              <w:tl2br w:val="nil"/>
              <w:tr2bl w:val="nil"/>
            </w:tcBorders>
            <w:vAlign w:val="center"/>
          </w:tcPr>
          <w:p>
            <w:pPr>
              <w:pStyle w:val="6"/>
              <w:tabs>
                <w:tab w:val="left" w:pos="540"/>
              </w:tabs>
              <w:adjustRightInd w:val="0"/>
              <w:snapToGrid w:val="0"/>
              <w:jc w:val="center"/>
              <w:rPr>
                <w:rFonts w:hAnsi="宋体" w:eastAsia="宋体" w:cs="宋体"/>
              </w:rPr>
            </w:pPr>
            <w:r>
              <w:rPr>
                <w:rFonts w:hint="eastAsia" w:hAnsi="宋体" w:cs="宋体"/>
              </w:rPr>
              <w:t>3</w:t>
            </w:r>
          </w:p>
        </w:tc>
        <w:tc>
          <w:tcPr>
            <w:tcW w:w="991" w:type="pct"/>
            <w:tcBorders>
              <w:tl2br w:val="nil"/>
              <w:tr2bl w:val="nil"/>
            </w:tcBorders>
            <w:vAlign w:val="center"/>
          </w:tcPr>
          <w:p>
            <w:pPr>
              <w:pStyle w:val="6"/>
              <w:tabs>
                <w:tab w:val="left" w:pos="540"/>
              </w:tabs>
              <w:adjustRightInd w:val="0"/>
              <w:snapToGrid w:val="0"/>
              <w:jc w:val="center"/>
              <w:rPr>
                <w:rFonts w:hAnsi="宋体" w:cs="宋体"/>
                <w:bCs/>
              </w:rPr>
            </w:pPr>
            <w:r>
              <w:rPr>
                <w:rFonts w:hint="eastAsia" w:hAnsi="宋体" w:cs="宋体"/>
                <w:bCs/>
              </w:rPr>
              <w:t>用户移动终端设备</w:t>
            </w:r>
          </w:p>
        </w:tc>
        <w:tc>
          <w:tcPr>
            <w:tcW w:w="2887" w:type="pct"/>
            <w:tcBorders>
              <w:tl2br w:val="nil"/>
              <w:tr2bl w:val="nil"/>
            </w:tcBorders>
            <w:vAlign w:val="center"/>
          </w:tcPr>
          <w:p>
            <w:pPr>
              <w:pStyle w:val="6"/>
              <w:tabs>
                <w:tab w:val="left" w:pos="540"/>
              </w:tabs>
              <w:adjustRightInd w:val="0"/>
              <w:snapToGrid w:val="0"/>
              <w:rPr>
                <w:rFonts w:hAnsi="宋体" w:eastAsia="宋体" w:cs="宋体"/>
                <w:bCs/>
              </w:rPr>
            </w:pPr>
            <w:r>
              <w:rPr>
                <w:rFonts w:hint="eastAsia" w:hAnsi="宋体" w:cs="宋体"/>
                <w:bCs/>
              </w:rPr>
              <w:t>配备主机、充电器、充电线；支持4G全网通（中国移动、中国联通、中国电信等运营商），支持双向通话，一键SOS紧急呼叫，支持GPS、北斗、WIFI、基站等四重以上定位，定位精准度5-40米。具备一键呼叫、定位、电子围栏、亲情号码、健康监测等基本功能，实现实时位置查询、历史轨迹查询、电子围栏功能；支持数据实时上传，支持管理平台及安卓、苹果等操作系统的APP应用绑定联动。</w:t>
            </w:r>
          </w:p>
        </w:tc>
        <w:tc>
          <w:tcPr>
            <w:tcW w:w="562" w:type="pct"/>
            <w:tcBorders>
              <w:tl2br w:val="nil"/>
              <w:tr2bl w:val="nil"/>
            </w:tcBorders>
            <w:vAlign w:val="center"/>
          </w:tcPr>
          <w:p>
            <w:pPr>
              <w:pStyle w:val="6"/>
              <w:tabs>
                <w:tab w:val="left" w:pos="540"/>
              </w:tabs>
              <w:adjustRightInd w:val="0"/>
              <w:snapToGrid w:val="0"/>
              <w:jc w:val="center"/>
              <w:rPr>
                <w:rFonts w:hAnsi="宋体" w:eastAsia="宋体" w:cs="宋体"/>
                <w:bCs/>
              </w:rPr>
            </w:pPr>
            <w:r>
              <w:rPr>
                <w:rFonts w:hint="eastAsia" w:hAnsi="宋体" w:cs="宋体"/>
                <w:bCs/>
              </w:rPr>
              <w:t>定制</w:t>
            </w:r>
          </w:p>
        </w:tc>
      </w:tr>
    </w:tbl>
    <w:p>
      <w:pPr>
        <w:pStyle w:val="3"/>
        <w:ind w:firstLine="0" w:firstLineChars="0"/>
      </w:pPr>
      <w:r>
        <w:rPr>
          <w:rFonts w:hint="eastAsia"/>
          <w:lang w:eastAsia="zh-CN"/>
        </w:rPr>
        <w:t>三</w:t>
      </w:r>
      <w:r>
        <w:rPr>
          <w:rFonts w:hint="eastAsia"/>
        </w:rPr>
        <w:t>、其他要求</w:t>
      </w:r>
    </w:p>
    <w:p>
      <w:r>
        <w:rPr>
          <w:rFonts w:hint="eastAsia"/>
        </w:rPr>
        <w:t>（一）设备购置</w:t>
      </w:r>
    </w:p>
    <w:p>
      <w:r>
        <w:rPr>
          <w:rFonts w:hint="eastAsia"/>
        </w:rPr>
        <w:t>1．固定终端设备基本配置为固定呼叫器1个，遥控器1个，变压器1个以及连接电话线1条。</w:t>
      </w:r>
    </w:p>
    <w:p>
      <w:r>
        <w:rPr>
          <w:rFonts w:hint="eastAsia"/>
        </w:rPr>
        <w:t>2．移动终端设备基本配置为主机1个，电源适配器1个，电源数据线1条。</w:t>
      </w:r>
    </w:p>
    <w:p>
      <w:r>
        <w:rPr>
          <w:rFonts w:hint="eastAsia"/>
        </w:rPr>
        <w:t>3．用户如需要增加遥控器，中标人可适当加收费用，每增加1个最高加收人民币50元。</w:t>
      </w:r>
    </w:p>
    <w:p>
      <w:r>
        <w:rPr>
          <w:rFonts w:hint="eastAsia"/>
        </w:rPr>
        <w:t>4．用户可以根据自身的实际需求选择中标人提供的平安钟新型终端设备（但该新型终端设备必须具备本项用户需求内容要求），设备的设备费差额部分由用户自费补足。</w:t>
      </w:r>
    </w:p>
    <w:p>
      <w:r>
        <w:rPr>
          <w:rFonts w:hint="eastAsia"/>
        </w:rPr>
        <w:t>（二）安装登记</w:t>
      </w:r>
    </w:p>
    <w:p>
      <w:r>
        <w:rPr>
          <w:rFonts w:hint="eastAsia"/>
        </w:rPr>
        <w:t>1．安装调试费以户（设备）为计算单位；注册登记以用户（人）为计算单位。</w:t>
      </w:r>
    </w:p>
    <w:p>
      <w:r>
        <w:rPr>
          <w:rFonts w:hint="eastAsia"/>
        </w:rPr>
        <w:t>2．安装调试费已包括室内布线的安装材料。</w:t>
      </w:r>
    </w:p>
    <w:p>
      <w:r>
        <w:rPr>
          <w:rFonts w:hint="eastAsia"/>
        </w:rPr>
        <w:t>（三）其他服务</w:t>
      </w:r>
    </w:p>
    <w:p>
      <w:r>
        <w:rPr>
          <w:rFonts w:hint="eastAsia"/>
        </w:rPr>
        <w:t>1．中标人负担用户平安钟呼叫的通信费用，用户自行负担平安钟服务以外的通信费用。</w:t>
      </w:r>
    </w:p>
    <w:p>
      <w:r>
        <w:rPr>
          <w:rFonts w:hint="eastAsia"/>
        </w:rPr>
        <w:t>2．服务系统后台预留开放技术接口，便于祖庙街道大数据的应用。</w:t>
      </w:r>
    </w:p>
    <w:p>
      <w:pPr>
        <w:rPr>
          <w:rFonts w:hint="eastAsia"/>
          <w:highlight w:val="none"/>
        </w:rPr>
      </w:pPr>
      <w:r>
        <w:rPr>
          <w:rFonts w:hint="eastAsia"/>
          <w:highlight w:val="none"/>
        </w:rPr>
        <w:t>3.中标人应定期对终端设备进行远程检测。</w:t>
      </w:r>
    </w:p>
    <w:p>
      <w:r>
        <w:rPr>
          <w:rFonts w:hint="eastAsia"/>
          <w:lang w:eastAsia="zh-CN"/>
        </w:rPr>
        <w:t>四</w:t>
      </w:r>
      <w:r>
        <w:rPr>
          <w:rFonts w:hint="eastAsia"/>
        </w:rPr>
        <w:t>、其他技术要求</w:t>
      </w:r>
    </w:p>
    <w:p>
      <w:r>
        <w:rPr>
          <w:rFonts w:hint="eastAsia"/>
        </w:rPr>
        <w:t>（一）系统平台应实现远程通信、（座席）集中处理、易于复制推广。</w:t>
      </w:r>
    </w:p>
    <w:p>
      <w:pPr>
        <w:rPr>
          <w:rFonts w:hint="eastAsia"/>
        </w:rPr>
      </w:pPr>
      <w:r>
        <w:rPr>
          <w:rFonts w:hint="eastAsia"/>
        </w:rPr>
        <w:t>（二）用户终端呼叫器应操作方便，实现“点对点”报警、通话、自检等远程中介服务各项功能。</w:t>
      </w:r>
    </w:p>
    <w:p>
      <w:r>
        <w:rPr>
          <w:rFonts w:hint="eastAsia"/>
          <w:lang w:eastAsia="zh-CN"/>
        </w:rPr>
        <w:t>五</w:t>
      </w:r>
      <w:r>
        <w:rPr>
          <w:rFonts w:hint="eastAsia"/>
        </w:rPr>
        <w:t>、服务对象（用户）</w:t>
      </w:r>
    </w:p>
    <w:p>
      <w:pPr>
        <w:pStyle w:val="3"/>
        <w:ind w:firstLine="0" w:firstLineChars="0"/>
      </w:pPr>
      <w:r>
        <w:rPr>
          <w:rFonts w:hint="eastAsia"/>
        </w:rPr>
        <w:t>（一）服务对象（用户）：具有祖庙街道户籍年满60周岁以上，正在居家养老的且符合祖庙街道居家养老服务资格的老人。（祖庙街道居家养老服务对象一览表，如下）</w:t>
      </w:r>
    </w:p>
    <w:p>
      <w:pPr>
        <w:pStyle w:val="3"/>
        <w:ind w:firstLine="0" w:firstLineChars="0"/>
        <w:rPr>
          <w:b/>
          <w:bCs/>
        </w:rPr>
      </w:pPr>
      <w:r>
        <w:rPr>
          <w:rFonts w:hint="eastAsia"/>
        </w:rPr>
        <w:t>（二）服务人数以实际接受服务人数为准。</w:t>
      </w:r>
    </w:p>
    <w:p>
      <w:pPr>
        <w:jc w:val="center"/>
        <w:rPr>
          <w:rFonts w:ascii="宋体" w:hAnsi="宋体" w:eastAsia="宋体" w:cs="宋体"/>
          <w:b/>
          <w:bCs/>
          <w:szCs w:val="21"/>
        </w:rPr>
      </w:pPr>
      <w:r>
        <w:rPr>
          <w:rFonts w:hint="eastAsia" w:ascii="宋体" w:hAnsi="宋体" w:eastAsia="宋体" w:cs="宋体"/>
          <w:b/>
          <w:bCs/>
          <w:szCs w:val="21"/>
        </w:rPr>
        <w:t>祖庙街道居家养老服务对象一览表</w:t>
      </w:r>
    </w:p>
    <w:tbl>
      <w:tblPr>
        <w:tblStyle w:val="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977"/>
        <w:gridCol w:w="3163"/>
        <w:gridCol w:w="33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6" w:type="pct"/>
            <w:tcBorders>
              <w:tl2br w:val="nil"/>
              <w:tr2bl w:val="nil"/>
            </w:tcBorders>
          </w:tcPr>
          <w:p>
            <w:pPr>
              <w:widowControl/>
              <w:tabs>
                <w:tab w:val="left" w:pos="890"/>
              </w:tabs>
              <w:jc w:val="center"/>
              <w:rPr>
                <w:rFonts w:ascii="宋体" w:hAnsi="宋体" w:eastAsia="宋体" w:cs="宋体"/>
                <w:b/>
                <w:szCs w:val="21"/>
              </w:rPr>
            </w:pPr>
            <w:r>
              <w:rPr>
                <w:rFonts w:hint="eastAsia" w:ascii="宋体" w:hAnsi="宋体" w:eastAsia="宋体" w:cs="宋体"/>
                <w:b/>
                <w:szCs w:val="21"/>
              </w:rPr>
              <w:t>类别</w:t>
            </w:r>
          </w:p>
        </w:tc>
        <w:tc>
          <w:tcPr>
            <w:tcW w:w="573" w:type="pct"/>
            <w:tcBorders>
              <w:tl2br w:val="nil"/>
              <w:tr2bl w:val="nil"/>
            </w:tcBorders>
          </w:tcPr>
          <w:p>
            <w:pPr>
              <w:widowControl/>
              <w:tabs>
                <w:tab w:val="left" w:pos="890"/>
              </w:tabs>
              <w:jc w:val="center"/>
              <w:rPr>
                <w:rFonts w:ascii="宋体" w:hAnsi="宋体" w:eastAsia="宋体" w:cs="宋体"/>
                <w:b/>
                <w:szCs w:val="21"/>
              </w:rPr>
            </w:pPr>
            <w:r>
              <w:rPr>
                <w:rFonts w:hint="eastAsia" w:ascii="宋体" w:hAnsi="宋体" w:cs="宋体"/>
                <w:b/>
                <w:szCs w:val="21"/>
              </w:rPr>
              <w:t>序号</w:t>
            </w:r>
          </w:p>
        </w:tc>
        <w:tc>
          <w:tcPr>
            <w:tcW w:w="3820" w:type="pct"/>
            <w:gridSpan w:val="2"/>
            <w:tcBorders>
              <w:tl2br w:val="nil"/>
              <w:tr2bl w:val="nil"/>
            </w:tcBorders>
          </w:tcPr>
          <w:p>
            <w:pPr>
              <w:widowControl/>
              <w:tabs>
                <w:tab w:val="left" w:pos="890"/>
              </w:tabs>
              <w:jc w:val="center"/>
              <w:rPr>
                <w:rFonts w:ascii="宋体" w:hAnsi="宋体" w:eastAsia="宋体" w:cs="宋体"/>
                <w:b/>
                <w:szCs w:val="21"/>
              </w:rPr>
            </w:pPr>
            <w:r>
              <w:rPr>
                <w:rFonts w:hint="eastAsia" w:ascii="宋体" w:hAnsi="宋体" w:eastAsia="宋体" w:cs="宋体"/>
                <w:b/>
                <w:szCs w:val="21"/>
              </w:rPr>
              <w:t>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restart"/>
            <w:tcBorders>
              <w:tl2br w:val="nil"/>
              <w:tr2bl w:val="nil"/>
            </w:tcBorders>
            <w:vAlign w:val="center"/>
          </w:tcPr>
          <w:p>
            <w:pPr>
              <w:jc w:val="center"/>
              <w:rPr>
                <w:rFonts w:ascii="宋体" w:hAnsi="宋体" w:eastAsia="宋体" w:cs="宋体"/>
                <w:bCs/>
                <w:szCs w:val="21"/>
              </w:rPr>
            </w:pPr>
            <w:r>
              <w:rPr>
                <w:rFonts w:hint="eastAsia" w:ascii="宋体" w:hAnsi="宋体" w:eastAsia="宋体" w:cs="宋体"/>
                <w:bCs/>
                <w:szCs w:val="21"/>
              </w:rPr>
              <w:t>第一类</w:t>
            </w: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1</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在册救济“三无”孤老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2</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低保户里60岁以上的独居或仅与残疾子女生活的老人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3</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低收入（月收入低1800元）孤老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4</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优抚对象孤老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5</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1-4级60岁以上革命伤残军人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6</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百岁老人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restart"/>
            <w:tcBorders>
              <w:tl2br w:val="nil"/>
              <w:tr2bl w:val="nil"/>
            </w:tcBorders>
            <w:vAlign w:val="center"/>
          </w:tcPr>
          <w:p>
            <w:pPr>
              <w:jc w:val="center"/>
              <w:rPr>
                <w:rFonts w:ascii="宋体" w:hAnsi="宋体" w:eastAsia="宋体" w:cs="宋体"/>
                <w:bCs/>
                <w:szCs w:val="21"/>
              </w:rPr>
            </w:pPr>
            <w:r>
              <w:rPr>
                <w:rFonts w:hint="eastAsia" w:ascii="宋体" w:hAnsi="宋体" w:eastAsia="宋体" w:cs="宋体"/>
                <w:bCs/>
                <w:szCs w:val="21"/>
              </w:rPr>
              <w:t>第二类</w:t>
            </w: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7</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低收入（月收入低于1800元）困难户里70岁以上的独居或仅与残疾子女生活的老人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8</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民政、社保代管退休人员中月退休金2000元以下的60岁以上的独居及生活自理困难的老人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9</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1-4级未满60岁革命伤残军人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restart"/>
            <w:tcBorders>
              <w:tl2br w:val="nil"/>
              <w:tr2bl w:val="nil"/>
            </w:tcBorders>
            <w:vAlign w:val="center"/>
          </w:tcPr>
          <w:p>
            <w:pPr>
              <w:jc w:val="center"/>
              <w:rPr>
                <w:rFonts w:ascii="宋体" w:hAnsi="宋体" w:eastAsia="宋体" w:cs="宋体"/>
                <w:bCs/>
                <w:szCs w:val="21"/>
              </w:rPr>
            </w:pPr>
            <w:r>
              <w:rPr>
                <w:rFonts w:hint="eastAsia" w:ascii="宋体" w:hAnsi="宋体" w:eastAsia="宋体" w:cs="宋体"/>
                <w:bCs/>
                <w:szCs w:val="21"/>
              </w:rPr>
              <w:t>第三类</w:t>
            </w: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10</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每月退休金收入2000-2500元的60岁以上孤老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11</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每月退休金收入2000-2500元且患有残疾的独居或仅与残疾子女生活的60岁以上老人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12</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90岁-99岁独居老人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vAlign w:val="center"/>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autoSpaceDN w:val="0"/>
              <w:jc w:val="center"/>
              <w:textAlignment w:val="center"/>
              <w:rPr>
                <w:rFonts w:ascii="宋体" w:hAnsi="宋体" w:eastAsia="宋体" w:cs="宋体"/>
                <w:bCs/>
                <w:szCs w:val="21"/>
              </w:rPr>
            </w:pPr>
            <w:r>
              <w:rPr>
                <w:rFonts w:hint="eastAsia" w:ascii="宋体" w:hAnsi="宋体" w:eastAsia="宋体" w:cs="宋体"/>
                <w:color w:val="000000"/>
                <w:szCs w:val="21"/>
              </w:rPr>
              <w:t>13</w:t>
            </w:r>
          </w:p>
        </w:tc>
        <w:tc>
          <w:tcPr>
            <w:tcW w:w="3820" w:type="pct"/>
            <w:gridSpan w:val="2"/>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市级以上劳动模范（全国单项先进等）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restart"/>
            <w:tcBorders>
              <w:tl2br w:val="nil"/>
              <w:tr2bl w:val="nil"/>
            </w:tcBorders>
            <w:vAlign w:val="center"/>
          </w:tcPr>
          <w:p>
            <w:pPr>
              <w:widowControl/>
              <w:tabs>
                <w:tab w:val="left" w:pos="890"/>
              </w:tabs>
              <w:ind w:right="100"/>
              <w:jc w:val="center"/>
              <w:rPr>
                <w:rFonts w:ascii="宋体" w:hAnsi="宋体" w:eastAsia="宋体" w:cs="宋体"/>
                <w:bCs/>
                <w:szCs w:val="21"/>
              </w:rPr>
            </w:pPr>
            <w:r>
              <w:rPr>
                <w:rFonts w:hint="eastAsia" w:ascii="宋体" w:hAnsi="宋体" w:eastAsia="宋体" w:cs="宋体"/>
                <w:bCs/>
                <w:szCs w:val="21"/>
              </w:rPr>
              <w:t>第四类</w:t>
            </w:r>
          </w:p>
        </w:tc>
        <w:tc>
          <w:tcPr>
            <w:tcW w:w="573" w:type="pct"/>
            <w:tcBorders>
              <w:tl2br w:val="nil"/>
              <w:tr2bl w:val="nil"/>
            </w:tcBorders>
            <w:vAlign w:val="center"/>
          </w:tcPr>
          <w:p>
            <w:pPr>
              <w:widowControl/>
              <w:tabs>
                <w:tab w:val="left" w:pos="890"/>
              </w:tabs>
              <w:ind w:right="100"/>
              <w:jc w:val="center"/>
              <w:rPr>
                <w:rFonts w:ascii="宋体" w:hAnsi="宋体" w:eastAsia="宋体" w:cs="宋体"/>
                <w:bCs/>
                <w:szCs w:val="21"/>
              </w:rPr>
            </w:pPr>
            <w:r>
              <w:rPr>
                <w:rFonts w:hint="eastAsia" w:ascii="宋体" w:hAnsi="宋体" w:eastAsia="宋体" w:cs="宋体"/>
                <w:bCs/>
                <w:szCs w:val="21"/>
              </w:rPr>
              <w:t>14</w:t>
            </w:r>
          </w:p>
        </w:tc>
        <w:tc>
          <w:tcPr>
            <w:tcW w:w="3820" w:type="pct"/>
            <w:gridSpan w:val="2"/>
            <w:tcBorders>
              <w:tl2br w:val="nil"/>
              <w:tr2bl w:val="nil"/>
            </w:tcBorders>
            <w:vAlign w:val="center"/>
          </w:tcPr>
          <w:p>
            <w:pPr>
              <w:rPr>
                <w:rFonts w:ascii="宋体" w:hAnsi="宋体" w:eastAsia="宋体" w:cs="宋体"/>
                <w:bCs/>
                <w:szCs w:val="21"/>
              </w:rPr>
            </w:pPr>
            <w:r>
              <w:rPr>
                <w:rFonts w:hint="eastAsia" w:ascii="宋体" w:hAnsi="宋体" w:eastAsia="宋体" w:cs="宋体"/>
                <w:bCs/>
                <w:szCs w:val="21"/>
              </w:rPr>
              <w:t>80岁以上老人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widowControl/>
              <w:tabs>
                <w:tab w:val="left" w:pos="890"/>
              </w:tabs>
              <w:ind w:right="100"/>
              <w:jc w:val="center"/>
              <w:rPr>
                <w:rFonts w:ascii="宋体" w:hAnsi="宋体" w:eastAsia="宋体" w:cs="宋体"/>
                <w:bCs/>
                <w:szCs w:val="21"/>
              </w:rPr>
            </w:pPr>
            <w:r>
              <w:rPr>
                <w:rFonts w:hint="eastAsia" w:ascii="宋体" w:hAnsi="宋体" w:eastAsia="宋体" w:cs="宋体"/>
                <w:bCs/>
                <w:szCs w:val="21"/>
              </w:rPr>
              <w:t>15</w:t>
            </w:r>
          </w:p>
        </w:tc>
        <w:tc>
          <w:tcPr>
            <w:tcW w:w="1856" w:type="pct"/>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每月退休金收入2000元以下的孤老</w:t>
            </w:r>
          </w:p>
        </w:tc>
        <w:tc>
          <w:tcPr>
            <w:tcW w:w="1963" w:type="pct"/>
            <w:vMerge w:val="restart"/>
            <w:tcBorders>
              <w:tl2br w:val="nil"/>
              <w:tr2bl w:val="nil"/>
            </w:tcBorders>
            <w:vAlign w:val="center"/>
          </w:tcPr>
          <w:p>
            <w:pPr>
              <w:rPr>
                <w:rFonts w:ascii="宋体" w:hAnsi="宋体" w:eastAsia="宋体" w:cs="宋体"/>
                <w:bCs/>
                <w:szCs w:val="21"/>
              </w:rPr>
            </w:pPr>
            <w:r>
              <w:rPr>
                <w:rFonts w:hint="eastAsia" w:ascii="宋体" w:hAnsi="宋体" w:eastAsia="宋体" w:cs="宋体"/>
                <w:bCs/>
                <w:szCs w:val="21"/>
              </w:rPr>
              <w:t>为保障民生服务项目中已申请在册对象服务的延续性，15-17种长者（目前已申请在册的服务对象）作为祖庙街道居家养老服务对象，该三种服务对象类型不作为后续新增服务对象的类别。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widowControl/>
              <w:tabs>
                <w:tab w:val="left" w:pos="890"/>
              </w:tabs>
              <w:ind w:right="100"/>
              <w:jc w:val="center"/>
              <w:rPr>
                <w:rFonts w:ascii="宋体" w:hAnsi="宋体" w:eastAsia="宋体" w:cs="宋体"/>
                <w:bCs/>
                <w:szCs w:val="21"/>
              </w:rPr>
            </w:pPr>
            <w:r>
              <w:rPr>
                <w:rFonts w:hint="eastAsia" w:ascii="宋体" w:hAnsi="宋体" w:eastAsia="宋体" w:cs="宋体"/>
                <w:bCs/>
                <w:szCs w:val="21"/>
              </w:rPr>
              <w:t>16</w:t>
            </w:r>
          </w:p>
        </w:tc>
        <w:tc>
          <w:tcPr>
            <w:tcW w:w="1856" w:type="pct"/>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每月退休金收入2000元以下且患有残疾的独居或仅与残疾子女生活的60岁以上老人</w:t>
            </w:r>
          </w:p>
        </w:tc>
        <w:tc>
          <w:tcPr>
            <w:tcW w:w="1963" w:type="pct"/>
            <w:vMerge w:val="continue"/>
            <w:tcBorders>
              <w:tl2br w:val="nil"/>
              <w:tr2bl w:val="nil"/>
            </w:tcBorders>
            <w:vAlign w:val="center"/>
          </w:tcPr>
          <w:p>
            <w:pPr>
              <w:rPr>
                <w:rFonts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pct"/>
            <w:vMerge w:val="continue"/>
            <w:tcBorders>
              <w:tl2br w:val="nil"/>
              <w:tr2bl w:val="nil"/>
            </w:tcBorders>
          </w:tcPr>
          <w:p>
            <w:pPr>
              <w:widowControl/>
              <w:tabs>
                <w:tab w:val="left" w:pos="890"/>
              </w:tabs>
              <w:ind w:right="100"/>
              <w:jc w:val="center"/>
              <w:rPr>
                <w:rFonts w:ascii="宋体" w:hAnsi="宋体" w:eastAsia="宋体" w:cs="宋体"/>
                <w:bCs/>
                <w:szCs w:val="21"/>
              </w:rPr>
            </w:pPr>
          </w:p>
        </w:tc>
        <w:tc>
          <w:tcPr>
            <w:tcW w:w="573" w:type="pct"/>
            <w:tcBorders>
              <w:tl2br w:val="nil"/>
              <w:tr2bl w:val="nil"/>
            </w:tcBorders>
            <w:vAlign w:val="center"/>
          </w:tcPr>
          <w:p>
            <w:pPr>
              <w:widowControl/>
              <w:tabs>
                <w:tab w:val="left" w:pos="890"/>
              </w:tabs>
              <w:ind w:right="100"/>
              <w:jc w:val="center"/>
              <w:rPr>
                <w:rFonts w:ascii="宋体" w:hAnsi="宋体" w:eastAsia="宋体" w:cs="宋体"/>
                <w:bCs/>
                <w:szCs w:val="21"/>
              </w:rPr>
            </w:pPr>
            <w:r>
              <w:rPr>
                <w:rFonts w:hint="eastAsia" w:ascii="宋体" w:hAnsi="宋体" w:eastAsia="宋体" w:cs="宋体"/>
                <w:bCs/>
                <w:szCs w:val="21"/>
              </w:rPr>
              <w:t>17</w:t>
            </w:r>
          </w:p>
        </w:tc>
        <w:tc>
          <w:tcPr>
            <w:tcW w:w="1856" w:type="pct"/>
            <w:tcBorders>
              <w:tl2br w:val="nil"/>
              <w:tr2bl w:val="nil"/>
            </w:tcBorders>
            <w:vAlign w:val="center"/>
          </w:tcPr>
          <w:p>
            <w:pPr>
              <w:autoSpaceDN w:val="0"/>
              <w:jc w:val="left"/>
              <w:textAlignment w:val="center"/>
              <w:rPr>
                <w:rFonts w:ascii="宋体" w:hAnsi="宋体" w:eastAsia="宋体" w:cs="宋体"/>
                <w:bCs/>
                <w:szCs w:val="21"/>
              </w:rPr>
            </w:pPr>
            <w:r>
              <w:rPr>
                <w:rFonts w:hint="eastAsia" w:ascii="宋体" w:hAnsi="宋体" w:eastAsia="宋体" w:cs="宋体"/>
                <w:color w:val="000000"/>
                <w:szCs w:val="21"/>
              </w:rPr>
              <w:t>患有31种特殊病种疾病的困难老人</w:t>
            </w:r>
          </w:p>
        </w:tc>
        <w:tc>
          <w:tcPr>
            <w:tcW w:w="1963" w:type="pct"/>
            <w:vMerge w:val="continue"/>
            <w:tcBorders>
              <w:tl2br w:val="nil"/>
              <w:tr2bl w:val="nil"/>
            </w:tcBorders>
            <w:vAlign w:val="center"/>
          </w:tcPr>
          <w:p>
            <w:pPr>
              <w:rPr>
                <w:rFonts w:ascii="宋体" w:hAnsi="宋体" w:eastAsia="宋体" w:cs="宋体"/>
                <w:bCs/>
                <w:szCs w:val="21"/>
              </w:rPr>
            </w:pP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C6E36"/>
    <w:multiLevelType w:val="multilevel"/>
    <w:tmpl w:val="2A5C6E36"/>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7840021"/>
    <w:multiLevelType w:val="multilevel"/>
    <w:tmpl w:val="37840021"/>
    <w:lvl w:ilvl="0" w:tentative="0">
      <w:start w:val="1"/>
      <w:numFmt w:val="decimal"/>
      <w:lvlText w:val="%1."/>
      <w:lvlJc w:val="left"/>
      <w:pPr>
        <w:ind w:left="420" w:hanging="420"/>
      </w:pPr>
      <w:rPr>
        <w:rFonts w:hint="default" w:ascii="Times New Roman" w:hAnsi="Times New Roman" w:eastAsia="宋体" w:cs="Times New Roman"/>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5C67F9F"/>
    <w:multiLevelType w:val="singleLevel"/>
    <w:tmpl w:val="45C67F9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MjdkNmY5YThjOTI5YmIxODg3ZmQzNjI1MTQyZGIifQ=="/>
  </w:docVars>
  <w:rsids>
    <w:rsidRoot w:val="02CC1ABE"/>
    <w:rsid w:val="02CC1ABE"/>
    <w:rsid w:val="15205ED3"/>
    <w:rsid w:val="562E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1"/>
    </w:rPr>
  </w:style>
  <w:style w:type="paragraph" w:customStyle="1" w:styleId="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annotation text"/>
    <w:basedOn w:val="1"/>
    <w:qFormat/>
    <w:uiPriority w:val="0"/>
    <w:pPr>
      <w:jc w:val="left"/>
    </w:pPr>
  </w:style>
  <w:style w:type="paragraph" w:styleId="6">
    <w:name w:val="Plain Text"/>
    <w:basedOn w:val="1"/>
    <w:qFormat/>
    <w:uiPriority w:val="99"/>
    <w:rPr>
      <w:rFonts w:ascii="宋体" w:hAnsi="Courier New" w:cs="Courier New"/>
      <w:szCs w:val="21"/>
    </w:rPr>
  </w:style>
  <w:style w:type="paragraph" w:styleId="7">
    <w:name w:val="toc 1"/>
    <w:basedOn w:val="1"/>
    <w:next w:val="1"/>
    <w:qFormat/>
    <w:uiPriority w:val="0"/>
  </w:style>
  <w:style w:type="character" w:customStyle="1" w:styleId="10">
    <w:name w:val="font41"/>
    <w:basedOn w:val="9"/>
    <w:qFormat/>
    <w:uiPriority w:val="0"/>
    <w:rPr>
      <w:rFonts w:hint="eastAsia" w:ascii="宋体" w:hAnsi="宋体" w:eastAsia="宋体" w:cs="宋体"/>
      <w:color w:val="FF0000"/>
      <w:sz w:val="20"/>
      <w:szCs w:val="20"/>
      <w:u w:val="none"/>
    </w:rPr>
  </w:style>
  <w:style w:type="character" w:customStyle="1" w:styleId="11">
    <w:name w:val="font21"/>
    <w:basedOn w:val="9"/>
    <w:qFormat/>
    <w:uiPriority w:val="0"/>
    <w:rPr>
      <w:rFonts w:hint="eastAsia" w:ascii="宋体" w:hAnsi="宋体" w:eastAsia="宋体" w:cs="宋体"/>
      <w:color w:val="000000"/>
      <w:sz w:val="20"/>
      <w:szCs w:val="20"/>
      <w:u w:val="none"/>
    </w:rPr>
  </w:style>
  <w:style w:type="paragraph" w:styleId="12">
    <w:name w:val="List Paragraph"/>
    <w:basedOn w:val="13"/>
    <w:qFormat/>
    <w:uiPriority w:val="99"/>
    <w:pPr>
      <w:ind w:firstLine="420" w:firstLineChars="200"/>
    </w:pPr>
  </w:style>
  <w:style w:type="paragraph" w:customStyle="1" w:styleId="13">
    <w:name w:val="正文_1"/>
    <w:next w:val="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2023-04-10T02:03:00Z</dcterms:created>
  <dc:creator>Administrator</dc:creator>
  <cp:lastModifiedBy>招标代理</cp:lastModifiedBy>
  <dcterms:modified xsi:type="dcterms:W3CDTF">2023-04-17T07:30:51Z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548603DAE39F4715B29AD34923A0227B_13</vt:lpwstr>
  </property>
</Properties>
</file>