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440606-2023-09626</w:t>
      </w:r>
    </w:p>
    <w:p>
      <w:pPr>
        <w:jc w:val="center"/>
      </w:pPr>
      <w:r>
        <w:rPr>
          <w:b/>
          <w:sz w:val="24"/>
        </w:rPr>
        <w:t>采购项目编号：</w:t>
      </w:r>
      <w:r>
        <w:rPr>
          <w:b/>
          <w:sz w:val="24"/>
        </w:rPr>
        <w:t>440606-2023-09626</w:t>
      </w:r>
    </w:p>
    <w:p>
      <w:pPr>
        <w:jc w:val="center"/>
      </w:pPr>
      <w:r>
        <w:rPr>
          <w:b/>
          <w:sz w:val="24"/>
        </w:rPr>
        <w:t>项目名称：</w:t>
      </w:r>
      <w:r>
        <w:rPr>
          <w:b/>
          <w:sz w:val="24"/>
        </w:rPr>
        <w:t>2023年佛山市顺德区第三人民医院（佛山市顺德区北滘医院）专用医疗设备购置项目</w:t>
      </w:r>
    </w:p>
    <w:p>
      <w:pPr>
        <w:jc w:val="center"/>
      </w:pPr>
      <w:r>
        <w:rPr>
          <w:b/>
          <w:sz w:val="24"/>
        </w:rPr>
        <w:t>采购人：</w:t>
      </w:r>
      <w:r>
        <w:rPr>
          <w:b/>
          <w:sz w:val="24"/>
        </w:rPr>
        <w:t>佛山市顺德区第三人民医院（佛山市顺德区北滘医院）</w:t>
      </w:r>
    </w:p>
    <w:p>
      <w:pPr>
        <w:jc w:val="center"/>
      </w:pPr>
      <w:r>
        <w:rPr>
          <w:b/>
          <w:sz w:val="24"/>
        </w:rPr>
        <w:t>采购代理机构：</w:t>
      </w:r>
      <w:r>
        <w:rPr>
          <w:b/>
          <w:sz w:val="24"/>
        </w:rPr>
        <w:t>广东中采招标有限公司</w:t>
      </w:r>
    </w:p>
    <w:p>
      <w:pPr>
        <w:ind w:firstLine="480"/>
      </w:pPr>
    </w:p>
    <w:p>
      <w:r>
        <w:rPr/>
        <w:t xml:space="preserve"> </w:t>
      </w:r>
    </w:p>
    <w:p/>
    <w:p>
      <w:pPr>
        <w:jc w:val="center"/>
      </w:pPr>
      <w:r>
        <w:rPr>
          <w:b/>
          <w:sz w:val="36"/>
        </w:rPr>
        <w:t>第一章投标邀请</w:t>
      </w:r>
    </w:p>
    <w:p>
      <w:pPr>
        <w:ind w:firstLine="480"/>
      </w:pPr>
      <w:r>
        <w:rPr/>
        <w:t>广东中采招标有限公司</w:t>
      </w:r>
      <w:r>
        <w:rPr/>
        <w:t>受</w:t>
      </w:r>
      <w:r>
        <w:rPr/>
        <w:t>佛山市顺德区第三人民医院（佛山市顺德区北滘医院）</w:t>
      </w:r>
      <w:r>
        <w:rPr/>
        <w:t>的委托，采用</w:t>
      </w:r>
      <w:r>
        <w:rPr/>
        <w:t>公开招标</w:t>
      </w:r>
      <w:r>
        <w:rPr/>
        <w:t>方式组织采购</w:t>
      </w:r>
      <w:r>
        <w:rPr/>
        <w:t>2023年佛山市顺德区第三人民医院（佛山市顺德区北滘医院）专用医疗设备购置项目</w:t>
      </w:r>
      <w:r>
        <w:rPr/>
        <w:t>。欢迎符合资格条件的国内供应商参加投标。</w:t>
      </w:r>
    </w:p>
    <w:p>
      <w:r>
        <w:rPr>
          <w:b/>
          <w:sz w:val="28"/>
        </w:rPr>
        <w:t>一.项目概述</w:t>
      </w:r>
    </w:p>
    <w:p>
      <w:r>
        <w:rPr>
          <w:b/>
          <w:sz w:val="24"/>
        </w:rPr>
        <w:t>1.名称与编号</w:t>
      </w:r>
    </w:p>
    <w:p>
      <w:pPr>
        <w:ind w:firstLine="480"/>
      </w:pPr>
      <w:r>
        <w:rPr/>
        <w:t>项目名称：</w:t>
      </w:r>
      <w:r>
        <w:rPr/>
        <w:t>2023年佛山市顺德区第三人民医院（佛山市顺德区北滘医院）专用医疗设备购置项目</w:t>
      </w:r>
    </w:p>
    <w:p>
      <w:pPr>
        <w:ind w:firstLine="480"/>
      </w:pPr>
      <w:r>
        <w:rPr/>
        <w:t>采购计划编号：</w:t>
      </w:r>
      <w:r>
        <w:rPr/>
        <w:t>440606-2023-09626</w:t>
      </w:r>
    </w:p>
    <w:p>
      <w:pPr>
        <w:ind w:firstLine="480"/>
      </w:pPr>
      <w:r>
        <w:rPr/>
        <w:t>采购项目编号：</w:t>
      </w:r>
      <w:r>
        <w:rPr/>
        <w:t>440606-2023-09626</w:t>
      </w:r>
    </w:p>
    <w:p>
      <w:pPr>
        <w:ind w:firstLine="480"/>
      </w:pPr>
      <w:r>
        <w:rPr/>
        <w:t>采购方式：</w:t>
      </w:r>
      <w:r>
        <w:rPr/>
        <w:t>公开招标</w:t>
      </w:r>
    </w:p>
    <w:p>
      <w:pPr>
        <w:ind w:firstLine="480"/>
      </w:pPr>
      <w:r>
        <w:rPr/>
        <w:t>预算金额：</w:t>
      </w:r>
      <w:r>
        <w:rPr/>
        <w:t>5,256,700.00</w:t>
      </w:r>
      <w:r>
        <w:rPr/>
        <w:t>元</w:t>
      </w:r>
    </w:p>
    <w:p>
      <w:r>
        <w:rPr>
          <w:b/>
          <w:sz w:val="24"/>
        </w:rPr>
        <w:t>2.项目内容及需求情况（采购项目技术规格、参数及要求）</w:t>
      </w:r>
    </w:p>
    <w:p>
      <w:pPr>
        <w:ind w:firstLine="480"/>
      </w:pPr>
    </w:p>
    <w:p/>
    <w:p>
      <w:r>
        <w:rPr/>
        <w:t>采购包1(离心机等):</w:t>
      </w:r>
    </w:p>
    <w:p>
      <w:r>
        <w:rPr/>
        <w:t>采购包预算金额：444,000.00元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临床检验设备</w:t>
            </w:r>
          </w:p>
        </w:tc>
        <w:tc>
          <w:tcPr>
            <w:tcW w:type="dxa" w:w="2136"/>
          </w:tcPr>
          <w:p>
            <w:r>
              <w:rPr/>
              <w:t>离心机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临床检验设备</w:t>
            </w:r>
          </w:p>
        </w:tc>
        <w:tc>
          <w:tcPr>
            <w:tcW w:type="dxa" w:w="2136"/>
          </w:tcPr>
          <w:p>
            <w:r>
              <w:rPr/>
              <w:t>全自动化学发光分析仪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医用电子生理参数检测仪器设备</w:t>
            </w:r>
          </w:p>
        </w:tc>
        <w:tc>
          <w:tcPr>
            <w:tcW w:type="dxa" w:w="2136"/>
          </w:tcPr>
          <w:p>
            <w:r>
              <w:rPr/>
              <w:t>心电图机（12导联）</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医用电子生理参数检测仪器设备</w:t>
            </w:r>
          </w:p>
        </w:tc>
        <w:tc>
          <w:tcPr>
            <w:tcW w:type="dxa" w:w="2136"/>
          </w:tcPr>
          <w:p>
            <w:r>
              <w:rPr/>
              <w:t>心电图机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物理治疗、康复及体育治疗仪器设备</w:t>
            </w:r>
          </w:p>
        </w:tc>
        <w:tc>
          <w:tcPr>
            <w:tcW w:type="dxa" w:w="2136"/>
          </w:tcPr>
          <w:p>
            <w:r>
              <w:rPr/>
              <w:t>气压波治疗机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物理治疗、康复及体育治疗仪器设备</w:t>
            </w:r>
          </w:p>
        </w:tc>
        <w:tc>
          <w:tcPr>
            <w:tcW w:type="dxa" w:w="2136"/>
          </w:tcPr>
          <w:p>
            <w:r>
              <w:rPr/>
              <w:t>超短波治疗机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口腔设备及器械</w:t>
            </w:r>
          </w:p>
        </w:tc>
        <w:tc>
          <w:tcPr>
            <w:tcW w:type="dxa" w:w="2136"/>
          </w:tcPr>
          <w:p>
            <w:r>
              <w:rPr/>
              <w:t>牙椅</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口腔设备及器械</w:t>
            </w:r>
          </w:p>
        </w:tc>
        <w:tc>
          <w:tcPr>
            <w:tcW w:type="dxa" w:w="2136"/>
          </w:tcPr>
          <w:p>
            <w:r>
              <w:rPr/>
              <w:t>牙椅（种植用）</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口腔设备及器械</w:t>
            </w:r>
          </w:p>
        </w:tc>
        <w:tc>
          <w:tcPr>
            <w:tcW w:type="dxa" w:w="2136"/>
          </w:tcPr>
          <w:p>
            <w:r>
              <w:rPr/>
              <w:t>种植机</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合同履行期限：自合同签订之日起60日历天内完成供货、安装、调试及验收合格并交付使用。</w:t>
      </w:r>
    </w:p>
    <w:p/>
    <w:p>
      <w:r>
        <w:rPr/>
        <w:t>采购包2(移动式C形臂X线机等):</w:t>
      </w:r>
    </w:p>
    <w:p>
      <w:r>
        <w:rPr/>
        <w:t>采购包预算金额：1,638,400.00元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医用 X 线诊断设备</w:t>
            </w:r>
          </w:p>
        </w:tc>
        <w:tc>
          <w:tcPr>
            <w:tcW w:type="dxa" w:w="2136"/>
          </w:tcPr>
          <w:p>
            <w:r>
              <w:rPr/>
              <w:t>移动式C形臂X线机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医用 X 线诊断设备</w:t>
            </w:r>
          </w:p>
        </w:tc>
        <w:tc>
          <w:tcPr>
            <w:tcW w:type="dxa" w:w="2136"/>
          </w:tcPr>
          <w:p>
            <w:r>
              <w:rPr/>
              <w:t>便携式骨密度测定仪</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医用电子生理参数检测仪器设备</w:t>
            </w:r>
          </w:p>
        </w:tc>
        <w:tc>
          <w:tcPr>
            <w:tcW w:type="dxa" w:w="2136"/>
          </w:tcPr>
          <w:p>
            <w:r>
              <w:rPr/>
              <w:t>脉搏血氧仪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病房护理及医院设备</w:t>
            </w:r>
          </w:p>
        </w:tc>
        <w:tc>
          <w:tcPr>
            <w:tcW w:type="dxa" w:w="2136"/>
          </w:tcPr>
          <w:p>
            <w:r>
              <w:rPr/>
              <w:t>胃肠营养泵</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合同履行期限：自合同签订之日起60日历天内完成供货、安装、调试及验收合格并交付使用。</w:t>
      </w:r>
    </w:p>
    <w:p/>
    <w:p>
      <w:r>
        <w:rPr/>
        <w:t>采购包3(麻醉监护仪等):</w:t>
      </w:r>
    </w:p>
    <w:p>
      <w:r>
        <w:rPr/>
        <w:t>采购包预算金额：3,174,300.00元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医用电子生理参数检测仪器设备</w:t>
            </w:r>
          </w:p>
        </w:tc>
        <w:tc>
          <w:tcPr>
            <w:tcW w:type="dxa" w:w="2136"/>
          </w:tcPr>
          <w:p>
            <w:r>
              <w:rPr/>
              <w:t>麻醉监护仪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其他医疗设备</w:t>
            </w:r>
          </w:p>
        </w:tc>
        <w:tc>
          <w:tcPr>
            <w:tcW w:type="dxa" w:w="2136"/>
          </w:tcPr>
          <w:p>
            <w:r>
              <w:rPr/>
              <w:t>血透透析滤过机（血液透析滤过装置）</w:t>
            </w:r>
          </w:p>
        </w:tc>
        <w:tc>
          <w:tcPr>
            <w:tcW w:type="dxa" w:w="1187"/>
          </w:tcPr>
          <w:p>
            <w:r>
              <w:rPr/>
              <w:t>3.00(台)</w:t>
            </w:r>
          </w:p>
        </w:tc>
        <w:tc>
          <w:tcPr>
            <w:tcW w:type="dxa" w:w="1187"/>
          </w:tcPr>
          <w:p>
            <w:r>
              <w:rPr/>
              <w:t>详见第二章</w:t>
            </w:r>
          </w:p>
        </w:tc>
        <w:tc>
          <w:tcPr>
            <w:tcW w:type="dxa" w:w="1187"/>
          </w:tcPr>
          <w:p>
            <w:r>
              <w:rPr/>
              <w:t>是</w:t>
            </w:r>
          </w:p>
        </w:tc>
      </w:tr>
      <w:tr>
        <w:tc>
          <w:tcPr>
            <w:tcW w:type="dxa" w:w="1187"/>
          </w:tcPr>
          <w:p>
            <w:r>
              <w:rPr/>
              <w:t>3-3</w:t>
            </w:r>
          </w:p>
        </w:tc>
        <w:tc>
          <w:tcPr>
            <w:tcW w:type="dxa" w:w="1424"/>
          </w:tcPr>
          <w:p>
            <w:r>
              <w:rPr/>
              <w:t>临床检验设备</w:t>
            </w:r>
          </w:p>
        </w:tc>
        <w:tc>
          <w:tcPr>
            <w:tcW w:type="dxa" w:w="2136"/>
          </w:tcPr>
          <w:p>
            <w:r>
              <w:rPr/>
              <w:t>磁敏免疫分析仪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3-4</w:t>
            </w:r>
          </w:p>
        </w:tc>
        <w:tc>
          <w:tcPr>
            <w:tcW w:type="dxa" w:w="1424"/>
          </w:tcPr>
          <w:p>
            <w:r>
              <w:rPr/>
              <w:t>临床检验设备</w:t>
            </w:r>
          </w:p>
        </w:tc>
        <w:tc>
          <w:tcPr>
            <w:tcW w:type="dxa" w:w="2136"/>
          </w:tcPr>
          <w:p>
            <w:r>
              <w:rPr/>
              <w:t>全自动微生物鉴定及药敏分析系统</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3-5</w:t>
            </w:r>
          </w:p>
        </w:tc>
        <w:tc>
          <w:tcPr>
            <w:tcW w:type="dxa" w:w="1424"/>
          </w:tcPr>
          <w:p>
            <w:r>
              <w:rPr/>
              <w:t>临床检验设备</w:t>
            </w:r>
          </w:p>
        </w:tc>
        <w:tc>
          <w:tcPr>
            <w:tcW w:type="dxa" w:w="2136"/>
          </w:tcPr>
          <w:p>
            <w:r>
              <w:rPr/>
              <w:t>荧光免疫定量分析仪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3-6</w:t>
            </w:r>
          </w:p>
        </w:tc>
        <w:tc>
          <w:tcPr>
            <w:tcW w:type="dxa" w:w="1424"/>
          </w:tcPr>
          <w:p>
            <w:r>
              <w:rPr/>
              <w:t>医用电子生理参数检测仪器设备</w:t>
            </w:r>
          </w:p>
        </w:tc>
        <w:tc>
          <w:tcPr>
            <w:tcW w:type="dxa" w:w="2136"/>
          </w:tcPr>
          <w:p>
            <w:r>
              <w:rPr/>
              <w:t>体表标测心电图检测系统</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3-7</w:t>
            </w:r>
          </w:p>
        </w:tc>
        <w:tc>
          <w:tcPr>
            <w:tcW w:type="dxa" w:w="1424"/>
          </w:tcPr>
          <w:p>
            <w:r>
              <w:rPr/>
              <w:t>医用电子生理参数检测仪器设备</w:t>
            </w:r>
          </w:p>
        </w:tc>
        <w:tc>
          <w:tcPr>
            <w:tcW w:type="dxa" w:w="2136"/>
          </w:tcPr>
          <w:p>
            <w:r>
              <w:rPr/>
              <w:t>心电图机（18导联）</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3-8</w:t>
            </w:r>
          </w:p>
        </w:tc>
        <w:tc>
          <w:tcPr>
            <w:tcW w:type="dxa" w:w="1424"/>
          </w:tcPr>
          <w:p>
            <w:r>
              <w:rPr/>
              <w:t>医用电子生理参数检测仪器设备</w:t>
            </w:r>
          </w:p>
        </w:tc>
        <w:tc>
          <w:tcPr>
            <w:tcW w:type="dxa" w:w="2136"/>
          </w:tcPr>
          <w:p>
            <w:r>
              <w:rPr/>
              <w:t>心电图机（18导联）</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3-9</w:t>
            </w:r>
          </w:p>
        </w:tc>
        <w:tc>
          <w:tcPr>
            <w:tcW w:type="dxa" w:w="1424"/>
          </w:tcPr>
          <w:p>
            <w:r>
              <w:rPr/>
              <w:t>医用电子生理参数检测仪器设备</w:t>
            </w:r>
          </w:p>
        </w:tc>
        <w:tc>
          <w:tcPr>
            <w:tcW w:type="dxa" w:w="2136"/>
          </w:tcPr>
          <w:p>
            <w:r>
              <w:rPr/>
              <w:t>全自动血压计（心内）</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3-10</w:t>
            </w:r>
          </w:p>
        </w:tc>
        <w:tc>
          <w:tcPr>
            <w:tcW w:type="dxa" w:w="1424"/>
          </w:tcPr>
          <w:p>
            <w:r>
              <w:rPr/>
              <w:t>医用 X 线诊断设备</w:t>
            </w:r>
          </w:p>
        </w:tc>
        <w:tc>
          <w:tcPr>
            <w:tcW w:type="dxa" w:w="2136"/>
          </w:tcPr>
          <w:p>
            <w:r>
              <w:rPr/>
              <w:t>GE-DR机脊柱拼接系统</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3-11</w:t>
            </w:r>
          </w:p>
        </w:tc>
        <w:tc>
          <w:tcPr>
            <w:tcW w:type="dxa" w:w="1424"/>
          </w:tcPr>
          <w:p>
            <w:r>
              <w:rPr/>
              <w:t>医用电子生理参数检测仪器设备</w:t>
            </w:r>
          </w:p>
        </w:tc>
        <w:tc>
          <w:tcPr>
            <w:tcW w:type="dxa" w:w="2136"/>
          </w:tcPr>
          <w:p>
            <w:r>
              <w:rPr/>
              <w:t>心电监护仪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3-12</w:t>
            </w:r>
          </w:p>
        </w:tc>
        <w:tc>
          <w:tcPr>
            <w:tcW w:type="dxa" w:w="1424"/>
          </w:tcPr>
          <w:p>
            <w:r>
              <w:rPr/>
              <w:t>医用电子生理参数检测仪器设备</w:t>
            </w:r>
          </w:p>
        </w:tc>
        <w:tc>
          <w:tcPr>
            <w:tcW w:type="dxa" w:w="2136"/>
          </w:tcPr>
          <w:p>
            <w:r>
              <w:rPr/>
              <w:t>全自动血压计</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3-13</w:t>
            </w:r>
          </w:p>
        </w:tc>
        <w:tc>
          <w:tcPr>
            <w:tcW w:type="dxa" w:w="1424"/>
          </w:tcPr>
          <w:p>
            <w:r>
              <w:rPr/>
              <w:t>医用电子生理参数检测仪器设备</w:t>
            </w:r>
          </w:p>
        </w:tc>
        <w:tc>
          <w:tcPr>
            <w:tcW w:type="dxa" w:w="2136"/>
          </w:tcPr>
          <w:p>
            <w:r>
              <w:rPr/>
              <w:t>心电图机（便携式）</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3-14</w:t>
            </w:r>
          </w:p>
        </w:tc>
        <w:tc>
          <w:tcPr>
            <w:tcW w:type="dxa" w:w="1424"/>
          </w:tcPr>
          <w:p>
            <w:r>
              <w:rPr/>
              <w:t>医用超声波仪器及设备</w:t>
            </w:r>
          </w:p>
        </w:tc>
        <w:tc>
          <w:tcPr>
            <w:tcW w:type="dxa" w:w="2136"/>
          </w:tcPr>
          <w:p>
            <w:r>
              <w:rPr/>
              <w:t>剪切波组织定量超声诊断仪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3-15</w:t>
            </w:r>
          </w:p>
        </w:tc>
        <w:tc>
          <w:tcPr>
            <w:tcW w:type="dxa" w:w="1424"/>
          </w:tcPr>
          <w:p>
            <w:r>
              <w:rPr/>
              <w:t>医用电子生理参数检测仪器设备</w:t>
            </w:r>
          </w:p>
        </w:tc>
        <w:tc>
          <w:tcPr>
            <w:tcW w:type="dxa" w:w="2136"/>
          </w:tcPr>
          <w:p>
            <w:r>
              <w:rPr/>
              <w:t>电生理精准治疗系统</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3-16</w:t>
            </w:r>
          </w:p>
        </w:tc>
        <w:tc>
          <w:tcPr>
            <w:tcW w:type="dxa" w:w="1424"/>
          </w:tcPr>
          <w:p>
            <w:r>
              <w:rPr/>
              <w:t>物理治疗、康复及体育治疗仪器设备</w:t>
            </w:r>
          </w:p>
        </w:tc>
        <w:tc>
          <w:tcPr>
            <w:tcW w:type="dxa" w:w="2136"/>
          </w:tcPr>
          <w:p>
            <w:r>
              <w:rPr/>
              <w:t>五官科超短波治疗机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3-17</w:t>
            </w:r>
          </w:p>
        </w:tc>
        <w:tc>
          <w:tcPr>
            <w:tcW w:type="dxa" w:w="1424"/>
          </w:tcPr>
          <w:p>
            <w:r>
              <w:rPr/>
              <w:t>病房护理及医院设备</w:t>
            </w:r>
          </w:p>
        </w:tc>
        <w:tc>
          <w:tcPr>
            <w:tcW w:type="dxa" w:w="2136"/>
          </w:tcPr>
          <w:p>
            <w:r>
              <w:rPr/>
              <w:t>溶栓称重床</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3-18</w:t>
            </w:r>
          </w:p>
        </w:tc>
        <w:tc>
          <w:tcPr>
            <w:tcW w:type="dxa" w:w="1424"/>
          </w:tcPr>
          <w:p>
            <w:r>
              <w:rPr/>
              <w:t>医用超声波仪器及设备</w:t>
            </w:r>
          </w:p>
        </w:tc>
        <w:tc>
          <w:tcPr>
            <w:tcW w:type="dxa" w:w="2136"/>
          </w:tcPr>
          <w:p>
            <w:r>
              <w:rPr/>
              <w:t>简易膀胱扫描仪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3-19</w:t>
            </w:r>
          </w:p>
        </w:tc>
        <w:tc>
          <w:tcPr>
            <w:tcW w:type="dxa" w:w="1424"/>
          </w:tcPr>
          <w:p>
            <w:r>
              <w:rPr/>
              <w:t>医用电子生理参数检测仪器设备</w:t>
            </w:r>
          </w:p>
        </w:tc>
        <w:tc>
          <w:tcPr>
            <w:tcW w:type="dxa" w:w="2136"/>
          </w:tcPr>
          <w:p>
            <w:r>
              <w:rPr/>
              <w:t>男性性功能生物反馈检测仪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3-20</w:t>
            </w:r>
          </w:p>
        </w:tc>
        <w:tc>
          <w:tcPr>
            <w:tcW w:type="dxa" w:w="1424"/>
          </w:tcPr>
          <w:p>
            <w:r>
              <w:rPr/>
              <w:t>医用内窥镜</w:t>
            </w:r>
          </w:p>
        </w:tc>
        <w:tc>
          <w:tcPr>
            <w:tcW w:type="dxa" w:w="2136"/>
          </w:tcPr>
          <w:p>
            <w:r>
              <w:rPr/>
              <w:t>硬性输尿管镜</w:t>
            </w:r>
          </w:p>
        </w:tc>
        <w:tc>
          <w:tcPr>
            <w:tcW w:type="dxa" w:w="1187"/>
          </w:tcPr>
          <w:p>
            <w:r>
              <w:rPr/>
              <w:t>1.00(条)</w:t>
            </w:r>
          </w:p>
        </w:tc>
        <w:tc>
          <w:tcPr>
            <w:tcW w:type="dxa" w:w="1187"/>
          </w:tcPr>
          <w:p>
            <w:r>
              <w:rPr/>
              <w:t>详见第二章</w:t>
            </w:r>
          </w:p>
        </w:tc>
        <w:tc>
          <w:tcPr>
            <w:tcW w:type="dxa" w:w="1187"/>
          </w:tcPr>
          <w:p>
            <w:r>
              <w:rPr/>
              <w:t>是</w:t>
            </w:r>
          </w:p>
        </w:tc>
      </w:tr>
    </w:tbl>
    <w:p/>
    <w:p>
      <w:r>
        <w:rPr/>
        <w:t>本采购包不接受联合体投标</w:t>
      </w:r>
    </w:p>
    <w:p/>
    <w:p>
      <w:r>
        <w:rPr/>
        <w:t>合同履行期限：自合同签订之日起90日历天内完成供货、安装、调试及验收合格并交付使用。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
      <w:r>
        <w:rPr/>
        <w:t>2）具有良好的商业信誉和健全的财务会计制度：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p/>
    <w:p>
      <w:r>
        <w:rPr/>
        <w:t>3）有依法缴纳税收和社会保障资金的良好记录：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p/>
    <w:p>
      <w:r>
        <w:rPr/>
        <w:t>4）履行合同所必需的设备和专业技术能力：参照投标（响应）文件格式填报设备及专业技术能力情况。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采购包1（离心机等）：</w:t>
      </w:r>
      <w:r>
        <w:rPr/>
        <w:t>采购包整体专门面向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参与的供应商提供的货物全部由符合政策要求的小微企业制造。本项目标的按照《中小企业划型标准规定》（工信部联企业[2011]300号）划分行业为：工业。</w:t>
      </w:r>
    </w:p>
    <w:p>
      <w:pPr>
        <w:jc w:val="left"/>
      </w:pPr>
    </w:p>
    <w:p>
      <w:r>
        <w:rPr/>
        <w:t>采购包2（移动式C形臂X线机等）：</w:t>
      </w: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参与的供应商提供的货物全部由符合政策要求的中小企业制造。本项目标的按照《中小企业划型标准规定》（工信部联企业[2011]300号）划分行业为：工业。</w:t>
      </w:r>
    </w:p>
    <w:p>
      <w:pPr>
        <w:jc w:val="left"/>
      </w:pPr>
    </w:p>
    <w:p>
      <w:r>
        <w:rPr/>
        <w:t>采购包3（麻醉监护仪等）：</w:t>
      </w:r>
      <w:r>
        <w:rPr/>
        <w:t>本项目不属于专门面向中小企业采购项目。本项目标的按照《中小企业划型标准规定》（工信部联企业[2011]300号）划分行业为：工业。</w:t>
      </w:r>
    </w:p>
    <w:p/>
    <w:p>
      <w:r>
        <w:rPr>
          <w:b/>
          <w:sz w:val="24"/>
        </w:rPr>
        <w:t>3.本项目特定的资格要求：</w:t>
      </w:r>
    </w:p>
    <w:p>
      <w:pPr>
        <w:ind w:firstLine="480"/>
      </w:pPr>
    </w:p>
    <w:p/>
    <w:p>
      <w:r>
        <w:rPr/>
        <w:t>采购包1（离心机等）：</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3)本项目不接受联合体投标。</w:t>
      </w:r>
    </w:p>
    <w:p/>
    <w:p>
      <w:r>
        <w:rPr/>
        <w:t>4)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p/>
    <w:p>
      <w:r>
        <w:rPr/>
        <w:t>采购包2（移动式C形臂X线机等）：</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3)本项目不接受联合体投标。</w:t>
      </w:r>
    </w:p>
    <w:p/>
    <w:p>
      <w:r>
        <w:rPr/>
        <w:t>4)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p/>
    <w:p>
      <w:r>
        <w:rPr/>
        <w:t>采购包3（麻醉监护仪等）：</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3)本项目不接受联合体投标。</w:t>
      </w:r>
    </w:p>
    <w:p/>
    <w:p>
      <w:r>
        <w:rPr/>
        <w:t>4)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广东省公共资源交易平台（https://ygp.gdzwfw.gov.cn/ggzy-portal/#/440600/jygg）、北滘镇政务网（http://www.shunde.gov.cn/beijiao）及采购代理机构（http://www.gdzczb.com/）</w:t>
      </w:r>
    </w:p>
    <w:p>
      <w:r>
        <w:rPr>
          <w:b/>
          <w:sz w:val="28"/>
        </w:rPr>
        <w:t>六.本项目联系方式：</w:t>
      </w:r>
    </w:p>
    <w:p>
      <w:r>
        <w:rPr>
          <w:b/>
          <w:sz w:val="24"/>
        </w:rPr>
        <w:t>1.采购人信息</w:t>
      </w:r>
    </w:p>
    <w:p>
      <w:pPr>
        <w:ind w:firstLine="480"/>
      </w:pPr>
      <w:r>
        <w:rPr/>
        <w:t>名称：</w:t>
      </w:r>
      <w:r>
        <w:rPr/>
        <w:t>佛山市顺德区第三人民医院（佛山市顺德区北滘医院）</w:t>
      </w:r>
    </w:p>
    <w:p>
      <w:pPr>
        <w:ind w:firstLine="480"/>
      </w:pPr>
      <w:r>
        <w:rPr/>
        <w:t>地址：</w:t>
      </w:r>
      <w:r>
        <w:rPr/>
        <w:t>佛山市顺德区北滘镇君兰社区诚德路8号</w:t>
      </w:r>
    </w:p>
    <w:p>
      <w:pPr>
        <w:ind w:firstLine="480"/>
      </w:pPr>
      <w:r>
        <w:rPr/>
        <w:t>联系方式：</w:t>
      </w:r>
      <w:r>
        <w:rPr/>
        <w:t>0757-26601929</w:t>
      </w:r>
    </w:p>
    <w:p>
      <w:r>
        <w:rPr>
          <w:b/>
          <w:sz w:val="24"/>
        </w:rPr>
        <w:t>2.采购代理机构信息</w:t>
      </w:r>
    </w:p>
    <w:p>
      <w:pPr>
        <w:ind w:firstLine="480"/>
      </w:pPr>
      <w:r>
        <w:rPr/>
        <w:t>名称：</w:t>
      </w:r>
      <w:r>
        <w:rPr/>
        <w:t>广东中采招标有限公司</w:t>
      </w:r>
    </w:p>
    <w:p>
      <w:pPr>
        <w:ind w:firstLine="480"/>
      </w:pPr>
      <w:r>
        <w:rPr/>
        <w:t>地址：</w:t>
      </w:r>
      <w:r>
        <w:rPr/>
        <w:t>广东省佛山市禅城区文华北路223号之一栋525、526、527单元（住所申报）</w:t>
      </w:r>
    </w:p>
    <w:p>
      <w:pPr>
        <w:ind w:firstLine="480"/>
      </w:pPr>
      <w:r>
        <w:rPr/>
        <w:t>联系方式：</w:t>
      </w:r>
      <w:r>
        <w:rPr/>
        <w:t>0757-81993027</w:t>
      </w:r>
    </w:p>
    <w:p>
      <w:r>
        <w:rPr>
          <w:b/>
          <w:sz w:val="24"/>
        </w:rPr>
        <w:t>3.项目联系方式</w:t>
      </w:r>
    </w:p>
    <w:p>
      <w:pPr>
        <w:ind w:firstLine="480"/>
      </w:pPr>
      <w:r>
        <w:rPr/>
        <w:t>项目联系人：</w:t>
      </w:r>
      <w:r>
        <w:rPr/>
        <w:t>吕小姐</w:t>
      </w:r>
    </w:p>
    <w:p>
      <w:pPr>
        <w:ind w:firstLine="480"/>
      </w:pPr>
      <w:r>
        <w:rPr/>
        <w:t>电话：</w:t>
      </w:r>
      <w:r>
        <w:rPr/>
        <w:t>0757-81993027</w:t>
      </w:r>
    </w:p>
    <w:p>
      <w:r>
        <w:rPr>
          <w:b/>
          <w:sz w:val="24"/>
        </w:rPr>
        <w:t>4.技术支持联系方式</w:t>
      </w:r>
    </w:p>
    <w:p>
      <w:pPr>
        <w:ind w:firstLine="480"/>
      </w:pPr>
      <w:r>
        <w:rPr/>
        <w:t>云平台联系方式：020-88696588</w:t>
      </w:r>
    </w:p>
    <w:p>
      <w:r>
        <w:rPr/>
        <w:t>采购代理机构：</w:t>
      </w:r>
      <w:r>
        <w:rPr/>
        <w:t>广东中采招标有限公司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环境标志产品政府采购执行机制的通知》（财库〔2019〕9号）等，如有最新，以最新的为准。</w:t>
      </w:r>
    </w:p>
    <w:p>
      <w:pPr>
        <w:jc w:val="both"/>
      </w:pPr>
      <w:r>
        <w:rPr>
          <w:sz w:val="21"/>
        </w:rPr>
        <w:t>2）经政府管理部门同意，</w:t>
      </w:r>
      <w:r>
        <w:rPr>
          <w:b/>
          <w:sz w:val="21"/>
          <w:u w:val="single"/>
        </w:rPr>
        <w:t>包组</w:t>
      </w:r>
      <w:r>
        <w:rPr>
          <w:b/>
          <w:sz w:val="21"/>
          <w:u w:val="single"/>
        </w:rPr>
        <w:t>三</w:t>
      </w:r>
      <w:r>
        <w:rPr>
          <w:b/>
          <w:sz w:val="21"/>
          <w:u w:val="single"/>
        </w:rPr>
        <w:t>：血透透析滤过机（血液透析滤过装置）、硬性输尿管镜</w:t>
      </w:r>
      <w:r>
        <w:rPr>
          <w:sz w:val="21"/>
        </w:rPr>
        <w:t>采购本国产品或不属于国家法律法规政府明确规定限制的进口产品。</w:t>
      </w:r>
    </w:p>
    <w:p>
      <w:pPr>
        <w:jc w:val="both"/>
      </w:pPr>
      <w:r>
        <w:rPr>
          <w:sz w:val="21"/>
        </w:rPr>
        <w:t>3）本项目标的按照《中小企业划型标准规定》（工信部联企业[2011]300号）划分行业为：工业。</w:t>
      </w:r>
    </w:p>
    <w:p>
      <w:pPr>
        <w:jc w:val="both"/>
      </w:pPr>
      <w:r>
        <w:rPr>
          <w:sz w:val="21"/>
        </w:rPr>
        <w:t>4）说明：第二章采购需求中打“★”号条款为实质性条款，投标人如有任何一条负偏离则导致投标无效。</w:t>
      </w:r>
    </w:p>
    <w:p>
      <w:pPr>
        <w:jc w:val="both"/>
      </w:pPr>
      <w:r>
        <w:rPr>
          <w:sz w:val="21"/>
        </w:rPr>
        <w:t>5）第二章采购需求中打“▲”号条款（如有）为重要条款，投标人如有任何一条负偏离扣除相应分数，但不做无效处理。</w:t>
      </w:r>
    </w:p>
    <w:p>
      <w:pPr>
        <w:jc w:val="both"/>
      </w:pPr>
      <w:r>
        <w:rPr>
          <w:sz w:val="21"/>
        </w:rPr>
        <w:t>6）项目的核心产品是</w:t>
      </w:r>
      <w:r>
        <w:rPr>
          <w:sz w:val="21"/>
        </w:rPr>
        <w:t>（第二章采购需求中打</w:t>
      </w:r>
      <w:r>
        <w:rPr>
          <w:sz w:val="21"/>
        </w:rPr>
        <w:t>“△”号为</w:t>
      </w:r>
      <w:r>
        <w:rPr>
          <w:sz w:val="21"/>
        </w:rPr>
        <w:t>该包组的核心产品）</w:t>
      </w:r>
      <w:r>
        <w:rPr>
          <w:sz w:val="21"/>
        </w:rPr>
        <w:t>：</w:t>
      </w:r>
    </w:p>
    <w:p>
      <w:pPr>
        <w:jc w:val="both"/>
      </w:pPr>
      <w:r>
        <w:rPr>
          <w:sz w:val="21"/>
        </w:rPr>
        <w:t>包组一：</w:t>
      </w:r>
      <w:r>
        <w:rPr>
          <w:sz w:val="21"/>
        </w:rPr>
        <w:t>牙椅</w:t>
      </w:r>
      <w:r>
        <w:rPr>
          <w:sz w:val="21"/>
        </w:rPr>
        <w:t>；</w:t>
      </w:r>
    </w:p>
    <w:p>
      <w:pPr>
        <w:jc w:val="both"/>
      </w:pPr>
      <w:r>
        <w:rPr>
          <w:sz w:val="21"/>
        </w:rPr>
        <w:t>包组二：移动式</w:t>
      </w:r>
      <w:r>
        <w:rPr>
          <w:sz w:val="21"/>
        </w:rPr>
        <w:t>C形臂X线机；</w:t>
      </w:r>
    </w:p>
    <w:p>
      <w:pPr>
        <w:jc w:val="both"/>
      </w:pPr>
      <w:r>
        <w:rPr>
          <w:sz w:val="21"/>
        </w:rPr>
        <w:t>包组三：电生理精准治疗系统。</w:t>
      </w:r>
    </w:p>
    <w:p>
      <w:pPr>
        <w:jc w:val="both"/>
      </w:pPr>
      <w:r>
        <w:rPr>
          <w:sz w:val="21"/>
        </w:rPr>
        <w:t>非单一产品采购项目，评标委员会依照投标人投标的核心产品是否属于相同品牌进行认定，多家投标人投标的核心产品属于相同品牌的按照同一品牌投标认定，并按本文件第四章评标有关规定处理。</w:t>
      </w:r>
    </w:p>
    <w:p>
      <w:pPr>
        <w:jc w:val="both"/>
      </w:pPr>
      <w:r>
        <w:rPr>
          <w:sz w:val="21"/>
        </w:rPr>
        <w:t>7）“技术标准与要求”及其附件中的参数要求为最低标准，投标人可提供更优的配置。</w:t>
      </w:r>
    </w:p>
    <w:tbl>
      <w:tblPr>
        <w:tblW w:w="0" w:type="auto"/>
        <w:tblBorders>
          <w:top w:val="none" w:color="000000" w:sz="4"/>
          <w:left w:val="none" w:color="000000" w:sz="4"/>
          <w:bottom w:val="none" w:color="000000" w:sz="4"/>
          <w:right w:val="none" w:color="000000" w:sz="4"/>
          <w:insideH w:val="none"/>
          <w:insideV w:val="none"/>
        </w:tblBorders>
      </w:tblPr>
      <w:tblGrid>
        <w:gridCol w:w="624"/>
        <w:gridCol w:w="1060"/>
        <w:gridCol w:w="2512"/>
        <w:gridCol w:w="929"/>
        <w:gridCol w:w="1524"/>
        <w:gridCol w:w="1640"/>
      </w:tblGrid>
      <w:tr>
        <w:tc>
          <w:tcPr>
            <w:tcW w:type="dxa" w:w="62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60"/>
            <w:tcBorders>
              <w:top w:val="single" w:color="000000" w:sz="4"/>
              <w:left w:val="single" w:color="000000" w:sz="4"/>
              <w:bottom w:val="single" w:color="000000" w:sz="4"/>
              <w:right w:val="single" w:color="000000" w:sz="4"/>
            </w:tcBorders>
            <w:vAlign w:val="top"/>
          </w:tcPr>
          <w:p>
            <w:pPr>
              <w:jc w:val="center"/>
            </w:pPr>
            <w:r>
              <w:rPr>
                <w:sz w:val="21"/>
              </w:rPr>
              <w:t>包组名称</w:t>
            </w:r>
          </w:p>
        </w:tc>
        <w:tc>
          <w:tcPr>
            <w:tcW w:type="dxa" w:w="2512"/>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929"/>
            <w:tcBorders>
              <w:top w:val="single" w:color="000000" w:sz="4"/>
              <w:left w:val="single" w:color="000000" w:sz="4"/>
              <w:bottom w:val="single" w:color="000000" w:sz="4"/>
              <w:right w:val="single" w:color="000000" w:sz="4"/>
            </w:tcBorders>
            <w:vAlign w:val="top"/>
          </w:tcPr>
          <w:p>
            <w:pPr>
              <w:jc w:val="center"/>
            </w:pPr>
            <w:r>
              <w:rPr>
                <w:sz w:val="21"/>
              </w:rPr>
              <w:t>数量</w:t>
            </w:r>
          </w:p>
          <w:p>
            <w:pPr>
              <w:jc w:val="center"/>
            </w:pPr>
            <w:r>
              <w:rPr>
                <w:sz w:val="21"/>
              </w:rPr>
              <w:t>（台</w:t>
            </w:r>
            <w:r>
              <w:rPr>
                <w:sz w:val="21"/>
              </w:rPr>
              <w:t>/套）</w:t>
            </w:r>
          </w:p>
        </w:tc>
        <w:tc>
          <w:tcPr>
            <w:tcW w:type="dxa" w:w="1524"/>
            <w:tcBorders>
              <w:top w:val="single" w:color="000000" w:sz="4"/>
              <w:left w:val="single" w:color="000000" w:sz="4"/>
              <w:bottom w:val="single" w:color="000000" w:sz="4"/>
              <w:right w:val="single" w:color="000000" w:sz="4"/>
            </w:tcBorders>
            <w:vAlign w:val="top"/>
          </w:tcPr>
          <w:p>
            <w:pPr>
              <w:jc w:val="center"/>
            </w:pPr>
            <w:r>
              <w:rPr>
                <w:sz w:val="21"/>
              </w:rPr>
              <w:t>产品预算</w:t>
            </w:r>
          </w:p>
          <w:p>
            <w:pPr>
              <w:jc w:val="center"/>
            </w:pPr>
            <w:r>
              <w:rPr>
                <w:sz w:val="21"/>
              </w:rPr>
              <w:t>（人民币</w:t>
            </w:r>
            <w:r>
              <w:rPr>
                <w:sz w:val="21"/>
              </w:rPr>
              <w:t>元）</w:t>
            </w:r>
          </w:p>
        </w:tc>
        <w:tc>
          <w:tcPr>
            <w:tcW w:type="dxa" w:w="1640"/>
            <w:tcBorders>
              <w:top w:val="single" w:color="000000" w:sz="4"/>
              <w:left w:val="single" w:color="000000" w:sz="4"/>
              <w:bottom w:val="single" w:color="000000" w:sz="4"/>
              <w:right w:val="single" w:color="000000" w:sz="4"/>
            </w:tcBorders>
            <w:vAlign w:val="top"/>
          </w:tcPr>
          <w:p>
            <w:pPr>
              <w:jc w:val="center"/>
            </w:pPr>
            <w:r>
              <w:rPr>
                <w:sz w:val="21"/>
              </w:rPr>
              <w:t>各包组最高限价</w:t>
            </w:r>
          </w:p>
          <w:p>
            <w:pPr>
              <w:jc w:val="center"/>
            </w:pPr>
            <w:r>
              <w:rPr>
                <w:sz w:val="21"/>
              </w:rPr>
              <w:t>（人民币</w:t>
            </w:r>
            <w:r>
              <w:rPr>
                <w:sz w:val="21"/>
              </w:rPr>
              <w:t>元）</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60"/>
            <w:vMerge w:val="restart"/>
            <w:tcBorders>
              <w:top w:val="none" w:color="000000" w:sz="4"/>
              <w:left w:val="single" w:color="000000" w:sz="4"/>
              <w:bottom w:val="single" w:color="000000" w:sz="4"/>
              <w:right w:val="single" w:color="000000" w:sz="4"/>
            </w:tcBorders>
            <w:vAlign w:val="top"/>
          </w:tcPr>
          <w:p>
            <w:pPr>
              <w:jc w:val="center"/>
            </w:pPr>
            <w:r>
              <w:rPr>
                <w:sz w:val="21"/>
              </w:rPr>
              <w:t>包组一：</w:t>
            </w:r>
          </w:p>
          <w:p>
            <w:pPr>
              <w:jc w:val="center"/>
            </w:pPr>
            <w:r>
              <w:rPr>
                <w:sz w:val="21"/>
              </w:rPr>
              <w:t>离心机等</w:t>
            </w: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离心机</w:t>
            </w:r>
          </w:p>
        </w:tc>
        <w:tc>
          <w:tcPr>
            <w:tcW w:type="dxa" w:w="92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25,000.00</w:t>
            </w:r>
          </w:p>
        </w:tc>
        <w:tc>
          <w:tcPr>
            <w:tcW w:type="dxa" w:w="1640"/>
            <w:vMerge w:val="restart"/>
            <w:tcBorders>
              <w:top w:val="none" w:color="000000" w:sz="4"/>
              <w:left w:val="single" w:color="000000" w:sz="4"/>
              <w:bottom w:val="single" w:color="000000" w:sz="4"/>
              <w:right w:val="single" w:color="000000" w:sz="4"/>
            </w:tcBorders>
            <w:vAlign w:val="top"/>
          </w:tcPr>
          <w:p>
            <w:pPr>
              <w:jc w:val="center"/>
            </w:pPr>
            <w:r>
              <w:rPr>
                <w:sz w:val="21"/>
              </w:rPr>
              <w:t>444,000.00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全自动化学发光分析仪</w:t>
            </w:r>
          </w:p>
        </w:tc>
        <w:tc>
          <w:tcPr>
            <w:tcW w:type="dxa" w:w="92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98,000.00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心电图机（</w:t>
            </w:r>
            <w:r>
              <w:rPr>
                <w:color w:val="000000"/>
                <w:sz w:val="21"/>
              </w:rPr>
              <w:t>12导联）</w:t>
            </w:r>
          </w:p>
        </w:tc>
        <w:tc>
          <w:tcPr>
            <w:tcW w:type="dxa" w:w="92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20,000.00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心电图机</w:t>
            </w:r>
          </w:p>
        </w:tc>
        <w:tc>
          <w:tcPr>
            <w:tcW w:type="dxa" w:w="92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30,000.00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气压波治疗机</w:t>
            </w:r>
          </w:p>
        </w:tc>
        <w:tc>
          <w:tcPr>
            <w:tcW w:type="dxa" w:w="92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37,800.00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超短波治疗机</w:t>
            </w:r>
          </w:p>
        </w:tc>
        <w:tc>
          <w:tcPr>
            <w:tcW w:type="dxa" w:w="92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33,200.00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牙椅</w:t>
            </w:r>
          </w:p>
        </w:tc>
        <w:tc>
          <w:tcPr>
            <w:tcW w:type="dxa" w:w="92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130,000.00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牙椅（种植用）</w:t>
            </w:r>
          </w:p>
        </w:tc>
        <w:tc>
          <w:tcPr>
            <w:tcW w:type="dxa" w:w="92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50,000.00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种植机</w:t>
            </w:r>
          </w:p>
        </w:tc>
        <w:tc>
          <w:tcPr>
            <w:tcW w:type="dxa" w:w="92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20,000.00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60"/>
            <w:vMerge w:val="restart"/>
            <w:tcBorders>
              <w:top w:val="none" w:color="000000" w:sz="4"/>
              <w:left w:val="single" w:color="000000" w:sz="4"/>
              <w:bottom w:val="single" w:color="000000" w:sz="4"/>
              <w:right w:val="single" w:color="000000" w:sz="4"/>
            </w:tcBorders>
            <w:vAlign w:val="top"/>
          </w:tcPr>
          <w:p>
            <w:pPr>
              <w:jc w:val="center"/>
            </w:pPr>
            <w:r>
              <w:rPr>
                <w:sz w:val="21"/>
              </w:rPr>
              <w:t>包组二：</w:t>
            </w:r>
          </w:p>
          <w:p>
            <w:pPr>
              <w:jc w:val="center"/>
            </w:pPr>
            <w:r>
              <w:rPr>
                <w:sz w:val="21"/>
              </w:rPr>
              <w:t>移动式</w:t>
            </w:r>
            <w:r>
              <w:rPr>
                <w:sz w:val="21"/>
              </w:rPr>
              <w:t>C形臂X线机等</w:t>
            </w: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移动式</w:t>
            </w:r>
            <w:r>
              <w:rPr>
                <w:color w:val="000000"/>
                <w:sz w:val="21"/>
              </w:rPr>
              <w:t>C形臂X线机</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1,020,000.00</w:t>
            </w:r>
          </w:p>
        </w:tc>
        <w:tc>
          <w:tcPr>
            <w:tcW w:type="dxa" w:w="1640"/>
            <w:vMerge w:val="restart"/>
            <w:tcBorders>
              <w:top w:val="none" w:color="000000" w:sz="4"/>
              <w:left w:val="single" w:color="000000" w:sz="4"/>
              <w:bottom w:val="single" w:color="000000" w:sz="4"/>
              <w:right w:val="single" w:color="000000" w:sz="4"/>
            </w:tcBorders>
            <w:vAlign w:val="top"/>
          </w:tcPr>
          <w:p>
            <w:pPr>
              <w:jc w:val="center"/>
            </w:pPr>
            <w:r>
              <w:rPr>
                <w:sz w:val="21"/>
              </w:rPr>
              <w:t>1,638,400.00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便携式骨密度测定仪</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299,200.00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脉搏血氧仪</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10,000.00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胃肠营养泵</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10,000.00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60"/>
            <w:vMerge w:val="restart"/>
            <w:tcBorders>
              <w:top w:val="none" w:color="000000" w:sz="4"/>
              <w:left w:val="single" w:color="000000" w:sz="4"/>
              <w:bottom w:val="single" w:color="000000" w:sz="4"/>
              <w:right w:val="single" w:color="000000" w:sz="4"/>
            </w:tcBorders>
            <w:vAlign w:val="top"/>
          </w:tcPr>
          <w:p>
            <w:pPr>
              <w:jc w:val="center"/>
            </w:pPr>
            <w:r>
              <w:rPr>
                <w:sz w:val="21"/>
              </w:rPr>
              <w:t>包组三：</w:t>
            </w:r>
          </w:p>
          <w:p>
            <w:pPr>
              <w:jc w:val="center"/>
            </w:pPr>
            <w:r>
              <w:rPr>
                <w:sz w:val="21"/>
              </w:rPr>
              <w:t>麻醉监护仪等</w:t>
            </w: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麻醉监护仪</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180,000.00</w:t>
            </w:r>
          </w:p>
        </w:tc>
        <w:tc>
          <w:tcPr>
            <w:tcW w:type="dxa" w:w="1640"/>
            <w:vMerge w:val="restart"/>
            <w:tcBorders>
              <w:top w:val="none" w:color="000000" w:sz="4"/>
              <w:left w:val="single" w:color="000000" w:sz="4"/>
              <w:bottom w:val="single" w:color="000000" w:sz="4"/>
              <w:right w:val="single" w:color="000000" w:sz="4"/>
            </w:tcBorders>
            <w:vAlign w:val="top"/>
          </w:tcPr>
          <w:p>
            <w:pPr>
              <w:jc w:val="center"/>
            </w:pPr>
            <w:r>
              <w:rPr>
                <w:sz w:val="21"/>
              </w:rPr>
              <w:t>3,174,300.00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血透透析滤过机（血液透析滤过装置）</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804,000.00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磁敏免疫分析仪</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96,000.00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全自动微生物鉴定及药敏分析系统</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450,000.00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荧光免疫定量分析仪</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9,000.00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体表标测心电图检测系统</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9,500.00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心电图机（</w:t>
            </w:r>
            <w:r>
              <w:rPr>
                <w:color w:val="000000"/>
                <w:sz w:val="21"/>
              </w:rPr>
              <w:t>18导联）</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30,000.00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心电图机（</w:t>
            </w:r>
            <w:r>
              <w:rPr>
                <w:color w:val="000000"/>
                <w:sz w:val="21"/>
              </w:rPr>
              <w:t>18导联）</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30,000.00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全自动血压计（心内）</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45,000.00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GE-DR机脊柱拼接系统</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90,000.00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心电监护仪</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40,000.00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全自动血压计</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20,000.00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心电图机（便携式）</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50,000.00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剪切波组织定量超声诊断仪</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122,200.00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电生理精准治疗系统</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520,000.00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五官科超短波治疗机</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35,000.00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溶栓称重床</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70,000.00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简易膀胱扫描仪</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936,000.00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男性性功能生物反馈检测仪</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290,000.00</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060"/>
            <w:vMerge/>
            <w:tcBorders>
              <w:top w:val="none" w:color="000000" w:sz="4"/>
              <w:left w:val="single" w:color="000000" w:sz="4"/>
              <w:bottom w:val="single" w:color="000000" w:sz="4"/>
              <w:right w:val="single" w:color="000000" w:sz="4"/>
            </w:tcBorders>
          </w:tcPr>
          <w:p/>
        </w:tc>
        <w:tc>
          <w:tcPr>
            <w:tcW w:type="dxa" w:w="2512"/>
            <w:tcBorders>
              <w:top w:val="none" w:color="000000" w:sz="4"/>
              <w:left w:val="single" w:color="000000" w:sz="4"/>
              <w:bottom w:val="single" w:color="000000" w:sz="4"/>
              <w:right w:val="single" w:color="000000" w:sz="4"/>
            </w:tcBorders>
            <w:vAlign w:val="top"/>
          </w:tcPr>
          <w:p>
            <w:pPr>
              <w:jc w:val="center"/>
            </w:pPr>
            <w:r>
              <w:rPr>
                <w:color w:val="000000"/>
                <w:sz w:val="21"/>
              </w:rPr>
              <w:t>硬性输尿管镜</w:t>
            </w:r>
          </w:p>
        </w:tc>
        <w:tc>
          <w:tcPr>
            <w:tcW w:type="dxa" w:w="9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24"/>
            <w:tcBorders>
              <w:top w:val="none" w:color="000000" w:sz="4"/>
              <w:left w:val="single" w:color="000000" w:sz="4"/>
              <w:bottom w:val="single" w:color="000000" w:sz="4"/>
              <w:right w:val="single" w:color="000000" w:sz="4"/>
            </w:tcBorders>
            <w:vAlign w:val="top"/>
          </w:tcPr>
          <w:p>
            <w:pPr>
              <w:jc w:val="center"/>
            </w:pPr>
            <w:r>
              <w:rPr>
                <w:color w:val="000000"/>
                <w:sz w:val="21"/>
              </w:rPr>
              <w:t>190,000.00</w:t>
            </w:r>
          </w:p>
        </w:tc>
      </w:tr>
    </w:tbl>
    <w:p>
      <w:pPr>
        <w:jc w:val="both"/>
      </w:pPr>
    </w:p>
    <w:p/>
    <w:p>
      <w:pPr>
        <w:ind w:firstLine="480"/>
      </w:pPr>
    </w:p>
    <w:p/>
    <w:p>
      <w:r>
        <w:rPr/>
        <w:t>采购包1（离心机等）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★自合同签订之日起60日历天内完成供货、安装、调试及验收合格并交付使用。</w:t>
            </w:r>
          </w:p>
        </w:tc>
      </w:tr>
      <w:tr>
        <w:tc>
          <w:tcPr>
            <w:tcW w:type="dxa" w:w="4153"/>
          </w:tcPr>
          <w:p>
            <w:r>
              <w:rPr/>
              <w:t>标的提供的地点</w:t>
            </w:r>
          </w:p>
        </w:tc>
        <w:tc>
          <w:tcPr>
            <w:tcW w:type="dxa" w:w="4153"/>
          </w:tcPr>
          <w:p/>
          <w:p>
            <w:r>
              <w:rPr/>
              <w:t>★采购人指定地点（佛山市内）</w:t>
            </w:r>
          </w:p>
        </w:tc>
      </w:tr>
      <w:tr>
        <w:tc>
          <w:tcPr>
            <w:tcW w:type="dxa" w:w="4153"/>
          </w:tcPr>
          <w:p>
            <w:r>
              <w:rPr/>
              <w:t>付款方式</w:t>
            </w:r>
          </w:p>
        </w:tc>
        <w:tc>
          <w:tcPr>
            <w:tcW w:type="dxa" w:w="4153"/>
          </w:tcPr>
          <w:p/>
          <w:p/>
          <w:p>
            <w:r>
              <w:rPr/>
              <w:t>1期：支付比例30%,★付款方式：（一）签订合同后5个工作日内，采购人向中标人支付合同总价的30%。</w:t>
            </w:r>
          </w:p>
          <w:p/>
          <w:p>
            <w:r>
              <w:rPr/>
              <w:t>2期：支付比例70%,★（二）设备到货安装结束后，向采购人提交全部报告材料、调试完成后，设备无故障正常使用一个月后验收，验收合格后中标人凭以下材料（包含但不限于）申请支付。采购人收到材料并确认后，30日内向中标人支付至合同总额的70%： 1.采购人收货证明； 2.中标人开具的正式发票； 3.调试验收使用意见（加盖采购人验收部门章）。 （二）结算方式：转账结算（银行转账）。 （三）开具发票：中标人收款时必须持有效发票。收款方、出具发票方、合同中标人均必须与中标人名称一致。 （四）付款期间如因特殊情况需调整，由双方协商处理。</w:t>
            </w:r>
          </w:p>
        </w:tc>
      </w:tr>
      <w:tr>
        <w:tc>
          <w:tcPr>
            <w:tcW w:type="dxa" w:w="4153"/>
          </w:tcPr>
          <w:p>
            <w:r>
              <w:rPr/>
              <w:t>验收要求</w:t>
            </w:r>
          </w:p>
        </w:tc>
        <w:tc>
          <w:tcPr>
            <w:tcW w:type="dxa" w:w="4153"/>
          </w:tcPr>
          <w:p/>
          <w:p/>
          <w:p/>
          <w:p>
            <w:r>
              <w:rPr/>
              <w:t>1期：★验收要求：1）货物若有国家标准按照国家标准验收，若无国家标准按行业标准验收，为原制造商制造的全新产品，整机无污染，无侵权行为、表面无划损、无任何缺陷隐患，在中国境内可依常规安全合法使用。2）货物为原厂商未启封全新包装，具出厂合格证，序列号、包装箱号与出厂批号一致，并可追索查阅。所有随设备的附件必须齐全。3）中标人应将关键主机设备的用户手册、保修手册、有关单证资料及配备件、随机工具等交付给采购人，使用操作及安全须知等重要资料应附有中文说明。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5）如所投设备属于《中华人民共和国强制检定的工作计量器具目录》内的，验收时中标人需提供合法正规的计量合格证，否则验收不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★产品资质，如果投标产品隶属医疗器械管理的，须提供产品的医疗器械备案凭证或提供产品的医疗器械注册证（投标时须提供扫描件并加盖投标人公章）。</w:t>
            </w:r>
          </w:p>
        </w:tc>
      </w:tr>
    </w:tbl>
    <w:p/>
    <w:p>
      <w:r>
        <w:rPr/>
        <w:t>其他商务需求</w:t>
      </w:r>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一、其他要求</w:t>
            </w:r>
          </w:p>
        </w:tc>
        <w:tc>
          <w:tcPr>
            <w:tcW w:type="dxa" w:w="2076"/>
          </w:tcPr>
          <w:p>
            <w:pPr>
              <w:jc w:val="left"/>
            </w:pPr>
            <w:r>
              <w:rPr/>
              <w:t>本项目为“交钥匙”项目，中标人须承担及负责《招标文件》对中标人要求的一切事宜及责任。包含但不限于项目货物供货、运输装卸、保管、安装、调试、设备网络连接、送检、验收、培训、相关的税费、相关服务及合同实施过程中的应预见和不可预见等费用。若本项目采购的设备产品等方面的配置或要求中出现不合理或设备数量不完整的问题时，中标人有责任和义务在投标文件中提出补充修改方案并征得采购人同意后付诸实施。否则将视为提供实现相关功能的设备及服务的相关费用已包含在投标报价内，以达到本采购项目相关要求。</w:t>
            </w:r>
          </w:p>
        </w:tc>
      </w:tr>
      <w:tr>
        <w:tc>
          <w:tcPr>
            <w:tcW w:type="dxa" w:w="2076"/>
          </w:tcPr>
          <w:p>
            <w:pPr>
              <w:jc w:val="center"/>
            </w:pPr>
            <w:r>
              <w:rPr/>
              <w:t>★</w:t>
            </w:r>
          </w:p>
        </w:tc>
        <w:tc>
          <w:tcPr>
            <w:tcW w:type="dxa" w:w="2076"/>
          </w:tcPr>
          <w:p>
            <w:pPr>
              <w:jc w:val="center"/>
            </w:pPr>
            <w:r>
              <w:rPr/>
              <w:t>2</w:t>
            </w:r>
          </w:p>
        </w:tc>
        <w:tc>
          <w:tcPr>
            <w:tcW w:type="dxa" w:w="2076"/>
          </w:tcPr>
          <w:p>
            <w:pPr>
              <w:jc w:val="left"/>
            </w:pPr>
            <w:r>
              <w:rPr/>
              <w:t>二、供货要求</w:t>
            </w:r>
          </w:p>
        </w:tc>
        <w:tc>
          <w:tcPr>
            <w:tcW w:type="dxa" w:w="2076"/>
          </w:tcPr>
          <w:p>
            <w:pPr>
              <w:jc w:val="left"/>
            </w:pPr>
            <w:r>
              <w:rPr/>
              <w:t>（一）所有产品来源均应符合有关规定，产品来源渠道合法。 （二）中标人必须负责将所有设备运送至采购人指定的地点。 （三）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 （四）设备材料的包装必须是制造商原厂包装，其包装均应有良好的防湿、防锈、防潮、防雨、防腐及防碰撞的措施，凡由于包装不良造成的损失和由此产生的费用均由中标人承担。 （五）货物在现场的保管由中标人负责，直至项目安装、验收完毕。 （六）货物在系统安装调试验收合格前的一切保险由中标人负责。中标人负责其派出的现场服务人员人身意外保险。 （七）中标人投标时所提供的货物如在实际供货时已经停产（不列入该厂家当时的产品系统），如果未能按原报价提供更技术参数及质量优的货物，采购人将有权单方面终止合同的执行，并追究因中标人所提供的未达到所承诺的产品而产生的所有损失和责任。 （八）中标人在实际供货时，若被发现提供的货物未能达到招标文件和投标文件中的有关要求，将按有关法规进行处罚，采购人将有权单方面终止合同的执行，并追究因中标人所提供的未达到所承诺的产品而产生的所有损失和责任。 （九）中标人负责将货物运到采购人的使用现场（整个运输过程包括但不限于装卸车、货物到现场的搬运费用）。 （十）所有货物在开箱检验时必须完好，无破损，各种设备必须提供装箱清单，按装箱清单验收货物。货物外观清洁。数量、质量及性能不低于中标人投标文件中所投产品设备的数量和性能。（十一）如中标人所投产品为第二类医疗器械，须在签订合同前向采购人提供有效的医疗器械经营备案凭证复印件。</w:t>
            </w:r>
          </w:p>
        </w:tc>
      </w:tr>
      <w:tr>
        <w:tc>
          <w:tcPr>
            <w:tcW w:type="dxa" w:w="2076"/>
          </w:tcPr>
          <w:p>
            <w:pPr>
              <w:jc w:val="center"/>
            </w:pPr>
            <w:r>
              <w:rPr/>
              <w:t>★</w:t>
            </w:r>
          </w:p>
        </w:tc>
        <w:tc>
          <w:tcPr>
            <w:tcW w:type="dxa" w:w="2076"/>
          </w:tcPr>
          <w:p>
            <w:pPr>
              <w:jc w:val="center"/>
            </w:pPr>
            <w:r>
              <w:rPr/>
              <w:t>3</w:t>
            </w:r>
          </w:p>
        </w:tc>
        <w:tc>
          <w:tcPr>
            <w:tcW w:type="dxa" w:w="2076"/>
          </w:tcPr>
          <w:p>
            <w:pPr>
              <w:jc w:val="left"/>
            </w:pPr>
            <w:r>
              <w:rPr/>
              <w:t>三、培训要求</w:t>
            </w:r>
          </w:p>
        </w:tc>
        <w:tc>
          <w:tcPr>
            <w:tcW w:type="dxa" w:w="2076"/>
          </w:tcPr>
          <w:p>
            <w:pPr>
              <w:jc w:val="left"/>
            </w:pPr>
            <w:r>
              <w:rPr/>
              <w:t>（一）中标人须根据采购人的要求安排熟悉本项目的专业技术人员在采购人指定的使用科室（采购人办公地点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（三）所有的培训费用包含中标人的差旅、食宿、教材、资料等由中标人负责，均包含在中标金额中。</w:t>
            </w:r>
          </w:p>
        </w:tc>
      </w:tr>
      <w:tr>
        <w:tc>
          <w:tcPr>
            <w:tcW w:type="dxa" w:w="2076"/>
          </w:tcPr>
          <w:p>
            <w:pPr>
              <w:jc w:val="center"/>
            </w:pPr>
            <w:r>
              <w:rPr/>
              <w:t>★</w:t>
            </w:r>
          </w:p>
        </w:tc>
        <w:tc>
          <w:tcPr>
            <w:tcW w:type="dxa" w:w="2076"/>
          </w:tcPr>
          <w:p>
            <w:pPr>
              <w:jc w:val="center"/>
            </w:pPr>
            <w:r>
              <w:rPr/>
              <w:t>4</w:t>
            </w:r>
          </w:p>
        </w:tc>
        <w:tc>
          <w:tcPr>
            <w:tcW w:type="dxa" w:w="2076"/>
          </w:tcPr>
          <w:p>
            <w:pPr>
              <w:jc w:val="left"/>
            </w:pPr>
            <w:r>
              <w:rPr/>
              <w:t>四、质保期及售后服务要求</w:t>
            </w:r>
          </w:p>
        </w:tc>
        <w:tc>
          <w:tcPr>
            <w:tcW w:type="dxa" w:w="2076"/>
          </w:tcPr>
          <w:p>
            <w:pPr>
              <w:jc w:val="left"/>
            </w:pPr>
            <w:r>
              <w:rPr/>
              <w:t>（一）所有设备质保期不少于三年。质保期内中标人对所供货物实行包修、包换、包退、包维护保养，质保期内核心产品每个季度提供一次设备维护保养服务（如厂家的保养标准高于此，从其规定），每次保养后需提交维修保养工作报告，未按时提供视为违约。保养服务相关费用已包含在报价内。 （二）质保期内非因采购人的人为原因而出现产品质量及安装问题，由中标人负责包修、包换或包退，并承担因此而产生的一切费用。中标人提供7×24小时电话维护响应服务，应在收到采购人通知后1小时响应，4小时内派员到现场维修（第二章 采购需求要求另有规定除外）, 并在48小时内消除障碍。质保期内，维修时间超过48小时，提供备用机或主要零配件；并按维修延误时间的1:5延长保修期。如停用时间累计超过60天则质保期重新计算。若中标人未能及时派员到现场维修，中标人应向采购人支付合同金额千分之五的违约金/每次；若中标人未能在48小时内消除障碍，采购人有权聘请第三方消除障碍，由此产生的费用由中标人承担。 （三）保修期满后中标人对设备终身负责维修及系统软件免费升级，长期以优惠价提供零配件。质保期后对采购人的服务通知，中标人在接报后1小时内响应，4小时内到达现场，48小时内处理完毕。若在48小时内仍未能有效解决，中标人须48小时内提供同档次的设备或主要零配件予采购人临时使用。 （四）因货物的质量问题发生争议时，由本地质量技术监督部门进行鉴定。货物符合质量技术标准的，鉴定费用由采购人承担；否则由中标人承担，且退货处理，按违约条例办理。 （五）在质保期内，同一设备、出现相同或相似故障现象连续两次维修仍无法正常使用，无条件48小时内更换同品牌、同型号新设备。</w:t>
            </w:r>
          </w:p>
        </w:tc>
      </w:tr>
      <w:tr>
        <w:tc>
          <w:tcPr>
            <w:tcW w:type="dxa" w:w="2076"/>
          </w:tcPr>
          <w:p>
            <w:pPr>
              <w:jc w:val="center"/>
            </w:pPr>
            <w:r>
              <w:rPr/>
              <w:t>★</w:t>
            </w:r>
          </w:p>
        </w:tc>
        <w:tc>
          <w:tcPr>
            <w:tcW w:type="dxa" w:w="2076"/>
          </w:tcPr>
          <w:p>
            <w:pPr>
              <w:jc w:val="center"/>
            </w:pPr>
            <w:r>
              <w:rPr/>
              <w:t>5</w:t>
            </w:r>
          </w:p>
        </w:tc>
        <w:tc>
          <w:tcPr>
            <w:tcW w:type="dxa" w:w="2076"/>
          </w:tcPr>
          <w:p>
            <w:pPr>
              <w:jc w:val="left"/>
            </w:pPr>
            <w:r>
              <w:rPr/>
              <w:t>五、安装与调试</w:t>
            </w:r>
          </w:p>
        </w:tc>
        <w:tc>
          <w:tcPr>
            <w:tcW w:type="dxa" w:w="2076"/>
          </w:tcPr>
          <w:p>
            <w:pPr>
              <w:jc w:val="left"/>
            </w:pPr>
            <w:r>
              <w:rPr/>
              <w:t>（一）中标人必须依照招标文件的要求和投标文件的承诺，将设备、系统安装并调试至正常运行的最佳状态。 （二）签订合同时中标人必须提供所有设备的医疗设备注册证，中标人若为代理经销商的，须提供有效的授权证明资料，或提供连贯的产品合法性来源证明资料。</w:t>
            </w:r>
          </w:p>
        </w:tc>
      </w:tr>
      <w:tr>
        <w:tc>
          <w:tcPr>
            <w:tcW w:type="dxa" w:w="2076"/>
          </w:tcPr>
          <w:p>
            <w:pPr>
              <w:jc w:val="center"/>
            </w:pPr>
            <w:r>
              <w:rPr/>
              <w:t>★</w:t>
            </w:r>
          </w:p>
        </w:tc>
        <w:tc>
          <w:tcPr>
            <w:tcW w:type="dxa" w:w="2076"/>
          </w:tcPr>
          <w:p>
            <w:pPr>
              <w:jc w:val="center"/>
            </w:pPr>
            <w:r>
              <w:rPr/>
              <w:t>6</w:t>
            </w:r>
          </w:p>
        </w:tc>
        <w:tc>
          <w:tcPr>
            <w:tcW w:type="dxa" w:w="2076"/>
          </w:tcPr>
          <w:p>
            <w:pPr>
              <w:jc w:val="left"/>
            </w:pPr>
            <w:r>
              <w:rPr/>
              <w:t>六、违约条款与赔偿损失</w:t>
            </w:r>
          </w:p>
        </w:tc>
        <w:tc>
          <w:tcPr>
            <w:tcW w:type="dxa" w:w="2076"/>
          </w:tcPr>
          <w:p>
            <w:pPr>
              <w:jc w:val="left"/>
            </w:pPr>
            <w:r>
              <w:rPr/>
              <w:t>（一）中标人交付的货物、提供的服务不符合采购文件、报价文件或本合同规定的，采购人有权拒收，并且中标人须向采购人支付本合同总价5%的违约金。 （二）中标人未能按本合同规定的交货时间交付货物/提供服务，从逾期之日起每日按本合同总价3‰的数额向采购人支付违约金；逾期半个月以上的，采购人有权终止合同，由此造成的采购人经济损失由中标人承担。 （三）采购人无正当理由拒收货物/接受服务，到期拒付货物/服务款项的，采购人向中标人偿付本合同总价5%的违约金。采购人逾期付款的，则每日按本合同总价的3‰向中标人偿付违约金。 （四）其它违约责任按《中华人民共和国民法典》处理。</w:t>
            </w:r>
          </w:p>
        </w:tc>
      </w:tr>
      <w:tr>
        <w:tc>
          <w:tcPr>
            <w:tcW w:type="dxa" w:w="2076"/>
          </w:tcPr>
          <w:p>
            <w:pPr>
              <w:jc w:val="center"/>
            </w:pPr>
            <w:r>
              <w:rPr/>
              <w:t>★</w:t>
            </w:r>
          </w:p>
        </w:tc>
        <w:tc>
          <w:tcPr>
            <w:tcW w:type="dxa" w:w="2076"/>
          </w:tcPr>
          <w:p>
            <w:pPr>
              <w:jc w:val="center"/>
            </w:pPr>
            <w:r>
              <w:rPr/>
              <w:t>7</w:t>
            </w:r>
          </w:p>
        </w:tc>
        <w:tc>
          <w:tcPr>
            <w:tcW w:type="dxa" w:w="2076"/>
          </w:tcPr>
          <w:p>
            <w:pPr>
              <w:jc w:val="left"/>
            </w:pPr>
            <w:r>
              <w:rPr/>
              <w:t>七、报价要求</w:t>
            </w:r>
          </w:p>
        </w:tc>
        <w:tc>
          <w:tcPr>
            <w:tcW w:type="dxa" w:w="2076"/>
          </w:tcPr>
          <w:p>
            <w:pPr>
              <w:jc w:val="left"/>
            </w:pPr>
            <w:r>
              <w:rPr/>
              <w:t>（一）报价方式为广东省佛山市目的地包干价。  （二）投标总价包括但不限于全部产品及零配件、运输装卸、安装调试、设备网络连接、培训、售后服务、人工、交通差旅、耗材、检测调试的设备仪器、更换设备服务费、工具、管理、利润风险、国家政府相关部门的税费及有关规定的费用、社保金等相关费用等合同实施过程中应预见和不可预见的全部费用。中标人必须自行考虑在本项目实施期间的一切可能产生的费用，在项目的实施过程中，采购人除了支付合同规定的款项外，一切合同规定外的费用将拒绝支付。（三）投标人的投标分项报价表中须单独列明各采购标的的报价，各采购标的的报价均不能超过分项预算单价及各包组最高限价，否则视为无效投标，其中投标总价用作投标报价得分评审。</w:t>
            </w:r>
          </w:p>
        </w:tc>
      </w:tr>
      <w:tr>
        <w:tc>
          <w:tcPr>
            <w:tcW w:type="dxa" w:w="2076"/>
          </w:tcPr>
          <w:p>
            <w:pPr>
              <w:jc w:val="center"/>
            </w:pPr>
            <w:r>
              <w:rPr/>
              <w:t>★</w:t>
            </w:r>
          </w:p>
        </w:tc>
        <w:tc>
          <w:tcPr>
            <w:tcW w:type="dxa" w:w="2076"/>
          </w:tcPr>
          <w:p>
            <w:pPr>
              <w:jc w:val="center"/>
            </w:pPr>
            <w:r>
              <w:rPr/>
              <w:t>8</w:t>
            </w:r>
          </w:p>
        </w:tc>
        <w:tc>
          <w:tcPr>
            <w:tcW w:type="dxa" w:w="2076"/>
          </w:tcPr>
          <w:p>
            <w:pPr>
              <w:jc w:val="left"/>
            </w:pPr>
            <w:r>
              <w:rPr/>
              <w:t>八、知识产权</w:t>
            </w:r>
          </w:p>
        </w:tc>
        <w:tc>
          <w:tcPr>
            <w:tcW w:type="dxa" w:w="2076"/>
          </w:tcPr>
          <w:p>
            <w:pPr>
              <w:jc w:val="left"/>
            </w:pPr>
            <w:r>
              <w:rPr/>
              <w:t>（一）中标人应保证向采购人销售的本采购合同项下的货物或其任何部分不侵犯任何第三方知识产权，并保证采购人购买和正常使用货物过程中免受第三方就知识产权侵权提出的任何纠纷、制裁、索赔或起诉。 （二）采购人不对中标人提供的货物是否侵犯他人权利负责，如因中标人提供的货物因任何知识产权问题给采购人造成损失的，无论是执行合同期间或合同到期后的任何时间，中标人均应负责解决纠纷,并按采购人损失金额的1.5倍进行赔偿。 （三）对于货物的知识产权非中标人所有的，中标人应向采购人提供货物的正规销售授权文件。</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临床检验设备</w:t>
            </w:r>
          </w:p>
        </w:tc>
        <w:tc>
          <w:tcPr>
            <w:tcW w:type="dxa" w:w="831"/>
          </w:tcPr>
          <w:p>
            <w:pPr>
              <w:jc w:val="left"/>
            </w:pPr>
            <w:r>
              <w:rPr/>
              <w:t>离心机</w:t>
            </w:r>
          </w:p>
        </w:tc>
        <w:tc>
          <w:tcPr>
            <w:tcW w:type="dxa" w:w="831"/>
          </w:tcPr>
          <w:p>
            <w:pPr>
              <w:jc w:val="left"/>
            </w:pPr>
            <w:r>
              <w:rPr/>
              <w:t>台</w:t>
            </w:r>
          </w:p>
        </w:tc>
        <w:tc>
          <w:tcPr>
            <w:tcW w:type="dxa" w:w="831"/>
          </w:tcPr>
          <w:p>
            <w:pPr>
              <w:jc w:val="right"/>
            </w:pPr>
            <w:r>
              <w:rPr/>
              <w:t>1.00</w:t>
            </w:r>
          </w:p>
        </w:tc>
        <w:tc>
          <w:tcPr>
            <w:tcW w:type="dxa" w:w="831"/>
          </w:tcPr>
          <w:p>
            <w:pPr>
              <w:jc w:val="right"/>
            </w:pPr>
            <w:r>
              <w:rPr/>
              <w:t>25,000.00</w:t>
            </w:r>
          </w:p>
        </w:tc>
        <w:tc>
          <w:tcPr>
            <w:tcW w:type="dxa" w:w="831"/>
          </w:tcPr>
          <w:p>
            <w:pPr>
              <w:jc w:val="right"/>
            </w:pPr>
            <w:r>
              <w:rPr/>
              <w:t>25,000.00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临床检验设备</w:t>
            </w:r>
          </w:p>
        </w:tc>
        <w:tc>
          <w:tcPr>
            <w:tcW w:type="dxa" w:w="831"/>
          </w:tcPr>
          <w:p>
            <w:pPr>
              <w:jc w:val="left"/>
            </w:pPr>
            <w:r>
              <w:rPr/>
              <w:t>全自动化学发光分析仪</w:t>
            </w:r>
          </w:p>
        </w:tc>
        <w:tc>
          <w:tcPr>
            <w:tcW w:type="dxa" w:w="831"/>
          </w:tcPr>
          <w:p>
            <w:pPr>
              <w:jc w:val="left"/>
            </w:pPr>
            <w:r>
              <w:rPr/>
              <w:t>台</w:t>
            </w:r>
          </w:p>
        </w:tc>
        <w:tc>
          <w:tcPr>
            <w:tcW w:type="dxa" w:w="831"/>
          </w:tcPr>
          <w:p>
            <w:pPr>
              <w:jc w:val="right"/>
            </w:pPr>
            <w:r>
              <w:rPr/>
              <w:t>1.00</w:t>
            </w:r>
          </w:p>
        </w:tc>
        <w:tc>
          <w:tcPr>
            <w:tcW w:type="dxa" w:w="831"/>
          </w:tcPr>
          <w:p>
            <w:pPr>
              <w:jc w:val="right"/>
            </w:pPr>
            <w:r>
              <w:rPr/>
              <w:t>98,000.00</w:t>
            </w:r>
          </w:p>
        </w:tc>
        <w:tc>
          <w:tcPr>
            <w:tcW w:type="dxa" w:w="831"/>
          </w:tcPr>
          <w:p>
            <w:pPr>
              <w:jc w:val="right"/>
            </w:pPr>
            <w:r>
              <w:rPr/>
              <w:t>98,000.00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心电图机（12导联）</w:t>
            </w:r>
          </w:p>
        </w:tc>
        <w:tc>
          <w:tcPr>
            <w:tcW w:type="dxa" w:w="831"/>
          </w:tcPr>
          <w:p>
            <w:pPr>
              <w:jc w:val="left"/>
            </w:pPr>
            <w:r>
              <w:rPr/>
              <w:t>台</w:t>
            </w:r>
          </w:p>
        </w:tc>
        <w:tc>
          <w:tcPr>
            <w:tcW w:type="dxa" w:w="831"/>
          </w:tcPr>
          <w:p>
            <w:pPr>
              <w:jc w:val="right"/>
            </w:pPr>
            <w:r>
              <w:rPr/>
              <w:t>1.00</w:t>
            </w:r>
          </w:p>
        </w:tc>
        <w:tc>
          <w:tcPr>
            <w:tcW w:type="dxa" w:w="831"/>
          </w:tcPr>
          <w:p>
            <w:pPr>
              <w:jc w:val="right"/>
            </w:pPr>
            <w:r>
              <w:rPr/>
              <w:t>20,000.00</w:t>
            </w:r>
          </w:p>
        </w:tc>
        <w:tc>
          <w:tcPr>
            <w:tcW w:type="dxa" w:w="831"/>
          </w:tcPr>
          <w:p>
            <w:pPr>
              <w:jc w:val="right"/>
            </w:pPr>
            <w:r>
              <w:rPr/>
              <w:t>20,000.00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心电图机</w:t>
            </w:r>
          </w:p>
        </w:tc>
        <w:tc>
          <w:tcPr>
            <w:tcW w:type="dxa" w:w="831"/>
          </w:tcPr>
          <w:p>
            <w:pPr>
              <w:jc w:val="left"/>
            </w:pPr>
            <w:r>
              <w:rPr/>
              <w:t>台</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气压波治疗机</w:t>
            </w:r>
          </w:p>
        </w:tc>
        <w:tc>
          <w:tcPr>
            <w:tcW w:type="dxa" w:w="831"/>
          </w:tcPr>
          <w:p>
            <w:pPr>
              <w:jc w:val="left"/>
            </w:pPr>
            <w:r>
              <w:rPr/>
              <w:t>台</w:t>
            </w:r>
          </w:p>
        </w:tc>
        <w:tc>
          <w:tcPr>
            <w:tcW w:type="dxa" w:w="831"/>
          </w:tcPr>
          <w:p>
            <w:pPr>
              <w:jc w:val="right"/>
            </w:pPr>
            <w:r>
              <w:rPr/>
              <w:t>1.00</w:t>
            </w:r>
          </w:p>
        </w:tc>
        <w:tc>
          <w:tcPr>
            <w:tcW w:type="dxa" w:w="831"/>
          </w:tcPr>
          <w:p>
            <w:pPr>
              <w:jc w:val="right"/>
            </w:pPr>
            <w:r>
              <w:rPr/>
              <w:t>37,800.00</w:t>
            </w:r>
          </w:p>
        </w:tc>
        <w:tc>
          <w:tcPr>
            <w:tcW w:type="dxa" w:w="831"/>
          </w:tcPr>
          <w:p>
            <w:pPr>
              <w:jc w:val="right"/>
            </w:pPr>
            <w:r>
              <w:rPr/>
              <w:t>37,800.00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超短波治疗机</w:t>
            </w:r>
          </w:p>
        </w:tc>
        <w:tc>
          <w:tcPr>
            <w:tcW w:type="dxa" w:w="831"/>
          </w:tcPr>
          <w:p>
            <w:pPr>
              <w:jc w:val="left"/>
            </w:pPr>
            <w:r>
              <w:rPr/>
              <w:t>台</w:t>
            </w:r>
          </w:p>
        </w:tc>
        <w:tc>
          <w:tcPr>
            <w:tcW w:type="dxa" w:w="831"/>
          </w:tcPr>
          <w:p>
            <w:pPr>
              <w:jc w:val="right"/>
            </w:pPr>
            <w:r>
              <w:rPr/>
              <w:t>1.00</w:t>
            </w:r>
          </w:p>
        </w:tc>
        <w:tc>
          <w:tcPr>
            <w:tcW w:type="dxa" w:w="831"/>
          </w:tcPr>
          <w:p>
            <w:pPr>
              <w:jc w:val="right"/>
            </w:pPr>
            <w:r>
              <w:rPr/>
              <w:t>33,200.00</w:t>
            </w:r>
          </w:p>
        </w:tc>
        <w:tc>
          <w:tcPr>
            <w:tcW w:type="dxa" w:w="831"/>
          </w:tcPr>
          <w:p>
            <w:pPr>
              <w:jc w:val="right"/>
            </w:pPr>
            <w:r>
              <w:rPr/>
              <w:t>33,200.00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r>
              <w:rPr/>
              <w:t>△</w:t>
            </w:r>
          </w:p>
        </w:tc>
        <w:tc>
          <w:tcPr>
            <w:tcW w:type="dxa" w:w="831"/>
          </w:tcPr>
          <w:p>
            <w:pPr>
              <w:jc w:val="left"/>
            </w:pPr>
            <w:r>
              <w:rPr/>
              <w:t>口腔设备及器械</w:t>
            </w:r>
          </w:p>
        </w:tc>
        <w:tc>
          <w:tcPr>
            <w:tcW w:type="dxa" w:w="831"/>
          </w:tcPr>
          <w:p>
            <w:pPr>
              <w:jc w:val="left"/>
            </w:pPr>
            <w:r>
              <w:rPr/>
              <w:t>牙椅</w:t>
            </w:r>
          </w:p>
        </w:tc>
        <w:tc>
          <w:tcPr>
            <w:tcW w:type="dxa" w:w="831"/>
          </w:tcPr>
          <w:p>
            <w:pPr>
              <w:jc w:val="left"/>
            </w:pPr>
            <w:r>
              <w:rPr/>
              <w:t>台</w:t>
            </w:r>
          </w:p>
        </w:tc>
        <w:tc>
          <w:tcPr>
            <w:tcW w:type="dxa" w:w="831"/>
          </w:tcPr>
          <w:p>
            <w:pPr>
              <w:jc w:val="right"/>
            </w:pPr>
            <w:r>
              <w:rPr/>
              <w:t>2.00</w:t>
            </w:r>
          </w:p>
        </w:tc>
        <w:tc>
          <w:tcPr>
            <w:tcW w:type="dxa" w:w="831"/>
          </w:tcPr>
          <w:p>
            <w:pPr>
              <w:jc w:val="right"/>
            </w:pPr>
            <w:r>
              <w:rPr/>
              <w:t>65,000.00</w:t>
            </w:r>
          </w:p>
        </w:tc>
        <w:tc>
          <w:tcPr>
            <w:tcW w:type="dxa" w:w="831"/>
          </w:tcPr>
          <w:p>
            <w:pPr>
              <w:jc w:val="right"/>
            </w:pPr>
            <w:r>
              <w:rPr/>
              <w:t>130,000.00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口腔设备及器械</w:t>
            </w:r>
          </w:p>
        </w:tc>
        <w:tc>
          <w:tcPr>
            <w:tcW w:type="dxa" w:w="831"/>
          </w:tcPr>
          <w:p>
            <w:pPr>
              <w:jc w:val="left"/>
            </w:pPr>
            <w:r>
              <w:rPr/>
              <w:t>牙椅（种植用）</w:t>
            </w:r>
          </w:p>
        </w:tc>
        <w:tc>
          <w:tcPr>
            <w:tcW w:type="dxa" w:w="831"/>
          </w:tcPr>
          <w:p>
            <w:pPr>
              <w:jc w:val="left"/>
            </w:pPr>
            <w:r>
              <w:rPr/>
              <w:t>台</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口腔设备及器械</w:t>
            </w:r>
          </w:p>
        </w:tc>
        <w:tc>
          <w:tcPr>
            <w:tcW w:type="dxa" w:w="831"/>
          </w:tcPr>
          <w:p>
            <w:pPr>
              <w:jc w:val="left"/>
            </w:pPr>
            <w:r>
              <w:rPr/>
              <w:t>种植机</w:t>
            </w:r>
          </w:p>
        </w:tc>
        <w:tc>
          <w:tcPr>
            <w:tcW w:type="dxa" w:w="831"/>
          </w:tcPr>
          <w:p>
            <w:pPr>
              <w:jc w:val="left"/>
            </w:pPr>
            <w:r>
              <w:rPr/>
              <w:t>台</w:t>
            </w:r>
          </w:p>
        </w:tc>
        <w:tc>
          <w:tcPr>
            <w:tcW w:type="dxa" w:w="831"/>
          </w:tcPr>
          <w:p>
            <w:pPr>
              <w:jc w:val="right"/>
            </w:pPr>
            <w:r>
              <w:rPr/>
              <w:t>1.00</w:t>
            </w:r>
          </w:p>
        </w:tc>
        <w:tc>
          <w:tcPr>
            <w:tcW w:type="dxa" w:w="831"/>
          </w:tcPr>
          <w:p>
            <w:pPr>
              <w:jc w:val="right"/>
            </w:pPr>
            <w:r>
              <w:rPr/>
              <w:t>20,000.00</w:t>
            </w:r>
          </w:p>
        </w:tc>
        <w:tc>
          <w:tcPr>
            <w:tcW w:type="dxa" w:w="831"/>
          </w:tcPr>
          <w:p>
            <w:pPr>
              <w:jc w:val="right"/>
            </w:pPr>
            <w:r>
              <w:rPr/>
              <w:t>20,000.00</w:t>
            </w:r>
          </w:p>
        </w:tc>
        <w:tc>
          <w:tcPr>
            <w:tcW w:type="dxa" w:w="831"/>
          </w:tcPr>
          <w:p>
            <w:r>
              <w:rPr/>
              <w:t>工业</w:t>
            </w:r>
          </w:p>
        </w:tc>
        <w:tc>
          <w:tcPr>
            <w:tcW w:type="dxa" w:w="831"/>
          </w:tcPr>
          <w:p>
            <w:r>
              <w:rPr/>
              <w:t>详见附表九</w:t>
            </w:r>
          </w:p>
        </w:tc>
      </w:tr>
    </w:tbl>
    <w:p/>
    <w:p>
      <w:r>
        <w:rPr>
          <w:b/>
        </w:rPr>
        <w:t>附表</w:t>
      </w:r>
      <w:r>
        <w:rPr>
          <w:b/>
        </w:rPr>
        <w:t>一</w:t>
      </w:r>
      <w:r>
        <w:rPr>
          <w:b/>
        </w:rPr>
        <w:t>：</w:t>
      </w:r>
      <w:r>
        <w:rPr>
          <w:b/>
        </w:rPr>
        <w:t>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 xml:space="preserve">1、▲最高转速：≥4000r/min； </w:t>
            </w:r>
            <w:r>
              <w:br/>
            </w:r>
            <w:r>
              <w:rPr/>
              <w:t>2、▲容量≥100孔；</w:t>
            </w:r>
            <w:r>
              <w:br/>
            </w:r>
            <w:r>
              <w:rPr/>
              <w:t>3、整机噪音：≤65dB（A）；</w:t>
            </w:r>
            <w:r>
              <w:br/>
            </w:r>
            <w:r>
              <w:rPr/>
              <w:t>4、转速偏差：±2.5%；</w:t>
            </w:r>
            <w:r>
              <w:br/>
            </w:r>
            <w:r>
              <w:rPr/>
              <w:t>5、最大相对离心力：≥3400xg；</w:t>
            </w:r>
            <w:r>
              <w:br/>
            </w:r>
            <w:r>
              <w:rPr/>
              <w:t>6、定时时间： 1～99min59s</w:t>
            </w:r>
            <w:r>
              <w:br/>
            </w:r>
            <w:r>
              <w:rPr/>
              <w:t xml:space="preserve">7、双锁头自吸门锁；  </w:t>
            </w:r>
            <w:r>
              <w:br/>
            </w:r>
            <w:r>
              <w:rPr/>
              <w:t xml:space="preserve">8、采用可触摸液晶显示终端； </w:t>
            </w:r>
            <w:r>
              <w:br/>
            </w:r>
            <w:r>
              <w:rPr/>
              <w:t xml:space="preserve">9、具有开盖自动停机功能； </w:t>
            </w:r>
            <w:r>
              <w:br/>
            </w:r>
            <w:r>
              <w:rPr/>
              <w:t xml:space="preserve">10、可设定自动/手动停机开盖方式； </w:t>
            </w:r>
            <w:r>
              <w:br/>
            </w:r>
            <w:r>
              <w:rPr/>
              <w:t xml:space="preserve">11、可设定启动计时模式/到达转速计时模式； </w:t>
            </w:r>
            <w:r>
              <w:br/>
            </w:r>
            <w:r>
              <w:rPr/>
              <w:t xml:space="preserve">12、可设定自由停机模式； </w:t>
            </w:r>
            <w:r>
              <w:br/>
            </w:r>
            <w:r>
              <w:rPr/>
              <w:t xml:space="preserve">13、采用停机防回荡技术，减速时分离面平整清晰；不会出现二次悬沉现象； </w:t>
            </w:r>
            <w:r>
              <w:br/>
            </w:r>
            <w:r>
              <w:rPr/>
              <w:t xml:space="preserve">14、可储存≥5组常用离心程序，可设定≥5级梯度离心程序； </w:t>
            </w:r>
            <w:r>
              <w:br/>
            </w:r>
            <w:r>
              <w:rPr/>
              <w:t xml:space="preserve">15、离心机上盖安装运行指示灯； </w:t>
            </w:r>
            <w:r>
              <w:br/>
            </w:r>
            <w:r>
              <w:rPr/>
              <w:t>16、运行中可随时更改转速、离心力、时间参数，无需停机。</w:t>
            </w:r>
          </w:p>
        </w:tc>
      </w:tr>
      <w:tr>
        <w:tc>
          <w:tcPr>
            <w:tcW w:type="dxa" w:w="2076"/>
          </w:tcPr>
          <w:p>
            <w:r>
              <w:rPr/>
              <w:t>★</w:t>
            </w:r>
          </w:p>
        </w:tc>
        <w:tc>
          <w:tcPr>
            <w:tcW w:type="dxa" w:w="415"/>
          </w:tcPr>
          <w:p>
            <w:r>
              <w:rPr/>
              <w:t>2</w:t>
            </w:r>
          </w:p>
        </w:tc>
        <w:tc>
          <w:tcPr>
            <w:tcW w:type="dxa" w:w="5814"/>
          </w:tcPr>
          <w:p>
            <w:pPr>
              <w:jc w:val="both"/>
            </w:pPr>
            <w:r>
              <w:rPr>
                <w:b/>
                <w:sz w:val="21"/>
              </w:rPr>
              <w:t>★</w:t>
            </w:r>
            <w:r>
              <w:rPr>
                <w:sz w:val="21"/>
              </w:rPr>
              <w:t>采购人拟采购的产品属于《节能产品政府采购品目清单》范围中政府强制采购产品类别的，投标人必须在投标文件中提供：</w:t>
            </w:r>
            <w:r>
              <w:rPr>
                <w:sz w:val="21"/>
              </w:rPr>
              <w:t>1.</w:t>
            </w:r>
            <w:r>
              <w:rPr>
                <w:sz w:val="21"/>
              </w:rPr>
              <w:t>该产品属于《节能产品政府采购品目清单》范围中政府强制采购产品类别的相关内容页，并对相关内容作圈记；</w:t>
            </w:r>
            <w:r>
              <w:rPr>
                <w:sz w:val="21"/>
              </w:rPr>
              <w:t>2.</w:t>
            </w:r>
            <w:r>
              <w:rPr>
                <w:sz w:val="21"/>
              </w:rPr>
              <w:t>该产品获得的由国家确定的认证机构出具的、处于有效期之内的节能产品认证证书（注：</w:t>
            </w:r>
            <w:r>
              <w:rPr>
                <w:sz w:val="21"/>
              </w:rPr>
              <w:t>1.</w:t>
            </w:r>
            <w:r>
              <w:rPr>
                <w:sz w:val="21"/>
              </w:rPr>
              <w:t>《节能产品政府采购品目清单》，投标人可查询中国政府采购网，网址</w:t>
            </w:r>
            <w:r>
              <w:rPr>
                <w:sz w:val="21"/>
              </w:rPr>
              <w:t>http://www.ccgp.gov.cn</w:t>
            </w:r>
            <w:r>
              <w:rPr>
                <w:sz w:val="21"/>
              </w:rPr>
              <w:t>。）。否则依法按无效投标处理。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全自动化学发光分析仪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1、▲发光原理：非酶参与的直接化学发光</w:t>
            </w:r>
            <w:r>
              <w:br/>
            </w:r>
            <w:r>
              <w:rPr/>
              <w:t>2、测试速度：≥单机450/H</w:t>
            </w:r>
            <w:r>
              <w:br/>
            </w:r>
            <w:r>
              <w:rPr/>
              <w:t>3、▲第一份结果出来所用时间:≤15分钟</w:t>
            </w:r>
            <w:r>
              <w:br/>
            </w:r>
            <w:r>
              <w:rPr/>
              <w:t>4、样本处理模式包含随机、急诊、批处理。</w:t>
            </w:r>
            <w:r>
              <w:br/>
            </w:r>
            <w:r>
              <w:rPr/>
              <w:t>5、样本位：≥112个，测试过程中可连续装载、替换，急诊优先，自定义急诊位，具自动重测功能。</w:t>
            </w:r>
            <w:r>
              <w:br/>
            </w:r>
            <w:r>
              <w:rPr/>
              <w:t>6、▲采样针：一次性TIP吸头，一吸多注。</w:t>
            </w:r>
            <w:r>
              <w:br/>
            </w:r>
            <w:r>
              <w:rPr/>
              <w:t>7、试剂针：特氟龙涂层，具备自动液面探测、碰撞探测、随量跟踪等功能。</w:t>
            </w:r>
            <w:r>
              <w:br/>
            </w:r>
            <w:r>
              <w:rPr/>
              <w:t>8、试剂位：≥30个，可随时装载、替换试剂。</w:t>
            </w:r>
            <w:r>
              <w:br/>
            </w:r>
            <w:r>
              <w:rPr/>
              <w:t>9、TIP存储器：一次装载至少380个TIP头，连续装载、实时数量显示.</w:t>
            </w:r>
            <w:r>
              <w:br/>
            </w:r>
            <w:r>
              <w:rPr/>
              <w:t>10、反应杯存储器：反应杯单杯设计，一次可装载至少2000个反应杯，支持连续装载，实时数量显示。</w:t>
            </w:r>
            <w:r>
              <w:br/>
            </w:r>
            <w:r>
              <w:rPr/>
              <w:t>11、▲试剂种类：≥150种项目，包含：性腺、甲状腺、肝纤维化、肿瘤标志物、产前筛查、肾功能、代谢、心血管及心肌标志物类、炎症监测、骨代谢（血清甲状旁腺素、降钙素、骨钙素、25-羟基维生素D、总Ⅰ型胶原氨基端延长肽、β-胶原特殊序列）等</w:t>
            </w:r>
            <w:r>
              <w:br/>
            </w:r>
            <w:r>
              <w:rPr/>
              <w:t>12、试剂包装：集成式试剂盒，无需预处理，即开即用。</w:t>
            </w:r>
            <w:r>
              <w:br/>
            </w:r>
            <w:r>
              <w:rPr/>
              <w:t>13、试剂辨别：采用射频识别技术读取试剂盒全部信息。</w:t>
            </w:r>
            <w:r>
              <w:br/>
            </w:r>
            <w:r>
              <w:rPr/>
              <w:t>14、试剂仓具备24小时冷藏功能，工作温度8～12℃，存储温度2～8℃。</w:t>
            </w:r>
            <w:r>
              <w:br/>
            </w:r>
            <w:r>
              <w:rPr/>
              <w:t>15、标准品：每盒试剂自带标准品。</w:t>
            </w:r>
            <w:r>
              <w:br/>
            </w:r>
            <w:r>
              <w:rPr/>
              <w:t>16、定标方式：两点校准定标主曲线。</w:t>
            </w:r>
            <w:r>
              <w:br/>
            </w:r>
            <w:r>
              <w:rPr/>
              <w:t>17、软件功能：标本稀释比例可任意选定，可汇总、存储、查询病人信息。</w:t>
            </w:r>
            <w:r>
              <w:br/>
            </w:r>
            <w:r>
              <w:rPr/>
              <w:t>18、▲联网功能：可以连接医院信息系统（投标时须提供承诺函）。</w:t>
            </w:r>
          </w:p>
        </w:tc>
      </w:tr>
      <w:tr>
        <w:tc>
          <w:tcPr>
            <w:tcW w:type="dxa" w:w="2076"/>
          </w:tcPr>
          <w:p>
            <w:r>
              <w:rPr/>
              <w:t>★</w:t>
            </w:r>
          </w:p>
        </w:tc>
        <w:tc>
          <w:tcPr>
            <w:tcW w:type="dxa" w:w="415"/>
          </w:tcPr>
          <w:p>
            <w:r>
              <w:rPr/>
              <w:t>2</w:t>
            </w:r>
          </w:p>
        </w:tc>
        <w:tc>
          <w:tcPr>
            <w:tcW w:type="dxa" w:w="5814"/>
          </w:tcPr>
          <w:p>
            <w:pPr>
              <w:jc w:val="both"/>
            </w:pPr>
            <w:r>
              <w:rPr>
                <w:sz w:val="21"/>
              </w:rPr>
              <w:t>二</w:t>
            </w:r>
            <w:r>
              <w:rPr>
                <w:sz w:val="21"/>
              </w:rPr>
              <w:t>、</w:t>
            </w:r>
            <w:r>
              <w:rPr>
                <w:b/>
                <w:sz w:val="21"/>
              </w:rPr>
              <w:t>★</w:t>
            </w:r>
            <w:r>
              <w:rPr>
                <w:sz w:val="21"/>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1</w:t>
                  </w:r>
                </w:p>
              </w:tc>
              <w:tc>
                <w:tcPr>
                  <w:tcW w:type="dxa" w:w="2625"/>
                  <w:tcBorders>
                    <w:top w:val="none" w:color="000000" w:sz="4"/>
                    <w:left w:val="none" w:color="000000" w:sz="4"/>
                    <w:bottom w:val="single" w:color="000000" w:sz="4"/>
                    <w:right w:val="single" w:color="000000" w:sz="4"/>
                  </w:tcBorders>
                  <w:vAlign w:val="top"/>
                </w:tcPr>
                <w:p>
                  <w:pPr>
                    <w:jc w:val="both"/>
                  </w:pPr>
                  <w:r>
                    <w:rPr>
                      <w:sz w:val="21"/>
                    </w:rPr>
                    <w:t>工作站（包含专用电脑）</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套</w:t>
                  </w:r>
                </w:p>
              </w:tc>
            </w:tr>
          </w:tbl>
        </w:tc>
      </w:tr>
      <w:tr>
        <w:tc>
          <w:tcPr>
            <w:tcW w:type="dxa" w:w="2076"/>
          </w:tcPr>
          <w:p>
            <w:r>
              <w:rPr/>
              <w:t>★</w:t>
            </w:r>
          </w:p>
        </w:tc>
        <w:tc>
          <w:tcPr>
            <w:tcW w:type="dxa" w:w="415"/>
          </w:tcPr>
          <w:p>
            <w:r>
              <w:rPr/>
              <w:t>3</w:t>
            </w:r>
          </w:p>
        </w:tc>
        <w:tc>
          <w:tcPr>
            <w:tcW w:type="dxa" w:w="5814"/>
          </w:tcPr>
          <w:p>
            <w:pPr>
              <w:jc w:val="both"/>
            </w:pPr>
            <w:r>
              <w:rPr>
                <w:b/>
                <w:sz w:val="21"/>
              </w:rPr>
              <w:t>★</w:t>
            </w:r>
            <w:r>
              <w:rPr>
                <w:sz w:val="21"/>
              </w:rPr>
              <w:t>采购人拟采购的产品属于《节能产品政府采购品目清单》范围中政府强制采购产品类别的，投标人必须在投标文件中提供：</w:t>
            </w:r>
            <w:r>
              <w:rPr>
                <w:sz w:val="21"/>
              </w:rPr>
              <w:t>1.</w:t>
            </w:r>
            <w:r>
              <w:rPr>
                <w:sz w:val="21"/>
              </w:rPr>
              <w:t>该产品属于《节能产品政府采购品目清单》范围中政府强制采购产品类别的相关内容页，并对相关内容作圈记；</w:t>
            </w:r>
            <w:r>
              <w:rPr>
                <w:sz w:val="21"/>
              </w:rPr>
              <w:t>2.</w:t>
            </w:r>
            <w:r>
              <w:rPr>
                <w:sz w:val="21"/>
              </w:rPr>
              <w:t>该产品获得的由国家确定的认证机构出具的、处于有效期之内的节能产品认证证书（注：</w:t>
            </w:r>
            <w:r>
              <w:rPr>
                <w:sz w:val="21"/>
              </w:rPr>
              <w:t>1.</w:t>
            </w:r>
            <w:r>
              <w:rPr>
                <w:sz w:val="21"/>
              </w:rPr>
              <w:t>《节能产品政府采购品目清单》，投标人可查询中国政府采购网，网址</w:t>
            </w:r>
            <w:r>
              <w:rPr>
                <w:sz w:val="21"/>
              </w:rPr>
              <w:t>http://www.ccgp.gov.cn</w:t>
            </w:r>
            <w:r>
              <w:rPr>
                <w:sz w:val="21"/>
              </w:rPr>
              <w:t>。）。否则依法按无效投标处理。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心电图机（12导联）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1、输入方式：浮地及除颤保护；</w:t>
            </w:r>
            <w:r>
              <w:br/>
            </w:r>
            <w:r>
              <w:rPr/>
              <w:t>2、频率响应：0.05Hz～200Hz(-3dB～+0.4dB)；</w:t>
            </w:r>
            <w:r>
              <w:br/>
            </w:r>
            <w:r>
              <w:rPr/>
              <w:t>3、共模抑制比：≥60dB, ≥100dB(开启滤波器)；</w:t>
            </w:r>
            <w:r>
              <w:br/>
            </w:r>
            <w:r>
              <w:rPr/>
              <w:t>4、时间常数：≥3.2s；</w:t>
            </w:r>
            <w:r>
              <w:br/>
            </w:r>
            <w:r>
              <w:rPr/>
              <w:t>5、患者漏电流：≤10µA；</w:t>
            </w:r>
            <w:r>
              <w:br/>
            </w:r>
            <w:r>
              <w:rPr/>
              <w:t>6、定标电压：1mV；</w:t>
            </w:r>
            <w:r>
              <w:br/>
            </w:r>
            <w:r>
              <w:rPr/>
              <w:t>7、灵敏度选择：2.5、5、10、20、40mm/mV，±5%；</w:t>
            </w:r>
            <w:r>
              <w:br/>
            </w:r>
            <w:r>
              <w:rPr/>
              <w:t>8、噪声电平：≤15µVp-p；</w:t>
            </w:r>
            <w:r>
              <w:br/>
            </w:r>
            <w:r>
              <w:rPr/>
              <w:t>9、输入回路电流：≤50nA；</w:t>
            </w:r>
            <w:r>
              <w:br/>
            </w:r>
            <w:r>
              <w:rPr/>
              <w:t>10、输入阻抗：≥50MΩ；</w:t>
            </w:r>
            <w:r>
              <w:br/>
            </w:r>
            <w:r>
              <w:rPr/>
              <w:t>11、采样精度：12bit；</w:t>
            </w:r>
            <w:r>
              <w:br/>
            </w:r>
            <w:r>
              <w:rPr/>
              <w:t>12、采样频率：1000Hz；</w:t>
            </w:r>
            <w:r>
              <w:br/>
            </w:r>
            <w:r>
              <w:rPr/>
              <w:t>13、走纸速度：5mm/s、6.25mm/s、10mm/s、12.5mm/s、25mm/s、50mm/s；</w:t>
            </w:r>
            <w:r>
              <w:br/>
            </w:r>
            <w:r>
              <w:rPr/>
              <w:t>14、记录模式：可以按自动记录格式和自动模式设置记录，自动切换导联，自动测量和分析；可以按节律记录格式和节律模式设置记录，自动测量和分析；可以按记录格式记录，手动切换导联；</w:t>
            </w:r>
            <w:r>
              <w:br/>
            </w:r>
            <w:r>
              <w:rPr/>
              <w:t>15、包含自动12x1、自动6x2+1、自动6x2+1_H、自动6x2、自动6x2_H、自动3x4+1、自动3x4+2、节律12行、节律10行、节律8行、节律6行、手动等多种打印模式及格式，可打印RR间期趋势图及直方图，打印波形长度可调整，同时具备定时打印功能；</w:t>
            </w:r>
            <w:r>
              <w:br/>
            </w:r>
            <w:r>
              <w:rPr/>
              <w:t>16、测量参数：心率、P-R间期、P波时限、QRS波群时限、T波时限、Q-T间期、Q-Tc、P电轴、QRS电轴、T电轴、R(V5)幅度、S(V1)幅度、R(V5)+S(V1)幅度等；</w:t>
            </w:r>
            <w:r>
              <w:br/>
            </w:r>
            <w:r>
              <w:rPr/>
              <w:t>17、可同屏显示3、6、12导联心电图波形，以及打印模式、灵敏度、走纸速度、滤波器等状态；</w:t>
            </w:r>
            <w:r>
              <w:br/>
            </w:r>
            <w:r>
              <w:rPr/>
              <w:t>18、具有常规心电图参数自动分析和自动诊断功能，提供心率、P-R间期、P波时限、QRS波群时限、Q-T间期、Q-Tc、P电轴、QRS电轴、T电轴、R(V5)幅度、S(V1)幅度、R(V5)+S(V1)幅度等测量参数及自动诊断结论；</w:t>
            </w:r>
            <w:r>
              <w:br/>
            </w:r>
            <w:r>
              <w:rPr/>
              <w:t>19、最佳直流状态下可待机≥10小时、持续打印时间≥3小时、连续打印≥300份心电图（常用3秒病例）；</w:t>
            </w:r>
            <w:r>
              <w:br/>
            </w:r>
            <w:r>
              <w:rPr/>
              <w:t>20、内置大容量存储器，可存储≥1000份的病历。</w:t>
            </w:r>
          </w:p>
        </w:tc>
      </w:tr>
      <w:tr>
        <w:tc>
          <w:tcPr>
            <w:tcW w:type="dxa" w:w="2076"/>
          </w:tcPr>
          <w:p>
            <w:r>
              <w:rPr/>
              <w:t>★</w:t>
            </w:r>
          </w:p>
        </w:tc>
        <w:tc>
          <w:tcPr>
            <w:tcW w:type="dxa" w:w="415"/>
          </w:tcPr>
          <w:p>
            <w:r>
              <w:rPr/>
              <w:t>2</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心电图机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1、主要功能：12导联心电图、二阶梯实验、运动后检查、RR间期检查；</w:t>
            </w:r>
            <w:r>
              <w:br/>
            </w:r>
            <w:r>
              <w:rPr/>
              <w:t>2、心电输入：标准12导联心电信号同步采集；</w:t>
            </w:r>
            <w:r>
              <w:br/>
            </w:r>
            <w:r>
              <w:rPr/>
              <w:t>3、导联选择：自动或手动；</w:t>
            </w:r>
            <w:r>
              <w:br/>
            </w:r>
            <w:r>
              <w:rPr/>
              <w:t>4、输入方式：浮地输入；</w:t>
            </w:r>
            <w:r>
              <w:br/>
            </w:r>
            <w:r>
              <w:rPr/>
              <w:t>5、输入保护：标配导联线内附除颤保护电路；</w:t>
            </w:r>
            <w:r>
              <w:br/>
            </w:r>
            <w:r>
              <w:rPr/>
              <w:t>6、采样率：40kHz，每导联；</w:t>
            </w:r>
            <w:r>
              <w:br/>
            </w:r>
            <w:r>
              <w:rPr/>
              <w:t>7、A/D转换：24bit；</w:t>
            </w:r>
            <w:r>
              <w:br/>
            </w:r>
            <w:r>
              <w:rPr/>
              <w:t>8、输入阻抗：≥100M Ω（10Hz）；</w:t>
            </w:r>
            <w:r>
              <w:br/>
            </w:r>
            <w:r>
              <w:rPr/>
              <w:t>9、耐极化电压：≥±550mV；</w:t>
            </w:r>
            <w:r>
              <w:br/>
            </w:r>
            <w:r>
              <w:rPr/>
              <w:t>10、共模抑制比：≥140dB（AC滤波开启）；≥123dB（AC滤波关闭）；</w:t>
            </w:r>
            <w:r>
              <w:br/>
            </w:r>
            <w:r>
              <w:rPr/>
              <w:t>11、频率响应：0.01Hz ～ 450Hz；</w:t>
            </w:r>
            <w:r>
              <w:br/>
            </w:r>
            <w:r>
              <w:rPr/>
              <w:t>12、标准灵敏度：10mm/mV, 误差≤±5%；</w:t>
            </w:r>
            <w:r>
              <w:br/>
            </w:r>
            <w:r>
              <w:rPr/>
              <w:t>13、时间常数：≥3.2秒；</w:t>
            </w:r>
            <w:r>
              <w:br/>
            </w:r>
            <w:r>
              <w:rPr/>
              <w:t>14、抗干扰滤波：具有交流滤波、肌电滤波、基线漂移滤波、低通滤波功能基线抑制：-20dB，-34dB可选；</w:t>
            </w:r>
            <w:r>
              <w:br/>
            </w:r>
            <w:r>
              <w:rPr/>
              <w:t>19、增益/灵敏度选择：灵敏度选择：1.25、2.5、5、10、20、10/5、自动（AGC）mm/mV ±5%；</w:t>
            </w:r>
            <w:r>
              <w:br/>
            </w:r>
            <w:r>
              <w:rPr/>
              <w:t>20、显示方式：≥7"液晶显示，倾斜角设计，支持显示背景网格；</w:t>
            </w:r>
            <w:r>
              <w:br/>
            </w:r>
            <w:r>
              <w:rPr/>
              <w:t>21、显示分辨率：不低于800×480；</w:t>
            </w:r>
            <w:r>
              <w:br/>
            </w:r>
            <w:r>
              <w:rPr/>
              <w:t>22、显示导联数：同屏12导联，每导联显示时间≥5s；</w:t>
            </w:r>
            <w:r>
              <w:br/>
            </w:r>
            <w:r>
              <w:rPr/>
              <w:t>23、记录器：热敏式点阵输出终端，支持折叠纸打印；</w:t>
            </w:r>
            <w:r>
              <w:br/>
            </w:r>
            <w:r>
              <w:rPr/>
              <w:t>24、打印方式：实时同步或连续12道心电波形，分段打印；</w:t>
            </w:r>
            <w:r>
              <w:br/>
            </w:r>
            <w:r>
              <w:rPr/>
              <w:t>25、记录内容：心电波形、分析结果、明尼苏达码、平均模板以及导联名称、走纸速度、增益、滤波器、日期、中文患者信息、标记等；</w:t>
            </w:r>
            <w:r>
              <w:br/>
            </w:r>
            <w:r>
              <w:rPr/>
              <w:t>26、走纸速度：10，12.5，25，50mm/s；</w:t>
            </w:r>
            <w:r>
              <w:br/>
            </w:r>
            <w:r>
              <w:rPr/>
              <w:t>27、无纸检出：记录纸用完后自动停止走纸并报警；</w:t>
            </w:r>
            <w:r>
              <w:br/>
            </w:r>
            <w:r>
              <w:rPr/>
              <w:t>28、操作模式：可自动或手动。自动操作时支持实时或回顾记录，具备自动检测并延长记录心律失常波形，且支持全自动开始记录；</w:t>
            </w:r>
            <w:r>
              <w:br/>
            </w:r>
            <w:r>
              <w:rPr/>
              <w:t>29、冻结记录：支持≥3分钟波形冻结记录模式；</w:t>
            </w:r>
            <w:r>
              <w:br/>
            </w:r>
            <w:r>
              <w:rPr/>
              <w:t>30、可准确判定接触不良的电极并予以指示，拥有自动测量功能和自动诊断功能，R-R间期检测，并将R-R趋势测量报告连同心电波形一并给出；</w:t>
            </w:r>
            <w:r>
              <w:br/>
            </w:r>
            <w:r>
              <w:rPr/>
              <w:t>31、自动模式下可以支持10-60s时间的采集，记录，存储，传输；</w:t>
            </w:r>
            <w:r>
              <w:br/>
            </w:r>
            <w:r>
              <w:rPr/>
              <w:t>32、支持实时采样、触发采样、周期采样模式，支持心律失常检测延时打印报告；</w:t>
            </w:r>
            <w:r>
              <w:br/>
            </w:r>
            <w:r>
              <w:rPr/>
              <w:t>33、周期记录模式，记录时间间隔最长可设置为60分钟；</w:t>
            </w:r>
            <w:r>
              <w:br/>
            </w:r>
            <w:r>
              <w:rPr/>
              <w:t>34、手动、自动、节律、R-R四种工作模式可供选择；</w:t>
            </w:r>
            <w:r>
              <w:br/>
            </w:r>
            <w:r>
              <w:rPr/>
              <w:t>35、外部输入：10mm/0.5V±5%，输入阻抗≥100kΩ；</w:t>
            </w:r>
            <w:r>
              <w:br/>
            </w:r>
            <w:r>
              <w:rPr/>
              <w:t>36、信号输出：0.5V/1mV±5%，输出阻抗≤100Ω，输出短路时不损坏心电图机；</w:t>
            </w:r>
            <w:r>
              <w:br/>
            </w:r>
            <w:r>
              <w:rPr/>
              <w:t>37、其它输出接口：USB/SD；</w:t>
            </w:r>
            <w:r>
              <w:br/>
            </w:r>
            <w:r>
              <w:rPr/>
              <w:t>38、设备内置存储器，存储病800例；</w:t>
            </w:r>
            <w:r>
              <w:br/>
            </w:r>
            <w:r>
              <w:rPr/>
              <w:t>39、网络：标配LAN有线网络接口，支持WIFI网络连接；</w:t>
            </w:r>
            <w:r>
              <w:br/>
            </w:r>
            <w:r>
              <w:rPr/>
              <w:t>40、打印网格：具备在无网格纸上打印网格功能；</w:t>
            </w:r>
            <w:r>
              <w:br/>
            </w:r>
            <w:r>
              <w:rPr/>
              <w:t>41、心律失常检测：具备心律失常检测并自动延长记录的功能；</w:t>
            </w:r>
            <w:r>
              <w:br/>
            </w:r>
            <w:r>
              <w:rPr/>
              <w:t>42、安全性：电击防护类型: I类CF型；</w:t>
            </w:r>
            <w:r>
              <w:br/>
            </w:r>
            <w:r>
              <w:rPr/>
              <w:t>43、输入设备：USB接口，网络接口功能，外部输入输出端口，SD卡接口，支持多种格式，满足医院信息化需求；</w:t>
            </w:r>
            <w:r>
              <w:br/>
            </w:r>
            <w:r>
              <w:rPr/>
              <w:t>44、输出设备：可直连输出终端，打印A4尺寸报告；</w:t>
            </w:r>
            <w:r>
              <w:br/>
            </w:r>
            <w:r>
              <w:rPr/>
              <w:t>45、数据通讯方式：ECTP/DICOM；</w:t>
            </w:r>
            <w:r>
              <w:br/>
            </w:r>
            <w:r>
              <w:rPr/>
              <w:t>46、患者信息：自动获取检查列表功能，具有病历管理功能，可进行病历查询、预览、修改、传输、打印，方便医生调阅病人信息；</w:t>
            </w:r>
            <w:r>
              <w:br/>
            </w:r>
            <w:r>
              <w:rPr/>
              <w:t>47、内置可充电锂离子电池，充足后可正常工作时间≥4小时。</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心电图机主机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热敏纸</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5本</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导联线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1付</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吸咐电极</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6只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电极夹</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4只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充电电池</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1块</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气压波治疗机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1.四腔叠加气囊设计；</w:t>
            </w:r>
            <w:r>
              <w:br/>
            </w:r>
            <w:r>
              <w:rPr/>
              <w:t>2.输入功率：75VA；</w:t>
            </w:r>
            <w:r>
              <w:br/>
            </w:r>
            <w:r>
              <w:rPr/>
              <w:t xml:space="preserve">3.▲压力设定范围：5kPa～25kPa, 级差1kPa； </w:t>
            </w:r>
            <w:r>
              <w:br/>
            </w:r>
            <w:r>
              <w:rPr/>
              <w:t>4.可同时连接2个肢体护套；</w:t>
            </w:r>
            <w:r>
              <w:br/>
            </w:r>
            <w:r>
              <w:rPr/>
              <w:t>5.输出模式:≥3种</w:t>
            </w:r>
            <w:r>
              <w:br/>
            </w:r>
            <w:r>
              <w:rPr/>
              <w:t>6.充气速度：由设定的压力自动调节</w:t>
            </w:r>
            <w:r>
              <w:br/>
            </w:r>
            <w:r>
              <w:rPr/>
              <w:t>7.▲在最大压力工作状态下，密闭气路10s，内压力损失≤4kPa。</w:t>
            </w:r>
            <w:r>
              <w:br/>
            </w:r>
            <w:r>
              <w:rPr/>
              <w:t>8.定时范围1min～99min连续可调，</w:t>
            </w:r>
            <w:r>
              <w:br/>
            </w:r>
            <w:r>
              <w:rPr/>
              <w:t xml:space="preserve">9.治疗仪设有应急保护按钮开关 </w:t>
            </w:r>
            <w:r>
              <w:br/>
            </w:r>
            <w:r>
              <w:rPr/>
              <w:t>10.配置超静音脚轮，移动方便，无噪音。</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上肢气囊</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下肢气囊</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2个</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超短波治疗机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1.适用于对人体进行止痛、解痉、消炎的辅助治疗。</w:t>
            </w:r>
            <w:r>
              <w:br/>
            </w:r>
            <w:r>
              <w:rPr/>
              <w:t>2.输出功率：200W，允许偏差±20%。</w:t>
            </w:r>
            <w:r>
              <w:br/>
            </w:r>
            <w:r>
              <w:rPr/>
              <w:t>3.工作频率：27.12MHz，允许偏差±0.6%。</w:t>
            </w:r>
            <w:r>
              <w:br/>
            </w:r>
            <w:r>
              <w:rPr/>
              <w:t>4.治疗时间：分10、15、20、25、30min五档，允许偏差±10%。</w:t>
            </w:r>
            <w:r>
              <w:br/>
            </w:r>
            <w:r>
              <w:rPr/>
              <w:t>5.工作制：连续工作≥4h。</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大号硅橡胶电极板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中号硅橡胶电极板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小号硅橡胶电极板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测试用日光灯管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2支</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硅胶输出线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2条</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电极布套</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牙椅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w:t>
            </w:r>
            <w:r>
              <w:rPr>
                <w:b/>
                <w:sz w:val="21"/>
              </w:rPr>
              <w:t>牙椅</w:t>
            </w:r>
          </w:p>
          <w:p>
            <w:pPr>
              <w:jc w:val="both"/>
            </w:pPr>
            <w:r>
              <w:rPr>
                <w:b/>
                <w:sz w:val="21"/>
              </w:rPr>
              <w:t>一、设备技术详细需求：</w:t>
            </w:r>
          </w:p>
          <w:tbl>
            <w:tblPr>
              <w:tblInd w:type="dxa" w:w="120"/>
              <w:tblBorders>
                <w:top w:val="none" w:color="000000" w:sz="4"/>
                <w:left w:val="none" w:color="000000" w:sz="4"/>
                <w:bottom w:val="none" w:color="000000" w:sz="4"/>
                <w:right w:val="none" w:color="000000" w:sz="4"/>
                <w:insideH w:val="none"/>
                <w:insideV w:val="none"/>
              </w:tblBorders>
            </w:tblPr>
            <w:tblGrid>
              <w:gridCol w:w="840"/>
              <w:gridCol w:w="4590"/>
            </w:tblGrid>
            <w:tr>
              <w:tc>
                <w:tcPr>
                  <w:tcW w:type="dxa" w:w="5430"/>
                  <w:gridSpan w:val="2"/>
                  <w:tcBorders>
                    <w:top w:val="single" w:color="000000" w:sz="4"/>
                    <w:left w:val="single" w:color="000000" w:sz="4"/>
                    <w:bottom w:val="single" w:color="000000" w:sz="4"/>
                    <w:right w:val="single" w:color="000000" w:sz="4"/>
                  </w:tcBorders>
                  <w:vAlign w:val="top"/>
                </w:tcPr>
                <w:p>
                  <w:pPr>
                    <w:jc w:val="left"/>
                  </w:pPr>
                  <w:r>
                    <w:rPr>
                      <w:b/>
                      <w:sz w:val="21"/>
                    </w:rPr>
                    <w:t>1 牙科椅</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梨形靠背，具有腰部支撑设计。头枕具有颈部支撑和头部固位功能设计。枕架具有儿童和轮椅人士治疗位。</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590"/>
                  <w:tcBorders>
                    <w:top w:val="none" w:color="000000" w:sz="4"/>
                    <w:left w:val="none" w:color="000000" w:sz="4"/>
                    <w:bottom w:val="single" w:color="000000" w:sz="4"/>
                    <w:right w:val="single" w:color="000000" w:sz="4"/>
                  </w:tcBorders>
                  <w:vAlign w:val="top"/>
                </w:tcPr>
                <w:p>
                  <w:pPr>
                    <w:jc w:val="left"/>
                  </w:pPr>
                  <w:r>
                    <w:rPr>
                      <w:sz w:val="21"/>
                    </w:rPr>
                    <w:t>治疗椅椅架：内高支点结构，具有靠背坐垫联动结构设计。</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590"/>
                  <w:tcBorders>
                    <w:top w:val="none" w:color="000000" w:sz="4"/>
                    <w:left w:val="none" w:color="000000" w:sz="4"/>
                    <w:bottom w:val="single" w:color="000000" w:sz="4"/>
                    <w:right w:val="single" w:color="000000" w:sz="4"/>
                  </w:tcBorders>
                  <w:vAlign w:val="top"/>
                </w:tcPr>
                <w:p>
                  <w:pPr>
                    <w:jc w:val="left"/>
                  </w:pPr>
                  <w:r>
                    <w:rPr>
                      <w:sz w:val="21"/>
                    </w:rPr>
                    <w:t>底座、弯板、扶手一体成形工艺，外表面采用汽车烤漆工艺。</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590"/>
                  <w:tcBorders>
                    <w:top w:val="none" w:color="000000" w:sz="4"/>
                    <w:left w:val="none" w:color="000000" w:sz="4"/>
                    <w:bottom w:val="single" w:color="000000" w:sz="4"/>
                    <w:right w:val="single" w:color="000000" w:sz="4"/>
                  </w:tcBorders>
                  <w:vAlign w:val="top"/>
                </w:tcPr>
                <w:p>
                  <w:pPr>
                    <w:jc w:val="left"/>
                  </w:pPr>
                  <w:r>
                    <w:rPr>
                      <w:sz w:val="21"/>
                    </w:rPr>
                    <w:t>右扶手可旋转。</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590"/>
                  <w:tcBorders>
                    <w:top w:val="none" w:color="000000" w:sz="4"/>
                    <w:left w:val="none" w:color="000000" w:sz="4"/>
                    <w:bottom w:val="single" w:color="000000" w:sz="4"/>
                    <w:right w:val="single" w:color="000000" w:sz="4"/>
                  </w:tcBorders>
                  <w:vAlign w:val="top"/>
                </w:tcPr>
                <w:p>
                  <w:pPr>
                    <w:jc w:val="left"/>
                  </w:pPr>
                  <w:r>
                    <w:rPr>
                      <w:sz w:val="21"/>
                    </w:rPr>
                    <w:t>最低椅位</w:t>
                  </w:r>
                  <w:r>
                    <w:rPr>
                      <w:sz w:val="21"/>
                    </w:rPr>
                    <w:t>≤390mm，最高椅位≥800mm。</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590"/>
                  <w:tcBorders>
                    <w:top w:val="none" w:color="000000" w:sz="4"/>
                    <w:left w:val="none" w:color="000000" w:sz="4"/>
                    <w:bottom w:val="single" w:color="000000" w:sz="4"/>
                    <w:right w:val="single" w:color="000000" w:sz="4"/>
                  </w:tcBorders>
                  <w:vAlign w:val="top"/>
                </w:tcPr>
                <w:p>
                  <w:pPr>
                    <w:jc w:val="left"/>
                  </w:pPr>
                  <w:r>
                    <w:rPr>
                      <w:sz w:val="21"/>
                    </w:rPr>
                    <w:t>靠背俯仰角度：</w:t>
                  </w:r>
                  <w:r>
                    <w:rPr>
                      <w:sz w:val="21"/>
                    </w:rPr>
                    <w:t>105°-185°，具有休克急救治疗位。</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590"/>
                  <w:tcBorders>
                    <w:top w:val="none" w:color="000000" w:sz="4"/>
                    <w:left w:val="none" w:color="000000" w:sz="4"/>
                    <w:bottom w:val="single" w:color="000000" w:sz="4"/>
                    <w:right w:val="single" w:color="000000" w:sz="4"/>
                  </w:tcBorders>
                  <w:vAlign w:val="top"/>
                </w:tcPr>
                <w:p>
                  <w:pPr>
                    <w:jc w:val="left"/>
                  </w:pPr>
                  <w:r>
                    <w:rPr>
                      <w:sz w:val="21"/>
                    </w:rPr>
                    <w:t>配光固化机使用系统。</w:t>
                  </w:r>
                </w:p>
              </w:tc>
            </w:tr>
            <w:tr>
              <w:tc>
                <w:tcPr>
                  <w:tcW w:type="dxa" w:w="5430"/>
                  <w:gridSpan w:val="2"/>
                  <w:tcBorders>
                    <w:top w:val="none" w:color="000000" w:sz="4"/>
                    <w:left w:val="single" w:color="000000" w:sz="4"/>
                    <w:bottom w:val="single" w:color="000000" w:sz="4"/>
                    <w:right w:val="single" w:color="000000" w:sz="4"/>
                  </w:tcBorders>
                  <w:vAlign w:val="top"/>
                </w:tcPr>
                <w:p>
                  <w:pPr>
                    <w:jc w:val="left"/>
                  </w:pPr>
                  <w:r>
                    <w:rPr>
                      <w:b/>
                      <w:sz w:val="21"/>
                    </w:rPr>
                    <w:t>2 下挂式器械盘</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配至少</w:t>
                  </w:r>
                  <w:r>
                    <w:rPr>
                      <w:sz w:val="21"/>
                    </w:rPr>
                    <w:t>3条快接式手机管，可从器械盘外部拆卸。</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4590"/>
                  <w:tcBorders>
                    <w:top w:val="none" w:color="000000" w:sz="4"/>
                    <w:left w:val="none" w:color="000000" w:sz="4"/>
                    <w:bottom w:val="single" w:color="000000" w:sz="4"/>
                    <w:right w:val="single" w:color="000000" w:sz="4"/>
                  </w:tcBorders>
                  <w:vAlign w:val="top"/>
                </w:tcPr>
                <w:p>
                  <w:pPr>
                    <w:jc w:val="left"/>
                  </w:pPr>
                  <w:r>
                    <w:rPr>
                      <w:sz w:val="21"/>
                    </w:rPr>
                    <w:t>可拆卸式器械盘硅胶垫，耐</w:t>
                  </w:r>
                  <w:r>
                    <w:rPr>
                      <w:sz w:val="21"/>
                    </w:rPr>
                    <w:t>134℃高温高灭菌处理，器械盘尺寸要足够宽大，至少50</w:t>
                  </w:r>
                  <w:r>
                    <w:rPr>
                      <w:sz w:val="21"/>
                    </w:rPr>
                    <w:t>×</w:t>
                  </w:r>
                  <w:r>
                    <w:rPr>
                      <w:sz w:val="21"/>
                    </w:rPr>
                    <w:t>30cm</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590"/>
                  <w:tcBorders>
                    <w:top w:val="none" w:color="000000" w:sz="4"/>
                    <w:left w:val="none" w:color="000000" w:sz="4"/>
                    <w:bottom w:val="single" w:color="000000" w:sz="4"/>
                    <w:right w:val="single" w:color="000000" w:sz="4"/>
                  </w:tcBorders>
                  <w:vAlign w:val="top"/>
                </w:tcPr>
                <w:p>
                  <w:pPr>
                    <w:jc w:val="left"/>
                  </w:pPr>
                  <w:r>
                    <w:rPr>
                      <w:sz w:val="21"/>
                    </w:rPr>
                    <w:t>触摸式按键板，液晶显示设备工作状态。</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590"/>
                  <w:tcBorders>
                    <w:top w:val="none" w:color="000000" w:sz="4"/>
                    <w:left w:val="none" w:color="000000" w:sz="4"/>
                    <w:bottom w:val="single" w:color="000000" w:sz="4"/>
                    <w:right w:val="single" w:color="000000" w:sz="4"/>
                  </w:tcBorders>
                  <w:vAlign w:val="top"/>
                </w:tcPr>
                <w:p>
                  <w:pPr>
                    <w:jc w:val="left"/>
                  </w:pPr>
                  <w:r>
                    <w:rPr>
                      <w:sz w:val="21"/>
                    </w:rPr>
                    <w:t>具有治疗椅升降俯仰控制按键、设置、复位、</w:t>
                  </w:r>
                  <w:r>
                    <w:rPr>
                      <w:sz w:val="21"/>
                    </w:rPr>
                    <w:t>急救位</w:t>
                  </w:r>
                  <w:r>
                    <w:rPr>
                      <w:sz w:val="21"/>
                    </w:rPr>
                    <w:t>、口腔灯、加热、漱口水、冲痰盂等按键，</w:t>
                  </w:r>
                  <w:r>
                    <w:rPr>
                      <w:sz w:val="21"/>
                    </w:rPr>
                    <w:t>可以为至少三名医生每人设置三种记忆椅位。</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4590"/>
                  <w:tcBorders>
                    <w:top w:val="none" w:color="000000" w:sz="4"/>
                    <w:left w:val="none" w:color="000000" w:sz="4"/>
                    <w:bottom w:val="single" w:color="000000" w:sz="4"/>
                    <w:right w:val="single" w:color="000000" w:sz="4"/>
                  </w:tcBorders>
                  <w:vAlign w:val="top"/>
                </w:tcPr>
                <w:p>
                  <w:pPr>
                    <w:jc w:val="left"/>
                  </w:pPr>
                  <w:r>
                    <w:rPr>
                      <w:sz w:val="21"/>
                    </w:rPr>
                    <w:t>气控式器械位挂架，可以</w:t>
                  </w:r>
                  <w:r>
                    <w:rPr>
                      <w:sz w:val="21"/>
                    </w:rPr>
                    <w:t>135°旋转。</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4590"/>
                  <w:tcBorders>
                    <w:top w:val="none" w:color="000000" w:sz="4"/>
                    <w:left w:val="none" w:color="000000" w:sz="4"/>
                    <w:bottom w:val="single" w:color="000000" w:sz="4"/>
                    <w:right w:val="single" w:color="000000" w:sz="4"/>
                  </w:tcBorders>
                  <w:vAlign w:val="top"/>
                </w:tcPr>
                <w:p>
                  <w:pPr>
                    <w:jc w:val="left"/>
                  </w:pPr>
                  <w:r>
                    <w:rPr>
                      <w:sz w:val="21"/>
                    </w:rPr>
                    <w:t>配三用枪一只，枪管可拆卸高温灭菌处理。</w:t>
                  </w:r>
                </w:p>
              </w:tc>
            </w:tr>
            <w:tr>
              <w:tc>
                <w:tcPr>
                  <w:tcW w:type="dxa" w:w="5430"/>
                  <w:gridSpan w:val="2"/>
                  <w:tcBorders>
                    <w:top w:val="none" w:color="000000" w:sz="4"/>
                    <w:left w:val="single" w:color="000000" w:sz="4"/>
                    <w:bottom w:val="single" w:color="000000" w:sz="4"/>
                    <w:right w:val="single" w:color="000000" w:sz="4"/>
                  </w:tcBorders>
                  <w:vAlign w:val="top"/>
                </w:tcPr>
                <w:p>
                  <w:pPr>
                    <w:jc w:val="left"/>
                  </w:pPr>
                  <w:r>
                    <w:rPr>
                      <w:b/>
                      <w:sz w:val="21"/>
                    </w:rPr>
                    <w:t>3 侧箱</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外置式双过滤网，插拔式安装。</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4590"/>
                  <w:tcBorders>
                    <w:top w:val="none" w:color="000000" w:sz="4"/>
                    <w:left w:val="none" w:color="000000" w:sz="4"/>
                    <w:bottom w:val="single" w:color="000000" w:sz="4"/>
                    <w:right w:val="single" w:color="000000" w:sz="4"/>
                  </w:tcBorders>
                  <w:vAlign w:val="top"/>
                </w:tcPr>
                <w:p>
                  <w:pPr>
                    <w:jc w:val="left"/>
                  </w:pPr>
                  <w:r>
                    <w:rPr>
                      <w:sz w:val="21"/>
                    </w:rPr>
                    <w:t>具有纯净水系统，</w:t>
                  </w:r>
                  <w:r>
                    <w:rPr>
                      <w:sz w:val="21"/>
                    </w:rPr>
                    <w:t>1000ml净水瓶，外置式安装，低水位可见。</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4590"/>
                  <w:tcBorders>
                    <w:top w:val="none" w:color="000000" w:sz="4"/>
                    <w:left w:val="none" w:color="000000" w:sz="4"/>
                    <w:bottom w:val="single" w:color="000000" w:sz="4"/>
                    <w:right w:val="single" w:color="000000" w:sz="4"/>
                  </w:tcBorders>
                  <w:vAlign w:val="top"/>
                </w:tcPr>
                <w:p>
                  <w:pPr>
                    <w:jc w:val="left"/>
                  </w:pPr>
                  <w:r>
                    <w:rPr>
                      <w:sz w:val="21"/>
                    </w:rPr>
                    <w:t>具有市政自来水和纯净水转换系统。</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4590"/>
                  <w:tcBorders>
                    <w:top w:val="none" w:color="000000" w:sz="4"/>
                    <w:left w:val="none" w:color="000000" w:sz="4"/>
                    <w:bottom w:val="single" w:color="000000" w:sz="4"/>
                    <w:right w:val="single" w:color="000000" w:sz="4"/>
                  </w:tcBorders>
                  <w:vAlign w:val="top"/>
                </w:tcPr>
                <w:p>
                  <w:pPr>
                    <w:jc w:val="left"/>
                  </w:pPr>
                  <w:r>
                    <w:rPr>
                      <w:sz w:val="21"/>
                    </w:rPr>
                    <w:t>具有漱口水自动恒温系统，具有超温安全保护，出水温度</w:t>
                  </w:r>
                  <w:r>
                    <w:rPr>
                      <w:sz w:val="21"/>
                    </w:rPr>
                    <w:t>40±5℃。</w:t>
                  </w:r>
                </w:p>
              </w:tc>
            </w:tr>
            <w:tr>
              <w:tc>
                <w:tcPr>
                  <w:tcW w:type="dxa" w:w="5430"/>
                  <w:gridSpan w:val="2"/>
                  <w:tcBorders>
                    <w:top w:val="none" w:color="000000" w:sz="4"/>
                    <w:left w:val="single" w:color="000000" w:sz="4"/>
                    <w:bottom w:val="single" w:color="000000" w:sz="4"/>
                    <w:right w:val="single" w:color="000000" w:sz="4"/>
                  </w:tcBorders>
                  <w:vAlign w:val="top"/>
                </w:tcPr>
                <w:p>
                  <w:pPr>
                    <w:jc w:val="left"/>
                  </w:pPr>
                  <w:r>
                    <w:rPr>
                      <w:b/>
                      <w:sz w:val="21"/>
                    </w:rPr>
                    <w:t>4 痰盂盆</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一体式陶瓷痰盂盆。</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4590"/>
                  <w:tcBorders>
                    <w:top w:val="none" w:color="000000" w:sz="4"/>
                    <w:left w:val="none" w:color="000000" w:sz="4"/>
                    <w:bottom w:val="single" w:color="000000" w:sz="4"/>
                    <w:right w:val="single" w:color="000000" w:sz="4"/>
                  </w:tcBorders>
                  <w:vAlign w:val="top"/>
                </w:tcPr>
                <w:p>
                  <w:pPr>
                    <w:jc w:val="left"/>
                  </w:pPr>
                  <w:r>
                    <w:rPr>
                      <w:sz w:val="21"/>
                    </w:rPr>
                    <w:t>插拔式漱口水和冲痰盂水水嘴。</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4590"/>
                  <w:tcBorders>
                    <w:top w:val="none" w:color="000000" w:sz="4"/>
                    <w:left w:val="none" w:color="000000" w:sz="4"/>
                    <w:bottom w:val="single" w:color="000000" w:sz="4"/>
                    <w:right w:val="single" w:color="000000" w:sz="4"/>
                  </w:tcBorders>
                  <w:vAlign w:val="top"/>
                </w:tcPr>
                <w:p>
                  <w:pPr>
                    <w:jc w:val="left"/>
                  </w:pPr>
                  <w:r>
                    <w:rPr>
                      <w:sz w:val="21"/>
                    </w:rPr>
                    <w:t>痰盂盆可整体旋转至少</w:t>
                  </w:r>
                  <w:r>
                    <w:rPr>
                      <w:sz w:val="21"/>
                    </w:rPr>
                    <w:t>180°。</w:t>
                  </w:r>
                </w:p>
              </w:tc>
            </w:tr>
            <w:tr>
              <w:tc>
                <w:tcPr>
                  <w:tcW w:type="dxa" w:w="5430"/>
                  <w:gridSpan w:val="2"/>
                  <w:tcBorders>
                    <w:top w:val="none" w:color="000000" w:sz="4"/>
                    <w:left w:val="single" w:color="000000" w:sz="4"/>
                    <w:bottom w:val="single" w:color="000000" w:sz="4"/>
                    <w:right w:val="single" w:color="000000" w:sz="4"/>
                  </w:tcBorders>
                  <w:vAlign w:val="top"/>
                </w:tcPr>
                <w:p>
                  <w:pPr>
                    <w:jc w:val="left"/>
                  </w:pPr>
                  <w:r>
                    <w:rPr>
                      <w:b/>
                      <w:sz w:val="21"/>
                    </w:rPr>
                    <w:t>5 副控</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副控支架可旋转至少</w:t>
                  </w:r>
                  <w:r>
                    <w:rPr>
                      <w:sz w:val="21"/>
                    </w:rPr>
                    <w:t>90°。</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4590"/>
                  <w:tcBorders>
                    <w:top w:val="none" w:color="000000" w:sz="4"/>
                    <w:left w:val="none" w:color="000000" w:sz="4"/>
                    <w:bottom w:val="single" w:color="000000" w:sz="4"/>
                    <w:right w:val="single" w:color="000000" w:sz="4"/>
                  </w:tcBorders>
                  <w:vAlign w:val="top"/>
                </w:tcPr>
                <w:p>
                  <w:pPr>
                    <w:jc w:val="left"/>
                  </w:pPr>
                  <w:r>
                    <w:rPr>
                      <w:sz w:val="21"/>
                    </w:rPr>
                    <w:t>副控控制盒至少可</w:t>
                  </w:r>
                  <w:r>
                    <w:rPr>
                      <w:sz w:val="21"/>
                    </w:rPr>
                    <w:t>135°旋转。</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5.</w:t>
                  </w:r>
                  <w:r>
                    <w:rPr>
                      <w:sz w:val="21"/>
                    </w:rPr>
                    <w:t>3</w:t>
                  </w:r>
                </w:p>
              </w:tc>
              <w:tc>
                <w:tcPr>
                  <w:tcW w:type="dxa" w:w="4590"/>
                  <w:tcBorders>
                    <w:top w:val="none" w:color="000000" w:sz="4"/>
                    <w:left w:val="none" w:color="000000" w:sz="4"/>
                    <w:bottom w:val="single" w:color="000000" w:sz="4"/>
                    <w:right w:val="single" w:color="000000" w:sz="4"/>
                  </w:tcBorders>
                  <w:vAlign w:val="top"/>
                </w:tcPr>
                <w:p>
                  <w:pPr>
                    <w:jc w:val="left"/>
                  </w:pPr>
                  <w:r>
                    <w:rPr>
                      <w:sz w:val="21"/>
                    </w:rPr>
                    <w:t>可控制治疗椅运动、记忆椅位、口腔灯、加热、漱口和冲痰水等功能。</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5.</w:t>
                  </w:r>
                  <w:r>
                    <w:rPr>
                      <w:sz w:val="21"/>
                    </w:rPr>
                    <w:t>4</w:t>
                  </w:r>
                </w:p>
              </w:tc>
              <w:tc>
                <w:tcPr>
                  <w:tcW w:type="dxa" w:w="4590"/>
                  <w:tcBorders>
                    <w:top w:val="none" w:color="000000" w:sz="4"/>
                    <w:left w:val="none" w:color="000000" w:sz="4"/>
                    <w:bottom w:val="single" w:color="000000" w:sz="4"/>
                    <w:right w:val="single" w:color="000000" w:sz="4"/>
                  </w:tcBorders>
                  <w:vAlign w:val="top"/>
                </w:tcPr>
                <w:p>
                  <w:pPr>
                    <w:jc w:val="left"/>
                  </w:pPr>
                  <w:r>
                    <w:rPr>
                      <w:sz w:val="21"/>
                    </w:rPr>
                    <w:t>配三用枪一只，带热水功能。</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5.</w:t>
                  </w:r>
                  <w:r>
                    <w:rPr>
                      <w:sz w:val="21"/>
                    </w:rPr>
                    <w:t>5</w:t>
                  </w:r>
                </w:p>
              </w:tc>
              <w:tc>
                <w:tcPr>
                  <w:tcW w:type="dxa" w:w="4590"/>
                  <w:tcBorders>
                    <w:top w:val="none" w:color="000000" w:sz="4"/>
                    <w:left w:val="none" w:color="000000" w:sz="4"/>
                    <w:bottom w:val="single" w:color="000000" w:sz="4"/>
                    <w:right w:val="single" w:color="000000" w:sz="4"/>
                  </w:tcBorders>
                  <w:vAlign w:val="top"/>
                </w:tcPr>
                <w:p>
                  <w:pPr>
                    <w:jc w:val="left"/>
                  </w:pPr>
                  <w:r>
                    <w:rPr>
                      <w:sz w:val="21"/>
                    </w:rPr>
                    <w:t>铝合金可调节强弱吸手柄，具备强弱吸延时关闭功能。</w:t>
                  </w:r>
                </w:p>
              </w:tc>
            </w:tr>
            <w:tr>
              <w:tc>
                <w:tcPr>
                  <w:tcW w:type="dxa" w:w="5430"/>
                  <w:gridSpan w:val="2"/>
                  <w:tcBorders>
                    <w:top w:val="none" w:color="000000" w:sz="4"/>
                    <w:left w:val="single" w:color="000000" w:sz="4"/>
                    <w:bottom w:val="single" w:color="000000" w:sz="4"/>
                    <w:right w:val="single" w:color="000000" w:sz="4"/>
                  </w:tcBorders>
                  <w:vAlign w:val="top"/>
                </w:tcPr>
                <w:p>
                  <w:pPr>
                    <w:jc w:val="left"/>
                  </w:pPr>
                  <w:r>
                    <w:rPr>
                      <w:b/>
                      <w:sz w:val="21"/>
                    </w:rPr>
                    <w:t>6 口腔灯</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四孔直射式</w:t>
                  </w:r>
                  <w:r>
                    <w:rPr>
                      <w:sz w:val="21"/>
                    </w:rPr>
                    <w:t>LED光源。</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4590"/>
                  <w:tcBorders>
                    <w:top w:val="none" w:color="000000" w:sz="4"/>
                    <w:left w:val="none" w:color="000000" w:sz="4"/>
                    <w:bottom w:val="single" w:color="000000" w:sz="4"/>
                    <w:right w:val="single" w:color="000000" w:sz="4"/>
                  </w:tcBorders>
                  <w:vAlign w:val="top"/>
                </w:tcPr>
                <w:p>
                  <w:pPr>
                    <w:jc w:val="left"/>
                  </w:pPr>
                  <w:r>
                    <w:rPr>
                      <w:sz w:val="21"/>
                    </w:rPr>
                    <w:t>感应式五档亮度调节。</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4590"/>
                  <w:tcBorders>
                    <w:top w:val="none" w:color="000000" w:sz="4"/>
                    <w:left w:val="none" w:color="000000" w:sz="4"/>
                    <w:bottom w:val="single" w:color="000000" w:sz="4"/>
                    <w:right w:val="single" w:color="000000" w:sz="4"/>
                  </w:tcBorders>
                  <w:vAlign w:val="top"/>
                </w:tcPr>
                <w:p>
                  <w:pPr>
                    <w:jc w:val="left"/>
                  </w:pPr>
                  <w:r>
                    <w:rPr>
                      <w:sz w:val="21"/>
                    </w:rPr>
                    <w:t>照度：从小于</w:t>
                  </w:r>
                  <w:r>
                    <w:rPr>
                      <w:sz w:val="21"/>
                    </w:rPr>
                    <w:t>10000到大于30000Lux可调节。</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4590"/>
                  <w:tcBorders>
                    <w:top w:val="none" w:color="000000" w:sz="4"/>
                    <w:left w:val="none" w:color="000000" w:sz="4"/>
                    <w:bottom w:val="single" w:color="000000" w:sz="4"/>
                    <w:right w:val="single" w:color="000000" w:sz="4"/>
                  </w:tcBorders>
                  <w:vAlign w:val="top"/>
                </w:tcPr>
                <w:p>
                  <w:pPr>
                    <w:jc w:val="left"/>
                  </w:pPr>
                  <w:r>
                    <w:rPr>
                      <w:sz w:val="21"/>
                    </w:rPr>
                    <w:t>色温：</w:t>
                  </w:r>
                  <w:r>
                    <w:rPr>
                      <w:sz w:val="21"/>
                    </w:rPr>
                    <w:t>5000±10%K。</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4590"/>
                  <w:tcBorders>
                    <w:top w:val="none" w:color="000000" w:sz="4"/>
                    <w:left w:val="none" w:color="000000" w:sz="4"/>
                    <w:bottom w:val="single" w:color="000000" w:sz="4"/>
                    <w:right w:val="single" w:color="000000" w:sz="4"/>
                  </w:tcBorders>
                  <w:vAlign w:val="top"/>
                </w:tcPr>
                <w:p>
                  <w:pPr>
                    <w:jc w:val="left"/>
                  </w:pPr>
                  <w:r>
                    <w:rPr>
                      <w:sz w:val="21"/>
                    </w:rPr>
                    <w:t>一键拆卸式手柄，可高温灭菌处理。</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4590"/>
                  <w:tcBorders>
                    <w:top w:val="none" w:color="000000" w:sz="4"/>
                    <w:left w:val="none" w:color="000000" w:sz="4"/>
                    <w:bottom w:val="single" w:color="000000" w:sz="4"/>
                    <w:right w:val="single" w:color="000000" w:sz="4"/>
                  </w:tcBorders>
                  <w:vAlign w:val="top"/>
                </w:tcPr>
                <w:p>
                  <w:pPr>
                    <w:jc w:val="left"/>
                  </w:pPr>
                  <w:r>
                    <w:rPr>
                      <w:sz w:val="21"/>
                    </w:rPr>
                    <w:t>三关节旋转。</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4590"/>
                  <w:tcBorders>
                    <w:top w:val="none" w:color="000000" w:sz="4"/>
                    <w:left w:val="none" w:color="000000" w:sz="4"/>
                    <w:bottom w:val="single" w:color="000000" w:sz="4"/>
                    <w:right w:val="single" w:color="000000" w:sz="4"/>
                  </w:tcBorders>
                  <w:vAlign w:val="top"/>
                </w:tcPr>
                <w:p>
                  <w:pPr>
                    <w:jc w:val="left"/>
                  </w:pPr>
                  <w:r>
                    <w:rPr>
                      <w:sz w:val="21"/>
                    </w:rPr>
                    <w:t>灯珠寿命＞</w:t>
                  </w:r>
                  <w:r>
                    <w:rPr>
                      <w:sz w:val="21"/>
                    </w:rPr>
                    <w:t>30000小时。</w:t>
                  </w:r>
                </w:p>
              </w:tc>
            </w:tr>
            <w:tr>
              <w:tc>
                <w:tcPr>
                  <w:tcW w:type="dxa" w:w="5430"/>
                  <w:gridSpan w:val="2"/>
                  <w:tcBorders>
                    <w:top w:val="none" w:color="000000" w:sz="4"/>
                    <w:left w:val="single" w:color="000000" w:sz="4"/>
                    <w:bottom w:val="single" w:color="000000" w:sz="4"/>
                    <w:right w:val="single" w:color="000000" w:sz="4"/>
                  </w:tcBorders>
                  <w:vAlign w:val="top"/>
                </w:tcPr>
                <w:p>
                  <w:pPr>
                    <w:jc w:val="left"/>
                  </w:pPr>
                  <w:r>
                    <w:rPr>
                      <w:b/>
                      <w:sz w:val="21"/>
                    </w:rPr>
                    <w:t>7 脚踏开关</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可控制手机、洁牙机等器械的工作，干湿磨和单吹气功能，治疗椅升降俯仰运动以及漱口水和冲痰盂水。</w:t>
                  </w:r>
                </w:p>
              </w:tc>
            </w:tr>
            <w:tr>
              <w:tc>
                <w:tcPr>
                  <w:tcW w:type="dxa" w:w="5430"/>
                  <w:gridSpan w:val="2"/>
                  <w:tcBorders>
                    <w:top w:val="none" w:color="000000" w:sz="4"/>
                    <w:left w:val="single" w:color="000000" w:sz="4"/>
                    <w:bottom w:val="single" w:color="000000" w:sz="4"/>
                    <w:right w:val="single" w:color="000000" w:sz="4"/>
                  </w:tcBorders>
                  <w:vAlign w:val="top"/>
                </w:tcPr>
                <w:p>
                  <w:pPr>
                    <w:jc w:val="left"/>
                  </w:pPr>
                  <w:r>
                    <w:rPr>
                      <w:b/>
                      <w:sz w:val="21"/>
                    </w:rPr>
                    <w:t>8 医生座椅</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8.</w:t>
                  </w:r>
                  <w:r>
                    <w:rPr>
                      <w:sz w:val="21"/>
                    </w:rPr>
                    <w:t>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坐垫靠背角度双调节，座椅高度可调节</w:t>
                  </w:r>
                </w:p>
              </w:tc>
            </w:tr>
            <w:tr>
              <w:tc>
                <w:tcPr>
                  <w:tcW w:type="dxa" w:w="5430"/>
                  <w:gridSpan w:val="2"/>
                  <w:tcBorders>
                    <w:top w:val="none" w:color="000000" w:sz="4"/>
                    <w:left w:val="single" w:color="000000" w:sz="4"/>
                    <w:bottom w:val="single" w:color="000000" w:sz="4"/>
                    <w:right w:val="single" w:color="000000" w:sz="4"/>
                  </w:tcBorders>
                  <w:vAlign w:val="top"/>
                </w:tcPr>
                <w:p>
                  <w:pPr>
                    <w:jc w:val="left"/>
                  </w:pPr>
                  <w:r>
                    <w:rPr>
                      <w:b/>
                      <w:sz w:val="21"/>
                    </w:rPr>
                    <w:t>9 安全保护</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具备机椅互锁、急停保护、误操作保护、升降保护等功能。</w:t>
                  </w:r>
                </w:p>
              </w:tc>
            </w:tr>
            <w:tr>
              <w:tc>
                <w:tcPr>
                  <w:tcW w:type="dxa" w:w="5430"/>
                  <w:gridSpan w:val="2"/>
                  <w:tcBorders>
                    <w:top w:val="none" w:color="000000" w:sz="4"/>
                    <w:left w:val="single" w:color="000000" w:sz="4"/>
                    <w:bottom w:val="single" w:color="000000" w:sz="4"/>
                    <w:right w:val="single" w:color="000000" w:sz="4"/>
                  </w:tcBorders>
                  <w:vAlign w:val="top"/>
                </w:tcPr>
                <w:p>
                  <w:pPr>
                    <w:jc w:val="left"/>
                  </w:pPr>
                  <w:r>
                    <w:rPr>
                      <w:b/>
                      <w:sz w:val="21"/>
                    </w:rPr>
                    <w:t>10洁牙线路系统</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4590"/>
                  <w:tcBorders>
                    <w:top w:val="single" w:color="000000" w:sz="4"/>
                    <w:left w:val="none" w:color="000000" w:sz="4"/>
                    <w:bottom w:val="single" w:color="000000" w:sz="4"/>
                    <w:right w:val="single" w:color="000000" w:sz="4"/>
                  </w:tcBorders>
                  <w:vAlign w:val="top"/>
                </w:tcPr>
                <w:p>
                  <w:pPr>
                    <w:jc w:val="both"/>
                  </w:pPr>
                  <w:r>
                    <w:rPr>
                      <w:sz w:val="21"/>
                    </w:rPr>
                    <w:t>配与使用科室在用洁牙机手柄相匹配的洁牙线路系统</w:t>
                  </w:r>
                </w:p>
              </w:tc>
            </w:tr>
            <w:tr>
              <w:tc>
                <w:tcPr>
                  <w:tcW w:type="dxa" w:w="5430"/>
                  <w:gridSpan w:val="2"/>
                  <w:tcBorders>
                    <w:top w:val="none" w:color="000000" w:sz="4"/>
                    <w:left w:val="single" w:color="000000" w:sz="4"/>
                    <w:bottom w:val="single" w:color="000000" w:sz="4"/>
                    <w:right w:val="single" w:color="000000" w:sz="4"/>
                  </w:tcBorders>
                  <w:vAlign w:val="top"/>
                </w:tcPr>
                <w:p>
                  <w:pPr>
                    <w:jc w:val="both"/>
                  </w:pPr>
                  <w:r>
                    <w:rPr>
                      <w:b/>
                      <w:sz w:val="21"/>
                    </w:rPr>
                    <w:t>1</w:t>
                  </w:r>
                  <w:r>
                    <w:rPr>
                      <w:b/>
                      <w:sz w:val="21"/>
                    </w:rPr>
                    <w:t>1</w:t>
                  </w:r>
                  <w:r>
                    <w:rPr>
                      <w:b/>
                      <w:sz w:val="21"/>
                    </w:rPr>
                    <w:t xml:space="preserve"> </w:t>
                  </w:r>
                  <w:r>
                    <w:rPr>
                      <w:b/>
                      <w:sz w:val="21"/>
                    </w:rPr>
                    <w:t>管路自动消毒系统</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▲1</w:t>
                  </w:r>
                  <w:r>
                    <w:rPr>
                      <w:sz w:val="21"/>
                    </w:rPr>
                    <w:t>1</w:t>
                  </w:r>
                  <w:r>
                    <w:rPr>
                      <w:sz w:val="21"/>
                    </w:rPr>
                    <w:t>.1</w:t>
                  </w:r>
                </w:p>
              </w:tc>
              <w:tc>
                <w:tcPr>
                  <w:tcW w:type="dxa" w:w="4590"/>
                  <w:tcBorders>
                    <w:top w:val="single" w:color="000000" w:sz="4"/>
                    <w:left w:val="none" w:color="000000" w:sz="4"/>
                    <w:bottom w:val="single" w:color="000000" w:sz="4"/>
                    <w:right w:val="single" w:color="000000" w:sz="4"/>
                  </w:tcBorders>
                  <w:vAlign w:val="top"/>
                </w:tcPr>
                <w:p>
                  <w:pPr>
                    <w:jc w:val="left"/>
                  </w:pPr>
                  <w:r>
                    <w:rPr>
                      <w:sz w:val="21"/>
                    </w:rPr>
                    <w:t>配自动消毒系统，可以自动完成管路消毒，包含漱口出水系统消毒功能。</w:t>
                  </w:r>
                </w:p>
              </w:tc>
            </w:tr>
          </w:tbl>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r>
                    <w:rPr>
                      <w:b/>
                      <w:sz w:val="21"/>
                    </w:rPr>
                    <w:t>/</w:t>
                  </w:r>
                  <w:r>
                    <w:rPr>
                      <w:b/>
                      <w:sz w:val="21"/>
                    </w:rPr>
                    <w:t>台</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电动牙科椅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口腔灯</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下挂式器械盘</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助手位</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三用喷枪</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2支</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光固化机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普通</w:t>
                  </w:r>
                  <w:r>
                    <w:rPr>
                      <w:sz w:val="21"/>
                    </w:rPr>
                    <w:t>/快接式高速手机管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普通</w:t>
                  </w:r>
                  <w:r>
                    <w:rPr>
                      <w:sz w:val="21"/>
                    </w:rPr>
                    <w:t>/快接式低速手机管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强吸手柄</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弱吸手柄</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陶瓷痰盂盆</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漱口水恒温系统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净水瓶供水系统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复合脚踏开关</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原厂医生座椅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原厂护士座椅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管路自动消毒系统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r>
                    <w:rPr>
                      <w:sz w:val="21"/>
                    </w:rPr>
                    <w:t>8</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普通式高速手机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r>
                    <w:rPr>
                      <w:sz w:val="21"/>
                    </w:rPr>
                    <w:t>9</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低速电动马达</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r>
                    <w:rPr>
                      <w:sz w:val="21"/>
                    </w:rPr>
                    <w:t>0</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低速慢弯手机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低速直手机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内置式洁牙机系统管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1根</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牙椅（种植用）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一、设备技术详细需求：</w:t>
            </w:r>
          </w:p>
          <w:tbl>
            <w:tblPr>
              <w:tblInd w:type="dxa" w:w="120"/>
              <w:tblBorders>
                <w:top w:val="none" w:color="000000" w:sz="4"/>
                <w:left w:val="none" w:color="000000" w:sz="4"/>
                <w:bottom w:val="none" w:color="000000" w:sz="4"/>
                <w:right w:val="none" w:color="000000" w:sz="4"/>
                <w:insideH w:val="none"/>
                <w:insideV w:val="none"/>
              </w:tblBorders>
            </w:tblPr>
            <w:tblGrid>
              <w:gridCol w:w="1230"/>
              <w:gridCol w:w="60"/>
              <w:gridCol w:w="4305"/>
            </w:tblGrid>
            <w:tr>
              <w:tc>
                <w:tcPr>
                  <w:tcW w:type="dxa" w:w="5595"/>
                  <w:gridSpan w:val="3"/>
                  <w:tcBorders>
                    <w:top w:val="single" w:color="000000" w:sz="4"/>
                    <w:left w:val="single" w:color="000000" w:sz="4"/>
                    <w:bottom w:val="single" w:color="000000" w:sz="4"/>
                    <w:right w:val="single" w:color="000000" w:sz="4"/>
                  </w:tcBorders>
                  <w:vAlign w:val="top"/>
                </w:tcPr>
                <w:p>
                  <w:pPr>
                    <w:jc w:val="left"/>
                  </w:pPr>
                  <w:r>
                    <w:rPr>
                      <w:b/>
                      <w:sz w:val="21"/>
                    </w:rPr>
                    <w:t>1 牙科椅</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365"/>
                  <w:gridSpan w:val="2"/>
                  <w:tcBorders>
                    <w:top w:val="single" w:color="000000" w:sz="4"/>
                    <w:left w:val="none" w:color="000000" w:sz="4"/>
                    <w:bottom w:val="single" w:color="000000" w:sz="4"/>
                    <w:right w:val="single" w:color="000000" w:sz="4"/>
                  </w:tcBorders>
                  <w:vAlign w:val="top"/>
                </w:tcPr>
                <w:p>
                  <w:pPr>
                    <w:jc w:val="left"/>
                  </w:pPr>
                  <w:r>
                    <w:rPr>
                      <w:sz w:val="21"/>
                    </w:rPr>
                    <w:t>梨形靠背，具有腰部支撑设计。头枕具有颈部支撑和头部固位功能设计。枕架具有儿童和轮椅人士治疗位。</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治疗椅椅架：内高支点结构，具有靠背坐垫联动结构设计。</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底座、弯板、扶手一体成形工艺，外表面采用汽车烤漆工艺。</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右扶手可旋转。</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最低椅位</w:t>
                  </w:r>
                  <w:r>
                    <w:rPr>
                      <w:sz w:val="21"/>
                    </w:rPr>
                    <w:t>≤390mm，最高椅位≥800mm。</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靠背俯仰角度：</w:t>
                  </w:r>
                  <w:r>
                    <w:rPr>
                      <w:sz w:val="21"/>
                    </w:rPr>
                    <w:t>105°-185°，具有休克急救治疗位。</w:t>
                  </w:r>
                </w:p>
              </w:tc>
            </w:tr>
            <w:tr>
              <w:tc>
                <w:tcPr>
                  <w:tcW w:type="dxa" w:w="5595"/>
                  <w:gridSpan w:val="3"/>
                  <w:tcBorders>
                    <w:top w:val="none" w:color="000000" w:sz="4"/>
                    <w:left w:val="single" w:color="000000" w:sz="4"/>
                    <w:bottom w:val="single" w:color="000000" w:sz="4"/>
                    <w:right w:val="single" w:color="000000" w:sz="4"/>
                  </w:tcBorders>
                  <w:vAlign w:val="top"/>
                </w:tcPr>
                <w:p>
                  <w:pPr>
                    <w:jc w:val="left"/>
                  </w:pPr>
                  <w:r>
                    <w:rPr>
                      <w:b/>
                      <w:sz w:val="21"/>
                    </w:rPr>
                    <w:t>2 移动式种植工作台</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4365"/>
                  <w:gridSpan w:val="2"/>
                  <w:tcBorders>
                    <w:top w:val="single" w:color="000000" w:sz="4"/>
                    <w:left w:val="none" w:color="000000" w:sz="4"/>
                    <w:bottom w:val="single" w:color="000000" w:sz="4"/>
                    <w:right w:val="single" w:color="000000" w:sz="4"/>
                  </w:tcBorders>
                  <w:vAlign w:val="top"/>
                </w:tcPr>
                <w:p>
                  <w:pPr>
                    <w:jc w:val="left"/>
                  </w:pPr>
                  <w:r>
                    <w:rPr>
                      <w:sz w:val="21"/>
                    </w:rPr>
                    <w:t>至少配</w:t>
                  </w:r>
                  <w:r>
                    <w:rPr>
                      <w:sz w:val="21"/>
                    </w:rPr>
                    <w:t>3条四孔手机管。</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全不锈钢台面可伸缩，预留</w:t>
                  </w:r>
                  <w:r>
                    <w:rPr>
                      <w:sz w:val="21"/>
                    </w:rPr>
                    <w:t>220V电源插口，方便插接种植机。</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不锈钢器械挂架，可旋转</w:t>
                  </w:r>
                  <w:r>
                    <w:rPr>
                      <w:sz w:val="21"/>
                    </w:rPr>
                    <w:t>90度，工作台要足够宽大至少50</w:t>
                  </w:r>
                  <w:r>
                    <w:rPr>
                      <w:sz w:val="21"/>
                    </w:rPr>
                    <w:t>×</w:t>
                  </w:r>
                  <w:r>
                    <w:rPr>
                      <w:sz w:val="21"/>
                    </w:rPr>
                    <w:t>30cm。</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标配三用枪一只，枪管可拆卸高温灭菌处理。</w:t>
                  </w:r>
                </w:p>
              </w:tc>
            </w:tr>
            <w:tr>
              <w:tc>
                <w:tcPr>
                  <w:tcW w:type="dxa" w:w="5595"/>
                  <w:gridSpan w:val="3"/>
                  <w:tcBorders>
                    <w:top w:val="none" w:color="000000" w:sz="4"/>
                    <w:left w:val="single" w:color="000000" w:sz="4"/>
                    <w:bottom w:val="single" w:color="000000" w:sz="4"/>
                    <w:right w:val="single" w:color="000000" w:sz="4"/>
                  </w:tcBorders>
                  <w:vAlign w:val="top"/>
                </w:tcPr>
                <w:p>
                  <w:pPr>
                    <w:jc w:val="left"/>
                  </w:pPr>
                  <w:r>
                    <w:rPr>
                      <w:b/>
                      <w:sz w:val="21"/>
                    </w:rPr>
                    <w:t>3 抽吸系统</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4365"/>
                  <w:gridSpan w:val="2"/>
                  <w:tcBorders>
                    <w:top w:val="single" w:color="000000" w:sz="4"/>
                    <w:left w:val="none" w:color="000000" w:sz="4"/>
                    <w:bottom w:val="single" w:color="000000" w:sz="4"/>
                    <w:right w:val="single" w:color="000000" w:sz="4"/>
                  </w:tcBorders>
                  <w:vAlign w:val="top"/>
                </w:tcPr>
                <w:p>
                  <w:pPr>
                    <w:jc w:val="left"/>
                  </w:pPr>
                  <w:r>
                    <w:rPr>
                      <w:sz w:val="21"/>
                    </w:rPr>
                    <w:t>≥2500ml双玻璃储物瓶，可以121℃灭菌处理。</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无油活塞真空泵，极限真空</w:t>
                  </w:r>
                  <w:r>
                    <w:rPr>
                      <w:sz w:val="21"/>
                    </w:rPr>
                    <w:t>-90Kpa。</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不锈钢抽吸嘴。</w:t>
                  </w:r>
                </w:p>
              </w:tc>
            </w:tr>
            <w:tr>
              <w:tc>
                <w:tcPr>
                  <w:tcW w:type="dxa" w:w="5595"/>
                  <w:gridSpan w:val="3"/>
                  <w:tcBorders>
                    <w:top w:val="none" w:color="000000" w:sz="4"/>
                    <w:left w:val="single" w:color="000000" w:sz="4"/>
                    <w:bottom w:val="single" w:color="000000" w:sz="4"/>
                    <w:right w:val="single" w:color="000000" w:sz="4"/>
                  </w:tcBorders>
                  <w:vAlign w:val="top"/>
                </w:tcPr>
                <w:p>
                  <w:pPr>
                    <w:jc w:val="left"/>
                  </w:pPr>
                  <w:r>
                    <w:rPr>
                      <w:b/>
                      <w:sz w:val="21"/>
                    </w:rPr>
                    <w:t>4 痰盂盆及器械盘</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4365"/>
                  <w:gridSpan w:val="2"/>
                  <w:tcBorders>
                    <w:top w:val="single" w:color="000000" w:sz="4"/>
                    <w:left w:val="none" w:color="000000" w:sz="4"/>
                    <w:bottom w:val="single" w:color="000000" w:sz="4"/>
                    <w:right w:val="single" w:color="000000" w:sz="4"/>
                  </w:tcBorders>
                  <w:vAlign w:val="top"/>
                </w:tcPr>
                <w:p>
                  <w:pPr>
                    <w:jc w:val="left"/>
                  </w:pPr>
                  <w:r>
                    <w:rPr>
                      <w:sz w:val="21"/>
                    </w:rPr>
                    <w:t>一体式陶瓷痰盂盆。</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插拔式漱口水和冲痰盂水水嘴。</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4365"/>
                  <w:gridSpan w:val="2"/>
                  <w:tcBorders>
                    <w:top w:val="none" w:color="000000" w:sz="4"/>
                    <w:left w:val="none" w:color="000000" w:sz="4"/>
                    <w:bottom w:val="single" w:color="000000" w:sz="4"/>
                    <w:right w:val="single" w:color="000000" w:sz="4"/>
                  </w:tcBorders>
                  <w:vAlign w:val="top"/>
                </w:tcPr>
                <w:p>
                  <w:pPr>
                    <w:jc w:val="both"/>
                  </w:pPr>
                  <w:r>
                    <w:rPr>
                      <w:sz w:val="21"/>
                    </w:rPr>
                    <w:t>痰盂盆可整体旋转至少</w:t>
                  </w:r>
                  <w:r>
                    <w:rPr>
                      <w:sz w:val="21"/>
                    </w:rPr>
                    <w:t>180°。</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4365"/>
                  <w:gridSpan w:val="2"/>
                  <w:tcBorders>
                    <w:top w:val="none" w:color="000000" w:sz="4"/>
                    <w:left w:val="none" w:color="000000" w:sz="4"/>
                    <w:bottom w:val="single" w:color="000000" w:sz="4"/>
                    <w:right w:val="single" w:color="000000" w:sz="4"/>
                  </w:tcBorders>
                  <w:vAlign w:val="top"/>
                </w:tcPr>
                <w:p>
                  <w:pPr>
                    <w:jc w:val="both"/>
                  </w:pPr>
                  <w:r>
                    <w:rPr>
                      <w:sz w:val="21"/>
                    </w:rPr>
                    <w:t>配两个不锈钢器械盘，一个配置在牙椅上，一个配置在移动种植工作台上，尺寸</w:t>
                  </w:r>
                  <w:r>
                    <w:rPr>
                      <w:sz w:val="21"/>
                    </w:rPr>
                    <w:t>≥</w:t>
                  </w:r>
                  <w:r>
                    <w:rPr>
                      <w:sz w:val="21"/>
                    </w:rPr>
                    <w:t>50</w:t>
                  </w:r>
                  <w:r>
                    <w:rPr>
                      <w:sz w:val="21"/>
                    </w:rPr>
                    <w:t>×</w:t>
                  </w:r>
                  <w:r>
                    <w:rPr>
                      <w:sz w:val="21"/>
                    </w:rPr>
                    <w:t>30cm</w:t>
                  </w:r>
                </w:p>
              </w:tc>
            </w:tr>
            <w:tr>
              <w:tc>
                <w:tcPr>
                  <w:tcW w:type="dxa" w:w="5595"/>
                  <w:gridSpan w:val="3"/>
                  <w:tcBorders>
                    <w:top w:val="none" w:color="000000" w:sz="4"/>
                    <w:left w:val="single" w:color="000000" w:sz="4"/>
                    <w:bottom w:val="single" w:color="000000" w:sz="4"/>
                    <w:right w:val="single" w:color="000000" w:sz="4"/>
                  </w:tcBorders>
                  <w:vAlign w:val="top"/>
                </w:tcPr>
                <w:p>
                  <w:pPr>
                    <w:jc w:val="left"/>
                  </w:pPr>
                  <w:r>
                    <w:rPr>
                      <w:b/>
                      <w:sz w:val="21"/>
                    </w:rPr>
                    <w:t>5 副控</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4365"/>
                  <w:gridSpan w:val="2"/>
                  <w:tcBorders>
                    <w:top w:val="single" w:color="000000" w:sz="4"/>
                    <w:left w:val="none" w:color="000000" w:sz="4"/>
                    <w:bottom w:val="single" w:color="000000" w:sz="4"/>
                    <w:right w:val="single" w:color="000000" w:sz="4"/>
                  </w:tcBorders>
                  <w:vAlign w:val="top"/>
                </w:tcPr>
                <w:p>
                  <w:pPr>
                    <w:jc w:val="left"/>
                  </w:pPr>
                  <w:r>
                    <w:rPr>
                      <w:sz w:val="21"/>
                    </w:rPr>
                    <w:t>副控支架和控制盒都可以旋转至少</w:t>
                  </w:r>
                  <w:r>
                    <w:rPr>
                      <w:sz w:val="21"/>
                    </w:rPr>
                    <w:t>90°。</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可控制设置、漱口水、冲痰盂、加热、复位等功能。</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可调节强弱吸手柄，通过转换接头，可以转换强弱吸，强弱吸延时关闭。</w:t>
                  </w:r>
                </w:p>
              </w:tc>
            </w:tr>
            <w:tr>
              <w:tc>
                <w:tcPr>
                  <w:tcW w:type="dxa" w:w="5595"/>
                  <w:gridSpan w:val="3"/>
                  <w:tcBorders>
                    <w:top w:val="none" w:color="000000" w:sz="4"/>
                    <w:left w:val="single" w:color="000000" w:sz="4"/>
                    <w:bottom w:val="single" w:color="000000" w:sz="4"/>
                    <w:right w:val="single" w:color="000000" w:sz="4"/>
                  </w:tcBorders>
                  <w:vAlign w:val="top"/>
                </w:tcPr>
                <w:p>
                  <w:pPr>
                    <w:jc w:val="left"/>
                  </w:pPr>
                  <w:r>
                    <w:rPr>
                      <w:b/>
                      <w:sz w:val="21"/>
                    </w:rPr>
                    <w:t>6 手术无影灯</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4365"/>
                  <w:gridSpan w:val="2"/>
                  <w:tcBorders>
                    <w:top w:val="single" w:color="000000" w:sz="4"/>
                    <w:left w:val="none" w:color="000000" w:sz="4"/>
                    <w:bottom w:val="single" w:color="000000" w:sz="4"/>
                    <w:right w:val="single" w:color="000000" w:sz="4"/>
                  </w:tcBorders>
                  <w:vAlign w:val="top"/>
                </w:tcPr>
                <w:p>
                  <w:pPr>
                    <w:jc w:val="left"/>
                  </w:pPr>
                  <w:r>
                    <w:rPr>
                      <w:sz w:val="21"/>
                    </w:rPr>
                    <w:t>LED灯珠。</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6.</w:t>
                  </w:r>
                  <w:r>
                    <w:rPr>
                      <w:sz w:val="21"/>
                    </w:rPr>
                    <w:t>2</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照度：</w:t>
                  </w:r>
                  <w:r>
                    <w:rPr>
                      <w:sz w:val="21"/>
                    </w:rPr>
                    <w:t>30000-90000lux。</w:t>
                  </w:r>
                </w:p>
                <w:p>
                  <w:pPr>
                    <w:jc w:val="left"/>
                  </w:pPr>
                  <w:r>
                    <w:rPr>
                      <w:sz w:val="21"/>
                    </w:rPr>
                    <w:t>30000-90000lux。</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6.</w:t>
                  </w:r>
                  <w:r>
                    <w:rPr>
                      <w:sz w:val="21"/>
                    </w:rPr>
                    <w:t>3</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色温：</w:t>
                  </w:r>
                  <w:r>
                    <w:rPr>
                      <w:sz w:val="21"/>
                    </w:rPr>
                    <w:t>4000-5500K可调节。</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6.</w:t>
                  </w:r>
                  <w:r>
                    <w:rPr>
                      <w:sz w:val="21"/>
                    </w:rPr>
                    <w:t>4</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可拆卸式手柄，手柄可高温灭菌处理。</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6.</w:t>
                  </w:r>
                  <w:r>
                    <w:rPr>
                      <w:sz w:val="21"/>
                    </w:rPr>
                    <w:t>5</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三关节旋转。</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▲6.</w:t>
                  </w:r>
                  <w:r>
                    <w:rPr>
                      <w:sz w:val="21"/>
                    </w:rPr>
                    <w:t>6</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灯珠寿命：＞</w:t>
                  </w:r>
                  <w:r>
                    <w:rPr>
                      <w:sz w:val="21"/>
                    </w:rPr>
                    <w:t>30000小时。</w:t>
                  </w:r>
                </w:p>
              </w:tc>
            </w:tr>
            <w:tr>
              <w:tc>
                <w:tcPr>
                  <w:tcW w:type="dxa" w:w="1230"/>
                  <w:tcBorders>
                    <w:top w:val="none" w:color="000000" w:sz="4"/>
                    <w:left w:val="single" w:color="000000" w:sz="4"/>
                    <w:bottom w:val="single" w:color="000000" w:sz="4"/>
                    <w:right w:val="none" w:color="000000" w:sz="4"/>
                  </w:tcBorders>
                  <w:vAlign w:val="top"/>
                </w:tcPr>
                <w:p>
                  <w:pPr>
                    <w:jc w:val="left"/>
                  </w:pPr>
                  <w:r>
                    <w:rPr>
                      <w:b/>
                      <w:sz w:val="21"/>
                    </w:rPr>
                    <w:t>7 脚踏开关</w:t>
                  </w:r>
                </w:p>
              </w:tc>
              <w:tc>
                <w:tcPr>
                  <w:tcW w:type="dxa" w:w="4365"/>
                  <w:gridSpan w:val="2"/>
                  <w:tcBorders>
                    <w:top w:val="none" w:color="000000" w:sz="4"/>
                    <w:left w:val="none" w:color="000000" w:sz="4"/>
                    <w:bottom w:val="single" w:color="000000" w:sz="4"/>
                    <w:right w:val="none" w:color="000000" w:sz="4"/>
                  </w:tcBorders>
                  <w:vAlign w:val="top"/>
                </w:tcPr>
                <w:p>
                  <w:pPr>
                    <w:jc w:val="left"/>
                  </w:pP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一体式踏板，可控制手机、洁牙机等器械的工作，可控制手机转速。</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可控制治疗椅升降俯仰运动。</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可控制漱口水和冲痰盂水。</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可控制干湿磨和单吹气功能。</w:t>
                  </w:r>
                </w:p>
              </w:tc>
            </w:tr>
            <w:tr>
              <w:tc>
                <w:tcPr>
                  <w:tcW w:type="dxa" w:w="5595"/>
                  <w:gridSpan w:val="3"/>
                  <w:tcBorders>
                    <w:top w:val="none" w:color="000000" w:sz="4"/>
                    <w:left w:val="single" w:color="000000" w:sz="4"/>
                    <w:bottom w:val="single" w:color="000000" w:sz="4"/>
                    <w:right w:val="single" w:color="000000" w:sz="4"/>
                  </w:tcBorders>
                  <w:vAlign w:val="top"/>
                </w:tcPr>
                <w:p>
                  <w:pPr>
                    <w:jc w:val="left"/>
                  </w:pPr>
                  <w:r>
                    <w:rPr>
                      <w:b/>
                      <w:sz w:val="21"/>
                    </w:rPr>
                    <w:t>8 医生座椅</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4365"/>
                  <w:gridSpan w:val="2"/>
                  <w:tcBorders>
                    <w:top w:val="single" w:color="000000" w:sz="4"/>
                    <w:left w:val="none" w:color="000000" w:sz="4"/>
                    <w:bottom w:val="single" w:color="000000" w:sz="4"/>
                    <w:right w:val="single" w:color="000000" w:sz="4"/>
                  </w:tcBorders>
                  <w:vAlign w:val="top"/>
                </w:tcPr>
                <w:p>
                  <w:pPr>
                    <w:jc w:val="left"/>
                  </w:pPr>
                  <w:r>
                    <w:rPr>
                      <w:sz w:val="21"/>
                    </w:rPr>
                    <w:t>圆形坐垫，具有手臂支撑设计，扶手可旋转。</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坐垫靠背角度双调节。</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4365"/>
                  <w:gridSpan w:val="2"/>
                  <w:tcBorders>
                    <w:top w:val="none" w:color="000000" w:sz="4"/>
                    <w:left w:val="none" w:color="000000" w:sz="4"/>
                    <w:bottom w:val="single" w:color="000000" w:sz="4"/>
                    <w:right w:val="single" w:color="000000" w:sz="4"/>
                  </w:tcBorders>
                  <w:vAlign w:val="top"/>
                </w:tcPr>
                <w:p>
                  <w:pPr>
                    <w:jc w:val="left"/>
                  </w:pPr>
                  <w:r>
                    <w:rPr>
                      <w:sz w:val="21"/>
                    </w:rPr>
                    <w:t>座椅高度可调节。</w:t>
                  </w:r>
                </w:p>
              </w:tc>
            </w:tr>
            <w:tr>
              <w:tc>
                <w:tcPr>
                  <w:tcW w:type="dxa" w:w="5595"/>
                  <w:gridSpan w:val="3"/>
                  <w:tcBorders>
                    <w:top w:val="none" w:color="000000" w:sz="4"/>
                    <w:left w:val="single" w:color="000000" w:sz="4"/>
                    <w:bottom w:val="single" w:color="000000" w:sz="4"/>
                    <w:right w:val="single" w:color="000000" w:sz="4"/>
                  </w:tcBorders>
                  <w:vAlign w:val="top"/>
                </w:tcPr>
                <w:p>
                  <w:pPr>
                    <w:jc w:val="left"/>
                  </w:pPr>
                  <w:r>
                    <w:rPr>
                      <w:b/>
                      <w:sz w:val="21"/>
                    </w:rPr>
                    <w:t>9</w:t>
                  </w:r>
                  <w:r>
                    <w:rPr>
                      <w:b/>
                      <w:sz w:val="21"/>
                    </w:rPr>
                    <w:t xml:space="preserve"> </w:t>
                  </w:r>
                  <w:r>
                    <w:rPr>
                      <w:b/>
                      <w:sz w:val="21"/>
                    </w:rPr>
                    <w:t>纯水系统</w:t>
                  </w:r>
                </w:p>
              </w:tc>
            </w:tr>
            <w:tr>
              <w:tc>
                <w:tcPr>
                  <w:tcW w:type="dxa" w:w="1290"/>
                  <w:gridSpan w:val="2"/>
                  <w:tcBorders>
                    <w:top w:val="none" w:color="000000" w:sz="4"/>
                    <w:left w:val="single" w:color="000000" w:sz="4"/>
                    <w:bottom w:val="single" w:color="000000" w:sz="4"/>
                    <w:right w:val="single" w:color="000000" w:sz="4"/>
                  </w:tcBorders>
                  <w:vAlign w:val="top"/>
                </w:tcPr>
                <w:p>
                  <w:pPr>
                    <w:jc w:val="center"/>
                  </w:pPr>
                  <w:r>
                    <w:rPr>
                      <w:sz w:val="21"/>
                    </w:rPr>
                    <w:t>▲</w:t>
                  </w:r>
                  <w:r>
                    <w:rPr>
                      <w:sz w:val="21"/>
                    </w:rPr>
                    <w:t>9</w:t>
                  </w:r>
                  <w:r>
                    <w:rPr>
                      <w:sz w:val="21"/>
                    </w:rPr>
                    <w:t>.1</w:t>
                  </w:r>
                </w:p>
              </w:tc>
              <w:tc>
                <w:tcPr>
                  <w:tcW w:type="dxa" w:w="4305"/>
                  <w:tcBorders>
                    <w:top w:val="single" w:color="000000" w:sz="4"/>
                    <w:left w:val="none" w:color="000000" w:sz="4"/>
                    <w:bottom w:val="single" w:color="000000" w:sz="4"/>
                    <w:right w:val="single" w:color="000000" w:sz="4"/>
                  </w:tcBorders>
                  <w:vAlign w:val="top"/>
                </w:tcPr>
                <w:p>
                  <w:pPr>
                    <w:jc w:val="left"/>
                  </w:pPr>
                  <w:r>
                    <w:rPr>
                      <w:sz w:val="21"/>
                    </w:rPr>
                    <w:t>具有市政自来水和纯净水转换系统。</w:t>
                  </w:r>
                </w:p>
              </w:tc>
            </w:tr>
            <w:tr>
              <w:tc>
                <w:tcPr>
                  <w:tcW w:type="dxa" w:w="1290"/>
                  <w:gridSpan w:val="2"/>
                  <w:tcBorders>
                    <w:top w:val="none" w:color="000000" w:sz="4"/>
                    <w:left w:val="single" w:color="000000" w:sz="4"/>
                    <w:bottom w:val="single" w:color="000000" w:sz="4"/>
                    <w:right w:val="single" w:color="000000" w:sz="4"/>
                  </w:tcBorders>
                  <w:vAlign w:val="top"/>
                </w:tcPr>
                <w:p>
                  <w:pPr>
                    <w:jc w:val="center"/>
                  </w:pPr>
                  <w:r>
                    <w:rPr>
                      <w:sz w:val="21"/>
                    </w:rPr>
                    <w:t>▲</w:t>
                  </w:r>
                  <w:r>
                    <w:rPr>
                      <w:sz w:val="21"/>
                    </w:rPr>
                    <w:t>9</w:t>
                  </w:r>
                  <w:r>
                    <w:rPr>
                      <w:sz w:val="21"/>
                    </w:rPr>
                    <w:t>.2</w:t>
                  </w:r>
                </w:p>
              </w:tc>
              <w:tc>
                <w:tcPr>
                  <w:tcW w:type="dxa" w:w="4305"/>
                  <w:tcBorders>
                    <w:top w:val="none" w:color="000000" w:sz="4"/>
                    <w:left w:val="none" w:color="000000" w:sz="4"/>
                    <w:bottom w:val="single" w:color="000000" w:sz="4"/>
                    <w:right w:val="single" w:color="000000" w:sz="4"/>
                  </w:tcBorders>
                  <w:vAlign w:val="top"/>
                </w:tcPr>
                <w:p>
                  <w:pPr>
                    <w:jc w:val="left"/>
                  </w:pPr>
                  <w:r>
                    <w:rPr>
                      <w:sz w:val="21"/>
                    </w:rPr>
                    <w:t>配自动消毒系统，可以自动完成管路消毒，包含漱口出水系统消毒功能。</w:t>
                  </w:r>
                </w:p>
              </w:tc>
            </w:tr>
            <w:tr>
              <w:tc>
                <w:tcPr>
                  <w:tcW w:type="dxa" w:w="5595"/>
                  <w:gridSpan w:val="3"/>
                  <w:tcBorders>
                    <w:top w:val="none" w:color="000000" w:sz="4"/>
                    <w:left w:val="single" w:color="000000" w:sz="4"/>
                    <w:bottom w:val="single" w:color="000000" w:sz="4"/>
                    <w:right w:val="single" w:color="000000" w:sz="4"/>
                  </w:tcBorders>
                  <w:vAlign w:val="top"/>
                </w:tcPr>
                <w:p>
                  <w:pPr>
                    <w:jc w:val="left"/>
                  </w:pPr>
                  <w:r>
                    <w:rPr>
                      <w:b/>
                      <w:sz w:val="21"/>
                    </w:rPr>
                    <w:t>1</w:t>
                  </w:r>
                  <w:r>
                    <w:rPr>
                      <w:b/>
                      <w:sz w:val="21"/>
                    </w:rPr>
                    <w:t>0</w:t>
                  </w:r>
                  <w:r>
                    <w:rPr>
                      <w:b/>
                      <w:sz w:val="21"/>
                    </w:rPr>
                    <w:t>洁牙线路系统</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r>
                    <w:rPr>
                      <w:sz w:val="21"/>
                    </w:rPr>
                    <w:t>.1</w:t>
                  </w:r>
                </w:p>
              </w:tc>
              <w:tc>
                <w:tcPr>
                  <w:tcW w:type="dxa" w:w="4365"/>
                  <w:gridSpan w:val="2"/>
                  <w:tcBorders>
                    <w:top w:val="single" w:color="000000" w:sz="4"/>
                    <w:left w:val="none" w:color="000000" w:sz="4"/>
                    <w:bottom w:val="single" w:color="000000" w:sz="4"/>
                    <w:right w:val="single" w:color="000000" w:sz="4"/>
                  </w:tcBorders>
                  <w:vAlign w:val="top"/>
                </w:tcPr>
                <w:p>
                  <w:pPr>
                    <w:jc w:val="both"/>
                  </w:pPr>
                  <w:r>
                    <w:rPr>
                      <w:sz w:val="21"/>
                    </w:rPr>
                    <w:t>配与使用科室在用洁牙机手柄相匹配的洁牙线路系统</w:t>
                  </w:r>
                </w:p>
              </w:tc>
            </w:tr>
            <w:tr>
              <w:tc>
                <w:tcPr>
                  <w:tcW w:type="dxa" w:w="5595"/>
                  <w:gridSpan w:val="3"/>
                  <w:tcBorders>
                    <w:top w:val="none" w:color="000000" w:sz="4"/>
                    <w:left w:val="single" w:color="000000" w:sz="4"/>
                    <w:bottom w:val="single" w:color="000000" w:sz="4"/>
                    <w:right w:val="single" w:color="000000" w:sz="4"/>
                  </w:tcBorders>
                  <w:vAlign w:val="top"/>
                </w:tcPr>
                <w:p>
                  <w:pPr>
                    <w:jc w:val="left"/>
                  </w:pPr>
                  <w:r>
                    <w:rPr>
                      <w:b/>
                      <w:sz w:val="21"/>
                    </w:rPr>
                    <w:t>1</w:t>
                  </w:r>
                  <w:r>
                    <w:rPr>
                      <w:b/>
                      <w:sz w:val="21"/>
                    </w:rPr>
                    <w:t>1</w:t>
                  </w:r>
                  <w:r>
                    <w:rPr>
                      <w:b/>
                      <w:sz w:val="21"/>
                    </w:rPr>
                    <w:t>安全系统</w:t>
                  </w:r>
                </w:p>
              </w:tc>
            </w:tr>
            <w:tr>
              <w:tc>
                <w:tcPr>
                  <w:tcW w:type="dxa" w:w="1230"/>
                  <w:tcBorders>
                    <w:top w:val="none" w:color="000000" w:sz="4"/>
                    <w:left w:val="single" w:color="000000" w:sz="4"/>
                    <w:bottom w:val="single" w:color="000000" w:sz="4"/>
                    <w:right w:val="single" w:color="000000" w:sz="4"/>
                  </w:tcBorders>
                  <w:vAlign w:val="top"/>
                </w:tcPr>
                <w:p>
                  <w:pPr>
                    <w:jc w:val="center"/>
                  </w:pPr>
                  <w:r>
                    <w:rPr>
                      <w:sz w:val="21"/>
                    </w:rPr>
                    <w:t>1</w:t>
                  </w:r>
                  <w:r>
                    <w:rPr>
                      <w:sz w:val="21"/>
                    </w:rPr>
                    <w:t>1</w:t>
                  </w:r>
                  <w:r>
                    <w:rPr>
                      <w:sz w:val="21"/>
                    </w:rPr>
                    <w:t>.1</w:t>
                  </w:r>
                </w:p>
              </w:tc>
              <w:tc>
                <w:tcPr>
                  <w:tcW w:type="dxa" w:w="4365"/>
                  <w:gridSpan w:val="2"/>
                  <w:tcBorders>
                    <w:top w:val="single" w:color="000000" w:sz="4"/>
                    <w:left w:val="none" w:color="000000" w:sz="4"/>
                    <w:bottom w:val="single" w:color="000000" w:sz="4"/>
                    <w:right w:val="single" w:color="000000" w:sz="4"/>
                  </w:tcBorders>
                  <w:vAlign w:val="top"/>
                </w:tcPr>
                <w:p>
                  <w:pPr>
                    <w:jc w:val="left"/>
                  </w:pPr>
                  <w:r>
                    <w:rPr>
                      <w:sz w:val="21"/>
                    </w:rPr>
                    <w:t>具备安全保护系统：可以互锁、急停、误操作保护、升降等保护功能。</w:t>
                  </w:r>
                </w:p>
              </w:tc>
            </w:tr>
          </w:tbl>
        </w:tc>
      </w:tr>
      <w:tr>
        <w:tc>
          <w:tcPr>
            <w:tcW w:type="dxa" w:w="2076"/>
          </w:tcPr>
          <w:p>
            <w:r>
              <w:rPr/>
              <w:t>★</w:t>
            </w:r>
          </w:p>
        </w:tc>
        <w:tc>
          <w:tcPr>
            <w:tcW w:type="dxa" w:w="415"/>
          </w:tcPr>
          <w:p>
            <w:r>
              <w:rPr/>
              <w:t>2</w:t>
            </w:r>
          </w:p>
        </w:tc>
        <w:tc>
          <w:tcPr>
            <w:tcW w:type="dxa" w:w="5814"/>
          </w:tcPr>
          <w:p>
            <w:pPr>
              <w:jc w:val="both"/>
            </w:pPr>
            <w:r>
              <w:rPr>
                <w:b/>
                <w:sz w:val="21"/>
              </w:rPr>
              <w:t>二、</w:t>
            </w:r>
            <w:r>
              <w:rPr>
                <w:sz w:val="21"/>
              </w:rPr>
              <w:t>★</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电动牙科椅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无影灯</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种植工作台</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助手位</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电动抽吸系统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三用喷枪</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1支</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普通</w:t>
                  </w:r>
                  <w:r>
                    <w:rPr>
                      <w:sz w:val="21"/>
                    </w:rPr>
                    <w:t>/快接式高速手机管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普通</w:t>
                  </w:r>
                  <w:r>
                    <w:rPr>
                      <w:sz w:val="21"/>
                    </w:rPr>
                    <w:t>/快接式低速手机管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弱吸手柄</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强吸手柄</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不锈钢器械盘</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陶瓷痰盂盆</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漱口水恒温系统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净水瓶供水系统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脚踏开关</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原厂医生座椅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原厂护士座椅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无油空气压缩机系统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1套（一拖三）</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管路自动消毒系统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r>
                    <w:rPr>
                      <w:sz w:val="21"/>
                    </w:rPr>
                    <w:t>8</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慢速电动马达</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种植机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1.种植与外科二合一；</w:t>
            </w:r>
            <w:r>
              <w:br/>
            </w:r>
            <w:r>
              <w:rPr/>
              <w:t>2.种植扭矩数据保存功能，可以导出到其它外部设备，方便记录保存每位患者的种植病例；</w:t>
            </w:r>
            <w:r>
              <w:br/>
            </w:r>
            <w:r>
              <w:rPr/>
              <w:t>3.图形化种植过程选择；</w:t>
            </w:r>
            <w:r>
              <w:br/>
            </w:r>
            <w:r>
              <w:rPr/>
              <w:t>4.内置设定通用参数，无需设置；</w:t>
            </w:r>
            <w:r>
              <w:br/>
            </w:r>
            <w:r>
              <w:rPr/>
              <w:t>5.种植程序可自定义编辑；</w:t>
            </w:r>
            <w:r>
              <w:br/>
            </w:r>
            <w:r>
              <w:rPr/>
              <w:t>6.马达一键自检；</w:t>
            </w:r>
            <w:r>
              <w:br/>
            </w:r>
            <w:r>
              <w:rPr/>
              <w:t>7.自动校准模式；</w:t>
            </w:r>
            <w:r>
              <w:br/>
            </w:r>
            <w:r>
              <w:rPr/>
              <w:t>8.可适配多种转速比机头：16:1/20:1/27:1/1:1/1:2/1:3/1:4.2/1:5/4:1/10:1；</w:t>
            </w:r>
            <w:r>
              <w:br/>
            </w:r>
            <w:r>
              <w:rPr/>
              <w:t>9.软件终生免费升级；</w:t>
            </w:r>
            <w:r>
              <w:br/>
            </w:r>
            <w:r>
              <w:rPr/>
              <w:t>10.多功能无线脚路，无菌操作；</w:t>
            </w:r>
            <w:r>
              <w:br/>
            </w:r>
            <w:r>
              <w:rPr/>
              <w:t>11.LCD彩色显示终端；</w:t>
            </w:r>
            <w:r>
              <w:br/>
            </w:r>
            <w:r>
              <w:rPr/>
              <w:t>12.轴承输出稳定；</w:t>
            </w:r>
            <w:r>
              <w:br/>
            </w:r>
            <w:r>
              <w:rPr/>
              <w:t>13.马达连接器采用金属医用插头；</w:t>
            </w:r>
            <w:r>
              <w:br/>
            </w:r>
            <w:r>
              <w:rPr/>
              <w:t>14.采用静音防水蠕动泵；</w:t>
            </w:r>
            <w:r>
              <w:br/>
            </w:r>
            <w:r>
              <w:rPr/>
              <w:t>15.▲最大功率≥120VA；</w:t>
            </w:r>
            <w:r>
              <w:br/>
            </w:r>
            <w:r>
              <w:rPr/>
              <w:t>16.▲马达转速：300r/min-4000r/min；</w:t>
            </w:r>
            <w:r>
              <w:br/>
            </w:r>
            <w:r>
              <w:rPr/>
              <w:t>17.▲扭矩：5Ncm-80Ncm；</w:t>
            </w:r>
            <w:r>
              <w:br/>
            </w:r>
            <w:r>
              <w:rPr/>
              <w:t>18.供水流量：至少4档可调，最高出水量≥150ml/分钟；</w:t>
            </w:r>
            <w:r>
              <w:br/>
            </w:r>
            <w:r>
              <w:rPr/>
              <w:t>19.▲光源照度≥30000lux。</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20:1</w:t>
                  </w:r>
                  <w:r>
                    <w:rPr>
                      <w:sz w:val="21"/>
                    </w:rPr>
                    <w:t>种植手机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1:4.2</w:t>
                  </w:r>
                  <w:r>
                    <w:rPr>
                      <w:sz w:val="21"/>
                    </w:rPr>
                    <w:t>拔牙手机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w:t>
                  </w:r>
                  <w:r>
                    <w:rPr>
                      <w:sz w:val="21"/>
                    </w:rPr>
                    <w:t>个</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采购包2（移动式C形臂X线机等）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★自合同签订之日起60日历天内完成供货、安装、调试及验收合格并交付使用。</w:t>
            </w:r>
          </w:p>
        </w:tc>
      </w:tr>
      <w:tr>
        <w:tc>
          <w:tcPr>
            <w:tcW w:type="dxa" w:w="4153"/>
          </w:tcPr>
          <w:p>
            <w:r>
              <w:rPr/>
              <w:t>标的提供的地点</w:t>
            </w:r>
          </w:p>
        </w:tc>
        <w:tc>
          <w:tcPr>
            <w:tcW w:type="dxa" w:w="4153"/>
          </w:tcPr>
          <w:p/>
          <w:p>
            <w:r>
              <w:rPr/>
              <w:t>★采购人指定地点（佛山市内）</w:t>
            </w:r>
          </w:p>
        </w:tc>
      </w:tr>
      <w:tr>
        <w:tc>
          <w:tcPr>
            <w:tcW w:type="dxa" w:w="4153"/>
          </w:tcPr>
          <w:p>
            <w:r>
              <w:rPr/>
              <w:t>付款方式</w:t>
            </w:r>
          </w:p>
        </w:tc>
        <w:tc>
          <w:tcPr>
            <w:tcW w:type="dxa" w:w="4153"/>
          </w:tcPr>
          <w:p/>
          <w:p/>
          <w:p>
            <w:r>
              <w:rPr/>
              <w:t>1期：支付比例30%,★付款方式：（一）签订合同后5个工作日内，采购人向中标人支付合同总价的30%。</w:t>
            </w:r>
          </w:p>
          <w:p/>
          <w:p>
            <w:r>
              <w:rPr/>
              <w:t>2期：支付比例70%,★（二）设备到货安装结束后，向采购人提交全部报告材料、调试完成后，设备无故障正常使用一个月后验收，验收合格后中标人凭以下材料（包含但不限于）申请支付。采购人收到材料并确认后，30日内向中标人支付至合同总额的70%： 1.采购人收货证明； 2.中标人开具的正式发票； 3.调试验收使用意见（加盖采购人验收部门章）。 （二）结算方式：转账结算（银行转账）。 （三）开具发票：中标人收款时必须持有效发票。收款方、出具发票方、合同中标人均必须与中标人名称一致。 （四）付款期间如因特殊情况需调整，由双方协商处理。</w:t>
            </w:r>
          </w:p>
        </w:tc>
      </w:tr>
      <w:tr>
        <w:tc>
          <w:tcPr>
            <w:tcW w:type="dxa" w:w="4153"/>
          </w:tcPr>
          <w:p>
            <w:r>
              <w:rPr/>
              <w:t>验收要求</w:t>
            </w:r>
          </w:p>
        </w:tc>
        <w:tc>
          <w:tcPr>
            <w:tcW w:type="dxa" w:w="4153"/>
          </w:tcPr>
          <w:p/>
          <w:p/>
          <w:p/>
          <w:p>
            <w:r>
              <w:rPr/>
              <w:t>1期：★验收要求：1）货物若有国家标准按照国家标准验收，若无国家标准按行业标准验收，为原制造商制造的全新产品，整机无污染，无侵权行为、表面无划损、无任何缺陷隐患，在中国境内可依常规安全合法使用。2）货物为原厂商未启封全新包装，具出厂合格证，序列号、包装箱号与出厂批号一致，并可追索查阅。所有随设备的附件必须齐全。3）中标人应将关键主机设备的用户手册、保修手册、有关单证资料及配备件、随机工具等交付给采购人，使用操作及安全须知等重要资料应附有中文说明。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5）如所投设备属于《中华人民共和国强制检定的工作计量器具目录》内的，验收时中标人需提供合法正规的计量合格证，否则验收不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★产品资质，如果投标产品隶属医疗器械管理的，须提供产品的医疗器械备案凭证或提供产品的医疗器械注册证（投标时须提供扫描件并加盖投标人公章）。</w:t>
            </w:r>
          </w:p>
          <w:p/>
          <w:p>
            <w:r>
              <w:rPr/>
              <w:t>★，验收时，须提供放射类设备（移动式C形臂X线机和便携式骨密度测定仪）的性能验收检测，并出具合法有效的检测合格证明。</w:t>
            </w:r>
          </w:p>
        </w:tc>
      </w:tr>
    </w:tbl>
    <w:p/>
    <w:p>
      <w:r>
        <w:rPr/>
        <w:t>其他商务需求</w:t>
      </w:r>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一、其他要求</w:t>
            </w:r>
          </w:p>
        </w:tc>
        <w:tc>
          <w:tcPr>
            <w:tcW w:type="dxa" w:w="2076"/>
          </w:tcPr>
          <w:p>
            <w:pPr>
              <w:jc w:val="left"/>
            </w:pPr>
            <w:r>
              <w:rPr/>
              <w:t>本项目为“交钥匙”项目，中标人须承担及负责《招标文件》对中标人要求的一切事宜及责任。包含但不限于项目货物供货、运输装卸、保管、安装、调试、设备网络连接、送检、验收、培训、相关的税费、相关服务及合同实施过程中的应预见和不可预见等费用。若本项目采购的设备产品等方面的配置或要求中出现不合理或设备数量不完整的问题时，中标人有责任和义务在投标文件中提出补充修改方案并征得采购人同意后付诸实施。否则将视为提供实现相关功能的设备及服务的相关费用已包含在投标报价内，以达到本采购项目相关要求。</w:t>
            </w:r>
          </w:p>
        </w:tc>
      </w:tr>
      <w:tr>
        <w:tc>
          <w:tcPr>
            <w:tcW w:type="dxa" w:w="2076"/>
          </w:tcPr>
          <w:p>
            <w:pPr>
              <w:jc w:val="center"/>
            </w:pPr>
            <w:r>
              <w:rPr/>
              <w:t>★</w:t>
            </w:r>
          </w:p>
        </w:tc>
        <w:tc>
          <w:tcPr>
            <w:tcW w:type="dxa" w:w="2076"/>
          </w:tcPr>
          <w:p>
            <w:pPr>
              <w:jc w:val="center"/>
            </w:pPr>
            <w:r>
              <w:rPr/>
              <w:t>2</w:t>
            </w:r>
          </w:p>
        </w:tc>
        <w:tc>
          <w:tcPr>
            <w:tcW w:type="dxa" w:w="2076"/>
          </w:tcPr>
          <w:p>
            <w:pPr>
              <w:jc w:val="left"/>
            </w:pPr>
            <w:r>
              <w:rPr/>
              <w:t>二、供货要求</w:t>
            </w:r>
          </w:p>
        </w:tc>
        <w:tc>
          <w:tcPr>
            <w:tcW w:type="dxa" w:w="2076"/>
          </w:tcPr>
          <w:p>
            <w:pPr>
              <w:jc w:val="left"/>
            </w:pPr>
            <w:r>
              <w:rPr/>
              <w:t>（一）所有产品来源均应符合有关规定，产品来源渠道合法。 （二）中标人必须负责将所有设备运送至采购人指定的地点。 （三）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 （四）设备材料的包装必须是制造商原厂包装，其包装均应有良好的防湿、防锈、防潮、防雨、防腐及防碰撞的措施，凡由于包装不良造成的损失和由此产生的费用均由中标人承担。 （五）货物在现场的保管由中标人负责，直至项目安装、验收完毕。 （六）货物在系统安装调试验收合格前的一切保险由中标人负责。中标人负责其派出的现场服务人员人身意外保险。 （七）中标人投标时所提供的货物如在实际供货时已经停产（不列入该厂家当时的产品系统），如果未能按原报价提供更技术参数及质量优的货物，采购人将有权单方面终止合同的执行，并追究因中标人所提供的未达到所承诺的产品而产生的所有损失和责任。 （八）中标人在实际供货时，若被发现提供的货物未能达到招标文件和投标文件中的有关要求，将按有关法规进行处罚，采购人将有权单方面终止合同的执行，并追究因中标人所提供的未达到所承诺的产品而产生的所有损失和责任。 （九）中标人负责将货物运到采购人的使用现场（整个运输过程包括但不限于装卸车、货物到现场的搬运费用）。 （十）所有货物在开箱检验时必须完好，无破损，各种设备必须提供装箱清单，按装箱清单验收货物。货物外观清洁。数量、质量及性能不低于中标人投标文件中所投产品设备的数量和性能。（十一）如中标人所投产品为第二类医疗器械，须在签订合同前向采购人提供有效的医疗器械经营备案凭证复印件。</w:t>
            </w:r>
          </w:p>
        </w:tc>
      </w:tr>
      <w:tr>
        <w:tc>
          <w:tcPr>
            <w:tcW w:type="dxa" w:w="2076"/>
          </w:tcPr>
          <w:p>
            <w:pPr>
              <w:jc w:val="center"/>
            </w:pPr>
            <w:r>
              <w:rPr/>
              <w:t>★</w:t>
            </w:r>
          </w:p>
        </w:tc>
        <w:tc>
          <w:tcPr>
            <w:tcW w:type="dxa" w:w="2076"/>
          </w:tcPr>
          <w:p>
            <w:pPr>
              <w:jc w:val="center"/>
            </w:pPr>
            <w:r>
              <w:rPr/>
              <w:t>3</w:t>
            </w:r>
          </w:p>
        </w:tc>
        <w:tc>
          <w:tcPr>
            <w:tcW w:type="dxa" w:w="2076"/>
          </w:tcPr>
          <w:p>
            <w:pPr>
              <w:jc w:val="left"/>
            </w:pPr>
            <w:r>
              <w:rPr/>
              <w:t>三、培训要求</w:t>
            </w:r>
          </w:p>
        </w:tc>
        <w:tc>
          <w:tcPr>
            <w:tcW w:type="dxa" w:w="2076"/>
          </w:tcPr>
          <w:p>
            <w:pPr>
              <w:jc w:val="left"/>
            </w:pPr>
            <w:r>
              <w:rPr/>
              <w:t>（一）中标人须根据采购人的要求安排熟悉本项目的专业技术人员在采购人指定的使用科室（采购人办公地点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（三）所有的培训费用包含中标人的差旅、食宿、教材、资料等由中标人负责，均包含在中标金额中。</w:t>
            </w:r>
          </w:p>
        </w:tc>
      </w:tr>
      <w:tr>
        <w:tc>
          <w:tcPr>
            <w:tcW w:type="dxa" w:w="2076"/>
          </w:tcPr>
          <w:p>
            <w:pPr>
              <w:jc w:val="center"/>
            </w:pPr>
            <w:r>
              <w:rPr/>
              <w:t>★</w:t>
            </w:r>
          </w:p>
        </w:tc>
        <w:tc>
          <w:tcPr>
            <w:tcW w:type="dxa" w:w="2076"/>
          </w:tcPr>
          <w:p>
            <w:pPr>
              <w:jc w:val="center"/>
            </w:pPr>
            <w:r>
              <w:rPr/>
              <w:t>4</w:t>
            </w:r>
          </w:p>
        </w:tc>
        <w:tc>
          <w:tcPr>
            <w:tcW w:type="dxa" w:w="2076"/>
          </w:tcPr>
          <w:p>
            <w:pPr>
              <w:jc w:val="left"/>
            </w:pPr>
            <w:r>
              <w:rPr/>
              <w:t>四、质保期及售后服务要求</w:t>
            </w:r>
          </w:p>
        </w:tc>
        <w:tc>
          <w:tcPr>
            <w:tcW w:type="dxa" w:w="2076"/>
          </w:tcPr>
          <w:p>
            <w:pPr>
              <w:jc w:val="left"/>
            </w:pPr>
            <w:r>
              <w:rPr/>
              <w:t>（一）所有设备质保期不少于三年。质保期内中标人对所供货物实行包修、包换、包退、包维护保养，质保期内核心产品每个季度提供一次设备维护保养服务（如厂家的保养标准高于此，从其规定），每次保养后需提交维修保养工作报告，未按时提供视为违约。保养服务相关费用已包含在报价内。 （二）质保期内非因采购人的人为原因而出现产品质量及安装问题，由中标人负责包修、包换或包退，并承担因此而产生的一切费用。中标人提供7×24小时电话维护响应服务，应在收到采购人通知后1小时响应，4小时内派员到现场维修（第二章 采购需求要求另有规定除外）, 并在48小时内消除障碍。质保期内，维修时间超过48小时，提供备用机或主要零配件；并按维修延误时间的1:5延长保修期。如停用时间累计超过60天则质保期重新计算。若中标人未能及时派员到现场维修，中标人应向采购人支付合同金额千分之五的违约金/每次；若中标人未能在48小时内消除障碍，采购人有权聘请第三方消除障碍，由此产生的费用由中标人承担。 （三）保修期满后中标人对设备终身负责维修及系统软件免费升级，长期以优惠价提供零配件。质保期后对采购人的服务通知，中标人在接报后1小时内响应，4小时内到达现场，48小时内处理完毕。若在48小时内仍未能有效解决，中标人须48小时内提供同档次的设备或主要零配件予采购人临时使用。 （四）因货物的质量问题发生争议时，由本地质量技术监督部门进行鉴定。货物符合质量技术标准的，鉴定费用由采购人承担；否则由中标人承担，且退货处理，按违约条例办理。 （五）在质保期内，同一设备、出现相同或相似故障现象连续两次维修仍无法正常使用，无条件48小时内更换同品牌、同型号新设备。</w:t>
            </w:r>
          </w:p>
        </w:tc>
      </w:tr>
      <w:tr>
        <w:tc>
          <w:tcPr>
            <w:tcW w:type="dxa" w:w="2076"/>
          </w:tcPr>
          <w:p>
            <w:pPr>
              <w:jc w:val="center"/>
            </w:pPr>
            <w:r>
              <w:rPr/>
              <w:t>★</w:t>
            </w:r>
          </w:p>
        </w:tc>
        <w:tc>
          <w:tcPr>
            <w:tcW w:type="dxa" w:w="2076"/>
          </w:tcPr>
          <w:p>
            <w:pPr>
              <w:jc w:val="center"/>
            </w:pPr>
            <w:r>
              <w:rPr/>
              <w:t>5</w:t>
            </w:r>
          </w:p>
        </w:tc>
        <w:tc>
          <w:tcPr>
            <w:tcW w:type="dxa" w:w="2076"/>
          </w:tcPr>
          <w:p>
            <w:pPr>
              <w:jc w:val="left"/>
            </w:pPr>
            <w:r>
              <w:rPr/>
              <w:t>五、安装与调试</w:t>
            </w:r>
          </w:p>
        </w:tc>
        <w:tc>
          <w:tcPr>
            <w:tcW w:type="dxa" w:w="2076"/>
          </w:tcPr>
          <w:p>
            <w:pPr>
              <w:jc w:val="left"/>
            </w:pPr>
            <w:r>
              <w:rPr/>
              <w:t>（一）中标人必须依照招标文件的要求和投标文件的承诺，将设备、系统安装并调试至正常运行的最佳状态。 （二）签订合同时中标人必须提供所有设备的医疗设备注册证，中标人若为代理经销商的，须提供有效的授权证明资料，或提供连贯的产品合法性来源证明资料。</w:t>
            </w:r>
          </w:p>
        </w:tc>
      </w:tr>
      <w:tr>
        <w:tc>
          <w:tcPr>
            <w:tcW w:type="dxa" w:w="2076"/>
          </w:tcPr>
          <w:p>
            <w:pPr>
              <w:jc w:val="center"/>
            </w:pPr>
            <w:r>
              <w:rPr/>
              <w:t>★</w:t>
            </w:r>
          </w:p>
        </w:tc>
        <w:tc>
          <w:tcPr>
            <w:tcW w:type="dxa" w:w="2076"/>
          </w:tcPr>
          <w:p>
            <w:pPr>
              <w:jc w:val="center"/>
            </w:pPr>
            <w:r>
              <w:rPr/>
              <w:t>6</w:t>
            </w:r>
          </w:p>
        </w:tc>
        <w:tc>
          <w:tcPr>
            <w:tcW w:type="dxa" w:w="2076"/>
          </w:tcPr>
          <w:p>
            <w:pPr>
              <w:jc w:val="left"/>
            </w:pPr>
            <w:r>
              <w:rPr/>
              <w:t>六、违约条款与赔偿损失</w:t>
            </w:r>
          </w:p>
        </w:tc>
        <w:tc>
          <w:tcPr>
            <w:tcW w:type="dxa" w:w="2076"/>
          </w:tcPr>
          <w:p>
            <w:pPr>
              <w:jc w:val="left"/>
            </w:pPr>
            <w:r>
              <w:rPr/>
              <w:t>（一）中标人交付的货物、提供的服务不符合采购文件、报价文件或本合同规定的，采购人有权拒收，并且中标人须向采购人支付本合同总价5%的违约金。 （二）中标人未能按本合同规定的交货时间交付货物/提供服务，从逾期之日起每日按本合同总价3‰的数额向采购人支付违约金；逾期半个月以上的，采购人有权终止合同，由此造成的采购人经济损失由中标人承担。 （三）采购人无正当理由拒收货物/接受服务，到期拒付货物/服务款项的，采购人向中标人偿付本合同总价5%的违约金。采购人逾期付款的，则每日按本合同总价的3‰向中标人偿付违约金。 （四）其它违约责任按《中华人民共和国民法典》处理。</w:t>
            </w:r>
          </w:p>
        </w:tc>
      </w:tr>
      <w:tr>
        <w:tc>
          <w:tcPr>
            <w:tcW w:type="dxa" w:w="2076"/>
          </w:tcPr>
          <w:p>
            <w:pPr>
              <w:jc w:val="center"/>
            </w:pPr>
            <w:r>
              <w:rPr/>
              <w:t>★</w:t>
            </w:r>
          </w:p>
        </w:tc>
        <w:tc>
          <w:tcPr>
            <w:tcW w:type="dxa" w:w="2076"/>
          </w:tcPr>
          <w:p>
            <w:pPr>
              <w:jc w:val="center"/>
            </w:pPr>
            <w:r>
              <w:rPr/>
              <w:t>7</w:t>
            </w:r>
          </w:p>
        </w:tc>
        <w:tc>
          <w:tcPr>
            <w:tcW w:type="dxa" w:w="2076"/>
          </w:tcPr>
          <w:p>
            <w:pPr>
              <w:jc w:val="left"/>
            </w:pPr>
            <w:r>
              <w:rPr/>
              <w:t>七、报价要求</w:t>
            </w:r>
          </w:p>
        </w:tc>
        <w:tc>
          <w:tcPr>
            <w:tcW w:type="dxa" w:w="2076"/>
          </w:tcPr>
          <w:p>
            <w:pPr>
              <w:jc w:val="left"/>
            </w:pPr>
            <w:r>
              <w:rPr/>
              <w:t>（一）报价方式为广东省佛山市目的地包干价。  （二）投标总价包括但不限于全部产品及零配件、运输装卸、安装调试、设备网络连接、培训、售后服务、人工、交通差旅、耗材、检测调试的设备仪器、更换设备服务费、工具、管理、利润风险、国家政府相关部门的税费及有关规定的费用、社保金等相关费用等合同实施过程中应预见和不可预见的全部费用。中标人必须自行考虑在本项目实施期间的一切可能产生的费用，在项目的实施过程中，采购人除了支付合同规定的款项外，一切合同规定外的费用将拒绝支付。（三）投标人的投标分项报价表中须单独列明各采购标的的报价，各采购标的的报价均不能超过分项预算单价及各包组最高限价，否则视为无效投标，其中投标总价用作投标报价得分评审。</w:t>
            </w:r>
          </w:p>
        </w:tc>
      </w:tr>
      <w:tr>
        <w:tc>
          <w:tcPr>
            <w:tcW w:type="dxa" w:w="2076"/>
          </w:tcPr>
          <w:p>
            <w:pPr>
              <w:jc w:val="center"/>
            </w:pPr>
            <w:r>
              <w:rPr/>
              <w:t>★</w:t>
            </w:r>
          </w:p>
        </w:tc>
        <w:tc>
          <w:tcPr>
            <w:tcW w:type="dxa" w:w="2076"/>
          </w:tcPr>
          <w:p>
            <w:pPr>
              <w:jc w:val="center"/>
            </w:pPr>
            <w:r>
              <w:rPr/>
              <w:t>8</w:t>
            </w:r>
          </w:p>
        </w:tc>
        <w:tc>
          <w:tcPr>
            <w:tcW w:type="dxa" w:w="2076"/>
          </w:tcPr>
          <w:p>
            <w:pPr>
              <w:jc w:val="left"/>
            </w:pPr>
            <w:r>
              <w:rPr/>
              <w:t>八、知识产权</w:t>
            </w:r>
          </w:p>
        </w:tc>
        <w:tc>
          <w:tcPr>
            <w:tcW w:type="dxa" w:w="2076"/>
          </w:tcPr>
          <w:p>
            <w:pPr>
              <w:jc w:val="left"/>
            </w:pPr>
            <w:r>
              <w:rPr/>
              <w:t>（一）中标人应保证向采购人销售的本采购合同项下的货物或其任何部分不侵犯任何第三方知识产权，并保证采购人购买和正常使用货物过程中免受第三方就知识产权侵权提出的任何纠纷、制裁、索赔或起诉。 （二）采购人不对中标人提供的货物是否侵犯他人权利负责，如因中标人提供的货物因任何知识产权问题给采购人造成损失的，无论是执行合同期间或合同到期后的任何时间，中标人均应负责解决纠纷,并按采购人损失金额的1.5倍进行赔偿。 （三）对于货物的知识产权非中标人所有的，中标人应向采购人提供货物的正规销售授权文件。</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 X 线诊断设备</w:t>
            </w:r>
          </w:p>
        </w:tc>
        <w:tc>
          <w:tcPr>
            <w:tcW w:type="dxa" w:w="831"/>
          </w:tcPr>
          <w:p>
            <w:pPr>
              <w:jc w:val="left"/>
            </w:pPr>
            <w:r>
              <w:rPr/>
              <w:t>移动式C形臂X线机</w:t>
            </w:r>
          </w:p>
        </w:tc>
        <w:tc>
          <w:tcPr>
            <w:tcW w:type="dxa" w:w="831"/>
          </w:tcPr>
          <w:p>
            <w:pPr>
              <w:jc w:val="left"/>
            </w:pPr>
            <w:r>
              <w:rPr/>
              <w:t>台</w:t>
            </w:r>
          </w:p>
        </w:tc>
        <w:tc>
          <w:tcPr>
            <w:tcW w:type="dxa" w:w="831"/>
          </w:tcPr>
          <w:p>
            <w:pPr>
              <w:jc w:val="right"/>
            </w:pPr>
            <w:r>
              <w:rPr/>
              <w:t>1.00</w:t>
            </w:r>
          </w:p>
        </w:tc>
        <w:tc>
          <w:tcPr>
            <w:tcW w:type="dxa" w:w="831"/>
          </w:tcPr>
          <w:p>
            <w:pPr>
              <w:jc w:val="right"/>
            </w:pPr>
            <w:r>
              <w:rPr/>
              <w:t>1,020,000.00</w:t>
            </w:r>
          </w:p>
        </w:tc>
        <w:tc>
          <w:tcPr>
            <w:tcW w:type="dxa" w:w="831"/>
          </w:tcPr>
          <w:p>
            <w:pPr>
              <w:jc w:val="right"/>
            </w:pPr>
            <w:r>
              <w:rPr/>
              <w:t>1,020,000.00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医用 X 线诊断设备</w:t>
            </w:r>
          </w:p>
        </w:tc>
        <w:tc>
          <w:tcPr>
            <w:tcW w:type="dxa" w:w="831"/>
          </w:tcPr>
          <w:p>
            <w:pPr>
              <w:jc w:val="left"/>
            </w:pPr>
            <w:r>
              <w:rPr/>
              <w:t>便携式骨密度测定仪</w:t>
            </w:r>
          </w:p>
        </w:tc>
        <w:tc>
          <w:tcPr>
            <w:tcW w:type="dxa" w:w="831"/>
          </w:tcPr>
          <w:p>
            <w:pPr>
              <w:jc w:val="left"/>
            </w:pPr>
            <w:r>
              <w:rPr/>
              <w:t>台</w:t>
            </w:r>
          </w:p>
        </w:tc>
        <w:tc>
          <w:tcPr>
            <w:tcW w:type="dxa" w:w="831"/>
          </w:tcPr>
          <w:p>
            <w:pPr>
              <w:jc w:val="right"/>
            </w:pPr>
            <w:r>
              <w:rPr/>
              <w:t>2.00</w:t>
            </w:r>
          </w:p>
        </w:tc>
        <w:tc>
          <w:tcPr>
            <w:tcW w:type="dxa" w:w="831"/>
          </w:tcPr>
          <w:p>
            <w:pPr>
              <w:jc w:val="right"/>
            </w:pPr>
            <w:r>
              <w:rPr/>
              <w:t>299,200.00</w:t>
            </w:r>
          </w:p>
        </w:tc>
        <w:tc>
          <w:tcPr>
            <w:tcW w:type="dxa" w:w="831"/>
          </w:tcPr>
          <w:p>
            <w:pPr>
              <w:jc w:val="right"/>
            </w:pPr>
            <w:r>
              <w:rPr/>
              <w:t>598,400.00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脉搏血氧仪</w:t>
            </w:r>
          </w:p>
        </w:tc>
        <w:tc>
          <w:tcPr>
            <w:tcW w:type="dxa" w:w="831"/>
          </w:tcPr>
          <w:p>
            <w:pPr>
              <w:jc w:val="left"/>
            </w:pPr>
            <w:r>
              <w:rPr/>
              <w:t>台</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病房护理及医院设备</w:t>
            </w:r>
          </w:p>
        </w:tc>
        <w:tc>
          <w:tcPr>
            <w:tcW w:type="dxa" w:w="831"/>
          </w:tcPr>
          <w:p>
            <w:pPr>
              <w:jc w:val="left"/>
            </w:pPr>
            <w:r>
              <w:rPr/>
              <w:t>胃肠营养泵</w:t>
            </w:r>
          </w:p>
        </w:tc>
        <w:tc>
          <w:tcPr>
            <w:tcW w:type="dxa" w:w="831"/>
          </w:tcPr>
          <w:p>
            <w:pPr>
              <w:jc w:val="left"/>
            </w:pPr>
            <w:r>
              <w:rPr/>
              <w:t>台</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详见附表四</w:t>
            </w:r>
          </w:p>
        </w:tc>
      </w:tr>
    </w:tbl>
    <w:p/>
    <w:p>
      <w:r>
        <w:rPr>
          <w:b/>
        </w:rPr>
        <w:t>附表</w:t>
      </w:r>
      <w:r>
        <w:rPr>
          <w:b/>
        </w:rPr>
        <w:t>一</w:t>
      </w:r>
      <w:r>
        <w:rPr>
          <w:b/>
        </w:rPr>
        <w:t>：</w:t>
      </w:r>
      <w:r>
        <w:rPr>
          <w:b/>
        </w:rPr>
        <w:t>移动式C形臂X线机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w:t>
            </w:r>
            <w:r>
              <w:rPr>
                <w:b/>
                <w:sz w:val="21"/>
              </w:rPr>
              <w:t>移动式</w:t>
            </w:r>
            <w:r>
              <w:rPr>
                <w:b/>
                <w:sz w:val="21"/>
              </w:rPr>
              <w:t>C</w:t>
            </w:r>
            <w:r>
              <w:rPr>
                <w:b/>
                <w:sz w:val="21"/>
              </w:rPr>
              <w:t>形臂</w:t>
            </w:r>
            <w:r>
              <w:rPr>
                <w:b/>
                <w:sz w:val="21"/>
              </w:rPr>
              <w:t>X</w:t>
            </w:r>
            <w:r>
              <w:rPr>
                <w:b/>
                <w:sz w:val="21"/>
              </w:rPr>
              <w:t>线机</w:t>
            </w:r>
          </w:p>
          <w:p>
            <w:pPr>
              <w:jc w:val="both"/>
            </w:pPr>
            <w:r>
              <w:rPr>
                <w:b/>
                <w:sz w:val="21"/>
              </w:rPr>
              <w:t>一、设备技术详细需求：</w:t>
            </w:r>
          </w:p>
          <w:tbl>
            <w:tblPr>
              <w:tblInd w:type="dxa" w:w="120"/>
              <w:tblBorders>
                <w:top w:val="none" w:color="000000" w:sz="4"/>
                <w:left w:val="none" w:color="000000" w:sz="4"/>
                <w:bottom w:val="none" w:color="000000" w:sz="4"/>
                <w:right w:val="none" w:color="000000" w:sz="4"/>
                <w:insideH w:val="none"/>
                <w:insideV w:val="none"/>
              </w:tblBorders>
            </w:tblPr>
            <w:tblGrid>
              <w:gridCol w:w="1695"/>
              <w:gridCol w:w="3870"/>
            </w:tblGrid>
            <w:tr>
              <w:tc>
                <w:tcPr>
                  <w:tcW w:type="dxa" w:w="1695"/>
                  <w:tcBorders>
                    <w:top w:val="single" w:color="000000" w:sz="4"/>
                    <w:left w:val="single" w:color="000000" w:sz="4"/>
                    <w:bottom w:val="single" w:color="000000" w:sz="4"/>
                    <w:right w:val="single" w:color="000000" w:sz="4"/>
                  </w:tcBorders>
                  <w:vAlign w:val="top"/>
                </w:tcPr>
                <w:p>
                  <w:pPr>
                    <w:jc w:val="center"/>
                  </w:pPr>
                  <w:r>
                    <w:rPr>
                      <w:sz w:val="21"/>
                    </w:rPr>
                    <w:t>（一）</w:t>
                  </w:r>
                </w:p>
              </w:tc>
              <w:tc>
                <w:tcPr>
                  <w:tcW w:type="dxa" w:w="3870"/>
                  <w:tcBorders>
                    <w:top w:val="single" w:color="000000" w:sz="4"/>
                    <w:left w:val="none" w:color="000000" w:sz="4"/>
                    <w:bottom w:val="single" w:color="000000" w:sz="4"/>
                    <w:right w:val="single" w:color="000000" w:sz="4"/>
                  </w:tcBorders>
                  <w:vAlign w:val="top"/>
                </w:tcPr>
                <w:p>
                  <w:pPr>
                    <w:jc w:val="left"/>
                  </w:pPr>
                  <w:r>
                    <w:rPr>
                      <w:sz w:val="21"/>
                    </w:rPr>
                    <w:t>X射线源部分</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870"/>
                  <w:tcBorders>
                    <w:top w:val="none" w:color="000000" w:sz="4"/>
                    <w:left w:val="none" w:color="000000" w:sz="4"/>
                    <w:bottom w:val="single" w:color="000000" w:sz="4"/>
                    <w:right w:val="single" w:color="000000" w:sz="4"/>
                  </w:tcBorders>
                  <w:vAlign w:val="top"/>
                </w:tcPr>
                <w:p>
                  <w:pPr>
                    <w:jc w:val="left"/>
                  </w:pPr>
                  <w:r>
                    <w:rPr>
                      <w:sz w:val="21"/>
                    </w:rPr>
                    <w:t>逆变器频率：</w:t>
                  </w:r>
                  <w:r>
                    <w:rPr>
                      <w:sz w:val="21"/>
                    </w:rPr>
                    <w:t>≤40kHz</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870"/>
                  <w:tcBorders>
                    <w:top w:val="none" w:color="000000" w:sz="4"/>
                    <w:left w:val="none" w:color="000000" w:sz="4"/>
                    <w:bottom w:val="single" w:color="000000" w:sz="4"/>
                    <w:right w:val="single" w:color="000000" w:sz="4"/>
                  </w:tcBorders>
                  <w:vAlign w:val="top"/>
                </w:tcPr>
                <w:p>
                  <w:pPr>
                    <w:jc w:val="left"/>
                  </w:pPr>
                  <w:r>
                    <w:rPr>
                      <w:sz w:val="21"/>
                    </w:rPr>
                    <w:t>球管：旋转阳极双焦点，小焦点</w:t>
                  </w:r>
                  <w:r>
                    <w:rPr>
                      <w:sz w:val="21"/>
                    </w:rPr>
                    <w:t>≤0.3mm   大焦点≤0.6mm</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870"/>
                  <w:tcBorders>
                    <w:top w:val="none" w:color="000000" w:sz="4"/>
                    <w:left w:val="none" w:color="000000" w:sz="4"/>
                    <w:bottom w:val="single" w:color="000000" w:sz="4"/>
                    <w:right w:val="single" w:color="000000" w:sz="4"/>
                  </w:tcBorders>
                  <w:vAlign w:val="top"/>
                </w:tcPr>
                <w:p>
                  <w:pPr>
                    <w:jc w:val="left"/>
                  </w:pPr>
                  <w:r>
                    <w:rPr>
                      <w:sz w:val="21"/>
                    </w:rPr>
                    <w:t>球管热容量</w:t>
                  </w:r>
                  <w:r>
                    <w:rPr>
                      <w:sz w:val="21"/>
                    </w:rPr>
                    <w:t>≥1.0MHU</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870"/>
                  <w:tcBorders>
                    <w:top w:val="none" w:color="000000" w:sz="4"/>
                    <w:left w:val="none" w:color="000000" w:sz="4"/>
                    <w:bottom w:val="single" w:color="000000" w:sz="4"/>
                    <w:right w:val="single" w:color="000000" w:sz="4"/>
                  </w:tcBorders>
                  <w:vAlign w:val="top"/>
                </w:tcPr>
                <w:p>
                  <w:pPr>
                    <w:jc w:val="left"/>
                  </w:pPr>
                  <w:r>
                    <w:rPr>
                      <w:sz w:val="21"/>
                    </w:rPr>
                    <w:t>最大阳极热容：</w:t>
                  </w:r>
                  <w:r>
                    <w:rPr>
                      <w:sz w:val="21"/>
                    </w:rPr>
                    <w:t>≥70kHU</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870"/>
                  <w:tcBorders>
                    <w:top w:val="none" w:color="000000" w:sz="4"/>
                    <w:left w:val="none" w:color="000000" w:sz="4"/>
                    <w:bottom w:val="single" w:color="000000" w:sz="4"/>
                    <w:right w:val="single" w:color="000000" w:sz="4"/>
                  </w:tcBorders>
                  <w:vAlign w:val="top"/>
                </w:tcPr>
                <w:p>
                  <w:pPr>
                    <w:jc w:val="left"/>
                  </w:pPr>
                  <w:r>
                    <w:rPr>
                      <w:sz w:val="21"/>
                    </w:rPr>
                    <w:t>输出电功率：</w:t>
                  </w:r>
                  <w:r>
                    <w:rPr>
                      <w:sz w:val="21"/>
                    </w:rPr>
                    <w:t>≥5kW</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870"/>
                  <w:tcBorders>
                    <w:top w:val="none" w:color="000000" w:sz="4"/>
                    <w:left w:val="none" w:color="000000" w:sz="4"/>
                    <w:bottom w:val="single" w:color="000000" w:sz="4"/>
                    <w:right w:val="single" w:color="000000" w:sz="4"/>
                  </w:tcBorders>
                  <w:vAlign w:val="top"/>
                </w:tcPr>
                <w:p>
                  <w:pPr>
                    <w:jc w:val="left"/>
                  </w:pPr>
                  <w:r>
                    <w:rPr>
                      <w:sz w:val="21"/>
                    </w:rPr>
                    <w:t>最短曝光时间</w:t>
                  </w:r>
                  <w:r>
                    <w:rPr>
                      <w:sz w:val="21"/>
                    </w:rPr>
                    <w:t>≤ 7ms</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870"/>
                  <w:tcBorders>
                    <w:top w:val="none" w:color="000000" w:sz="4"/>
                    <w:left w:val="none" w:color="000000" w:sz="4"/>
                    <w:bottom w:val="single" w:color="000000" w:sz="4"/>
                    <w:right w:val="single" w:color="000000" w:sz="4"/>
                  </w:tcBorders>
                  <w:vAlign w:val="top"/>
                </w:tcPr>
                <w:p>
                  <w:pPr>
                    <w:jc w:val="left"/>
                  </w:pPr>
                  <w:r>
                    <w:rPr>
                      <w:sz w:val="21"/>
                    </w:rPr>
                    <w:t>具有至少</w:t>
                  </w:r>
                  <w:r>
                    <w:rPr>
                      <w:sz w:val="21"/>
                    </w:rPr>
                    <w:t>3种滤过方式，固有滤过、附加滤过和可变滤过，其中可变滤至少四种可选</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870"/>
                  <w:tcBorders>
                    <w:top w:val="none" w:color="000000" w:sz="4"/>
                    <w:left w:val="none" w:color="000000" w:sz="4"/>
                    <w:bottom w:val="single" w:color="000000" w:sz="4"/>
                    <w:right w:val="single" w:color="000000" w:sz="4"/>
                  </w:tcBorders>
                  <w:vAlign w:val="top"/>
                </w:tcPr>
                <w:p>
                  <w:pPr>
                    <w:jc w:val="left"/>
                  </w:pPr>
                  <w:r>
                    <w:rPr>
                      <w:sz w:val="21"/>
                    </w:rPr>
                    <w:t>水平</w:t>
                  </w:r>
                  <w:r>
                    <w:rPr>
                      <w:sz w:val="21"/>
                    </w:rPr>
                    <w:t>/垂直方向双叶开合控制限束器，且具有束光器虚拟调整技术：可以实现通过软件在无曝光状态下的照射视野调整</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3870"/>
                  <w:tcBorders>
                    <w:top w:val="none" w:color="000000" w:sz="4"/>
                    <w:left w:val="none" w:color="000000" w:sz="4"/>
                    <w:bottom w:val="single" w:color="000000" w:sz="4"/>
                    <w:right w:val="single" w:color="000000" w:sz="4"/>
                  </w:tcBorders>
                  <w:vAlign w:val="top"/>
                </w:tcPr>
                <w:p>
                  <w:pPr>
                    <w:jc w:val="left"/>
                  </w:pPr>
                  <w:r>
                    <w:rPr>
                      <w:sz w:val="21"/>
                    </w:rPr>
                    <w:t>X线控制单元</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3870"/>
                  <w:tcBorders>
                    <w:top w:val="none" w:color="000000" w:sz="4"/>
                    <w:left w:val="none" w:color="000000" w:sz="4"/>
                    <w:bottom w:val="single" w:color="000000" w:sz="4"/>
                    <w:right w:val="single" w:color="000000" w:sz="4"/>
                  </w:tcBorders>
                  <w:vAlign w:val="top"/>
                </w:tcPr>
                <w:p>
                  <w:pPr>
                    <w:jc w:val="left"/>
                  </w:pPr>
                  <w:r>
                    <w:rPr>
                      <w:sz w:val="21"/>
                    </w:rPr>
                    <w:t>C臂横轴上设计有触摸屏操控显示，集剂量与运动控制于一体，低剂量可用于儿童。</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870"/>
                  <w:tcBorders>
                    <w:top w:val="none" w:color="000000" w:sz="4"/>
                    <w:left w:val="none" w:color="000000" w:sz="4"/>
                    <w:bottom w:val="single" w:color="000000" w:sz="4"/>
                    <w:right w:val="single" w:color="000000" w:sz="4"/>
                  </w:tcBorders>
                  <w:vAlign w:val="top"/>
                </w:tcPr>
                <w:p>
                  <w:pPr>
                    <w:jc w:val="left"/>
                  </w:pPr>
                  <w:r>
                    <w:rPr>
                      <w:sz w:val="21"/>
                    </w:rPr>
                    <w:t>球管实时热容量显示</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870"/>
                  <w:tcBorders>
                    <w:top w:val="none" w:color="000000" w:sz="4"/>
                    <w:left w:val="none" w:color="000000" w:sz="4"/>
                    <w:bottom w:val="single" w:color="000000" w:sz="4"/>
                    <w:right w:val="single" w:color="000000" w:sz="4"/>
                  </w:tcBorders>
                  <w:vAlign w:val="top"/>
                </w:tcPr>
                <w:p>
                  <w:pPr>
                    <w:jc w:val="left"/>
                  </w:pPr>
                  <w:r>
                    <w:rPr>
                      <w:sz w:val="21"/>
                    </w:rPr>
                    <w:t>具备连续透视、低剂量脉冲透视和程序透视</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870"/>
                  <w:tcBorders>
                    <w:top w:val="none" w:color="000000" w:sz="4"/>
                    <w:left w:val="none" w:color="000000" w:sz="4"/>
                    <w:bottom w:val="single" w:color="000000" w:sz="4"/>
                    <w:right w:val="single" w:color="000000" w:sz="4"/>
                  </w:tcBorders>
                  <w:vAlign w:val="top"/>
                </w:tcPr>
                <w:p>
                  <w:pPr>
                    <w:jc w:val="left"/>
                  </w:pPr>
                  <w:r>
                    <w:rPr>
                      <w:sz w:val="21"/>
                    </w:rPr>
                    <w:t>连续透视</w:t>
                  </w:r>
                  <w:r>
                    <w:rPr>
                      <w:sz w:val="21"/>
                    </w:rPr>
                    <w:t>/脉冲透视管电压：≥40-120kV（透视、摄影）</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870"/>
                  <w:tcBorders>
                    <w:top w:val="none" w:color="000000" w:sz="4"/>
                    <w:left w:val="none" w:color="000000" w:sz="4"/>
                    <w:bottom w:val="single" w:color="000000" w:sz="4"/>
                    <w:right w:val="single" w:color="000000" w:sz="4"/>
                  </w:tcBorders>
                  <w:vAlign w:val="top"/>
                </w:tcPr>
                <w:p>
                  <w:pPr>
                    <w:jc w:val="left"/>
                  </w:pPr>
                  <w:r>
                    <w:rPr>
                      <w:sz w:val="21"/>
                    </w:rPr>
                    <w:t>管电流最大：</w:t>
                  </w:r>
                  <w:r>
                    <w:rPr>
                      <w:sz w:val="21"/>
                    </w:rPr>
                    <w:t>≥5mA（连续透视）；≥13 mA（脉冲透视）</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3870"/>
                  <w:tcBorders>
                    <w:top w:val="none" w:color="000000" w:sz="4"/>
                    <w:left w:val="none" w:color="000000" w:sz="4"/>
                    <w:bottom w:val="single" w:color="000000" w:sz="4"/>
                    <w:right w:val="single" w:color="000000" w:sz="4"/>
                  </w:tcBorders>
                  <w:vAlign w:val="top"/>
                </w:tcPr>
                <w:p>
                  <w:pPr>
                    <w:jc w:val="left"/>
                  </w:pPr>
                  <w:r>
                    <w:rPr>
                      <w:sz w:val="21"/>
                    </w:rPr>
                    <w:t>可以预设腹、胸、足、腿、盆骨、肩、头骨、脊椎、手、上肢至少</w:t>
                  </w:r>
                  <w:r>
                    <w:rPr>
                      <w:sz w:val="21"/>
                    </w:rPr>
                    <w:t>10个部位的程序透视参数</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w:t>
                  </w:r>
                  <w:r>
                    <w:rPr>
                      <w:sz w:val="21"/>
                    </w:rPr>
                    <w:t>7</w:t>
                  </w:r>
                </w:p>
              </w:tc>
              <w:tc>
                <w:tcPr>
                  <w:tcW w:type="dxa" w:w="3870"/>
                  <w:tcBorders>
                    <w:top w:val="none" w:color="000000" w:sz="4"/>
                    <w:left w:val="none" w:color="000000" w:sz="4"/>
                    <w:bottom w:val="single" w:color="000000" w:sz="4"/>
                    <w:right w:val="single" w:color="000000" w:sz="4"/>
                  </w:tcBorders>
                  <w:vAlign w:val="top"/>
                </w:tcPr>
                <w:p>
                  <w:pPr>
                    <w:jc w:val="left"/>
                  </w:pPr>
                  <w:r>
                    <w:rPr>
                      <w:sz w:val="21"/>
                    </w:rPr>
                    <w:t>具备自动亮度跟踪功能和透视点片功能</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w:t>
                  </w:r>
                  <w:r>
                    <w:rPr>
                      <w:sz w:val="21"/>
                    </w:rPr>
                    <w:t>8</w:t>
                  </w:r>
                </w:p>
              </w:tc>
              <w:tc>
                <w:tcPr>
                  <w:tcW w:type="dxa" w:w="3870"/>
                  <w:tcBorders>
                    <w:top w:val="none" w:color="000000" w:sz="4"/>
                    <w:left w:val="none" w:color="000000" w:sz="4"/>
                    <w:bottom w:val="single" w:color="000000" w:sz="4"/>
                    <w:right w:val="single" w:color="000000" w:sz="4"/>
                  </w:tcBorders>
                  <w:vAlign w:val="top"/>
                </w:tcPr>
                <w:p>
                  <w:pPr>
                    <w:jc w:val="left"/>
                  </w:pPr>
                  <w:r>
                    <w:rPr>
                      <w:sz w:val="21"/>
                    </w:rPr>
                    <w:t>操作键盘上有程序快捷键，可一键设定对应参数</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w:t>
                  </w:r>
                  <w:r>
                    <w:rPr>
                      <w:sz w:val="21"/>
                    </w:rPr>
                    <w:t>9</w:t>
                  </w:r>
                </w:p>
              </w:tc>
              <w:tc>
                <w:tcPr>
                  <w:tcW w:type="dxa" w:w="3870"/>
                  <w:tcBorders>
                    <w:top w:val="none" w:color="000000" w:sz="4"/>
                    <w:left w:val="none" w:color="000000" w:sz="4"/>
                    <w:bottom w:val="single" w:color="000000" w:sz="4"/>
                    <w:right w:val="single" w:color="000000" w:sz="4"/>
                  </w:tcBorders>
                  <w:vAlign w:val="top"/>
                </w:tcPr>
                <w:p>
                  <w:pPr>
                    <w:jc w:val="left"/>
                  </w:pPr>
                  <w:r>
                    <w:rPr>
                      <w:sz w:val="21"/>
                    </w:rPr>
                    <w:t>最大脉冲频率</w:t>
                  </w:r>
                  <w:r>
                    <w:rPr>
                      <w:sz w:val="21"/>
                    </w:rPr>
                    <w:t>≥30帧/秒</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w:t>
                  </w:r>
                  <w:r>
                    <w:rPr>
                      <w:sz w:val="21"/>
                    </w:rPr>
                    <w:t>10</w:t>
                  </w:r>
                </w:p>
              </w:tc>
              <w:tc>
                <w:tcPr>
                  <w:tcW w:type="dxa" w:w="3870"/>
                  <w:tcBorders>
                    <w:top w:val="none" w:color="000000" w:sz="4"/>
                    <w:left w:val="none" w:color="000000" w:sz="4"/>
                    <w:bottom w:val="single" w:color="000000" w:sz="4"/>
                    <w:right w:val="single" w:color="000000" w:sz="4"/>
                  </w:tcBorders>
                  <w:vAlign w:val="top"/>
                </w:tcPr>
                <w:p>
                  <w:pPr>
                    <w:jc w:val="left"/>
                  </w:pPr>
                  <w:r>
                    <w:rPr>
                      <w:sz w:val="21"/>
                    </w:rPr>
                    <w:t>最小脉冲频率</w:t>
                  </w:r>
                  <w:r>
                    <w:rPr>
                      <w:sz w:val="21"/>
                    </w:rPr>
                    <w:t>≤0.5 帧/秒</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w:t>
                  </w:r>
                  <w:r>
                    <w:rPr>
                      <w:sz w:val="21"/>
                    </w:rPr>
                    <w:t>11</w:t>
                  </w:r>
                </w:p>
              </w:tc>
              <w:tc>
                <w:tcPr>
                  <w:tcW w:type="dxa" w:w="3870"/>
                  <w:tcBorders>
                    <w:top w:val="none" w:color="000000" w:sz="4"/>
                    <w:left w:val="none" w:color="000000" w:sz="4"/>
                    <w:bottom w:val="single" w:color="000000" w:sz="4"/>
                    <w:right w:val="single" w:color="000000" w:sz="4"/>
                  </w:tcBorders>
                  <w:vAlign w:val="top"/>
                </w:tcPr>
                <w:p>
                  <w:pPr>
                    <w:jc w:val="left"/>
                  </w:pPr>
                  <w:r>
                    <w:rPr>
                      <w:sz w:val="21"/>
                    </w:rPr>
                    <w:t>数字点片最大管电流</w:t>
                  </w:r>
                  <w:r>
                    <w:rPr>
                      <w:sz w:val="21"/>
                    </w:rPr>
                    <w:t>≥90mA</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▲2.1</w:t>
                  </w:r>
                  <w:r>
                    <w:rPr>
                      <w:sz w:val="21"/>
                    </w:rPr>
                    <w:t>2</w:t>
                  </w:r>
                </w:p>
              </w:tc>
              <w:tc>
                <w:tcPr>
                  <w:tcW w:type="dxa" w:w="3870"/>
                  <w:tcBorders>
                    <w:top w:val="none" w:color="000000" w:sz="4"/>
                    <w:left w:val="none" w:color="000000" w:sz="4"/>
                    <w:bottom w:val="single" w:color="000000" w:sz="4"/>
                    <w:right w:val="single" w:color="000000" w:sz="4"/>
                  </w:tcBorders>
                  <w:vAlign w:val="top"/>
                </w:tcPr>
                <w:p>
                  <w:pPr>
                    <w:jc w:val="left"/>
                  </w:pPr>
                  <w:r>
                    <w:rPr>
                      <w:sz w:val="21"/>
                    </w:rPr>
                    <w:t>透视成像时间</w:t>
                  </w:r>
                  <w:r>
                    <w:rPr>
                      <w:sz w:val="21"/>
                    </w:rPr>
                    <w:t>≤0.6s</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（三）</w:t>
                  </w:r>
                </w:p>
              </w:tc>
              <w:tc>
                <w:tcPr>
                  <w:tcW w:type="dxa" w:w="3870"/>
                  <w:tcBorders>
                    <w:top w:val="none" w:color="000000" w:sz="4"/>
                    <w:left w:val="none" w:color="000000" w:sz="4"/>
                    <w:bottom w:val="single" w:color="000000" w:sz="4"/>
                    <w:right w:val="single" w:color="000000" w:sz="4"/>
                  </w:tcBorders>
                  <w:vAlign w:val="top"/>
                </w:tcPr>
                <w:p>
                  <w:pPr>
                    <w:jc w:val="left"/>
                  </w:pPr>
                  <w:r>
                    <w:rPr>
                      <w:sz w:val="21"/>
                    </w:rPr>
                    <w:t>探测器、准直器及滤线栅</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3870"/>
                  <w:tcBorders>
                    <w:top w:val="none" w:color="000000" w:sz="4"/>
                    <w:left w:val="none" w:color="000000" w:sz="4"/>
                    <w:bottom w:val="single" w:color="000000" w:sz="4"/>
                    <w:right w:val="single" w:color="000000" w:sz="4"/>
                  </w:tcBorders>
                  <w:vAlign w:val="top"/>
                </w:tcPr>
                <w:p>
                  <w:pPr>
                    <w:jc w:val="left"/>
                  </w:pPr>
                  <w:r>
                    <w:rPr>
                      <w:sz w:val="21"/>
                    </w:rPr>
                    <w:t>探测器：碘化铯</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3870"/>
                  <w:tcBorders>
                    <w:top w:val="none" w:color="000000" w:sz="4"/>
                    <w:left w:val="none" w:color="000000" w:sz="4"/>
                    <w:bottom w:val="single" w:color="000000" w:sz="4"/>
                    <w:right w:val="single" w:color="000000" w:sz="4"/>
                  </w:tcBorders>
                  <w:vAlign w:val="top"/>
                </w:tcPr>
                <w:p>
                  <w:pPr>
                    <w:jc w:val="left"/>
                  </w:pPr>
                  <w:r>
                    <w:rPr>
                      <w:sz w:val="21"/>
                    </w:rPr>
                    <w:t>像素：</w:t>
                  </w:r>
                  <w:r>
                    <w:rPr>
                      <w:sz w:val="21"/>
                    </w:rPr>
                    <w:t>≤205um；尺寸：9英寸，视野可变，至少可以设置三种视野：9，6，4.5英寸</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3.</w:t>
                  </w:r>
                  <w:r>
                    <w:rPr>
                      <w:sz w:val="21"/>
                    </w:rPr>
                    <w:t>3</w:t>
                  </w:r>
                </w:p>
              </w:tc>
              <w:tc>
                <w:tcPr>
                  <w:tcW w:type="dxa" w:w="3870"/>
                  <w:tcBorders>
                    <w:top w:val="none" w:color="000000" w:sz="4"/>
                    <w:left w:val="none" w:color="000000" w:sz="4"/>
                    <w:bottom w:val="single" w:color="000000" w:sz="4"/>
                    <w:right w:val="single" w:color="000000" w:sz="4"/>
                  </w:tcBorders>
                  <w:vAlign w:val="top"/>
                </w:tcPr>
                <w:p>
                  <w:pPr>
                    <w:jc w:val="left"/>
                  </w:pPr>
                  <w:r>
                    <w:rPr>
                      <w:sz w:val="21"/>
                    </w:rPr>
                    <w:t>图像采集矩阵：</w:t>
                  </w:r>
                  <w:r>
                    <w:rPr>
                      <w:sz w:val="21"/>
                    </w:rPr>
                    <w:t>1024 × 1024</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3.</w:t>
                  </w:r>
                  <w:r>
                    <w:rPr>
                      <w:sz w:val="21"/>
                    </w:rPr>
                    <w:t>4</w:t>
                  </w:r>
                </w:p>
              </w:tc>
              <w:tc>
                <w:tcPr>
                  <w:tcW w:type="dxa" w:w="3870"/>
                  <w:tcBorders>
                    <w:top w:val="none" w:color="000000" w:sz="4"/>
                    <w:left w:val="none" w:color="000000" w:sz="4"/>
                    <w:bottom w:val="single" w:color="000000" w:sz="4"/>
                    <w:right w:val="single" w:color="000000" w:sz="4"/>
                  </w:tcBorders>
                  <w:vAlign w:val="top"/>
                </w:tcPr>
                <w:p>
                  <w:pPr>
                    <w:jc w:val="left"/>
                  </w:pPr>
                  <w:r>
                    <w:rPr>
                      <w:sz w:val="21"/>
                    </w:rPr>
                    <w:t>图像采集灰阶：</w:t>
                  </w:r>
                  <w:r>
                    <w:rPr>
                      <w:sz w:val="21"/>
                    </w:rPr>
                    <w:t>≥16bit</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3.</w:t>
                  </w:r>
                  <w:r>
                    <w:rPr>
                      <w:sz w:val="21"/>
                    </w:rPr>
                    <w:t>5</w:t>
                  </w:r>
                </w:p>
              </w:tc>
              <w:tc>
                <w:tcPr>
                  <w:tcW w:type="dxa" w:w="3870"/>
                  <w:tcBorders>
                    <w:top w:val="none" w:color="000000" w:sz="4"/>
                    <w:left w:val="none" w:color="000000" w:sz="4"/>
                    <w:bottom w:val="single" w:color="000000" w:sz="4"/>
                    <w:right w:val="single" w:color="000000" w:sz="4"/>
                  </w:tcBorders>
                  <w:vAlign w:val="top"/>
                </w:tcPr>
                <w:p>
                  <w:pPr>
                    <w:jc w:val="left"/>
                  </w:pPr>
                  <w:r>
                    <w:rPr>
                      <w:sz w:val="21"/>
                    </w:rPr>
                    <w:t>矩形准直器</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3.</w:t>
                  </w:r>
                  <w:r>
                    <w:rPr>
                      <w:sz w:val="21"/>
                    </w:rPr>
                    <w:t>6</w:t>
                  </w:r>
                </w:p>
              </w:tc>
              <w:tc>
                <w:tcPr>
                  <w:tcW w:type="dxa" w:w="3870"/>
                  <w:tcBorders>
                    <w:top w:val="none" w:color="000000" w:sz="4"/>
                    <w:left w:val="none" w:color="000000" w:sz="4"/>
                    <w:bottom w:val="single" w:color="000000" w:sz="4"/>
                    <w:right w:val="single" w:color="000000" w:sz="4"/>
                  </w:tcBorders>
                  <w:vAlign w:val="top"/>
                </w:tcPr>
                <w:p>
                  <w:pPr>
                    <w:jc w:val="left"/>
                  </w:pPr>
                  <w:r>
                    <w:rPr>
                      <w:sz w:val="21"/>
                    </w:rPr>
                    <w:t>滤线栅密度</w:t>
                  </w:r>
                  <w:r>
                    <w:rPr>
                      <w:sz w:val="21"/>
                    </w:rPr>
                    <w:t>≥60L/cm</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3.</w:t>
                  </w:r>
                  <w:r>
                    <w:rPr>
                      <w:sz w:val="21"/>
                    </w:rPr>
                    <w:t>7</w:t>
                  </w:r>
                </w:p>
              </w:tc>
              <w:tc>
                <w:tcPr>
                  <w:tcW w:type="dxa" w:w="3870"/>
                  <w:tcBorders>
                    <w:top w:val="none" w:color="000000" w:sz="4"/>
                    <w:left w:val="none" w:color="000000" w:sz="4"/>
                    <w:bottom w:val="single" w:color="000000" w:sz="4"/>
                    <w:right w:val="single" w:color="000000" w:sz="4"/>
                  </w:tcBorders>
                  <w:vAlign w:val="top"/>
                </w:tcPr>
                <w:p>
                  <w:pPr>
                    <w:jc w:val="left"/>
                  </w:pPr>
                  <w:r>
                    <w:rPr>
                      <w:sz w:val="21"/>
                    </w:rPr>
                    <w:t>滤线栅栅比</w:t>
                  </w:r>
                  <w:r>
                    <w:rPr>
                      <w:sz w:val="21"/>
                    </w:rPr>
                    <w:t>≤1/8</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3.</w:t>
                  </w:r>
                  <w:r>
                    <w:rPr>
                      <w:sz w:val="21"/>
                    </w:rPr>
                    <w:t>8</w:t>
                  </w:r>
                </w:p>
              </w:tc>
              <w:tc>
                <w:tcPr>
                  <w:tcW w:type="dxa" w:w="3870"/>
                  <w:tcBorders>
                    <w:top w:val="none" w:color="000000" w:sz="4"/>
                    <w:left w:val="none" w:color="000000" w:sz="4"/>
                    <w:bottom w:val="single" w:color="000000" w:sz="4"/>
                    <w:right w:val="single" w:color="000000" w:sz="4"/>
                  </w:tcBorders>
                  <w:vAlign w:val="top"/>
                </w:tcPr>
                <w:p>
                  <w:pPr>
                    <w:jc w:val="left"/>
                  </w:pPr>
                  <w:r>
                    <w:rPr>
                      <w:sz w:val="21"/>
                    </w:rPr>
                    <w:t>激光定位系统，一体式支架设计</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（四）</w:t>
                  </w:r>
                </w:p>
              </w:tc>
              <w:tc>
                <w:tcPr>
                  <w:tcW w:type="dxa" w:w="3870"/>
                  <w:tcBorders>
                    <w:top w:val="none" w:color="000000" w:sz="4"/>
                    <w:left w:val="none" w:color="000000" w:sz="4"/>
                    <w:bottom w:val="single" w:color="000000" w:sz="4"/>
                    <w:right w:val="single" w:color="000000" w:sz="4"/>
                  </w:tcBorders>
                  <w:vAlign w:val="top"/>
                </w:tcPr>
                <w:p>
                  <w:pPr>
                    <w:jc w:val="left"/>
                  </w:pPr>
                  <w:r>
                    <w:rPr>
                      <w:sz w:val="21"/>
                    </w:rPr>
                    <w:t>数字化图像工作站</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3870"/>
                  <w:tcBorders>
                    <w:top w:val="none" w:color="000000" w:sz="4"/>
                    <w:left w:val="none" w:color="000000" w:sz="4"/>
                    <w:bottom w:val="single" w:color="000000" w:sz="4"/>
                    <w:right w:val="single" w:color="000000" w:sz="4"/>
                  </w:tcBorders>
                  <w:vAlign w:val="top"/>
                </w:tcPr>
                <w:p>
                  <w:pPr>
                    <w:jc w:val="left"/>
                  </w:pPr>
                  <w:r>
                    <w:rPr>
                      <w:sz w:val="21"/>
                    </w:rPr>
                    <w:t>Linux工业用软件操作系统</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3870"/>
                  <w:tcBorders>
                    <w:top w:val="none" w:color="000000" w:sz="4"/>
                    <w:left w:val="none" w:color="000000" w:sz="4"/>
                    <w:bottom w:val="single" w:color="000000" w:sz="4"/>
                    <w:right w:val="single" w:color="000000" w:sz="4"/>
                  </w:tcBorders>
                  <w:vAlign w:val="top"/>
                </w:tcPr>
                <w:p>
                  <w:pPr>
                    <w:jc w:val="left"/>
                  </w:pPr>
                  <w:r>
                    <w:rPr>
                      <w:sz w:val="21"/>
                    </w:rPr>
                    <w:t>配原厂工作站，图像采集处理系统</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3870"/>
                  <w:tcBorders>
                    <w:top w:val="none" w:color="000000" w:sz="4"/>
                    <w:left w:val="none" w:color="000000" w:sz="4"/>
                    <w:bottom w:val="single" w:color="000000" w:sz="4"/>
                    <w:right w:val="single" w:color="000000" w:sz="4"/>
                  </w:tcBorders>
                  <w:vAlign w:val="top"/>
                </w:tcPr>
                <w:p>
                  <w:pPr>
                    <w:jc w:val="left"/>
                  </w:pPr>
                  <w:r>
                    <w:rPr>
                      <w:sz w:val="21"/>
                    </w:rPr>
                    <w:t>图像采集存储位数：</w:t>
                  </w:r>
                  <w:r>
                    <w:rPr>
                      <w:sz w:val="21"/>
                    </w:rPr>
                    <w:t>16bit；图像处理矩阵1K×1K</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w:t>
                  </w:r>
                  <w:r>
                    <w:rPr>
                      <w:sz w:val="21"/>
                    </w:rPr>
                    <w:t>4</w:t>
                  </w:r>
                </w:p>
              </w:tc>
              <w:tc>
                <w:tcPr>
                  <w:tcW w:type="dxa" w:w="3870"/>
                  <w:tcBorders>
                    <w:top w:val="none" w:color="000000" w:sz="4"/>
                    <w:left w:val="none" w:color="000000" w:sz="4"/>
                    <w:bottom w:val="single" w:color="000000" w:sz="4"/>
                    <w:right w:val="single" w:color="000000" w:sz="4"/>
                  </w:tcBorders>
                  <w:vAlign w:val="top"/>
                </w:tcPr>
                <w:p>
                  <w:pPr>
                    <w:jc w:val="left"/>
                  </w:pPr>
                  <w:r>
                    <w:rPr>
                      <w:sz w:val="21"/>
                    </w:rPr>
                    <w:t>硬盘存储</w:t>
                  </w:r>
                  <w:r>
                    <w:rPr>
                      <w:sz w:val="21"/>
                    </w:rPr>
                    <w:t>200000幅以上（硬盘配置：至少128G固态硬盘+1T机械硬盘，双硬盘配置）</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3870"/>
                  <w:tcBorders>
                    <w:top w:val="none" w:color="000000" w:sz="4"/>
                    <w:left w:val="none" w:color="000000" w:sz="4"/>
                    <w:bottom w:val="single" w:color="000000" w:sz="4"/>
                    <w:right w:val="single" w:color="000000" w:sz="4"/>
                  </w:tcBorders>
                  <w:vAlign w:val="top"/>
                </w:tcPr>
                <w:p>
                  <w:pPr>
                    <w:jc w:val="left"/>
                  </w:pPr>
                  <w:r>
                    <w:rPr>
                      <w:sz w:val="21"/>
                    </w:rPr>
                    <w:t>具备光盘刻录系统（</w:t>
                  </w:r>
                  <w:r>
                    <w:rPr>
                      <w:sz w:val="21"/>
                    </w:rPr>
                    <w:t>DVD-R/W）；具备USB端口及存储格式：DICOM&amp;JPG&amp;BMP&amp;TIF&amp;SEQ格式</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3870"/>
                  <w:tcBorders>
                    <w:top w:val="none" w:color="000000" w:sz="4"/>
                    <w:left w:val="none" w:color="000000" w:sz="4"/>
                    <w:bottom w:val="single" w:color="000000" w:sz="4"/>
                    <w:right w:val="single" w:color="000000" w:sz="4"/>
                  </w:tcBorders>
                  <w:vAlign w:val="top"/>
                </w:tcPr>
                <w:p>
                  <w:pPr>
                    <w:jc w:val="left"/>
                  </w:pPr>
                  <w:r>
                    <w:rPr>
                      <w:sz w:val="21"/>
                    </w:rPr>
                    <w:t>用末帧冻结（</w:t>
                  </w:r>
                  <w:r>
                    <w:rPr>
                      <w:sz w:val="21"/>
                    </w:rPr>
                    <w:t>LIH）和脉冲采集两种方式采集图像；连续电影图像采集及回放；回放速率可调整</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3870"/>
                  <w:tcBorders>
                    <w:top w:val="none" w:color="000000" w:sz="4"/>
                    <w:left w:val="none" w:color="000000" w:sz="4"/>
                    <w:bottom w:val="single" w:color="000000" w:sz="4"/>
                    <w:right w:val="single" w:color="000000" w:sz="4"/>
                  </w:tcBorders>
                  <w:vAlign w:val="top"/>
                </w:tcPr>
                <w:p>
                  <w:pPr>
                    <w:jc w:val="left"/>
                  </w:pPr>
                  <w:r>
                    <w:rPr>
                      <w:sz w:val="21"/>
                    </w:rPr>
                    <w:t>图像后处理功能：窗宽</w:t>
                  </w:r>
                  <w:r>
                    <w:rPr>
                      <w:sz w:val="21"/>
                    </w:rPr>
                    <w:t>/窗位调整、图像翻转、缩放、漫游，图像标识</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3870"/>
                  <w:tcBorders>
                    <w:top w:val="none" w:color="000000" w:sz="4"/>
                    <w:left w:val="none" w:color="000000" w:sz="4"/>
                    <w:bottom w:val="single" w:color="000000" w:sz="4"/>
                    <w:right w:val="single" w:color="000000" w:sz="4"/>
                  </w:tcBorders>
                  <w:vAlign w:val="top"/>
                </w:tcPr>
                <w:p>
                  <w:pPr>
                    <w:jc w:val="left"/>
                  </w:pPr>
                  <w:r>
                    <w:rPr>
                      <w:sz w:val="21"/>
                    </w:rPr>
                    <w:t>图像处理技术：图像</w:t>
                  </w:r>
                  <w:r>
                    <w:rPr>
                      <w:sz w:val="21"/>
                    </w:rPr>
                    <w:t>16级动态降噪，ABS自动亮度均衡控制；实现多种方式图像灰度值变换；边缘增强，影像均匀度动态补偿；自动增益控制、自动亮度/对比度调整、kV, mA同步跟踪；</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3870"/>
                  <w:tcBorders>
                    <w:top w:val="none" w:color="000000" w:sz="4"/>
                    <w:left w:val="none" w:color="000000" w:sz="4"/>
                    <w:bottom w:val="single" w:color="000000" w:sz="4"/>
                    <w:right w:val="single" w:color="000000" w:sz="4"/>
                  </w:tcBorders>
                  <w:vAlign w:val="top"/>
                </w:tcPr>
                <w:p>
                  <w:pPr>
                    <w:jc w:val="left"/>
                  </w:pPr>
                  <w:r>
                    <w:rPr>
                      <w:sz w:val="21"/>
                    </w:rPr>
                    <w:t>图象同屏显示</w:t>
                  </w:r>
                  <w:r>
                    <w:rPr>
                      <w:sz w:val="21"/>
                    </w:rPr>
                    <w:t>≥16幅</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4.10</w:t>
                  </w:r>
                </w:p>
              </w:tc>
              <w:tc>
                <w:tcPr>
                  <w:tcW w:type="dxa" w:w="3870"/>
                  <w:tcBorders>
                    <w:top w:val="none" w:color="000000" w:sz="4"/>
                    <w:left w:val="none" w:color="000000" w:sz="4"/>
                    <w:bottom w:val="single" w:color="000000" w:sz="4"/>
                    <w:right w:val="single" w:color="000000" w:sz="4"/>
                  </w:tcBorders>
                  <w:vAlign w:val="top"/>
                </w:tcPr>
                <w:p>
                  <w:pPr>
                    <w:jc w:val="left"/>
                  </w:pPr>
                  <w:r>
                    <w:rPr>
                      <w:sz w:val="21"/>
                    </w:rPr>
                    <w:t>信息管理：登记保存、病历查询、修改、远程查询登记、报表、保存、预览。</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4.11</w:t>
                  </w:r>
                </w:p>
              </w:tc>
              <w:tc>
                <w:tcPr>
                  <w:tcW w:type="dxa" w:w="3870"/>
                  <w:tcBorders>
                    <w:top w:val="none" w:color="000000" w:sz="4"/>
                    <w:left w:val="none" w:color="000000" w:sz="4"/>
                    <w:bottom w:val="single" w:color="000000" w:sz="4"/>
                    <w:right w:val="single" w:color="000000" w:sz="4"/>
                  </w:tcBorders>
                  <w:vAlign w:val="top"/>
                </w:tcPr>
                <w:p>
                  <w:pPr>
                    <w:jc w:val="left"/>
                  </w:pPr>
                  <w:r>
                    <w:rPr>
                      <w:sz w:val="21"/>
                    </w:rPr>
                    <w:t>显示终端</w:t>
                  </w:r>
                  <w:r>
                    <w:rPr>
                      <w:sz w:val="21"/>
                    </w:rPr>
                    <w:t>分辨率：</w:t>
                  </w:r>
                  <w:r>
                    <w:rPr>
                      <w:sz w:val="21"/>
                    </w:rPr>
                    <w:t>≥1280×1024</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4.12</w:t>
                  </w:r>
                </w:p>
              </w:tc>
              <w:tc>
                <w:tcPr>
                  <w:tcW w:type="dxa" w:w="3870"/>
                  <w:tcBorders>
                    <w:top w:val="none" w:color="000000" w:sz="4"/>
                    <w:left w:val="none" w:color="000000" w:sz="4"/>
                    <w:bottom w:val="single" w:color="000000" w:sz="4"/>
                    <w:right w:val="single" w:color="000000" w:sz="4"/>
                  </w:tcBorders>
                  <w:vAlign w:val="top"/>
                </w:tcPr>
                <w:p>
                  <w:pPr>
                    <w:jc w:val="left"/>
                  </w:pPr>
                  <w:r>
                    <w:rPr>
                      <w:sz w:val="21"/>
                    </w:rPr>
                    <w:t>显示终端</w:t>
                  </w:r>
                  <w:r>
                    <w:rPr>
                      <w:sz w:val="21"/>
                    </w:rPr>
                    <w:t>最大亮度</w:t>
                  </w:r>
                  <w:r>
                    <w:rPr>
                      <w:sz w:val="21"/>
                    </w:rPr>
                    <w:t>≥700cd/cm</w:t>
                  </w:r>
                  <w:r>
                    <w:rPr>
                      <w:sz w:val="21"/>
                      <w:vertAlign w:val="superscript"/>
                    </w:rPr>
                    <w:t>2</w:t>
                  </w:r>
                  <w:r>
                    <w:rPr>
                      <w:sz w:val="21"/>
                    </w:rPr>
                    <w:t xml:space="preserve">     </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4.13</w:t>
                  </w:r>
                </w:p>
              </w:tc>
              <w:tc>
                <w:tcPr>
                  <w:tcW w:type="dxa" w:w="3870"/>
                  <w:tcBorders>
                    <w:top w:val="none" w:color="000000" w:sz="4"/>
                    <w:left w:val="none" w:color="000000" w:sz="4"/>
                    <w:bottom w:val="single" w:color="000000" w:sz="4"/>
                    <w:right w:val="single" w:color="000000" w:sz="4"/>
                  </w:tcBorders>
                  <w:vAlign w:val="top"/>
                </w:tcPr>
                <w:p>
                  <w:pPr>
                    <w:jc w:val="left"/>
                  </w:pPr>
                  <w:r>
                    <w:rPr>
                      <w:sz w:val="21"/>
                    </w:rPr>
                    <w:t>显示可视角度</w:t>
                  </w:r>
                  <w:r>
                    <w:rPr>
                      <w:sz w:val="21"/>
                    </w:rPr>
                    <w:t>≥±170°</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（五）</w:t>
                  </w:r>
                </w:p>
              </w:tc>
              <w:tc>
                <w:tcPr>
                  <w:tcW w:type="dxa" w:w="3870"/>
                  <w:tcBorders>
                    <w:top w:val="none" w:color="000000" w:sz="4"/>
                    <w:left w:val="none" w:color="000000" w:sz="4"/>
                    <w:bottom w:val="single" w:color="000000" w:sz="4"/>
                    <w:right w:val="single" w:color="000000" w:sz="4"/>
                  </w:tcBorders>
                  <w:vAlign w:val="top"/>
                </w:tcPr>
                <w:p>
                  <w:pPr>
                    <w:jc w:val="left"/>
                  </w:pPr>
                  <w:r>
                    <w:rPr>
                      <w:sz w:val="21"/>
                    </w:rPr>
                    <w:t>C 臂机架</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3870"/>
                  <w:tcBorders>
                    <w:top w:val="none" w:color="000000" w:sz="4"/>
                    <w:left w:val="none" w:color="000000" w:sz="4"/>
                    <w:bottom w:val="single" w:color="000000" w:sz="4"/>
                    <w:right w:val="single" w:color="000000" w:sz="4"/>
                  </w:tcBorders>
                  <w:vAlign w:val="top"/>
                </w:tcPr>
                <w:p>
                  <w:pPr>
                    <w:jc w:val="left"/>
                  </w:pPr>
                  <w:r>
                    <w:rPr>
                      <w:sz w:val="21"/>
                    </w:rPr>
                    <w:t>C臂沿弧滑动： ≥135°</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3870"/>
                  <w:tcBorders>
                    <w:top w:val="none" w:color="000000" w:sz="4"/>
                    <w:left w:val="none" w:color="000000" w:sz="4"/>
                    <w:bottom w:val="single" w:color="000000" w:sz="4"/>
                    <w:right w:val="single" w:color="000000" w:sz="4"/>
                  </w:tcBorders>
                  <w:vAlign w:val="top"/>
                </w:tcPr>
                <w:p>
                  <w:pPr>
                    <w:jc w:val="left"/>
                  </w:pPr>
                  <w:r>
                    <w:rPr>
                      <w:sz w:val="21"/>
                    </w:rPr>
                    <w:t>C臂垂直升降：≥400mm</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3870"/>
                  <w:tcBorders>
                    <w:top w:val="none" w:color="000000" w:sz="4"/>
                    <w:left w:val="none" w:color="000000" w:sz="4"/>
                    <w:bottom w:val="single" w:color="000000" w:sz="4"/>
                    <w:right w:val="single" w:color="000000" w:sz="4"/>
                  </w:tcBorders>
                  <w:vAlign w:val="top"/>
                </w:tcPr>
                <w:p>
                  <w:pPr>
                    <w:jc w:val="left"/>
                  </w:pPr>
                  <w:r>
                    <w:rPr>
                      <w:sz w:val="21"/>
                    </w:rPr>
                    <w:t>C臂水平移动：≥200mm</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3870"/>
                  <w:tcBorders>
                    <w:top w:val="none" w:color="000000" w:sz="4"/>
                    <w:left w:val="none" w:color="000000" w:sz="4"/>
                    <w:bottom w:val="single" w:color="000000" w:sz="4"/>
                    <w:right w:val="single" w:color="000000" w:sz="4"/>
                  </w:tcBorders>
                  <w:vAlign w:val="top"/>
                </w:tcPr>
                <w:p>
                  <w:pPr>
                    <w:jc w:val="left"/>
                  </w:pPr>
                  <w:r>
                    <w:rPr>
                      <w:sz w:val="21"/>
                    </w:rPr>
                    <w:t>焦屏距：</w:t>
                  </w:r>
                  <w:r>
                    <w:rPr>
                      <w:sz w:val="21"/>
                    </w:rPr>
                    <w:t>≥1000mm</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w:t>
                  </w:r>
                  <w:r>
                    <w:rPr>
                      <w:sz w:val="21"/>
                    </w:rPr>
                    <w:t>5.5</w:t>
                  </w:r>
                </w:p>
              </w:tc>
              <w:tc>
                <w:tcPr>
                  <w:tcW w:type="dxa" w:w="3870"/>
                  <w:tcBorders>
                    <w:top w:val="none" w:color="000000" w:sz="4"/>
                    <w:left w:val="none" w:color="000000" w:sz="4"/>
                    <w:bottom w:val="single" w:color="000000" w:sz="4"/>
                    <w:right w:val="single" w:color="000000" w:sz="4"/>
                  </w:tcBorders>
                  <w:vAlign w:val="top"/>
                </w:tcPr>
                <w:p>
                  <w:pPr>
                    <w:jc w:val="left"/>
                  </w:pPr>
                  <w:r>
                    <w:rPr>
                      <w:sz w:val="21"/>
                    </w:rPr>
                    <w:t>C臂开口：≥820mm</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3870"/>
                  <w:tcBorders>
                    <w:top w:val="none" w:color="000000" w:sz="4"/>
                    <w:left w:val="none" w:color="000000" w:sz="4"/>
                    <w:bottom w:val="single" w:color="000000" w:sz="4"/>
                    <w:right w:val="single" w:color="000000" w:sz="4"/>
                  </w:tcBorders>
                  <w:vAlign w:val="top"/>
                </w:tcPr>
                <w:p>
                  <w:pPr>
                    <w:jc w:val="left"/>
                  </w:pPr>
                  <w:r>
                    <w:rPr>
                      <w:sz w:val="21"/>
                    </w:rPr>
                    <w:t>C臂水平摆动角度：±12°</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3870"/>
                  <w:tcBorders>
                    <w:top w:val="none" w:color="000000" w:sz="4"/>
                    <w:left w:val="none" w:color="000000" w:sz="4"/>
                    <w:bottom w:val="single" w:color="000000" w:sz="4"/>
                    <w:right w:val="single" w:color="000000" w:sz="4"/>
                  </w:tcBorders>
                  <w:vAlign w:val="top"/>
                </w:tcPr>
                <w:p>
                  <w:pPr>
                    <w:jc w:val="left"/>
                  </w:pPr>
                  <w:r>
                    <w:rPr>
                      <w:sz w:val="21"/>
                    </w:rPr>
                    <w:t>C臂绕水平轴旋转：≥±190°</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3870"/>
                  <w:tcBorders>
                    <w:top w:val="none" w:color="000000" w:sz="4"/>
                    <w:left w:val="none" w:color="000000" w:sz="4"/>
                    <w:bottom w:val="single" w:color="000000" w:sz="4"/>
                    <w:right w:val="single" w:color="000000" w:sz="4"/>
                  </w:tcBorders>
                  <w:vAlign w:val="top"/>
                </w:tcPr>
                <w:p>
                  <w:pPr>
                    <w:jc w:val="left"/>
                  </w:pPr>
                  <w:r>
                    <w:rPr>
                      <w:sz w:val="21"/>
                    </w:rPr>
                    <w:t>具备自平衡功能，任意位置自由锁定、不滑动</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w:t>
                  </w:r>
                  <w:r>
                    <w:rPr>
                      <w:sz w:val="21"/>
                    </w:rPr>
                    <w:t>5.9</w:t>
                  </w:r>
                </w:p>
              </w:tc>
              <w:tc>
                <w:tcPr>
                  <w:tcW w:type="dxa" w:w="3870"/>
                  <w:tcBorders>
                    <w:top w:val="none" w:color="000000" w:sz="4"/>
                    <w:left w:val="none" w:color="000000" w:sz="4"/>
                    <w:bottom w:val="single" w:color="000000" w:sz="4"/>
                    <w:right w:val="single" w:color="000000" w:sz="4"/>
                  </w:tcBorders>
                  <w:vAlign w:val="top"/>
                </w:tcPr>
                <w:p>
                  <w:pPr>
                    <w:jc w:val="left"/>
                  </w:pPr>
                  <w:r>
                    <w:rPr>
                      <w:sz w:val="21"/>
                    </w:rPr>
                    <w:t>C形臂在平坦的水泥地面上移动的启动力：≤65N</w:t>
                  </w:r>
                </w:p>
              </w:tc>
            </w:tr>
            <w:tr>
              <w:tc>
                <w:tcPr>
                  <w:tcW w:type="dxa" w:w="1695"/>
                  <w:tcBorders>
                    <w:top w:val="none" w:color="000000" w:sz="4"/>
                    <w:left w:val="single" w:color="000000" w:sz="4"/>
                    <w:bottom w:val="single" w:color="000000" w:sz="4"/>
                    <w:right w:val="single" w:color="000000" w:sz="4"/>
                  </w:tcBorders>
                  <w:vAlign w:val="top"/>
                </w:tcPr>
                <w:p>
                  <w:pPr>
                    <w:jc w:val="center"/>
                  </w:pPr>
                  <w:r>
                    <w:rPr>
                      <w:sz w:val="21"/>
                    </w:rPr>
                    <w:t>5.10</w:t>
                  </w:r>
                </w:p>
              </w:tc>
              <w:tc>
                <w:tcPr>
                  <w:tcW w:type="dxa" w:w="3870"/>
                  <w:tcBorders>
                    <w:top w:val="none" w:color="000000" w:sz="4"/>
                    <w:left w:val="none" w:color="000000" w:sz="4"/>
                    <w:bottom w:val="single" w:color="000000" w:sz="4"/>
                    <w:right w:val="single" w:color="000000" w:sz="4"/>
                  </w:tcBorders>
                  <w:vAlign w:val="top"/>
                </w:tcPr>
                <w:p>
                  <w:pPr>
                    <w:jc w:val="left"/>
                  </w:pPr>
                  <w:r>
                    <w:rPr>
                      <w:sz w:val="21"/>
                    </w:rPr>
                    <w:t>C臂整机和工作站同步显示的X线出线预警提示灯</w:t>
                  </w:r>
                </w:p>
              </w:tc>
            </w:tr>
          </w:tbl>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left"/>
                  </w:pPr>
                  <w:r>
                    <w:rPr>
                      <w:sz w:val="21"/>
                    </w:rPr>
                    <w:t>组合机头（含高压发生器、</w:t>
                  </w:r>
                  <w:r>
                    <w:rPr>
                      <w:sz w:val="21"/>
                    </w:rPr>
                    <w:t>X射线球管）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left"/>
                  </w:pPr>
                  <w:r>
                    <w:rPr>
                      <w:sz w:val="21"/>
                    </w:rPr>
                    <w:t>高频逆变器</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left"/>
                  </w:pPr>
                  <w:r>
                    <w:rPr>
                      <w:sz w:val="21"/>
                    </w:rPr>
                    <w:t>限束器</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left"/>
                  </w:pPr>
                  <w:r>
                    <w:rPr>
                      <w:sz w:val="21"/>
                    </w:rPr>
                    <w:t>数字动态平板探测器</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left"/>
                  </w:pPr>
                  <w:r>
                    <w:rPr>
                      <w:sz w:val="21"/>
                    </w:rPr>
                    <w:t>激光定位系统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left"/>
                  </w:pPr>
                  <w:r>
                    <w:rPr>
                      <w:sz w:val="21"/>
                    </w:rPr>
                    <w:t>图像采集处理系统（含专用电脑配置、软件、桌椅，以及光盘刻录系统）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25"/>
                  <w:tcBorders>
                    <w:top w:val="none" w:color="000000" w:sz="4"/>
                    <w:left w:val="none" w:color="000000" w:sz="4"/>
                    <w:bottom w:val="single" w:color="000000" w:sz="4"/>
                    <w:right w:val="single" w:color="000000" w:sz="4"/>
                  </w:tcBorders>
                  <w:vAlign w:val="top"/>
                </w:tcPr>
                <w:p>
                  <w:pPr>
                    <w:jc w:val="left"/>
                  </w:pPr>
                  <w:r>
                    <w:rPr>
                      <w:sz w:val="21"/>
                    </w:rPr>
                    <w:t>触摸式</w:t>
                  </w:r>
                  <w:r>
                    <w:rPr>
                      <w:sz w:val="21"/>
                    </w:rPr>
                    <w:t>X线控制单元</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625"/>
                  <w:tcBorders>
                    <w:top w:val="none" w:color="000000" w:sz="4"/>
                    <w:left w:val="none" w:color="000000" w:sz="4"/>
                    <w:bottom w:val="single" w:color="000000" w:sz="4"/>
                    <w:right w:val="single" w:color="000000" w:sz="4"/>
                  </w:tcBorders>
                  <w:vAlign w:val="top"/>
                </w:tcPr>
                <w:p>
                  <w:pPr>
                    <w:jc w:val="left"/>
                  </w:pPr>
                  <w:r>
                    <w:rPr>
                      <w:sz w:val="21"/>
                    </w:rPr>
                    <w:t>≥19寸专业医用平板</w:t>
                  </w:r>
                  <w:r>
                    <w:rPr>
                      <w:sz w:val="21"/>
                    </w:rPr>
                    <w:t>显示终端</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625"/>
                  <w:tcBorders>
                    <w:top w:val="none" w:color="000000" w:sz="4"/>
                    <w:left w:val="none" w:color="000000" w:sz="4"/>
                    <w:bottom w:val="single" w:color="000000" w:sz="4"/>
                    <w:right w:val="single" w:color="000000" w:sz="4"/>
                  </w:tcBorders>
                  <w:vAlign w:val="top"/>
                </w:tcPr>
                <w:p>
                  <w:pPr>
                    <w:jc w:val="left"/>
                  </w:pPr>
                  <w:r>
                    <w:rPr>
                      <w:sz w:val="21"/>
                    </w:rPr>
                    <w:t>配原厂移动台车（含隔离变压器）</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625"/>
                  <w:tcBorders>
                    <w:top w:val="none" w:color="000000" w:sz="4"/>
                    <w:left w:val="none" w:color="000000" w:sz="4"/>
                    <w:bottom w:val="single" w:color="000000" w:sz="4"/>
                    <w:right w:val="single" w:color="000000" w:sz="4"/>
                  </w:tcBorders>
                  <w:vAlign w:val="top"/>
                </w:tcPr>
                <w:p>
                  <w:pPr>
                    <w:jc w:val="left"/>
                  </w:pPr>
                  <w:r>
                    <w:rPr>
                      <w:sz w:val="21"/>
                    </w:rPr>
                    <w:t>自平衡</w:t>
                  </w:r>
                  <w:r>
                    <w:rPr>
                      <w:sz w:val="21"/>
                    </w:rPr>
                    <w:t>C臂机架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625"/>
                  <w:tcBorders>
                    <w:top w:val="none" w:color="000000" w:sz="4"/>
                    <w:left w:val="none" w:color="000000" w:sz="4"/>
                    <w:bottom w:val="single" w:color="000000" w:sz="4"/>
                    <w:right w:val="single" w:color="000000" w:sz="4"/>
                  </w:tcBorders>
                  <w:vAlign w:val="top"/>
                </w:tcPr>
                <w:p>
                  <w:pPr>
                    <w:jc w:val="left"/>
                  </w:pPr>
                  <w:r>
                    <w:rPr>
                      <w:sz w:val="21"/>
                    </w:rPr>
                    <w:t>滤线栅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625"/>
                  <w:tcBorders>
                    <w:top w:val="none" w:color="000000" w:sz="4"/>
                    <w:left w:val="none" w:color="000000" w:sz="4"/>
                    <w:bottom w:val="single" w:color="000000" w:sz="4"/>
                    <w:right w:val="single" w:color="000000" w:sz="4"/>
                  </w:tcBorders>
                  <w:vAlign w:val="top"/>
                </w:tcPr>
                <w:p>
                  <w:pPr>
                    <w:jc w:val="left"/>
                  </w:pPr>
                  <w:r>
                    <w:rPr>
                      <w:sz w:val="21"/>
                    </w:rPr>
                    <w:t>脚闸、线缆及连接线缆等部件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625"/>
                  <w:tcBorders>
                    <w:top w:val="none" w:color="000000" w:sz="4"/>
                    <w:left w:val="none" w:color="000000" w:sz="4"/>
                    <w:bottom w:val="single" w:color="000000" w:sz="4"/>
                    <w:right w:val="single" w:color="000000" w:sz="4"/>
                  </w:tcBorders>
                  <w:vAlign w:val="top"/>
                </w:tcPr>
                <w:p>
                  <w:pPr>
                    <w:jc w:val="left"/>
                  </w:pPr>
                  <w:r>
                    <w:rPr>
                      <w:sz w:val="21"/>
                    </w:rPr>
                    <w:t>电子交流稳压器</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625"/>
                  <w:tcBorders>
                    <w:top w:val="none" w:color="000000" w:sz="4"/>
                    <w:left w:val="none" w:color="000000" w:sz="4"/>
                    <w:bottom w:val="single" w:color="000000" w:sz="4"/>
                    <w:right w:val="single" w:color="000000" w:sz="4"/>
                  </w:tcBorders>
                  <w:vAlign w:val="top"/>
                </w:tcPr>
                <w:p>
                  <w:pPr>
                    <w:jc w:val="left"/>
                  </w:pPr>
                  <w:r>
                    <w:rPr>
                      <w:sz w:val="21"/>
                    </w:rPr>
                    <w:t>设备专用</w:t>
                  </w:r>
                  <w:r>
                    <w:rPr>
                      <w:sz w:val="21"/>
                    </w:rPr>
                    <w:t>UPS断电保护系统</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25"/>
                  <w:tcBorders>
                    <w:top w:val="none" w:color="000000" w:sz="4"/>
                    <w:left w:val="none" w:color="000000" w:sz="4"/>
                    <w:bottom w:val="single" w:color="000000" w:sz="4"/>
                    <w:right w:val="single" w:color="000000" w:sz="4"/>
                  </w:tcBorders>
                  <w:vAlign w:val="top"/>
                </w:tcPr>
                <w:p>
                  <w:pPr>
                    <w:jc w:val="left"/>
                  </w:pPr>
                  <w:r>
                    <w:rPr>
                      <w:sz w:val="21"/>
                    </w:rPr>
                    <w:t>铅屏风</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625"/>
                  <w:tcBorders>
                    <w:top w:val="none" w:color="000000" w:sz="4"/>
                    <w:left w:val="none" w:color="000000" w:sz="4"/>
                    <w:bottom w:val="single" w:color="000000" w:sz="4"/>
                    <w:right w:val="single" w:color="000000" w:sz="4"/>
                  </w:tcBorders>
                  <w:vAlign w:val="top"/>
                </w:tcPr>
                <w:p>
                  <w:pPr>
                    <w:jc w:val="left"/>
                  </w:pPr>
                  <w:r>
                    <w:rPr>
                      <w:sz w:val="21"/>
                    </w:rPr>
                    <w:t>医生及患者铅衣、铅围脖、铅帽</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各</w:t>
                  </w:r>
                  <w:r>
                    <w:rPr>
                      <w:sz w:val="21"/>
                    </w:rPr>
                    <w:t>1套</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便携式骨密度测定仪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（一）硬件与技术</w:t>
            </w:r>
            <w:r>
              <w:br/>
            </w:r>
            <w:r>
              <w:rPr/>
              <w:t>1.X射描方式：高、低双能量 锥束型X线扫描</w:t>
            </w:r>
            <w:r>
              <w:br/>
            </w:r>
            <w:r>
              <w:rPr/>
              <w:t>2.▲测量部位：前臂（桡骨+尺骨）</w:t>
            </w:r>
            <w:r>
              <w:br/>
            </w:r>
            <w:r>
              <w:rPr/>
              <w:t>3.X射线扫描时间：≤6.5秒</w:t>
            </w:r>
            <w:r>
              <w:br/>
            </w:r>
            <w:r>
              <w:rPr/>
              <w:t>4.X线管电压：高能≤75KV，低能≤45KV</w:t>
            </w:r>
            <w:r>
              <w:br/>
            </w:r>
            <w:r>
              <w:rPr/>
              <w:t>5.X线管电流：0.25-0.45mA</w:t>
            </w:r>
            <w:r>
              <w:br/>
            </w:r>
            <w:r>
              <w:rPr/>
              <w:t>6.X光探测器：平板面阵CCD探测器</w:t>
            </w:r>
            <w:r>
              <w:br/>
            </w:r>
            <w:r>
              <w:rPr/>
              <w:t>7.X光探测器尺寸：≥90×65mm</w:t>
            </w:r>
            <w:r>
              <w:br/>
            </w:r>
            <w:r>
              <w:rPr/>
              <w:t>8.▲测量人群和参数：</w:t>
            </w:r>
            <w:r>
              <w:br/>
            </w:r>
            <w:r>
              <w:rPr/>
              <w:t>成人（18-100岁）：T值、Z值、BMD、BMC、Area、%百分比、RRF、FRAX等；</w:t>
            </w:r>
            <w:r>
              <w:br/>
            </w:r>
            <w:r>
              <w:rPr/>
              <w:t>9.骨密度测量准确度误差：≤1.00%</w:t>
            </w:r>
            <w:r>
              <w:br/>
            </w:r>
            <w:r>
              <w:rPr/>
              <w:t>10.骨密度测量同日重复性：≤0.6%（质控体模）</w:t>
            </w:r>
            <w:r>
              <w:br/>
            </w:r>
            <w:r>
              <w:rPr/>
              <w:t>11.骨密度测量多日重复性：≤0.8%（质控体模）</w:t>
            </w:r>
            <w:r>
              <w:br/>
            </w:r>
            <w:r>
              <w:rPr/>
              <w:t>12.▲曝光辐射度（1.0米处）：≤1.5μSv/h</w:t>
            </w:r>
            <w:r>
              <w:br/>
            </w:r>
            <w:r>
              <w:rPr/>
              <w:t xml:space="preserve">13.▲辐射渗漏量：非加载条件下，在球管组件接近表面5cm处，平均空气比释动能率≤0.25μGy/h </w:t>
            </w:r>
            <w:r>
              <w:br/>
            </w:r>
            <w:r>
              <w:rPr/>
              <w:t>14.开机自稳定/自质控系统，系统保护设置</w:t>
            </w:r>
            <w:r>
              <w:br/>
            </w:r>
            <w:r>
              <w:rPr/>
              <w:t>15.测量主机立式弧形外观结构，全封闭铅屏蔽罩</w:t>
            </w:r>
            <w:r>
              <w:br/>
            </w:r>
            <w:r>
              <w:rPr/>
              <w:t>16.双重屏蔽防护（机体、屏蔽罩）</w:t>
            </w:r>
            <w:r>
              <w:br/>
            </w:r>
            <w:r>
              <w:rPr/>
              <w:t>17.三重定位：前臂图形指引定位区域+感应式激光定位器+手臂定位支架</w:t>
            </w:r>
            <w:r>
              <w:br/>
            </w:r>
            <w:r>
              <w:rPr/>
              <w:t>18.高清摄像头CCD监控摆位系统，并自带照明装置</w:t>
            </w:r>
            <w:r>
              <w:br/>
            </w:r>
            <w:r>
              <w:rPr/>
              <w:t>19.可配置同厂超声骨密度、体感肌电电导分析多部位辅助测量</w:t>
            </w:r>
            <w:r>
              <w:br/>
            </w:r>
            <w:r>
              <w:rPr/>
              <w:t>20.配身线扫份证刷卡读取功能/扫码枪功能</w:t>
            </w:r>
            <w:r>
              <w:br/>
            </w:r>
            <w:r>
              <w:rPr/>
              <w:t>（二）图像处理与计算系统</w:t>
            </w:r>
            <w:r>
              <w:br/>
            </w:r>
            <w:r>
              <w:rPr/>
              <w:t>1.高/低能阶多幅图像OK卡高清采集</w:t>
            </w:r>
            <w:r>
              <w:br/>
            </w:r>
            <w:r>
              <w:rPr/>
              <w:t xml:space="preserve">2.▲神经网络深度学习DL技术和AI图像智能识别算法与软件 </w:t>
            </w:r>
            <w:r>
              <w:br/>
            </w:r>
            <w:r>
              <w:rPr/>
              <w:t xml:space="preserve">3.高低能多幅骨密度图像+多次相互交叉优化匹配计算 </w:t>
            </w:r>
            <w:r>
              <w:br/>
            </w:r>
            <w:r>
              <w:rPr/>
              <w:t xml:space="preserve">4.高性能GPU独立显卡AI高速运算处理 </w:t>
            </w:r>
            <w:r>
              <w:br/>
            </w:r>
            <w:r>
              <w:rPr/>
              <w:t>5.提供灰阶与彩色骨骼图像两种或以上格式报告单</w:t>
            </w:r>
            <w:r>
              <w:br/>
            </w:r>
            <w:r>
              <w:rPr/>
              <w:t>（三）临床应用软件包</w:t>
            </w:r>
            <w:r>
              <w:br/>
            </w:r>
            <w:r>
              <w:rPr/>
              <w:t>1.骨密度测量软件包</w:t>
            </w:r>
            <w:r>
              <w:br/>
            </w:r>
            <w:r>
              <w:rPr/>
              <w:t>2.骨密度统计数据库</w:t>
            </w:r>
            <w:r>
              <w:br/>
            </w:r>
            <w:r>
              <w:rPr/>
              <w:t>3.系统SQV体模质控软件及测试软件</w:t>
            </w:r>
            <w:r>
              <w:br/>
            </w:r>
            <w:r>
              <w:rPr/>
              <w:t>4.骨密度数据管理软件包（存储、传输、检索/查询、Worklist、打印）</w:t>
            </w:r>
            <w:r>
              <w:br/>
            </w:r>
            <w:r>
              <w:rPr/>
              <w:t>5.DICOM/PACS/HIS协议接口和升级</w:t>
            </w:r>
            <w:r>
              <w:br/>
            </w:r>
            <w:r>
              <w:rPr/>
              <w:t>6.▲AI成人测量软件（18-100岁）</w:t>
            </w:r>
            <w:r>
              <w:br/>
            </w:r>
            <w:r>
              <w:rPr/>
              <w:t>（四）工作站系统</w:t>
            </w:r>
            <w:r>
              <w:br/>
            </w:r>
            <w:r>
              <w:rPr/>
              <w:t>AI影像专用工作站:（四核CPU≥3.2GHZ，RAM≥4GB，HD≥1T，LED≥21英寸）</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r>
                    <w:rPr>
                      <w:b/>
                      <w:sz w:val="21"/>
                    </w:rPr>
                    <w:t>/</w:t>
                  </w:r>
                  <w:r>
                    <w:rPr>
                      <w:b/>
                      <w:sz w:val="21"/>
                    </w:rPr>
                    <w:t>台</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件</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双能</w:t>
                  </w:r>
                  <w:r>
                    <w:rPr>
                      <w:sz w:val="21"/>
                    </w:rPr>
                    <w:t>X</w:t>
                  </w:r>
                  <w:r>
                    <w:rPr>
                      <w:sz w:val="21"/>
                    </w:rPr>
                    <w:t>射线球管和高压发生器组件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件</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双能</w:t>
                  </w:r>
                  <w:r>
                    <w:rPr>
                      <w:sz w:val="21"/>
                    </w:rPr>
                    <w:t>X</w:t>
                  </w:r>
                  <w:r>
                    <w:rPr>
                      <w:sz w:val="21"/>
                    </w:rPr>
                    <w:t>射线</w:t>
                  </w:r>
                  <w:r>
                    <w:rPr>
                      <w:sz w:val="21"/>
                    </w:rPr>
                    <w:t>CCD</w:t>
                  </w:r>
                  <w:r>
                    <w:rPr>
                      <w:sz w:val="21"/>
                    </w:rPr>
                    <w:t>探测器组件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件</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双能</w:t>
                  </w:r>
                  <w:r>
                    <w:rPr>
                      <w:sz w:val="21"/>
                    </w:rPr>
                    <w:t>X</w:t>
                  </w:r>
                  <w:r>
                    <w:rPr>
                      <w:sz w:val="21"/>
                    </w:rPr>
                    <w:t>射线成像控制组件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件</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台式系统工作站</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骨密度系统分析软件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高清图像采集卡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图像传输多芯屏蔽视频线（</w:t>
                  </w:r>
                  <w:r>
                    <w:rPr>
                      <w:sz w:val="21"/>
                    </w:rPr>
                    <w:t>2.0</w:t>
                  </w:r>
                  <w:r>
                    <w:rPr>
                      <w:sz w:val="21"/>
                    </w:rPr>
                    <w:t>米）</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条</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USB</w:t>
                  </w:r>
                  <w:r>
                    <w:rPr>
                      <w:sz w:val="21"/>
                    </w:rPr>
                    <w:t>信号控制线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条</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高分辨率彩色液晶</w:t>
                  </w:r>
                  <w:r>
                    <w:rPr>
                      <w:sz w:val="21"/>
                    </w:rPr>
                    <w:t>显示终端</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彩色专用</w:t>
                  </w:r>
                  <w:r>
                    <w:rPr>
                      <w:sz w:val="21"/>
                    </w:rPr>
                    <w:t>输出终端</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键盘和鼠标</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校准体模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曝光保护手闸</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激光定位器</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手臂定位支架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铅屏蔽罩</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骨密度测量专用工作台车</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脉搏血氧仪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1、▲适用范围：成人、儿童、婴儿</w:t>
            </w:r>
            <w:r>
              <w:br/>
            </w:r>
            <w:r>
              <w:rPr/>
              <w:t xml:space="preserve">2、支持连续监护及点测两种工作模式 </w:t>
            </w:r>
            <w:r>
              <w:br/>
            </w:r>
            <w:r>
              <w:rPr/>
              <w:t>3、监护信息包括血氧饱和度（SpO2）、脉率（PR）</w:t>
            </w:r>
            <w:r>
              <w:br/>
            </w:r>
            <w:r>
              <w:rPr/>
              <w:t>4、血氧饱和度（SpO2）监测范围：0～100%</w:t>
            </w:r>
            <w:r>
              <w:br/>
            </w:r>
            <w:r>
              <w:rPr/>
              <w:t>5、脉率（PR）监测范围：18～300bpm</w:t>
            </w:r>
            <w:r>
              <w:br/>
            </w:r>
            <w:r>
              <w:rPr/>
              <w:t>6、参数报警上下限可调</w:t>
            </w:r>
            <w:r>
              <w:br/>
            </w:r>
            <w:r>
              <w:rPr/>
              <w:t>7、脉搏强度，有血氧容积波形显示</w:t>
            </w:r>
            <w:r>
              <w:br/>
            </w:r>
            <w:r>
              <w:rPr/>
              <w:t xml:space="preserve">8、灌注指数（PI）显示： 显示血流灌注指数 </w:t>
            </w:r>
            <w:r>
              <w:br/>
            </w:r>
            <w:r>
              <w:rPr/>
              <w:t>9、电池使用时间：碱性电池≥36小时，锂电池≥24小时，关机延迟（自第一次低电量报警后）≥10分钟，具有节电功能：支持自动待机、自动关机</w:t>
            </w:r>
            <w:r>
              <w:br/>
            </w:r>
            <w:r>
              <w:rPr/>
              <w:t>10、▲显示终端≥2.4英寸彩色液晶</w:t>
            </w:r>
            <w:r>
              <w:br/>
            </w:r>
            <w:r>
              <w:rPr/>
              <w:t>11、存储功能：连续监护数据≥96小时，点测数据≥4000条，存储内容应包括病人ID、病人类型、SpO2、PR及测量时间</w:t>
            </w:r>
            <w:r>
              <w:br/>
            </w:r>
            <w:r>
              <w:rPr/>
              <w:t>12、具备报警音提示功能</w:t>
            </w:r>
            <w:r>
              <w:br/>
            </w:r>
            <w:r>
              <w:rPr/>
              <w:t>13、★配置：成人探头一个、儿童探头一个、婴儿探头一个</w:t>
            </w:r>
          </w:p>
        </w:tc>
      </w:tr>
      <w:tr>
        <w:tc>
          <w:tcPr>
            <w:tcW w:type="dxa" w:w="2076"/>
          </w:tcPr>
          <w:p>
            <w:r>
              <w:rPr/>
              <w:t>★</w:t>
            </w:r>
          </w:p>
        </w:tc>
        <w:tc>
          <w:tcPr>
            <w:tcW w:type="dxa" w:w="415"/>
          </w:tcPr>
          <w:p>
            <w:r>
              <w:rPr/>
              <w:t>2</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胃肠营养泵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1.可以通用市面上不同品牌营养管。</w:t>
            </w:r>
            <w:r>
              <w:br/>
            </w:r>
            <w:r>
              <w:rPr/>
              <w:t>2.输注速度容积模式下速度：1ml/h～1200ml/h，步进：1ml/h。连续工作≥96小时</w:t>
            </w:r>
            <w:r>
              <w:br/>
            </w:r>
            <w:r>
              <w:rPr/>
              <w:t>3.预置量设定范围：0～9999ml ，步进：1ml</w:t>
            </w:r>
            <w:r>
              <w:br/>
            </w:r>
            <w:r>
              <w:rPr/>
              <w:t>4.快排速度范围：100ml/h～1200ml/h；步进：100ml/h。有自动和手动两个模式选择</w:t>
            </w:r>
            <w:r>
              <w:br/>
            </w:r>
            <w:r>
              <w:rPr/>
              <w:t>5.▲输注精度：容积模式下经校准后流速允差为±3%；</w:t>
            </w:r>
            <w:r>
              <w:br/>
            </w:r>
            <w:r>
              <w:rPr/>
              <w:t>6.输注模式：容积匀速喂养、预设量匀速喂养、快速喂养模式。</w:t>
            </w:r>
            <w:r>
              <w:br/>
            </w:r>
            <w:r>
              <w:rPr/>
              <w:t>7.报警功能：下端阻塞报警、电池欠压报警、输完报警、开门报警、市电中断报警、电机不转报警、暂停超时报警，超温报警</w:t>
            </w:r>
            <w:r>
              <w:br/>
            </w:r>
            <w:r>
              <w:rPr/>
              <w:t>8.电池性能：持续工作时间大于5h。</w:t>
            </w:r>
            <w:r>
              <w:br/>
            </w:r>
            <w:r>
              <w:rPr/>
              <w:t>9.阻塞报警阀值：下端阻塞报警阀值，设为3档，低：39.9kPa ± 13.3kPa；中：66.5kPa±13.3kPa；高：106.4kPa±13.3kPa。</w:t>
            </w:r>
            <w:r>
              <w:br/>
            </w:r>
            <w:r>
              <w:rPr/>
              <w:t>10.加温模式：外接加温设置，有三个档位可以选择（25-30,30-35,35-40）</w:t>
            </w:r>
            <w:r>
              <w:br/>
            </w:r>
            <w:r>
              <w:rPr/>
              <w:t>11.≥3英寸显示终端实时显示输液状态。</w:t>
            </w:r>
            <w:r>
              <w:br/>
            </w:r>
            <w:r>
              <w:rPr/>
              <w:t>12.外置水银温度计放置仓</w:t>
            </w:r>
            <w:r>
              <w:br/>
            </w:r>
            <w:r>
              <w:rPr/>
              <w:t>13.可以查看以前至少5000条使用数据和报警类型</w:t>
            </w:r>
          </w:p>
        </w:tc>
      </w:tr>
      <w:tr>
        <w:tc>
          <w:tcPr>
            <w:tcW w:type="dxa" w:w="2076"/>
          </w:tcPr>
          <w:p>
            <w:r>
              <w:rPr/>
              <w:t>★</w:t>
            </w:r>
          </w:p>
        </w:tc>
        <w:tc>
          <w:tcPr>
            <w:tcW w:type="dxa" w:w="415"/>
          </w:tcPr>
          <w:p>
            <w:r>
              <w:rPr/>
              <w:t>2</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采购包3（麻醉监护仪等）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★自合同签订之日起90日历天内完成供货、安装、调试及验收合格并交付使用。</w:t>
            </w:r>
          </w:p>
        </w:tc>
      </w:tr>
      <w:tr>
        <w:tc>
          <w:tcPr>
            <w:tcW w:type="dxa" w:w="4153"/>
          </w:tcPr>
          <w:p>
            <w:r>
              <w:rPr/>
              <w:t>标的提供的地点</w:t>
            </w:r>
          </w:p>
        </w:tc>
        <w:tc>
          <w:tcPr>
            <w:tcW w:type="dxa" w:w="4153"/>
          </w:tcPr>
          <w:p/>
          <w:p>
            <w:r>
              <w:rPr/>
              <w:t>★采购人指定地点（佛山市内）</w:t>
            </w:r>
          </w:p>
        </w:tc>
      </w:tr>
      <w:tr>
        <w:tc>
          <w:tcPr>
            <w:tcW w:type="dxa" w:w="4153"/>
          </w:tcPr>
          <w:p>
            <w:r>
              <w:rPr/>
              <w:t>付款方式</w:t>
            </w:r>
          </w:p>
        </w:tc>
        <w:tc>
          <w:tcPr>
            <w:tcW w:type="dxa" w:w="4153"/>
          </w:tcPr>
          <w:p/>
          <w:p/>
          <w:p>
            <w:r>
              <w:rPr/>
              <w:t>1期：支付比例100%,★付款方式：（一）设备到货安装结束后，向采购人提交全部报告材料、调试完成后，设备无故障正常使用一个月后验收，验收合格后中标人凭以下材料（包含但不限于）申请支付。采购人收到材料并确认后，30日内向中标人支付至合同总额的100%： 1.采购人收货证明； 2.中标人开具的正式发票； 3.调试验收使用意见（加盖采购人验收部门章）； 4.有效商检报关证明文件（如果合同设备为进口货物的情况下要求提供）。 （二）结算方式：转账结算（银行转账）。 （三）开具发票：中标人收款时必须持有效发票。收款方、出具发票方、合同中标人均必须与中标人名称一致。 （四）付款期间如因特殊情况需调整，由双方协商处理。</w:t>
            </w:r>
          </w:p>
        </w:tc>
      </w:tr>
      <w:tr>
        <w:tc>
          <w:tcPr>
            <w:tcW w:type="dxa" w:w="4153"/>
          </w:tcPr>
          <w:p>
            <w:r>
              <w:rPr/>
              <w:t>验收要求</w:t>
            </w:r>
          </w:p>
        </w:tc>
        <w:tc>
          <w:tcPr>
            <w:tcW w:type="dxa" w:w="4153"/>
          </w:tcPr>
          <w:p/>
          <w:p/>
          <w:p/>
          <w:p>
            <w:r>
              <w:rPr/>
              <w:t>1期：★验收要求：1）货物若有国家标准按照国家标准验收，若无国家标准按行业标准验收，为原制造商制造的全新产品，整机无污染，无侵权行为、表面无划损、无任何缺陷隐患，在中国境内可依常规安全合法使用。2）货物为原厂商未启封全新包装，具出厂合格证，序列号、包装箱号与出厂批号一致，并可追索查阅。所有随设备的附件必须齐全。3）中标人应将关键主机设备的用户手册、保修手册、有关单证资料及配备件、随机工具等交付给采购人，使用操作及安全须知等重要资料应附有中文说明。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5）如所投设备属于《中华人民共和国强制检定的工作计量器具目录》内的，验收时中标人需提供合法正规的计量合格证，否则验收不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★产品资质，如果投标产品隶属医疗器械管理的，须提供产品的医疗器械备案凭证或提供产品的医疗器械注册证（投标时须提供扫描件并加盖投标人公章）。</w:t>
            </w:r>
          </w:p>
        </w:tc>
      </w:tr>
    </w:tbl>
    <w:p/>
    <w:p>
      <w:r>
        <w:rPr/>
        <w:t>其他商务需求</w:t>
      </w:r>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一、其他要求</w:t>
            </w:r>
          </w:p>
        </w:tc>
        <w:tc>
          <w:tcPr>
            <w:tcW w:type="dxa" w:w="2076"/>
          </w:tcPr>
          <w:p>
            <w:pPr>
              <w:jc w:val="left"/>
            </w:pPr>
            <w:r>
              <w:rPr/>
              <w:t>本项目为“交钥匙”项目，中标人须承担及负责《招标文件》对中标人要求的一切事宜及责任。包含但不限于项目货物供货、运输装卸、保管、安装、调试、设备网络连接、送检、验收、培训、相关的税费、相关服务及合同实施过程中的应预见和不可预见等费用。若本项目采购的设备产品等方面的配置或要求中出现不合理或设备数量不完整的问题时，中标人有责任和义务在投标文件中提出补充修改方案并征得采购人同意后付诸实施。否则将视为提供实现相关功能的设备及服务的相关费用已包含在投标报价内，以达到本采购项目相关要求。</w:t>
            </w:r>
          </w:p>
        </w:tc>
      </w:tr>
      <w:tr>
        <w:tc>
          <w:tcPr>
            <w:tcW w:type="dxa" w:w="2076"/>
          </w:tcPr>
          <w:p>
            <w:pPr>
              <w:jc w:val="center"/>
            </w:pPr>
            <w:r>
              <w:rPr/>
              <w:t>★</w:t>
            </w:r>
          </w:p>
        </w:tc>
        <w:tc>
          <w:tcPr>
            <w:tcW w:type="dxa" w:w="2076"/>
          </w:tcPr>
          <w:p>
            <w:pPr>
              <w:jc w:val="center"/>
            </w:pPr>
            <w:r>
              <w:rPr/>
              <w:t>2</w:t>
            </w:r>
          </w:p>
        </w:tc>
        <w:tc>
          <w:tcPr>
            <w:tcW w:type="dxa" w:w="2076"/>
          </w:tcPr>
          <w:p>
            <w:pPr>
              <w:jc w:val="left"/>
            </w:pPr>
            <w:r>
              <w:rPr/>
              <w:t>二、供货要求</w:t>
            </w:r>
          </w:p>
        </w:tc>
        <w:tc>
          <w:tcPr>
            <w:tcW w:type="dxa" w:w="2076"/>
          </w:tcPr>
          <w:p>
            <w:pPr>
              <w:jc w:val="left"/>
            </w:pPr>
            <w:r>
              <w:rPr/>
              <w:t>（一）所有产品来源均应符合有关规定，产品来源渠道合法。 （二）中标人必须负责将所有设备运送至采购人指定的地点。 （三）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 （四）设备材料的包装必须是制造商原厂包装，其包装均应有良好的防湿、防锈、防潮、防雨、防腐及防碰撞的措施，凡由于包装不良造成的损失和由此产生的费用均由中标人承担。 （五）货物在现场的保管由中标人负责，直至项目安装、验收完毕。 （六）货物在系统安装调试验收合格前的一切保险由中标人负责。中标人负责其派出的现场服务人员人身意外保险。 （七）中标人投标时所提供的货物如在实际供货时已经停产（不列入该厂家当时的产品系统），如果未能按原报价提供更技术参数及质量优的货物，采购人将有权单方面终止合同的执行，并追究因中标人所提供的未达到所承诺的产品而产生的所有损失和责任。 （八）中标人在实际供货时，若被发现提供的货物未能达到招标文件和投标文件中的有关要求，将按有关法规进行处罚，采购人将有权单方面终止合同的执行，并追究因中标人所提供的未达到所承诺的产品而产生的所有损失和责任。 （九）中标人负责将货物运到采购人的使用现场（整个运输过程包括但不限于装卸车、货物到现场的搬运费用）。 （十）所有货物在开箱检验时必须完好，无破损，各种设备必须提供装箱清单，按装箱清单验收货物。货物外观清洁。数量、质量及性能不低于中标人投标文件中所投产品设备的数量和性能。（十一）如中标人所投产品为第二类医疗器械，须在签订合同前向采购人提供有效的医疗器械经营备案凭证复印件。</w:t>
            </w:r>
          </w:p>
        </w:tc>
      </w:tr>
      <w:tr>
        <w:tc>
          <w:tcPr>
            <w:tcW w:type="dxa" w:w="2076"/>
          </w:tcPr>
          <w:p>
            <w:pPr>
              <w:jc w:val="center"/>
            </w:pPr>
            <w:r>
              <w:rPr/>
              <w:t>★</w:t>
            </w:r>
          </w:p>
        </w:tc>
        <w:tc>
          <w:tcPr>
            <w:tcW w:type="dxa" w:w="2076"/>
          </w:tcPr>
          <w:p>
            <w:pPr>
              <w:jc w:val="center"/>
            </w:pPr>
            <w:r>
              <w:rPr/>
              <w:t>3</w:t>
            </w:r>
          </w:p>
        </w:tc>
        <w:tc>
          <w:tcPr>
            <w:tcW w:type="dxa" w:w="2076"/>
          </w:tcPr>
          <w:p>
            <w:pPr>
              <w:jc w:val="left"/>
            </w:pPr>
            <w:r>
              <w:rPr/>
              <w:t>三、培训要求</w:t>
            </w:r>
          </w:p>
        </w:tc>
        <w:tc>
          <w:tcPr>
            <w:tcW w:type="dxa" w:w="2076"/>
          </w:tcPr>
          <w:p>
            <w:pPr>
              <w:jc w:val="left"/>
            </w:pPr>
            <w:r>
              <w:rPr/>
              <w:t>（一）中标人须根据采购人的要求安排熟悉本项目的专业技术人员在采购人指定的使用科室（采购人办公地点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（三）所有的培训费用包含中标人的差旅、食宿、教材、资料等由中标人负责，均包含在中标金额中。</w:t>
            </w:r>
          </w:p>
        </w:tc>
      </w:tr>
      <w:tr>
        <w:tc>
          <w:tcPr>
            <w:tcW w:type="dxa" w:w="2076"/>
          </w:tcPr>
          <w:p>
            <w:pPr>
              <w:jc w:val="center"/>
            </w:pPr>
            <w:r>
              <w:rPr/>
              <w:t>★</w:t>
            </w:r>
          </w:p>
        </w:tc>
        <w:tc>
          <w:tcPr>
            <w:tcW w:type="dxa" w:w="2076"/>
          </w:tcPr>
          <w:p>
            <w:pPr>
              <w:jc w:val="center"/>
            </w:pPr>
            <w:r>
              <w:rPr/>
              <w:t>4</w:t>
            </w:r>
          </w:p>
        </w:tc>
        <w:tc>
          <w:tcPr>
            <w:tcW w:type="dxa" w:w="2076"/>
          </w:tcPr>
          <w:p>
            <w:pPr>
              <w:jc w:val="left"/>
            </w:pPr>
            <w:r>
              <w:rPr/>
              <w:t>四、质保期及售后服务要求</w:t>
            </w:r>
          </w:p>
        </w:tc>
        <w:tc>
          <w:tcPr>
            <w:tcW w:type="dxa" w:w="2076"/>
          </w:tcPr>
          <w:p>
            <w:pPr>
              <w:jc w:val="left"/>
            </w:pPr>
            <w:r>
              <w:rPr/>
              <w:t>（一）所有设备质保期不少于三年。质保期内中标人对所供货物实行包修、包换、包退、包维护保养，质保期内核心产品每个季度提供一次设备维护保养服务（如厂家的保养标准高于此，从其规定），每次保养后需提交维修保养工作报告，未按时提供视为违约。保养服务相关费用已包含在报价内。 （二）质保期内非因采购人的人为原因而出现产品质量及安装问题，由中标人负责包修、包换或包退，并承担因此而产生的一切费用。中标人提供7×24小时电话维护响应服务，应在收到采购人通知后1小时响应，4小时内派员到现场维修（第二章 采购需求要求另有规定除外）, 并在48小时内消除障碍。质保期内，维修时间超过48小时，提供备用机或主要零配件；并按维修延误时间的1:5延长保修期。如停用时间累计超过60天则质保期重新计算。若中标人未能及时派员到现场维修，中标人应向采购人支付合同金额千分之五的违约金/每次；若中标人未能在48小时内消除障碍，采购人有权聘请第三方消除障碍，由此产生的费用由中标人承担。 （三）保修期满后中标人对设备终身负责维修及系统软件免费升级，长期以优惠价提供零配件。质保期后对采购人的服务通知，中标人在接报后1小时内响应，4小时内到达现场，48小时内处理完毕。若在48小时内仍未能有效解决，中标人须48小时内提供同档次的设备或主要零配件予采购人临时使用。 （四）因货物的质量问题发生争议时，由本地质量技术监督部门进行鉴定。货物符合质量技术标准的，鉴定费用由采购人承担；否则由中标人承担，且退货处理，按违约条例办理。 （五）在质保期内，同一设备、出现相同或相似故障现象连续两次维修仍无法正常使用，无条件48小时内更换同品牌、同型号新设备。</w:t>
            </w:r>
          </w:p>
        </w:tc>
      </w:tr>
      <w:tr>
        <w:tc>
          <w:tcPr>
            <w:tcW w:type="dxa" w:w="2076"/>
          </w:tcPr>
          <w:p>
            <w:pPr>
              <w:jc w:val="center"/>
            </w:pPr>
            <w:r>
              <w:rPr/>
              <w:t>★</w:t>
            </w:r>
          </w:p>
        </w:tc>
        <w:tc>
          <w:tcPr>
            <w:tcW w:type="dxa" w:w="2076"/>
          </w:tcPr>
          <w:p>
            <w:pPr>
              <w:jc w:val="center"/>
            </w:pPr>
            <w:r>
              <w:rPr/>
              <w:t>5</w:t>
            </w:r>
          </w:p>
        </w:tc>
        <w:tc>
          <w:tcPr>
            <w:tcW w:type="dxa" w:w="2076"/>
          </w:tcPr>
          <w:p>
            <w:pPr>
              <w:jc w:val="left"/>
            </w:pPr>
            <w:r>
              <w:rPr/>
              <w:t>五、安装与调试</w:t>
            </w:r>
          </w:p>
        </w:tc>
        <w:tc>
          <w:tcPr>
            <w:tcW w:type="dxa" w:w="2076"/>
          </w:tcPr>
          <w:p>
            <w:pPr>
              <w:jc w:val="left"/>
            </w:pPr>
            <w:r>
              <w:rPr/>
              <w:t>（一）中标人必须依照招标文件的要求和投标文件的承诺，将设备、系统安装并调试至正常运行的最佳状态。 （二）签订合同时中标人必须提供所有设备的医疗设备注册证，中标人若为代理经销商的，须提供有效的授权证明资料，或提供连贯的产品合法性来源证明资料。</w:t>
            </w:r>
          </w:p>
        </w:tc>
      </w:tr>
      <w:tr>
        <w:tc>
          <w:tcPr>
            <w:tcW w:type="dxa" w:w="2076"/>
          </w:tcPr>
          <w:p>
            <w:pPr>
              <w:jc w:val="center"/>
            </w:pPr>
            <w:r>
              <w:rPr/>
              <w:t>★</w:t>
            </w:r>
          </w:p>
        </w:tc>
        <w:tc>
          <w:tcPr>
            <w:tcW w:type="dxa" w:w="2076"/>
          </w:tcPr>
          <w:p>
            <w:pPr>
              <w:jc w:val="center"/>
            </w:pPr>
            <w:r>
              <w:rPr/>
              <w:t>6</w:t>
            </w:r>
          </w:p>
        </w:tc>
        <w:tc>
          <w:tcPr>
            <w:tcW w:type="dxa" w:w="2076"/>
          </w:tcPr>
          <w:p>
            <w:pPr>
              <w:jc w:val="left"/>
            </w:pPr>
            <w:r>
              <w:rPr/>
              <w:t>六、违约条款与赔偿损失</w:t>
            </w:r>
          </w:p>
        </w:tc>
        <w:tc>
          <w:tcPr>
            <w:tcW w:type="dxa" w:w="2076"/>
          </w:tcPr>
          <w:p>
            <w:pPr>
              <w:jc w:val="left"/>
            </w:pPr>
            <w:r>
              <w:rPr/>
              <w:t>（一）中标人交付的货物、提供的服务不符合采购文件、报价文件或本合同规定的，采购人有权拒收，并且中标人须向采购人支付本合同总价5%的违约金。 （二）中标人未能按本合同规定的交货时间交付货物/提供服务，从逾期之日起每日按本合同总价3‰的数额向采购人支付违约金；逾期半个月以上的，采购人有权终止合同，由此造成的采购人经济损失由中标人承担。 （三）采购人无正当理由拒收货物/接受服务，到期拒付货物/服务款项的，采购人向中标人偿付本合同总价5%的违约金。采购人逾期付款的，则每日按本合同总价的3‰向中标人偿付违约金。 （四）其它违约责任按《中华人民共和国民法典》处理。</w:t>
            </w:r>
          </w:p>
        </w:tc>
      </w:tr>
      <w:tr>
        <w:tc>
          <w:tcPr>
            <w:tcW w:type="dxa" w:w="2076"/>
          </w:tcPr>
          <w:p>
            <w:pPr>
              <w:jc w:val="center"/>
            </w:pPr>
            <w:r>
              <w:rPr/>
              <w:t>★</w:t>
            </w:r>
          </w:p>
        </w:tc>
        <w:tc>
          <w:tcPr>
            <w:tcW w:type="dxa" w:w="2076"/>
          </w:tcPr>
          <w:p>
            <w:pPr>
              <w:jc w:val="center"/>
            </w:pPr>
            <w:r>
              <w:rPr/>
              <w:t>7</w:t>
            </w:r>
          </w:p>
        </w:tc>
        <w:tc>
          <w:tcPr>
            <w:tcW w:type="dxa" w:w="2076"/>
          </w:tcPr>
          <w:p>
            <w:pPr>
              <w:jc w:val="left"/>
            </w:pPr>
            <w:r>
              <w:rPr/>
              <w:t>七、报价要求</w:t>
            </w:r>
          </w:p>
        </w:tc>
        <w:tc>
          <w:tcPr>
            <w:tcW w:type="dxa" w:w="2076"/>
          </w:tcPr>
          <w:p>
            <w:pPr>
              <w:jc w:val="left"/>
            </w:pPr>
            <w:r>
              <w:rPr/>
              <w:t>（一）报价方式为广东省佛山市目的地包干价。  （二）投标总价包括但不限于全部产品及零配件、运输装卸、安装调试、设备网络连接、培训、售后服务、人工、交通差旅、耗材、检测调试的设备仪器、更换设备服务费、工具、管理、利润风险、国家政府相关部门的税费及有关规定的费用、社保金等相关费用等合同实施过程中应预见和不可预见的全部费用。中标人必须自行考虑在本项目实施期间的一切可能产生的费用，在项目的实施过程中，采购人除了支付合同规定的款项外，一切合同规定外的费用将拒绝支付。（三）投标人的投标分项报价表中须单独列明各采购标的的报价，各采购标的的报价均不能超过分项预算单价及各包组最高限价，否则视为无效投标，其中投标总价用作投标报价得分评审。</w:t>
            </w:r>
          </w:p>
        </w:tc>
      </w:tr>
      <w:tr>
        <w:tc>
          <w:tcPr>
            <w:tcW w:type="dxa" w:w="2076"/>
          </w:tcPr>
          <w:p>
            <w:pPr>
              <w:jc w:val="center"/>
            </w:pPr>
            <w:r>
              <w:rPr/>
              <w:t>★</w:t>
            </w:r>
          </w:p>
        </w:tc>
        <w:tc>
          <w:tcPr>
            <w:tcW w:type="dxa" w:w="2076"/>
          </w:tcPr>
          <w:p>
            <w:pPr>
              <w:jc w:val="center"/>
            </w:pPr>
            <w:r>
              <w:rPr/>
              <w:t>8</w:t>
            </w:r>
          </w:p>
        </w:tc>
        <w:tc>
          <w:tcPr>
            <w:tcW w:type="dxa" w:w="2076"/>
          </w:tcPr>
          <w:p>
            <w:pPr>
              <w:jc w:val="left"/>
            </w:pPr>
            <w:r>
              <w:rPr/>
              <w:t>八、知识产权</w:t>
            </w:r>
          </w:p>
        </w:tc>
        <w:tc>
          <w:tcPr>
            <w:tcW w:type="dxa" w:w="2076"/>
          </w:tcPr>
          <w:p>
            <w:pPr>
              <w:jc w:val="left"/>
            </w:pPr>
            <w:r>
              <w:rPr/>
              <w:t>（一）中标人应保证向采购人销售的本采购合同项下的货物或其任何部分不侵犯任何第三方知识产权，并保证采购人购买和正常使用货物过程中免受第三方就知识产权侵权提出的任何纠纷、制裁、索赔或起诉。 （二）采购人不对中标人提供的货物是否侵犯他人权利负责，如因中标人提供的货物因任何知识产权问题给采购人造成损失的，无论是执行合同期间或合同到期后的任何时间，中标人均应负责解决纠纷,并按采购人损失金额的1.5倍进行赔偿。 （三）对于货物的知识产权非中标人所有的，中标人应向采购人提供货物的正规销售授权文件。</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麻醉监护仪</w:t>
            </w:r>
          </w:p>
        </w:tc>
        <w:tc>
          <w:tcPr>
            <w:tcW w:type="dxa" w:w="831"/>
          </w:tcPr>
          <w:p>
            <w:pPr>
              <w:jc w:val="left"/>
            </w:pPr>
            <w:r>
              <w:rPr/>
              <w:t>台</w:t>
            </w:r>
          </w:p>
        </w:tc>
        <w:tc>
          <w:tcPr>
            <w:tcW w:type="dxa" w:w="831"/>
          </w:tcPr>
          <w:p>
            <w:pPr>
              <w:jc w:val="right"/>
            </w:pPr>
            <w:r>
              <w:rPr/>
              <w:t>1.00</w:t>
            </w:r>
          </w:p>
        </w:tc>
        <w:tc>
          <w:tcPr>
            <w:tcW w:type="dxa" w:w="831"/>
          </w:tcPr>
          <w:p>
            <w:pPr>
              <w:jc w:val="right"/>
            </w:pPr>
            <w:r>
              <w:rPr/>
              <w:t>180,000.00</w:t>
            </w:r>
          </w:p>
        </w:tc>
        <w:tc>
          <w:tcPr>
            <w:tcW w:type="dxa" w:w="831"/>
          </w:tcPr>
          <w:p>
            <w:pPr>
              <w:jc w:val="right"/>
            </w:pPr>
            <w:r>
              <w:rPr/>
              <w:t>180,000.00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其他医疗设备</w:t>
            </w:r>
          </w:p>
        </w:tc>
        <w:tc>
          <w:tcPr>
            <w:tcW w:type="dxa" w:w="831"/>
          </w:tcPr>
          <w:p>
            <w:pPr>
              <w:jc w:val="left"/>
            </w:pPr>
            <w:r>
              <w:rPr/>
              <w:t>血透透析滤过机（血液透析滤过装置）</w:t>
            </w:r>
          </w:p>
        </w:tc>
        <w:tc>
          <w:tcPr>
            <w:tcW w:type="dxa" w:w="831"/>
          </w:tcPr>
          <w:p>
            <w:pPr>
              <w:jc w:val="left"/>
            </w:pPr>
            <w:r>
              <w:rPr/>
              <w:t>台</w:t>
            </w:r>
          </w:p>
        </w:tc>
        <w:tc>
          <w:tcPr>
            <w:tcW w:type="dxa" w:w="831"/>
          </w:tcPr>
          <w:p>
            <w:pPr>
              <w:jc w:val="right"/>
            </w:pPr>
            <w:r>
              <w:rPr/>
              <w:t>3.00</w:t>
            </w:r>
          </w:p>
        </w:tc>
        <w:tc>
          <w:tcPr>
            <w:tcW w:type="dxa" w:w="831"/>
          </w:tcPr>
          <w:p>
            <w:pPr>
              <w:jc w:val="right"/>
            </w:pPr>
            <w:r>
              <w:rPr/>
              <w:t>268,000.00</w:t>
            </w:r>
          </w:p>
        </w:tc>
        <w:tc>
          <w:tcPr>
            <w:tcW w:type="dxa" w:w="831"/>
          </w:tcPr>
          <w:p>
            <w:pPr>
              <w:jc w:val="right"/>
            </w:pPr>
            <w:r>
              <w:rPr/>
              <w:t>804,000.00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临床检验设备</w:t>
            </w:r>
          </w:p>
        </w:tc>
        <w:tc>
          <w:tcPr>
            <w:tcW w:type="dxa" w:w="831"/>
          </w:tcPr>
          <w:p>
            <w:pPr>
              <w:jc w:val="left"/>
            </w:pPr>
            <w:r>
              <w:rPr/>
              <w:t>磁敏免疫分析仪</w:t>
            </w:r>
          </w:p>
        </w:tc>
        <w:tc>
          <w:tcPr>
            <w:tcW w:type="dxa" w:w="831"/>
          </w:tcPr>
          <w:p>
            <w:pPr>
              <w:jc w:val="left"/>
            </w:pPr>
            <w:r>
              <w:rPr/>
              <w:t>台</w:t>
            </w:r>
          </w:p>
        </w:tc>
        <w:tc>
          <w:tcPr>
            <w:tcW w:type="dxa" w:w="831"/>
          </w:tcPr>
          <w:p>
            <w:pPr>
              <w:jc w:val="right"/>
            </w:pPr>
            <w:r>
              <w:rPr/>
              <w:t>1.00</w:t>
            </w:r>
          </w:p>
        </w:tc>
        <w:tc>
          <w:tcPr>
            <w:tcW w:type="dxa" w:w="831"/>
          </w:tcPr>
          <w:p>
            <w:pPr>
              <w:jc w:val="right"/>
            </w:pPr>
            <w:r>
              <w:rPr/>
              <w:t>96,000.00</w:t>
            </w:r>
          </w:p>
        </w:tc>
        <w:tc>
          <w:tcPr>
            <w:tcW w:type="dxa" w:w="831"/>
          </w:tcPr>
          <w:p>
            <w:pPr>
              <w:jc w:val="right"/>
            </w:pPr>
            <w:r>
              <w:rPr/>
              <w:t>96,000.00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临床检验设备</w:t>
            </w:r>
          </w:p>
        </w:tc>
        <w:tc>
          <w:tcPr>
            <w:tcW w:type="dxa" w:w="831"/>
          </w:tcPr>
          <w:p>
            <w:pPr>
              <w:jc w:val="left"/>
            </w:pPr>
            <w:r>
              <w:rPr/>
              <w:t>全自动微生物鉴定及药敏分析系统</w:t>
            </w:r>
          </w:p>
        </w:tc>
        <w:tc>
          <w:tcPr>
            <w:tcW w:type="dxa" w:w="831"/>
          </w:tcPr>
          <w:p>
            <w:pPr>
              <w:jc w:val="left"/>
            </w:pPr>
            <w:r>
              <w:rPr/>
              <w:t>台</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临床检验设备</w:t>
            </w:r>
          </w:p>
        </w:tc>
        <w:tc>
          <w:tcPr>
            <w:tcW w:type="dxa" w:w="831"/>
          </w:tcPr>
          <w:p>
            <w:pPr>
              <w:jc w:val="left"/>
            </w:pPr>
            <w:r>
              <w:rPr/>
              <w:t>荧光免疫定量分析仪</w:t>
            </w:r>
          </w:p>
        </w:tc>
        <w:tc>
          <w:tcPr>
            <w:tcW w:type="dxa" w:w="831"/>
          </w:tcPr>
          <w:p>
            <w:pPr>
              <w:jc w:val="left"/>
            </w:pPr>
            <w:r>
              <w:rPr/>
              <w:t>台</w:t>
            </w:r>
          </w:p>
        </w:tc>
        <w:tc>
          <w:tcPr>
            <w:tcW w:type="dxa" w:w="831"/>
          </w:tcPr>
          <w:p>
            <w:pPr>
              <w:jc w:val="right"/>
            </w:pPr>
            <w:r>
              <w:rPr/>
              <w:t>1.00</w:t>
            </w:r>
          </w:p>
        </w:tc>
        <w:tc>
          <w:tcPr>
            <w:tcW w:type="dxa" w:w="831"/>
          </w:tcPr>
          <w:p>
            <w:pPr>
              <w:jc w:val="right"/>
            </w:pPr>
            <w:r>
              <w:rPr/>
              <w:t>9,000.00</w:t>
            </w:r>
          </w:p>
        </w:tc>
        <w:tc>
          <w:tcPr>
            <w:tcW w:type="dxa" w:w="831"/>
          </w:tcPr>
          <w:p>
            <w:pPr>
              <w:jc w:val="right"/>
            </w:pPr>
            <w:r>
              <w:rPr/>
              <w:t>9,000.00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体表标测心电图检测系统</w:t>
            </w:r>
          </w:p>
        </w:tc>
        <w:tc>
          <w:tcPr>
            <w:tcW w:type="dxa" w:w="831"/>
          </w:tcPr>
          <w:p>
            <w:pPr>
              <w:jc w:val="left"/>
            </w:pPr>
            <w:r>
              <w:rPr/>
              <w:t>台</w:t>
            </w:r>
          </w:p>
        </w:tc>
        <w:tc>
          <w:tcPr>
            <w:tcW w:type="dxa" w:w="831"/>
          </w:tcPr>
          <w:p>
            <w:pPr>
              <w:jc w:val="right"/>
            </w:pPr>
            <w:r>
              <w:rPr/>
              <w:t>1.00</w:t>
            </w:r>
          </w:p>
        </w:tc>
        <w:tc>
          <w:tcPr>
            <w:tcW w:type="dxa" w:w="831"/>
          </w:tcPr>
          <w:p>
            <w:pPr>
              <w:jc w:val="right"/>
            </w:pPr>
            <w:r>
              <w:rPr/>
              <w:t>9,500.00</w:t>
            </w:r>
          </w:p>
        </w:tc>
        <w:tc>
          <w:tcPr>
            <w:tcW w:type="dxa" w:w="831"/>
          </w:tcPr>
          <w:p>
            <w:pPr>
              <w:jc w:val="right"/>
            </w:pPr>
            <w:r>
              <w:rPr/>
              <w:t>9,500.00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心电图机（18导联）</w:t>
            </w:r>
          </w:p>
        </w:tc>
        <w:tc>
          <w:tcPr>
            <w:tcW w:type="dxa" w:w="831"/>
          </w:tcPr>
          <w:p>
            <w:pPr>
              <w:jc w:val="left"/>
            </w:pPr>
            <w:r>
              <w:rPr/>
              <w:t>台</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心电图机（18导联）</w:t>
            </w:r>
          </w:p>
        </w:tc>
        <w:tc>
          <w:tcPr>
            <w:tcW w:type="dxa" w:w="831"/>
          </w:tcPr>
          <w:p>
            <w:pPr>
              <w:jc w:val="left"/>
            </w:pPr>
            <w:r>
              <w:rPr/>
              <w:t>台</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全自动血压计（心内）</w:t>
            </w:r>
          </w:p>
        </w:tc>
        <w:tc>
          <w:tcPr>
            <w:tcW w:type="dxa" w:w="831"/>
          </w:tcPr>
          <w:p>
            <w:pPr>
              <w:jc w:val="left"/>
            </w:pPr>
            <w:r>
              <w:rPr/>
              <w:t>台</w:t>
            </w:r>
          </w:p>
        </w:tc>
        <w:tc>
          <w:tcPr>
            <w:tcW w:type="dxa" w:w="831"/>
          </w:tcPr>
          <w:p>
            <w:pPr>
              <w:jc w:val="right"/>
            </w:pPr>
            <w:r>
              <w:rPr/>
              <w:t>1.00</w:t>
            </w:r>
          </w:p>
        </w:tc>
        <w:tc>
          <w:tcPr>
            <w:tcW w:type="dxa" w:w="831"/>
          </w:tcPr>
          <w:p>
            <w:pPr>
              <w:jc w:val="right"/>
            </w:pPr>
            <w:r>
              <w:rPr/>
              <w:t>45,000.00</w:t>
            </w:r>
          </w:p>
        </w:tc>
        <w:tc>
          <w:tcPr>
            <w:tcW w:type="dxa" w:w="831"/>
          </w:tcPr>
          <w:p>
            <w:pPr>
              <w:jc w:val="right"/>
            </w:pPr>
            <w:r>
              <w:rPr/>
              <w:t>45,000.00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医用 X 线诊断设备</w:t>
            </w:r>
          </w:p>
        </w:tc>
        <w:tc>
          <w:tcPr>
            <w:tcW w:type="dxa" w:w="831"/>
          </w:tcPr>
          <w:p>
            <w:pPr>
              <w:jc w:val="left"/>
            </w:pPr>
            <w:r>
              <w:rPr/>
              <w:t>GE-DR机脊柱拼接系统</w:t>
            </w:r>
          </w:p>
        </w:tc>
        <w:tc>
          <w:tcPr>
            <w:tcW w:type="dxa" w:w="831"/>
          </w:tcPr>
          <w:p>
            <w:pPr>
              <w:jc w:val="left"/>
            </w:pPr>
            <w:r>
              <w:rPr/>
              <w:t>台</w:t>
            </w:r>
          </w:p>
        </w:tc>
        <w:tc>
          <w:tcPr>
            <w:tcW w:type="dxa" w:w="831"/>
          </w:tcPr>
          <w:p>
            <w:pPr>
              <w:jc w:val="right"/>
            </w:pPr>
            <w:r>
              <w:rPr/>
              <w:t>1.00</w:t>
            </w:r>
          </w:p>
        </w:tc>
        <w:tc>
          <w:tcPr>
            <w:tcW w:type="dxa" w:w="831"/>
          </w:tcPr>
          <w:p>
            <w:pPr>
              <w:jc w:val="right"/>
            </w:pPr>
            <w:r>
              <w:rPr/>
              <w:t>90,000.00</w:t>
            </w:r>
          </w:p>
        </w:tc>
        <w:tc>
          <w:tcPr>
            <w:tcW w:type="dxa" w:w="831"/>
          </w:tcPr>
          <w:p>
            <w:pPr>
              <w:jc w:val="right"/>
            </w:pPr>
            <w:r>
              <w:rPr/>
              <w:t>90,000.00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心电监护仪</w:t>
            </w:r>
          </w:p>
        </w:tc>
        <w:tc>
          <w:tcPr>
            <w:tcW w:type="dxa" w:w="831"/>
          </w:tcPr>
          <w:p>
            <w:pPr>
              <w:jc w:val="left"/>
            </w:pPr>
            <w:r>
              <w:rPr/>
              <w:t>台</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全自动血压计</w:t>
            </w:r>
          </w:p>
        </w:tc>
        <w:tc>
          <w:tcPr>
            <w:tcW w:type="dxa" w:w="831"/>
          </w:tcPr>
          <w:p>
            <w:pPr>
              <w:jc w:val="left"/>
            </w:pPr>
            <w:r>
              <w:rPr/>
              <w:t>台</w:t>
            </w:r>
          </w:p>
        </w:tc>
        <w:tc>
          <w:tcPr>
            <w:tcW w:type="dxa" w:w="831"/>
          </w:tcPr>
          <w:p>
            <w:pPr>
              <w:jc w:val="right"/>
            </w:pPr>
            <w:r>
              <w:rPr/>
              <w:t>1.00</w:t>
            </w:r>
          </w:p>
        </w:tc>
        <w:tc>
          <w:tcPr>
            <w:tcW w:type="dxa" w:w="831"/>
          </w:tcPr>
          <w:p>
            <w:pPr>
              <w:jc w:val="right"/>
            </w:pPr>
            <w:r>
              <w:rPr/>
              <w:t>20,000.00</w:t>
            </w:r>
          </w:p>
        </w:tc>
        <w:tc>
          <w:tcPr>
            <w:tcW w:type="dxa" w:w="831"/>
          </w:tcPr>
          <w:p>
            <w:pPr>
              <w:jc w:val="right"/>
            </w:pPr>
            <w:r>
              <w:rPr/>
              <w:t>20,000.00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心电图机（便携式）</w:t>
            </w:r>
          </w:p>
        </w:tc>
        <w:tc>
          <w:tcPr>
            <w:tcW w:type="dxa" w:w="831"/>
          </w:tcPr>
          <w:p>
            <w:pPr>
              <w:jc w:val="left"/>
            </w:pPr>
            <w:r>
              <w:rPr/>
              <w:t>台</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医用超声波仪器及设备</w:t>
            </w:r>
          </w:p>
        </w:tc>
        <w:tc>
          <w:tcPr>
            <w:tcW w:type="dxa" w:w="831"/>
          </w:tcPr>
          <w:p>
            <w:pPr>
              <w:jc w:val="left"/>
            </w:pPr>
            <w:r>
              <w:rPr/>
              <w:t>剪切波组织定量超声诊断仪</w:t>
            </w:r>
          </w:p>
        </w:tc>
        <w:tc>
          <w:tcPr>
            <w:tcW w:type="dxa" w:w="831"/>
          </w:tcPr>
          <w:p>
            <w:pPr>
              <w:jc w:val="left"/>
            </w:pPr>
            <w:r>
              <w:rPr/>
              <w:t>台</w:t>
            </w:r>
          </w:p>
        </w:tc>
        <w:tc>
          <w:tcPr>
            <w:tcW w:type="dxa" w:w="831"/>
          </w:tcPr>
          <w:p>
            <w:pPr>
              <w:jc w:val="right"/>
            </w:pPr>
            <w:r>
              <w:rPr/>
              <w:t>1.00</w:t>
            </w:r>
          </w:p>
        </w:tc>
        <w:tc>
          <w:tcPr>
            <w:tcW w:type="dxa" w:w="831"/>
          </w:tcPr>
          <w:p>
            <w:pPr>
              <w:jc w:val="right"/>
            </w:pPr>
            <w:r>
              <w:rPr/>
              <w:t>122,200.00</w:t>
            </w:r>
          </w:p>
        </w:tc>
        <w:tc>
          <w:tcPr>
            <w:tcW w:type="dxa" w:w="831"/>
          </w:tcPr>
          <w:p>
            <w:pPr>
              <w:jc w:val="right"/>
            </w:pPr>
            <w:r>
              <w:rPr/>
              <w:t>122,200.00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r>
              <w:rPr/>
              <w:t>△</w:t>
            </w:r>
          </w:p>
        </w:tc>
        <w:tc>
          <w:tcPr>
            <w:tcW w:type="dxa" w:w="831"/>
          </w:tcPr>
          <w:p>
            <w:pPr>
              <w:jc w:val="left"/>
            </w:pPr>
            <w:r>
              <w:rPr/>
              <w:t>医用电子生理参数检测仪器设备</w:t>
            </w:r>
          </w:p>
        </w:tc>
        <w:tc>
          <w:tcPr>
            <w:tcW w:type="dxa" w:w="831"/>
          </w:tcPr>
          <w:p>
            <w:pPr>
              <w:jc w:val="left"/>
            </w:pPr>
            <w:r>
              <w:rPr/>
              <w:t>电生理精准治疗系统</w:t>
            </w:r>
          </w:p>
        </w:tc>
        <w:tc>
          <w:tcPr>
            <w:tcW w:type="dxa" w:w="831"/>
          </w:tcPr>
          <w:p>
            <w:pPr>
              <w:jc w:val="left"/>
            </w:pPr>
            <w:r>
              <w:rPr/>
              <w:t>台</w:t>
            </w:r>
          </w:p>
        </w:tc>
        <w:tc>
          <w:tcPr>
            <w:tcW w:type="dxa" w:w="831"/>
          </w:tcPr>
          <w:p>
            <w:pPr>
              <w:jc w:val="right"/>
            </w:pPr>
            <w:r>
              <w:rPr/>
              <w:t>1.00</w:t>
            </w:r>
          </w:p>
        </w:tc>
        <w:tc>
          <w:tcPr>
            <w:tcW w:type="dxa" w:w="831"/>
          </w:tcPr>
          <w:p>
            <w:pPr>
              <w:jc w:val="right"/>
            </w:pPr>
            <w:r>
              <w:rPr/>
              <w:t>520,000.00</w:t>
            </w:r>
          </w:p>
        </w:tc>
        <w:tc>
          <w:tcPr>
            <w:tcW w:type="dxa" w:w="831"/>
          </w:tcPr>
          <w:p>
            <w:pPr>
              <w:jc w:val="right"/>
            </w:pPr>
            <w:r>
              <w:rPr/>
              <w:t>520,000.00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五官科超短波治疗机</w:t>
            </w:r>
          </w:p>
        </w:tc>
        <w:tc>
          <w:tcPr>
            <w:tcW w:type="dxa" w:w="831"/>
          </w:tcPr>
          <w:p>
            <w:pPr>
              <w:jc w:val="left"/>
            </w:pPr>
            <w:r>
              <w:rPr/>
              <w:t>台</w:t>
            </w:r>
          </w:p>
        </w:tc>
        <w:tc>
          <w:tcPr>
            <w:tcW w:type="dxa" w:w="831"/>
          </w:tcPr>
          <w:p>
            <w:pPr>
              <w:jc w:val="right"/>
            </w:pPr>
            <w:r>
              <w:rPr/>
              <w:t>1.00</w:t>
            </w:r>
          </w:p>
        </w:tc>
        <w:tc>
          <w:tcPr>
            <w:tcW w:type="dxa" w:w="831"/>
          </w:tcPr>
          <w:p>
            <w:pPr>
              <w:jc w:val="right"/>
            </w:pPr>
            <w:r>
              <w:rPr/>
              <w:t>35,000.00</w:t>
            </w:r>
          </w:p>
        </w:tc>
        <w:tc>
          <w:tcPr>
            <w:tcW w:type="dxa" w:w="831"/>
          </w:tcPr>
          <w:p>
            <w:pPr>
              <w:jc w:val="right"/>
            </w:pPr>
            <w:r>
              <w:rPr/>
              <w:t>35,000.00</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病房护理及医院设备</w:t>
            </w:r>
          </w:p>
        </w:tc>
        <w:tc>
          <w:tcPr>
            <w:tcW w:type="dxa" w:w="831"/>
          </w:tcPr>
          <w:p>
            <w:pPr>
              <w:jc w:val="left"/>
            </w:pPr>
            <w:r>
              <w:rPr/>
              <w:t>溶栓称重床</w:t>
            </w:r>
          </w:p>
        </w:tc>
        <w:tc>
          <w:tcPr>
            <w:tcW w:type="dxa" w:w="831"/>
          </w:tcPr>
          <w:p>
            <w:pPr>
              <w:jc w:val="left"/>
            </w:pPr>
            <w:r>
              <w:rPr/>
              <w:t>台</w:t>
            </w:r>
          </w:p>
        </w:tc>
        <w:tc>
          <w:tcPr>
            <w:tcW w:type="dxa" w:w="831"/>
          </w:tcPr>
          <w:p>
            <w:pPr>
              <w:jc w:val="right"/>
            </w:pPr>
            <w:r>
              <w:rPr/>
              <w:t>1.00</w:t>
            </w:r>
          </w:p>
        </w:tc>
        <w:tc>
          <w:tcPr>
            <w:tcW w:type="dxa" w:w="831"/>
          </w:tcPr>
          <w:p>
            <w:pPr>
              <w:jc w:val="right"/>
            </w:pPr>
            <w:r>
              <w:rPr/>
              <w:t>70,000.00</w:t>
            </w:r>
          </w:p>
        </w:tc>
        <w:tc>
          <w:tcPr>
            <w:tcW w:type="dxa" w:w="831"/>
          </w:tcPr>
          <w:p>
            <w:pPr>
              <w:jc w:val="right"/>
            </w:pPr>
            <w:r>
              <w:rPr/>
              <w:t>70,000.00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医用超声波仪器及设备</w:t>
            </w:r>
          </w:p>
        </w:tc>
        <w:tc>
          <w:tcPr>
            <w:tcW w:type="dxa" w:w="831"/>
          </w:tcPr>
          <w:p>
            <w:pPr>
              <w:jc w:val="left"/>
            </w:pPr>
            <w:r>
              <w:rPr/>
              <w:t>简易膀胱扫描仪</w:t>
            </w:r>
          </w:p>
        </w:tc>
        <w:tc>
          <w:tcPr>
            <w:tcW w:type="dxa" w:w="831"/>
          </w:tcPr>
          <w:p>
            <w:pPr>
              <w:jc w:val="left"/>
            </w:pPr>
            <w:r>
              <w:rPr/>
              <w:t>台</w:t>
            </w:r>
          </w:p>
        </w:tc>
        <w:tc>
          <w:tcPr>
            <w:tcW w:type="dxa" w:w="831"/>
          </w:tcPr>
          <w:p>
            <w:pPr>
              <w:jc w:val="right"/>
            </w:pPr>
            <w:r>
              <w:rPr/>
              <w:t>1.00</w:t>
            </w:r>
          </w:p>
        </w:tc>
        <w:tc>
          <w:tcPr>
            <w:tcW w:type="dxa" w:w="831"/>
          </w:tcPr>
          <w:p>
            <w:pPr>
              <w:jc w:val="right"/>
            </w:pPr>
            <w:r>
              <w:rPr/>
              <w:t>93,600.00</w:t>
            </w:r>
          </w:p>
        </w:tc>
        <w:tc>
          <w:tcPr>
            <w:tcW w:type="dxa" w:w="831"/>
          </w:tcPr>
          <w:p>
            <w:pPr>
              <w:jc w:val="right"/>
            </w:pPr>
            <w:r>
              <w:rPr/>
              <w:t>93,600.00</w:t>
            </w:r>
          </w:p>
        </w:tc>
        <w:tc>
          <w:tcPr>
            <w:tcW w:type="dxa" w:w="831"/>
          </w:tcPr>
          <w:p>
            <w:r>
              <w:rPr/>
              <w:t>工业</w:t>
            </w:r>
          </w:p>
        </w:tc>
        <w:tc>
          <w:tcPr>
            <w:tcW w:type="dxa" w:w="831"/>
          </w:tcPr>
          <w:p>
            <w:r>
              <w:rPr/>
              <w:t>详见附表一十八</w:t>
            </w:r>
          </w:p>
        </w:tc>
      </w:tr>
      <w:tr>
        <w:tc>
          <w:tcPr>
            <w:tcW w:type="dxa" w:w="831"/>
          </w:tcPr>
          <w:p>
            <w:pPr>
              <w:jc w:val="center"/>
            </w:pPr>
            <w:r>
              <w:rPr/>
              <w:t>19</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男性性功能生物反馈检测仪</w:t>
            </w:r>
          </w:p>
        </w:tc>
        <w:tc>
          <w:tcPr>
            <w:tcW w:type="dxa" w:w="831"/>
          </w:tcPr>
          <w:p>
            <w:pPr>
              <w:jc w:val="left"/>
            </w:pPr>
            <w:r>
              <w:rPr/>
              <w:t>台</w:t>
            </w:r>
          </w:p>
        </w:tc>
        <w:tc>
          <w:tcPr>
            <w:tcW w:type="dxa" w:w="831"/>
          </w:tcPr>
          <w:p>
            <w:pPr>
              <w:jc w:val="right"/>
            </w:pPr>
            <w:r>
              <w:rPr/>
              <w:t>1.00</w:t>
            </w:r>
          </w:p>
        </w:tc>
        <w:tc>
          <w:tcPr>
            <w:tcW w:type="dxa" w:w="831"/>
          </w:tcPr>
          <w:p>
            <w:pPr>
              <w:jc w:val="right"/>
            </w:pPr>
            <w:r>
              <w:rPr/>
              <w:t>290,000.00</w:t>
            </w:r>
          </w:p>
        </w:tc>
        <w:tc>
          <w:tcPr>
            <w:tcW w:type="dxa" w:w="831"/>
          </w:tcPr>
          <w:p>
            <w:pPr>
              <w:jc w:val="right"/>
            </w:pPr>
            <w:r>
              <w:rPr/>
              <w:t>290,000.00</w:t>
            </w:r>
          </w:p>
        </w:tc>
        <w:tc>
          <w:tcPr>
            <w:tcW w:type="dxa" w:w="831"/>
          </w:tcPr>
          <w:p>
            <w:r>
              <w:rPr/>
              <w:t>工业</w:t>
            </w:r>
          </w:p>
        </w:tc>
        <w:tc>
          <w:tcPr>
            <w:tcW w:type="dxa" w:w="831"/>
          </w:tcPr>
          <w:p>
            <w:r>
              <w:rPr/>
              <w:t>详见附表一十九</w:t>
            </w:r>
          </w:p>
        </w:tc>
      </w:tr>
      <w:tr>
        <w:tc>
          <w:tcPr>
            <w:tcW w:type="dxa" w:w="831"/>
          </w:tcPr>
          <w:p>
            <w:pPr>
              <w:jc w:val="center"/>
            </w:pPr>
            <w:r>
              <w:rPr/>
              <w:t>20</w:t>
            </w:r>
          </w:p>
        </w:tc>
        <w:tc>
          <w:tcPr>
            <w:tcW w:type="dxa" w:w="831"/>
          </w:tcPr>
          <w:p>
            <w:pPr>
              <w:jc w:val="center"/>
            </w:pPr>
          </w:p>
        </w:tc>
        <w:tc>
          <w:tcPr>
            <w:tcW w:type="dxa" w:w="831"/>
          </w:tcPr>
          <w:p>
            <w:pPr>
              <w:jc w:val="left"/>
            </w:pPr>
            <w:r>
              <w:rPr/>
              <w:t>医用内窥镜</w:t>
            </w:r>
          </w:p>
        </w:tc>
        <w:tc>
          <w:tcPr>
            <w:tcW w:type="dxa" w:w="831"/>
          </w:tcPr>
          <w:p>
            <w:pPr>
              <w:jc w:val="left"/>
            </w:pPr>
            <w:r>
              <w:rPr/>
              <w:t>硬性输尿管镜</w:t>
            </w:r>
          </w:p>
        </w:tc>
        <w:tc>
          <w:tcPr>
            <w:tcW w:type="dxa" w:w="831"/>
          </w:tcPr>
          <w:p>
            <w:pPr>
              <w:jc w:val="left"/>
            </w:pPr>
            <w:r>
              <w:rPr/>
              <w:t>条</w:t>
            </w:r>
          </w:p>
        </w:tc>
        <w:tc>
          <w:tcPr>
            <w:tcW w:type="dxa" w:w="831"/>
          </w:tcPr>
          <w:p>
            <w:pPr>
              <w:jc w:val="right"/>
            </w:pPr>
            <w:r>
              <w:rPr/>
              <w:t>1.00</w:t>
            </w:r>
          </w:p>
        </w:tc>
        <w:tc>
          <w:tcPr>
            <w:tcW w:type="dxa" w:w="831"/>
          </w:tcPr>
          <w:p>
            <w:pPr>
              <w:jc w:val="right"/>
            </w:pPr>
            <w:r>
              <w:rPr/>
              <w:t>190,000.00</w:t>
            </w:r>
          </w:p>
        </w:tc>
        <w:tc>
          <w:tcPr>
            <w:tcW w:type="dxa" w:w="831"/>
          </w:tcPr>
          <w:p>
            <w:pPr>
              <w:jc w:val="right"/>
            </w:pPr>
            <w:r>
              <w:rPr/>
              <w:t>190,000.00</w:t>
            </w:r>
          </w:p>
        </w:tc>
        <w:tc>
          <w:tcPr>
            <w:tcW w:type="dxa" w:w="831"/>
          </w:tcPr>
          <w:p>
            <w:r>
              <w:rPr/>
              <w:t>工业</w:t>
            </w:r>
          </w:p>
        </w:tc>
        <w:tc>
          <w:tcPr>
            <w:tcW w:type="dxa" w:w="831"/>
          </w:tcPr>
          <w:p>
            <w:r>
              <w:rPr/>
              <w:t>详见附表二十</w:t>
            </w:r>
          </w:p>
        </w:tc>
      </w:tr>
    </w:tbl>
    <w:p/>
    <w:p>
      <w:r>
        <w:rPr>
          <w:b/>
        </w:rPr>
        <w:t>附表</w:t>
      </w:r>
      <w:r>
        <w:rPr>
          <w:b/>
        </w:rPr>
        <w:t>一</w:t>
      </w:r>
      <w:r>
        <w:rPr>
          <w:b/>
        </w:rPr>
        <w:t>：</w:t>
      </w:r>
      <w:r>
        <w:rPr>
          <w:b/>
        </w:rPr>
        <w:t>麻醉监护仪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 xml:space="preserve">（一）功能和结构： </w:t>
            </w:r>
            <w:r>
              <w:br/>
            </w:r>
            <w:r>
              <w:rPr/>
              <w:t>1.液晶显示终端：≥16英寸，同时观察12通道波形，也可以外接显示终端；</w:t>
            </w:r>
            <w:r>
              <w:br/>
            </w:r>
            <w:r>
              <w:rPr/>
              <w:t>2.心电、呼吸、无创血压、血氧、体温、IBP、BIS参数的医用电气安全级别，达到CF级。</w:t>
            </w:r>
            <w:r>
              <w:br/>
            </w:r>
            <w:r>
              <w:rPr/>
              <w:t>3.▲标准配置：心电(ECG)、呼吸(RESP)、无创血压(NBP)、血氧饱和度(SpO2)、灌注指数（PI）、脉率(PR)、双体温(TEMP)、双有创压力(IBP) 、主流\旁流呼末二氧化碳(EtCO2) 、脑电双频指数(BIS)。</w:t>
            </w:r>
            <w:r>
              <w:br/>
            </w:r>
            <w:r>
              <w:rPr/>
              <w:t>4.配内置记录仪，可打印波形通道3通道。</w:t>
            </w:r>
            <w:r>
              <w:br/>
            </w:r>
            <w:r>
              <w:rPr/>
              <w:t>5.▲监护的病人类型包括：成人、小儿、新生儿，可根据病人类型自动更改报警设置并提供对应监测附件；</w:t>
            </w:r>
            <w:r>
              <w:br/>
            </w:r>
            <w:r>
              <w:rPr/>
              <w:t>6.显示界面：提供常规界面、实时动态短趋势、大字体、7/12导联同屏、他床观察、呼吸氧合图OxyCRG等界面；</w:t>
            </w:r>
            <w:r>
              <w:br/>
            </w:r>
            <w:r>
              <w:rPr/>
              <w:t>7.配心电3/5导；</w:t>
            </w:r>
            <w:r>
              <w:br/>
            </w:r>
            <w:r>
              <w:rPr/>
              <w:t>8.具有监护、手术（滤波）和扩展（诊断）等3种以上的滤波模式；</w:t>
            </w:r>
            <w:r>
              <w:br/>
            </w:r>
            <w:r>
              <w:rPr/>
              <w:t>9.心电扫描速度扫描速度 6.25/12.5/25/50 mm/s；</w:t>
            </w:r>
            <w:r>
              <w:br/>
            </w:r>
            <w:r>
              <w:rPr/>
              <w:t>10.具有起搏检测功能，可检出并滤过起搏器信号，避免被记作正常的QRS波群和心率。</w:t>
            </w:r>
            <w:r>
              <w:br/>
            </w:r>
            <w:r>
              <w:rPr/>
              <w:t>11.配心律失常种类至少23种，包括“房颤”等高级分析功能；</w:t>
            </w:r>
            <w:r>
              <w:br/>
            </w:r>
            <w:r>
              <w:rPr/>
              <w:t>12.▲配 QT/QTc 分析功能，显示QT、QTc、ΔQTc和QT-HR测量值，有利于发现尖端扭转型室速、室颤、癫痫、晕厥、猝死等高风险情况；</w:t>
            </w:r>
            <w:r>
              <w:br/>
            </w:r>
            <w:r>
              <w:rPr/>
              <w:t>13.具有12导ST分析功能，ST测量范围：-2.5mV至+2.5mV；</w:t>
            </w:r>
            <w:r>
              <w:br/>
            </w:r>
            <w:r>
              <w:rPr/>
              <w:t>14.提供ST环状图，实时更新，并可显示趋势。</w:t>
            </w:r>
            <w:r>
              <w:br/>
            </w:r>
            <w:r>
              <w:rPr/>
              <w:t>（二）监护参数：</w:t>
            </w:r>
            <w:r>
              <w:br/>
            </w:r>
            <w:r>
              <w:rPr/>
              <w:t>1.血氧监测</w:t>
            </w:r>
            <w:r>
              <w:br/>
            </w:r>
            <w:r>
              <w:rPr/>
              <w:t>(1)▲采用NELLCOR SpO2、FAST SpO2或Masimo SpO2三种金标准血氧技术之一，</w:t>
            </w:r>
            <w:r>
              <w:br/>
            </w:r>
            <w:r>
              <w:rPr/>
              <w:t>(2)具有灌注指数（PI）显示，指示外周小动脉充盈状态；</w:t>
            </w:r>
            <w:r>
              <w:br/>
            </w:r>
            <w:r>
              <w:rPr/>
              <w:t>(3)血氧脉率范围30-300bpm。</w:t>
            </w:r>
            <w:r>
              <w:br/>
            </w:r>
            <w:r>
              <w:rPr/>
              <w:t>2.无创血压监测</w:t>
            </w:r>
            <w:r>
              <w:br/>
            </w:r>
            <w:r>
              <w:rPr/>
              <w:t>(1)具有收缩压和舒张压的血压差报警功能；</w:t>
            </w:r>
            <w:r>
              <w:br/>
            </w:r>
            <w:r>
              <w:rPr/>
              <w:t>(2)NBP测量结束时，提供提示音；</w:t>
            </w:r>
            <w:r>
              <w:br/>
            </w:r>
            <w:r>
              <w:rPr/>
              <w:t>(3)具备辅助静脉穿刺功能。</w:t>
            </w:r>
            <w:r>
              <w:br/>
            </w:r>
            <w:r>
              <w:rPr/>
              <w:t>3.呼吸监测</w:t>
            </w:r>
            <w:r>
              <w:br/>
            </w:r>
            <w:r>
              <w:rPr/>
              <w:t>(1)常规使用阻抗法进行呼吸监测。</w:t>
            </w:r>
            <w:r>
              <w:br/>
            </w:r>
            <w:r>
              <w:rPr/>
              <w:t>(2)4种呼吸导联可以选择RA-LA、RA-LL、LA-RL、LL-RL。</w:t>
            </w:r>
            <w:r>
              <w:br/>
            </w:r>
            <w:r>
              <w:rPr/>
              <w:t>4.双有创血压监测</w:t>
            </w:r>
            <w:r>
              <w:br/>
            </w:r>
            <w:r>
              <w:rPr/>
              <w:t>(1)测量范围和报警范围：-50mmHg至400mmHg；</w:t>
            </w:r>
            <w:r>
              <w:br/>
            </w:r>
            <w:r>
              <w:rPr/>
              <w:t>(2)有创压力可选定压力标识，监护仪使用压力标识的存储设置，如波形颜色、报警设置。</w:t>
            </w:r>
            <w:r>
              <w:br/>
            </w:r>
            <w:r>
              <w:rPr/>
              <w:t>5.呼气末二氧化碳监测</w:t>
            </w:r>
            <w:r>
              <w:br/>
            </w:r>
            <w:r>
              <w:rPr/>
              <w:t>(1)▲配主流/旁流EtCO2模块；</w:t>
            </w:r>
            <w:r>
              <w:br/>
            </w:r>
            <w:r>
              <w:rPr/>
              <w:t>(2)旁流技术无需使用集水器或水槽；</w:t>
            </w:r>
            <w:r>
              <w:br/>
            </w:r>
            <w:r>
              <w:rPr/>
              <w:t>(3)提供实时二氧化碳曲线描记；</w:t>
            </w:r>
            <w:r>
              <w:br/>
            </w:r>
            <w:r>
              <w:rPr/>
              <w:t>6.脑电双频指数监测</w:t>
            </w:r>
            <w:r>
              <w:br/>
            </w:r>
            <w:r>
              <w:rPr/>
              <w:t>(1)可以捕获脑电图（EEG）信号，从脑电图信号导出若干数值，直观反映对患者意识清醒水平和麻醉深度；</w:t>
            </w:r>
            <w:r>
              <w:br/>
            </w:r>
            <w:r>
              <w:rPr/>
              <w:t>(2)提供参数包括：双频指数 (BIS)，信号质量指数 (SQI)，肌电活动 (EMG)，抑制比 (SR)，频谱边缘频率（SEF）等。</w:t>
            </w:r>
            <w:r>
              <w:br/>
            </w:r>
            <w:r>
              <w:rPr/>
              <w:t>（三）系统功能</w:t>
            </w:r>
            <w:r>
              <w:br/>
            </w:r>
            <w:r>
              <w:rPr/>
              <w:t>1.可支持≥160小时趋势图/表、≥2000组报警事件、≥48小时全息波形、≥48小时心律失常数据的存储和回顾</w:t>
            </w:r>
            <w:r>
              <w:br/>
            </w:r>
            <w:r>
              <w:rPr/>
              <w:t>2.具备心率变异分析功能，可对病人心率在一定时间内周期性改变情况进行分析，并对心率变异分析结果进行统计，以图形式显示。</w:t>
            </w:r>
            <w:r>
              <w:br/>
            </w:r>
            <w:r>
              <w:rPr/>
              <w:t xml:space="preserve">3.具备动态血压分析功能，可自动统计分析24小时内血压变化，自动显示平均血压、白天和夜间平均血压、血压高于正常百分比等参数，并以图形式显示。 </w:t>
            </w:r>
            <w:r>
              <w:br/>
            </w:r>
            <w:r>
              <w:rPr/>
              <w:t>4.配通气计算、血液动力学计算、药物浓度计算和氧合计算。</w:t>
            </w:r>
            <w:r>
              <w:br/>
            </w:r>
            <w:r>
              <w:rPr/>
              <w:t>5.可通过有线和无线的方式联入中央监护系统，实现监护仪集中管理。</w:t>
            </w:r>
            <w:r>
              <w:br/>
            </w:r>
            <w:r>
              <w:rPr/>
              <w:t>6.具备HL7数据输出，为EMR/HIS提供联网数据。</w:t>
            </w:r>
            <w:r>
              <w:br/>
            </w:r>
            <w:r>
              <w:rPr/>
              <w:t>7.具备VGA输出接口、护士呼叫接口和除颤同步输出和USB接口。</w:t>
            </w:r>
          </w:p>
        </w:tc>
      </w:tr>
      <w:tr>
        <w:tc>
          <w:tcPr>
            <w:tcW w:type="dxa" w:w="2076"/>
          </w:tcPr>
          <w:p>
            <w:r>
              <w:rPr/>
              <w:t>★</w:t>
            </w:r>
          </w:p>
        </w:tc>
        <w:tc>
          <w:tcPr>
            <w:tcW w:type="dxa" w:w="415"/>
          </w:tcPr>
          <w:p>
            <w:r>
              <w:rPr/>
              <w:t>2</w:t>
            </w:r>
          </w:p>
        </w:tc>
        <w:tc>
          <w:tcPr>
            <w:tcW w:type="dxa" w:w="5814"/>
          </w:tcPr>
          <w:p>
            <w:pPr>
              <w:jc w:val="both"/>
            </w:pPr>
            <w:r>
              <w:rPr>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3/5导心电监测功能及附件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血氧饱和度监测功能及附件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无创血压监测功能及附件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双体温测量功能</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双有创血压测量功能</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主路</w:t>
                  </w:r>
                  <w:r>
                    <w:rPr>
                      <w:sz w:val="21"/>
                    </w:rPr>
                    <w:t>/旁路呼气末二氧化碳测量功能及附件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双频指数监测功能及附件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血透透析滤过机（血液透析滤过装置）</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1.显示终端≥15英寸，可旋转彩色液晶显示终端，中文操作系统，360°可视四种颜色报警指示灯。</w:t>
            </w:r>
            <w:r>
              <w:br/>
            </w:r>
            <w:r>
              <w:rPr/>
              <w:t>2.至少支持五种治疗模式：HD、前或后稀释HDF、前或后稀释HF。</w:t>
            </w:r>
            <w:r>
              <w:br/>
            </w:r>
            <w:r>
              <w:rPr/>
              <w:t>3.▲采用双容量平衡腔超滤控制系统，平衡腔需有周期性的压力密闭平衡测试，周期可以10～15分钟一次。</w:t>
            </w:r>
            <w:r>
              <w:br/>
            </w:r>
            <w:r>
              <w:rPr/>
              <w:t>4.▲具备固定及自由设定的钠曲线3种以上。</w:t>
            </w:r>
            <w:r>
              <w:br/>
            </w:r>
            <w:r>
              <w:rPr/>
              <w:t>5.可调超滤曲线4种以上。</w:t>
            </w:r>
            <w:r>
              <w:br/>
            </w:r>
            <w:r>
              <w:rPr/>
              <w:t>6.超滤速率为0～4000ml/h 连续可调，可显示超滤目标、超滤时间、超滤速率、超滤量，精度±1%；可实现零超滤。</w:t>
            </w:r>
            <w:r>
              <w:br/>
            </w:r>
            <w:r>
              <w:rPr/>
              <w:t>7.血泵速度：30～600ml/min（8/12mm），血泵压力范围0到 +1000mmHg。</w:t>
            </w:r>
            <w:r>
              <w:br/>
            </w:r>
            <w:r>
              <w:rPr/>
              <w:t>8.肝素泵0.5～10ml/h可选用多种尺寸的注射器，可设置关泵时间。</w:t>
            </w:r>
            <w:r>
              <w:br/>
            </w:r>
            <w:r>
              <w:rPr/>
              <w:t>9.静脉压力监测范围 -100mmHg～+500mmHg,精确度±7mmHg；动脉压力监测范围 -300mmHg～+300Hg, 精确度±7mmHg。</w:t>
            </w:r>
            <w:r>
              <w:br/>
            </w:r>
            <w:r>
              <w:rPr/>
              <w:t>10.跨膜压监测范围-100～+400mmHg；有跨膜压自动跟踪报警功能。</w:t>
            </w:r>
            <w:r>
              <w:br/>
            </w:r>
            <w:r>
              <w:rPr/>
              <w:t>11.透析液流量0～1000ml/min，调整梯度可以是100 ml/min，透析液压力范围-750～+750 mmHg，钠浓度范围：125～150mmol/L可调。可根据实际的血流量，自动调节透析液流量。</w:t>
            </w:r>
            <w:r>
              <w:br/>
            </w:r>
            <w:r>
              <w:rPr/>
              <w:t>12.▲内置后备电源，断电后可维持15分钟以上血泵、肝素泵、气泡监测、LCD屏幕的正常运转并保存治疗数据。</w:t>
            </w:r>
            <w:r>
              <w:br/>
            </w:r>
            <w:r>
              <w:rPr/>
              <w:t>13.▲置换液生成系统：联机式自产置换液，置换量为1.5～36升/小时（25～600ml/min），精度为±10%，置换液与有效血流量自动匹配，使用小于等于2支透析液过滤器。</w:t>
            </w:r>
            <w:r>
              <w:br/>
            </w:r>
            <w:r>
              <w:rPr/>
              <w:t>14.透析液温度控制在34～39℃，可实时监测及可调，并有超温保护，透析液压力范围-420～+420 mmHg。</w:t>
            </w:r>
            <w:r>
              <w:br/>
            </w:r>
            <w:r>
              <w:rPr/>
              <w:t>15.具备化学消毒和热消毒。消毒脱钙一体化，中间无需任何操作，热消毒时间≤40分钟，短时消毒时间≤20分钟。</w:t>
            </w:r>
            <w:r>
              <w:br/>
            </w:r>
            <w:r>
              <w:rPr/>
              <w:t>16.可设定自动开、关机时间，自动预冲及选择自动消毒程序。</w:t>
            </w:r>
            <w:r>
              <w:br/>
            </w:r>
            <w:r>
              <w:rPr/>
              <w:t>17.▲配透析监测模块（实时 Kt/V），可实时测量并图形显示清除率K值、Kt/V值和血浆钠值，无需任何耗材及血样，非紫外线照射。</w:t>
            </w:r>
            <w:r>
              <w:br/>
            </w:r>
            <w:r>
              <w:rPr/>
              <w:t>18.配碳酸氢钠干粉(支架)与B液吸管，A、B液吸管能整合消毒，无需清洗棒等其他额外消耗品。</w:t>
            </w:r>
            <w:r>
              <w:br/>
            </w:r>
            <w:r>
              <w:rPr/>
              <w:t>19.▲配备紧急按钮，发生低血压时，可自动终止超滤，自动测血压，自动追加置换液，自动监测血容量。</w:t>
            </w:r>
            <w:r>
              <w:br/>
            </w:r>
            <w:r>
              <w:rPr/>
              <w:t>20.▲配透析液滤过装置，并配备原装防尘保护罩，能进行至少 11 次次氯酸钠消毒，有效去除水路中的脂质和蛋白沉积。</w:t>
            </w:r>
            <w:r>
              <w:br/>
            </w:r>
            <w:r>
              <w:rPr/>
              <w:t>21.自动连接测试功能：保证体外循环、肝素注射器、透析液系统连接正确。</w:t>
            </w:r>
            <w:r>
              <w:br/>
            </w:r>
            <w:r>
              <w:rPr/>
              <w:t>22.▲自动管路扭结和凝血警告；治疗开始后自动监测体外循环管路各接口和透析液接口连接正确无泄漏。</w:t>
            </w:r>
            <w:r>
              <w:br/>
            </w:r>
            <w:r>
              <w:rPr/>
              <w:t>23.具备漏液传感器：体外循环或机器内部有泄漏时自动报警。</w:t>
            </w:r>
            <w:r>
              <w:br/>
            </w:r>
            <w:r>
              <w:rPr/>
              <w:t>24.▲可根据实际的血流量，自动设定并根据跨膜压的变化调整置换液速率，自动调节透析液流量。</w:t>
            </w:r>
            <w:r>
              <w:br/>
            </w:r>
            <w:r>
              <w:rPr/>
              <w:t>25.配在线血压监测组件，可间隔性测量血压，也可持续性监测血压，显示范围为收缩压：30mmHg～280mmHg；舒张压：10mmHg～240mmHg；平均动脉压：20mmHg～255 mmHg</w:t>
            </w:r>
            <w:r>
              <w:br/>
            </w:r>
            <w:r>
              <w:rPr/>
              <w:t>26.兼容多种透析液配方，机内可预设记忆3种以上配方。</w:t>
            </w:r>
            <w:r>
              <w:br/>
            </w:r>
            <w:r>
              <w:rPr/>
              <w:t>27.▲交货时需提供设备合法正规的内毒素和电导度检测报告和计量合格证明（投标时须提供承诺函）。</w:t>
            </w:r>
            <w:r>
              <w:br/>
            </w:r>
            <w:r>
              <w:rPr/>
              <w:t>28.▲可以连接医院血透信息管理系统（投标时须提供承诺函）。</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1</w:t>
                  </w:r>
                </w:p>
              </w:tc>
              <w:tc>
                <w:tcPr>
                  <w:tcW w:type="dxa" w:w="2625"/>
                  <w:tcBorders>
                    <w:top w:val="none" w:color="000000" w:sz="4"/>
                    <w:left w:val="none" w:color="000000" w:sz="4"/>
                    <w:bottom w:val="single" w:color="000000" w:sz="4"/>
                    <w:right w:val="single" w:color="000000" w:sz="4"/>
                  </w:tcBorders>
                  <w:vAlign w:val="top"/>
                </w:tcPr>
                <w:p>
                  <w:pPr>
                    <w:jc w:val="both"/>
                  </w:pPr>
                  <w:r>
                    <w:rPr>
                      <w:sz w:val="21"/>
                    </w:rPr>
                    <w:t>电导度表</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2</w:t>
                  </w:r>
                </w:p>
              </w:tc>
              <w:tc>
                <w:tcPr>
                  <w:tcW w:type="dxa" w:w="2625"/>
                  <w:tcBorders>
                    <w:top w:val="none" w:color="000000" w:sz="4"/>
                    <w:left w:val="none" w:color="000000" w:sz="4"/>
                    <w:bottom w:val="single" w:color="000000" w:sz="4"/>
                    <w:right w:val="single" w:color="000000" w:sz="4"/>
                  </w:tcBorders>
                  <w:vAlign w:val="top"/>
                </w:tcPr>
                <w:p>
                  <w:pPr>
                    <w:jc w:val="both"/>
                  </w:pPr>
                  <w:r>
                    <w:rPr>
                      <w:sz w:val="21"/>
                    </w:rPr>
                    <w:t>电路压力表</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个</w:t>
                  </w:r>
                </w:p>
              </w:tc>
            </w:tr>
          </w:tbl>
        </w:tc>
      </w:tr>
      <w:tr>
        <w:tc>
          <w:tcPr>
            <w:tcW w:type="dxa" w:w="2076"/>
          </w:tcPr>
          <w:p>
            <w:r>
              <w:rPr/>
              <w:t>★</w:t>
            </w:r>
          </w:p>
        </w:tc>
        <w:tc>
          <w:tcPr>
            <w:tcW w:type="dxa" w:w="415"/>
          </w:tcPr>
          <w:p>
            <w:r>
              <w:rPr/>
              <w:t>3</w:t>
            </w:r>
          </w:p>
        </w:tc>
        <w:tc>
          <w:tcPr>
            <w:tcW w:type="dxa" w:w="5814"/>
          </w:tcPr>
          <w:p>
            <w:pPr>
              <w:jc w:val="both"/>
            </w:pPr>
            <w:r>
              <w:rPr>
                <w:sz w:val="21"/>
              </w:rPr>
              <w:t>★</w:t>
            </w:r>
            <w:r>
              <w:rPr>
                <w:sz w:val="21"/>
              </w:rPr>
              <w:t>若投标人提供进口产品，投标时须提供</w:t>
            </w:r>
            <w:r>
              <w:rPr>
                <w:sz w:val="21"/>
              </w:rPr>
              <w:t>（投标时须提供扫描件并加盖投标人公章）</w:t>
            </w:r>
            <w:r>
              <w:rPr>
                <w:sz w:val="21"/>
              </w:rPr>
              <w:t>：</w:t>
            </w:r>
          </w:p>
          <w:p>
            <w:pPr>
              <w:jc w:val="both"/>
            </w:pPr>
            <w:r>
              <w:rPr>
                <w:sz w:val="21"/>
              </w:rPr>
              <w:t>1.</w:t>
            </w:r>
            <w:r>
              <w:rPr>
                <w:sz w:val="21"/>
              </w:rPr>
              <w:t>所投进口产品的厂家代理授权文件或者厂家针对本项目的正式授权文件。</w:t>
            </w:r>
          </w:p>
          <w:p>
            <w:pPr>
              <w:jc w:val="both"/>
            </w:pPr>
            <w:r>
              <w:rPr>
                <w:sz w:val="21"/>
              </w:rPr>
              <w:t>2.</w:t>
            </w:r>
            <w:r>
              <w:rPr>
                <w:sz w:val="21"/>
              </w:rPr>
              <w:t>所投进口产品的</w:t>
            </w:r>
            <w:r>
              <w:rPr>
                <w:sz w:val="21"/>
              </w:rPr>
              <w:t>《医疗器械注册证》</w:t>
            </w:r>
            <w:r>
              <w:rPr>
                <w:sz w:val="21"/>
              </w:rPr>
              <w:t>。</w:t>
            </w:r>
          </w:p>
        </w:tc>
      </w:tr>
      <w:tr>
        <w:tc>
          <w:tcPr>
            <w:tcW w:type="dxa" w:w="2076"/>
          </w:tcPr>
          <w:p>
            <w:r>
              <w:rPr/>
              <w:t>★</w:t>
            </w:r>
          </w:p>
        </w:tc>
        <w:tc>
          <w:tcPr>
            <w:tcW w:type="dxa" w:w="415"/>
          </w:tcPr>
          <w:p>
            <w:r>
              <w:rPr/>
              <w:t>4</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磁敏免疫分析仪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▲1、测量原理：磁敏免疫法</w:t>
            </w:r>
            <w:r>
              <w:br/>
            </w:r>
            <w:r>
              <w:rPr/>
              <w:t>2、测试时间    ≤15分钟</w:t>
            </w:r>
            <w:r>
              <w:br/>
            </w:r>
            <w:r>
              <w:rPr/>
              <w:t>▲3、测试项目：</w:t>
            </w:r>
            <w:r>
              <w:br/>
            </w:r>
            <w:r>
              <w:rPr/>
              <w:t>心肌梗死标记物：肌钙蛋白I、肌酸激酶同工酶、肌红蛋白、超敏肌钙蛋白I、新型脂肪酸结合蛋白，其中肌钙蛋白I、肌酸激酶同工酶、肌红蛋白可三项联检，</w:t>
            </w:r>
            <w:r>
              <w:br/>
            </w:r>
            <w:r>
              <w:rPr/>
              <w:t>心力衰竭标记物：N末端脑钠肽前体、肌钙蛋白I，可两项联检</w:t>
            </w:r>
            <w:r>
              <w:br/>
            </w:r>
            <w:r>
              <w:rPr/>
              <w:t>炎症因子标志物：降钙素原、脂蛋白相关磷脂酶A2、超敏C反应蛋白、血清淀粉样蛋白A（SAA）、白介素IL-6</w:t>
            </w:r>
            <w:r>
              <w:br/>
            </w:r>
            <w:r>
              <w:rPr/>
              <w:t>血栓形成标志物：D-二聚体</w:t>
            </w:r>
            <w:r>
              <w:br/>
            </w:r>
            <w:r>
              <w:rPr/>
              <w:t>▲4、试剂卡类型    ：多靶标电子生物芯片，一次可完成多项标志物检测，可实现最多五项心标联检（cTnI/Myo/CK-MB／NT-proBNP／D-Dimer）、四项炎症联检（PCT/CRP/SAA/IL-6）</w:t>
            </w:r>
            <w:r>
              <w:br/>
            </w:r>
            <w:r>
              <w:rPr/>
              <w:t>5、测试卡储存：低温保存保质期长达至少10个月；免复温，即取即用；干式测试卡，无需回收废液</w:t>
            </w:r>
            <w:r>
              <w:br/>
            </w:r>
            <w:r>
              <w:rPr/>
              <w:t>6、消耗品除一次性测试卡外无其他消耗品；24小时待机无消耗</w:t>
            </w:r>
            <w:r>
              <w:br/>
            </w:r>
            <w:r>
              <w:rPr/>
              <w:t>7、样本类型：肝素抗凝全血、血浆和血清≥3种标本类型</w:t>
            </w:r>
            <w:r>
              <w:br/>
            </w:r>
            <w:r>
              <w:rPr/>
              <w:t>8、采用机外加样</w:t>
            </w:r>
            <w:r>
              <w:br/>
            </w:r>
            <w:r>
              <w:rPr/>
              <w:t>▲9、最小样品≤50ul</w:t>
            </w:r>
            <w:r>
              <w:br/>
            </w:r>
            <w:r>
              <w:rPr/>
              <w:t>10、操作界面：仪器自带≥9寸液晶可触摸显示终端；</w:t>
            </w:r>
            <w:r>
              <w:br/>
            </w:r>
            <w:r>
              <w:rPr/>
              <w:t>11、打印功能：内置热敏输出终端，可外接输出终端</w:t>
            </w:r>
            <w:r>
              <w:br/>
            </w:r>
            <w:r>
              <w:rPr/>
              <w:t>12、扫描仪：内置二维码扫描仪，可外接扫描仪</w:t>
            </w:r>
            <w:r>
              <w:br/>
            </w:r>
            <w:r>
              <w:rPr/>
              <w:t>13、数据传输：串口、网络接口、USB口，有线、无线网络链接，能连接LIS、HIS</w:t>
            </w:r>
            <w:r>
              <w:br/>
            </w:r>
            <w:r>
              <w:rPr/>
              <w:t>14、仪器维护：具备仪器自我诊断程序</w:t>
            </w:r>
            <w:r>
              <w:br/>
            </w:r>
            <w:r>
              <w:rPr/>
              <w:t>15、结果存储：主机存储检测数据数量≥10000组</w:t>
            </w:r>
            <w:r>
              <w:br/>
            </w:r>
            <w:r>
              <w:rPr/>
              <w:t>16、质控方式：外部电子模拟器和高、低浓度液体质控两种方式</w:t>
            </w:r>
            <w:r>
              <w:br/>
            </w:r>
            <w:r>
              <w:rPr/>
              <w:t>17、电源：交直流电源，电池连续待机 ≥7小时，连续测量次数≥3 次</w:t>
            </w:r>
            <w:r>
              <w:br/>
            </w:r>
            <w:r>
              <w:rPr/>
              <w:t>18、系统升级：仪器可在有wifi网络环境下自动在线升级。</w:t>
            </w:r>
          </w:p>
        </w:tc>
      </w:tr>
      <w:tr>
        <w:tc>
          <w:tcPr>
            <w:tcW w:type="dxa" w:w="2076"/>
          </w:tcPr>
          <w:p>
            <w:r>
              <w:rPr/>
              <w:t>★</w:t>
            </w:r>
          </w:p>
        </w:tc>
        <w:tc>
          <w:tcPr>
            <w:tcW w:type="dxa" w:w="415"/>
          </w:tcPr>
          <w:p>
            <w:r>
              <w:rPr/>
              <w:t>2</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全自动微生物鉴定及药敏分析系统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1、用于进行致病菌的鉴定和抗菌药物最低抑菌浓度（MIC）半定量分析。</w:t>
            </w:r>
            <w:r>
              <w:br/>
            </w:r>
            <w:r>
              <w:rPr/>
              <w:t>2、鉴定：采用双岐矩阵及生化酶反应结合显色法；药敏：试验采用比浊法。</w:t>
            </w:r>
            <w:r>
              <w:br/>
            </w:r>
            <w:r>
              <w:rPr/>
              <w:t>3、▲提供临床常见≥500种病原菌，包含肠杆菌、非发酵菌、链球菌（肠球菌）、葡萄球菌（微球菌）、真菌、棒状杆菌、奈瑟氏球菌/嗜血杆菌等。</w:t>
            </w:r>
            <w:r>
              <w:br/>
            </w:r>
            <w:r>
              <w:rPr/>
              <w:t>4、提供临床常见≥200种抗生素。</w:t>
            </w:r>
            <w:r>
              <w:br/>
            </w:r>
            <w:r>
              <w:rPr/>
              <w:t>5、▲仪器可同时容纳≥60个测试卡。</w:t>
            </w:r>
            <w:r>
              <w:br/>
            </w:r>
            <w:r>
              <w:rPr/>
              <w:t>6、仪器开机自检，仪器内自动灌板加样、自动切割封口、自动传送试卡到孵育箱/阅读器、自动恒温培养、自动阅读分析、评价结果及打印报告，自动储存、备份数据资料，自动清理送出用过的试卡，不需使用任何附加试剂、不需做外加试验。</w:t>
            </w:r>
            <w:r>
              <w:br/>
            </w:r>
            <w:r>
              <w:rPr/>
              <w:t>7、软件可实现综合数据统计分析，预置≥20余项临床检测针对细菌抗菌药物的常用统计分析。</w:t>
            </w:r>
            <w:r>
              <w:br/>
            </w:r>
            <w:r>
              <w:rPr/>
              <w:t>8、▲具备专家系统，可提≥20种示天然耐药及特殊耐药表型，如MRSA、MRCNS、ESBL、β-LAC、ICR、HLAR、CRE、CRKPN、CRAB、CRPAE、VRE等修正结果并对药敏结果进行科学注释。</w:t>
            </w:r>
            <w:r>
              <w:br/>
            </w:r>
            <w:r>
              <w:rPr/>
              <w:t>9、专家系统可提示药敏报告中不合理现象以及临床医师用药时要注意的问题等。抗生素优化组合，根据临床实验室标准化协会（CLSI）制定的临床用药标准，将抗菌药物分A、B、C、U、O、Inv组报告药敏结果。</w:t>
            </w:r>
            <w:r>
              <w:br/>
            </w:r>
            <w:r>
              <w:rPr/>
              <w:t>10、▲支持实微生物信息化系统，实现标本信息录入、查询和统计。药敏结果数据支持WHONET、EXCEL软件分析，可导出数据DBF格式直接上报监测网数据。可以进行标本、抗生素、菌株统计。</w:t>
            </w:r>
            <w:r>
              <w:br/>
            </w:r>
            <w:r>
              <w:rPr/>
              <w:t>11、▲仪器可连接医院信息管理系统。（投标时须提供承诺函）</w:t>
            </w:r>
            <w:r>
              <w:br/>
            </w:r>
            <w:r>
              <w:rPr/>
              <w:t>12、配套测试板种类：肠杆菌、非发酵菌、链球菌（肠球菌）、葡萄球菌（微球菌）、真菌、棒状杆菌、奈瑟氏球菌/嗜血杆菌鉴定药敏复合测试板和单药敏板等。</w:t>
            </w:r>
            <w:r>
              <w:br/>
            </w:r>
            <w:r>
              <w:rPr/>
              <w:t>13、肠杆菌板添加厄他培南、亚胺培南、多粘菌素B、阿奇霉素等药物；链球菌板添加多西环素、替加环素、头孢吡肟、头孢呋辛等药物；葡萄球菌板添加替加环素，多西环素，达托霉素等药物；非发酵菌板添加亚胺培南，多西环素，替加环素等药物。</w:t>
            </w:r>
            <w:r>
              <w:br/>
            </w:r>
            <w:r>
              <w:rPr/>
              <w:t>14、配套测试卡孔位：具备≥96孔鉴定药敏测试卡，抗生素浓度常见4-7个浓度梯度。</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1</w:t>
                  </w:r>
                </w:p>
              </w:tc>
              <w:tc>
                <w:tcPr>
                  <w:tcW w:type="dxa" w:w="2625"/>
                  <w:tcBorders>
                    <w:top w:val="none" w:color="000000" w:sz="4"/>
                    <w:left w:val="none" w:color="000000" w:sz="4"/>
                    <w:bottom w:val="single" w:color="000000" w:sz="4"/>
                    <w:right w:val="single" w:color="000000" w:sz="4"/>
                  </w:tcBorders>
                  <w:vAlign w:val="top"/>
                </w:tcPr>
                <w:p>
                  <w:pPr>
                    <w:jc w:val="both"/>
                  </w:pPr>
                  <w:r>
                    <w:rPr>
                      <w:sz w:val="21"/>
                    </w:rPr>
                    <w:t>细菌鉴定及药敏分析系统软件</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套</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2</w:t>
                  </w:r>
                </w:p>
              </w:tc>
              <w:tc>
                <w:tcPr>
                  <w:tcW w:type="dxa" w:w="2625"/>
                  <w:tcBorders>
                    <w:top w:val="none" w:color="000000" w:sz="4"/>
                    <w:left w:val="none" w:color="000000" w:sz="4"/>
                    <w:bottom w:val="single" w:color="000000" w:sz="4"/>
                    <w:right w:val="single" w:color="000000" w:sz="4"/>
                  </w:tcBorders>
                  <w:vAlign w:val="top"/>
                </w:tcPr>
                <w:p>
                  <w:pPr>
                    <w:jc w:val="both"/>
                  </w:pPr>
                  <w:r>
                    <w:rPr>
                      <w:sz w:val="21"/>
                    </w:rPr>
                    <w:t>专用</w:t>
                  </w:r>
                  <w:r>
                    <w:rPr>
                      <w:sz w:val="21"/>
                    </w:rPr>
                    <w:t>输出终端</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台</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3</w:t>
                  </w:r>
                </w:p>
              </w:tc>
              <w:tc>
                <w:tcPr>
                  <w:tcW w:type="dxa" w:w="2625"/>
                  <w:tcBorders>
                    <w:top w:val="none" w:color="000000" w:sz="4"/>
                    <w:left w:val="none" w:color="000000" w:sz="4"/>
                    <w:bottom w:val="single" w:color="000000" w:sz="4"/>
                    <w:right w:val="single" w:color="000000" w:sz="4"/>
                  </w:tcBorders>
                  <w:vAlign w:val="top"/>
                </w:tcPr>
                <w:p>
                  <w:pPr>
                    <w:jc w:val="both"/>
                  </w:pPr>
                  <w:r>
                    <w:rPr>
                      <w:sz w:val="21"/>
                    </w:rPr>
                    <w:t>专用数据分析电脑</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台</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4</w:t>
                  </w:r>
                </w:p>
              </w:tc>
              <w:tc>
                <w:tcPr>
                  <w:tcW w:type="dxa" w:w="2625"/>
                  <w:tcBorders>
                    <w:top w:val="none" w:color="000000" w:sz="4"/>
                    <w:left w:val="none" w:color="000000" w:sz="4"/>
                    <w:bottom w:val="single" w:color="000000" w:sz="4"/>
                    <w:right w:val="single" w:color="000000" w:sz="4"/>
                  </w:tcBorders>
                  <w:vAlign w:val="top"/>
                </w:tcPr>
                <w:p>
                  <w:pPr>
                    <w:jc w:val="both"/>
                  </w:pPr>
                  <w:r>
                    <w:rPr>
                      <w:sz w:val="21"/>
                    </w:rPr>
                    <w:t>条码处理器</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5</w:t>
                  </w:r>
                </w:p>
              </w:tc>
              <w:tc>
                <w:tcPr>
                  <w:tcW w:type="dxa" w:w="2625"/>
                  <w:tcBorders>
                    <w:top w:val="none" w:color="000000" w:sz="4"/>
                    <w:left w:val="none" w:color="000000" w:sz="4"/>
                    <w:bottom w:val="single" w:color="000000" w:sz="4"/>
                    <w:right w:val="single" w:color="000000" w:sz="4"/>
                  </w:tcBorders>
                  <w:vAlign w:val="top"/>
                </w:tcPr>
                <w:p>
                  <w:pPr>
                    <w:jc w:val="both"/>
                  </w:pPr>
                  <w:r>
                    <w:rPr>
                      <w:sz w:val="21"/>
                    </w:rPr>
                    <w:t>设备专用稳压电源</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6</w:t>
                  </w:r>
                </w:p>
              </w:tc>
              <w:tc>
                <w:tcPr>
                  <w:tcW w:type="dxa" w:w="2625"/>
                  <w:tcBorders>
                    <w:top w:val="none" w:color="000000" w:sz="4"/>
                    <w:left w:val="none" w:color="000000" w:sz="4"/>
                    <w:bottom w:val="single" w:color="000000" w:sz="4"/>
                    <w:right w:val="single" w:color="000000" w:sz="4"/>
                  </w:tcBorders>
                  <w:vAlign w:val="top"/>
                </w:tcPr>
                <w:p>
                  <w:pPr>
                    <w:jc w:val="both"/>
                  </w:pPr>
                  <w:r>
                    <w:rPr>
                      <w:sz w:val="21"/>
                    </w:rPr>
                    <w:t>设备专用不间断电源</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个</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荧光免疫定量分析仪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1、≥14英寸彩色液晶可触摸显示终端。</w:t>
            </w:r>
            <w:r>
              <w:br/>
            </w:r>
            <w:r>
              <w:rPr/>
              <w:t>2、裸机重量≤20Kg。</w:t>
            </w:r>
            <w:r>
              <w:br/>
            </w:r>
            <w:r>
              <w:rPr/>
              <w:t>3、外接口包括USB接口，以太网接口，通信接口等。</w:t>
            </w:r>
            <w:r>
              <w:br/>
            </w:r>
            <w:r>
              <w:rPr/>
              <w:t>4、数据传输：可连接医院信息管理系统。</w:t>
            </w:r>
            <w:r>
              <w:br/>
            </w:r>
            <w:r>
              <w:rPr/>
              <w:t>5、储存空间：可储存≥100000条检测结果。</w:t>
            </w:r>
            <w:r>
              <w:br/>
            </w:r>
            <w:r>
              <w:rPr/>
              <w:t>6、打印模式：外接USB输出终端，可自定义打印模板。</w:t>
            </w:r>
            <w:r>
              <w:br/>
            </w:r>
            <w:r>
              <w:rPr/>
              <w:t>7、样本类型：全血、血清、血浆、末梢血、尿液。</w:t>
            </w:r>
            <w:r>
              <w:br/>
            </w:r>
            <w:r>
              <w:rPr/>
              <w:t>8、▲测试速度：≥120T/H。</w:t>
            </w:r>
            <w:r>
              <w:br/>
            </w:r>
            <w:r>
              <w:rPr/>
              <w:t>9、▲通道数：≥25个，支持急诊功能。</w:t>
            </w:r>
            <w:r>
              <w:br/>
            </w:r>
            <w:r>
              <w:rPr/>
              <w:t>10、检测模式：孵育检测</w:t>
            </w:r>
            <w:r>
              <w:br/>
            </w:r>
            <w:r>
              <w:rPr/>
              <w:t>11、校准模式：自动校准。</w:t>
            </w:r>
            <w:r>
              <w:br/>
            </w:r>
            <w:r>
              <w:rPr/>
              <w:t>12、试剂卡识别：条形码自动识别。</w:t>
            </w:r>
            <w:r>
              <w:br/>
            </w:r>
            <w:r>
              <w:rPr/>
              <w:t>13、温度控制系统：具有孵育位恒温加热，提供稳定的检测环境。</w:t>
            </w:r>
            <w:r>
              <w:br/>
            </w:r>
            <w:r>
              <w:rPr/>
              <w:t>14、具有开机自检、断电保护、运行状态实时监控等功能。</w:t>
            </w:r>
            <w:r>
              <w:br/>
            </w:r>
            <w:r>
              <w:rPr/>
              <w:t>15、▲检测方法：时间分辨荧光免疫技术。</w:t>
            </w:r>
            <w:r>
              <w:br/>
            </w:r>
            <w:r>
              <w:rPr/>
              <w:t>16、▲检测时间：3～10分钟内出检测结果。</w:t>
            </w:r>
            <w:r>
              <w:br/>
            </w:r>
            <w:r>
              <w:rPr/>
              <w:t>17、稳定的光电信号通路，光学CV值：＜1%</w:t>
            </w:r>
            <w:r>
              <w:br/>
            </w:r>
            <w:r>
              <w:rPr/>
              <w:t>18、▲联网功能：可以连接医院信息系统（投标时须提供承诺函）。</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1</w:t>
                  </w:r>
                </w:p>
              </w:tc>
              <w:tc>
                <w:tcPr>
                  <w:tcW w:type="dxa" w:w="2625"/>
                  <w:tcBorders>
                    <w:top w:val="none" w:color="000000" w:sz="4"/>
                    <w:left w:val="none" w:color="000000" w:sz="4"/>
                    <w:bottom w:val="single" w:color="000000" w:sz="4"/>
                    <w:right w:val="single" w:color="000000" w:sz="4"/>
                  </w:tcBorders>
                  <w:vAlign w:val="top"/>
                </w:tcPr>
                <w:p>
                  <w:pPr>
                    <w:jc w:val="both"/>
                  </w:pPr>
                  <w:r>
                    <w:rPr>
                      <w:sz w:val="21"/>
                    </w:rPr>
                    <w:t>专用</w:t>
                  </w:r>
                  <w:r>
                    <w:rPr>
                      <w:sz w:val="21"/>
                    </w:rPr>
                    <w:t>输出终端</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台</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体表标测心电图检测系统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1.输入导联：12导联</w:t>
            </w:r>
            <w:r>
              <w:br/>
            </w:r>
            <w:r>
              <w:rPr/>
              <w:t xml:space="preserve">2.采样频率： 500Hz </w:t>
            </w:r>
            <w:r>
              <w:br/>
            </w:r>
            <w:r>
              <w:rPr/>
              <w:t>3.心电走纸速度12.5、25、50mm/s ；</w:t>
            </w:r>
            <w:r>
              <w:br/>
            </w:r>
            <w:r>
              <w:rPr/>
              <w:t>4.心音走纸速度： 12.5、25、50、100mm/s</w:t>
            </w:r>
            <w:r>
              <w:br/>
            </w:r>
            <w:r>
              <w:rPr/>
              <w:t>5.具有抗除颤电击保护功能</w:t>
            </w:r>
            <w:r>
              <w:br/>
            </w:r>
            <w:r>
              <w:rPr/>
              <w:t>6.具有固定增益选择20mm/mV、10mm/mV、5mm/mV，增益准确度为±5%</w:t>
            </w:r>
            <w:r>
              <w:br/>
            </w:r>
            <w:r>
              <w:rPr/>
              <w:t>7.▲心音增益选择：显示、打印时有增益控制的图标，有 10dB/cm、20dB/cm、40dB/cm、 50dB/cm 四档可选</w:t>
            </w:r>
            <w:r>
              <w:br/>
            </w:r>
            <w:r>
              <w:rPr/>
              <w:t>8.▲增益稳定性：设备开机1min以后，每分钟增益变化不应超过0.33%。每档固定增益的1h的总变化不应超过±3%</w:t>
            </w:r>
            <w:r>
              <w:br/>
            </w:r>
            <w:r>
              <w:rPr/>
              <w:t>9. 设备时间基准：12.5 mm/s、25 mm/s、50mm/s（可选）；</w:t>
            </w:r>
            <w:r>
              <w:br/>
            </w:r>
            <w:r>
              <w:rPr/>
              <w:t>10.时间基准准确度：时间基准准确度在 0.2s～2.0s 范围内允许的时间误差不超过± 5%。</w:t>
            </w:r>
            <w:r>
              <w:br/>
            </w:r>
            <w:r>
              <w:rPr/>
              <w:t>11.输入信号（限于幅度和变化率为±5mV 和 125mV/s）被在输 出记录媒介上重建，其重建最大瞬间偏差为期望值的±5%或± 40μV，两者取大者。</w:t>
            </w:r>
            <w:r>
              <w:br/>
            </w:r>
            <w:r>
              <w:rPr/>
              <w:t xml:space="preserve">12.滞后在基线的两个方向上 15mm 偏离位置上不超过 0.5mm </w:t>
            </w:r>
            <w:r>
              <w:br/>
            </w:r>
            <w:r>
              <w:rPr/>
              <w:t>13.▲低频：在耦合腔输出100dB 声压级工控下，系统低频段40Hz在10档位上幅值不低于 3 格，20Hz、60Hz不低于40Hz幅值的 70%；中频：在耦合腔输出100dB声压级工控下，系统中频段100Hz在10 档位上幅值不低于4格，120Hz不低于100Hz幅值的70%；高频：在耦合腔输出100dB声压级工控下，系统高频段400Hz在20 档位上幅值不低于4格，200Hz、300Hz、600Hz、800Hz不低于400Hz 幅值的70%；</w:t>
            </w:r>
            <w:r>
              <w:br/>
            </w:r>
            <w:r>
              <w:rPr/>
              <w:t>14.支持ECG和PCG的波形电影回放。</w:t>
            </w:r>
            <w:r>
              <w:br/>
            </w:r>
            <w:r>
              <w:rPr/>
              <w:t>15.非正常工作状态的指示：在实时界面中，当处于非正常工作状态时，各相应的导联会处于红色的标记；当处于正常工作状态时，各相应的导联会处于黑色的标记</w:t>
            </w:r>
            <w:r>
              <w:br/>
            </w:r>
            <w:r>
              <w:rPr/>
              <w:t>16.具有心电纵向打印、心电横向打印、单导打印、心率变异性打印、心室晚电位打印、心音图打印等功能</w:t>
            </w:r>
            <w:r>
              <w:br/>
            </w:r>
            <w:r>
              <w:rPr/>
              <w:t>17.▲可提供报告：十二导心电图报告（含横向、纵向、单导）、心音图报告、体表标测心电图报告、心功能报告、心率变异性报告、心室晚电位报告</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746"/>
              <w:gridCol w:w="1569"/>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746"/>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569"/>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46"/>
                  <w:tcBorders>
                    <w:top w:val="none" w:color="000000" w:sz="4"/>
                    <w:left w:val="none" w:color="000000" w:sz="4"/>
                    <w:bottom w:val="single" w:color="000000" w:sz="4"/>
                    <w:right w:val="single" w:color="000000" w:sz="4"/>
                  </w:tcBorders>
                  <w:vAlign w:val="top"/>
                </w:tcPr>
                <w:p>
                  <w:pPr>
                    <w:jc w:val="center"/>
                  </w:pPr>
                  <w:r>
                    <w:rPr>
                      <w:sz w:val="21"/>
                    </w:rPr>
                    <w:t>工作站（包含专用电脑）</w:t>
                  </w:r>
                </w:p>
              </w:tc>
              <w:tc>
                <w:tcPr>
                  <w:tcW w:type="dxa" w:w="1569"/>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46"/>
                  <w:tcBorders>
                    <w:top w:val="none" w:color="000000" w:sz="4"/>
                    <w:left w:val="none" w:color="000000" w:sz="4"/>
                    <w:bottom w:val="single" w:color="000000" w:sz="4"/>
                    <w:right w:val="single" w:color="000000" w:sz="4"/>
                  </w:tcBorders>
                  <w:vAlign w:val="top"/>
                </w:tcPr>
                <w:p>
                  <w:pPr>
                    <w:jc w:val="center"/>
                  </w:pPr>
                  <w:r>
                    <w:rPr>
                      <w:sz w:val="21"/>
                    </w:rPr>
                    <w:t>专用彩色</w:t>
                  </w:r>
                  <w:r>
                    <w:rPr>
                      <w:sz w:val="21"/>
                    </w:rPr>
                    <w:t>输出终端</w:t>
                  </w:r>
                </w:p>
              </w:tc>
              <w:tc>
                <w:tcPr>
                  <w:tcW w:type="dxa" w:w="1569"/>
                  <w:tcBorders>
                    <w:top w:val="none" w:color="000000" w:sz="4"/>
                    <w:left w:val="none" w:color="000000" w:sz="4"/>
                    <w:bottom w:val="single" w:color="000000" w:sz="4"/>
                    <w:right w:val="single" w:color="000000" w:sz="4"/>
                  </w:tcBorders>
                  <w:vAlign w:val="top"/>
                </w:tcPr>
                <w:p>
                  <w:pPr>
                    <w:jc w:val="center"/>
                  </w:pPr>
                  <w:r>
                    <w:rPr>
                      <w:sz w:val="21"/>
                    </w:rPr>
                    <w:t>1套</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心电图机（18导联）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1.≥10英寸彩色显示终端。</w:t>
            </w:r>
            <w:r>
              <w:br/>
            </w:r>
            <w:r>
              <w:rPr/>
              <w:t xml:space="preserve">2.输入方式：浮地及除颤保护 </w:t>
            </w:r>
            <w:r>
              <w:br/>
            </w:r>
            <w:r>
              <w:rPr/>
              <w:t xml:space="preserve">3.患者漏电流：&lt;10 µA </w:t>
            </w:r>
            <w:r>
              <w:br/>
            </w:r>
            <w:r>
              <w:rPr/>
              <w:t>4.输入阻抗：≥2.5 MΩ</w:t>
            </w:r>
            <w:r>
              <w:br/>
            </w:r>
            <w:r>
              <w:rPr/>
              <w:t>5.时间常数：≥3.2 s</w:t>
            </w:r>
            <w:r>
              <w:br/>
            </w:r>
            <w:r>
              <w:rPr/>
              <w:t>6.共模抑制比：&gt;105dB</w:t>
            </w:r>
            <w:r>
              <w:br/>
            </w:r>
            <w:r>
              <w:rPr/>
              <w:t>7.滤波器：工频（AC50/60 Hz）、肌电(25Hz/35 Hz (-3 dB))、基线漂移滤波器</w:t>
            </w:r>
            <w:r>
              <w:br/>
            </w:r>
            <w:r>
              <w:rPr/>
              <w:t>8.时间基准选择（走纸速度）：12.5 mm/s、25 mm/s、50 mm/s，误差±5%</w:t>
            </w:r>
            <w:r>
              <w:br/>
            </w:r>
            <w:r>
              <w:rPr/>
              <w:t>9.增益控制（灵敏度）：5、10、20 mm/mV，增益准确度为±2%，标准灵敏度为10 mm/mV±0.2 mm/mV。</w:t>
            </w:r>
            <w:r>
              <w:br/>
            </w:r>
            <w:r>
              <w:rPr/>
              <w:t>10.记录模式：自动记录、节律记录、手动记录</w:t>
            </w:r>
            <w:r>
              <w:br/>
            </w:r>
            <w:r>
              <w:rPr/>
              <w:t>11.测量参数：心率、PR间期、P时限、QRS时限、T时限、QT/QTc间期、P/QRS/T电轴、R(V5)、S(V1)、R(V5)+S(V1)幅度</w:t>
            </w:r>
            <w:r>
              <w:br/>
            </w:r>
            <w:r>
              <w:rPr/>
              <w:t>12.耐极化电压：±610mV</w:t>
            </w:r>
            <w:r>
              <w:br/>
            </w:r>
            <w:r>
              <w:rPr/>
              <w:t>13.噪声电平：≤12µVp-p</w:t>
            </w:r>
            <w:r>
              <w:br/>
            </w:r>
            <w:r>
              <w:rPr/>
              <w:t>14.最小检测信号：对10Hz、20µV（峰峰值）偏转的正弦信号能检测</w:t>
            </w:r>
            <w:r>
              <w:br/>
            </w:r>
            <w:r>
              <w:rPr/>
              <w:t>15.起搏检测通道：标II</w:t>
            </w:r>
            <w:r>
              <w:br/>
            </w:r>
            <w:r>
              <w:rPr/>
              <w:t>16.输入信号重建准确度：±5%</w:t>
            </w:r>
            <w:r>
              <w:br/>
            </w:r>
            <w:r>
              <w:rPr/>
              <w:t>17.幅度量化：≤5µV/LSB</w:t>
            </w:r>
            <w:r>
              <w:br/>
            </w:r>
            <w:r>
              <w:rPr/>
              <w:t>18.各通道间时间偏差：＜100 µs</w:t>
            </w:r>
            <w:r>
              <w:br/>
            </w:r>
            <w:r>
              <w:rPr/>
              <w:t>19.十八导联同步采集，可选18导联、15导联、12导联、9导联或自定义导联模式</w:t>
            </w:r>
            <w:r>
              <w:br/>
            </w:r>
            <w:r>
              <w:rPr/>
              <w:t>20.同屏显示3、6、12、18导联心电波形，显示心率值、打印模式、灵敏度、走纸速度、滤波器状态、时钟、电量、背景网格、测量参数与解释等信息，并具有导联脱落、导联过载、系统工作状态提示功能。</w:t>
            </w:r>
            <w:r>
              <w:br/>
            </w:r>
            <w:r>
              <w:rPr/>
              <w:t>21.直流状态下可待机10小时、持续打印时间不小于3小时、满足出诊、体检的需要。</w:t>
            </w:r>
            <w:r>
              <w:br/>
            </w:r>
            <w:r>
              <w:rPr/>
              <w:t>22.内置热敏输出终端，支持自动M×N、M×N+1、M×N+2、M×N+3、节律M行、手动等多种打印模式及格式，打印内容包含：时间、走纸速度、灵敏度、定标信号、导联名称、滤波状态、患者信息，可设置打印波形长度、输出测量参数、诊断结论、叠加QRS波形、直方图、趋势图、间隔列表等信息，具备定时打印、心律失常自动触发打印等功能。</w:t>
            </w:r>
            <w:r>
              <w:br/>
            </w:r>
            <w:r>
              <w:rPr/>
              <w:t>23.内置大容量存储器，可存储至少4000份(数据保存时长10秒钟)的病历。</w:t>
            </w:r>
            <w:r>
              <w:br/>
            </w:r>
            <w:r>
              <w:rPr/>
              <w:t>24.历史病历可回顾、查询、修改、传输、打印、导联纠正，也可导出多种电子文件格式（dat、pdf、xml、bmp、jpeg、png等）。</w:t>
            </w:r>
            <w:r>
              <w:br/>
            </w:r>
            <w:r>
              <w:rPr/>
              <w:t>25.支持移动通信网络、无线网络、有线网络，可自动上传病例、自动下载报告并打印。</w:t>
            </w:r>
            <w:r>
              <w:br/>
            </w:r>
            <w:r>
              <w:rPr/>
              <w:t>26.支持外接USB标准键盘、鼠标、扫码器、输出终端，支持身份证阅读器。</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r>
                    <w:rPr>
                      <w:b/>
                      <w:sz w:val="21"/>
                    </w:rPr>
                    <w:t>/</w:t>
                  </w:r>
                  <w:r>
                    <w:rPr>
                      <w:b/>
                      <w:sz w:val="21"/>
                    </w:rPr>
                    <w:t>台</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导联线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肢体夹</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胸电极</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记录卷纸</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5</w:t>
                  </w:r>
                  <w:r>
                    <w:rPr>
                      <w:sz w:val="21"/>
                    </w:rPr>
                    <w:t>卷</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心电图机（18导联）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具</w:t>
            </w:r>
            <w:r>
              <w:rPr>
                <w:sz w:val="21"/>
              </w:rPr>
              <w:t>体设备技术要求详见</w:t>
            </w:r>
            <w:r>
              <w:rPr>
                <w:sz w:val="21"/>
              </w:rPr>
              <w:t>采购包</w:t>
            </w:r>
            <w:r>
              <w:rPr>
                <w:sz w:val="21"/>
              </w:rPr>
              <w:t>3</w:t>
            </w:r>
            <w:r>
              <w:rPr>
                <w:sz w:val="21"/>
              </w:rPr>
              <w:t>（</w:t>
            </w:r>
            <w:r>
              <w:rPr>
                <w:sz w:val="21"/>
              </w:rPr>
              <w:t>麻醉监护仪等</w:t>
            </w:r>
            <w:r>
              <w:rPr>
                <w:sz w:val="21"/>
              </w:rPr>
              <w:t>）中</w:t>
            </w:r>
            <w:r>
              <w:rPr>
                <w:sz w:val="21"/>
              </w:rPr>
              <w:t>“技术标准与要求”</w:t>
            </w:r>
            <w:r>
              <w:rPr>
                <w:b/>
                <w:sz w:val="21"/>
              </w:rPr>
              <w:t>附表</w:t>
            </w:r>
            <w:r>
              <w:rPr>
                <w:b/>
                <w:sz w:val="21"/>
              </w:rPr>
              <w:t>七</w:t>
            </w:r>
            <w:r>
              <w:rPr>
                <w:b/>
                <w:sz w:val="21"/>
              </w:rPr>
              <w:t>：</w:t>
            </w:r>
            <w:r>
              <w:rPr>
                <w:b/>
                <w:sz w:val="21"/>
              </w:rPr>
              <w:t>心电图机（</w:t>
            </w:r>
            <w:r>
              <w:rPr>
                <w:b/>
                <w:sz w:val="21"/>
              </w:rPr>
              <w:t>18</w:t>
            </w:r>
            <w:r>
              <w:rPr>
                <w:b/>
                <w:sz w:val="21"/>
              </w:rPr>
              <w:t>导联）</w:t>
            </w:r>
            <w:r>
              <w:rPr>
                <w:b/>
                <w:sz w:val="21"/>
              </w:rPr>
              <w:t>一、设备技术详细需求</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r>
                    <w:rPr>
                      <w:b/>
                      <w:sz w:val="21"/>
                    </w:rPr>
                    <w:t>/</w:t>
                  </w:r>
                  <w:r>
                    <w:rPr>
                      <w:b/>
                      <w:sz w:val="21"/>
                    </w:rPr>
                    <w:t>台</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导联线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肢体夹</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胸电极</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记录卷纸</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5</w:t>
                  </w:r>
                  <w:r>
                    <w:rPr>
                      <w:sz w:val="21"/>
                    </w:rPr>
                    <w:t>卷</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全自动血压计（心内）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1.▲LCD显示终端可以前后双屏显示。</w:t>
            </w:r>
            <w:r>
              <w:br/>
            </w:r>
            <w:r>
              <w:rPr/>
              <w:t>2.测量方法：脉搏波法</w:t>
            </w:r>
            <w:r>
              <w:br/>
            </w:r>
            <w:r>
              <w:rPr/>
              <w:t>3.测量范围： 压力（0～300）mmHg［(0～40)kPa］；脉率数40次/分～180次/分</w:t>
            </w:r>
            <w:r>
              <w:br/>
            </w:r>
            <w:r>
              <w:rPr/>
              <w:t>4.测量准确度：压力：±2mmHg(±0.267kPa)以内；脉搏：脉率数±2%以内</w:t>
            </w:r>
            <w:r>
              <w:br/>
            </w:r>
            <w:r>
              <w:rPr/>
              <w:t>5.存储容量：≥100组测量数据</w:t>
            </w:r>
            <w:r>
              <w:br/>
            </w:r>
            <w:r>
              <w:rPr/>
              <w:t>6.测量位置：左右臂均可测量</w:t>
            </w:r>
            <w:r>
              <w:br/>
            </w:r>
            <w:r>
              <w:rPr/>
              <w:t>7.压力监测：高精密半导体压力传感器</w:t>
            </w:r>
            <w:r>
              <w:br/>
            </w:r>
            <w:r>
              <w:rPr/>
              <w:t>8.加压：压力泵自动加压方式</w:t>
            </w:r>
            <w:r>
              <w:br/>
            </w:r>
            <w:r>
              <w:rPr/>
              <w:t>9.减压：线性电磁控制阀自动减压系统</w:t>
            </w:r>
            <w:r>
              <w:br/>
            </w:r>
            <w:r>
              <w:rPr/>
              <w:t>10.▲超压保护：压力超过300mmHg时，急速排气保护，急速排气时间不大于10秒；</w:t>
            </w:r>
            <w:r>
              <w:br/>
            </w:r>
            <w:r>
              <w:rPr/>
              <w:t>11.▲肘部位置传感器: 有 (准确定位肱动脉)；</w:t>
            </w:r>
            <w:r>
              <w:br/>
            </w:r>
            <w:r>
              <w:rPr/>
              <w:t>12.臂筒角度调节：臂筒可左右转动约10度；</w:t>
            </w:r>
            <w:r>
              <w:br/>
            </w:r>
            <w:r>
              <w:rPr/>
              <w:t>13.适合臂周：17cm～42cm；</w:t>
            </w:r>
            <w:r>
              <w:br/>
            </w:r>
            <w:r>
              <w:rPr/>
              <w:t>14.输出端口：RS-232/USB两种数据接口方式。</w:t>
            </w:r>
            <w:r>
              <w:br/>
            </w:r>
            <w:r>
              <w:rPr/>
              <w:t>15.抗菌设计：整机及袖套采用抗菌材料</w:t>
            </w:r>
            <w:r>
              <w:br/>
            </w:r>
            <w:r>
              <w:rPr/>
              <w:t>16.语音设置：可开关语音，音量可调节</w:t>
            </w:r>
            <w:r>
              <w:br/>
            </w:r>
            <w:r>
              <w:rPr/>
              <w:t>17.打印装置：全中文热敏打印、自动裁纸</w:t>
            </w:r>
            <w:r>
              <w:br/>
            </w:r>
            <w:r>
              <w:rPr/>
              <w:t>18.压力单位： mmHg和kPa两种模式互选</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原厂桌椅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打印纸</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10卷</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备用袖套</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GE-DR机脊柱拼接系统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1.铅标尺最小刻度间隔≤0.5cm</w:t>
            </w:r>
            <w:r>
              <w:br/>
            </w:r>
            <w:r>
              <w:rPr/>
              <w:t>2.铅标尺移动范围：0-60cm</w:t>
            </w:r>
            <w:r>
              <w:br/>
            </w:r>
            <w:r>
              <w:rPr/>
              <w:t>3.安全带最长拉伸长度≥120cm</w:t>
            </w:r>
            <w:r>
              <w:br/>
            </w:r>
            <w:r>
              <w:rPr/>
              <w:t>4.安全带波妞旋转角度：0-35°</w:t>
            </w:r>
            <w:r>
              <w:br/>
            </w:r>
            <w:r>
              <w:rPr/>
              <w:t>5.二级增高台阶：18+18cm</w:t>
            </w:r>
            <w:r>
              <w:br/>
            </w:r>
            <w:r>
              <w:rPr/>
              <w:t>6.定位表小表调整距离：36-42cm</w:t>
            </w:r>
            <w:r>
              <w:br/>
            </w:r>
            <w:r>
              <w:rPr/>
              <w:t>7.定位标大标调整距离：0-56cm</w:t>
            </w:r>
            <w:r>
              <w:br/>
            </w:r>
            <w:r>
              <w:rPr/>
              <w:t xml:space="preserve">8.X射线有效影像区域：190×55cm    </w:t>
            </w:r>
            <w:r>
              <w:br/>
            </w:r>
            <w:r>
              <w:rPr/>
              <w:t>9.最大承重：≥220KG</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底座</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增高台阶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扶手</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安全带盒</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3</w:t>
                  </w:r>
                  <w:r>
                    <w:rPr>
                      <w:sz w:val="21"/>
                    </w:rPr>
                    <w:t>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透明背板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铅标尺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心电监护仪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1.适用于成人、小儿、新生儿的监测；</w:t>
            </w:r>
            <w:r>
              <w:br/>
            </w:r>
            <w:r>
              <w:rPr/>
              <w:t>2.转运监护仪，满足救护车使用；</w:t>
            </w:r>
            <w:r>
              <w:br/>
            </w:r>
            <w:r>
              <w:rPr/>
              <w:t>3.▲≤5英寸彩色可触摸显示终端；</w:t>
            </w:r>
            <w:r>
              <w:br/>
            </w:r>
            <w:r>
              <w:rPr/>
              <w:t>4.IP44防尘防水，易清洁和适用医院内外不同临床救治环境；</w:t>
            </w:r>
            <w:r>
              <w:br/>
            </w:r>
            <w:r>
              <w:rPr/>
              <w:t>5.坚固耐用，至少抗1.2米6面跌落，满足转运过程中的复杂临床救治环境；</w:t>
            </w:r>
            <w:r>
              <w:br/>
            </w:r>
            <w:r>
              <w:rPr/>
              <w:t>6.整机无风扇设计；</w:t>
            </w:r>
            <w:r>
              <w:br/>
            </w:r>
            <w:r>
              <w:rPr/>
              <w:t>7.内置锂电池供电，支持≥5小时的持续监测；</w:t>
            </w:r>
            <w:r>
              <w:br/>
            </w:r>
            <w:r>
              <w:rPr/>
              <w:t>8.内置DC电源接口，可以进行车载充电；</w:t>
            </w:r>
            <w:r>
              <w:br/>
            </w:r>
            <w:r>
              <w:rPr/>
              <w:t>9.支持3/5导心电，阻抗呼吸，血氧、无创血压和双通道体温；</w:t>
            </w:r>
            <w:r>
              <w:br/>
            </w:r>
            <w:r>
              <w:rPr/>
              <w:t>10.转运监护仪支持插入床旁监护仪插槽作为参数模块使用，即插即用；</w:t>
            </w:r>
            <w:r>
              <w:br/>
            </w:r>
            <w:r>
              <w:rPr/>
              <w:t>11.具有多导心电监护算法，同步分析至少2通道心电波形，能抗干扰；</w:t>
            </w:r>
            <w:r>
              <w:br/>
            </w:r>
            <w:r>
              <w:rPr/>
              <w:t>12.心率测量范围：成人15-300bpm，小儿/新生儿15-350bpm；</w:t>
            </w:r>
            <w:r>
              <w:br/>
            </w:r>
            <w:r>
              <w:rPr/>
              <w:t>13.波速提供50mm/s，25mm/s、12.5mm/s、6.25mm/s可选；</w:t>
            </w:r>
            <w:r>
              <w:br/>
            </w:r>
            <w:r>
              <w:rPr/>
              <w:t>14.滤波模式提供诊断模式（0.05 -150Hz），监护模式（0.5 -40Hz），ST模式（0.05 - 40Hz），手术模式（1-20Hz）；</w:t>
            </w:r>
            <w:r>
              <w:br/>
            </w:r>
            <w:r>
              <w:rPr/>
              <w:t>15.提供至少25种心律失常事件的分析；</w:t>
            </w:r>
            <w:r>
              <w:br/>
            </w:r>
            <w:r>
              <w:rPr/>
              <w:t>16.提供ST段分析，提供显示和存储ST值和每个ST的模板；</w:t>
            </w:r>
            <w:r>
              <w:br/>
            </w:r>
            <w:r>
              <w:rPr/>
              <w:t>17.具有QT/QTc测量功能，提供QT，QTc和ΔQTc参数值；</w:t>
            </w:r>
            <w:r>
              <w:br/>
            </w:r>
            <w:r>
              <w:rPr/>
              <w:t>18.▲可显示弱灌注指数（PI）；</w:t>
            </w:r>
            <w:r>
              <w:br/>
            </w:r>
            <w:r>
              <w:rPr/>
              <w:t>19.提供双通道体温测量，提供两通道体温测量差值显示；</w:t>
            </w:r>
            <w:r>
              <w:br/>
            </w:r>
            <w:r>
              <w:rPr/>
              <w:t>20.提供手动、自动间隔、连续、序列四种无创血压测量模式；</w:t>
            </w:r>
            <w:r>
              <w:br/>
            </w:r>
            <w:r>
              <w:rPr/>
              <w:t>21.▲≥120小时趋势表、趋势图回顾；</w:t>
            </w:r>
            <w:r>
              <w:br/>
            </w:r>
            <w:r>
              <w:rPr/>
              <w:t>22.▲≥1000条事件回顾。每条报警事件至少能够存储32秒三道相关波形，以及报警触发时所有测量参数值；</w:t>
            </w:r>
            <w:r>
              <w:br/>
            </w:r>
            <w:r>
              <w:rPr/>
              <w:t>23.≥1000条NIBP测量结果回顾；</w:t>
            </w:r>
            <w:r>
              <w:br/>
            </w:r>
            <w:r>
              <w:rPr/>
              <w:t>24.▲≥48小时全息波形回顾。全息波形至少能存储所有测量值，以及至少3道波形。</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电源线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5导心电导联线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心电电极</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血氧主电缆</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成人</w:t>
                  </w:r>
                  <w:r>
                    <w:rPr>
                      <w:sz w:val="21"/>
                    </w:rPr>
                    <w:t>/儿童血氧探头</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各</w:t>
                  </w: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无创血压导气管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成人</w:t>
                  </w:r>
                  <w:r>
                    <w:rPr>
                      <w:sz w:val="21"/>
                    </w:rPr>
                    <w:t>/儿童血压袖套</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各</w:t>
                  </w: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手柄</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全自动血压计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1.测量原理：示波法</w:t>
            </w:r>
            <w:r>
              <w:br/>
            </w:r>
            <w:r>
              <w:rPr/>
              <w:t xml:space="preserve">2.测量位置：左右臂均可 </w:t>
            </w:r>
            <w:r>
              <w:br/>
            </w:r>
            <w:r>
              <w:rPr/>
              <w:t xml:space="preserve">3.适应臂周范围 ：17～42cm </w:t>
            </w:r>
            <w:r>
              <w:br/>
            </w:r>
            <w:r>
              <w:rPr/>
              <w:t>4.测量范围：血压量程：0～299mmHg；脉博数：40～180次/分</w:t>
            </w:r>
            <w:r>
              <w:br/>
            </w:r>
            <w:r>
              <w:rPr/>
              <w:t>5.▲手臂伸入检测功能：手臂伸入臂筒时，感知测量开始，启动语音引导</w:t>
            </w:r>
            <w:r>
              <w:br/>
            </w:r>
            <w:r>
              <w:rPr/>
              <w:t>6.测量精度</w:t>
            </w:r>
            <w:r>
              <w:br/>
            </w:r>
            <w:r>
              <w:rPr/>
              <w:t>7.压力显示精度：±3mmHg（±0.4KPa）；</w:t>
            </w:r>
            <w:r>
              <w:br/>
            </w:r>
            <w:r>
              <w:rPr/>
              <w:t>8.脉搏测量精度：±2%或±2次/分（取最大者）</w:t>
            </w:r>
            <w:r>
              <w:br/>
            </w:r>
            <w:r>
              <w:rPr/>
              <w:t>9.肘部位置传感器：电子肘部位置传感器，并有图标提示手臂放置位置是否正</w:t>
            </w:r>
            <w:r>
              <w:br/>
            </w:r>
            <w:r>
              <w:rPr/>
              <w:t>10.臂筒角度调节：自动上下浮动式臂筒（臂筒可根据测量者的坐姿高度自动上下调节≥10度）</w:t>
            </w:r>
            <w:r>
              <w:br/>
            </w:r>
            <w:r>
              <w:rPr/>
              <w:t>11.▲平均测量模式 ：可进行2-3次的测量，并自动得出平均值</w:t>
            </w:r>
            <w:r>
              <w:br/>
            </w:r>
            <w:r>
              <w:rPr/>
              <w:t>12.二维码打印：测量结果可以二维码形式打印出来</w:t>
            </w:r>
            <w:r>
              <w:br/>
            </w:r>
            <w:r>
              <w:rPr/>
              <w:t>13.打印装置：热敏式输出终端、多种打印模式可选并打印显示干扰波形图</w:t>
            </w:r>
            <w:r>
              <w:br/>
            </w:r>
            <w:r>
              <w:rPr/>
              <w:t>14.ID功能：可连接扫描枪或身份证读卡器</w:t>
            </w:r>
            <w:r>
              <w:br/>
            </w:r>
            <w:r>
              <w:rPr/>
              <w:t>15.抗菌设计对应：外壳：抗菌树脂  袖带：抗菌布套</w:t>
            </w:r>
            <w:r>
              <w:br/>
            </w:r>
            <w:r>
              <w:rPr/>
              <w:t>16.▲臂筒组件交换功能：臂筒可自主拆卸更换，并具备自检自校功能。</w:t>
            </w:r>
            <w:r>
              <w:br/>
            </w:r>
            <w:r>
              <w:rPr/>
              <w:t>17.语音功能：测量全程语音提示，测量结束播报测量结果</w:t>
            </w:r>
            <w:r>
              <w:br/>
            </w:r>
            <w:r>
              <w:rPr/>
              <w:t>18.用户教育：根据测量结果，显示提示信息</w:t>
            </w:r>
            <w:r>
              <w:br/>
            </w:r>
            <w:r>
              <w:rPr/>
              <w:t>19.通信数据输出：USB数据传输</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原厂桌椅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一套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打印纸</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10卷</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备用袖套</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一个</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心电图机（便携式）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1、主要功能：12导联心电图、二阶梯实验、运动后检查、RR间期检查。</w:t>
            </w:r>
            <w:r>
              <w:br/>
            </w:r>
            <w:r>
              <w:rPr/>
              <w:t>2、心电输入：12导联同步采集。</w:t>
            </w:r>
            <w:r>
              <w:br/>
            </w:r>
            <w:r>
              <w:rPr/>
              <w:t>3、导联选择：自动或手动。</w:t>
            </w:r>
            <w:r>
              <w:br/>
            </w:r>
            <w:r>
              <w:rPr/>
              <w:t>4、输入方式：浮地输入。</w:t>
            </w:r>
            <w:r>
              <w:br/>
            </w:r>
            <w:r>
              <w:rPr/>
              <w:t>5、输入保护：标配导联线内附除颤保护电路。</w:t>
            </w:r>
            <w:r>
              <w:br/>
            </w:r>
            <w:r>
              <w:rPr/>
              <w:t>6、▲采样率：16000 Hz；起搏采样率80000HZ。</w:t>
            </w:r>
            <w:r>
              <w:br/>
            </w:r>
            <w:r>
              <w:rPr/>
              <w:t>7、模数转换精度: ≤1.25 μV。</w:t>
            </w:r>
            <w:r>
              <w:br/>
            </w:r>
            <w:r>
              <w:rPr/>
              <w:t>8、输入阻抗：≥50MΩ。</w:t>
            </w:r>
            <w:r>
              <w:br/>
            </w:r>
            <w:r>
              <w:rPr/>
              <w:t>9、耐极化电压：≥±550mV。</w:t>
            </w:r>
            <w:r>
              <w:br/>
            </w:r>
            <w:r>
              <w:rPr/>
              <w:t>10、共模抑制比：≥105dB。</w:t>
            </w:r>
            <w:r>
              <w:br/>
            </w:r>
            <w:r>
              <w:rPr/>
              <w:t>11、频率响应：0.05Hz-150Hz（+0.4/-3 dB）。</w:t>
            </w:r>
            <w:r>
              <w:br/>
            </w:r>
            <w:r>
              <w:rPr/>
              <w:t>12、标准灵敏度：10mm/mV, 误差≤±5%。</w:t>
            </w:r>
            <w:r>
              <w:br/>
            </w:r>
            <w:r>
              <w:rPr/>
              <w:t>13、时间常数：≥3.2秒。</w:t>
            </w:r>
            <w:r>
              <w:br/>
            </w:r>
            <w:r>
              <w:rPr/>
              <w:t>14、滤波器：低通滤波、肌电滤波、交流滤波、基线抑制滤波。</w:t>
            </w:r>
            <w:r>
              <w:br/>
            </w:r>
            <w:r>
              <w:rPr/>
              <w:t>15、低通滤波：75Hz, 100Hz, 150Hz等。</w:t>
            </w:r>
            <w:r>
              <w:br/>
            </w:r>
            <w:r>
              <w:rPr/>
              <w:t>16、肌电滤波：25Hz/35Hz。</w:t>
            </w:r>
            <w:r>
              <w:br/>
            </w:r>
            <w:r>
              <w:rPr/>
              <w:t>17、交流滤波：50Hz或60Hz。</w:t>
            </w:r>
            <w:r>
              <w:br/>
            </w:r>
            <w:r>
              <w:rPr/>
              <w:t>18、基线抑制：-20dB，-34dB可选。</w:t>
            </w:r>
            <w:r>
              <w:br/>
            </w:r>
            <w:r>
              <w:rPr/>
              <w:t>19、增益/灵敏度选择：5，10，20mm/mV，手动或自动。</w:t>
            </w:r>
            <w:r>
              <w:br/>
            </w:r>
            <w:r>
              <w:rPr/>
              <w:t>20、不正常状态检测：电极脱落报警，高频噪声过高报警等。</w:t>
            </w:r>
            <w:r>
              <w:br/>
            </w:r>
            <w:r>
              <w:rPr/>
              <w:t>21、电极脱落：液晶显示终端显示脱落部位。</w:t>
            </w:r>
            <w:r>
              <w:br/>
            </w:r>
            <w:r>
              <w:rPr/>
              <w:t>22、键盘输入：全键盘设计，支持中文拼音输入姓名、年龄、性别、身高等患者信息。</w:t>
            </w:r>
            <w:r>
              <w:br/>
            </w:r>
            <w:r>
              <w:rPr/>
              <w:t>23、显示方式：≥7英寸液晶显示。</w:t>
            </w:r>
            <w:r>
              <w:br/>
            </w:r>
            <w:r>
              <w:rPr/>
              <w:t>24、显示分辨率：不低于800×480。</w:t>
            </w:r>
            <w:r>
              <w:br/>
            </w:r>
            <w:r>
              <w:rPr/>
              <w:t>25、显示导联数：同屏12导联，每导联显示时间≥5s。</w:t>
            </w:r>
            <w:r>
              <w:br/>
            </w:r>
            <w:r>
              <w:rPr/>
              <w:t>26、支持右胸后壁导联独立分析及18导联ST-Map电压图显示。</w:t>
            </w:r>
            <w:r>
              <w:br/>
            </w:r>
            <w:r>
              <w:rPr/>
              <w:t>27、记录器：内置高分辨率热线阵打印。</w:t>
            </w:r>
            <w:r>
              <w:br/>
            </w:r>
            <w:r>
              <w:rPr/>
              <w:t>28、走纸速度：10，12.5，25，50mm/s。</w:t>
            </w:r>
            <w:r>
              <w:br/>
            </w:r>
            <w:r>
              <w:rPr/>
              <w:t>29、无纸检出：记录纸用完后自动停止走纸并报警。</w:t>
            </w:r>
            <w:r>
              <w:br/>
            </w:r>
            <w:r>
              <w:rPr/>
              <w:t>30、电极噪声标记：双模式（屏幕，报告）提示，点划线热敏标记打印。</w:t>
            </w:r>
            <w:r>
              <w:br/>
            </w:r>
            <w:r>
              <w:rPr/>
              <w:t>31、模拟信号打印：可打印心音脉波放大器等外部机器的模拟信号。</w:t>
            </w:r>
            <w:r>
              <w:br/>
            </w:r>
            <w:r>
              <w:rPr/>
              <w:t>32、网络数据打印：支持访问外部文件服务器，本机热敏打印服务器报告。</w:t>
            </w:r>
            <w:r>
              <w:br/>
            </w:r>
            <w:r>
              <w:rPr/>
              <w:t>33、操作模式：可自动或手动。自动操作时支持实时或回顾记录，具备自动检测并延长记录心律失常波形，且支持全自动开始记录，记录波形10-24秒可调。</w:t>
            </w:r>
            <w:r>
              <w:br/>
            </w:r>
            <w:r>
              <w:rPr/>
              <w:t>34、▲冻结记录：支持≥3分钟波形冻结记录模式。</w:t>
            </w:r>
            <w:r>
              <w:br/>
            </w:r>
            <w:r>
              <w:rPr/>
              <w:t>35、测量分析：支持区分性别年龄特异性算法，支持超过40种心电相关参数自动测量。</w:t>
            </w:r>
            <w:r>
              <w:br/>
            </w:r>
            <w:r>
              <w:rPr/>
              <w:t>36、自动测量参数：包括心率、PR间期、QT/QTc、P/QRS/T电轴、RV5/SV1电压等值。</w:t>
            </w:r>
            <w:r>
              <w:br/>
            </w:r>
            <w:r>
              <w:rPr/>
              <w:t>37、▲自动分析结果：ECG分析程序：全球标准的ECAPS 12C智能自动分析算法程序，可分析至少长达10分钟的12导联心电波形，并具有最适合亚洲人的心电分析数据库，分析算法至少有5种判断类型和241种病倒分析；分析结果支持中英文切换。5大类240种以上分析结论支持；支持右胸后壁导联独立分析；支持18导联ST-Map电压图分析输出。分析结果支持中文或英文切换（可包含原因说明）显示和打印语言可分别设置，支持两版本明尼苏达码表示。</w:t>
            </w:r>
            <w:r>
              <w:br/>
            </w:r>
            <w:r>
              <w:rPr/>
              <w:t>38、外部输入：10mm/0.5V±5%，输入阻抗≥100kΩ。</w:t>
            </w:r>
            <w:r>
              <w:br/>
            </w:r>
            <w:r>
              <w:rPr/>
              <w:t>39、信号输出：0.5V/1mV±5%，输出阻抗≤100Ω，输出短路时不损坏心电图机。</w:t>
            </w:r>
            <w:r>
              <w:br/>
            </w:r>
            <w:r>
              <w:rPr/>
              <w:t>40、其它输出接口：USB/SD。</w:t>
            </w:r>
            <w:r>
              <w:br/>
            </w:r>
            <w:r>
              <w:rPr/>
              <w:t>41、▲存储和传输：内置≥400份心电图，扩展支持≥3000份以上SD卡存储。</w:t>
            </w:r>
            <w:r>
              <w:br/>
            </w:r>
            <w:r>
              <w:rPr/>
              <w:t>42、网络：标配LAN有线网络接口，支持WIFI网络连接。</w:t>
            </w:r>
            <w:r>
              <w:br/>
            </w:r>
            <w:r>
              <w:rPr/>
              <w:t>43、提示音：QRS同步或热笔拟笔音。</w:t>
            </w:r>
            <w:r>
              <w:br/>
            </w:r>
            <w:r>
              <w:rPr/>
              <w:t>44、打印网格：具备在无网格纸上打印网格功能。</w:t>
            </w:r>
            <w:r>
              <w:br/>
            </w:r>
            <w:r>
              <w:rPr/>
              <w:t>45、心律失常检测：具备心律失常检测并自动延长记录的功能。</w:t>
            </w:r>
            <w:r>
              <w:br/>
            </w:r>
            <w:r>
              <w:rPr/>
              <w:t>46、QTc算法：至少4种可选。</w:t>
            </w:r>
            <w:r>
              <w:br/>
            </w:r>
            <w:r>
              <w:rPr/>
              <w:t>47、重量：≤2.3Kg。</w:t>
            </w:r>
            <w:r>
              <w:br/>
            </w:r>
            <w:r>
              <w:rPr/>
              <w:t>48、安全性：电击防护类型: I类CF型。</w:t>
            </w:r>
            <w:r>
              <w:br/>
            </w:r>
            <w:r>
              <w:rPr/>
              <w:t>49、直流：长效可充电电池，充满电可连续工作240分钟以上。</w:t>
            </w:r>
            <w:r>
              <w:br/>
            </w:r>
            <w:r>
              <w:rPr/>
              <w:t>50、输入设备：可连接条码枪、读卡器。</w:t>
            </w:r>
            <w:r>
              <w:br/>
            </w:r>
            <w:r>
              <w:rPr/>
              <w:t>51、输出设备：可直连输出终端，打印A4尺寸报告。</w:t>
            </w:r>
            <w:r>
              <w:br/>
            </w:r>
            <w:r>
              <w:rPr/>
              <w:t>52、数据通讯方式：ECTP/DICOM。</w:t>
            </w:r>
            <w:r>
              <w:br/>
            </w:r>
            <w:r>
              <w:rPr/>
              <w:t>53、患者信息：自动获取检查列表功能。</w:t>
            </w:r>
            <w:r>
              <w:br/>
            </w:r>
            <w:r>
              <w:rPr/>
              <w:t>54、测量模式：成人、儿童、新生儿。</w:t>
            </w:r>
            <w:r>
              <w:br/>
            </w:r>
            <w:r>
              <w:rPr/>
              <w:t>55、▲数据可以跟医院在用体检系统兼容共享。（投标时须提供承诺函）</w:t>
            </w:r>
            <w:r>
              <w:br/>
            </w:r>
            <w:r>
              <w:rPr/>
              <w:t>56、需提供合法正规的计量合格证。（投标时须提供承诺函）</w:t>
            </w:r>
          </w:p>
        </w:tc>
      </w:tr>
      <w:tr>
        <w:tc>
          <w:tcPr>
            <w:tcW w:type="dxa" w:w="2076"/>
          </w:tcPr>
          <w:p>
            <w:r>
              <w:rPr/>
              <w:t>★</w:t>
            </w:r>
          </w:p>
        </w:tc>
        <w:tc>
          <w:tcPr>
            <w:tcW w:type="dxa" w:w="415"/>
          </w:tcPr>
          <w:p>
            <w:r>
              <w:rPr/>
              <w:t>2</w:t>
            </w:r>
          </w:p>
        </w:tc>
        <w:tc>
          <w:tcPr>
            <w:tcW w:type="dxa" w:w="5814"/>
          </w:tcPr>
          <w:p>
            <w:pPr>
              <w:jc w:val="both"/>
            </w:pPr>
            <w:r>
              <w:rPr>
                <w:b/>
                <w:sz w:val="21"/>
              </w:rPr>
              <w:t>二、</w:t>
            </w:r>
            <w:r>
              <w:rPr>
                <w:sz w:val="21"/>
              </w:rPr>
              <w:t>★</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心电图机主机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热敏纸</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1本</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导联线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1付</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吸咐电极</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6只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电极夹</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4只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充电电池</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1块</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剪切波组织定量超声诊断仪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 xml:space="preserve">（一）设备用途    </w:t>
            </w:r>
            <w:r>
              <w:br/>
            </w:r>
            <w:r>
              <w:rPr/>
              <w:t>1.检测和评估肝纤维化程度：利用瞬时弹性成像技术与剪切波安全无创的特点，每次检测显示量化的肝脏硬度值，以定量评估肝纤维化程度。广泛应用于慢性肝病纤维化程度的确认，肝病治疗效果的评估，治疗过程监控，肝硬化并发症的预测以及健康人群的肝纤维化筛查。</w:t>
            </w:r>
            <w:r>
              <w:br/>
            </w:r>
            <w:r>
              <w:rPr/>
              <w:t>2.▲检测和评估肝脏脂肪变程度：用于肝脏声衰减参数检测，辅助肝脏脂肪变程度诊断。</w:t>
            </w:r>
            <w:r>
              <w:br/>
            </w:r>
            <w:r>
              <w:rPr/>
              <w:t>3.超声诊断功能：集成影像功能，用于人体腹部、盆腔脏器的超声诊断。使用独立的二维影像探头进行二维成像，可以实现肝脏组织的形态结构检查。</w:t>
            </w:r>
            <w:r>
              <w:br/>
            </w:r>
            <w:r>
              <w:rPr/>
              <w:t xml:space="preserve">（二）技术要求    </w:t>
            </w:r>
            <w:r>
              <w:br/>
            </w:r>
            <w:r>
              <w:rPr/>
              <w:t xml:space="preserve">1.一般要求    </w:t>
            </w:r>
            <w:r>
              <w:br/>
            </w:r>
            <w:r>
              <w:rPr/>
              <w:t>(1)原理：利用瞬时弹性成像技术来评估肝脏的硬度；利用超声衰减理论来评估肝组织的脂肪变数值</w:t>
            </w:r>
            <w:r>
              <w:br/>
            </w:r>
            <w:r>
              <w:rPr/>
              <w:t>(2)设备形式：可移动一体化</w:t>
            </w:r>
            <w:r>
              <w:br/>
            </w:r>
            <w:r>
              <w:rPr/>
              <w:t>(3)    探头组成方式：影像引导探头与纤维扫描探头连接同一台主机及控制中心</w:t>
            </w:r>
            <w:r>
              <w:br/>
            </w:r>
            <w:r>
              <w:rPr/>
              <w:t>(4)探头剪切波触动方式    脚踏开关触发探头剪切波发射</w:t>
            </w:r>
            <w:r>
              <w:br/>
            </w:r>
            <w:r>
              <w:rPr/>
              <w:t xml:space="preserve">2.主机    </w:t>
            </w:r>
            <w:r>
              <w:br/>
            </w:r>
            <w:r>
              <w:rPr/>
              <w:t>(1)控制平台：高速处理及控制平台</w:t>
            </w:r>
            <w:r>
              <w:br/>
            </w:r>
            <w:r>
              <w:rPr/>
              <w:t>(2)显示终端≥18"高分辨率宽屏液晶显示终端；分辨率≥1440×900</w:t>
            </w:r>
            <w:r>
              <w:br/>
            </w:r>
            <w:r>
              <w:rPr/>
              <w:t>(3)自由臂    左右旋转≥90º；上下俯仰≥15º</w:t>
            </w:r>
            <w:r>
              <w:br/>
            </w:r>
            <w:r>
              <w:rPr/>
              <w:t>(4)信号端口：USB≥4个，网口，脚踏开关接口</w:t>
            </w:r>
            <w:r>
              <w:br/>
            </w:r>
            <w:r>
              <w:rPr/>
              <w:t>(5)DICOM接口：DICOM3.0标准图像和患者信息传输</w:t>
            </w:r>
            <w:r>
              <w:br/>
            </w:r>
            <w:r>
              <w:rPr/>
              <w:t>(6)专用人机交互控制面板：用于人机交互功能操作，人性化功能分区</w:t>
            </w:r>
            <w:r>
              <w:br/>
            </w:r>
            <w:r>
              <w:rPr/>
              <w:t>(7)影像引导功能：超声影像模块</w:t>
            </w:r>
            <w:r>
              <w:br/>
            </w:r>
            <w:r>
              <w:rPr/>
              <w:t>(8)纤维扫描功能：数字化肝纤维诊断模块</w:t>
            </w:r>
            <w:r>
              <w:br/>
            </w:r>
            <w:r>
              <w:rPr/>
              <w:t>(9)穿刺引导    支持穿刺引导，具有穿刺线校正功能</w:t>
            </w:r>
            <w:r>
              <w:br/>
            </w:r>
            <w:r>
              <w:rPr/>
              <w:t>(10)大容量内存≥4G；存储容量    ≥1T</w:t>
            </w:r>
            <w:r>
              <w:br/>
            </w:r>
            <w:r>
              <w:rPr/>
              <w:t xml:space="preserve">3.系统软件    </w:t>
            </w:r>
            <w:r>
              <w:br/>
            </w:r>
            <w:r>
              <w:rPr/>
              <w:t>(1)二维影像功能：二维超声影像功能评估肝脏组织形态变化；可用于人体腹部、盆腔脏器的超声诊断。</w:t>
            </w:r>
            <w:r>
              <w:br/>
            </w:r>
            <w:r>
              <w:rPr/>
              <w:t>(2)图像放大功能：可局部放大</w:t>
            </w:r>
            <w:r>
              <w:br/>
            </w:r>
            <w:r>
              <w:rPr/>
              <w:t>(3)回放文件播放：具有回放文件播放功能</w:t>
            </w:r>
            <w:r>
              <w:br/>
            </w:r>
            <w:r>
              <w:rPr/>
              <w:t>(4)显示模式：A/M/E；B、B/B、4B、B/M、M、PWD</w:t>
            </w:r>
            <w:r>
              <w:br/>
            </w:r>
            <w:r>
              <w:rPr/>
              <w:t>(5)具备患者信息数据库</w:t>
            </w:r>
            <w:r>
              <w:br/>
            </w:r>
            <w:r>
              <w:rPr/>
              <w:t>(6)图像存储功能：快速存储至本地硬盘；可以通过USB接口快速存储至外接存储器</w:t>
            </w:r>
            <w:r>
              <w:br/>
            </w:r>
            <w:r>
              <w:rPr/>
              <w:t>(7)可以连接黑白和彩色输出终端快速打印</w:t>
            </w:r>
            <w:r>
              <w:br/>
            </w:r>
            <w:r>
              <w:rPr/>
              <w:t>(8)▲实现信息传输编辑软件与医院信息系统的对接</w:t>
            </w:r>
            <w:r>
              <w:br/>
            </w:r>
            <w:r>
              <w:rPr/>
              <w:t>(9)信息接口对接软件模块：可选配DICOM网络接口-协议数据对接</w:t>
            </w:r>
            <w:r>
              <w:br/>
            </w:r>
            <w:r>
              <w:rPr/>
              <w:t>(10)具有远程功能，能够实现远程对设备状况进行检测、维护、升级等</w:t>
            </w:r>
            <w:r>
              <w:br/>
            </w:r>
            <w:r>
              <w:rPr/>
              <w:t xml:space="preserve">4.影像探头    </w:t>
            </w:r>
            <w:r>
              <w:br/>
            </w:r>
            <w:r>
              <w:rPr/>
              <w:t>(1)影像探头数量    ≥1个</w:t>
            </w:r>
            <w:r>
              <w:br/>
            </w:r>
            <w:r>
              <w:rPr/>
              <w:t>(2)影像探头类型：腹部影像探头</w:t>
            </w:r>
            <w:r>
              <w:br/>
            </w:r>
            <w:r>
              <w:rPr/>
              <w:t xml:space="preserve">(3)声工作频率    2.0MHz--5.0MHz </w:t>
            </w:r>
            <w:r>
              <w:br/>
            </w:r>
            <w:r>
              <w:rPr/>
              <w:t xml:space="preserve">(4)侧向分辨率    3.5MHz：≤3mm（深度≤80mm）；≤4mm（80mm＜深度≤130mm） </w:t>
            </w:r>
            <w:r>
              <w:br/>
            </w:r>
            <w:r>
              <w:rPr/>
              <w:t xml:space="preserve">(5)轴向分辨率    3.5MHz：≤2mm（深度≤80mm） </w:t>
            </w:r>
            <w:r>
              <w:br/>
            </w:r>
            <w:r>
              <w:rPr/>
              <w:t>(6)盲区≤7mm</w:t>
            </w:r>
            <w:r>
              <w:br/>
            </w:r>
            <w:r>
              <w:rPr/>
              <w:t>(7)检测深度（3.5MHz）：≥140mm</w:t>
            </w:r>
            <w:r>
              <w:br/>
            </w:r>
            <w:r>
              <w:rPr/>
              <w:t>5.纤维扫描探头：适用于全人群，仅一个探头即可适用于儿童、普通人群和肥胖人群。</w:t>
            </w:r>
            <w:r>
              <w:br/>
            </w:r>
            <w:r>
              <w:rPr/>
              <w:t>(1)纤维扫描探头数量    ≥1个</w:t>
            </w:r>
            <w:r>
              <w:br/>
            </w:r>
            <w:r>
              <w:rPr/>
              <w:t>(2)纤维化探头超声波频率    需宽频波，频率范围1.5MHz-6.0MHz</w:t>
            </w:r>
            <w:r>
              <w:br/>
            </w:r>
            <w:r>
              <w:rPr/>
              <w:t>(3)▲探头前端直径    ≤8mm</w:t>
            </w:r>
            <w:r>
              <w:br/>
            </w:r>
            <w:r>
              <w:rPr/>
              <w:t xml:space="preserve">(4)探头中心频率    2.5MHz </w:t>
            </w:r>
            <w:r>
              <w:br/>
            </w:r>
            <w:r>
              <w:rPr/>
              <w:t>(5)▲探头频率自适应调节：自动检测皮肤表面到肝脏包膜的距离，并自动调节探头传感器频率</w:t>
            </w:r>
            <w:r>
              <w:br/>
            </w:r>
            <w:r>
              <w:rPr/>
              <w:t>(6)剪切波频率：50 Hz</w:t>
            </w:r>
            <w:r>
              <w:br/>
            </w:r>
            <w:r>
              <w:rPr/>
              <w:t>(7)取样体积≥6cm³</w:t>
            </w:r>
            <w:r>
              <w:br/>
            </w:r>
            <w:r>
              <w:rPr/>
              <w:t xml:space="preserve">6.硬度测量    </w:t>
            </w:r>
            <w:r>
              <w:br/>
            </w:r>
            <w:r>
              <w:rPr/>
              <w:t>(1)▲纤维化探头测量深度范围    15mm-85mm</w:t>
            </w:r>
            <w:r>
              <w:br/>
            </w:r>
            <w:r>
              <w:rPr/>
              <w:t>(2)▲纤维化探头硬度检测范围    1kPa-80kPa</w:t>
            </w:r>
            <w:r>
              <w:br/>
            </w:r>
            <w:r>
              <w:rPr/>
              <w:t>(3)硬度测量误差    ≤0.5kPa</w:t>
            </w:r>
            <w:r>
              <w:br/>
            </w:r>
            <w:r>
              <w:rPr/>
              <w:t xml:space="preserve">7.脂肪衰减参数测量    </w:t>
            </w:r>
            <w:r>
              <w:br/>
            </w:r>
            <w:r>
              <w:rPr/>
              <w:t>(1)脂肪衰减参数检测范围    90dB/m-450dB/m</w:t>
            </w:r>
            <w:r>
              <w:br/>
            </w:r>
            <w:r>
              <w:rPr/>
              <w:t>(2)脂肪衰减参数测量误差    ≤5dB/m</w:t>
            </w:r>
            <w:r>
              <w:br/>
            </w:r>
            <w:r>
              <w:rPr/>
              <w:t xml:space="preserve">8.纤维扫描功能    </w:t>
            </w:r>
            <w:r>
              <w:br/>
            </w:r>
            <w:r>
              <w:rPr/>
              <w:t>(1)肝脏定位：超声影像引导检查者精确定位肝区，避开肝脏大血管、囊肿等，选择最佳位置；</w:t>
            </w:r>
            <w:r>
              <w:br/>
            </w:r>
            <w:r>
              <w:rPr/>
              <w:t>(2)肝脏自动识别功能：通过色带颜色提示肝脏位置，辅助探头定位。</w:t>
            </w:r>
            <w:r>
              <w:br/>
            </w:r>
            <w:r>
              <w:rPr/>
              <w:t>(3)压力指示窗口实时监测探头承受压力范围并具有压力过载自动提示并停止检测功能</w:t>
            </w:r>
            <w:r>
              <w:br/>
            </w:r>
            <w:r>
              <w:rPr/>
              <w:t>(4)量化分析：软件自动分析测量结果</w:t>
            </w:r>
            <w:r>
              <w:br/>
            </w:r>
            <w:r>
              <w:rPr/>
              <w:t>(5)显示值：患者信息、中位数、硬度值、IQR、成功率、测量次数、脂肪衰减参数值等</w:t>
            </w:r>
            <w:r>
              <w:br/>
            </w:r>
            <w:r>
              <w:rPr/>
              <w:t>(6)弹性图：弹性结果图显示测量深度及时间</w:t>
            </w:r>
            <w:r>
              <w:br/>
            </w:r>
            <w:r>
              <w:rPr/>
              <w:t>(7)结果量化功能：以 kPa 为单位的硬度单位量化显示每次检测的肝脏硬度值以及通过内部运算得出的中位数。</w:t>
            </w:r>
            <w:r>
              <w:br/>
            </w:r>
            <w:r>
              <w:rPr/>
              <w:t>(8)无需操作，自动保存病例，形成图形、数字报告，病例导出以Excel格式导出病例全部信息，支持软件升级，支持按要求筛选病例功能；单个病例支持以PDF格式导出病例全部信息。</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显示终端</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诊断系统软件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电脑工作站（包含彩色</w:t>
                  </w:r>
                  <w:r>
                    <w:rPr>
                      <w:sz w:val="21"/>
                    </w:rPr>
                    <w:t>输出终端</w:t>
                  </w:r>
                  <w:r>
                    <w:rPr>
                      <w:sz w:val="21"/>
                    </w:rPr>
                    <w:t>、专用电脑及桌椅）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纤维扫描探头</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影像探头</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脚踏开关</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可移动推车</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操作床</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1张</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医生椅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1张</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电生理精准治疗系统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△电生理精准治疗系统</w:t>
            </w:r>
            <w:r>
              <w:br/>
            </w:r>
            <w:r>
              <w:rPr/>
              <w:t>一、设备技术详细需求：</w:t>
            </w:r>
            <w:r>
              <w:br/>
            </w:r>
            <w:r>
              <w:rPr/>
              <w:t>1.▲电刺激通道数量≥4个，可同时输出≥2种机理治疗，同时治疗8个部位，可同时对同一病人多个部位进行治疗或多位病人同时进行治。</w:t>
            </w:r>
            <w:r>
              <w:br/>
            </w:r>
            <w:r>
              <w:rPr/>
              <w:t>2.▲预置治疗程序数量≥7个，软件预置治疗程序数量≥25个，疾病治疗方案数量≥105个，电生理精准治疗方案≥800个。</w:t>
            </w:r>
            <w:r>
              <w:br/>
            </w:r>
            <w:r>
              <w:rPr/>
              <w:t>3.电生理治疗：包含≥5大类、≥28小类等不同组织的电生理参数≥1600个。</w:t>
            </w:r>
            <w:r>
              <w:br/>
            </w:r>
            <w:r>
              <w:rPr/>
              <w:t>4.可同时实现2类治疗方案、12种以上治疗参数同步协同输出，以实现疾病推荐参数治疗和通过可视化精准诊断参数治疗。</w:t>
            </w:r>
            <w:r>
              <w:br/>
            </w:r>
            <w:r>
              <w:rPr/>
              <w:t>5.刺激电流（幅度）/通道：0-99.5mA（负载电阻1000Ω）在1000Ω的负载电阻下，各通道的输出电流范围为0-99.5mA。在此范围内，可以每一增量为0.5mA断续调节。</w:t>
            </w:r>
            <w:r>
              <w:br/>
            </w:r>
            <w:r>
              <w:rPr/>
              <w:t>6.输出电流类型：双相脉冲电流。</w:t>
            </w:r>
            <w:r>
              <w:br/>
            </w:r>
            <w:r>
              <w:rPr/>
              <w:t>7.脉冲频率：1-400Hz。</w:t>
            </w:r>
            <w:r>
              <w:br/>
            </w:r>
            <w:r>
              <w:rPr/>
              <w:t>8.脉冲宽度：50-1000uS。</w:t>
            </w:r>
            <w:r>
              <w:br/>
            </w:r>
            <w:r>
              <w:rPr/>
              <w:t>9.电生理治疗参数组合≥552个。</w:t>
            </w:r>
            <w:r>
              <w:br/>
            </w:r>
            <w:r>
              <w:rPr/>
              <w:t>10.每个方案包含多个阶段，每个阶段电流可独立设置。</w:t>
            </w:r>
            <w:r>
              <w:br/>
            </w:r>
            <w:r>
              <w:rPr/>
              <w:t>11.电流幅度变化：延迟时间0-120s；上升时间0-10s；平台时间0-30s；下降时间0-10s；休息时间0-30s。</w:t>
            </w:r>
            <w:r>
              <w:br/>
            </w:r>
            <w:r>
              <w:rPr/>
              <w:t>12.治疗时间定时范围为1-60分钟，可以每一增量为1min断续调节。治疗结束后5分钟内，无任何按键操作，自动关机。</w:t>
            </w:r>
            <w:r>
              <w:br/>
            </w:r>
            <w:r>
              <w:rPr/>
              <w:t>13.设备可移动，可供床边或移动使用。 台车静音方向轮支持360度旋转，支持固定位置锁定。</w:t>
            </w:r>
            <w:r>
              <w:br/>
            </w:r>
            <w:r>
              <w:rPr/>
              <w:t>14.▲和可视化电生理精准诊断系统相匹配，诊断参数和治疗参数相对应，依据可视化精准诊断系统诊断出精准电生理参数实现精准、个体化治疗。</w:t>
            </w:r>
            <w:r>
              <w:br/>
            </w:r>
            <w:r>
              <w:rPr/>
              <w:t>15.配套应用软件可实现电刺激强度双通道单独或联合条件。</w:t>
            </w:r>
            <w:r>
              <w:br/>
            </w:r>
            <w:r>
              <w:rPr/>
              <w:t>16.配套应用软件具有体表电极贴法操作示意图、自我评估调查表、治疗日志回放等功能。</w:t>
            </w:r>
            <w:r>
              <w:br/>
            </w:r>
            <w:r>
              <w:rPr/>
              <w:t>17.电生理项目系统软件≥20种：具有勃起功能问卷软件、男性生殖与优生问卷软件、男性性功能问卷软件、前列腺症状问卷软件、早泄问卷软件、睾丸疼痛问卷软件、尿失禁问卷软件、慢性盆腔疼痛问卷软件、焦虑筛查问卷软件、睡眠质量问卷软件、心理健康初筛问卷软件、更年期综合征问卷软件、盆底脱垂问卷软件、腹直肌分离问卷软件、家庭健康问卷软件、男科问卷软件、男科医师助手预测问卷软件、盆底问卷软件、围手术期健康调查问卷软件、围手术期问卷软件、项目教程软件、女性生殖与优生问卷软件、女性性功能问卷软件、痛经问卷软件等。</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工作站（包含专用电脑、专用电脑桌椅）</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应用软件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台车</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配套使用平板电脑</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电极片</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60包</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五官科超短波治疗机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1.本电疗机适用于对人体进行止痛、解痉、消炎、五官各部位的辅助治疗。</w:t>
            </w:r>
            <w:r>
              <w:br/>
            </w:r>
            <w:r>
              <w:rPr/>
              <w:t>2.输出功率：50W，允许偏差±20%。</w:t>
            </w:r>
            <w:r>
              <w:br/>
            </w:r>
            <w:r>
              <w:rPr/>
              <w:t>3.工作频率：27.12MHz，允许偏差±0.6%。</w:t>
            </w:r>
            <w:r>
              <w:br/>
            </w:r>
            <w:r>
              <w:rPr/>
              <w:t>4.治疗时间：分10、15、20、25、30min五档，允许偏差±10%。</w:t>
            </w:r>
            <w:r>
              <w:br/>
            </w:r>
            <w:r>
              <w:rPr/>
              <w:t>5.工作制：连续工作≥4h。</w:t>
            </w:r>
          </w:p>
        </w:tc>
      </w:tr>
      <w:tr>
        <w:tc>
          <w:tcPr>
            <w:tcW w:type="dxa" w:w="2076"/>
          </w:tcPr>
          <w:p>
            <w:r>
              <w:rPr/>
              <w:t>★</w:t>
            </w:r>
          </w:p>
        </w:tc>
        <w:tc>
          <w:tcPr>
            <w:tcW w:type="dxa" w:w="415"/>
          </w:tcPr>
          <w:p>
            <w:r>
              <w:rPr/>
              <w:t>2</w:t>
            </w:r>
          </w:p>
        </w:tc>
        <w:tc>
          <w:tcPr>
            <w:tcW w:type="dxa" w:w="5814"/>
          </w:tcPr>
          <w:p>
            <w:pPr>
              <w:jc w:val="both"/>
            </w:pPr>
            <w:r>
              <w:rPr>
                <w:b/>
                <w:sz w:val="21"/>
              </w:rPr>
              <w:t>二、</w:t>
            </w:r>
            <w:r>
              <w:rPr>
                <w:sz w:val="21"/>
              </w:rPr>
              <w:t>★</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大号硅橡胶电极板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中号硅橡胶电极板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小号硅橡胶电极板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w:t>
                  </w:r>
                  <w:r>
                    <w:rPr>
                      <w:sz w:val="21"/>
                    </w:rPr>
                    <w:t>对</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测试用日光灯管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2支</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硅胶输出线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2条</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电极布套</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治疗臂</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2支</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溶栓称重床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1.床体可载重≥240kg；背板动态载重≥170kg。</w:t>
            </w:r>
            <w:r>
              <w:br/>
            </w:r>
            <w:r>
              <w:rPr/>
              <w:t>2.▲背部调节高度：0°-75°±5°</w:t>
            </w:r>
            <w:r>
              <w:br/>
            </w:r>
            <w:r>
              <w:rPr/>
              <w:t>腿部调节高度：0°-45°±5°</w:t>
            </w:r>
            <w:r>
              <w:br/>
            </w:r>
            <w:r>
              <w:rPr/>
              <w:t>调节床面整体升降：560-860mm，</w:t>
            </w:r>
            <w:r>
              <w:br/>
            </w:r>
            <w:r>
              <w:rPr/>
              <w:t>整床前后倾斜：0-12°±2°</w:t>
            </w:r>
            <w:r>
              <w:br/>
            </w:r>
            <w:r>
              <w:rPr/>
              <w:t>整床左右侧翻15°±2°</w:t>
            </w:r>
            <w:r>
              <w:br/>
            </w:r>
            <w:r>
              <w:rPr/>
              <w:t>3.▲具备称重功能、手动背部CPR（心脏复苏位）功能、电动CPR、腹部减压功能、床板透X光拍片等功能，配设备专用不间断电源，断电后可以连续使用至少120分钟。</w:t>
            </w:r>
            <w:r>
              <w:br/>
            </w:r>
            <w:r>
              <w:rPr/>
              <w:t>4.床板采用高透明亚克力板，具有高透光度、耐高温、耐酸碱腐蚀、抗老化、长期接触无毒无害的特性，床板下设X光拍片暗盒导轨，方便暗盒调整位置；背部采用双支撑卸力结构。</w:t>
            </w:r>
            <w:r>
              <w:br/>
            </w:r>
            <w:r>
              <w:rPr/>
              <w:t>5.整床升降采用立柱电机，低噪音，与EMI电磁波具有兼容性，不漏电，抗电磁、不干扰呼吸机、心电监护等设备工作，扭力最大可达6000N。</w:t>
            </w:r>
            <w:r>
              <w:br/>
            </w:r>
            <w:r>
              <w:rPr/>
              <w:t>6.护理床床头尾板采用塑料一体成型；护理床床头尾板表面平顺易清洁；护理床床头尾板抗至少150KG冲击。</w:t>
            </w:r>
            <w:r>
              <w:br/>
            </w:r>
            <w:r>
              <w:rPr/>
              <w:t>7.全包围护栏，结构采用四片式分段，采用PP塑料材质；带阻尼缓冲功能，并可以承受正向50kg异物撞击至少10次。</w:t>
            </w:r>
            <w:r>
              <w:br/>
            </w:r>
            <w:r>
              <w:rPr/>
              <w:t>8.配置≥7寸触摸式操作器，触摸式按键。</w:t>
            </w:r>
            <w:r>
              <w:br/>
            </w:r>
            <w:r>
              <w:rPr/>
              <w:t>9.▲病床带称重系统，在操作屏上实时显示病人体重，可储存数据。</w:t>
            </w:r>
            <w:r>
              <w:br/>
            </w:r>
            <w:r>
              <w:rPr/>
              <w:t>10.脚轮≥5寸双面中控脚轮，内置全封闭自润滑轴承，防水、防异物卷入。中控刹车系统具有两侧刹车开关功能。</w:t>
            </w:r>
            <w:r>
              <w:br/>
            </w:r>
            <w:r>
              <w:rPr/>
              <w:t>11.四个点滴架插座，孔径≥19mm，由金属材质冲压成型，固定焊接；另配四个可360°旋转引流袋挂钩，也可用于放置输液架。</w:t>
            </w:r>
            <w:r>
              <w:br/>
            </w:r>
            <w:r>
              <w:rPr/>
              <w:t>12.不锈钢输液架，直径≥19mm。</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床头尾板</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1付</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全包围护栏</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4个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不锈钢输液架</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1支</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病历卡</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引流钩</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4个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床垫</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1张</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床头柜</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移动餐桌</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简易膀胱扫描仪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1.显示终端≥8英寸</w:t>
            </w:r>
            <w:r>
              <w:br/>
            </w:r>
            <w:r>
              <w:rPr/>
              <w:t>2.▲侧向分辨力：≥3mm（深度≤80mm）</w:t>
            </w:r>
            <w:r>
              <w:br/>
            </w:r>
            <w:r>
              <w:rPr/>
              <w:t>3.▲轴向分辨力：≥2mm（深度≤80mm）</w:t>
            </w:r>
            <w:r>
              <w:br/>
            </w:r>
            <w:r>
              <w:rPr/>
              <w:t>4.探测深度≥160 mm</w:t>
            </w:r>
            <w:r>
              <w:br/>
            </w:r>
            <w:r>
              <w:rPr/>
              <w:t>5.摆动角度≥120度</w:t>
            </w:r>
            <w:r>
              <w:br/>
            </w:r>
            <w:r>
              <w:rPr/>
              <w:t>6.转动角度≥180度</w:t>
            </w:r>
            <w:r>
              <w:br/>
            </w:r>
            <w:r>
              <w:rPr/>
              <w:t>7.扫描方式：具备专家模式、简易模式</w:t>
            </w:r>
            <w:r>
              <w:br/>
            </w:r>
            <w:r>
              <w:rPr/>
              <w:t>8.扫描时间：小于5s的时间可以扫描12幅图</w:t>
            </w:r>
            <w:r>
              <w:br/>
            </w:r>
            <w:r>
              <w:rPr/>
              <w:t>9.实时显示膀胱图像及位置，自动扫描和计算，自动显示测量数据结果，并显示最大值</w:t>
            </w:r>
            <w:r>
              <w:br/>
            </w:r>
            <w:r>
              <w:rPr/>
              <w:t>10.测量范围：0ml-999 ml</w:t>
            </w:r>
            <w:r>
              <w:br/>
            </w:r>
            <w:r>
              <w:rPr/>
              <w:t>11.精确度：0ml≤V≤999ml,±15%  15ml</w:t>
            </w:r>
            <w:r>
              <w:br/>
            </w:r>
            <w:r>
              <w:rPr/>
              <w:t>12.可以选择成人和儿童</w:t>
            </w:r>
            <w:r>
              <w:br/>
            </w:r>
            <w:r>
              <w:rPr/>
              <w:t>13.▲具备体膜自动校准，无需人工判断准确度</w:t>
            </w:r>
            <w:r>
              <w:br/>
            </w:r>
            <w:r>
              <w:rPr/>
              <w:t>14.具备组织谐波成像功能</w:t>
            </w:r>
            <w:r>
              <w:br/>
            </w:r>
            <w:r>
              <w:rPr/>
              <w:t>15.具备上位机软件，并能进行数据管理，打印A4报告</w:t>
            </w:r>
            <w:r>
              <w:br/>
            </w:r>
            <w:r>
              <w:rPr/>
              <w:t>16.具备扫描图像实时绿色沟边，并有自动判定位置的中心指示线</w:t>
            </w:r>
            <w:r>
              <w:br/>
            </w:r>
            <w:r>
              <w:rPr/>
              <w:t>17.具备扫描智能定位功能</w:t>
            </w:r>
            <w:r>
              <w:br/>
            </w:r>
            <w:r>
              <w:rPr/>
              <w:t>18.多人多次存储，≥1200幅图片；可导出到U盘和计算机</w:t>
            </w:r>
            <w:r>
              <w:br/>
            </w:r>
            <w:r>
              <w:rPr/>
              <w:t>19.双电源内部供电；内置电池供电，外接电源，直流电、电池使用时间≥3小时</w:t>
            </w:r>
          </w:p>
        </w:tc>
      </w:tr>
      <w:tr>
        <w:tc>
          <w:tcPr>
            <w:tcW w:type="dxa" w:w="2076"/>
          </w:tcPr>
          <w:p>
            <w:r>
              <w:rPr/>
              <w:t>★</w:t>
            </w:r>
          </w:p>
        </w:tc>
        <w:tc>
          <w:tcPr>
            <w:tcW w:type="dxa" w:w="415"/>
          </w:tcPr>
          <w:p>
            <w:r>
              <w:rPr/>
              <w:t>2</w:t>
            </w:r>
          </w:p>
        </w:tc>
        <w:tc>
          <w:tcPr>
            <w:tcW w:type="dxa" w:w="5814"/>
          </w:tcPr>
          <w:p>
            <w:pPr>
              <w:jc w:val="both"/>
            </w:pPr>
            <w:r>
              <w:rPr>
                <w:b/>
                <w:sz w:val="21"/>
              </w:rPr>
              <w:t>二、</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探头</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电池</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耦合剂</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2支</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打印纸</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5卷</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一十九</w:t>
      </w:r>
      <w:r>
        <w:rPr>
          <w:b/>
        </w:rPr>
        <w:t>：</w:t>
      </w:r>
      <w:r>
        <w:rPr>
          <w:b/>
        </w:rPr>
        <w:t>男性性功能生物反馈检测仪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1.临床应用：性心理测评与诊断，利用国际通用的性心理测评问卷，了解患者性活动时的各种真实表现，评估出性功能障碍的程度及病因，为制定出有效的治疗方案提供参考。</w:t>
            </w:r>
            <w:r>
              <w:br/>
            </w:r>
            <w:r>
              <w:rPr/>
              <w:t>2.台式机型，控制方式：计算机控制，工作方式：手动操作。</w:t>
            </w:r>
            <w:r>
              <w:br/>
            </w:r>
            <w:r>
              <w:rPr/>
              <w:t>3.最大输入功率：50VA。</w:t>
            </w:r>
            <w:r>
              <w:br/>
            </w:r>
            <w:r>
              <w:rPr/>
              <w:t>4.大气压力为：700 hPa～1060 hPa。治疗仪应远离强磁场干扰的环境工作，避免阳光直接照射。</w:t>
            </w:r>
            <w:r>
              <w:br/>
            </w:r>
            <w:r>
              <w:rPr/>
              <w:t>5.▲电阻式传感器电阻值变化量ΔR≥100KΩ；</w:t>
            </w:r>
            <w:r>
              <w:br/>
            </w:r>
            <w:r>
              <w:rPr/>
              <w:t>6.▲电阻式传感器周长的变化量ΔL≥20mm；</w:t>
            </w:r>
            <w:r>
              <w:br/>
            </w:r>
            <w:r>
              <w:rPr/>
              <w:t>7.连续记录时间不小于8小时；</w:t>
            </w:r>
            <w:r>
              <w:br/>
            </w:r>
            <w:r>
              <w:rPr/>
              <w:t>8.可记录男性在睡眠过程中勃起变化的曲线：在睡眠状态下，连续记录阴茎勃起次数、持续时间、峰值等指标，并能连接主机自动生成相应图表以协助临床医生确定患者勃起障碍的类型。</w:t>
            </w:r>
            <w:r>
              <w:br/>
            </w:r>
            <w:r>
              <w:rPr/>
              <w:t>9.设备自动计算数据。</w:t>
            </w:r>
          </w:p>
        </w:tc>
      </w:tr>
      <w:tr>
        <w:tc>
          <w:tcPr>
            <w:tcW w:type="dxa" w:w="2076"/>
          </w:tcPr>
          <w:p>
            <w:r>
              <w:rPr/>
              <w:t>★</w:t>
            </w:r>
          </w:p>
        </w:tc>
        <w:tc>
          <w:tcPr>
            <w:tcW w:type="dxa" w:w="415"/>
          </w:tcPr>
          <w:p>
            <w:r>
              <w:rPr/>
              <w:t>2</w:t>
            </w:r>
          </w:p>
        </w:tc>
        <w:tc>
          <w:tcPr>
            <w:tcW w:type="dxa" w:w="5814"/>
          </w:tcPr>
          <w:p>
            <w:pPr>
              <w:jc w:val="both"/>
            </w:pPr>
            <w:r>
              <w:rPr>
                <w:b/>
                <w:sz w:val="21"/>
              </w:rPr>
              <w:t>二、</w:t>
            </w:r>
            <w:r>
              <w:rPr>
                <w:sz w:val="21"/>
              </w:rPr>
              <w:t>★</w:t>
            </w:r>
            <w:r>
              <w:rPr>
                <w:b/>
                <w:sz w:val="21"/>
              </w:rPr>
              <w:t>设备配置需求：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1套</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输出终端</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1台</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记录盒</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2个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电池</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4个</w:t>
                  </w:r>
                </w:p>
              </w:tc>
            </w:tr>
            <w:tr>
              <w:tc>
                <w:tcPr>
                  <w:tcW w:type="dxa" w:w="1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25"/>
                  <w:tcBorders>
                    <w:top w:val="none" w:color="000000" w:sz="4"/>
                    <w:left w:val="none" w:color="000000" w:sz="4"/>
                    <w:bottom w:val="single" w:color="000000" w:sz="4"/>
                    <w:right w:val="single" w:color="000000" w:sz="4"/>
                  </w:tcBorders>
                  <w:vAlign w:val="top"/>
                </w:tcPr>
                <w:p>
                  <w:pPr>
                    <w:jc w:val="center"/>
                  </w:pPr>
                  <w:r>
                    <w:rPr>
                      <w:sz w:val="21"/>
                    </w:rPr>
                    <w:t>勃起检测电极</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10套</w:t>
                  </w:r>
                </w:p>
              </w:tc>
            </w:tr>
          </w:tbl>
        </w:tc>
      </w:tr>
      <w:tr>
        <w:tc>
          <w:tcPr>
            <w:tcW w:type="dxa" w:w="2076"/>
          </w:tcPr>
          <w:p>
            <w:r>
              <w:rPr/>
              <w:t>★</w:t>
            </w:r>
          </w:p>
        </w:tc>
        <w:tc>
          <w:tcPr>
            <w:tcW w:type="dxa" w:w="415"/>
          </w:tcPr>
          <w:p>
            <w:r>
              <w:rPr/>
              <w:t>3</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w:t>
      </w:r>
      <w:r>
        <w:rPr>
          <w:b/>
        </w:rPr>
        <w:t>：</w:t>
      </w:r>
      <w:r>
        <w:rPr>
          <w:b/>
        </w:rPr>
        <w:t>硬性输尿管镜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一、设备技术详细需求：</w:t>
            </w:r>
            <w:r>
              <w:br/>
            </w:r>
            <w:r>
              <w:rPr/>
              <w:t>1.▲头端≤6.5Fr.，镜身外径7Fr.～10Fr.；</w:t>
            </w:r>
            <w:r>
              <w:br/>
            </w:r>
            <w:r>
              <w:rPr/>
              <w:t>2.斜目镜，视向角≥6°；</w:t>
            </w:r>
            <w:r>
              <w:br/>
            </w:r>
            <w:r>
              <w:rPr/>
              <w:t>3.视场角≥75°；</w:t>
            </w:r>
            <w:r>
              <w:br/>
            </w:r>
            <w:r>
              <w:rPr/>
              <w:t>4.工作长度≥425cm；</w:t>
            </w:r>
            <w:r>
              <w:br/>
            </w:r>
            <w:r>
              <w:rPr/>
              <w:t>5.内置光纤，两侧灌注通道，工作通道≥4.8Fr.；</w:t>
            </w:r>
            <w:r>
              <w:br/>
            </w:r>
            <w:r>
              <w:rPr/>
              <w:t>6.可高温高压消毒；</w:t>
            </w:r>
            <w:r>
              <w:br/>
            </w:r>
            <w:r>
              <w:rPr/>
              <w:t>7.器械适配器有单通道和双通道可选；</w:t>
            </w:r>
            <w:r>
              <w:br/>
            </w:r>
            <w:r>
              <w:rPr/>
              <w:t>8.配原厂消毒盒。</w:t>
            </w:r>
          </w:p>
        </w:tc>
      </w:tr>
      <w:tr>
        <w:tc>
          <w:tcPr>
            <w:tcW w:type="dxa" w:w="2076"/>
          </w:tcPr>
          <w:p>
            <w:r>
              <w:rPr/>
              <w:t>★</w:t>
            </w:r>
          </w:p>
        </w:tc>
        <w:tc>
          <w:tcPr>
            <w:tcW w:type="dxa" w:w="415"/>
          </w:tcPr>
          <w:p>
            <w:r>
              <w:rPr/>
              <w:t>2</w:t>
            </w:r>
          </w:p>
        </w:tc>
        <w:tc>
          <w:tcPr>
            <w:tcW w:type="dxa" w:w="5814"/>
          </w:tcPr>
          <w:p>
            <w:pPr>
              <w:jc w:val="both"/>
            </w:pPr>
            <w:r>
              <w:rPr>
                <w:sz w:val="21"/>
              </w:rPr>
              <w:t>二</w:t>
            </w:r>
            <w:r>
              <w:rPr>
                <w:sz w:val="21"/>
              </w:rPr>
              <w:t>、</w:t>
            </w:r>
            <w:r>
              <w:rPr>
                <w:b/>
                <w:sz w:val="21"/>
              </w:rPr>
              <w:t>★</w:t>
            </w:r>
            <w:r>
              <w:rPr>
                <w:sz w:val="21"/>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625"/>
              <w:gridCol w:w="1690"/>
            </w:tblGrid>
            <w:tr>
              <w:tc>
                <w:tcPr>
                  <w:tcW w:type="dxa" w:w="128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625"/>
                  <w:tcBorders>
                    <w:top w:val="single" w:color="000000" w:sz="4"/>
                    <w:left w:val="none" w:color="000000" w:sz="4"/>
                    <w:bottom w:val="single" w:color="000000" w:sz="4"/>
                    <w:right w:val="single" w:color="000000" w:sz="4"/>
                  </w:tcBorders>
                  <w:vAlign w:val="top"/>
                </w:tcPr>
                <w:p>
                  <w:pPr>
                    <w:jc w:val="center"/>
                  </w:pPr>
                  <w:r>
                    <w:rPr>
                      <w:b/>
                      <w:sz w:val="21"/>
                    </w:rPr>
                    <w:t>配置</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1</w:t>
                  </w:r>
                </w:p>
              </w:tc>
              <w:tc>
                <w:tcPr>
                  <w:tcW w:type="dxa" w:w="2625"/>
                  <w:tcBorders>
                    <w:top w:val="none" w:color="000000" w:sz="4"/>
                    <w:left w:val="none" w:color="000000" w:sz="4"/>
                    <w:bottom w:val="single" w:color="000000" w:sz="4"/>
                    <w:right w:val="single" w:color="000000" w:sz="4"/>
                  </w:tcBorders>
                  <w:vAlign w:val="top"/>
                </w:tcPr>
                <w:p>
                  <w:pPr>
                    <w:jc w:val="both"/>
                  </w:pPr>
                  <w:r>
                    <w:rPr>
                      <w:sz w:val="21"/>
                    </w:rPr>
                    <w:t>镜子</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条</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2</w:t>
                  </w:r>
                </w:p>
              </w:tc>
              <w:tc>
                <w:tcPr>
                  <w:tcW w:type="dxa" w:w="2625"/>
                  <w:tcBorders>
                    <w:top w:val="none" w:color="000000" w:sz="4"/>
                    <w:left w:val="none" w:color="000000" w:sz="4"/>
                    <w:bottom w:val="single" w:color="000000" w:sz="4"/>
                    <w:right w:val="single" w:color="000000" w:sz="4"/>
                  </w:tcBorders>
                  <w:vAlign w:val="top"/>
                </w:tcPr>
                <w:p>
                  <w:pPr>
                    <w:jc w:val="both"/>
                  </w:pPr>
                  <w:r>
                    <w:rPr>
                      <w:sz w:val="21"/>
                    </w:rPr>
                    <w:t>器械适配器</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3</w:t>
                  </w:r>
                </w:p>
              </w:tc>
              <w:tc>
                <w:tcPr>
                  <w:tcW w:type="dxa" w:w="2625"/>
                  <w:tcBorders>
                    <w:top w:val="none" w:color="000000" w:sz="4"/>
                    <w:left w:val="none" w:color="000000" w:sz="4"/>
                    <w:bottom w:val="single" w:color="000000" w:sz="4"/>
                    <w:right w:val="single" w:color="000000" w:sz="4"/>
                  </w:tcBorders>
                  <w:vAlign w:val="top"/>
                </w:tcPr>
                <w:p>
                  <w:pPr>
                    <w:jc w:val="both"/>
                  </w:pPr>
                  <w:r>
                    <w:rPr>
                      <w:sz w:val="21"/>
                    </w:rPr>
                    <w:t>密封帽</w:t>
                  </w:r>
                </w:p>
              </w:tc>
              <w:tc>
                <w:tcPr>
                  <w:tcW w:type="dxa" w:w="1690"/>
                  <w:tcBorders>
                    <w:top w:val="none" w:color="000000" w:sz="4"/>
                    <w:left w:val="none" w:color="000000" w:sz="4"/>
                    <w:bottom w:val="single" w:color="000000" w:sz="4"/>
                    <w:right w:val="single" w:color="000000" w:sz="4"/>
                  </w:tcBorders>
                  <w:vAlign w:val="top"/>
                </w:tcPr>
                <w:p>
                  <w:pPr>
                    <w:jc w:val="both"/>
                  </w:pPr>
                  <w:r>
                    <w:rPr>
                      <w:sz w:val="21"/>
                    </w:rPr>
                    <w:t>10</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4</w:t>
                  </w:r>
                </w:p>
              </w:tc>
              <w:tc>
                <w:tcPr>
                  <w:tcW w:type="dxa" w:w="2625"/>
                  <w:tcBorders>
                    <w:top w:val="none" w:color="000000" w:sz="4"/>
                    <w:left w:val="none" w:color="000000" w:sz="4"/>
                    <w:bottom w:val="single" w:color="000000" w:sz="4"/>
                    <w:right w:val="single" w:color="000000" w:sz="4"/>
                  </w:tcBorders>
                  <w:vAlign w:val="top"/>
                </w:tcPr>
                <w:p>
                  <w:pPr>
                    <w:jc w:val="both"/>
                  </w:pPr>
                  <w:r>
                    <w:rPr>
                      <w:sz w:val="21"/>
                    </w:rPr>
                    <w:t>消毒盒</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个</w:t>
                  </w:r>
                </w:p>
              </w:tc>
            </w:tr>
            <w:tr>
              <w:tc>
                <w:tcPr>
                  <w:tcW w:type="dxa" w:w="1283"/>
                  <w:tcBorders>
                    <w:top w:val="none" w:color="000000" w:sz="4"/>
                    <w:left w:val="single" w:color="000000" w:sz="4"/>
                    <w:bottom w:val="single" w:color="000000" w:sz="4"/>
                    <w:right w:val="single" w:color="000000" w:sz="4"/>
                  </w:tcBorders>
                  <w:vAlign w:val="top"/>
                </w:tcPr>
                <w:p>
                  <w:pPr>
                    <w:jc w:val="both"/>
                  </w:pPr>
                  <w:r>
                    <w:rPr>
                      <w:sz w:val="21"/>
                    </w:rPr>
                    <w:t>5</w:t>
                  </w:r>
                </w:p>
              </w:tc>
              <w:tc>
                <w:tcPr>
                  <w:tcW w:type="dxa" w:w="2625"/>
                  <w:tcBorders>
                    <w:top w:val="none" w:color="000000" w:sz="4"/>
                    <w:left w:val="none" w:color="000000" w:sz="4"/>
                    <w:bottom w:val="single" w:color="000000" w:sz="4"/>
                    <w:right w:val="single" w:color="000000" w:sz="4"/>
                  </w:tcBorders>
                  <w:vAlign w:val="top"/>
                </w:tcPr>
                <w:p>
                  <w:pPr>
                    <w:jc w:val="both"/>
                  </w:pPr>
                  <w:r>
                    <w:rPr>
                      <w:sz w:val="21"/>
                    </w:rPr>
                    <w:t>阀门</w:t>
                  </w:r>
                </w:p>
              </w:tc>
              <w:tc>
                <w:tcPr>
                  <w:tcW w:type="dxa" w:w="1690"/>
                  <w:tcBorders>
                    <w:top w:val="none" w:color="000000" w:sz="4"/>
                    <w:left w:val="none" w:color="000000" w:sz="4"/>
                    <w:bottom w:val="single" w:color="000000" w:sz="4"/>
                    <w:right w:val="single" w:color="000000" w:sz="4"/>
                  </w:tcBorders>
                  <w:vAlign w:val="top"/>
                </w:tcPr>
                <w:p>
                  <w:pPr>
                    <w:jc w:val="both"/>
                  </w:pPr>
                  <w:r>
                    <w:rPr>
                      <w:sz w:val="21"/>
                    </w:rPr>
                    <w:t>1</w:t>
                  </w:r>
                  <w:r>
                    <w:rPr>
                      <w:sz w:val="21"/>
                    </w:rPr>
                    <w:t>个</w:t>
                  </w:r>
                </w:p>
              </w:tc>
            </w:tr>
          </w:tbl>
        </w:tc>
      </w:tr>
      <w:tr>
        <w:tc>
          <w:tcPr>
            <w:tcW w:type="dxa" w:w="2076"/>
          </w:tcPr>
          <w:p>
            <w:r>
              <w:rPr/>
              <w:t>★</w:t>
            </w:r>
          </w:p>
        </w:tc>
        <w:tc>
          <w:tcPr>
            <w:tcW w:type="dxa" w:w="415"/>
          </w:tcPr>
          <w:p>
            <w:r>
              <w:rPr/>
              <w:t>3</w:t>
            </w:r>
          </w:p>
        </w:tc>
        <w:tc>
          <w:tcPr>
            <w:tcW w:type="dxa" w:w="5814"/>
          </w:tcPr>
          <w:p>
            <w:pPr>
              <w:jc w:val="both"/>
            </w:pPr>
            <w:r>
              <w:rPr>
                <w:sz w:val="21"/>
              </w:rPr>
              <w:t>★</w:t>
            </w:r>
            <w:r>
              <w:rPr>
                <w:sz w:val="21"/>
              </w:rPr>
              <w:t>若投标人提供进口产品，投标时须提供</w:t>
            </w:r>
            <w:r>
              <w:rPr>
                <w:sz w:val="21"/>
              </w:rPr>
              <w:t>（投标时须提供扫描件并加盖投标人公章）</w:t>
            </w:r>
            <w:r>
              <w:rPr>
                <w:sz w:val="21"/>
              </w:rPr>
              <w:t>：</w:t>
            </w:r>
          </w:p>
          <w:p>
            <w:pPr>
              <w:jc w:val="both"/>
            </w:pPr>
            <w:r>
              <w:rPr>
                <w:sz w:val="21"/>
              </w:rPr>
              <w:t>1.</w:t>
            </w:r>
            <w:r>
              <w:rPr>
                <w:sz w:val="21"/>
              </w:rPr>
              <w:t>所投进口产品的厂家代理授权文件或者厂家针对本项目的正式授权文件。</w:t>
            </w:r>
          </w:p>
          <w:p>
            <w:pPr>
              <w:jc w:val="both"/>
            </w:pPr>
            <w:r>
              <w:rPr>
                <w:sz w:val="21"/>
              </w:rPr>
              <w:t>2.</w:t>
            </w:r>
            <w:r>
              <w:rPr>
                <w:sz w:val="21"/>
              </w:rPr>
              <w:t>所投进口产品的</w:t>
            </w:r>
            <w:r>
              <w:rPr>
                <w:sz w:val="21"/>
              </w:rPr>
              <w:t>《医疗器械注册证》</w:t>
            </w:r>
            <w:r>
              <w:rPr>
                <w:sz w:val="21"/>
              </w:rPr>
              <w:t>。</w:t>
            </w:r>
          </w:p>
        </w:tc>
      </w:tr>
      <w:tr>
        <w:tc>
          <w:tcPr>
            <w:tcW w:type="dxa" w:w="2076"/>
          </w:tcPr>
          <w:p>
            <w:r>
              <w:rPr/>
              <w:t>★</w:t>
            </w:r>
          </w:p>
        </w:tc>
        <w:tc>
          <w:tcPr>
            <w:tcW w:type="dxa" w:w="415"/>
          </w:tcPr>
          <w:p>
            <w:r>
              <w:rPr/>
              <w:t>4</w:t>
            </w:r>
          </w:p>
        </w:tc>
        <w:tc>
          <w:tcPr>
            <w:tcW w:type="dxa" w:w="5814"/>
          </w:tcPr>
          <w:p>
            <w:r>
              <w:rPr/>
              <w:t>★采购人拟采购的产品属于《节能产品政府采购品目清单》范围中政府强制采购产品类别的，投标人必须在投标文件中提供：1.该产品属于《节能产品政府采购品目清单》范围中政府强制采购产品类别的相关内容页，并对相关内容作圈记；2.该产品获得的由国家确定的认证机构出具的、处于有效期之内的节能产品认证证书（注：1.《节能产品政府采购品目清单》，投标人可查询中国政府采购网，网址http://www.ccgp.gov.cn。）。否则依法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1.采购代理机构：本项目是指广东中采招标有限公司，负责整个采购活动的组织，依法负责编制和发布招标文件，对招标文件拥有最终的解释权，不以任何身份出任评标委员会成员。</w:t>
      </w:r>
    </w:p>
    <w:p>
      <w:pPr>
        <w:ind w:firstLine="480"/>
      </w:pPr>
      <w:r>
        <w:rPr/>
        <w:t>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1家</w:t>
            </w:r>
          </w:p>
          <w:p>
            <w:r>
              <w:rPr/>
              <w:t>采购包2：</w:t>
            </w:r>
            <w:r>
              <w:rPr/>
              <w:t>1家</w:t>
            </w:r>
          </w:p>
          <w:p>
            <w:r>
              <w:rPr/>
              <w:t>采购包3：</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兼投不兼中：1）投标人可投标一个采购包，也可同时投标多个采购包，但只能中标一个采购包，即兼投不兼中，已成为其中一采购包第一中标候选人的投标人不再参加下一采购包的评审。 2）每个中标人均为全类型供货。每个投标人最多只能被确定为1个采购包的第一中标候选人。评标委员会按采购包号由小到大的顺序评审，获得前面任意1个采购包的第一中标候选人的投标人，如参加后面采购包的投标，将不能通过后面采购包的符合性审查。本项目的评审顺序按照采购包号从小到大排序，即首先评审采购包1、然后评审采购包2。本项目评审结束后，如个别采购包出现改变排序或者重新评审或重新招标等改变中标结果的情形，其他采购包的排序和评审结果均不作任何调整，且其他采购包的中标候选人不再参与个别采购包的重新评审或重新招标、不具有中标候选人推荐资格。</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采购机构代理服务收费标准：以各包组中标通知书中的中标金额作为招标代理服务费的计算基数。 招标代理服务费收费采用差额定率累进法计算方式。参照中华人民共和国国家发展计划委员会颁发的计价格[2002]1980号、国家发改委[2003]857号及发改价格[2011]534号文规定的“货物类”计算。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若评标委员会成员对是否须由投标人作出报价合理性说明，以及书面说明是否采纳等判断不一致的，按照“少数服从多数”的原则确定评标委员会的意见”和“投标人的报价明显低于其他通过符合性审查投标人的报价，可能影响产品质量或者不能诚信履约的，评标委员会有权要求投标供应商在规定时间内提供书面说明以及必要的证明材料，并根据投标人的说明作相应处理。</w:t>
            </w:r>
          </w:p>
          <w:p>
            <w:pPr>
              <w:jc w:val="left"/>
            </w:pPr>
            <w:r>
              <w:rPr/>
              <w:t>二，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广东省公共资源交易平台（https://ygp.gdzwfw.gov.cn/ggzy-portal/#/440600/jygg）、北滘镇政务网（http://www.shunde.gov.cn/beijiao）及采购代理机构（http://www.gdzczb.com/）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广东省公共资源交易平台（https://ygp.gdzwfw.gov.cn/ggzy-portal/#/440600/jygg）、北滘镇政务网（http://www.shunde.gov.cn/beijiao）及采购代理机构（http://www.gdzczb.com/）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广东中采招标有限公司</w:t>
      </w:r>
    </w:p>
    <w:p>
      <w:pPr>
        <w:ind w:firstLine="480"/>
      </w:pPr>
      <w:r>
        <w:rPr/>
        <w:t>电话：</w:t>
      </w:r>
      <w:r>
        <w:rPr/>
        <w:t>0757-81993027</w:t>
      </w:r>
    </w:p>
    <w:p>
      <w:pPr>
        <w:ind w:firstLine="480"/>
      </w:pPr>
      <w:r>
        <w:rPr/>
        <w:t>传真：</w:t>
      </w:r>
      <w:r>
        <w:rPr/>
        <w:t>/</w:t>
      </w:r>
    </w:p>
    <w:p>
      <w:pPr>
        <w:ind w:firstLine="480"/>
      </w:pPr>
      <w:r>
        <w:rPr/>
        <w:t>邮箱：</w:t>
      </w:r>
      <w:r>
        <w:rPr/>
        <w:t>gdzczb@126.com</w:t>
      </w:r>
    </w:p>
    <w:p>
      <w:pPr>
        <w:ind w:firstLine="480"/>
      </w:pPr>
      <w:r>
        <w:rPr/>
        <w:t>地址：</w:t>
      </w:r>
      <w:r>
        <w:rPr/>
        <w:t>广东省佛山市禅城区文华北路223号之一栋525、526、527单元（住所申报）</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采购包1(离心机等)：综合评分法,是指投标文件满足招标文件全部实质性要求，且按照评审因素的量化指标评审得分最高的投标人为中标候选人的评标方法。（最低报价不是中标的唯一依据。）</w:t>
      </w:r>
    </w:p>
    <w:p/>
    <w:p>
      <w:r>
        <w:rPr/>
        <w:t>采购包2(移动式C形臂X线机等)：综合评分法,是指投标文件满足招标文件全部实质性要求，且按照评审因素的量化指标评审得分最高的投标人为中标候选人的评标方法。（最低报价不是中标的唯一依据。）</w:t>
      </w:r>
    </w:p>
    <w:p/>
    <w:p>
      <w:r>
        <w:rPr/>
        <w:t>采购包3(麻醉监护仪等)：综合评分法,是指投标文件满足招标文件全部实质性要求，且按照评审因素的量化指标评审得分最高的投标人为中标候选人的评标方法。（最低报价不是中标的唯一依据。）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广东中采招标有限公司</w:t>
      </w:r>
      <w:r>
        <w:rPr/>
        <w:t>统一对外发布。</w:t>
      </w:r>
    </w:p>
    <w:p>
      <w:pPr>
        <w:ind w:firstLine="480"/>
      </w:pPr>
      <w:r>
        <w:rPr/>
        <w:t>（2）对</w:t>
      </w:r>
      <w:r>
        <w:rPr/>
        <w:t>广东中采招标有限公司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采购包1（离心机等）：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采购包2（移动式C形臂X线机等）：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采购包3（麻醉监护仪等）：</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采购包1（离心机等）：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参照投标（响应）文件格式填报设备及专业技术能力情况。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联合体投标</w:t>
            </w:r>
          </w:p>
        </w:tc>
        <w:tc>
          <w:tcPr>
            <w:tcW w:type="dxa" w:w="4238"/>
          </w:tcPr>
          <w:p>
            <w:r>
              <w:rPr/>
              <w:t>本项目不接受联合体投标。</w:t>
            </w:r>
          </w:p>
        </w:tc>
      </w:tr>
      <w:tr>
        <w:tc>
          <w:tcPr>
            <w:tcW w:type="dxa" w:w="890"/>
          </w:tcPr>
          <w:p>
            <w:r>
              <w:rPr/>
              <w:t>9</w:t>
            </w:r>
          </w:p>
        </w:tc>
        <w:tc>
          <w:tcPr>
            <w:tcW w:type="dxa" w:w="3178"/>
          </w:tcPr>
          <w:p>
            <w:r>
              <w:rPr/>
              <w:t>特定资格要求</w:t>
            </w:r>
          </w:p>
        </w:tc>
        <w:tc>
          <w:tcPr>
            <w:tcW w:type="dxa" w:w="4238"/>
          </w:tcPr>
          <w:p>
            <w:r>
              <w:rPr/>
              <w:t>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tc>
      </w:tr>
      <w:tr>
        <w:tc>
          <w:tcPr>
            <w:tcW w:type="dxa" w:w="890"/>
          </w:tcPr>
          <w:p>
            <w:r>
              <w:rPr/>
              <w:t>10</w:t>
            </w:r>
          </w:p>
        </w:tc>
        <w:tc>
          <w:tcPr>
            <w:tcW w:type="dxa" w:w="3178"/>
          </w:tcPr>
          <w:p>
            <w:r>
              <w:rPr/>
              <w:t>本采购包专门面向中小企业采购</w:t>
            </w:r>
          </w:p>
        </w:tc>
        <w:tc>
          <w:tcPr>
            <w:tcW w:type="dxa" w:w="4238"/>
          </w:tcPr>
          <w:p>
            <w:r>
              <w:rPr/>
              <w:t>采购包整体专门面向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参与的供应商提供的货物全部由符合政策要求的小微企业制造。本项目标的按照《中小企业划型标准规定》（工信部联企业[2011]300号）划分行业为：工业。</w:t>
            </w:r>
          </w:p>
        </w:tc>
      </w:tr>
    </w:tbl>
    <w:p/>
    <w:p>
      <w:r>
        <w:rPr/>
        <w:t>采购包2（移动式C形臂X线机等）：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参照投标（响应）文件格式填报设备及专业技术能力情况。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联合体投标</w:t>
            </w:r>
          </w:p>
        </w:tc>
        <w:tc>
          <w:tcPr>
            <w:tcW w:type="dxa" w:w="4238"/>
          </w:tcPr>
          <w:p>
            <w:r>
              <w:rPr/>
              <w:t>本项目不接受联合体投标。</w:t>
            </w:r>
          </w:p>
        </w:tc>
      </w:tr>
      <w:tr>
        <w:tc>
          <w:tcPr>
            <w:tcW w:type="dxa" w:w="890"/>
          </w:tcPr>
          <w:p>
            <w:r>
              <w:rPr/>
              <w:t>9</w:t>
            </w:r>
          </w:p>
        </w:tc>
        <w:tc>
          <w:tcPr>
            <w:tcW w:type="dxa" w:w="3178"/>
          </w:tcPr>
          <w:p>
            <w:r>
              <w:rPr/>
              <w:t>特定资格要求</w:t>
            </w:r>
          </w:p>
        </w:tc>
        <w:tc>
          <w:tcPr>
            <w:tcW w:type="dxa" w:w="4238"/>
          </w:tcPr>
          <w:p>
            <w:r>
              <w:rPr/>
              <w:t>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tc>
      </w:tr>
      <w:tr>
        <w:tc>
          <w:tcPr>
            <w:tcW w:type="dxa" w:w="890"/>
          </w:tcPr>
          <w:p>
            <w:r>
              <w:rPr/>
              <w:t>10</w:t>
            </w:r>
          </w:p>
        </w:tc>
        <w:tc>
          <w:tcPr>
            <w:tcW w:type="dxa" w:w="3178"/>
          </w:tcPr>
          <w:p>
            <w:r>
              <w:rPr/>
              <w:t>本采购包专门面向中小企业采购</w:t>
            </w:r>
          </w:p>
        </w:tc>
        <w:tc>
          <w:tcPr>
            <w:tcW w:type="dxa" w:w="4238"/>
          </w:tcPr>
          <w:p>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参与的供应商提供的货物全部由符合政策要求的中小企业制造。本项目标的按照《中小企业划型标准规定》（工信部联企业[2011]300号）划分行业为：工业。</w:t>
            </w:r>
          </w:p>
        </w:tc>
      </w:tr>
    </w:tbl>
    <w:p/>
    <w:p>
      <w:r>
        <w:rPr/>
        <w:t>采购包3（麻醉监护仪等）：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参照投标（响应）文件格式填报设备及专业技术能力情况。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联合体投标</w:t>
            </w:r>
          </w:p>
        </w:tc>
        <w:tc>
          <w:tcPr>
            <w:tcW w:type="dxa" w:w="4238"/>
          </w:tcPr>
          <w:p>
            <w:r>
              <w:rPr/>
              <w:t>本项目不接受联合体投标。</w:t>
            </w:r>
          </w:p>
        </w:tc>
      </w:tr>
      <w:tr>
        <w:tc>
          <w:tcPr>
            <w:tcW w:type="dxa" w:w="890"/>
          </w:tcPr>
          <w:p>
            <w:r>
              <w:rPr/>
              <w:t>9</w:t>
            </w:r>
          </w:p>
        </w:tc>
        <w:tc>
          <w:tcPr>
            <w:tcW w:type="dxa" w:w="3178"/>
          </w:tcPr>
          <w:p>
            <w:r>
              <w:rPr/>
              <w:t>特定资格要求</w:t>
            </w:r>
          </w:p>
        </w:tc>
        <w:tc>
          <w:tcPr>
            <w:tcW w:type="dxa" w:w="4238"/>
          </w:tcPr>
          <w:p>
            <w:r>
              <w:rPr/>
              <w:t>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本项目不属于专门面向中小企业采购项目。本项目标的按照《中小企业划型标准规定》（工信部联企业[2011]300号）划分行业为：工业。</w:t>
            </w:r>
          </w:p>
        </w:tc>
      </w:tr>
    </w:tbl>
    <w:p/>
    <w:p>
      <w:pPr>
        <w:ind w:firstLine="480"/>
      </w:pPr>
      <w:r>
        <w:rPr/>
        <w:t>表二符合性审查表：</w:t>
      </w:r>
    </w:p>
    <w:p>
      <w:pPr>
        <w:ind w:firstLine="480"/>
      </w:pPr>
    </w:p>
    <w:p/>
    <w:p>
      <w:r>
        <w:rPr/>
        <w:t>采购包1（离心机等）：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按照采购文件规定要求签署、盖章且响应文件有法定代表人签字或盖章，或签字人有法定代表人有效授权书的。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投标函已提交并符合采购文件要求的。</w:t>
            </w:r>
          </w:p>
        </w:tc>
      </w:tr>
      <w:tr>
        <w:tc>
          <w:tcPr>
            <w:tcW w:type="dxa" w:w="890"/>
          </w:tcPr>
          <w:p>
            <w:r>
              <w:rPr/>
              <w:t>3</w:t>
            </w:r>
          </w:p>
        </w:tc>
        <w:tc>
          <w:tcPr>
            <w:tcW w:type="dxa" w:w="3178"/>
          </w:tcPr>
          <w:p>
            <w:r>
              <w:rPr/>
              <w:t>投标报价</w:t>
            </w:r>
          </w:p>
        </w:tc>
        <w:tc>
          <w:tcPr>
            <w:tcW w:type="dxa" w:w="4238"/>
          </w:tcPr>
          <w:p>
            <w:r>
              <w:rPr/>
              <w:t>投标单价报价未超过本项目分项预算单价及分项预算总价及最高限价的。</w:t>
            </w:r>
          </w:p>
        </w:tc>
      </w:tr>
      <w:tr>
        <w:tc>
          <w:tcPr>
            <w:tcW w:type="dxa" w:w="890"/>
          </w:tcPr>
          <w:p>
            <w:r>
              <w:rPr/>
              <w:t>4</w:t>
            </w:r>
          </w:p>
        </w:tc>
        <w:tc>
          <w:tcPr>
            <w:tcW w:type="dxa" w:w="3178"/>
          </w:tcPr>
          <w:p>
            <w:r>
              <w:rPr/>
              <w:t>带★号实质性条款响应情况</w:t>
            </w:r>
          </w:p>
        </w:tc>
        <w:tc>
          <w:tcPr>
            <w:tcW w:type="dxa" w:w="4238"/>
          </w:tcPr>
          <w:p>
            <w:r>
              <w:rPr/>
              <w:t>“★”号条款满足招标文件要求。（参考《技术和服务要求响应表》及《商务条件响应表》）。</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其他</w:t>
            </w:r>
          </w:p>
        </w:tc>
        <w:tc>
          <w:tcPr>
            <w:tcW w:type="dxa" w:w="4238"/>
          </w:tcPr>
          <w:p>
            <w:r>
              <w:rPr/>
              <w:t>没有违反有关法律、法规、规章要求，被视为投标无效的其他情况。</w:t>
            </w:r>
          </w:p>
        </w:tc>
      </w:tr>
    </w:tbl>
    <w:p/>
    <w:p>
      <w:r>
        <w:rPr/>
        <w:t>采购包2（移动式C形臂X线机等）：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按照采购文件规定要求签署、盖章且响应文件有法定代表人签字或盖章，或签字人有法定代表人有效授权书的。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投标函已提交并符合采购文件要求的。</w:t>
            </w:r>
          </w:p>
        </w:tc>
      </w:tr>
      <w:tr>
        <w:tc>
          <w:tcPr>
            <w:tcW w:type="dxa" w:w="890"/>
          </w:tcPr>
          <w:p>
            <w:r>
              <w:rPr/>
              <w:t>3</w:t>
            </w:r>
          </w:p>
        </w:tc>
        <w:tc>
          <w:tcPr>
            <w:tcW w:type="dxa" w:w="3178"/>
          </w:tcPr>
          <w:p>
            <w:r>
              <w:rPr/>
              <w:t>投标报价</w:t>
            </w:r>
          </w:p>
        </w:tc>
        <w:tc>
          <w:tcPr>
            <w:tcW w:type="dxa" w:w="4238"/>
          </w:tcPr>
          <w:p>
            <w:r>
              <w:rPr/>
              <w:t>投标单价报价未超过本项目分项预算单价及分项预算总价及最高限价的。</w:t>
            </w:r>
          </w:p>
        </w:tc>
      </w:tr>
      <w:tr>
        <w:tc>
          <w:tcPr>
            <w:tcW w:type="dxa" w:w="890"/>
          </w:tcPr>
          <w:p>
            <w:r>
              <w:rPr/>
              <w:t>4</w:t>
            </w:r>
          </w:p>
        </w:tc>
        <w:tc>
          <w:tcPr>
            <w:tcW w:type="dxa" w:w="3178"/>
          </w:tcPr>
          <w:p>
            <w:r>
              <w:rPr/>
              <w:t>带★号实质性条款响应情况</w:t>
            </w:r>
          </w:p>
        </w:tc>
        <w:tc>
          <w:tcPr>
            <w:tcW w:type="dxa" w:w="4238"/>
          </w:tcPr>
          <w:p>
            <w:r>
              <w:rPr/>
              <w:t>“★”号条款满足招标文件要求。（参考《技术和服务要求响应表》及《商务条件响应表》）。</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其他</w:t>
            </w:r>
          </w:p>
        </w:tc>
        <w:tc>
          <w:tcPr>
            <w:tcW w:type="dxa" w:w="4238"/>
          </w:tcPr>
          <w:p>
            <w:r>
              <w:rPr/>
              <w:t>没有违反有关法律、法规、规章要求，被视为投标无效的其他情况。</w:t>
            </w:r>
          </w:p>
        </w:tc>
      </w:tr>
      <w:tr>
        <w:tc>
          <w:tcPr>
            <w:tcW w:type="dxa" w:w="890"/>
          </w:tcPr>
          <w:p>
            <w:r>
              <w:rPr/>
              <w:t>7</w:t>
            </w:r>
          </w:p>
        </w:tc>
        <w:tc>
          <w:tcPr>
            <w:tcW w:type="dxa" w:w="3178"/>
          </w:tcPr>
          <w:p>
            <w:r>
              <w:rPr/>
              <w:t>是否获得其他采购包的中标候选人资格</w:t>
            </w:r>
          </w:p>
        </w:tc>
        <w:tc>
          <w:tcPr>
            <w:tcW w:type="dxa" w:w="4238"/>
          </w:tcPr>
          <w:p>
            <w:r>
              <w:rPr/>
              <w:t>已获得任一采购包的中标候选人资格的投标人，将不再参与余下采购包的评审且不具有余下采购包的中标候选人推荐资格，依此类推。</w:t>
            </w:r>
          </w:p>
        </w:tc>
      </w:tr>
    </w:tbl>
    <w:p/>
    <w:p>
      <w:r>
        <w:rPr/>
        <w:t>采购包3（麻醉监护仪等）：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按照采购文件规定要求签署、盖章且响应文件有法定代表人签字或盖章，或签字人有法定代表人有效授权书的。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投标函已提交并符合采购文件要求的。</w:t>
            </w:r>
          </w:p>
        </w:tc>
      </w:tr>
      <w:tr>
        <w:tc>
          <w:tcPr>
            <w:tcW w:type="dxa" w:w="890"/>
          </w:tcPr>
          <w:p>
            <w:r>
              <w:rPr/>
              <w:t>3</w:t>
            </w:r>
          </w:p>
        </w:tc>
        <w:tc>
          <w:tcPr>
            <w:tcW w:type="dxa" w:w="3178"/>
          </w:tcPr>
          <w:p>
            <w:r>
              <w:rPr/>
              <w:t>投标报价</w:t>
            </w:r>
          </w:p>
        </w:tc>
        <w:tc>
          <w:tcPr>
            <w:tcW w:type="dxa" w:w="4238"/>
          </w:tcPr>
          <w:p>
            <w:r>
              <w:rPr/>
              <w:t>投标单价报价未超过本项目分项预算单价及分项预算总价及最高限价的。</w:t>
            </w:r>
          </w:p>
        </w:tc>
      </w:tr>
      <w:tr>
        <w:tc>
          <w:tcPr>
            <w:tcW w:type="dxa" w:w="890"/>
          </w:tcPr>
          <w:p>
            <w:r>
              <w:rPr/>
              <w:t>4</w:t>
            </w:r>
          </w:p>
        </w:tc>
        <w:tc>
          <w:tcPr>
            <w:tcW w:type="dxa" w:w="3178"/>
          </w:tcPr>
          <w:p>
            <w:r>
              <w:rPr/>
              <w:t>带★号实质性条款响应情况</w:t>
            </w:r>
          </w:p>
        </w:tc>
        <w:tc>
          <w:tcPr>
            <w:tcW w:type="dxa" w:w="4238"/>
          </w:tcPr>
          <w:p>
            <w:r>
              <w:rPr/>
              <w:t>“★”号条款满足招标文件要求。（参考《技术和服务要求响应表》及《商务条件响应表》）。</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其他</w:t>
            </w:r>
          </w:p>
        </w:tc>
        <w:tc>
          <w:tcPr>
            <w:tcW w:type="dxa" w:w="4238"/>
          </w:tcPr>
          <w:p>
            <w:r>
              <w:rPr/>
              <w:t>没有违反有关法律、法规、规章要求，被视为投标无效的其他情况。</w:t>
            </w:r>
          </w:p>
        </w:tc>
      </w:tr>
      <w:tr>
        <w:tc>
          <w:tcPr>
            <w:tcW w:type="dxa" w:w="890"/>
          </w:tcPr>
          <w:p>
            <w:r>
              <w:rPr/>
              <w:t>7</w:t>
            </w:r>
          </w:p>
        </w:tc>
        <w:tc>
          <w:tcPr>
            <w:tcW w:type="dxa" w:w="3178"/>
          </w:tcPr>
          <w:p>
            <w:r>
              <w:rPr/>
              <w:t>是否获得其他采购包的中标候选人资格</w:t>
            </w:r>
          </w:p>
        </w:tc>
        <w:tc>
          <w:tcPr>
            <w:tcW w:type="dxa" w:w="4238"/>
          </w:tcPr>
          <w:p>
            <w:r>
              <w:rPr/>
              <w:t>已获得任一采购包的中标候选人资格的投标人，将不再参与余下采购包的评审且不具有余下采购包的中标候选人推荐资格，依此类推。</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采购包1(离心机等):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《技术和服务要求响应表》带“▲”条款响应情况  (24.0分)</w:t>
            </w:r>
          </w:p>
        </w:tc>
        <w:tc>
          <w:tcPr>
            <w:tcW w:type="dxa" w:w="5076"/>
          </w:tcPr>
          <w:p>
            <w:pPr>
              <w:jc w:val="left"/>
            </w:pPr>
            <w:r>
              <w:rPr/>
              <w:t>根据投标人对采购需求 采购包1（离心机等）中“技术标准与要求”带“▲”号技术条款（共24项）响应情况进行评审：能完全响应或优于采购文件带“▲”号条款的，得24分，不满足或负偏离的，扣1分/项，扣完0为止。   注： （1）技术参数中要求提供相关证明资料的须提供相关证明资料并加盖投标人公章，否则视该条款为负偏离或不响应；不要求提供的，正偏离或无偏离即为满足条款要求。 （2）带“★”号的条款不作为评审指标。</w:t>
            </w:r>
          </w:p>
        </w:tc>
      </w:tr>
      <w:tr>
        <w:tc>
          <w:tcPr>
            <w:tcW w:type="dxa" w:w="922"/>
            <w:gridSpan w:val="2"/>
            <w:vMerge/>
          </w:tcPr>
          <w:p/>
        </w:tc>
        <w:tc>
          <w:tcPr>
            <w:tcW w:type="dxa" w:w="2307"/>
          </w:tcPr>
          <w:p>
            <w:pPr>
              <w:jc w:val="left"/>
            </w:pPr>
            <w:r>
              <w:rPr/>
              <w:t>《技术和服务要求响应表》非“▲” 条款响应情况 (18.6分)</w:t>
            </w:r>
          </w:p>
        </w:tc>
        <w:tc>
          <w:tcPr>
            <w:tcW w:type="dxa" w:w="5076"/>
          </w:tcPr>
          <w:p>
            <w:pPr>
              <w:jc w:val="left"/>
            </w:pPr>
            <w:r>
              <w:rPr/>
              <w:t>根据投标人对采购需求 采购包1（离心机等）中“技术标准与要求”非“▲”号技术条款（共186项）响应情况进行评审：能完全响应或优于采购文件非“▲”号条款的，得18.6分，不满足或负偏离的，扣0.1分/项，扣完0为止。   注： （1）技术参数中要求提供相关证明资料的须提供相关证明资料并加盖投标人公章，否则视该条款为负偏离或不响应；不要求提供的，正偏离或无偏离即为满足条款要求。 （2）带“★”号的条款不作为评审指标。</w:t>
            </w:r>
          </w:p>
        </w:tc>
      </w:tr>
      <w:tr>
        <w:tc>
          <w:tcPr>
            <w:tcW w:type="dxa" w:w="922"/>
            <w:gridSpan w:val="2"/>
            <w:vMerge/>
          </w:tcPr>
          <w:p/>
        </w:tc>
        <w:tc>
          <w:tcPr>
            <w:tcW w:type="dxa" w:w="2307"/>
          </w:tcPr>
          <w:p>
            <w:pPr>
              <w:jc w:val="left"/>
            </w:pPr>
            <w:r>
              <w:rPr/>
              <w:t>操作性和维护便捷性评价 (8.0分)</w:t>
            </w:r>
            <w:r>
              <w:rPr/>
              <w:t>，（等次分值选择：</w:t>
            </w:r>
            <w:r>
              <w:rPr/>
              <w:t>0.0;</w:t>
            </w:r>
            <w:r>
              <w:rPr/>
              <w:t>2.0;</w:t>
            </w:r>
            <w:r>
              <w:rPr/>
              <w:t>5.0;</w:t>
            </w:r>
            <w:r>
              <w:rPr/>
              <w:t>8.0;</w:t>
            </w:r>
            <w:r>
              <w:rPr/>
              <w:t>）</w:t>
            </w:r>
          </w:p>
        </w:tc>
        <w:tc>
          <w:tcPr>
            <w:tcW w:type="dxa" w:w="5076"/>
          </w:tcPr>
          <w:p>
            <w:pPr>
              <w:jc w:val="left"/>
            </w:pPr>
            <w:r>
              <w:rPr/>
              <w:t>根据各投标人提供的设备说明书和设备配置清单等资料，对投标设备的操作便捷性和维护方便性进行评审：1、设备说明书和设备配置清单等资料齐全，按说明书上指示用户能方便快捷操作设备，且设备后续维护操作说明详细，维护保养方便，得8分； 2、设备说明书和设备配置清单等资料较齐全，按说明书上指示用户能较方便快捷操作设备，且设备后续维护操作说明较详细，维护较方便的，得5分； 3、设备说明书和设备配置清单等资料基本齐全，按说明书上指示用户操作繁琐困难，维护不方便的，得2分； 4、不提供不得分。</w:t>
            </w:r>
          </w:p>
        </w:tc>
      </w:tr>
      <w:tr>
        <w:tc>
          <w:tcPr>
            <w:tcW w:type="dxa" w:w="922"/>
            <w:gridSpan w:val="2"/>
            <w:vMerge/>
          </w:tcPr>
          <w:p/>
        </w:tc>
        <w:tc>
          <w:tcPr>
            <w:tcW w:type="dxa" w:w="2307"/>
          </w:tcPr>
          <w:p>
            <w:pPr>
              <w:jc w:val="left"/>
            </w:pPr>
            <w:r>
              <w:rPr/>
              <w:t>后续使用成本 (8.0分)</w:t>
            </w:r>
            <w:r>
              <w:rPr/>
              <w:t>，（等次分值选择：</w:t>
            </w:r>
            <w:r>
              <w:rPr/>
              <w:t>0.0;</w:t>
            </w:r>
            <w:r>
              <w:rPr/>
              <w:t>2.0;</w:t>
            </w:r>
            <w:r>
              <w:rPr/>
              <w:t>5.0;</w:t>
            </w:r>
            <w:r>
              <w:rPr/>
              <w:t>8.0;</w:t>
            </w:r>
            <w:r>
              <w:rPr/>
              <w:t>）</w:t>
            </w:r>
          </w:p>
        </w:tc>
        <w:tc>
          <w:tcPr>
            <w:tcW w:type="dxa" w:w="5076"/>
          </w:tcPr>
          <w:p>
            <w:pPr>
              <w:jc w:val="left"/>
            </w:pPr>
            <w:r>
              <w:rPr/>
              <w:t>根据各投标人提供的后续使用成本说明、使用寿命证明材料等资料，对产品的使用寿命长短、延保费用、服务收费等后续使用成本情况进行评审： 1、后续使用成本说明罗列的项目详细具体，产品使用寿命在5年以上且延保费用低及服务收费的各项平均价格便宜，得8分； 2、后续使用成本说明罗列的项目较详细具体，产品使用寿命在5年以上或延保费用较低或服务收费的各项平均价格较便宜，得5分； 3、后续使用成本说明罗列的项目简单，产品使用寿命在5年以下或延保费用高或服务收费的各项平均价格较高，得2分； 4、其他情况不得分。</w:t>
            </w:r>
          </w:p>
        </w:tc>
      </w:tr>
      <w:tr>
        <w:tc>
          <w:tcPr>
            <w:tcW w:type="dxa" w:w="922"/>
            <w:gridSpan w:val="2"/>
            <w:vMerge/>
          </w:tcPr>
          <w:p/>
        </w:tc>
        <w:tc>
          <w:tcPr>
            <w:tcW w:type="dxa" w:w="2307"/>
          </w:tcPr>
          <w:p>
            <w:pPr>
              <w:jc w:val="left"/>
            </w:pPr>
            <w:r>
              <w:rPr/>
              <w:t>政策功能情况（节能产品、环境保护标志产品） (1.4分)</w:t>
            </w:r>
          </w:p>
        </w:tc>
        <w:tc>
          <w:tcPr>
            <w:tcW w:type="dxa" w:w="5076"/>
          </w:tcPr>
          <w:p>
            <w:pPr>
              <w:jc w:val="left"/>
            </w:pPr>
            <w:r>
              <w:rPr/>
              <w:t>产品(针对非政府强制采购产品)获得有效期内的节能产品认证证书或环境标志产品认证证书的，每个投标产品满足得0.7分，最高1.4分。无得0分。【提供节能产品认证证书或环境标志产品认证证书扫描件，同一个产品同时获得以上两个认证的，不重复计算】</w:t>
            </w:r>
          </w:p>
        </w:tc>
      </w:tr>
      <w:tr>
        <w:tc>
          <w:tcPr>
            <w:tcW w:type="dxa" w:w="922"/>
            <w:gridSpan w:val="2"/>
            <w:vMerge w:val="restart"/>
          </w:tcPr>
          <w:p>
            <w:pPr>
              <w:jc w:val="center"/>
            </w:pPr>
            <w:r>
              <w:rPr/>
              <w:t>商务部分</w:t>
            </w:r>
          </w:p>
        </w:tc>
        <w:tc>
          <w:tcPr>
            <w:tcW w:type="dxa" w:w="2307"/>
          </w:tcPr>
          <w:p>
            <w:pPr>
              <w:jc w:val="left"/>
            </w:pPr>
            <w:r>
              <w:rPr/>
              <w:t>同类项目 (5.0分)</w:t>
            </w:r>
          </w:p>
        </w:tc>
        <w:tc>
          <w:tcPr>
            <w:tcW w:type="dxa" w:w="5076"/>
          </w:tcPr>
          <w:p>
            <w:pPr>
              <w:jc w:val="left"/>
            </w:pPr>
            <w:r>
              <w:rPr/>
              <w:t>根据投标人自2020年1月1日至投标截止时间止（以合同签订时间为准）完成的同类项目，每提供一项得1分，本项最高得5分。  注：须同时提供（1）中标（或成交）通知书或验收报告及（2）合同扫描件作为证明材料。</w:t>
            </w:r>
          </w:p>
        </w:tc>
      </w:tr>
      <w:tr>
        <w:tc>
          <w:tcPr>
            <w:tcW w:type="dxa" w:w="922"/>
            <w:gridSpan w:val="2"/>
            <w:vMerge/>
          </w:tcPr>
          <w:p/>
        </w:tc>
        <w:tc>
          <w:tcPr>
            <w:tcW w:type="dxa" w:w="2307"/>
          </w:tcPr>
          <w:p>
            <w:pPr>
              <w:jc w:val="left"/>
            </w:pPr>
            <w:r>
              <w:rPr/>
              <w:t>售后服务方案评价 (5.0分)</w:t>
            </w:r>
            <w:r>
              <w:rPr/>
              <w:t>，（等次分值选择：</w:t>
            </w:r>
            <w:r>
              <w:rPr/>
              <w:t>0.0;</w:t>
            </w:r>
            <w:r>
              <w:rPr/>
              <w:t>1.0;</w:t>
            </w:r>
            <w:r>
              <w:rPr/>
              <w:t>3.0;</w:t>
            </w:r>
            <w:r>
              <w:rPr/>
              <w:t>5.0;</w:t>
            </w:r>
            <w:r>
              <w:rPr/>
              <w:t>）</w:t>
            </w:r>
          </w:p>
        </w:tc>
        <w:tc>
          <w:tcPr>
            <w:tcW w:type="dxa" w:w="5076"/>
          </w:tcPr>
          <w:p>
            <w:pPr>
              <w:jc w:val="left"/>
            </w:pPr>
            <w:r>
              <w:rPr/>
              <w:t>根据各投标人提供的售后服务方案（包括货物运输、验收和保修细则、应急预案），质保期及保修期后维护服务等进行评审： 1、售后服务方案具体详细、科学、合理、可行，优于用户需求的基础上质保期长且质保期后能提供贴合用户需求、全面的维护服务的，得5分； 2、售后服务方案较具体详细、较科学、基本合理可行，优于用户需求的基础上质保期较长且质保期后提供的维护服务较贴近用户需求、较全面的，得3分； 3、售后服务方案一般、不够科学、不够合理、不够可行，优于用户需求的基础上质保期较短且质保期后提供的维护服务不贴近用户需求、不全面的，得1分； 4、不提供不得分。  注：须提供相关证明材料。</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采购包2(移动式C形臂X线机等):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《技术和服务要求响应表》带“▲”条款响应情况  (36.0分)</w:t>
            </w:r>
          </w:p>
        </w:tc>
        <w:tc>
          <w:tcPr>
            <w:tcW w:type="dxa" w:w="5076"/>
          </w:tcPr>
          <w:p>
            <w:pPr>
              <w:jc w:val="left"/>
            </w:pPr>
            <w:r>
              <w:rPr/>
              <w:t>根据投标人对采购需求 采购包2（移动式C形臂X线机等）中“技术标准与要求”带“▲”号技术条款（共18项）响应情况进行评审：能完全响应或优于采购文件带“▲”号条款的，得36分，不满足或负偏离的，扣2分/项，扣完0为止。   注： （1）技术参数中要求提供相关证明资料的须提供相关证明资料并加盖投标人公章，否则视该条款为负偏离或不响应；不要求提供的，正偏离或无偏离即为满足条款要求。 （2）带“★”号的条款不作为评审指标。</w:t>
            </w:r>
          </w:p>
        </w:tc>
      </w:tr>
      <w:tr>
        <w:tc>
          <w:tcPr>
            <w:tcW w:type="dxa" w:w="922"/>
            <w:gridSpan w:val="2"/>
            <w:vMerge/>
          </w:tcPr>
          <w:p/>
        </w:tc>
        <w:tc>
          <w:tcPr>
            <w:tcW w:type="dxa" w:w="2307"/>
          </w:tcPr>
          <w:p>
            <w:pPr>
              <w:jc w:val="left"/>
            </w:pPr>
            <w:r>
              <w:rPr/>
              <w:t>《技术和服务要求响应表》非“▲” 条款响应情况 (13.5分)</w:t>
            </w:r>
          </w:p>
        </w:tc>
        <w:tc>
          <w:tcPr>
            <w:tcW w:type="dxa" w:w="5076"/>
          </w:tcPr>
          <w:p>
            <w:pPr>
              <w:jc w:val="left"/>
            </w:pPr>
            <w:r>
              <w:rPr/>
              <w:t>根据投标人对采购需求 采购包2（移动式C形臂X线机等）中“技术标准与要求”非“▲”号技术条款（共90项）响应情况进行评审：能完全响应或优于采购文件非“▲”号条款的，得13.5分，不满足或负偏离的，扣0.15分/项，扣完0为止。 注： （1）技术参数中要求提供相关证明资料的须提供相关证明资料并加盖投标人公章，否则视该条款为负偏离或不响应；不要求提供的，正偏离或无偏离即为满足条款要求。 （2）带“★”号的条款不作为评审指标。</w:t>
            </w:r>
          </w:p>
        </w:tc>
      </w:tr>
      <w:tr>
        <w:tc>
          <w:tcPr>
            <w:tcW w:type="dxa" w:w="922"/>
            <w:gridSpan w:val="2"/>
            <w:vMerge/>
          </w:tcPr>
          <w:p/>
        </w:tc>
        <w:tc>
          <w:tcPr>
            <w:tcW w:type="dxa" w:w="2307"/>
          </w:tcPr>
          <w:p>
            <w:pPr>
              <w:jc w:val="left"/>
            </w:pPr>
            <w:r>
              <w:rPr/>
              <w:t>操作性和维护便捷性评价 (5.0分)</w:t>
            </w:r>
            <w:r>
              <w:rPr/>
              <w:t>，（等次分值选择：</w:t>
            </w:r>
            <w:r>
              <w:rPr/>
              <w:t>0.0;</w:t>
            </w:r>
            <w:r>
              <w:rPr/>
              <w:t>1.0;</w:t>
            </w:r>
            <w:r>
              <w:rPr/>
              <w:t>3.0;</w:t>
            </w:r>
            <w:r>
              <w:rPr/>
              <w:t>5.0;</w:t>
            </w:r>
            <w:r>
              <w:rPr/>
              <w:t>）</w:t>
            </w:r>
          </w:p>
        </w:tc>
        <w:tc>
          <w:tcPr>
            <w:tcW w:type="dxa" w:w="5076"/>
          </w:tcPr>
          <w:p>
            <w:pPr>
              <w:jc w:val="left"/>
            </w:pPr>
            <w:r>
              <w:rPr/>
              <w:t>根据各投标人提供的设备说明书和设备配置清单等资料，对投标设备的操作便捷性和维护方便性进行评审： 1、设备说明书和设备配置清单等资料齐全，按说明书上指示用户能方便快捷操作设备，且设备后续维护操作说明详细，维护保养方便，得5分； 2、设备说明书和设备配置清单等资料较齐全，按说明书上指示用户能较方便快捷操作设备，且设备后续维护操作说明较详细，维护较方便的，得3分； 3、设备说明书和设备配置清单等基本齐全，按说明书上指示用户操作繁琐困难，维护不方便的，得1分； 4、不提供不得分。</w:t>
            </w:r>
          </w:p>
        </w:tc>
      </w:tr>
      <w:tr>
        <w:tc>
          <w:tcPr>
            <w:tcW w:type="dxa" w:w="922"/>
            <w:gridSpan w:val="2"/>
            <w:vMerge/>
          </w:tcPr>
          <w:p/>
        </w:tc>
        <w:tc>
          <w:tcPr>
            <w:tcW w:type="dxa" w:w="2307"/>
          </w:tcPr>
          <w:p>
            <w:pPr>
              <w:jc w:val="left"/>
            </w:pPr>
            <w:r>
              <w:rPr/>
              <w:t>后续使用成本 (4.0分)</w:t>
            </w:r>
            <w:r>
              <w:rPr/>
              <w:t>，（等次分值选择：</w:t>
            </w:r>
            <w:r>
              <w:rPr/>
              <w:t>0.0;</w:t>
            </w:r>
            <w:r>
              <w:rPr/>
              <w:t>1.0;</w:t>
            </w:r>
            <w:r>
              <w:rPr/>
              <w:t>2.0;</w:t>
            </w:r>
            <w:r>
              <w:rPr/>
              <w:t>4.0;</w:t>
            </w:r>
            <w:r>
              <w:rPr/>
              <w:t>）</w:t>
            </w:r>
          </w:p>
        </w:tc>
        <w:tc>
          <w:tcPr>
            <w:tcW w:type="dxa" w:w="5076"/>
          </w:tcPr>
          <w:p>
            <w:pPr>
              <w:jc w:val="left"/>
            </w:pPr>
            <w:r>
              <w:rPr/>
              <w:t>根据各投标人提供的后续使用成本说明、使用寿命证明材料等资料，对产品的使用寿命长短、延保费用、服务收费等后续使用成本情况进行评审： 1、后续使用成本说明罗列的项目详细具体，产品使用寿命在5年以上且延保费用低及服务收费的各项平均价格便宜，得4分； 2、后续使用成本说明罗列的项目较详细具体，产品使用寿命在5年以上或延保费用较低或服务收费的各项平均价格较便宜，得2分； 3、后续使用成本说明罗列的项目简单，产品使用寿命在5年以下或延保费用高或服务收费的各项平均价格较高，得1分； 4、其他情况不得分。</w:t>
            </w:r>
          </w:p>
        </w:tc>
      </w:tr>
      <w:tr>
        <w:tc>
          <w:tcPr>
            <w:tcW w:type="dxa" w:w="922"/>
            <w:gridSpan w:val="2"/>
            <w:vMerge/>
          </w:tcPr>
          <w:p/>
        </w:tc>
        <w:tc>
          <w:tcPr>
            <w:tcW w:type="dxa" w:w="2307"/>
          </w:tcPr>
          <w:p>
            <w:pPr>
              <w:jc w:val="left"/>
            </w:pPr>
            <w:r>
              <w:rPr/>
              <w:t>政策功能情况（节能产品、环境保护标志产品） (1.5分)</w:t>
            </w:r>
          </w:p>
        </w:tc>
        <w:tc>
          <w:tcPr>
            <w:tcW w:type="dxa" w:w="5076"/>
          </w:tcPr>
          <w:p>
            <w:pPr>
              <w:jc w:val="left"/>
            </w:pPr>
            <w:r>
              <w:rPr/>
              <w:t>产品(针对非政府强制采购产品)获得有效期内的节能产品认证证书或环境标志产品认证证书的，每个投标产品满足得0.75分，最高1.5分。无得0分。【提供节能产品认证证书或环境标志产品认证证书扫描件，同一个产品同时获得以上两个认证的，不重复计算】</w:t>
            </w:r>
          </w:p>
        </w:tc>
      </w:tr>
      <w:tr>
        <w:tc>
          <w:tcPr>
            <w:tcW w:type="dxa" w:w="922"/>
            <w:gridSpan w:val="2"/>
            <w:vMerge w:val="restart"/>
          </w:tcPr>
          <w:p>
            <w:pPr>
              <w:jc w:val="center"/>
            </w:pPr>
            <w:r>
              <w:rPr/>
              <w:t>商务部分</w:t>
            </w:r>
          </w:p>
        </w:tc>
        <w:tc>
          <w:tcPr>
            <w:tcW w:type="dxa" w:w="2307"/>
          </w:tcPr>
          <w:p>
            <w:pPr>
              <w:jc w:val="left"/>
            </w:pPr>
            <w:r>
              <w:rPr/>
              <w:t>同类项目 (5.0分)</w:t>
            </w:r>
          </w:p>
        </w:tc>
        <w:tc>
          <w:tcPr>
            <w:tcW w:type="dxa" w:w="5076"/>
          </w:tcPr>
          <w:p>
            <w:pPr>
              <w:jc w:val="left"/>
            </w:pPr>
            <w:r>
              <w:rPr/>
              <w:t>根据投标人自2020年1月1日至投标截止时间止（以合同签订时间为准）完成的同类项目，每提供一项得1分，本项最高得5分。  注：须同时提供（1）中标（或成交）通知书或验收报告及（2）合同扫描件作为证明材料。</w:t>
            </w:r>
          </w:p>
        </w:tc>
      </w:tr>
      <w:tr>
        <w:tc>
          <w:tcPr>
            <w:tcW w:type="dxa" w:w="922"/>
            <w:gridSpan w:val="2"/>
            <w:vMerge/>
          </w:tcPr>
          <w:p/>
        </w:tc>
        <w:tc>
          <w:tcPr>
            <w:tcW w:type="dxa" w:w="2307"/>
          </w:tcPr>
          <w:p>
            <w:pPr>
              <w:jc w:val="left"/>
            </w:pPr>
            <w:r>
              <w:rPr/>
              <w:t>售后服务方案评价 (5.0分)</w:t>
            </w:r>
            <w:r>
              <w:rPr/>
              <w:t>，（等次分值选择：</w:t>
            </w:r>
            <w:r>
              <w:rPr/>
              <w:t>0.0;</w:t>
            </w:r>
            <w:r>
              <w:rPr/>
              <w:t>1.0;</w:t>
            </w:r>
            <w:r>
              <w:rPr/>
              <w:t>3.0;</w:t>
            </w:r>
            <w:r>
              <w:rPr/>
              <w:t>5.0;</w:t>
            </w:r>
            <w:r>
              <w:rPr/>
              <w:t>）</w:t>
            </w:r>
          </w:p>
        </w:tc>
        <w:tc>
          <w:tcPr>
            <w:tcW w:type="dxa" w:w="5076"/>
          </w:tcPr>
          <w:p>
            <w:pPr>
              <w:jc w:val="left"/>
            </w:pPr>
            <w:r>
              <w:rPr/>
              <w:t>根据各投标人提供的售后服务方案（包括货物运输、验收和保修细则、应急预案），质保期及保修期后维护服务等进行评审： 1、售后服务方案具体详细、科学、合理、可行，优于用户需求的基础上质保期长且质保期后能提供贴合用户需求、全面的维护服务的，得5分； 2、售后服务方案较具体详细、较科学、基本合理可行，优于用户需求的基础上质保期较长且质保期后提供的维护服务较贴近用户需求、较全面的，得3分； 3、售后服务方案一般、不够科学、不够合理、不够可行，优于用户需求的基础上质保期较短且质保期后提供的维护服务不贴近用户需求、不全面的，得1分； 4、不提供不得分。  注：须提供相关证明材料。</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采购包3(麻醉监护仪等):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《技术和服务要求响应表》带“▲”条款响应情况  (34.0分)</w:t>
            </w:r>
          </w:p>
        </w:tc>
        <w:tc>
          <w:tcPr>
            <w:tcW w:type="dxa" w:w="5076"/>
          </w:tcPr>
          <w:p>
            <w:pPr>
              <w:jc w:val="left"/>
            </w:pPr>
            <w:r>
              <w:rPr/>
              <w:t>根据投标人对采购需求 采购包3（麻醉监护仪等）中“技术标准与要求”带“▲”号技术条款（共68项）响应情况进行评审：能完全响应或优于采购文件带“▲”号条款的，得34分，不满足或负偏离的，扣0.5分/项，扣完0为止。   注： （1）技术参数中要求提供相关证明资料的须提供相关证明资料并加盖投标人公章，否则视该条款为负偏离或不响应；不要求提供的，正偏离或无偏离即为满足条款要求。 （2）带“★”号的条款不作为评审指标。</w:t>
            </w:r>
          </w:p>
        </w:tc>
      </w:tr>
      <w:tr>
        <w:tc>
          <w:tcPr>
            <w:tcW w:type="dxa" w:w="922"/>
            <w:gridSpan w:val="2"/>
            <w:vMerge/>
          </w:tcPr>
          <w:p/>
        </w:tc>
        <w:tc>
          <w:tcPr>
            <w:tcW w:type="dxa" w:w="2307"/>
          </w:tcPr>
          <w:p>
            <w:pPr>
              <w:jc w:val="left"/>
            </w:pPr>
            <w:r>
              <w:rPr/>
              <w:t>《技术和服务要求响应表》非“▲” 条款响应情况 (13.56分)</w:t>
            </w:r>
          </w:p>
        </w:tc>
        <w:tc>
          <w:tcPr>
            <w:tcW w:type="dxa" w:w="5076"/>
          </w:tcPr>
          <w:p>
            <w:pPr>
              <w:jc w:val="left"/>
            </w:pPr>
            <w:r>
              <w:rPr/>
              <w:t>根据投标人对采购需求 采购包3（麻醉监护仪等）中“技术标准与要求”非“▲”号技术条款（共339项）响应情况进行评审：能完全响应或优于采购文件非“▲”号条款的，得13.56分，不满足或负偏离的，扣0.04分/项，扣完0为止。 注： （1）技术参数中要求提供相关证明资料的须提供相关证明资料并加盖投标人公章，否则视该条款为负偏离或不响应；不要求提供的，正偏离或无偏离即为满足条款要求。 （2）带“★”号的条款不作为评审指标。</w:t>
            </w:r>
          </w:p>
        </w:tc>
      </w:tr>
      <w:tr>
        <w:tc>
          <w:tcPr>
            <w:tcW w:type="dxa" w:w="922"/>
            <w:gridSpan w:val="2"/>
            <w:vMerge/>
          </w:tcPr>
          <w:p/>
        </w:tc>
        <w:tc>
          <w:tcPr>
            <w:tcW w:type="dxa" w:w="2307"/>
          </w:tcPr>
          <w:p>
            <w:pPr>
              <w:jc w:val="left"/>
            </w:pPr>
            <w:r>
              <w:rPr/>
              <w:t>操作性和维护便捷性评价 (5.0分)</w:t>
            </w:r>
            <w:r>
              <w:rPr/>
              <w:t>，（等次分值选择：</w:t>
            </w:r>
            <w:r>
              <w:rPr/>
              <w:t>0.0;</w:t>
            </w:r>
            <w:r>
              <w:rPr/>
              <w:t>1.0;</w:t>
            </w:r>
            <w:r>
              <w:rPr/>
              <w:t>3.0;</w:t>
            </w:r>
            <w:r>
              <w:rPr/>
              <w:t>5.0;</w:t>
            </w:r>
            <w:r>
              <w:rPr/>
              <w:t>）</w:t>
            </w:r>
          </w:p>
        </w:tc>
        <w:tc>
          <w:tcPr>
            <w:tcW w:type="dxa" w:w="5076"/>
          </w:tcPr>
          <w:p>
            <w:pPr>
              <w:jc w:val="left"/>
            </w:pPr>
            <w:r>
              <w:rPr/>
              <w:t>根据各投标人提供的设备说明书和设备配置清单等资料，对投标设备的操作便捷性和维护方便性进行评审： 1、设备说明书和设备配置清单等资料齐全，按说明书上指示用户能方便快捷操作设备，且设备后续维护操作说明详细，维护保养方便，得5分； 2、设备说明书和设备配置清单等资料较齐全，按说明书上指示用户能较方便快捷操作设备，且设备后续维护操作说明较详细，维护较方便的，得3分； 3、设备说明书和设备配置清单等基本齐全，按说明书上指示用户操作繁琐困难，维护不方便的，得1分； 4、不提供不得分。</w:t>
            </w:r>
          </w:p>
        </w:tc>
      </w:tr>
      <w:tr>
        <w:tc>
          <w:tcPr>
            <w:tcW w:type="dxa" w:w="922"/>
            <w:gridSpan w:val="2"/>
            <w:vMerge/>
          </w:tcPr>
          <w:p/>
        </w:tc>
        <w:tc>
          <w:tcPr>
            <w:tcW w:type="dxa" w:w="2307"/>
          </w:tcPr>
          <w:p>
            <w:pPr>
              <w:jc w:val="left"/>
            </w:pPr>
            <w:r>
              <w:rPr/>
              <w:t>后续使用成本 (5.0分)</w:t>
            </w:r>
            <w:r>
              <w:rPr/>
              <w:t>，（等次分值选择：</w:t>
            </w:r>
            <w:r>
              <w:rPr/>
              <w:t>0.0;</w:t>
            </w:r>
            <w:r>
              <w:rPr/>
              <w:t>1.0;</w:t>
            </w:r>
            <w:r>
              <w:rPr/>
              <w:t>3.0;</w:t>
            </w:r>
            <w:r>
              <w:rPr/>
              <w:t>5.0;</w:t>
            </w:r>
            <w:r>
              <w:rPr/>
              <w:t>）</w:t>
            </w:r>
          </w:p>
        </w:tc>
        <w:tc>
          <w:tcPr>
            <w:tcW w:type="dxa" w:w="5076"/>
          </w:tcPr>
          <w:p>
            <w:pPr>
              <w:jc w:val="left"/>
            </w:pPr>
            <w:r>
              <w:rPr/>
              <w:t>根据各投标人提供的后续使用成本说明、使用寿命证明材料等资料，对产品的使用寿命长短、延保费用、服务收费等后续使用成本情况进行评审： 1、后续使用成本说明罗列的项目详细具体，产品使用寿命在5年以上且延保费用低及服务收费的各项平均价格便宜，得5分； 2、后续使用成本说明罗列的项目较详细具体，产品使用寿命在5年以上或延保费用较低或服务收费的各项平均价格较便宜，得3分； 3、后续使用成本说明罗列的项目简单，产品使用寿命在5年以下或延保费用高或服务收费的各项平均价格较高，得1分； 4、其他情况不得分。</w:t>
            </w:r>
          </w:p>
        </w:tc>
      </w:tr>
      <w:tr>
        <w:tc>
          <w:tcPr>
            <w:tcW w:type="dxa" w:w="922"/>
            <w:gridSpan w:val="2"/>
            <w:vMerge/>
          </w:tcPr>
          <w:p/>
        </w:tc>
        <w:tc>
          <w:tcPr>
            <w:tcW w:type="dxa" w:w="2307"/>
          </w:tcPr>
          <w:p>
            <w:pPr>
              <w:jc w:val="left"/>
            </w:pPr>
            <w:r>
              <w:rPr/>
              <w:t>政策功能情况（节能产品、环境保护标志产品） (2.44分)</w:t>
            </w:r>
          </w:p>
        </w:tc>
        <w:tc>
          <w:tcPr>
            <w:tcW w:type="dxa" w:w="5076"/>
          </w:tcPr>
          <w:p>
            <w:pPr>
              <w:jc w:val="left"/>
            </w:pPr>
            <w:r>
              <w:rPr/>
              <w:t>产品(针对非政府强制采购产品)获得有效期内的节能产品认证证书或环境标志产品认证证书的，每个投标产品满足得1.22分，最高2.44分。无得0分。【提供节能产品认证证书或环境标志产品认证证书扫描件，同一个产品同时获得以上两个认证的，不重复计算】</w:t>
            </w:r>
          </w:p>
        </w:tc>
      </w:tr>
      <w:tr>
        <w:tc>
          <w:tcPr>
            <w:tcW w:type="dxa" w:w="922"/>
            <w:gridSpan w:val="2"/>
            <w:vMerge w:val="restart"/>
          </w:tcPr>
          <w:p>
            <w:pPr>
              <w:jc w:val="center"/>
            </w:pPr>
            <w:r>
              <w:rPr/>
              <w:t>商务部分</w:t>
            </w:r>
          </w:p>
        </w:tc>
        <w:tc>
          <w:tcPr>
            <w:tcW w:type="dxa" w:w="2307"/>
          </w:tcPr>
          <w:p>
            <w:pPr>
              <w:jc w:val="left"/>
            </w:pPr>
            <w:r>
              <w:rPr/>
              <w:t>同类项目 (5.0分)</w:t>
            </w:r>
          </w:p>
        </w:tc>
        <w:tc>
          <w:tcPr>
            <w:tcW w:type="dxa" w:w="5076"/>
          </w:tcPr>
          <w:p>
            <w:pPr>
              <w:jc w:val="left"/>
            </w:pPr>
            <w:r>
              <w:rPr/>
              <w:t>根据投标人自2020年1月1日至投标截止时间止（以合同签订时间为准）完成的同类项目，每提供一项得1分，本项最高得5分。  注：须同时提供（1）中标（或成交）通知书或验收报告及（2）合同扫描件作为证明材料。</w:t>
            </w:r>
          </w:p>
        </w:tc>
      </w:tr>
      <w:tr>
        <w:tc>
          <w:tcPr>
            <w:tcW w:type="dxa" w:w="922"/>
            <w:gridSpan w:val="2"/>
            <w:vMerge/>
          </w:tcPr>
          <w:p/>
        </w:tc>
        <w:tc>
          <w:tcPr>
            <w:tcW w:type="dxa" w:w="2307"/>
          </w:tcPr>
          <w:p>
            <w:pPr>
              <w:jc w:val="left"/>
            </w:pPr>
            <w:r>
              <w:rPr/>
              <w:t>售后服务方案评价 (5.0分)</w:t>
            </w:r>
            <w:r>
              <w:rPr/>
              <w:t>，（等次分值选择：</w:t>
            </w:r>
            <w:r>
              <w:rPr/>
              <w:t>0.0;</w:t>
            </w:r>
            <w:r>
              <w:rPr/>
              <w:t>1.0;</w:t>
            </w:r>
            <w:r>
              <w:rPr/>
              <w:t>3.0;</w:t>
            </w:r>
            <w:r>
              <w:rPr/>
              <w:t>5.0;</w:t>
            </w:r>
            <w:r>
              <w:rPr/>
              <w:t>）</w:t>
            </w:r>
          </w:p>
        </w:tc>
        <w:tc>
          <w:tcPr>
            <w:tcW w:type="dxa" w:w="5076"/>
          </w:tcPr>
          <w:p>
            <w:pPr>
              <w:jc w:val="left"/>
            </w:pPr>
            <w:r>
              <w:rPr/>
              <w:t>根据各投标人提供的售后服务方案（包括货物运输、验收和保修细则、应急预案），质保期及保修期后维护服务等进行评审： 1、售后服务方案具体详细、科学、合理、可行，优于用户需求的基础上质保期长且质保期后能提供贴合用户需求、全面的维护服务的，得5分； 2、售后服务方案较具体详细、较科学、基本合理可行，优于用户需求的基础上质保期较长且质保期后提供的维护服务较贴近用户需求、较全面的，得3分； 3、售后服务方案一般、不够科学、不够合理、不够可行，优于用户需求的基础上质保期较短且质保期后提供的维护服务不贴近用户需求、不全面的，得1分； 4、不提供不得分。  注：须提供相关证明材料。</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sz w:val="68"/>
        </w:rPr>
        <w:t>佛山市政府采购项目</w:t>
      </w:r>
    </w:p>
    <w:p>
      <w:pPr>
        <w:jc w:val="center"/>
      </w:pPr>
      <w:r>
        <w:rPr>
          <w:sz w:val="68"/>
        </w:rPr>
        <w:t>合同书</w:t>
      </w:r>
    </w:p>
    <w:p>
      <w:pPr>
        <w:jc w:val="center"/>
      </w:pPr>
    </w:p>
    <w:p>
      <w:pPr>
        <w:jc w:val="center"/>
      </w:pPr>
    </w:p>
    <w:p>
      <w:pPr>
        <w:jc w:val="center"/>
      </w:pPr>
    </w:p>
    <w:p>
      <w:pPr>
        <w:jc w:val="center"/>
      </w:pPr>
    </w:p>
    <w:p>
      <w:pPr>
        <w:jc w:val="center"/>
      </w:pPr>
    </w:p>
    <w:p>
      <w:pPr>
        <w:ind w:firstLine="843"/>
        <w:jc w:val="both"/>
      </w:pPr>
      <w:r>
        <w:rPr>
          <w:b/>
          <w:sz w:val="24"/>
        </w:rPr>
        <w:t>项目编号：</w:t>
      </w:r>
      <w:r>
        <w:rPr>
          <w:b/>
          <w:sz w:val="24"/>
          <w:u w:val="single"/>
        </w:rPr>
        <w:t>GDZC-23GZ158</w:t>
      </w:r>
    </w:p>
    <w:p>
      <w:pPr>
        <w:ind w:firstLine="843"/>
        <w:jc w:val="both"/>
      </w:pPr>
      <w:r>
        <w:rPr>
          <w:b/>
          <w:sz w:val="24"/>
        </w:rPr>
        <w:t>项目名称：</w:t>
      </w:r>
      <w:r>
        <w:rPr>
          <w:b/>
          <w:sz w:val="24"/>
          <w:u w:val="single"/>
        </w:rPr>
        <w:t>2023</w:t>
      </w:r>
      <w:r>
        <w:rPr>
          <w:b/>
          <w:sz w:val="24"/>
          <w:u w:val="single"/>
        </w:rPr>
        <w:t>年顺德区第三人民医院专用设备购置项目</w:t>
      </w:r>
    </w:p>
    <w:p>
      <w:pPr>
        <w:ind w:firstLine="843"/>
        <w:jc w:val="both"/>
      </w:pPr>
      <w:r>
        <w:rPr>
          <w:b/>
          <w:sz w:val="24"/>
        </w:rPr>
        <w:t>包组号：包组一（离心机等）</w:t>
      </w:r>
    </w:p>
    <w:p>
      <w:pPr>
        <w:jc w:val="center"/>
      </w:pPr>
    </w:p>
    <w:p>
      <w:pPr>
        <w:jc w:val="center"/>
      </w:pPr>
    </w:p>
    <w:p>
      <w:pPr>
        <w:jc w:val="center"/>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596"/>
        <w:gridCol w:w="6710"/>
      </w:tblGrid>
      <w:tr>
        <w:tc>
          <w:tcPr>
            <w:tcW w:type="dxa" w:w="1596"/>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6710"/>
            <w:tcBorders>
              <w:top w:val="none" w:color="000000" w:sz="4"/>
              <w:left w:val="none" w:color="000000" w:sz="4"/>
              <w:bottom w:val="none" w:color="000000" w:sz="4"/>
              <w:right w:val="none" w:color="000000" w:sz="4"/>
            </w:tcBorders>
            <w:vAlign w:val="top"/>
          </w:tcPr>
          <w:p>
            <w:pPr>
              <w:jc w:val="left"/>
            </w:pPr>
            <w:r>
              <w:rPr>
                <w:sz w:val="28"/>
                <w:u w:val="single"/>
              </w:rPr>
              <w:t>佛山市顺德区第三人民医院（佛山市顺德区北滘医院）</w:t>
            </w:r>
          </w:p>
        </w:tc>
      </w:tr>
      <w:tr>
        <w:tc>
          <w:tcPr>
            <w:tcW w:type="dxa" w:w="1596"/>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6710"/>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（中标人名称）</w:t>
            </w:r>
            <w:r>
              <w:rPr>
                <w:sz w:val="28"/>
                <w:u w:val="single"/>
              </w:rPr>
              <w:t xml:space="preserve">   </w:t>
            </w:r>
          </w:p>
        </w:tc>
      </w:tr>
      <w:tr>
        <w:tc>
          <w:tcPr>
            <w:tcW w:type="dxa" w:w="1596"/>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710"/>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p>
    <w:p>
      <w:pPr>
        <w:jc w:val="center"/>
      </w:pPr>
    </w:p>
    <w:p>
      <w:pPr>
        <w:jc w:val="center"/>
      </w:pPr>
      <w:r>
        <w:rPr>
          <w:b/>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58"/>
        <w:gridCol w:w="6648"/>
      </w:tblGrid>
      <w:tr>
        <w:tc>
          <w:tcPr>
            <w:tcW w:type="dxa" w:w="1658"/>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648"/>
            <w:tcBorders>
              <w:top w:val="none" w:color="000000" w:sz="4"/>
              <w:left w:val="none" w:color="000000" w:sz="4"/>
              <w:bottom w:val="none" w:color="000000" w:sz="4"/>
              <w:right w:val="none" w:color="000000" w:sz="4"/>
            </w:tcBorders>
            <w:vAlign w:val="top"/>
          </w:tcPr>
          <w:p>
            <w:pPr>
              <w:jc w:val="left"/>
            </w:pPr>
            <w:r>
              <w:rPr>
                <w:sz w:val="21"/>
                <w:u w:val="single"/>
              </w:rPr>
              <w:t>2023</w:t>
            </w:r>
            <w:r>
              <w:rPr>
                <w:sz w:val="21"/>
                <w:u w:val="single"/>
              </w:rPr>
              <w:t>年佛山市顺德区第三人民医院（佛山市顺德区北滘医院）专用医疗设备购置项目</w:t>
            </w:r>
          </w:p>
        </w:tc>
      </w:tr>
      <w:tr>
        <w:tc>
          <w:tcPr>
            <w:tcW w:type="dxa" w:w="1658"/>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648"/>
            <w:tcBorders>
              <w:top w:val="none" w:color="000000" w:sz="4"/>
              <w:left w:val="none" w:color="000000" w:sz="4"/>
              <w:bottom w:val="none" w:color="000000" w:sz="4"/>
              <w:right w:val="none" w:color="000000" w:sz="4"/>
            </w:tcBorders>
            <w:vAlign w:val="top"/>
          </w:tcPr>
          <w:p>
            <w:pPr>
              <w:jc w:val="both"/>
            </w:pPr>
            <w:r>
              <w:rPr>
                <w:sz w:val="21"/>
                <w:u w:val="single"/>
              </w:rPr>
              <w:t>GDZC-23GZ158</w:t>
            </w:r>
          </w:p>
        </w:tc>
      </w:tr>
      <w:tr>
        <w:tc>
          <w:tcPr>
            <w:tcW w:type="dxa" w:w="1658"/>
            <w:tcBorders>
              <w:top w:val="none" w:color="000000" w:sz="4"/>
              <w:left w:val="none" w:color="000000" w:sz="4"/>
              <w:bottom w:val="none" w:color="000000" w:sz="4"/>
              <w:right w:val="none" w:color="000000" w:sz="4"/>
            </w:tcBorders>
            <w:vAlign w:val="top"/>
          </w:tcPr>
          <w:p>
            <w:pPr>
              <w:jc w:val="both"/>
            </w:pPr>
            <w:r>
              <w:rPr>
                <w:b/>
                <w:sz w:val="21"/>
              </w:rPr>
              <w:t>甲</w:t>
            </w:r>
            <w:r>
              <w:rPr>
                <w:b/>
                <w:sz w:val="21"/>
              </w:rPr>
              <w:t xml:space="preserve">   </w:t>
            </w:r>
            <w:r>
              <w:rPr>
                <w:b/>
                <w:sz w:val="21"/>
              </w:rPr>
              <w:t>方：</w:t>
            </w:r>
          </w:p>
        </w:tc>
        <w:tc>
          <w:tcPr>
            <w:tcW w:type="dxa" w:w="6648"/>
            <w:tcBorders>
              <w:top w:val="none" w:color="000000" w:sz="4"/>
              <w:left w:val="none" w:color="000000" w:sz="4"/>
              <w:bottom w:val="none" w:color="000000" w:sz="4"/>
              <w:right w:val="none" w:color="000000" w:sz="4"/>
            </w:tcBorders>
            <w:vAlign w:val="top"/>
          </w:tcPr>
          <w:p>
            <w:pPr>
              <w:jc w:val="both"/>
            </w:pPr>
            <w:r>
              <w:rPr>
                <w:sz w:val="21"/>
                <w:u w:val="single"/>
              </w:rPr>
              <w:t>佛山市顺德区第三人民医院（佛山市顺德区北滘医院）</w:t>
            </w:r>
          </w:p>
        </w:tc>
      </w:tr>
      <w:tr>
        <w:tc>
          <w:tcPr>
            <w:tcW w:type="dxa" w:w="1658"/>
            <w:tcBorders>
              <w:top w:val="none" w:color="000000" w:sz="4"/>
              <w:left w:val="none" w:color="000000" w:sz="4"/>
              <w:bottom w:val="none" w:color="000000" w:sz="4"/>
              <w:right w:val="none" w:color="000000" w:sz="4"/>
            </w:tcBorders>
            <w:vAlign w:val="top"/>
          </w:tcPr>
          <w:p>
            <w:pPr>
              <w:jc w:val="both"/>
            </w:pPr>
            <w:r>
              <w:rPr>
                <w:b/>
                <w:sz w:val="21"/>
              </w:rPr>
              <w:t>乙</w:t>
            </w:r>
            <w:r>
              <w:rPr>
                <w:b/>
                <w:sz w:val="21"/>
              </w:rPr>
              <w:t xml:space="preserve"> </w:t>
            </w:r>
            <w:r>
              <w:rPr>
                <w:b/>
                <w:sz w:val="21"/>
              </w:rPr>
              <w:t>方：</w:t>
            </w:r>
          </w:p>
        </w:tc>
        <w:tc>
          <w:tcPr>
            <w:tcW w:type="dxa" w:w="6648"/>
            <w:tcBorders>
              <w:top w:val="none" w:color="000000" w:sz="4"/>
              <w:left w:val="none" w:color="000000" w:sz="4"/>
              <w:bottom w:val="none" w:color="000000" w:sz="4"/>
              <w:right w:val="none" w:color="000000" w:sz="4"/>
            </w:tcBorders>
            <w:vAlign w:val="top"/>
          </w:tcPr>
          <w:p>
            <w:pPr>
              <w:jc w:val="both"/>
            </w:pPr>
            <w:r>
              <w:rPr>
                <w:sz w:val="21"/>
                <w:u w:val="single"/>
              </w:rPr>
              <w:t>（中标人）</w:t>
            </w:r>
          </w:p>
        </w:tc>
      </w:tr>
    </w:tbl>
    <w:p>
      <w:pPr>
        <w:ind w:firstLine="420"/>
        <w:jc w:val="both"/>
      </w:pP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577"/>
        <w:gridCol w:w="1579"/>
        <w:gridCol w:w="1412"/>
        <w:gridCol w:w="1245"/>
        <w:gridCol w:w="638"/>
        <w:gridCol w:w="562"/>
        <w:gridCol w:w="1124"/>
        <w:gridCol w:w="1169"/>
      </w:tblGrid>
      <w:tr>
        <w:tc>
          <w:tcPr>
            <w:tcW w:type="dxa" w:w="57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579"/>
            <w:tcBorders>
              <w:top w:val="single" w:color="000000" w:sz="4"/>
              <w:left w:val="none" w:color="000000" w:sz="4"/>
              <w:bottom w:val="single" w:color="000000" w:sz="4"/>
              <w:right w:val="single" w:color="000000" w:sz="4"/>
            </w:tcBorders>
            <w:vAlign w:val="top"/>
          </w:tcPr>
          <w:p>
            <w:pPr>
              <w:jc w:val="center"/>
            </w:pPr>
            <w:r>
              <w:rPr>
                <w:b/>
                <w:color w:val="000000"/>
                <w:sz w:val="21"/>
              </w:rPr>
              <w:t>商品名称</w:t>
            </w:r>
          </w:p>
        </w:tc>
        <w:tc>
          <w:tcPr>
            <w:tcW w:type="dxa" w:w="1412"/>
            <w:tcBorders>
              <w:top w:val="single" w:color="000000" w:sz="4"/>
              <w:left w:val="none" w:color="000000" w:sz="4"/>
              <w:bottom w:val="single" w:color="000000" w:sz="4"/>
              <w:right w:val="single" w:color="000000" w:sz="4"/>
            </w:tcBorders>
            <w:vAlign w:val="top"/>
          </w:tcPr>
          <w:p>
            <w:pPr>
              <w:jc w:val="center"/>
            </w:pPr>
            <w:r>
              <w:rPr>
                <w:b/>
                <w:color w:val="000000"/>
                <w:sz w:val="21"/>
              </w:rPr>
              <w:t>品牌</w:t>
            </w:r>
            <w:r>
              <w:rPr>
                <w:b/>
                <w:color w:val="000000"/>
                <w:sz w:val="21"/>
              </w:rPr>
              <w:t>/规格型号</w:t>
            </w:r>
          </w:p>
        </w:tc>
        <w:tc>
          <w:tcPr>
            <w:tcW w:type="dxa" w:w="1245"/>
            <w:tcBorders>
              <w:top w:val="single" w:color="000000" w:sz="4"/>
              <w:left w:val="none" w:color="000000" w:sz="4"/>
              <w:bottom w:val="single" w:color="000000" w:sz="4"/>
              <w:right w:val="single" w:color="000000" w:sz="4"/>
            </w:tcBorders>
            <w:vAlign w:val="top"/>
          </w:tcPr>
          <w:p>
            <w:pPr>
              <w:jc w:val="center"/>
            </w:pPr>
            <w:r>
              <w:rPr>
                <w:b/>
                <w:color w:val="000000"/>
                <w:sz w:val="21"/>
              </w:rPr>
              <w:t>注册证号</w:t>
            </w:r>
          </w:p>
        </w:tc>
        <w:tc>
          <w:tcPr>
            <w:tcW w:type="dxa" w:w="638"/>
            <w:tcBorders>
              <w:top w:val="single" w:color="000000" w:sz="4"/>
              <w:left w:val="none" w:color="000000" w:sz="4"/>
              <w:bottom w:val="single" w:color="000000" w:sz="4"/>
              <w:right w:val="single" w:color="000000" w:sz="4"/>
            </w:tcBorders>
            <w:vAlign w:val="top"/>
          </w:tcPr>
          <w:p>
            <w:pPr>
              <w:jc w:val="center"/>
            </w:pPr>
            <w:r>
              <w:rPr>
                <w:b/>
                <w:color w:val="000000"/>
                <w:sz w:val="21"/>
              </w:rPr>
              <w:t>产地</w:t>
            </w:r>
          </w:p>
        </w:tc>
        <w:tc>
          <w:tcPr>
            <w:tcW w:type="dxa" w:w="56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1124"/>
            <w:tcBorders>
              <w:top w:val="single" w:color="000000" w:sz="4"/>
              <w:left w:val="none" w:color="000000" w:sz="4"/>
              <w:bottom w:val="none" w:color="000000" w:sz="4"/>
              <w:right w:val="single" w:color="000000" w:sz="4"/>
            </w:tcBorders>
            <w:vAlign w:val="top"/>
          </w:tcPr>
          <w:p>
            <w:pPr>
              <w:jc w:val="center"/>
            </w:pPr>
            <w:r>
              <w:rPr>
                <w:b/>
                <w:color w:val="000000"/>
                <w:sz w:val="21"/>
              </w:rPr>
              <w:t>单价</w:t>
            </w:r>
            <w:r>
              <w:rPr>
                <w:b/>
                <w:color w:val="000000"/>
                <w:sz w:val="21"/>
              </w:rPr>
              <w:t>(元)</w:t>
            </w:r>
          </w:p>
        </w:tc>
        <w:tc>
          <w:tcPr>
            <w:tcW w:type="dxa" w:w="1169"/>
            <w:tcBorders>
              <w:top w:val="single" w:color="000000" w:sz="4"/>
              <w:left w:val="none" w:color="000000" w:sz="4"/>
              <w:bottom w:val="none" w:color="000000" w:sz="4"/>
              <w:right w:val="single" w:color="000000" w:sz="4"/>
            </w:tcBorders>
            <w:vAlign w:val="top"/>
          </w:tcPr>
          <w:p>
            <w:pPr>
              <w:jc w:val="center"/>
            </w:pPr>
            <w:r>
              <w:rPr>
                <w:b/>
                <w:color w:val="000000"/>
                <w:sz w:val="21"/>
              </w:rPr>
              <w:t>总金额</w:t>
            </w:r>
            <w:r>
              <w:rPr>
                <w:b/>
                <w:color w:val="000000"/>
                <w:sz w:val="21"/>
              </w:rPr>
              <w:t>(元)</w:t>
            </w:r>
          </w:p>
        </w:tc>
      </w:tr>
      <w:tr>
        <w:tc>
          <w:tcPr>
            <w:tcW w:type="dxa" w:w="577"/>
            <w:tcBorders>
              <w:top w:val="none" w:color="000000" w:sz="4"/>
              <w:left w:val="single" w:color="000000" w:sz="4"/>
              <w:bottom w:val="single" w:color="000000" w:sz="4"/>
              <w:right w:val="single" w:color="000000" w:sz="4"/>
            </w:tcBorders>
            <w:vAlign w:val="top"/>
          </w:tcPr>
          <w:p>
            <w:pPr>
              <w:jc w:val="center"/>
            </w:pPr>
          </w:p>
        </w:tc>
        <w:tc>
          <w:tcPr>
            <w:tcW w:type="dxa" w:w="1579"/>
            <w:tcBorders>
              <w:top w:val="none" w:color="000000" w:sz="4"/>
              <w:left w:val="none" w:color="000000" w:sz="4"/>
              <w:bottom w:val="single" w:color="000000" w:sz="4"/>
              <w:right w:val="single" w:color="000000" w:sz="4"/>
            </w:tcBorders>
            <w:vAlign w:val="top"/>
          </w:tcPr>
          <w:p>
            <w:pPr>
              <w:jc w:val="center"/>
            </w:pPr>
          </w:p>
        </w:tc>
        <w:tc>
          <w:tcPr>
            <w:tcW w:type="dxa" w:w="1412"/>
            <w:tcBorders>
              <w:top w:val="none" w:color="000000" w:sz="4"/>
              <w:left w:val="non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both"/>
            </w:pPr>
          </w:p>
        </w:tc>
        <w:tc>
          <w:tcPr>
            <w:tcW w:type="dxa" w:w="638"/>
            <w:tcBorders>
              <w:top w:val="none" w:color="000000" w:sz="4"/>
              <w:left w:val="none" w:color="000000" w:sz="4"/>
              <w:bottom w:val="single" w:color="000000" w:sz="4"/>
              <w:right w:val="single" w:color="000000" w:sz="4"/>
            </w:tcBorders>
            <w:vAlign w:val="top"/>
          </w:tcPr>
          <w:p>
            <w:pPr>
              <w:jc w:val="both"/>
            </w:pPr>
          </w:p>
        </w:tc>
        <w:tc>
          <w:tcPr>
            <w:tcW w:type="dxa" w:w="562"/>
            <w:tcBorders>
              <w:top w:val="none" w:color="000000" w:sz="4"/>
              <w:left w:val="none" w:color="000000" w:sz="4"/>
              <w:bottom w:val="single" w:color="000000" w:sz="4"/>
              <w:right w:val="single" w:color="000000" w:sz="4"/>
            </w:tcBorders>
            <w:vAlign w:val="top"/>
          </w:tcPr>
          <w:p>
            <w:pPr>
              <w:jc w:val="both"/>
            </w:pPr>
          </w:p>
        </w:tc>
        <w:tc>
          <w:tcPr>
            <w:tcW w:type="dxa" w:w="1124"/>
            <w:tcBorders>
              <w:top w:val="single" w:color="000000" w:sz="4"/>
              <w:left w:val="none" w:color="000000" w:sz="4"/>
              <w:bottom w:val="none" w:color="000000" w:sz="4"/>
              <w:right w:val="single" w:color="000000" w:sz="4"/>
            </w:tcBorders>
            <w:vAlign w:val="top"/>
          </w:tcPr>
          <w:p>
            <w:pPr>
              <w:jc w:val="center"/>
            </w:pPr>
          </w:p>
        </w:tc>
        <w:tc>
          <w:tcPr>
            <w:tcW w:type="dxa" w:w="1169"/>
            <w:tcBorders>
              <w:top w:val="single" w:color="000000" w:sz="4"/>
              <w:left w:val="none" w:color="000000" w:sz="4"/>
              <w:bottom w:val="non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tc>
        <w:tc>
          <w:tcPr>
            <w:tcW w:type="dxa" w:w="1579"/>
            <w:tcBorders>
              <w:top w:val="none" w:color="000000" w:sz="4"/>
              <w:left w:val="none" w:color="000000" w:sz="4"/>
              <w:bottom w:val="single" w:color="000000" w:sz="4"/>
              <w:right w:val="single" w:color="000000" w:sz="4"/>
            </w:tcBorders>
            <w:vAlign w:val="top"/>
          </w:tcPr>
          <w:p>
            <w:pPr>
              <w:jc w:val="center"/>
            </w:pPr>
          </w:p>
        </w:tc>
        <w:tc>
          <w:tcPr>
            <w:tcW w:type="dxa" w:w="1412"/>
            <w:tcBorders>
              <w:top w:val="none" w:color="000000" w:sz="4"/>
              <w:left w:val="non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both"/>
            </w:pPr>
          </w:p>
        </w:tc>
        <w:tc>
          <w:tcPr>
            <w:tcW w:type="dxa" w:w="638"/>
            <w:tcBorders>
              <w:top w:val="none" w:color="000000" w:sz="4"/>
              <w:left w:val="none" w:color="000000" w:sz="4"/>
              <w:bottom w:val="single" w:color="000000" w:sz="4"/>
              <w:right w:val="single" w:color="000000" w:sz="4"/>
            </w:tcBorders>
            <w:vAlign w:val="top"/>
          </w:tcPr>
          <w:p>
            <w:pPr>
              <w:jc w:val="both"/>
            </w:pPr>
          </w:p>
        </w:tc>
        <w:tc>
          <w:tcPr>
            <w:tcW w:type="dxa" w:w="562"/>
            <w:tcBorders>
              <w:top w:val="none" w:color="000000" w:sz="4"/>
              <w:left w:val="none" w:color="000000" w:sz="4"/>
              <w:bottom w:val="single" w:color="000000" w:sz="4"/>
              <w:right w:val="single" w:color="000000" w:sz="4"/>
            </w:tcBorders>
            <w:vAlign w:val="top"/>
          </w:tcPr>
          <w:p>
            <w:pPr>
              <w:jc w:val="both"/>
            </w:pPr>
          </w:p>
        </w:tc>
        <w:tc>
          <w:tcPr>
            <w:tcW w:type="dxa" w:w="1124"/>
            <w:tcBorders>
              <w:top w:val="single" w:color="000000" w:sz="4"/>
              <w:left w:val="none" w:color="000000" w:sz="4"/>
              <w:bottom w:val="single" w:color="000000" w:sz="4"/>
              <w:right w:val="single" w:color="000000" w:sz="4"/>
            </w:tcBorders>
            <w:vAlign w:val="top"/>
          </w:tcPr>
          <w:p>
            <w:pPr>
              <w:jc w:val="center"/>
            </w:pPr>
          </w:p>
        </w:tc>
        <w:tc>
          <w:tcPr>
            <w:tcW w:type="dxa" w:w="1169"/>
            <w:tcBorders>
              <w:top w:val="singl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tc>
        <w:tc>
          <w:tcPr>
            <w:tcW w:type="dxa" w:w="1579"/>
            <w:tcBorders>
              <w:top w:val="none" w:color="000000" w:sz="4"/>
              <w:left w:val="none" w:color="000000" w:sz="4"/>
              <w:bottom w:val="single" w:color="000000" w:sz="4"/>
              <w:right w:val="single" w:color="000000" w:sz="4"/>
            </w:tcBorders>
            <w:vAlign w:val="top"/>
          </w:tcPr>
          <w:p>
            <w:pPr>
              <w:jc w:val="center"/>
            </w:pPr>
          </w:p>
        </w:tc>
        <w:tc>
          <w:tcPr>
            <w:tcW w:type="dxa" w:w="1412"/>
            <w:tcBorders>
              <w:top w:val="none" w:color="000000" w:sz="4"/>
              <w:left w:val="non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both"/>
            </w:pPr>
          </w:p>
        </w:tc>
        <w:tc>
          <w:tcPr>
            <w:tcW w:type="dxa" w:w="638"/>
            <w:tcBorders>
              <w:top w:val="none" w:color="000000" w:sz="4"/>
              <w:left w:val="none" w:color="000000" w:sz="4"/>
              <w:bottom w:val="single" w:color="000000" w:sz="4"/>
              <w:right w:val="single" w:color="000000" w:sz="4"/>
            </w:tcBorders>
            <w:vAlign w:val="top"/>
          </w:tcPr>
          <w:p>
            <w:pPr>
              <w:jc w:val="both"/>
            </w:pPr>
          </w:p>
        </w:tc>
        <w:tc>
          <w:tcPr>
            <w:tcW w:type="dxa" w:w="562"/>
            <w:tcBorders>
              <w:top w:val="none" w:color="000000" w:sz="4"/>
              <w:left w:val="none" w:color="000000" w:sz="4"/>
              <w:bottom w:val="single" w:color="000000" w:sz="4"/>
              <w:right w:val="single" w:color="000000" w:sz="4"/>
            </w:tcBorders>
            <w:vAlign w:val="top"/>
          </w:tcPr>
          <w:p>
            <w:pPr>
              <w:jc w:val="both"/>
            </w:pPr>
          </w:p>
        </w:tc>
        <w:tc>
          <w:tcPr>
            <w:tcW w:type="dxa" w:w="1124"/>
            <w:tcBorders>
              <w:top w:val="none" w:color="000000" w:sz="4"/>
              <w:left w:val="none" w:color="000000" w:sz="4"/>
              <w:bottom w:val="single" w:color="000000" w:sz="4"/>
              <w:right w:val="single" w:color="000000" w:sz="4"/>
            </w:tcBorders>
            <w:vAlign w:val="top"/>
          </w:tcPr>
          <w:p>
            <w:pPr>
              <w:jc w:val="center"/>
            </w:pPr>
          </w:p>
        </w:tc>
        <w:tc>
          <w:tcPr>
            <w:tcW w:type="dxa" w:w="1169"/>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both"/>
            </w:pPr>
          </w:p>
        </w:tc>
        <w:tc>
          <w:tcPr>
            <w:tcW w:type="dxa" w:w="7729"/>
            <w:gridSpan w:val="7"/>
            <w:tcBorders>
              <w:top w:val="none" w:color="000000" w:sz="4"/>
              <w:left w:val="none" w:color="000000" w:sz="4"/>
              <w:bottom w:val="single" w:color="000000" w:sz="4"/>
              <w:right w:val="single" w:color="000000" w:sz="4"/>
            </w:tcBorders>
            <w:vAlign w:val="top"/>
          </w:tcPr>
          <w:p>
            <w:pPr>
              <w:jc w:val="both"/>
            </w:pPr>
            <w:r>
              <w:rPr>
                <w:b/>
                <w:color w:val="000000"/>
                <w:sz w:val="21"/>
              </w:rPr>
              <w:t>合计：</w:t>
            </w:r>
            <w:r>
              <w:rPr>
                <w:color w:val="000000"/>
                <w:sz w:val="21"/>
              </w:rPr>
              <w:t>￥：</w:t>
            </w:r>
            <w:r>
              <w:rPr>
                <w:b/>
                <w:color w:val="000000"/>
                <w:sz w:val="21"/>
              </w:rPr>
              <w:t xml:space="preserve">          </w:t>
            </w:r>
            <w:r>
              <w:rPr>
                <w:b/>
                <w:color w:val="000000"/>
                <w:sz w:val="21"/>
              </w:rPr>
              <w:t>元</w:t>
            </w:r>
            <w:r>
              <w:rPr>
                <w:b/>
                <w:color w:val="000000"/>
                <w:sz w:val="21"/>
              </w:rPr>
              <w:t>大写：</w:t>
            </w:r>
            <w:r>
              <w:rPr>
                <w:b/>
                <w:color w:val="000000"/>
                <w:sz w:val="21"/>
              </w:rPr>
              <w:t xml:space="preserve">                       </w:t>
            </w:r>
            <w:r>
              <w:rPr>
                <w:b/>
                <w:color w:val="000000"/>
                <w:sz w:val="21"/>
              </w:rPr>
              <w:t>元整</w:t>
            </w:r>
          </w:p>
        </w:tc>
      </w:tr>
    </w:tbl>
    <w:p>
      <w:pPr>
        <w:jc w:val="both"/>
      </w:pPr>
      <w:r>
        <w:rPr>
          <w:sz w:val="21"/>
        </w:rPr>
        <w:t>备注：消毒设备在注册证号栏中分别填入注册证号、卫生许可证批号。合同设备如属《中华人民共和国强制检定的工作计量器具目录》内的，验收时乙方需提供合法正规的计量合格证，否则验收不合格。</w:t>
      </w:r>
    </w:p>
    <w:p>
      <w:pPr>
        <w:jc w:val="both"/>
      </w:pPr>
      <w:r>
        <w:rPr>
          <w:sz w:val="21"/>
        </w:rPr>
        <w:t>见附件一《报价清单明细表》</w:t>
      </w:r>
      <w:r>
        <w:rPr>
          <w:sz w:val="21"/>
        </w:rPr>
        <w:t>/（设备名称）配置清单。</w:t>
      </w:r>
    </w:p>
    <w:p>
      <w:pPr>
        <w:jc w:val="both"/>
      </w:pPr>
      <w:r>
        <w:rPr>
          <w:b/>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7"/>
        <w:gridCol w:w="1776"/>
        <w:gridCol w:w="5853"/>
      </w:tblGrid>
      <w:tr>
        <w:tc>
          <w:tcPr>
            <w:tcW w:type="dxa" w:w="67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776"/>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5853"/>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5853"/>
            <w:tcBorders>
              <w:top w:val="none" w:color="000000" w:sz="4"/>
              <w:left w:val="none" w:color="000000" w:sz="4"/>
              <w:bottom w:val="single" w:color="000000" w:sz="4"/>
              <w:right w:val="single" w:color="000000" w:sz="4"/>
            </w:tcBorders>
            <w:vAlign w:val="top"/>
          </w:tcPr>
          <w:p>
            <w:pPr>
              <w:jc w:val="both"/>
            </w:pPr>
            <w:r>
              <w:rPr>
                <w:sz w:val="21"/>
              </w:rPr>
              <w:t>人民币小写：</w:t>
            </w:r>
            <w:r>
              <w:rPr>
                <w:sz w:val="21"/>
                <w:u w:val="single"/>
              </w:rPr>
              <w:t xml:space="preserve">             </w:t>
            </w:r>
            <w:r>
              <w:rPr>
                <w:sz w:val="21"/>
              </w:rPr>
              <w:t xml:space="preserve">   </w:t>
            </w:r>
          </w:p>
          <w:p>
            <w:pPr>
              <w:jc w:val="both"/>
            </w:pPr>
            <w:r>
              <w:rPr>
                <w:sz w:val="21"/>
              </w:rPr>
              <w:t>大写：</w:t>
            </w:r>
            <w:r>
              <w:rPr>
                <w:sz w:val="21"/>
                <w:u w:val="single"/>
              </w:rPr>
              <w:t xml:space="preserve">                          </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5853"/>
            <w:tcBorders>
              <w:top w:val="none" w:color="000000" w:sz="4"/>
              <w:left w:val="none" w:color="000000" w:sz="4"/>
              <w:bottom w:val="single" w:color="000000" w:sz="4"/>
              <w:right w:val="single" w:color="000000" w:sz="4"/>
            </w:tcBorders>
            <w:vAlign w:val="top"/>
          </w:tcPr>
          <w:p>
            <w:pPr>
              <w:jc w:val="both"/>
            </w:pPr>
            <w:r>
              <w:rPr>
                <w:sz w:val="21"/>
              </w:rPr>
              <w:t>（</w:t>
            </w:r>
            <w:r>
              <w:rPr>
                <w:sz w:val="21"/>
              </w:rPr>
              <w:t>1）广东省佛山市目的地包干价。</w:t>
            </w:r>
          </w:p>
          <w:p>
            <w:pPr>
              <w:jc w:val="both"/>
            </w:pPr>
            <w:r>
              <w:rPr>
                <w:sz w:val="21"/>
              </w:rPr>
              <w:t>（</w:t>
            </w:r>
            <w:r>
              <w:rPr>
                <w:sz w:val="21"/>
              </w:rPr>
              <w:t>2）合同总额包括但不限于全部产品及零配件、运输装卸、安装调试、设备网络连接、培训、售后服务、人工、交通差旅、耗材、检测调试的设备仪器、更换设备服务费、工具、管理、利润风险、国家政府相关部门的税费及有关规定的费用、社保金等相关费用等合同实施过程中应预见和不可预见的全部费用。乙方必须自行考虑在本项目实施期间的一切可能产生的费用，在项目的实施过程中，甲方除了支付合同规定的款项外，一切合同规定外的费用将拒绝支付。</w:t>
            </w:r>
          </w:p>
          <w:p>
            <w:pPr>
              <w:jc w:val="both"/>
            </w:pPr>
            <w:r>
              <w:rPr>
                <w:sz w:val="21"/>
              </w:rPr>
              <w:t>（</w:t>
            </w:r>
            <w:r>
              <w:rPr>
                <w:sz w:val="21"/>
              </w:rPr>
              <w:t>3）价格为固定不变价，天数为公历日。</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交货及安装地点</w:t>
            </w:r>
          </w:p>
        </w:tc>
        <w:tc>
          <w:tcPr>
            <w:tcW w:type="dxa" w:w="5853"/>
            <w:tcBorders>
              <w:top w:val="none" w:color="000000" w:sz="4"/>
              <w:left w:val="none" w:color="000000" w:sz="4"/>
              <w:bottom w:val="single" w:color="000000" w:sz="4"/>
              <w:right w:val="single" w:color="000000" w:sz="4"/>
            </w:tcBorders>
            <w:vAlign w:val="top"/>
          </w:tcPr>
          <w:p>
            <w:pPr>
              <w:jc w:val="both"/>
            </w:pPr>
            <w:r>
              <w:rPr>
                <w:sz w:val="21"/>
              </w:rPr>
              <w:t>甲方（用户）指定地点（佛山市内）。详细地址为：</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项目完工期</w:t>
            </w:r>
          </w:p>
        </w:tc>
        <w:tc>
          <w:tcPr>
            <w:tcW w:type="dxa" w:w="5853"/>
            <w:tcBorders>
              <w:top w:val="none" w:color="000000" w:sz="4"/>
              <w:left w:val="none" w:color="000000" w:sz="4"/>
              <w:bottom w:val="single" w:color="000000" w:sz="4"/>
              <w:right w:val="single" w:color="000000" w:sz="4"/>
            </w:tcBorders>
            <w:vAlign w:val="top"/>
          </w:tcPr>
          <w:p>
            <w:pPr>
              <w:jc w:val="both"/>
            </w:pPr>
            <w:r>
              <w:rPr>
                <w:sz w:val="21"/>
              </w:rPr>
              <w:t>自合同签订之日起</w:t>
            </w:r>
            <w:r>
              <w:rPr>
                <w:sz w:val="21"/>
                <w:u w:val="single"/>
              </w:rPr>
              <w:t xml:space="preserve">       </w:t>
            </w:r>
            <w:r>
              <w:rPr>
                <w:sz w:val="21"/>
              </w:rPr>
              <w:t>日历天内完成供货、安装、调试及验收合格并交付使用。</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质保期及售后服务要求</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（一）所有设备质保期</w:t>
            </w:r>
            <w:r>
              <w:rPr>
                <w:sz w:val="19"/>
                <w:u w:val="single"/>
              </w:rPr>
              <w:t xml:space="preserve">       </w:t>
            </w:r>
            <w:r>
              <w:rPr>
                <w:sz w:val="21"/>
              </w:rPr>
              <w:t>年。质保期内</w:t>
            </w:r>
            <w:r>
              <w:rPr>
                <w:sz w:val="21"/>
              </w:rPr>
              <w:t>乙方</w:t>
            </w:r>
            <w:r>
              <w:rPr>
                <w:sz w:val="21"/>
              </w:rPr>
              <w:t>对所供货物实行包修、包换、包退、包维护保养，质保期内核心产品每个季度提供一次设备维护保养服务（如厂家的保养标准高于此，从其规定），每次保养后需提交维修保养工作报告，未按时提供视为违约。保养服务相关费用已包含在</w:t>
            </w:r>
            <w:r>
              <w:rPr>
                <w:sz w:val="21"/>
              </w:rPr>
              <w:t>合同金额</w:t>
            </w:r>
            <w:r>
              <w:rPr>
                <w:sz w:val="21"/>
              </w:rPr>
              <w:t>内。</w:t>
            </w:r>
          </w:p>
          <w:p>
            <w:pPr>
              <w:jc w:val="both"/>
            </w:pPr>
            <w:r>
              <w:rPr>
                <w:sz w:val="21"/>
              </w:rPr>
              <w:t>（二）质保期内非因</w:t>
            </w:r>
            <w:r>
              <w:rPr>
                <w:sz w:val="21"/>
              </w:rPr>
              <w:t>甲方</w:t>
            </w:r>
            <w:r>
              <w:rPr>
                <w:sz w:val="21"/>
              </w:rPr>
              <w:t>的人为原因而出现产品质量及安装问题，由</w:t>
            </w:r>
            <w:r>
              <w:rPr>
                <w:sz w:val="21"/>
              </w:rPr>
              <w:t>乙方</w:t>
            </w:r>
            <w:r>
              <w:rPr>
                <w:sz w:val="21"/>
              </w:rPr>
              <w:t>负责包修、包换或包退，并承担因此而产生的一切费用。</w:t>
            </w:r>
            <w:r>
              <w:rPr>
                <w:sz w:val="21"/>
              </w:rPr>
              <w:t>乙方</w:t>
            </w:r>
            <w:r>
              <w:rPr>
                <w:sz w:val="21"/>
              </w:rPr>
              <w:t>提供</w:t>
            </w:r>
            <w:r>
              <w:rPr>
                <w:sz w:val="21"/>
              </w:rPr>
              <w:t>7×24小时电话维护响应服务，应在收到</w:t>
            </w:r>
            <w:r>
              <w:rPr>
                <w:sz w:val="21"/>
              </w:rPr>
              <w:t>甲方</w:t>
            </w:r>
            <w:r>
              <w:rPr>
                <w:sz w:val="21"/>
              </w:rPr>
              <w:t>通知后</w:t>
            </w:r>
            <w:r>
              <w:rPr>
                <w:sz w:val="21"/>
              </w:rPr>
              <w:t>1小时响应，4小时内派员到现场维修（第二章 采购需求要求另有规定除外）, 并在48小时内消除障碍。质保期内，维修时间超过48小时，提供备用机或主要零配件；并按维修延误时间的1:5延长保修期。如停用时间累计超过60天则质保期重新计算。若</w:t>
            </w:r>
            <w:r>
              <w:rPr>
                <w:sz w:val="21"/>
              </w:rPr>
              <w:t>乙方</w:t>
            </w:r>
            <w:r>
              <w:rPr>
                <w:sz w:val="21"/>
              </w:rPr>
              <w:t>未能及时派员到现场维修，</w:t>
            </w:r>
            <w:r>
              <w:rPr>
                <w:sz w:val="21"/>
              </w:rPr>
              <w:t>乙方</w:t>
            </w:r>
            <w:r>
              <w:rPr>
                <w:sz w:val="21"/>
              </w:rPr>
              <w:t>应向</w:t>
            </w:r>
            <w:r>
              <w:rPr>
                <w:sz w:val="21"/>
              </w:rPr>
              <w:t>甲方</w:t>
            </w:r>
            <w:r>
              <w:rPr>
                <w:sz w:val="21"/>
              </w:rPr>
              <w:t>支付合同金额千分之五的违约金</w:t>
            </w:r>
            <w:r>
              <w:rPr>
                <w:sz w:val="21"/>
              </w:rPr>
              <w:t>/每次；若</w:t>
            </w:r>
            <w:r>
              <w:rPr>
                <w:sz w:val="21"/>
              </w:rPr>
              <w:t>乙方</w:t>
            </w:r>
            <w:r>
              <w:rPr>
                <w:sz w:val="21"/>
              </w:rPr>
              <w:t>未能在</w:t>
            </w:r>
            <w:r>
              <w:rPr>
                <w:sz w:val="21"/>
              </w:rPr>
              <w:t>48小时内消除障碍，</w:t>
            </w:r>
            <w:r>
              <w:rPr>
                <w:sz w:val="21"/>
              </w:rPr>
              <w:t>甲方</w:t>
            </w:r>
            <w:r>
              <w:rPr>
                <w:sz w:val="21"/>
              </w:rPr>
              <w:t>有权聘请第三方消除障碍，由此产生的费用由</w:t>
            </w:r>
            <w:r>
              <w:rPr>
                <w:sz w:val="21"/>
              </w:rPr>
              <w:t>乙方</w:t>
            </w:r>
            <w:r>
              <w:rPr>
                <w:sz w:val="21"/>
              </w:rPr>
              <w:t>承担。</w:t>
            </w:r>
          </w:p>
          <w:p>
            <w:pPr>
              <w:jc w:val="both"/>
            </w:pPr>
            <w:r>
              <w:rPr>
                <w:sz w:val="21"/>
              </w:rPr>
              <w:t>（三）保修期满后</w:t>
            </w:r>
            <w:r>
              <w:rPr>
                <w:sz w:val="21"/>
              </w:rPr>
              <w:t>乙方</w:t>
            </w:r>
            <w:r>
              <w:rPr>
                <w:sz w:val="21"/>
              </w:rPr>
              <w:t>对设备终身负责维修及系统软件免费升级，长期以优惠价提供零配件。质保期后对</w:t>
            </w:r>
            <w:r>
              <w:rPr>
                <w:sz w:val="21"/>
              </w:rPr>
              <w:t>甲方</w:t>
            </w:r>
            <w:r>
              <w:rPr>
                <w:sz w:val="21"/>
              </w:rPr>
              <w:t>的服务通知，</w:t>
            </w:r>
            <w:r>
              <w:rPr>
                <w:sz w:val="21"/>
              </w:rPr>
              <w:t>乙方</w:t>
            </w:r>
            <w:r>
              <w:rPr>
                <w:sz w:val="21"/>
              </w:rPr>
              <w:t>在接报后</w:t>
            </w:r>
            <w:r>
              <w:rPr>
                <w:sz w:val="21"/>
              </w:rPr>
              <w:t>1小时内响应，4小时内到达现场，48小时内处理完毕。若在48小时内仍未能有效解决，</w:t>
            </w:r>
            <w:r>
              <w:rPr>
                <w:sz w:val="21"/>
              </w:rPr>
              <w:t>乙方</w:t>
            </w:r>
            <w:r>
              <w:rPr>
                <w:sz w:val="21"/>
              </w:rPr>
              <w:t>须</w:t>
            </w:r>
            <w:r>
              <w:rPr>
                <w:sz w:val="21"/>
              </w:rPr>
              <w:t>48小时内提供同档次的设备或主要零配件予</w:t>
            </w:r>
            <w:r>
              <w:rPr>
                <w:sz w:val="21"/>
              </w:rPr>
              <w:t>甲方</w:t>
            </w:r>
            <w:r>
              <w:rPr>
                <w:sz w:val="21"/>
              </w:rPr>
              <w:t>临时使用。</w:t>
            </w:r>
          </w:p>
          <w:p>
            <w:pPr>
              <w:jc w:val="both"/>
            </w:pPr>
            <w:r>
              <w:rPr>
                <w:sz w:val="21"/>
              </w:rPr>
              <w:t>（四）因货物的质量问题发生争议时，由本地质量技术监督部门进行鉴定。货物符合质量技术标准的，鉴定费用由</w:t>
            </w:r>
            <w:r>
              <w:rPr>
                <w:sz w:val="21"/>
              </w:rPr>
              <w:t>甲方</w:t>
            </w:r>
            <w:r>
              <w:rPr>
                <w:sz w:val="21"/>
              </w:rPr>
              <w:t>承担；否则由</w:t>
            </w:r>
            <w:r>
              <w:rPr>
                <w:sz w:val="21"/>
              </w:rPr>
              <w:t>乙方</w:t>
            </w:r>
            <w:r>
              <w:rPr>
                <w:sz w:val="21"/>
              </w:rPr>
              <w:t>承担，且退货处理，按违约条例办理。</w:t>
            </w:r>
          </w:p>
          <w:p>
            <w:pPr>
              <w:jc w:val="both"/>
            </w:pPr>
            <w:r>
              <w:rPr>
                <w:sz w:val="21"/>
              </w:rPr>
              <w:t>（五）在质保期内，同一设备、出现相同或相似故障现象连续两次维修仍无法正常使用，无条件</w:t>
            </w:r>
            <w:r>
              <w:rPr>
                <w:sz w:val="21"/>
              </w:rPr>
              <w:t>48小时内更换同品牌、同型号新设备。</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w:t>
            </w:r>
            <w:r>
              <w:rPr>
                <w:sz w:val="21"/>
              </w:rPr>
              <w:t>签订合同后</w:t>
            </w:r>
            <w:r>
              <w:rPr>
                <w:sz w:val="21"/>
              </w:rPr>
              <w:t>5</w:t>
            </w:r>
            <w:r>
              <w:rPr>
                <w:sz w:val="21"/>
              </w:rPr>
              <w:t>个工作日内</w:t>
            </w:r>
            <w:r>
              <w:rPr>
                <w:sz w:val="21"/>
              </w:rPr>
              <w:t>，</w:t>
            </w:r>
            <w:r>
              <w:rPr>
                <w:sz w:val="21"/>
              </w:rPr>
              <w:t>甲方</w:t>
            </w:r>
            <w:r>
              <w:rPr>
                <w:sz w:val="21"/>
              </w:rPr>
              <w:t>向</w:t>
            </w:r>
            <w:r>
              <w:rPr>
                <w:sz w:val="21"/>
              </w:rPr>
              <w:t>乙方</w:t>
            </w:r>
            <w:r>
              <w:rPr>
                <w:sz w:val="21"/>
              </w:rPr>
              <w:t>支付合同总价的</w:t>
            </w:r>
            <w:r>
              <w:rPr>
                <w:sz w:val="21"/>
              </w:rPr>
              <w:t>30%。</w:t>
            </w:r>
          </w:p>
          <w:p>
            <w:pPr>
              <w:jc w:val="both"/>
            </w:pPr>
            <w:r>
              <w:rPr>
                <w:sz w:val="21"/>
              </w:rPr>
              <w:t>（</w:t>
            </w:r>
            <w:r>
              <w:rPr>
                <w:sz w:val="21"/>
              </w:rPr>
              <w:t>二</w:t>
            </w:r>
            <w:r>
              <w:rPr>
                <w:sz w:val="21"/>
              </w:rPr>
              <w:t>）设备到货安装结束后，向甲方提交全部报告材料、调试完成后，设备无故障正常使用一个月后验收，验收合格后乙方凭以下材料（包含但不限于）申请支付。甲方收到材料并确认后，</w:t>
            </w:r>
            <w:r>
              <w:rPr>
                <w:sz w:val="21"/>
              </w:rPr>
              <w:t>30日内向乙方支付至合同总额的</w:t>
            </w:r>
            <w:r>
              <w:rPr>
                <w:sz w:val="21"/>
              </w:rPr>
              <w:t>7</w:t>
            </w:r>
            <w:r>
              <w:rPr>
                <w:sz w:val="21"/>
              </w:rPr>
              <w:t>0%：</w:t>
            </w:r>
          </w:p>
          <w:p>
            <w:pPr>
              <w:jc w:val="both"/>
            </w:pPr>
            <w:r>
              <w:rPr>
                <w:sz w:val="21"/>
              </w:rPr>
              <w:t>1.甲方收货证明；</w:t>
            </w:r>
          </w:p>
          <w:p>
            <w:pPr>
              <w:jc w:val="both"/>
            </w:pPr>
            <w:r>
              <w:rPr>
                <w:sz w:val="21"/>
              </w:rPr>
              <w:t>2.乙方开具的正式发票；</w:t>
            </w:r>
          </w:p>
          <w:p>
            <w:pPr>
              <w:jc w:val="both"/>
            </w:pPr>
            <w:r>
              <w:rPr>
                <w:sz w:val="21"/>
              </w:rPr>
              <w:t>3.调试验收使用意见（加盖甲方验收部门章）。</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（一）结算方式：转账结算（银行转账）。</w:t>
            </w:r>
          </w:p>
          <w:p>
            <w:pPr>
              <w:jc w:val="both"/>
            </w:pPr>
            <w:r>
              <w:rPr>
                <w:sz w:val="21"/>
              </w:rPr>
              <w:t>（二）开具发票：乙方收款时必须持有效发票。收款方、出具发票方、合同乙方均必须与中标人名称一致。</w:t>
            </w:r>
          </w:p>
          <w:p>
            <w:pPr>
              <w:jc w:val="left"/>
            </w:pPr>
            <w:r>
              <w:rPr>
                <w:sz w:val="21"/>
              </w:rPr>
              <w:t>（三）付款期间如因特殊情况需调整，由双方协商处理。</w:t>
            </w:r>
          </w:p>
        </w:tc>
      </w:tr>
    </w:tbl>
    <w:p>
      <w:pPr>
        <w:jc w:val="both"/>
      </w:pPr>
      <w:r>
        <w:rPr>
          <w:b/>
          <w:sz w:val="21"/>
        </w:rPr>
        <w:t>三、验收要求</w:t>
      </w:r>
    </w:p>
    <w:p>
      <w:pPr>
        <w:jc w:val="both"/>
      </w:pPr>
      <w:r>
        <w:rPr>
          <w:sz w:val="21"/>
        </w:rPr>
        <w:t>（一）货物若有国家标准按照国家标准验收，若无国家标准按行业标准验收，为原制造商制造的全新产品，整机无污染，无侵权行为、表面无划损、无任何缺陷隐患，在中国境内可依常规安全合法使用。</w:t>
      </w:r>
    </w:p>
    <w:p>
      <w:pPr>
        <w:jc w:val="both"/>
      </w:pPr>
      <w:r>
        <w:rPr>
          <w:sz w:val="21"/>
        </w:rPr>
        <w:t>（二）货物为原厂商未启封全新包装，具出厂合格证，序列号、包装箱号与出厂批号一致，并可追索查阅。所有随设备的附件必须齐全。</w:t>
      </w:r>
    </w:p>
    <w:p>
      <w:pPr>
        <w:jc w:val="both"/>
      </w:pPr>
      <w:r>
        <w:rPr>
          <w:sz w:val="21"/>
        </w:rPr>
        <w:t>（三）乙方应将关键主机设备的用户手册、保修手册、有关单证资料及配备件、随机工具等交付给甲方，使用操作及安全须知等重要资料应附有中文说明。</w:t>
      </w:r>
    </w:p>
    <w:p>
      <w:pPr>
        <w:jc w:val="both"/>
      </w:pPr>
      <w:r>
        <w:rPr>
          <w:sz w:val="21"/>
        </w:rPr>
        <w:t>（四）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p>
      <w:pPr>
        <w:jc w:val="both"/>
      </w:pPr>
      <w:r>
        <w:rPr>
          <w:sz w:val="21"/>
        </w:rPr>
        <w:t>（</w:t>
      </w:r>
      <w:r>
        <w:rPr>
          <w:sz w:val="21"/>
        </w:rPr>
        <w:t>五</w:t>
      </w:r>
      <w:r>
        <w:rPr>
          <w:sz w:val="21"/>
        </w:rPr>
        <w:t>）如所投设备属于《中华人民共和国强制检定的工作计量器具目录》内的，验收时乙方需提供合法正规的计量合格证，否则验收不合格。</w:t>
      </w:r>
    </w:p>
    <w:p>
      <w:pPr>
        <w:jc w:val="both"/>
      </w:pPr>
      <w:r>
        <w:rPr>
          <w:b/>
          <w:sz w:val="21"/>
        </w:rPr>
        <w:t>四、其他要求</w:t>
      </w:r>
    </w:p>
    <w:p>
      <w:pPr>
        <w:ind w:firstLine="420"/>
        <w:jc w:val="both"/>
      </w:pPr>
      <w:r>
        <w:rPr>
          <w:sz w:val="21"/>
        </w:rPr>
        <w:t>本项目为</w:t>
      </w:r>
      <w:r>
        <w:rPr>
          <w:sz w:val="21"/>
        </w:rPr>
        <w:t>“交钥匙”项目，乙方须承担及负责《招标文件》对乙方要求的一切事宜及责任。包含但不限于项目货物供货、运输装卸、保管、安装、调试、设备网络连接、送检、验收、培训、相关的税费、相关服务及合同实施过程中的应预见和不可预见等费用。若本项目采购的设备产品等方面的配置或要求中出现不合理或设备数量不完整的问题时，乙方有责任和义务在投标文件中提出补充修改方案并征得甲方同意后付诸实施。否则将视为提供实现相关功能的设备及服务的相关费用已包含在</w:t>
      </w:r>
      <w:r>
        <w:rPr>
          <w:sz w:val="21"/>
        </w:rPr>
        <w:t>合同金额</w:t>
      </w:r>
      <w:r>
        <w:rPr>
          <w:sz w:val="21"/>
        </w:rPr>
        <w:t>内，以达到本采购项目相关要求。</w:t>
      </w:r>
    </w:p>
    <w:p>
      <w:pPr>
        <w:jc w:val="both"/>
      </w:pPr>
      <w:r>
        <w:rPr>
          <w:b/>
          <w:sz w:val="21"/>
        </w:rPr>
        <w:t>五</w:t>
      </w:r>
      <w:r>
        <w:rPr>
          <w:b/>
          <w:sz w:val="21"/>
        </w:rPr>
        <w:t>、供货要求</w:t>
      </w:r>
    </w:p>
    <w:p>
      <w:pPr>
        <w:jc w:val="both"/>
      </w:pPr>
      <w:r>
        <w:rPr>
          <w:sz w:val="21"/>
        </w:rPr>
        <w:t>（一）所有产品来源均应符合有关规定，产品来源渠道合法。</w:t>
      </w:r>
    </w:p>
    <w:p>
      <w:pPr>
        <w:jc w:val="both"/>
      </w:pPr>
      <w:r>
        <w:rPr>
          <w:sz w:val="21"/>
        </w:rPr>
        <w:t>（二）乙方必须负责将所有设备运送至甲方指定的地点。</w:t>
      </w:r>
    </w:p>
    <w:p>
      <w:pPr>
        <w:jc w:val="both"/>
      </w:pPr>
      <w:r>
        <w:rPr>
          <w:sz w:val="21"/>
        </w:rPr>
        <w:t>（三）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r>
        <w:rPr>
          <w:sz w:val="21"/>
        </w:rPr>
        <w:t>（四）设备材料的包装必须是制造商原厂包装，其包装均应有良好的防湿、防锈、防潮、防雨、防腐及防碰撞的措施，凡由于包装不良造成的损失和由此产生的费用均由乙方承担。</w:t>
      </w:r>
    </w:p>
    <w:p>
      <w:pPr>
        <w:jc w:val="both"/>
      </w:pPr>
      <w:r>
        <w:rPr>
          <w:sz w:val="21"/>
        </w:rPr>
        <w:t>（五）货物在现场的保管由乙方负责，直至项目安装、验收完毕。</w:t>
      </w:r>
      <w:r>
        <w:rPr>
          <w:sz w:val="21"/>
        </w:rPr>
        <w:t>（六）货物在系统安装调试验收合格前的一切保险由乙方负责。乙方负责其派出的现场服务人员人身意外保险。</w:t>
      </w:r>
    </w:p>
    <w:p>
      <w:pPr>
        <w:jc w:val="both"/>
      </w:pPr>
      <w:r>
        <w:rPr>
          <w:sz w:val="21"/>
        </w:rPr>
        <w:t>（七）乙方投标时所提供的货物如在实际供货时已经停产（不列入该厂家当时的产品系统），如果未能按原报价提供更技术参数及质量优的货物，甲方将有权单方面终止合同的执行，并追究因乙方所提供的未达到所承诺的产品而产生的所有损失和责任。</w:t>
      </w:r>
    </w:p>
    <w:p>
      <w:pPr>
        <w:jc w:val="both"/>
      </w:pPr>
      <w:r>
        <w:rPr>
          <w:sz w:val="21"/>
        </w:rPr>
        <w:t>（八）乙方在实际供货时，若被发现提供的货物未能达到招标文件和投标文件中的有关要求，将按有关法规进行处罚，甲方将有权单方面终止合同的执行，并追究因乙方所提供的未达到所承诺的产品而产生的所有损失和责任。</w:t>
      </w:r>
    </w:p>
    <w:p>
      <w:pPr>
        <w:jc w:val="both"/>
      </w:pPr>
      <w:r>
        <w:rPr>
          <w:sz w:val="21"/>
        </w:rPr>
        <w:t>（九）乙方负责将货物运到甲方的使用现场（整个运输过程包括但不限于装卸车、货物到现场的搬运费用）。</w:t>
      </w:r>
    </w:p>
    <w:p>
      <w:pPr>
        <w:jc w:val="both"/>
      </w:pPr>
      <w:r>
        <w:rPr>
          <w:sz w:val="21"/>
        </w:rPr>
        <w:t>（十）所有货物在开箱检验时必须完好，无破损，各种设备必须提供装箱清单，按装箱清单验收货物。货物外观清洁。数量、质量及性能不低于乙方投标文件中所投产品设备的数量和性能。</w:t>
      </w:r>
    </w:p>
    <w:p>
      <w:pPr>
        <w:jc w:val="both"/>
      </w:pPr>
      <w:r>
        <w:rPr>
          <w:sz w:val="21"/>
        </w:rPr>
        <w:t>（十一）如乙方所投产品为第二类医疗器械，须在签订合同前向甲方提供有效的医疗器械经营备案凭证复印件。</w:t>
      </w:r>
    </w:p>
    <w:p>
      <w:pPr>
        <w:jc w:val="both"/>
      </w:pPr>
      <w:r>
        <w:rPr>
          <w:b/>
          <w:sz w:val="21"/>
        </w:rPr>
        <w:t>六</w:t>
      </w:r>
      <w:r>
        <w:rPr>
          <w:b/>
          <w:sz w:val="21"/>
        </w:rPr>
        <w:t>、培训要求</w:t>
      </w:r>
    </w:p>
    <w:p>
      <w:pPr>
        <w:jc w:val="both"/>
      </w:pPr>
      <w:r>
        <w:rPr>
          <w:sz w:val="21"/>
        </w:rPr>
        <w:t>（一）乙方须根据甲方的要求安排熟悉本项目的专业技术人员在甲方指定的使用科室（甲方办公地点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（三）所有的培训费用包含乙方的差旅、食宿、教材、资料等由乙方负责，均包含在合同金额中。</w:t>
      </w:r>
    </w:p>
    <w:p>
      <w:pPr>
        <w:jc w:val="both"/>
      </w:pPr>
      <w:r>
        <w:rPr>
          <w:b/>
          <w:sz w:val="21"/>
        </w:rPr>
        <w:t>七</w:t>
      </w:r>
      <w:r>
        <w:rPr>
          <w:b/>
          <w:sz w:val="21"/>
        </w:rPr>
        <w:t>、安装</w:t>
      </w:r>
      <w:r>
        <w:rPr>
          <w:b/>
          <w:sz w:val="21"/>
        </w:rPr>
        <w:t>与</w:t>
      </w:r>
      <w:r>
        <w:rPr>
          <w:b/>
          <w:sz w:val="21"/>
        </w:rPr>
        <w:t>调试</w:t>
      </w:r>
    </w:p>
    <w:p>
      <w:pPr>
        <w:jc w:val="both"/>
      </w:pPr>
      <w:r>
        <w:rPr>
          <w:sz w:val="21"/>
        </w:rPr>
        <w:t>（一）乙方必须依照招标文件的要求和投标文件的承诺，将设备、系统安装并调试至正常运行的最佳状态。</w:t>
      </w:r>
    </w:p>
    <w:p>
      <w:pPr>
        <w:jc w:val="both"/>
      </w:pPr>
      <w:r>
        <w:rPr>
          <w:sz w:val="21"/>
        </w:rPr>
        <w:t>（二）</w:t>
      </w:r>
      <w:r>
        <w:rPr>
          <w:sz w:val="21"/>
        </w:rPr>
        <w:t>签订合同时中标人必须提供所有设备的医疗设备注册证，中标人若为代理经销商的，须提供有效的授权证明资料，或提供连贯的产品合法性来源证明资料。</w:t>
      </w:r>
    </w:p>
    <w:p>
      <w:pPr>
        <w:jc w:val="both"/>
      </w:pPr>
      <w:r>
        <w:rPr>
          <w:b/>
          <w:sz w:val="21"/>
        </w:rPr>
        <w:t>八</w:t>
      </w:r>
      <w:r>
        <w:rPr>
          <w:b/>
          <w:sz w:val="21"/>
        </w:rPr>
        <w:t>、违约条款与赔偿损失</w:t>
      </w:r>
    </w:p>
    <w:p>
      <w:pPr>
        <w:jc w:val="both"/>
      </w:pPr>
      <w:r>
        <w:rPr>
          <w:sz w:val="21"/>
        </w:rPr>
        <w:t>（一）乙方交付的货物、提供的服务不符合采购文件、报价文件或本合同规定的，甲方有权拒收，并且乙方须向甲方支付本合同总价</w:t>
      </w:r>
      <w:r>
        <w:rPr>
          <w:sz w:val="21"/>
        </w:rPr>
        <w:t>5%的违约金。</w:t>
      </w:r>
    </w:p>
    <w:p>
      <w:pPr>
        <w:jc w:val="both"/>
      </w:pPr>
      <w:r>
        <w:rPr>
          <w:sz w:val="21"/>
        </w:rPr>
        <w:t>（二）乙方未能按本合同规定的交货时间交付货物</w:t>
      </w:r>
      <w:r>
        <w:rPr>
          <w:sz w:val="21"/>
        </w:rPr>
        <w:t>/提供服务，从逾期之日起每日按本合同总价3‰的数额向甲方支付违约金；逾期半个月以上的，甲方有权终止合同，由此造成的甲方经济损失由乙方承担。</w:t>
      </w:r>
    </w:p>
    <w:p>
      <w:pPr>
        <w:jc w:val="both"/>
      </w:pPr>
      <w:r>
        <w:rPr>
          <w:sz w:val="21"/>
        </w:rPr>
        <w:t>（三）甲方无正当理由拒收货物</w:t>
      </w:r>
      <w:r>
        <w:rPr>
          <w:sz w:val="21"/>
        </w:rPr>
        <w:t>/接受服务，到期拒付货物/服务款项的，甲方向乙方偿付本合同总价5%的违约金。甲方逾期付款的，则每日按本合同总价的3‰向乙方偿付违约金。</w:t>
      </w:r>
    </w:p>
    <w:p>
      <w:pPr>
        <w:jc w:val="both"/>
      </w:pPr>
      <w:r>
        <w:rPr>
          <w:sz w:val="21"/>
        </w:rPr>
        <w:t>（四）其它违约责任按《中华人民共和国民法典》处理。</w:t>
      </w:r>
    </w:p>
    <w:p>
      <w:pPr>
        <w:jc w:val="both"/>
      </w:pPr>
      <w:r>
        <w:rPr>
          <w:b/>
          <w:sz w:val="21"/>
        </w:rPr>
        <w:t>九</w:t>
      </w:r>
      <w:r>
        <w:rPr>
          <w:b/>
          <w:sz w:val="21"/>
        </w:rPr>
        <w:t>、知识产权</w:t>
      </w:r>
    </w:p>
    <w:p>
      <w:pPr>
        <w:jc w:val="left"/>
      </w:pPr>
      <w:r>
        <w:rPr>
          <w:sz w:val="21"/>
        </w:rPr>
        <w:t>（一）</w:t>
      </w:r>
      <w:r>
        <w:rPr>
          <w:sz w:val="21"/>
        </w:rPr>
        <w:t>乙方</w:t>
      </w:r>
      <w:r>
        <w:rPr>
          <w:sz w:val="21"/>
        </w:rPr>
        <w:t>应保证向</w:t>
      </w:r>
      <w:r>
        <w:rPr>
          <w:sz w:val="21"/>
        </w:rPr>
        <w:t>甲方</w:t>
      </w:r>
      <w:r>
        <w:rPr>
          <w:sz w:val="21"/>
        </w:rPr>
        <w:t>销售的本采购合同项下的货物或其任何部分不侵犯任何第三方知识产权，并保证</w:t>
      </w:r>
      <w:r>
        <w:rPr>
          <w:sz w:val="21"/>
        </w:rPr>
        <w:t>甲方</w:t>
      </w:r>
      <w:r>
        <w:rPr>
          <w:sz w:val="21"/>
        </w:rPr>
        <w:t>购买和正常使用货物过程中免受第三方就知识产权侵权提出的任何纠纷、制裁、索赔或起诉。</w:t>
      </w:r>
    </w:p>
    <w:p>
      <w:pPr>
        <w:jc w:val="left"/>
      </w:pPr>
      <w:r>
        <w:rPr>
          <w:sz w:val="21"/>
        </w:rPr>
        <w:t>（二）</w:t>
      </w:r>
      <w:r>
        <w:rPr>
          <w:sz w:val="21"/>
        </w:rPr>
        <w:t>甲方</w:t>
      </w:r>
      <w:r>
        <w:rPr>
          <w:sz w:val="21"/>
        </w:rPr>
        <w:t>不对</w:t>
      </w:r>
      <w:r>
        <w:rPr>
          <w:sz w:val="21"/>
        </w:rPr>
        <w:t>乙方</w:t>
      </w:r>
      <w:r>
        <w:rPr>
          <w:sz w:val="21"/>
        </w:rPr>
        <w:t>提供的货物是否侵犯他人权利负责，如因</w:t>
      </w:r>
      <w:r>
        <w:rPr>
          <w:sz w:val="21"/>
        </w:rPr>
        <w:t>乙方</w:t>
      </w:r>
      <w:r>
        <w:rPr>
          <w:sz w:val="21"/>
        </w:rPr>
        <w:t>提供的货物因任何知识产权问题给</w:t>
      </w:r>
      <w:r>
        <w:rPr>
          <w:sz w:val="21"/>
        </w:rPr>
        <w:t>甲方</w:t>
      </w:r>
      <w:r>
        <w:rPr>
          <w:sz w:val="21"/>
        </w:rPr>
        <w:t>造成损失的，无论是执行合同期间或合同到期后的任何时间，</w:t>
      </w:r>
      <w:r>
        <w:rPr>
          <w:sz w:val="21"/>
        </w:rPr>
        <w:t>乙方</w:t>
      </w:r>
      <w:r>
        <w:rPr>
          <w:sz w:val="21"/>
        </w:rPr>
        <w:t>均应负责解决纠纷</w:t>
      </w:r>
      <w:r>
        <w:rPr>
          <w:sz w:val="21"/>
        </w:rPr>
        <w:t>,</w:t>
      </w:r>
      <w:r>
        <w:rPr>
          <w:sz w:val="21"/>
        </w:rPr>
        <w:t>并按</w:t>
      </w:r>
      <w:r>
        <w:rPr>
          <w:sz w:val="21"/>
        </w:rPr>
        <w:t>甲方</w:t>
      </w:r>
      <w:r>
        <w:rPr>
          <w:sz w:val="21"/>
        </w:rPr>
        <w:t>损失金额的</w:t>
      </w:r>
      <w:r>
        <w:rPr>
          <w:sz w:val="21"/>
        </w:rPr>
        <w:t>1.5</w:t>
      </w:r>
      <w:r>
        <w:rPr>
          <w:sz w:val="21"/>
        </w:rPr>
        <w:t>倍进行赔偿。</w:t>
      </w:r>
    </w:p>
    <w:p>
      <w:pPr>
        <w:jc w:val="both"/>
      </w:pPr>
      <w:r>
        <w:rPr>
          <w:sz w:val="21"/>
        </w:rPr>
        <w:t>（三）对于货物的知识产权非</w:t>
      </w:r>
      <w:r>
        <w:rPr>
          <w:sz w:val="21"/>
        </w:rPr>
        <w:t>乙方</w:t>
      </w:r>
      <w:r>
        <w:rPr>
          <w:sz w:val="21"/>
        </w:rPr>
        <w:t>所有的，</w:t>
      </w:r>
      <w:r>
        <w:rPr>
          <w:sz w:val="21"/>
        </w:rPr>
        <w:t>乙方</w:t>
      </w:r>
      <w:r>
        <w:rPr>
          <w:sz w:val="21"/>
        </w:rPr>
        <w:t>应向</w:t>
      </w:r>
      <w:r>
        <w:rPr>
          <w:sz w:val="21"/>
        </w:rPr>
        <w:t>甲方</w:t>
      </w:r>
      <w:r>
        <w:rPr>
          <w:sz w:val="21"/>
        </w:rPr>
        <w:t>提供货物的正规销售授权文件。</w:t>
      </w:r>
    </w:p>
    <w:p>
      <w:pPr>
        <w:jc w:val="both"/>
      </w:pPr>
      <w:r>
        <w:rPr>
          <w:b/>
          <w:sz w:val="21"/>
        </w:rPr>
        <w:t>十、</w:t>
      </w:r>
      <w:r>
        <w:rPr>
          <w:b/>
          <w:sz w:val="21"/>
        </w:rPr>
        <w:t>提出异议的时间和方法：</w:t>
      </w:r>
    </w:p>
    <w:p>
      <w:pPr>
        <w:jc w:val="both"/>
      </w:pPr>
      <w:r>
        <w:rPr>
          <w:sz w:val="21"/>
        </w:rPr>
        <w:t>1.甲方在验收后</w:t>
      </w:r>
      <w:r>
        <w:rPr>
          <w:sz w:val="21"/>
          <w:u w:val="single"/>
        </w:rPr>
        <w:t>7</w:t>
      </w:r>
      <w:r>
        <w:rPr>
          <w:sz w:val="21"/>
        </w:rPr>
        <w:t>天内如对货物的型号、规格、质量有异议时，应在妥善保管货物的同时，即向乙方提出书面异议。</w:t>
      </w:r>
    </w:p>
    <w:p>
      <w:pPr>
        <w:jc w:val="both"/>
      </w:pPr>
      <w:r>
        <w:rPr>
          <w:sz w:val="21"/>
        </w:rPr>
        <w:t>2.乙方在接到甲方书面异议后，应在3天内负责处理并函复甲方处理情况，否则，即视为默认甲方提出的异议和处理意见。</w:t>
      </w:r>
    </w:p>
    <w:p>
      <w:pPr>
        <w:jc w:val="both"/>
      </w:pPr>
      <w:r>
        <w:rPr>
          <w:sz w:val="21"/>
        </w:rPr>
        <w:t>3.甲方因违章操作、保管、保养不善等人为造成货物损毁，所提出的异议乙方有权不予接受。</w:t>
      </w:r>
    </w:p>
    <w:p>
      <w:pPr>
        <w:jc w:val="both"/>
      </w:pPr>
      <w:r>
        <w:rPr>
          <w:sz w:val="21"/>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jc w:val="both"/>
      </w:pPr>
      <w:r>
        <w:rPr>
          <w:b/>
          <w:sz w:val="21"/>
        </w:rPr>
        <w:t>十</w:t>
      </w:r>
      <w:r>
        <w:rPr>
          <w:b/>
          <w:sz w:val="21"/>
        </w:rPr>
        <w:t>一</w:t>
      </w:r>
      <w:r>
        <w:rPr>
          <w:b/>
          <w:sz w:val="21"/>
        </w:rPr>
        <w:t>、争议的解决：</w:t>
      </w:r>
    </w:p>
    <w:p>
      <w:pPr>
        <w:jc w:val="both"/>
      </w:pPr>
      <w:r>
        <w:rPr>
          <w:sz w:val="21"/>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且退货处理，按违约条例办理。</w:t>
      </w:r>
    </w:p>
    <w:p>
      <w:pPr>
        <w:jc w:val="both"/>
      </w:pPr>
      <w:r>
        <w:rPr>
          <w:sz w:val="21"/>
        </w:rPr>
        <w:t>2.法院审理期间，除提交法院审理的事项外，其它无争议的事项和条款仍应继续履行。</w:t>
      </w:r>
    </w:p>
    <w:p>
      <w:pPr>
        <w:jc w:val="both"/>
      </w:pPr>
      <w:r>
        <w:rPr>
          <w:b/>
          <w:sz w:val="21"/>
        </w:rPr>
        <w:t>十</w:t>
      </w:r>
      <w:r>
        <w:rPr>
          <w:b/>
          <w:sz w:val="21"/>
        </w:rPr>
        <w:t>二</w:t>
      </w:r>
      <w:r>
        <w:rPr>
          <w:b/>
          <w:sz w:val="21"/>
        </w:rPr>
        <w:t>、不可抗力：</w:t>
      </w:r>
    </w:p>
    <w:p>
      <w:pPr>
        <w:ind w:firstLine="48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三</w:t>
      </w:r>
      <w:r>
        <w:rPr>
          <w:b/>
          <w:sz w:val="21"/>
        </w:rPr>
        <w:t>、税费：</w:t>
      </w:r>
    </w:p>
    <w:p>
      <w:pPr>
        <w:jc w:val="both"/>
      </w:pPr>
      <w:r>
        <w:rPr>
          <w:sz w:val="21"/>
        </w:rPr>
        <w:t>1.本合同实施过程中所发生的一切税费及不可预见费均由乙方承担。</w:t>
      </w:r>
    </w:p>
    <w:p>
      <w:pPr>
        <w:jc w:val="both"/>
      </w:pPr>
      <w:r>
        <w:rPr>
          <w:sz w:val="21"/>
        </w:rPr>
        <w:t>2.乙方依照税务规章优先在合同履约地开具发票及纳税，咨询：0757-12366。</w:t>
      </w:r>
    </w:p>
    <w:p>
      <w:pPr>
        <w:jc w:val="both"/>
      </w:pPr>
      <w:r>
        <w:rPr>
          <w:b/>
          <w:sz w:val="21"/>
        </w:rPr>
        <w:t>十</w:t>
      </w:r>
      <w:r>
        <w:rPr>
          <w:b/>
          <w:sz w:val="21"/>
        </w:rPr>
        <w:t>四</w:t>
      </w:r>
      <w:r>
        <w:rPr>
          <w:b/>
          <w:sz w:val="21"/>
        </w:rPr>
        <w:t>、合同生效与合同备案：</w:t>
      </w:r>
    </w:p>
    <w:p>
      <w:pPr>
        <w:jc w:val="both"/>
      </w:pPr>
      <w:r>
        <w:rPr>
          <w:sz w:val="21"/>
        </w:rPr>
        <w:t>1.本合同在甲乙双方法人代表或其授权代表签字盖章后生效。</w:t>
      </w:r>
    </w:p>
    <w:p>
      <w:pPr>
        <w:jc w:val="both"/>
      </w:pPr>
      <w:r>
        <w:rPr>
          <w:sz w:val="21"/>
        </w:rPr>
        <w:t>2.自采购合同签订之日起2个工作日内，由甲方按照有关规定将采购合同副本报同级人民政府财政部门（政府采购管理部门）备案。</w:t>
      </w:r>
    </w:p>
    <w:p>
      <w:pPr>
        <w:jc w:val="both"/>
      </w:pPr>
      <w:r>
        <w:rPr>
          <w:b/>
          <w:sz w:val="21"/>
        </w:rPr>
        <w:t>十</w:t>
      </w:r>
      <w:r>
        <w:rPr>
          <w:b/>
          <w:sz w:val="21"/>
        </w:rPr>
        <w:t>五</w:t>
      </w:r>
      <w:r>
        <w:rPr>
          <w:b/>
          <w:sz w:val="21"/>
        </w:rPr>
        <w:t>、乙方应提供的资料内容：</w:t>
      </w:r>
    </w:p>
    <w:p>
      <w:pPr>
        <w:jc w:val="both"/>
      </w:pPr>
      <w:r>
        <w:rPr>
          <w:sz w:val="21"/>
        </w:rPr>
        <w:t>1.中国境内制造的产品必须提供出厂合格证，并提供甲方名下终端客户保修注册资料。</w:t>
      </w:r>
    </w:p>
    <w:p>
      <w:pPr>
        <w:jc w:val="both"/>
      </w:pPr>
      <w:r>
        <w:rPr>
          <w:sz w:val="21"/>
        </w:rPr>
        <w:t>2.关键产品/主机设备的用户手册、保修手册、有关单证资料及配备件、随机工具等，使用操作及安全须知等重要资料应附有中文说明。</w:t>
      </w:r>
    </w:p>
    <w:p>
      <w:pPr>
        <w:jc w:val="both"/>
      </w:pPr>
      <w:r>
        <w:rPr>
          <w:b/>
          <w:sz w:val="21"/>
        </w:rPr>
        <w:t>十</w:t>
      </w:r>
      <w:r>
        <w:rPr>
          <w:b/>
          <w:sz w:val="21"/>
        </w:rPr>
        <w:t>六</w:t>
      </w:r>
      <w:r>
        <w:rPr>
          <w:b/>
          <w:sz w:val="21"/>
        </w:rPr>
        <w:t>、关于政府采购合同融资</w:t>
      </w:r>
    </w:p>
    <w:p>
      <w:pPr>
        <w:jc w:val="both"/>
      </w:pPr>
      <w:r>
        <w:rPr>
          <w:sz w:val="21"/>
        </w:rPr>
        <w:t>1.乙方是否已申请政府采购合同融资：</w:t>
      </w:r>
      <w:r>
        <w:rPr>
          <w:sz w:val="21"/>
          <w:u w:val="single"/>
        </w:rPr>
        <w:t xml:space="preserve">  </w:t>
      </w:r>
      <w:r>
        <w:rPr>
          <w:sz w:val="21"/>
          <w:u w:val="single"/>
        </w:rPr>
        <w:t>是</w:t>
      </w:r>
      <w:r>
        <w:rPr>
          <w:sz w:val="21"/>
          <w:u w:val="single"/>
        </w:rPr>
        <w:t xml:space="preserve">/否  </w:t>
      </w:r>
      <w:r>
        <w:rPr>
          <w:sz w:val="21"/>
        </w:rPr>
        <w:t>；</w:t>
      </w:r>
    </w:p>
    <w:p>
      <w:pPr>
        <w:jc w:val="both"/>
      </w:pPr>
      <w:r>
        <w:rPr>
          <w:sz w:val="21"/>
        </w:rPr>
        <w:t>融资银行及联系方式：</w:t>
      </w:r>
      <w:r>
        <w:rPr>
          <w:sz w:val="21"/>
          <w:u w:val="single"/>
        </w:rPr>
        <w:t xml:space="preserve">                                            </w:t>
      </w:r>
      <w:r>
        <w:rPr>
          <w:sz w:val="21"/>
        </w:rPr>
        <w:t>。</w:t>
      </w:r>
    </w:p>
    <w:p>
      <w:pPr>
        <w:jc w:val="both"/>
      </w:pPr>
      <w:r>
        <w:rPr>
          <w:sz w:val="21"/>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jc w:val="both"/>
      </w:pPr>
      <w:r>
        <w:rPr>
          <w:b/>
          <w:sz w:val="21"/>
        </w:rPr>
        <w:t>十</w:t>
      </w:r>
      <w:r>
        <w:rPr>
          <w:b/>
          <w:sz w:val="21"/>
        </w:rPr>
        <w:t>七</w:t>
      </w:r>
      <w:r>
        <w:rPr>
          <w:b/>
          <w:sz w:val="21"/>
        </w:rPr>
        <w:t>、其它：</w:t>
      </w:r>
    </w:p>
    <w:p>
      <w:pPr>
        <w:jc w:val="both"/>
      </w:pPr>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2.如一方（包括联系人）地址、电话、传真号码有变更，应在变更后3个工作日内书面通知对方联系人或负责人，否则，因此造成的损失由未履行通知义务方承担相应责任。</w:t>
      </w:r>
    </w:p>
    <w:p>
      <w:pPr>
        <w:jc w:val="both"/>
      </w:pPr>
      <w:r>
        <w:rPr>
          <w:sz w:val="21"/>
        </w:rPr>
        <w:t>3.未经甲方书面同意，乙方不得擅自向第三方转让其主体性和关键性合同义务。</w:t>
      </w:r>
    </w:p>
    <w:p>
      <w:pPr>
        <w:jc w:val="both"/>
      </w:pPr>
      <w:r>
        <w:rPr>
          <w:sz w:val="21"/>
        </w:rPr>
        <w:t>4.本合同一式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jc w:val="both"/>
      </w:pPr>
      <w:r>
        <w:rPr>
          <w:sz w:val="21"/>
        </w:rPr>
        <w:t>5.本合同（含附件）共计</w:t>
      </w:r>
      <w:r>
        <w:rPr>
          <w:sz w:val="21"/>
          <w:u w:val="single"/>
        </w:rPr>
        <w:t xml:space="preserve">     </w:t>
      </w:r>
      <w:r>
        <w:rPr>
          <w:sz w:val="21"/>
        </w:rPr>
        <w:t>页</w:t>
      </w:r>
      <w:r>
        <w:rPr>
          <w:sz w:val="21"/>
        </w:rPr>
        <w:t>A4纸张，缺页之合同为无效合同。</w:t>
      </w:r>
    </w:p>
    <w:p>
      <w:pPr>
        <w:jc w:val="both"/>
      </w:pPr>
      <w:r>
        <w:rPr>
          <w:sz w:val="21"/>
        </w:rPr>
        <w:t>6.本合同签约履约地点：广东省佛山市。</w:t>
      </w:r>
    </w:p>
    <w:p>
      <w:pPr>
        <w:jc w:val="both"/>
      </w:pPr>
      <w:r>
        <w:rPr>
          <w:sz w:val="21"/>
        </w:rPr>
        <w:t>7.本合同所指“书面通知”包括但不限于短信、电子邮件等数据电文的通知形式，到达时间以民事诉讼法的规定为准，但进行书面通知前后，通知方均有义务电话确认通知事项。</w:t>
      </w:r>
    </w:p>
    <w:p>
      <w:pPr>
        <w:jc w:val="both"/>
      </w:pPr>
      <w:r>
        <w:rPr>
          <w:sz w:val="21"/>
        </w:rPr>
        <w:t>8.双方均已对以上各条款及附件作充分了解，并明确理解由此而产生的相关权责。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10"/>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96"/>
            <w:tcBorders>
              <w:top w:val="none" w:color="000000" w:sz="4"/>
              <w:left w:val="none" w:color="000000" w:sz="4"/>
              <w:bottom w:val="single" w:color="FFFFFF" w:sz="4"/>
              <w:right w:val="dashed" w:color="000000" w:sz="4"/>
            </w:tcBorders>
            <w:vAlign w:val="top"/>
          </w:tcPr>
          <w:p>
            <w:pPr>
              <w:jc w:val="both"/>
            </w:pPr>
          </w:p>
          <w:p>
            <w:pPr>
              <w:jc w:val="both"/>
            </w:pPr>
            <w:r>
              <w:rPr>
                <w:b/>
                <w:sz w:val="21"/>
              </w:rPr>
              <w:t>鉴证单位（盖章）：广东中采招标有限公司</w:t>
            </w:r>
          </w:p>
          <w:p>
            <w:pPr>
              <w:jc w:val="both"/>
            </w:pPr>
            <w:r>
              <w:rPr>
                <w:b/>
                <w:sz w:val="21"/>
              </w:rPr>
              <w:t>经确认，与招标文件及投标文件内容相符。</w:t>
            </w:r>
          </w:p>
          <w:p>
            <w:pPr>
              <w:jc w:val="both"/>
            </w:pPr>
            <w:r>
              <w:rPr>
                <w:b/>
                <w:sz w:val="21"/>
              </w:rPr>
              <w:t>代表：</w:t>
            </w:r>
          </w:p>
          <w:p>
            <w:pPr>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tc>
        <w:tc>
          <w:tcPr>
            <w:tcW w:type="dxa" w:w="4010"/>
            <w:tcBorders>
              <w:top w:val="none" w:color="000000" w:sz="4"/>
              <w:left w:val="none" w:color="000000" w:sz="4"/>
              <w:bottom w:val="single" w:color="FFFFFF"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w:t>
            </w:r>
            <w:r>
              <w:rPr>
                <w:sz w:val="21"/>
              </w:rPr>
              <w:t>户</w:t>
            </w:r>
            <w:r>
              <w:rPr>
                <w:sz w:val="21"/>
              </w:rPr>
              <w:t>行：</w:t>
            </w:r>
          </w:p>
        </w:tc>
      </w:tr>
    </w:tbl>
    <w:p>
      <w:pPr>
        <w:jc w:val="both"/>
      </w:pPr>
    </w:p>
    <w:p>
      <w:pPr>
        <w:jc w:val="both"/>
      </w:pPr>
    </w:p>
    <w:p>
      <w:pPr>
        <w:jc w:val="both"/>
      </w:pPr>
      <w:r>
        <w:rPr>
          <w:b/>
          <w:sz w:val="21"/>
        </w:rPr>
        <w:t>合同附件清单：</w:t>
      </w:r>
    </w:p>
    <w:p>
      <w:pPr>
        <w:jc w:val="both"/>
      </w:pPr>
      <w:r>
        <w:rPr>
          <w:b/>
          <w:sz w:val="21"/>
        </w:rPr>
        <w:t>附件一：《报价清单明细表》</w:t>
      </w:r>
      <w:r>
        <w:rPr>
          <w:b/>
          <w:sz w:val="21"/>
        </w:rPr>
        <w:t>/（设备名称）配置清单</w:t>
      </w:r>
    </w:p>
    <w:p>
      <w:pPr>
        <w:jc w:val="both"/>
      </w:pPr>
      <w:r>
        <w:rPr>
          <w:b/>
          <w:sz w:val="21"/>
        </w:rPr>
        <w:t>附件二：医疗设备注册证</w:t>
      </w:r>
    </w:p>
    <w:p>
      <w:pPr>
        <w:jc w:val="both"/>
      </w:pPr>
      <w:r>
        <w:rPr>
          <w:b/>
          <w:sz w:val="21"/>
        </w:rPr>
        <w:t>附件三：有效的授权证明资料（乙方若为代理经销商）（其中一份为原件）</w:t>
      </w:r>
    </w:p>
    <w:p>
      <w:pPr>
        <w:jc w:val="both"/>
      </w:pPr>
      <w:r>
        <w:rPr>
          <w:b/>
          <w:sz w:val="21"/>
        </w:rPr>
        <w:t>附件四：厂家售后承诺书（其中一份为原件）</w:t>
      </w:r>
    </w:p>
    <w:p>
      <w:pPr>
        <w:jc w:val="both"/>
      </w:pPr>
    </w:p>
    <w:p>
      <w:pPr>
        <w:jc w:val="both"/>
      </w:pPr>
    </w:p>
    <w:p>
      <w:pPr>
        <w:ind w:firstLine="480"/>
        <w:jc w:val="both"/>
      </w:pPr>
    </w:p>
    <w:p>
      <w:pPr>
        <w:jc w:val="both"/>
      </w:pPr>
      <w:r>
        <w:rPr>
          <w:sz w:val="21"/>
        </w:rPr>
        <w:t xml:space="preserve"> </w:t>
      </w:r>
    </w:p>
    <w:p>
      <w:pPr>
        <w:jc w:val="both"/>
      </w:pPr>
    </w:p>
    <w:p>
      <w:pPr>
        <w:jc w:val="both"/>
      </w:pPr>
    </w:p>
    <w:p>
      <w:pPr>
        <w:jc w:val="center"/>
      </w:pPr>
      <w:r>
        <w:rPr>
          <w:b/>
          <w:sz w:val="21"/>
        </w:rPr>
        <w:t xml:space="preserve"> </w:t>
      </w:r>
    </w:p>
    <w:p>
      <w:pPr>
        <w:jc w:val="center"/>
      </w:pPr>
    </w:p>
    <w:p>
      <w:pPr>
        <w:jc w:val="center"/>
      </w:pPr>
    </w:p>
    <w:p>
      <w:pPr>
        <w:jc w:val="center"/>
      </w:pPr>
    </w:p>
    <w:p>
      <w:pPr>
        <w:jc w:val="center"/>
      </w:pPr>
    </w:p>
    <w:p>
      <w:pPr>
        <w:jc w:val="both"/>
      </w:pPr>
    </w:p>
    <w:p>
      <w:pPr>
        <w:jc w:val="both"/>
      </w:pPr>
    </w:p>
    <w:p>
      <w:pPr>
        <w:jc w:val="both"/>
      </w:pPr>
    </w:p>
    <w:p>
      <w:pPr>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sz w:val="68"/>
        </w:rPr>
        <w:t>佛山市政府采购项目</w:t>
      </w:r>
    </w:p>
    <w:p>
      <w:pPr>
        <w:jc w:val="center"/>
      </w:pPr>
      <w:r>
        <w:rPr>
          <w:sz w:val="68"/>
        </w:rPr>
        <w:t>合同书</w:t>
      </w:r>
    </w:p>
    <w:p>
      <w:pPr>
        <w:jc w:val="center"/>
      </w:pPr>
    </w:p>
    <w:p>
      <w:pPr>
        <w:jc w:val="center"/>
      </w:pPr>
    </w:p>
    <w:p>
      <w:pPr>
        <w:jc w:val="center"/>
      </w:pPr>
    </w:p>
    <w:p>
      <w:pPr>
        <w:jc w:val="center"/>
      </w:pPr>
    </w:p>
    <w:p>
      <w:pPr>
        <w:jc w:val="center"/>
      </w:pPr>
    </w:p>
    <w:p>
      <w:pPr>
        <w:ind w:firstLine="843"/>
        <w:jc w:val="both"/>
      </w:pPr>
      <w:r>
        <w:rPr>
          <w:b/>
          <w:sz w:val="24"/>
        </w:rPr>
        <w:t>项目编号：</w:t>
      </w:r>
      <w:r>
        <w:rPr>
          <w:b/>
          <w:sz w:val="24"/>
          <w:u w:val="single"/>
        </w:rPr>
        <w:t>GDZC-23GZ158</w:t>
      </w:r>
    </w:p>
    <w:p>
      <w:pPr>
        <w:ind w:firstLine="843"/>
        <w:jc w:val="both"/>
      </w:pPr>
      <w:r>
        <w:rPr>
          <w:b/>
          <w:sz w:val="24"/>
        </w:rPr>
        <w:t>项目名称：</w:t>
      </w:r>
      <w:r>
        <w:rPr>
          <w:b/>
          <w:sz w:val="24"/>
          <w:u w:val="single"/>
        </w:rPr>
        <w:t>2023</w:t>
      </w:r>
      <w:r>
        <w:rPr>
          <w:b/>
          <w:sz w:val="24"/>
          <w:u w:val="single"/>
        </w:rPr>
        <w:t>年顺德区第三人民医院专用设备购置项目</w:t>
      </w:r>
    </w:p>
    <w:p>
      <w:pPr>
        <w:ind w:firstLine="843"/>
        <w:jc w:val="both"/>
      </w:pPr>
      <w:r>
        <w:rPr>
          <w:b/>
          <w:sz w:val="24"/>
        </w:rPr>
        <w:t>包组号：包组二（</w:t>
      </w:r>
      <w:r>
        <w:rPr>
          <w:b/>
          <w:sz w:val="24"/>
        </w:rPr>
        <w:t>移动式</w:t>
      </w:r>
      <w:r>
        <w:rPr>
          <w:b/>
          <w:sz w:val="24"/>
        </w:rPr>
        <w:t>C</w:t>
      </w:r>
      <w:r>
        <w:rPr>
          <w:b/>
          <w:sz w:val="24"/>
        </w:rPr>
        <w:t>形臂</w:t>
      </w:r>
      <w:r>
        <w:rPr>
          <w:b/>
          <w:sz w:val="24"/>
        </w:rPr>
        <w:t>X</w:t>
      </w:r>
      <w:r>
        <w:rPr>
          <w:b/>
          <w:sz w:val="24"/>
        </w:rPr>
        <w:t>线机等</w:t>
      </w:r>
      <w:r>
        <w:rPr>
          <w:b/>
          <w:sz w:val="24"/>
        </w:rPr>
        <w:t>）</w:t>
      </w:r>
    </w:p>
    <w:p>
      <w:pPr>
        <w:jc w:val="center"/>
      </w:pPr>
    </w:p>
    <w:p>
      <w:pPr>
        <w:jc w:val="center"/>
      </w:pPr>
    </w:p>
    <w:p>
      <w:pPr>
        <w:jc w:val="center"/>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596"/>
        <w:gridCol w:w="6710"/>
      </w:tblGrid>
      <w:tr>
        <w:tc>
          <w:tcPr>
            <w:tcW w:type="dxa" w:w="1596"/>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6710"/>
            <w:tcBorders>
              <w:top w:val="none" w:color="000000" w:sz="4"/>
              <w:left w:val="none" w:color="000000" w:sz="4"/>
              <w:bottom w:val="none" w:color="000000" w:sz="4"/>
              <w:right w:val="none" w:color="000000" w:sz="4"/>
            </w:tcBorders>
            <w:vAlign w:val="top"/>
          </w:tcPr>
          <w:p>
            <w:pPr>
              <w:jc w:val="left"/>
            </w:pPr>
            <w:r>
              <w:rPr>
                <w:sz w:val="28"/>
                <w:u w:val="single"/>
              </w:rPr>
              <w:t>佛山市顺德区第三人民医院（佛山市顺德区北滘医院）</w:t>
            </w:r>
          </w:p>
        </w:tc>
      </w:tr>
      <w:tr>
        <w:tc>
          <w:tcPr>
            <w:tcW w:type="dxa" w:w="1596"/>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6710"/>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（中标人名称）</w:t>
            </w:r>
            <w:r>
              <w:rPr>
                <w:sz w:val="28"/>
                <w:u w:val="single"/>
              </w:rPr>
              <w:t xml:space="preserve">   </w:t>
            </w:r>
          </w:p>
        </w:tc>
      </w:tr>
      <w:tr>
        <w:tc>
          <w:tcPr>
            <w:tcW w:type="dxa" w:w="1596"/>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710"/>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center"/>
      </w:pPr>
      <w:r>
        <w:rPr>
          <w:sz w:val="21"/>
        </w:rPr>
        <w:t xml:space="preserve"> </w:t>
      </w:r>
    </w:p>
    <w:p>
      <w:pPr>
        <w:jc w:val="center"/>
      </w:pPr>
      <w:r>
        <w:rPr>
          <w:sz w:val="21"/>
        </w:rPr>
        <w:t xml:space="preserve"> </w:t>
      </w:r>
    </w:p>
    <w:p>
      <w:pPr>
        <w:jc w:val="center"/>
      </w:pPr>
      <w:r>
        <w:rPr>
          <w:b/>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58"/>
        <w:gridCol w:w="6648"/>
      </w:tblGrid>
      <w:tr>
        <w:tc>
          <w:tcPr>
            <w:tcW w:type="dxa" w:w="1658"/>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648"/>
            <w:tcBorders>
              <w:top w:val="none" w:color="000000" w:sz="4"/>
              <w:left w:val="none" w:color="000000" w:sz="4"/>
              <w:bottom w:val="none" w:color="000000" w:sz="4"/>
              <w:right w:val="none" w:color="000000" w:sz="4"/>
            </w:tcBorders>
            <w:vAlign w:val="top"/>
          </w:tcPr>
          <w:p>
            <w:pPr>
              <w:jc w:val="left"/>
            </w:pPr>
            <w:r>
              <w:rPr>
                <w:sz w:val="21"/>
                <w:u w:val="single"/>
              </w:rPr>
              <w:t>2023</w:t>
            </w:r>
            <w:r>
              <w:rPr>
                <w:sz w:val="21"/>
                <w:u w:val="single"/>
              </w:rPr>
              <w:t>年佛山市顺德区第三人民医院（佛山市顺德区北滘医院）专用医疗设备购置项目</w:t>
            </w:r>
          </w:p>
        </w:tc>
      </w:tr>
      <w:tr>
        <w:tc>
          <w:tcPr>
            <w:tcW w:type="dxa" w:w="1658"/>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648"/>
            <w:tcBorders>
              <w:top w:val="none" w:color="000000" w:sz="4"/>
              <w:left w:val="none" w:color="000000" w:sz="4"/>
              <w:bottom w:val="none" w:color="000000" w:sz="4"/>
              <w:right w:val="none" w:color="000000" w:sz="4"/>
            </w:tcBorders>
            <w:vAlign w:val="top"/>
          </w:tcPr>
          <w:p>
            <w:pPr>
              <w:jc w:val="both"/>
            </w:pPr>
            <w:r>
              <w:rPr>
                <w:sz w:val="21"/>
                <w:u w:val="single"/>
              </w:rPr>
              <w:t>GDZC-23GZ158</w:t>
            </w:r>
          </w:p>
        </w:tc>
      </w:tr>
      <w:tr>
        <w:tc>
          <w:tcPr>
            <w:tcW w:type="dxa" w:w="1658"/>
            <w:tcBorders>
              <w:top w:val="none" w:color="000000" w:sz="4"/>
              <w:left w:val="none" w:color="000000" w:sz="4"/>
              <w:bottom w:val="none" w:color="000000" w:sz="4"/>
              <w:right w:val="none" w:color="000000" w:sz="4"/>
            </w:tcBorders>
            <w:vAlign w:val="top"/>
          </w:tcPr>
          <w:p>
            <w:pPr>
              <w:jc w:val="both"/>
            </w:pPr>
            <w:r>
              <w:rPr>
                <w:b/>
                <w:sz w:val="21"/>
              </w:rPr>
              <w:t>甲</w:t>
            </w:r>
            <w:r>
              <w:rPr>
                <w:b/>
                <w:sz w:val="21"/>
              </w:rPr>
              <w:t xml:space="preserve">   </w:t>
            </w:r>
            <w:r>
              <w:rPr>
                <w:b/>
                <w:sz w:val="21"/>
              </w:rPr>
              <w:t>方：</w:t>
            </w:r>
          </w:p>
        </w:tc>
        <w:tc>
          <w:tcPr>
            <w:tcW w:type="dxa" w:w="6648"/>
            <w:tcBorders>
              <w:top w:val="none" w:color="000000" w:sz="4"/>
              <w:left w:val="none" w:color="000000" w:sz="4"/>
              <w:bottom w:val="none" w:color="000000" w:sz="4"/>
              <w:right w:val="none" w:color="000000" w:sz="4"/>
            </w:tcBorders>
            <w:vAlign w:val="top"/>
          </w:tcPr>
          <w:p>
            <w:pPr>
              <w:jc w:val="both"/>
            </w:pPr>
            <w:r>
              <w:rPr>
                <w:sz w:val="21"/>
                <w:u w:val="single"/>
              </w:rPr>
              <w:t>佛山市顺德区第三人民医院（佛山市顺德区北滘医院）</w:t>
            </w:r>
          </w:p>
        </w:tc>
      </w:tr>
      <w:tr>
        <w:tc>
          <w:tcPr>
            <w:tcW w:type="dxa" w:w="1658"/>
            <w:tcBorders>
              <w:top w:val="none" w:color="000000" w:sz="4"/>
              <w:left w:val="none" w:color="000000" w:sz="4"/>
              <w:bottom w:val="none" w:color="000000" w:sz="4"/>
              <w:right w:val="none" w:color="000000" w:sz="4"/>
            </w:tcBorders>
            <w:vAlign w:val="top"/>
          </w:tcPr>
          <w:p>
            <w:pPr>
              <w:jc w:val="both"/>
            </w:pPr>
            <w:r>
              <w:rPr>
                <w:b/>
                <w:sz w:val="21"/>
              </w:rPr>
              <w:t>乙</w:t>
            </w:r>
            <w:r>
              <w:rPr>
                <w:b/>
                <w:sz w:val="21"/>
              </w:rPr>
              <w:t xml:space="preserve"> </w:t>
            </w:r>
            <w:r>
              <w:rPr>
                <w:b/>
                <w:sz w:val="21"/>
              </w:rPr>
              <w:t>方：</w:t>
            </w:r>
          </w:p>
        </w:tc>
        <w:tc>
          <w:tcPr>
            <w:tcW w:type="dxa" w:w="6648"/>
            <w:tcBorders>
              <w:top w:val="none" w:color="000000" w:sz="4"/>
              <w:left w:val="none" w:color="000000" w:sz="4"/>
              <w:bottom w:val="none" w:color="000000" w:sz="4"/>
              <w:right w:val="none" w:color="000000" w:sz="4"/>
            </w:tcBorders>
            <w:vAlign w:val="top"/>
          </w:tcPr>
          <w:p>
            <w:pPr>
              <w:jc w:val="both"/>
            </w:pPr>
            <w:r>
              <w:rPr>
                <w:sz w:val="21"/>
                <w:u w:val="single"/>
              </w:rPr>
              <w:t>（中标人）</w:t>
            </w:r>
          </w:p>
        </w:tc>
      </w:tr>
    </w:tbl>
    <w:p>
      <w:pPr>
        <w:ind w:firstLine="420"/>
        <w:jc w:val="both"/>
      </w:pP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577"/>
        <w:gridCol w:w="1579"/>
        <w:gridCol w:w="1412"/>
        <w:gridCol w:w="1245"/>
        <w:gridCol w:w="638"/>
        <w:gridCol w:w="562"/>
        <w:gridCol w:w="1124"/>
        <w:gridCol w:w="1169"/>
      </w:tblGrid>
      <w:tr>
        <w:tc>
          <w:tcPr>
            <w:tcW w:type="dxa" w:w="57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579"/>
            <w:tcBorders>
              <w:top w:val="single" w:color="000000" w:sz="4"/>
              <w:left w:val="none" w:color="000000" w:sz="4"/>
              <w:bottom w:val="single" w:color="000000" w:sz="4"/>
              <w:right w:val="single" w:color="000000" w:sz="4"/>
            </w:tcBorders>
            <w:vAlign w:val="top"/>
          </w:tcPr>
          <w:p>
            <w:pPr>
              <w:jc w:val="center"/>
            </w:pPr>
            <w:r>
              <w:rPr>
                <w:b/>
                <w:color w:val="000000"/>
                <w:sz w:val="21"/>
              </w:rPr>
              <w:t>商品名称</w:t>
            </w:r>
          </w:p>
        </w:tc>
        <w:tc>
          <w:tcPr>
            <w:tcW w:type="dxa" w:w="1412"/>
            <w:tcBorders>
              <w:top w:val="single" w:color="000000" w:sz="4"/>
              <w:left w:val="none" w:color="000000" w:sz="4"/>
              <w:bottom w:val="single" w:color="000000" w:sz="4"/>
              <w:right w:val="single" w:color="000000" w:sz="4"/>
            </w:tcBorders>
            <w:vAlign w:val="top"/>
          </w:tcPr>
          <w:p>
            <w:pPr>
              <w:jc w:val="center"/>
            </w:pPr>
            <w:r>
              <w:rPr>
                <w:b/>
                <w:color w:val="000000"/>
                <w:sz w:val="21"/>
              </w:rPr>
              <w:t>品牌</w:t>
            </w:r>
            <w:r>
              <w:rPr>
                <w:b/>
                <w:color w:val="000000"/>
                <w:sz w:val="21"/>
              </w:rPr>
              <w:t>/规格型号</w:t>
            </w:r>
          </w:p>
        </w:tc>
        <w:tc>
          <w:tcPr>
            <w:tcW w:type="dxa" w:w="1245"/>
            <w:tcBorders>
              <w:top w:val="single" w:color="000000" w:sz="4"/>
              <w:left w:val="none" w:color="000000" w:sz="4"/>
              <w:bottom w:val="single" w:color="000000" w:sz="4"/>
              <w:right w:val="single" w:color="000000" w:sz="4"/>
            </w:tcBorders>
            <w:vAlign w:val="top"/>
          </w:tcPr>
          <w:p>
            <w:pPr>
              <w:jc w:val="center"/>
            </w:pPr>
            <w:r>
              <w:rPr>
                <w:b/>
                <w:color w:val="000000"/>
                <w:sz w:val="21"/>
              </w:rPr>
              <w:t>注册证号</w:t>
            </w:r>
          </w:p>
        </w:tc>
        <w:tc>
          <w:tcPr>
            <w:tcW w:type="dxa" w:w="638"/>
            <w:tcBorders>
              <w:top w:val="single" w:color="000000" w:sz="4"/>
              <w:left w:val="none" w:color="000000" w:sz="4"/>
              <w:bottom w:val="single" w:color="000000" w:sz="4"/>
              <w:right w:val="single" w:color="000000" w:sz="4"/>
            </w:tcBorders>
            <w:vAlign w:val="top"/>
          </w:tcPr>
          <w:p>
            <w:pPr>
              <w:jc w:val="center"/>
            </w:pPr>
            <w:r>
              <w:rPr>
                <w:b/>
                <w:color w:val="000000"/>
                <w:sz w:val="21"/>
              </w:rPr>
              <w:t>产地</w:t>
            </w:r>
          </w:p>
        </w:tc>
        <w:tc>
          <w:tcPr>
            <w:tcW w:type="dxa" w:w="56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1124"/>
            <w:tcBorders>
              <w:top w:val="single" w:color="000000" w:sz="4"/>
              <w:left w:val="none" w:color="000000" w:sz="4"/>
              <w:bottom w:val="none" w:color="000000" w:sz="4"/>
              <w:right w:val="single" w:color="000000" w:sz="4"/>
            </w:tcBorders>
            <w:vAlign w:val="top"/>
          </w:tcPr>
          <w:p>
            <w:pPr>
              <w:jc w:val="center"/>
            </w:pPr>
            <w:r>
              <w:rPr>
                <w:b/>
                <w:color w:val="000000"/>
                <w:sz w:val="21"/>
              </w:rPr>
              <w:t>单价</w:t>
            </w:r>
            <w:r>
              <w:rPr>
                <w:b/>
                <w:color w:val="000000"/>
                <w:sz w:val="21"/>
              </w:rPr>
              <w:t>(元)</w:t>
            </w:r>
          </w:p>
        </w:tc>
        <w:tc>
          <w:tcPr>
            <w:tcW w:type="dxa" w:w="1169"/>
            <w:tcBorders>
              <w:top w:val="single" w:color="000000" w:sz="4"/>
              <w:left w:val="none" w:color="000000" w:sz="4"/>
              <w:bottom w:val="none" w:color="000000" w:sz="4"/>
              <w:right w:val="single" w:color="000000" w:sz="4"/>
            </w:tcBorders>
            <w:vAlign w:val="top"/>
          </w:tcPr>
          <w:p>
            <w:pPr>
              <w:jc w:val="center"/>
            </w:pPr>
            <w:r>
              <w:rPr>
                <w:b/>
                <w:color w:val="000000"/>
                <w:sz w:val="21"/>
              </w:rPr>
              <w:t>总金额</w:t>
            </w:r>
            <w:r>
              <w:rPr>
                <w:b/>
                <w:color w:val="000000"/>
                <w:sz w:val="21"/>
              </w:rPr>
              <w:t>(元)</w:t>
            </w:r>
          </w:p>
        </w:tc>
      </w:tr>
      <w:tr>
        <w:tc>
          <w:tcPr>
            <w:tcW w:type="dxa" w:w="577"/>
            <w:tcBorders>
              <w:top w:val="none" w:color="000000" w:sz="4"/>
              <w:left w:val="single" w:color="000000" w:sz="4"/>
              <w:bottom w:val="single" w:color="000000" w:sz="4"/>
              <w:right w:val="single" w:color="000000" w:sz="4"/>
            </w:tcBorders>
            <w:vAlign w:val="top"/>
          </w:tcPr>
          <w:p>
            <w:pPr>
              <w:jc w:val="center"/>
            </w:pPr>
          </w:p>
        </w:tc>
        <w:tc>
          <w:tcPr>
            <w:tcW w:type="dxa" w:w="1579"/>
            <w:tcBorders>
              <w:top w:val="none" w:color="000000" w:sz="4"/>
              <w:left w:val="none" w:color="000000" w:sz="4"/>
              <w:bottom w:val="single" w:color="000000" w:sz="4"/>
              <w:right w:val="single" w:color="000000" w:sz="4"/>
            </w:tcBorders>
            <w:vAlign w:val="top"/>
          </w:tcPr>
          <w:p>
            <w:pPr>
              <w:jc w:val="center"/>
            </w:pPr>
          </w:p>
        </w:tc>
        <w:tc>
          <w:tcPr>
            <w:tcW w:type="dxa" w:w="1412"/>
            <w:tcBorders>
              <w:top w:val="none" w:color="000000" w:sz="4"/>
              <w:left w:val="non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both"/>
            </w:pPr>
          </w:p>
        </w:tc>
        <w:tc>
          <w:tcPr>
            <w:tcW w:type="dxa" w:w="638"/>
            <w:tcBorders>
              <w:top w:val="none" w:color="000000" w:sz="4"/>
              <w:left w:val="none" w:color="000000" w:sz="4"/>
              <w:bottom w:val="single" w:color="000000" w:sz="4"/>
              <w:right w:val="single" w:color="000000" w:sz="4"/>
            </w:tcBorders>
            <w:vAlign w:val="top"/>
          </w:tcPr>
          <w:p>
            <w:pPr>
              <w:jc w:val="both"/>
            </w:pPr>
          </w:p>
        </w:tc>
        <w:tc>
          <w:tcPr>
            <w:tcW w:type="dxa" w:w="562"/>
            <w:tcBorders>
              <w:top w:val="none" w:color="000000" w:sz="4"/>
              <w:left w:val="none" w:color="000000" w:sz="4"/>
              <w:bottom w:val="single" w:color="000000" w:sz="4"/>
              <w:right w:val="single" w:color="000000" w:sz="4"/>
            </w:tcBorders>
            <w:vAlign w:val="top"/>
          </w:tcPr>
          <w:p>
            <w:pPr>
              <w:jc w:val="both"/>
            </w:pPr>
          </w:p>
        </w:tc>
        <w:tc>
          <w:tcPr>
            <w:tcW w:type="dxa" w:w="1124"/>
            <w:tcBorders>
              <w:top w:val="single" w:color="000000" w:sz="4"/>
              <w:left w:val="none" w:color="000000" w:sz="4"/>
              <w:bottom w:val="none" w:color="000000" w:sz="4"/>
              <w:right w:val="single" w:color="000000" w:sz="4"/>
            </w:tcBorders>
            <w:vAlign w:val="top"/>
          </w:tcPr>
          <w:p>
            <w:pPr>
              <w:jc w:val="center"/>
            </w:pPr>
          </w:p>
        </w:tc>
        <w:tc>
          <w:tcPr>
            <w:tcW w:type="dxa" w:w="1169"/>
            <w:tcBorders>
              <w:top w:val="single" w:color="000000" w:sz="4"/>
              <w:left w:val="none" w:color="000000" w:sz="4"/>
              <w:bottom w:val="non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tc>
        <w:tc>
          <w:tcPr>
            <w:tcW w:type="dxa" w:w="1579"/>
            <w:tcBorders>
              <w:top w:val="none" w:color="000000" w:sz="4"/>
              <w:left w:val="none" w:color="000000" w:sz="4"/>
              <w:bottom w:val="single" w:color="000000" w:sz="4"/>
              <w:right w:val="single" w:color="000000" w:sz="4"/>
            </w:tcBorders>
            <w:vAlign w:val="top"/>
          </w:tcPr>
          <w:p>
            <w:pPr>
              <w:jc w:val="center"/>
            </w:pPr>
          </w:p>
        </w:tc>
        <w:tc>
          <w:tcPr>
            <w:tcW w:type="dxa" w:w="1412"/>
            <w:tcBorders>
              <w:top w:val="none" w:color="000000" w:sz="4"/>
              <w:left w:val="non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both"/>
            </w:pPr>
          </w:p>
        </w:tc>
        <w:tc>
          <w:tcPr>
            <w:tcW w:type="dxa" w:w="638"/>
            <w:tcBorders>
              <w:top w:val="none" w:color="000000" w:sz="4"/>
              <w:left w:val="none" w:color="000000" w:sz="4"/>
              <w:bottom w:val="single" w:color="000000" w:sz="4"/>
              <w:right w:val="single" w:color="000000" w:sz="4"/>
            </w:tcBorders>
            <w:vAlign w:val="top"/>
          </w:tcPr>
          <w:p>
            <w:pPr>
              <w:jc w:val="both"/>
            </w:pPr>
          </w:p>
        </w:tc>
        <w:tc>
          <w:tcPr>
            <w:tcW w:type="dxa" w:w="562"/>
            <w:tcBorders>
              <w:top w:val="none" w:color="000000" w:sz="4"/>
              <w:left w:val="none" w:color="000000" w:sz="4"/>
              <w:bottom w:val="single" w:color="000000" w:sz="4"/>
              <w:right w:val="single" w:color="000000" w:sz="4"/>
            </w:tcBorders>
            <w:vAlign w:val="top"/>
          </w:tcPr>
          <w:p>
            <w:pPr>
              <w:jc w:val="both"/>
            </w:pPr>
          </w:p>
        </w:tc>
        <w:tc>
          <w:tcPr>
            <w:tcW w:type="dxa" w:w="1124"/>
            <w:tcBorders>
              <w:top w:val="single" w:color="000000" w:sz="4"/>
              <w:left w:val="none" w:color="000000" w:sz="4"/>
              <w:bottom w:val="single" w:color="000000" w:sz="4"/>
              <w:right w:val="single" w:color="000000" w:sz="4"/>
            </w:tcBorders>
            <w:vAlign w:val="top"/>
          </w:tcPr>
          <w:p>
            <w:pPr>
              <w:jc w:val="center"/>
            </w:pPr>
          </w:p>
        </w:tc>
        <w:tc>
          <w:tcPr>
            <w:tcW w:type="dxa" w:w="1169"/>
            <w:tcBorders>
              <w:top w:val="singl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tc>
        <w:tc>
          <w:tcPr>
            <w:tcW w:type="dxa" w:w="1579"/>
            <w:tcBorders>
              <w:top w:val="none" w:color="000000" w:sz="4"/>
              <w:left w:val="none" w:color="000000" w:sz="4"/>
              <w:bottom w:val="single" w:color="000000" w:sz="4"/>
              <w:right w:val="single" w:color="000000" w:sz="4"/>
            </w:tcBorders>
            <w:vAlign w:val="top"/>
          </w:tcPr>
          <w:p>
            <w:pPr>
              <w:jc w:val="center"/>
            </w:pPr>
          </w:p>
        </w:tc>
        <w:tc>
          <w:tcPr>
            <w:tcW w:type="dxa" w:w="1412"/>
            <w:tcBorders>
              <w:top w:val="none" w:color="000000" w:sz="4"/>
              <w:left w:val="non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both"/>
            </w:pPr>
          </w:p>
        </w:tc>
        <w:tc>
          <w:tcPr>
            <w:tcW w:type="dxa" w:w="638"/>
            <w:tcBorders>
              <w:top w:val="none" w:color="000000" w:sz="4"/>
              <w:left w:val="none" w:color="000000" w:sz="4"/>
              <w:bottom w:val="single" w:color="000000" w:sz="4"/>
              <w:right w:val="single" w:color="000000" w:sz="4"/>
            </w:tcBorders>
            <w:vAlign w:val="top"/>
          </w:tcPr>
          <w:p>
            <w:pPr>
              <w:jc w:val="both"/>
            </w:pPr>
          </w:p>
        </w:tc>
        <w:tc>
          <w:tcPr>
            <w:tcW w:type="dxa" w:w="562"/>
            <w:tcBorders>
              <w:top w:val="none" w:color="000000" w:sz="4"/>
              <w:left w:val="none" w:color="000000" w:sz="4"/>
              <w:bottom w:val="single" w:color="000000" w:sz="4"/>
              <w:right w:val="single" w:color="000000" w:sz="4"/>
            </w:tcBorders>
            <w:vAlign w:val="top"/>
          </w:tcPr>
          <w:p>
            <w:pPr>
              <w:jc w:val="both"/>
            </w:pPr>
          </w:p>
        </w:tc>
        <w:tc>
          <w:tcPr>
            <w:tcW w:type="dxa" w:w="1124"/>
            <w:tcBorders>
              <w:top w:val="none" w:color="000000" w:sz="4"/>
              <w:left w:val="none" w:color="000000" w:sz="4"/>
              <w:bottom w:val="single" w:color="000000" w:sz="4"/>
              <w:right w:val="single" w:color="000000" w:sz="4"/>
            </w:tcBorders>
            <w:vAlign w:val="top"/>
          </w:tcPr>
          <w:p>
            <w:pPr>
              <w:jc w:val="center"/>
            </w:pPr>
          </w:p>
        </w:tc>
        <w:tc>
          <w:tcPr>
            <w:tcW w:type="dxa" w:w="1169"/>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both"/>
            </w:pPr>
          </w:p>
        </w:tc>
        <w:tc>
          <w:tcPr>
            <w:tcW w:type="dxa" w:w="7729"/>
            <w:gridSpan w:val="7"/>
            <w:tcBorders>
              <w:top w:val="none" w:color="000000" w:sz="4"/>
              <w:left w:val="none" w:color="000000" w:sz="4"/>
              <w:bottom w:val="single" w:color="000000" w:sz="4"/>
              <w:right w:val="single" w:color="000000" w:sz="4"/>
            </w:tcBorders>
            <w:vAlign w:val="top"/>
          </w:tcPr>
          <w:p>
            <w:pPr>
              <w:jc w:val="both"/>
            </w:pPr>
            <w:r>
              <w:rPr>
                <w:b/>
                <w:color w:val="000000"/>
                <w:sz w:val="21"/>
              </w:rPr>
              <w:t>合计：</w:t>
            </w:r>
            <w:r>
              <w:rPr>
                <w:color w:val="000000"/>
                <w:sz w:val="21"/>
              </w:rPr>
              <w:t>￥：</w:t>
            </w:r>
            <w:r>
              <w:rPr>
                <w:b/>
                <w:color w:val="000000"/>
                <w:sz w:val="21"/>
              </w:rPr>
              <w:t xml:space="preserve">          </w:t>
            </w:r>
            <w:r>
              <w:rPr>
                <w:b/>
                <w:color w:val="000000"/>
                <w:sz w:val="21"/>
              </w:rPr>
              <w:t>元</w:t>
            </w:r>
            <w:r>
              <w:rPr>
                <w:b/>
                <w:color w:val="000000"/>
                <w:sz w:val="21"/>
              </w:rPr>
              <w:t>大写：</w:t>
            </w:r>
            <w:r>
              <w:rPr>
                <w:b/>
                <w:color w:val="000000"/>
                <w:sz w:val="21"/>
              </w:rPr>
              <w:t xml:space="preserve">                       </w:t>
            </w:r>
            <w:r>
              <w:rPr>
                <w:b/>
                <w:color w:val="000000"/>
                <w:sz w:val="21"/>
              </w:rPr>
              <w:t>元整</w:t>
            </w:r>
          </w:p>
        </w:tc>
      </w:tr>
    </w:tbl>
    <w:p>
      <w:pPr>
        <w:jc w:val="both"/>
      </w:pPr>
      <w:r>
        <w:rPr>
          <w:sz w:val="21"/>
        </w:rPr>
        <w:t>备注：消毒设备在注册证号栏中分别填入注册证号、卫生许可证批号。合同设备如属《中华人民共和国强制检定的工作计量器具目录》内的，验收时乙方需提供合法正规的计量合格证，否则验收不合格。</w:t>
      </w:r>
    </w:p>
    <w:p>
      <w:pPr>
        <w:jc w:val="both"/>
      </w:pPr>
      <w:r>
        <w:rPr>
          <w:sz w:val="21"/>
        </w:rPr>
        <w:t>见附件一《报价清单明细表》</w:t>
      </w:r>
      <w:r>
        <w:rPr>
          <w:sz w:val="21"/>
        </w:rPr>
        <w:t>/（设备名称）配置清单。</w:t>
      </w:r>
    </w:p>
    <w:p>
      <w:pPr>
        <w:jc w:val="both"/>
      </w:pPr>
      <w:r>
        <w:rPr>
          <w:b/>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7"/>
        <w:gridCol w:w="1776"/>
        <w:gridCol w:w="5853"/>
      </w:tblGrid>
      <w:tr>
        <w:tc>
          <w:tcPr>
            <w:tcW w:type="dxa" w:w="67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776"/>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5853"/>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5853"/>
            <w:tcBorders>
              <w:top w:val="none" w:color="000000" w:sz="4"/>
              <w:left w:val="none" w:color="000000" w:sz="4"/>
              <w:bottom w:val="single" w:color="000000" w:sz="4"/>
              <w:right w:val="single" w:color="000000" w:sz="4"/>
            </w:tcBorders>
            <w:vAlign w:val="top"/>
          </w:tcPr>
          <w:p>
            <w:pPr>
              <w:jc w:val="both"/>
            </w:pPr>
            <w:r>
              <w:rPr>
                <w:sz w:val="21"/>
              </w:rPr>
              <w:t>人民币</w:t>
            </w:r>
            <w:r>
              <w:rPr>
                <w:sz w:val="21"/>
              </w:rPr>
              <w:t xml:space="preserve"> </w:t>
            </w:r>
            <w:r>
              <w:rPr>
                <w:sz w:val="21"/>
              </w:rPr>
              <w:t>小写：</w:t>
            </w:r>
            <w:r>
              <w:rPr>
                <w:sz w:val="21"/>
                <w:u w:val="single"/>
              </w:rPr>
              <w:t xml:space="preserve">             </w:t>
            </w:r>
            <w:r>
              <w:rPr>
                <w:sz w:val="21"/>
              </w:rPr>
              <w:t xml:space="preserve">   </w:t>
            </w:r>
          </w:p>
          <w:p>
            <w:pPr>
              <w:jc w:val="both"/>
            </w:pPr>
            <w:r>
              <w:rPr>
                <w:sz w:val="21"/>
              </w:rPr>
              <w:t>大写：</w:t>
            </w:r>
            <w:r>
              <w:rPr>
                <w:sz w:val="21"/>
                <w:u w:val="single"/>
              </w:rPr>
              <w:t xml:space="preserve">                          </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5853"/>
            <w:tcBorders>
              <w:top w:val="none" w:color="000000" w:sz="4"/>
              <w:left w:val="none" w:color="000000" w:sz="4"/>
              <w:bottom w:val="single" w:color="000000" w:sz="4"/>
              <w:right w:val="single" w:color="000000" w:sz="4"/>
            </w:tcBorders>
            <w:vAlign w:val="top"/>
          </w:tcPr>
          <w:p>
            <w:pPr>
              <w:jc w:val="both"/>
            </w:pPr>
            <w:r>
              <w:rPr>
                <w:sz w:val="21"/>
              </w:rPr>
              <w:t>（</w:t>
            </w:r>
            <w:r>
              <w:rPr>
                <w:sz w:val="21"/>
              </w:rPr>
              <w:t>1）广东省佛山市目的地包干价。</w:t>
            </w:r>
          </w:p>
          <w:p>
            <w:pPr>
              <w:jc w:val="both"/>
            </w:pPr>
            <w:r>
              <w:rPr>
                <w:sz w:val="21"/>
              </w:rPr>
              <w:t>（</w:t>
            </w:r>
            <w:r>
              <w:rPr>
                <w:sz w:val="21"/>
              </w:rPr>
              <w:t>2）合同总额包括但不限于全部产品及零配件、运输装卸、安装调试、设备网络连接、培训、售后服务、人工、交通差旅、耗材、检测调试的设备仪器、更换设备服务费、工具、管理、利润风险、国家政府相关部门的税费及有关规定的费用、社保金等相关费用等合同实施过程中应预见和不可预见的全部费用。乙方必须自行考虑在本项目实施期间的一切可能产生的费用，在项目的实施过程中，甲方除了支付合同规定的款项外，一切合同规定外的费用将拒绝支付。</w:t>
            </w:r>
          </w:p>
          <w:p>
            <w:pPr>
              <w:jc w:val="both"/>
            </w:pPr>
            <w:r>
              <w:rPr>
                <w:sz w:val="21"/>
              </w:rPr>
              <w:t>（</w:t>
            </w:r>
            <w:r>
              <w:rPr>
                <w:sz w:val="21"/>
              </w:rPr>
              <w:t>3）价格为固定不变价，天数为公历日。</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交货及安装地点</w:t>
            </w:r>
          </w:p>
        </w:tc>
        <w:tc>
          <w:tcPr>
            <w:tcW w:type="dxa" w:w="5853"/>
            <w:tcBorders>
              <w:top w:val="none" w:color="000000" w:sz="4"/>
              <w:left w:val="none" w:color="000000" w:sz="4"/>
              <w:bottom w:val="single" w:color="000000" w:sz="4"/>
              <w:right w:val="single" w:color="000000" w:sz="4"/>
            </w:tcBorders>
            <w:vAlign w:val="top"/>
          </w:tcPr>
          <w:p>
            <w:pPr>
              <w:jc w:val="both"/>
            </w:pPr>
            <w:r>
              <w:rPr>
                <w:sz w:val="21"/>
              </w:rPr>
              <w:t>甲方（用户）指定地点（佛山市内）。详细地址为：</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项目完工期</w:t>
            </w:r>
          </w:p>
        </w:tc>
        <w:tc>
          <w:tcPr>
            <w:tcW w:type="dxa" w:w="5853"/>
            <w:tcBorders>
              <w:top w:val="none" w:color="000000" w:sz="4"/>
              <w:left w:val="none" w:color="000000" w:sz="4"/>
              <w:bottom w:val="single" w:color="000000" w:sz="4"/>
              <w:right w:val="single" w:color="000000" w:sz="4"/>
            </w:tcBorders>
            <w:vAlign w:val="top"/>
          </w:tcPr>
          <w:p>
            <w:pPr>
              <w:jc w:val="both"/>
            </w:pPr>
            <w:r>
              <w:rPr>
                <w:sz w:val="21"/>
              </w:rPr>
              <w:t>自合同签订之日起</w:t>
            </w:r>
            <w:r>
              <w:rPr>
                <w:sz w:val="21"/>
                <w:u w:val="single"/>
              </w:rPr>
              <w:t xml:space="preserve">       </w:t>
            </w:r>
            <w:r>
              <w:rPr>
                <w:sz w:val="21"/>
              </w:rPr>
              <w:t>日历天内完成供货、安装、调试及验收合格并交付使用。</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质保期及售后服务要求</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（一）所有设备质保期</w:t>
            </w:r>
            <w:r>
              <w:rPr>
                <w:sz w:val="19"/>
                <w:u w:val="single"/>
              </w:rPr>
              <w:t xml:space="preserve">       </w:t>
            </w:r>
            <w:r>
              <w:rPr>
                <w:sz w:val="21"/>
              </w:rPr>
              <w:t>年。质保期内</w:t>
            </w:r>
            <w:r>
              <w:rPr>
                <w:sz w:val="21"/>
              </w:rPr>
              <w:t>乙方</w:t>
            </w:r>
            <w:r>
              <w:rPr>
                <w:sz w:val="21"/>
              </w:rPr>
              <w:t>对所供货物实行包修、包换、包退、包维护保养，质保期内核心产品每个季度提供一次设备维护保养服务（如厂家的保养标准高于此，从其规定），每次保养后需提交维修保养工作报告，未按时提供视为违约。保养服务相关费用已包含在</w:t>
            </w:r>
            <w:r>
              <w:rPr>
                <w:sz w:val="21"/>
              </w:rPr>
              <w:t>合同金额</w:t>
            </w:r>
            <w:r>
              <w:rPr>
                <w:sz w:val="21"/>
              </w:rPr>
              <w:t>内。</w:t>
            </w:r>
          </w:p>
          <w:p>
            <w:pPr>
              <w:jc w:val="both"/>
            </w:pPr>
            <w:r>
              <w:rPr>
                <w:sz w:val="21"/>
              </w:rPr>
              <w:t>（二）质保期内非因</w:t>
            </w:r>
            <w:r>
              <w:rPr>
                <w:sz w:val="21"/>
              </w:rPr>
              <w:t>甲方</w:t>
            </w:r>
            <w:r>
              <w:rPr>
                <w:sz w:val="21"/>
              </w:rPr>
              <w:t>的人为原因而出现产品质量及安装问题，由</w:t>
            </w:r>
            <w:r>
              <w:rPr>
                <w:sz w:val="21"/>
              </w:rPr>
              <w:t>乙方</w:t>
            </w:r>
            <w:r>
              <w:rPr>
                <w:sz w:val="21"/>
              </w:rPr>
              <w:t>负责包修、包换或包退，并承担因此而产生的一切费用。</w:t>
            </w:r>
            <w:r>
              <w:rPr>
                <w:sz w:val="21"/>
              </w:rPr>
              <w:t>乙方</w:t>
            </w:r>
            <w:r>
              <w:rPr>
                <w:sz w:val="21"/>
              </w:rPr>
              <w:t>提供</w:t>
            </w:r>
            <w:r>
              <w:rPr>
                <w:sz w:val="21"/>
              </w:rPr>
              <w:t>7×24小时电话维护响应服务，应在收到</w:t>
            </w:r>
            <w:r>
              <w:rPr>
                <w:sz w:val="21"/>
              </w:rPr>
              <w:t>甲方</w:t>
            </w:r>
            <w:r>
              <w:rPr>
                <w:sz w:val="21"/>
              </w:rPr>
              <w:t>通知后</w:t>
            </w:r>
            <w:r>
              <w:rPr>
                <w:sz w:val="21"/>
              </w:rPr>
              <w:t>1小时响应，4小时内派员到现场维修（第二章 采购需求要求另有规定除外）, 并在48小时内消除障碍。质保期内，维修时间超过48小时，提供备用机或主要零配件；并按维修延误时间的1:5延长保修期。如停用时间累计超过60天则质保期重新计算。若</w:t>
            </w:r>
            <w:r>
              <w:rPr>
                <w:sz w:val="21"/>
              </w:rPr>
              <w:t>乙方</w:t>
            </w:r>
            <w:r>
              <w:rPr>
                <w:sz w:val="21"/>
              </w:rPr>
              <w:t>未能及时派员到现场维修，</w:t>
            </w:r>
            <w:r>
              <w:rPr>
                <w:sz w:val="21"/>
              </w:rPr>
              <w:t>乙方</w:t>
            </w:r>
            <w:r>
              <w:rPr>
                <w:sz w:val="21"/>
              </w:rPr>
              <w:t>应向</w:t>
            </w:r>
            <w:r>
              <w:rPr>
                <w:sz w:val="21"/>
              </w:rPr>
              <w:t>甲方</w:t>
            </w:r>
            <w:r>
              <w:rPr>
                <w:sz w:val="21"/>
              </w:rPr>
              <w:t>支付合同金额千分之五的违约金</w:t>
            </w:r>
            <w:r>
              <w:rPr>
                <w:sz w:val="21"/>
              </w:rPr>
              <w:t>/每次；若</w:t>
            </w:r>
            <w:r>
              <w:rPr>
                <w:sz w:val="21"/>
              </w:rPr>
              <w:t>乙方</w:t>
            </w:r>
            <w:r>
              <w:rPr>
                <w:sz w:val="21"/>
              </w:rPr>
              <w:t>未能在</w:t>
            </w:r>
            <w:r>
              <w:rPr>
                <w:sz w:val="21"/>
              </w:rPr>
              <w:t>48小时内消除障碍，</w:t>
            </w:r>
            <w:r>
              <w:rPr>
                <w:sz w:val="21"/>
              </w:rPr>
              <w:t>甲方</w:t>
            </w:r>
            <w:r>
              <w:rPr>
                <w:sz w:val="21"/>
              </w:rPr>
              <w:t>有权聘请第三方消除障碍，由此产生的费用由</w:t>
            </w:r>
            <w:r>
              <w:rPr>
                <w:sz w:val="21"/>
              </w:rPr>
              <w:t>乙方</w:t>
            </w:r>
            <w:r>
              <w:rPr>
                <w:sz w:val="21"/>
              </w:rPr>
              <w:t>承担。</w:t>
            </w:r>
          </w:p>
          <w:p>
            <w:pPr>
              <w:jc w:val="both"/>
            </w:pPr>
            <w:r>
              <w:rPr>
                <w:sz w:val="21"/>
              </w:rPr>
              <w:t>（三）保修期满后</w:t>
            </w:r>
            <w:r>
              <w:rPr>
                <w:sz w:val="21"/>
              </w:rPr>
              <w:t>乙方</w:t>
            </w:r>
            <w:r>
              <w:rPr>
                <w:sz w:val="21"/>
              </w:rPr>
              <w:t>对设备终身负责维修及系统软件免费升级，长期以优惠价提供零配件。质保期后对</w:t>
            </w:r>
            <w:r>
              <w:rPr>
                <w:sz w:val="21"/>
              </w:rPr>
              <w:t>甲方</w:t>
            </w:r>
            <w:r>
              <w:rPr>
                <w:sz w:val="21"/>
              </w:rPr>
              <w:t>的服务通知，</w:t>
            </w:r>
            <w:r>
              <w:rPr>
                <w:sz w:val="21"/>
              </w:rPr>
              <w:t>乙方</w:t>
            </w:r>
            <w:r>
              <w:rPr>
                <w:sz w:val="21"/>
              </w:rPr>
              <w:t>在接报后</w:t>
            </w:r>
            <w:r>
              <w:rPr>
                <w:sz w:val="21"/>
              </w:rPr>
              <w:t>1小时内响应，4小时内到达现场，48小时内处理完毕。若在48小时内仍未能有效解决，</w:t>
            </w:r>
            <w:r>
              <w:rPr>
                <w:sz w:val="21"/>
              </w:rPr>
              <w:t>乙方</w:t>
            </w:r>
            <w:r>
              <w:rPr>
                <w:sz w:val="21"/>
              </w:rPr>
              <w:t>须</w:t>
            </w:r>
            <w:r>
              <w:rPr>
                <w:sz w:val="21"/>
              </w:rPr>
              <w:t>48小时内提供同档次的设备或主要零配件予</w:t>
            </w:r>
            <w:r>
              <w:rPr>
                <w:sz w:val="21"/>
              </w:rPr>
              <w:t>甲方</w:t>
            </w:r>
            <w:r>
              <w:rPr>
                <w:sz w:val="21"/>
              </w:rPr>
              <w:t>临时使用。</w:t>
            </w:r>
          </w:p>
          <w:p>
            <w:pPr>
              <w:jc w:val="both"/>
            </w:pPr>
            <w:r>
              <w:rPr>
                <w:sz w:val="21"/>
              </w:rPr>
              <w:t>（四）因货物的质量问题发生争议时，由本地质量技术监督部门进行鉴定。货物符合质量技术标准的，鉴定费用由</w:t>
            </w:r>
            <w:r>
              <w:rPr>
                <w:sz w:val="21"/>
              </w:rPr>
              <w:t>甲方</w:t>
            </w:r>
            <w:r>
              <w:rPr>
                <w:sz w:val="21"/>
              </w:rPr>
              <w:t>承担；否则由</w:t>
            </w:r>
            <w:r>
              <w:rPr>
                <w:sz w:val="21"/>
              </w:rPr>
              <w:t>乙方</w:t>
            </w:r>
            <w:r>
              <w:rPr>
                <w:sz w:val="21"/>
              </w:rPr>
              <w:t>承担，且退货处理，按违约条例办理。</w:t>
            </w:r>
          </w:p>
          <w:p>
            <w:pPr>
              <w:jc w:val="both"/>
            </w:pPr>
            <w:r>
              <w:rPr>
                <w:sz w:val="21"/>
              </w:rPr>
              <w:t>（五）在质保期内，同一设备、出现相同或相似故障现象连续两次维修仍无法正常使用，无条件</w:t>
            </w:r>
            <w:r>
              <w:rPr>
                <w:sz w:val="21"/>
              </w:rPr>
              <w:t>48小时内更换同品牌、同型号新设备。</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w:t>
            </w:r>
            <w:r>
              <w:rPr>
                <w:sz w:val="21"/>
              </w:rPr>
              <w:t>签订合同后</w:t>
            </w:r>
            <w:r>
              <w:rPr>
                <w:sz w:val="21"/>
              </w:rPr>
              <w:t>5</w:t>
            </w:r>
            <w:r>
              <w:rPr>
                <w:sz w:val="21"/>
              </w:rPr>
              <w:t>个工作日内</w:t>
            </w:r>
            <w:r>
              <w:rPr>
                <w:sz w:val="21"/>
              </w:rPr>
              <w:t>，</w:t>
            </w:r>
            <w:r>
              <w:rPr>
                <w:sz w:val="21"/>
              </w:rPr>
              <w:t>甲方</w:t>
            </w:r>
            <w:r>
              <w:rPr>
                <w:sz w:val="21"/>
              </w:rPr>
              <w:t>向</w:t>
            </w:r>
            <w:r>
              <w:rPr>
                <w:sz w:val="21"/>
              </w:rPr>
              <w:t>乙方</w:t>
            </w:r>
            <w:r>
              <w:rPr>
                <w:sz w:val="21"/>
              </w:rPr>
              <w:t>支付合同总价的</w:t>
            </w:r>
            <w:r>
              <w:rPr>
                <w:sz w:val="21"/>
              </w:rPr>
              <w:t>30%。</w:t>
            </w:r>
          </w:p>
          <w:p>
            <w:pPr>
              <w:jc w:val="both"/>
            </w:pPr>
            <w:r>
              <w:rPr>
                <w:sz w:val="21"/>
              </w:rPr>
              <w:t>（</w:t>
            </w:r>
            <w:r>
              <w:rPr>
                <w:sz w:val="21"/>
              </w:rPr>
              <w:t>二</w:t>
            </w:r>
            <w:r>
              <w:rPr>
                <w:sz w:val="21"/>
              </w:rPr>
              <w:t>）设备到货安装结束后，向甲方提交全部报告材料、调试完成后，设备无故障正常使用一个月后验收，验收合格后乙方凭以下材料（包含但不限于）申请支付。甲方收到材料并确认后，</w:t>
            </w:r>
            <w:r>
              <w:rPr>
                <w:sz w:val="21"/>
              </w:rPr>
              <w:t>30日内向乙方支付至合同总额的</w:t>
            </w:r>
            <w:r>
              <w:rPr>
                <w:sz w:val="21"/>
              </w:rPr>
              <w:t>7</w:t>
            </w:r>
            <w:r>
              <w:rPr>
                <w:sz w:val="21"/>
              </w:rPr>
              <w:t>0%：</w:t>
            </w:r>
          </w:p>
          <w:p>
            <w:pPr>
              <w:jc w:val="both"/>
            </w:pPr>
            <w:r>
              <w:rPr>
                <w:sz w:val="21"/>
              </w:rPr>
              <w:t>1.甲方收货证明；</w:t>
            </w:r>
          </w:p>
          <w:p>
            <w:pPr>
              <w:jc w:val="both"/>
            </w:pPr>
            <w:r>
              <w:rPr>
                <w:sz w:val="21"/>
              </w:rPr>
              <w:t>2.乙方开具的正式发票；</w:t>
            </w:r>
          </w:p>
          <w:p>
            <w:pPr>
              <w:jc w:val="both"/>
            </w:pPr>
            <w:r>
              <w:rPr>
                <w:sz w:val="21"/>
              </w:rPr>
              <w:t>3.调试验收使用意见（加盖甲方验收部门章）。</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（一）结算方式：转账结算（银行转账）。</w:t>
            </w:r>
          </w:p>
          <w:p>
            <w:pPr>
              <w:jc w:val="both"/>
            </w:pPr>
            <w:r>
              <w:rPr>
                <w:sz w:val="21"/>
              </w:rPr>
              <w:t>（二）开具发票：乙方收款时必须持有效发票。收款方、出具发票方、合同乙方均必须与中标人名称一致。</w:t>
            </w:r>
          </w:p>
          <w:p>
            <w:pPr>
              <w:jc w:val="left"/>
            </w:pPr>
            <w:r>
              <w:rPr>
                <w:sz w:val="21"/>
              </w:rPr>
              <w:t>（三）付款期间如因特殊情况需调整，由双方协商处理。</w:t>
            </w:r>
          </w:p>
        </w:tc>
      </w:tr>
    </w:tbl>
    <w:p>
      <w:pPr>
        <w:jc w:val="both"/>
      </w:pPr>
      <w:r>
        <w:rPr>
          <w:b/>
          <w:sz w:val="21"/>
        </w:rPr>
        <w:t>三、验收要求</w:t>
      </w:r>
    </w:p>
    <w:p>
      <w:pPr>
        <w:jc w:val="both"/>
      </w:pPr>
      <w:r>
        <w:rPr>
          <w:sz w:val="21"/>
        </w:rPr>
        <w:t>（一）货物若有国家标准按照国家标准验收，若无国家标准按行业标准验收，为原制造商制造的全新产品，整机无污染，无侵权行为、表面无划损、无任何缺陷隐患，在中国境内可依常规安全合法使用。</w:t>
      </w:r>
    </w:p>
    <w:p>
      <w:pPr>
        <w:jc w:val="both"/>
      </w:pPr>
      <w:r>
        <w:rPr>
          <w:sz w:val="21"/>
        </w:rPr>
        <w:t>（二）货物为原厂商未启封全新包装，具出厂合格证，序列号、包装箱号与出厂批号一致，并可追索查阅。所有随设备的附件必须齐全。</w:t>
      </w:r>
    </w:p>
    <w:p>
      <w:pPr>
        <w:jc w:val="both"/>
      </w:pPr>
      <w:r>
        <w:rPr>
          <w:sz w:val="21"/>
        </w:rPr>
        <w:t>（三）乙方应将关键主机设备的用户手册、保修手册、有关单证资料及配备件、随机工具等交付给甲方，使用操作及安全须知等重要资料应附有中文说明。</w:t>
      </w:r>
    </w:p>
    <w:p>
      <w:pPr>
        <w:jc w:val="both"/>
      </w:pPr>
      <w:r>
        <w:rPr>
          <w:sz w:val="21"/>
        </w:rPr>
        <w:t>（四）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p>
      <w:pPr>
        <w:jc w:val="both"/>
      </w:pPr>
      <w:r>
        <w:rPr>
          <w:sz w:val="21"/>
        </w:rPr>
        <w:t>（</w:t>
      </w:r>
      <w:r>
        <w:rPr>
          <w:sz w:val="21"/>
        </w:rPr>
        <w:t>五</w:t>
      </w:r>
      <w:r>
        <w:rPr>
          <w:sz w:val="21"/>
        </w:rPr>
        <w:t>）如所投设备属于《中华人民共和国强制检定的工作计量器具目录》内的，验收时乙方需提供合法正规的计量合格证，否则验收不合格。</w:t>
      </w:r>
    </w:p>
    <w:p>
      <w:pPr>
        <w:jc w:val="both"/>
      </w:pPr>
      <w:r>
        <w:rPr>
          <w:b/>
          <w:sz w:val="21"/>
        </w:rPr>
        <w:t>（六）验收时，须提供放射类设备（移动式</w:t>
      </w:r>
      <w:r>
        <w:rPr>
          <w:b/>
          <w:sz w:val="21"/>
        </w:rPr>
        <w:t>C形臂X线机</w:t>
      </w:r>
      <w:r>
        <w:rPr>
          <w:b/>
          <w:sz w:val="21"/>
        </w:rPr>
        <w:t>和</w:t>
      </w:r>
      <w:r>
        <w:rPr>
          <w:b/>
          <w:sz w:val="21"/>
        </w:rPr>
        <w:t>便携式骨密度测定仪）的性能验收检测，并出具合法有效的检测合格证明。</w:t>
      </w:r>
    </w:p>
    <w:p>
      <w:pPr>
        <w:jc w:val="both"/>
      </w:pPr>
      <w:r>
        <w:rPr>
          <w:b/>
          <w:sz w:val="21"/>
        </w:rPr>
        <w:t>四、其他要求</w:t>
      </w:r>
    </w:p>
    <w:p>
      <w:pPr>
        <w:ind w:firstLine="420"/>
        <w:jc w:val="both"/>
      </w:pPr>
      <w:r>
        <w:rPr>
          <w:sz w:val="21"/>
        </w:rPr>
        <w:t>本项目为</w:t>
      </w:r>
      <w:r>
        <w:rPr>
          <w:sz w:val="21"/>
        </w:rPr>
        <w:t>“交钥匙”项目，乙方须承担及负责《招标文件》对乙方要求的一切事宜及责任。包含但不限于项目货物供货、运输装卸、保管、安装、调试、设备网络连接、送检、验收、培训、相关的税费、相关服务及合同实施过程中的应预见和不可预见等费用。若本项目采购的设备产品等方面的配置或要求中出现不合理或设备数量不完整的问题时，乙方有责任和义务在投标文件中提出补充修改方案并征得甲方同意后付诸实施。否则将视为提供实现相关功能的设备及服务的相关费用已包含在</w:t>
      </w:r>
      <w:r>
        <w:rPr>
          <w:sz w:val="21"/>
        </w:rPr>
        <w:t>合同金额</w:t>
      </w:r>
      <w:r>
        <w:rPr>
          <w:sz w:val="21"/>
        </w:rPr>
        <w:t>内，以达到本采购项目相关要求。</w:t>
      </w:r>
    </w:p>
    <w:p>
      <w:pPr>
        <w:jc w:val="both"/>
      </w:pPr>
      <w:r>
        <w:rPr>
          <w:b/>
          <w:sz w:val="21"/>
        </w:rPr>
        <w:t>五</w:t>
      </w:r>
      <w:r>
        <w:rPr>
          <w:b/>
          <w:sz w:val="21"/>
        </w:rPr>
        <w:t>、供货要求</w:t>
      </w:r>
    </w:p>
    <w:p>
      <w:pPr>
        <w:jc w:val="both"/>
      </w:pPr>
      <w:r>
        <w:rPr>
          <w:sz w:val="21"/>
        </w:rPr>
        <w:t>（一）所有产品来源均应符合有关规定，产品来源渠道合法。</w:t>
      </w:r>
    </w:p>
    <w:p>
      <w:pPr>
        <w:jc w:val="both"/>
      </w:pPr>
      <w:r>
        <w:rPr>
          <w:sz w:val="21"/>
        </w:rPr>
        <w:t>（二）乙方必须负责将所有设备运送至甲方指定的地点。</w:t>
      </w:r>
    </w:p>
    <w:p>
      <w:pPr>
        <w:jc w:val="both"/>
      </w:pPr>
      <w:r>
        <w:rPr>
          <w:sz w:val="21"/>
        </w:rPr>
        <w:t>（三）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r>
        <w:rPr>
          <w:sz w:val="21"/>
        </w:rPr>
        <w:t>（四）设备材料的包装必须是制造商原厂包装，其包装均应有良好的防湿、防锈、防潮、防雨、防腐及防碰撞的措施，凡由于包装不良造成的损失和由此产生的费用均由乙方承担。</w:t>
      </w:r>
    </w:p>
    <w:p>
      <w:pPr>
        <w:jc w:val="both"/>
      </w:pPr>
      <w:r>
        <w:rPr>
          <w:sz w:val="21"/>
        </w:rPr>
        <w:t>（五）货物在现场的保管由乙方负责，直至项目安装、验收完毕。</w:t>
      </w:r>
      <w:r>
        <w:rPr>
          <w:sz w:val="21"/>
        </w:rPr>
        <w:t>（六）货物在系统安装调试验收合格前的一切保险由乙方负责。乙方负责其派出的现场服务人员人身意外保险。</w:t>
      </w:r>
    </w:p>
    <w:p>
      <w:pPr>
        <w:jc w:val="both"/>
      </w:pPr>
      <w:r>
        <w:rPr>
          <w:sz w:val="21"/>
        </w:rPr>
        <w:t>（七）乙方投标时所提供的货物如在实际供货时已经停产（不列入该厂家当时的产品系统），如果未能按原报价提供更技术参数及质量优的货物，甲方将有权单方面终止合同的执行，并追究因乙方所提供的未达到所承诺的产品而产生的所有损失和责任。</w:t>
      </w:r>
    </w:p>
    <w:p>
      <w:pPr>
        <w:jc w:val="both"/>
      </w:pPr>
      <w:r>
        <w:rPr>
          <w:sz w:val="21"/>
        </w:rPr>
        <w:t>（八）乙方在实际供货时，若被发现提供的货物未能达到招标文件和投标文件中的有关要求，将按有关法规进行处罚，甲方将有权单方面终止合同的执行，并追究因乙方所提供的未达到所承诺的产品而产生的所有损失和责任。</w:t>
      </w:r>
    </w:p>
    <w:p>
      <w:pPr>
        <w:jc w:val="both"/>
      </w:pPr>
      <w:r>
        <w:rPr>
          <w:sz w:val="21"/>
        </w:rPr>
        <w:t>（九）乙方负责将货物运到甲方的使用现场（整个运输过程包括但不限于装卸车、货物到现场的搬运费用）。</w:t>
      </w:r>
    </w:p>
    <w:p>
      <w:pPr>
        <w:jc w:val="both"/>
      </w:pPr>
      <w:r>
        <w:rPr>
          <w:sz w:val="21"/>
        </w:rPr>
        <w:t>（十）所有货物在开箱检验时必须完好，无破损，各种设备必须提供装箱清单，按装箱清单验收货物。货物外观清洁。数量、质量及性能不低于乙方投标文件中所投产品设备的数量和性能。</w:t>
      </w:r>
    </w:p>
    <w:p>
      <w:pPr>
        <w:jc w:val="both"/>
      </w:pPr>
      <w:r>
        <w:rPr>
          <w:sz w:val="21"/>
        </w:rPr>
        <w:t>（十一）如乙方所投产品为第二类医疗器械，须在签订合同前向甲方提供有效的医疗器械经营备案凭证复印件。</w:t>
      </w:r>
    </w:p>
    <w:p>
      <w:pPr>
        <w:jc w:val="both"/>
      </w:pPr>
      <w:r>
        <w:rPr>
          <w:b/>
          <w:sz w:val="21"/>
        </w:rPr>
        <w:t>六</w:t>
      </w:r>
      <w:r>
        <w:rPr>
          <w:b/>
          <w:sz w:val="21"/>
        </w:rPr>
        <w:t>、培训要求</w:t>
      </w:r>
    </w:p>
    <w:p>
      <w:pPr>
        <w:jc w:val="both"/>
      </w:pPr>
      <w:r>
        <w:rPr>
          <w:sz w:val="21"/>
        </w:rPr>
        <w:t>（一）乙方须根据甲方的要求安排熟悉本项目的专业技术人员在甲方指定的使用科室（甲方办公地点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（三）所有的培训费用包含乙方的差旅、食宿、教材、资料等由乙方负责，均包含在合同金额中。</w:t>
      </w:r>
    </w:p>
    <w:p>
      <w:pPr>
        <w:jc w:val="both"/>
      </w:pPr>
      <w:r>
        <w:rPr>
          <w:b/>
          <w:sz w:val="21"/>
        </w:rPr>
        <w:t>七</w:t>
      </w:r>
      <w:r>
        <w:rPr>
          <w:b/>
          <w:sz w:val="21"/>
        </w:rPr>
        <w:t>、安装</w:t>
      </w:r>
      <w:r>
        <w:rPr>
          <w:b/>
          <w:sz w:val="21"/>
        </w:rPr>
        <w:t>与</w:t>
      </w:r>
      <w:r>
        <w:rPr>
          <w:b/>
          <w:sz w:val="21"/>
        </w:rPr>
        <w:t>调试</w:t>
      </w:r>
    </w:p>
    <w:p>
      <w:pPr>
        <w:jc w:val="both"/>
      </w:pPr>
      <w:r>
        <w:rPr>
          <w:sz w:val="21"/>
        </w:rPr>
        <w:t>（一）乙方必须依照招标文件的要求和投标文件的承诺，将设备、系统安装并调试至正常运行的最佳状态。</w:t>
      </w:r>
    </w:p>
    <w:p>
      <w:pPr>
        <w:jc w:val="both"/>
      </w:pPr>
      <w:r>
        <w:rPr>
          <w:sz w:val="21"/>
        </w:rPr>
        <w:t>（二）</w:t>
      </w:r>
      <w:r>
        <w:rPr>
          <w:sz w:val="21"/>
        </w:rPr>
        <w:t>签订合同时中标人必须提供所有设备的医疗设备注册证，中标人若为代理经销商的，须提供有效的授权证明资料，或提供连贯的产品合法性来源证明资料。</w:t>
      </w:r>
    </w:p>
    <w:p>
      <w:pPr>
        <w:jc w:val="both"/>
      </w:pPr>
      <w:r>
        <w:rPr>
          <w:b/>
          <w:sz w:val="21"/>
        </w:rPr>
        <w:t>八</w:t>
      </w:r>
      <w:r>
        <w:rPr>
          <w:b/>
          <w:sz w:val="21"/>
        </w:rPr>
        <w:t>、违约条款与赔偿损失</w:t>
      </w:r>
    </w:p>
    <w:p>
      <w:pPr>
        <w:jc w:val="both"/>
      </w:pPr>
      <w:r>
        <w:rPr>
          <w:sz w:val="21"/>
        </w:rPr>
        <w:t>（一）乙方交付的货物、提供的服务不符合采购文件、报价文件或本合同规定的，甲方有权拒收，并且乙方须向甲方支付本合同总价</w:t>
      </w:r>
      <w:r>
        <w:rPr>
          <w:sz w:val="21"/>
        </w:rPr>
        <w:t>5%的违约金。</w:t>
      </w:r>
    </w:p>
    <w:p>
      <w:pPr>
        <w:jc w:val="both"/>
      </w:pPr>
      <w:r>
        <w:rPr>
          <w:sz w:val="21"/>
        </w:rPr>
        <w:t>（二）乙方未能按本合同规定的交货时间交付货物</w:t>
      </w:r>
      <w:r>
        <w:rPr>
          <w:sz w:val="21"/>
        </w:rPr>
        <w:t>/提供服务，从逾期之日起每日按本合同总价3‰的数额向甲方支付违约金；逾期半个月以上的，甲方有权终止合同，由此造成的甲方经济损失由乙方承担。</w:t>
      </w:r>
    </w:p>
    <w:p>
      <w:pPr>
        <w:jc w:val="both"/>
      </w:pPr>
      <w:r>
        <w:rPr>
          <w:sz w:val="21"/>
        </w:rPr>
        <w:t>（三）甲方无正当理由拒收货物</w:t>
      </w:r>
      <w:r>
        <w:rPr>
          <w:sz w:val="21"/>
        </w:rPr>
        <w:t>/接受服务，到期拒付货物/服务款项的，甲方向乙方偿付本合同总价5%的违约金。甲方逾期付款的，则每日按本合同总价的3‰向乙方偿付违约金。</w:t>
      </w:r>
    </w:p>
    <w:p>
      <w:pPr>
        <w:jc w:val="both"/>
      </w:pPr>
      <w:r>
        <w:rPr>
          <w:sz w:val="21"/>
        </w:rPr>
        <w:t>（四）其它违约责任按《中华人民共和国民法典》处理。</w:t>
      </w:r>
    </w:p>
    <w:p>
      <w:pPr>
        <w:jc w:val="both"/>
      </w:pPr>
      <w:r>
        <w:rPr>
          <w:b/>
          <w:sz w:val="21"/>
        </w:rPr>
        <w:t>九</w:t>
      </w:r>
      <w:r>
        <w:rPr>
          <w:b/>
          <w:sz w:val="21"/>
        </w:rPr>
        <w:t>、知识产权</w:t>
      </w:r>
    </w:p>
    <w:p>
      <w:pPr>
        <w:jc w:val="left"/>
      </w:pPr>
      <w:r>
        <w:rPr>
          <w:sz w:val="21"/>
        </w:rPr>
        <w:t>（一）</w:t>
      </w:r>
      <w:r>
        <w:rPr>
          <w:sz w:val="21"/>
        </w:rPr>
        <w:t>乙方</w:t>
      </w:r>
      <w:r>
        <w:rPr>
          <w:sz w:val="21"/>
        </w:rPr>
        <w:t>应保证向</w:t>
      </w:r>
      <w:r>
        <w:rPr>
          <w:sz w:val="21"/>
        </w:rPr>
        <w:t>甲方</w:t>
      </w:r>
      <w:r>
        <w:rPr>
          <w:sz w:val="21"/>
        </w:rPr>
        <w:t>销售的本采购合同项下的货物或其任何部分不侵犯任何第三方知识产权，并保证</w:t>
      </w:r>
      <w:r>
        <w:rPr>
          <w:sz w:val="21"/>
        </w:rPr>
        <w:t>甲方</w:t>
      </w:r>
      <w:r>
        <w:rPr>
          <w:sz w:val="21"/>
        </w:rPr>
        <w:t>购买和正常使用货物过程中免受第三方就知识产权侵权提出的任何纠纷、制裁、索赔或起诉。</w:t>
      </w:r>
    </w:p>
    <w:p>
      <w:pPr>
        <w:jc w:val="left"/>
      </w:pPr>
      <w:r>
        <w:rPr>
          <w:sz w:val="21"/>
        </w:rPr>
        <w:t>（二）</w:t>
      </w:r>
      <w:r>
        <w:rPr>
          <w:sz w:val="21"/>
        </w:rPr>
        <w:t>甲方</w:t>
      </w:r>
      <w:r>
        <w:rPr>
          <w:sz w:val="21"/>
        </w:rPr>
        <w:t>不对</w:t>
      </w:r>
      <w:r>
        <w:rPr>
          <w:sz w:val="21"/>
        </w:rPr>
        <w:t>乙方</w:t>
      </w:r>
      <w:r>
        <w:rPr>
          <w:sz w:val="21"/>
        </w:rPr>
        <w:t>提供的货物是否侵犯他人权利负责，如因</w:t>
      </w:r>
      <w:r>
        <w:rPr>
          <w:sz w:val="21"/>
        </w:rPr>
        <w:t>乙方</w:t>
      </w:r>
      <w:r>
        <w:rPr>
          <w:sz w:val="21"/>
        </w:rPr>
        <w:t>提供的货物因任何知识产权问题给</w:t>
      </w:r>
      <w:r>
        <w:rPr>
          <w:sz w:val="21"/>
        </w:rPr>
        <w:t>甲方</w:t>
      </w:r>
      <w:r>
        <w:rPr>
          <w:sz w:val="21"/>
        </w:rPr>
        <w:t>造成损失的，无论是执行合同期间或合同到期后的任何时间，</w:t>
      </w:r>
      <w:r>
        <w:rPr>
          <w:sz w:val="21"/>
        </w:rPr>
        <w:t>乙方</w:t>
      </w:r>
      <w:r>
        <w:rPr>
          <w:sz w:val="21"/>
        </w:rPr>
        <w:t>均应负责解决纠纷</w:t>
      </w:r>
      <w:r>
        <w:rPr>
          <w:sz w:val="21"/>
        </w:rPr>
        <w:t>,</w:t>
      </w:r>
      <w:r>
        <w:rPr>
          <w:sz w:val="21"/>
        </w:rPr>
        <w:t>并按</w:t>
      </w:r>
      <w:r>
        <w:rPr>
          <w:sz w:val="21"/>
        </w:rPr>
        <w:t>甲方</w:t>
      </w:r>
      <w:r>
        <w:rPr>
          <w:sz w:val="21"/>
        </w:rPr>
        <w:t>损失金额的</w:t>
      </w:r>
      <w:r>
        <w:rPr>
          <w:sz w:val="21"/>
        </w:rPr>
        <w:t>1.5</w:t>
      </w:r>
      <w:r>
        <w:rPr>
          <w:sz w:val="21"/>
        </w:rPr>
        <w:t>倍进行赔偿。</w:t>
      </w:r>
    </w:p>
    <w:p>
      <w:pPr>
        <w:jc w:val="both"/>
      </w:pPr>
      <w:r>
        <w:rPr>
          <w:sz w:val="21"/>
        </w:rPr>
        <w:t>（三）对于货物的知识产权非</w:t>
      </w:r>
      <w:r>
        <w:rPr>
          <w:sz w:val="21"/>
        </w:rPr>
        <w:t>乙方</w:t>
      </w:r>
      <w:r>
        <w:rPr>
          <w:sz w:val="21"/>
        </w:rPr>
        <w:t>所有的，</w:t>
      </w:r>
      <w:r>
        <w:rPr>
          <w:sz w:val="21"/>
        </w:rPr>
        <w:t>乙方</w:t>
      </w:r>
      <w:r>
        <w:rPr>
          <w:sz w:val="21"/>
        </w:rPr>
        <w:t>应向</w:t>
      </w:r>
      <w:r>
        <w:rPr>
          <w:sz w:val="21"/>
        </w:rPr>
        <w:t>甲方</w:t>
      </w:r>
      <w:r>
        <w:rPr>
          <w:sz w:val="21"/>
        </w:rPr>
        <w:t>提供货物的正规销售授权文件。</w:t>
      </w:r>
    </w:p>
    <w:p>
      <w:pPr>
        <w:jc w:val="both"/>
      </w:pPr>
      <w:r>
        <w:rPr>
          <w:b/>
          <w:sz w:val="21"/>
        </w:rPr>
        <w:t>十</w:t>
      </w:r>
      <w:r>
        <w:rPr>
          <w:b/>
          <w:sz w:val="21"/>
        </w:rPr>
        <w:t>、提出异议的时间和方法：</w:t>
      </w:r>
    </w:p>
    <w:p>
      <w:pPr>
        <w:jc w:val="both"/>
      </w:pPr>
      <w:r>
        <w:rPr>
          <w:sz w:val="21"/>
        </w:rPr>
        <w:t>1.甲方在验收后</w:t>
      </w:r>
      <w:r>
        <w:rPr>
          <w:sz w:val="21"/>
          <w:u w:val="single"/>
        </w:rPr>
        <w:t>7</w:t>
      </w:r>
      <w:r>
        <w:rPr>
          <w:sz w:val="21"/>
        </w:rPr>
        <w:t>天内如对货物的型号、规格、质量有异议时，应在妥善保管货物的同时，即向乙方提出书面异议。</w:t>
      </w:r>
    </w:p>
    <w:p>
      <w:pPr>
        <w:jc w:val="both"/>
      </w:pPr>
      <w:r>
        <w:rPr>
          <w:sz w:val="21"/>
        </w:rPr>
        <w:t>2.乙方在接到甲方书面异议后，应在3天内负责处理并函复甲方处理情况，否则，即视为默认甲方提出的异议和处理意见。</w:t>
      </w:r>
    </w:p>
    <w:p>
      <w:pPr>
        <w:jc w:val="both"/>
      </w:pPr>
      <w:r>
        <w:rPr>
          <w:sz w:val="21"/>
        </w:rPr>
        <w:t>3.甲方因违章操作、保管、保养不善等人为造成货物损毁，所提出的异议乙方有权不予接受。</w:t>
      </w:r>
    </w:p>
    <w:p>
      <w:pPr>
        <w:jc w:val="both"/>
      </w:pPr>
      <w:r>
        <w:rPr>
          <w:sz w:val="21"/>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jc w:val="both"/>
      </w:pPr>
      <w:r>
        <w:rPr>
          <w:b/>
          <w:sz w:val="21"/>
        </w:rPr>
        <w:t>十</w:t>
      </w:r>
      <w:r>
        <w:rPr>
          <w:b/>
          <w:sz w:val="21"/>
        </w:rPr>
        <w:t>一</w:t>
      </w:r>
      <w:r>
        <w:rPr>
          <w:b/>
          <w:sz w:val="21"/>
        </w:rPr>
        <w:t>、争议的解决：</w:t>
      </w:r>
    </w:p>
    <w:p>
      <w:pPr>
        <w:jc w:val="both"/>
      </w:pPr>
      <w:r>
        <w:rPr>
          <w:sz w:val="21"/>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且退货处理，按违约条例办理。</w:t>
      </w:r>
    </w:p>
    <w:p>
      <w:pPr>
        <w:jc w:val="both"/>
      </w:pPr>
      <w:r>
        <w:rPr>
          <w:sz w:val="21"/>
        </w:rPr>
        <w:t>2.法院审理期间，除提交法院审理的事项外，其它无争议的事项和条款仍应继续履行。</w:t>
      </w:r>
    </w:p>
    <w:p>
      <w:pPr>
        <w:jc w:val="both"/>
      </w:pPr>
      <w:r>
        <w:rPr>
          <w:b/>
          <w:sz w:val="21"/>
        </w:rPr>
        <w:t>十</w:t>
      </w:r>
      <w:r>
        <w:rPr>
          <w:b/>
          <w:sz w:val="21"/>
        </w:rPr>
        <w:t>二</w:t>
      </w:r>
      <w:r>
        <w:rPr>
          <w:b/>
          <w:sz w:val="21"/>
        </w:rPr>
        <w:t>、不可抗力：</w:t>
      </w:r>
    </w:p>
    <w:p>
      <w:pPr>
        <w:ind w:firstLine="48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三</w:t>
      </w:r>
      <w:r>
        <w:rPr>
          <w:b/>
          <w:sz w:val="21"/>
        </w:rPr>
        <w:t>、税费：</w:t>
      </w:r>
    </w:p>
    <w:p>
      <w:pPr>
        <w:jc w:val="both"/>
      </w:pPr>
      <w:r>
        <w:rPr>
          <w:sz w:val="21"/>
        </w:rPr>
        <w:t>1.本合同实施过程中所发生的一切税费及不可预见费均由乙方承担。</w:t>
      </w:r>
    </w:p>
    <w:p>
      <w:pPr>
        <w:jc w:val="both"/>
      </w:pPr>
      <w:r>
        <w:rPr>
          <w:sz w:val="21"/>
        </w:rPr>
        <w:t>2.乙方依照税务规章优先在合同履约地开具发票及纳税，咨询：0757-12366。</w:t>
      </w:r>
    </w:p>
    <w:p>
      <w:pPr>
        <w:jc w:val="both"/>
      </w:pPr>
      <w:r>
        <w:rPr>
          <w:b/>
          <w:sz w:val="21"/>
        </w:rPr>
        <w:t>十</w:t>
      </w:r>
      <w:r>
        <w:rPr>
          <w:b/>
          <w:sz w:val="21"/>
        </w:rPr>
        <w:t>四</w:t>
      </w:r>
      <w:r>
        <w:rPr>
          <w:b/>
          <w:sz w:val="21"/>
        </w:rPr>
        <w:t>、合同生效与合同备案：</w:t>
      </w:r>
    </w:p>
    <w:p>
      <w:pPr>
        <w:jc w:val="both"/>
      </w:pPr>
      <w:r>
        <w:rPr>
          <w:sz w:val="21"/>
        </w:rPr>
        <w:t>1.本合同在甲乙双方法人代表或其授权代表签字盖章后生效。</w:t>
      </w:r>
    </w:p>
    <w:p>
      <w:pPr>
        <w:jc w:val="both"/>
      </w:pPr>
      <w:r>
        <w:rPr>
          <w:sz w:val="21"/>
        </w:rPr>
        <w:t>2.自采购合同签订之日起2个工作日内，由甲方按照有关规定将采购合同副本报同级人民政府财政部门（政府采购管理部门）备案。</w:t>
      </w:r>
    </w:p>
    <w:p>
      <w:pPr>
        <w:jc w:val="both"/>
      </w:pPr>
      <w:r>
        <w:rPr>
          <w:b/>
          <w:sz w:val="21"/>
        </w:rPr>
        <w:t>十</w:t>
      </w:r>
      <w:r>
        <w:rPr>
          <w:b/>
          <w:sz w:val="21"/>
        </w:rPr>
        <w:t>五</w:t>
      </w:r>
      <w:r>
        <w:rPr>
          <w:b/>
          <w:sz w:val="21"/>
        </w:rPr>
        <w:t>、乙方应提供的资料内容：</w:t>
      </w:r>
    </w:p>
    <w:p>
      <w:pPr>
        <w:jc w:val="both"/>
      </w:pPr>
      <w:r>
        <w:rPr>
          <w:sz w:val="21"/>
        </w:rPr>
        <w:t>1.中国境内制造的产品必须提供出厂合格证，并提供甲方名下终端客户保修注册资料。</w:t>
      </w:r>
    </w:p>
    <w:p>
      <w:pPr>
        <w:jc w:val="both"/>
      </w:pPr>
      <w:r>
        <w:rPr>
          <w:sz w:val="21"/>
        </w:rPr>
        <w:t>2.关键产品/主机设备的用户手册、保修手册、有关单证资料及配备件、随机工具等，使用操作及安全须知等重要资料应附有中文说明。</w:t>
      </w:r>
    </w:p>
    <w:p>
      <w:pPr>
        <w:jc w:val="both"/>
      </w:pPr>
      <w:r>
        <w:rPr>
          <w:b/>
          <w:sz w:val="21"/>
        </w:rPr>
        <w:t>十</w:t>
      </w:r>
      <w:r>
        <w:rPr>
          <w:b/>
          <w:sz w:val="21"/>
        </w:rPr>
        <w:t>六</w:t>
      </w:r>
      <w:r>
        <w:rPr>
          <w:b/>
          <w:sz w:val="21"/>
        </w:rPr>
        <w:t>、关于政府采购合同融资</w:t>
      </w:r>
    </w:p>
    <w:p>
      <w:pPr>
        <w:jc w:val="both"/>
      </w:pPr>
      <w:r>
        <w:rPr>
          <w:sz w:val="21"/>
        </w:rPr>
        <w:t>1.乙方是否已申请政府采购合同融资：</w:t>
      </w:r>
      <w:r>
        <w:rPr>
          <w:sz w:val="21"/>
          <w:u w:val="single"/>
        </w:rPr>
        <w:t xml:space="preserve">  </w:t>
      </w:r>
      <w:r>
        <w:rPr>
          <w:sz w:val="21"/>
          <w:u w:val="single"/>
        </w:rPr>
        <w:t>是</w:t>
      </w:r>
      <w:r>
        <w:rPr>
          <w:sz w:val="21"/>
          <w:u w:val="single"/>
        </w:rPr>
        <w:t xml:space="preserve">/否  </w:t>
      </w:r>
      <w:r>
        <w:rPr>
          <w:sz w:val="21"/>
        </w:rPr>
        <w:t>；</w:t>
      </w:r>
    </w:p>
    <w:p>
      <w:pPr>
        <w:jc w:val="both"/>
      </w:pPr>
      <w:r>
        <w:rPr>
          <w:sz w:val="21"/>
        </w:rPr>
        <w:t>融资银行及联系方式：</w:t>
      </w:r>
      <w:r>
        <w:rPr>
          <w:sz w:val="21"/>
          <w:u w:val="single"/>
        </w:rPr>
        <w:t xml:space="preserve">                                            </w:t>
      </w:r>
      <w:r>
        <w:rPr>
          <w:sz w:val="21"/>
        </w:rPr>
        <w:t>。</w:t>
      </w:r>
    </w:p>
    <w:p>
      <w:pPr>
        <w:jc w:val="both"/>
      </w:pPr>
      <w:r>
        <w:rPr>
          <w:sz w:val="21"/>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jc w:val="both"/>
      </w:pPr>
      <w:r>
        <w:rPr>
          <w:b/>
          <w:sz w:val="21"/>
        </w:rPr>
        <w:t>十</w:t>
      </w:r>
      <w:r>
        <w:rPr>
          <w:b/>
          <w:sz w:val="21"/>
        </w:rPr>
        <w:t>七</w:t>
      </w:r>
      <w:r>
        <w:rPr>
          <w:b/>
          <w:sz w:val="21"/>
        </w:rPr>
        <w:t>、其它：</w:t>
      </w:r>
    </w:p>
    <w:p>
      <w:pPr>
        <w:jc w:val="both"/>
      </w:pPr>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2.如一方（包括联系人）地址、电话、传真号码有变更，应在变更后3个工作日内书面通知对方联系人或负责人，否则，因此造成的损失由未履行通知义务方承担相应责任。</w:t>
      </w:r>
    </w:p>
    <w:p>
      <w:pPr>
        <w:jc w:val="both"/>
      </w:pPr>
      <w:r>
        <w:rPr>
          <w:sz w:val="21"/>
        </w:rPr>
        <w:t>3.未经甲方书面同意，乙方不得擅自向第三方转让其主体性和关键性合同义务。</w:t>
      </w:r>
    </w:p>
    <w:p>
      <w:pPr>
        <w:jc w:val="both"/>
      </w:pPr>
      <w:r>
        <w:rPr>
          <w:sz w:val="21"/>
        </w:rPr>
        <w:t>4.本合同一式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jc w:val="both"/>
      </w:pPr>
      <w:r>
        <w:rPr>
          <w:sz w:val="21"/>
        </w:rPr>
        <w:t>5.本合同（含附件）共计</w:t>
      </w:r>
      <w:r>
        <w:rPr>
          <w:sz w:val="21"/>
          <w:u w:val="single"/>
        </w:rPr>
        <w:t xml:space="preserve">     </w:t>
      </w:r>
      <w:r>
        <w:rPr>
          <w:sz w:val="21"/>
        </w:rPr>
        <w:t>页</w:t>
      </w:r>
      <w:r>
        <w:rPr>
          <w:sz w:val="21"/>
        </w:rPr>
        <w:t>A4纸张，缺页之合同为无效合同。</w:t>
      </w:r>
    </w:p>
    <w:p>
      <w:pPr>
        <w:jc w:val="both"/>
      </w:pPr>
      <w:r>
        <w:rPr>
          <w:sz w:val="21"/>
        </w:rPr>
        <w:t>6.本合同签约履约地点：广东省佛山市。</w:t>
      </w:r>
    </w:p>
    <w:p>
      <w:pPr>
        <w:jc w:val="both"/>
      </w:pPr>
      <w:r>
        <w:rPr>
          <w:sz w:val="21"/>
        </w:rPr>
        <w:t>7.本合同所指“书面通知”包括但不限于短信、电子邮件等数据电文的通知形式，到达时间以民事诉讼法的规定为准，但进行书面通知前后，通知方均有义务电话确认通知事项。</w:t>
      </w:r>
    </w:p>
    <w:p>
      <w:pPr>
        <w:jc w:val="both"/>
      </w:pPr>
      <w:r>
        <w:rPr>
          <w:sz w:val="21"/>
        </w:rPr>
        <w:t>8.双方均已对以上各条款及附件作充分了解，并明确理解由此而产生的相关权责。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10"/>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96"/>
            <w:tcBorders>
              <w:top w:val="none" w:color="000000" w:sz="4"/>
              <w:left w:val="none" w:color="000000" w:sz="4"/>
              <w:bottom w:val="single" w:color="FFFFFF" w:sz="4"/>
              <w:right w:val="dashed" w:color="000000" w:sz="4"/>
            </w:tcBorders>
            <w:vAlign w:val="top"/>
          </w:tcPr>
          <w:p>
            <w:pPr>
              <w:jc w:val="both"/>
            </w:pPr>
          </w:p>
          <w:p>
            <w:pPr>
              <w:jc w:val="both"/>
            </w:pPr>
            <w:r>
              <w:rPr>
                <w:b/>
                <w:sz w:val="21"/>
              </w:rPr>
              <w:t>鉴证单位（盖章）：广东中采招标有限公司</w:t>
            </w:r>
          </w:p>
          <w:p>
            <w:pPr>
              <w:jc w:val="both"/>
            </w:pPr>
            <w:r>
              <w:rPr>
                <w:b/>
                <w:sz w:val="21"/>
              </w:rPr>
              <w:t>经确认，与招标文件及投标文件内容相符。</w:t>
            </w:r>
          </w:p>
          <w:p>
            <w:pPr>
              <w:jc w:val="both"/>
            </w:pPr>
            <w:r>
              <w:rPr>
                <w:b/>
                <w:sz w:val="21"/>
              </w:rPr>
              <w:t>代表：</w:t>
            </w:r>
          </w:p>
          <w:p>
            <w:pPr>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tc>
        <w:tc>
          <w:tcPr>
            <w:tcW w:type="dxa" w:w="4010"/>
            <w:tcBorders>
              <w:top w:val="none" w:color="000000" w:sz="4"/>
              <w:left w:val="none" w:color="000000" w:sz="4"/>
              <w:bottom w:val="single" w:color="FFFFFF"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w:t>
            </w:r>
            <w:r>
              <w:rPr>
                <w:sz w:val="21"/>
              </w:rPr>
              <w:t>户</w:t>
            </w:r>
            <w:r>
              <w:rPr>
                <w:sz w:val="21"/>
              </w:rPr>
              <w:t>行：</w:t>
            </w:r>
          </w:p>
        </w:tc>
      </w:tr>
    </w:tbl>
    <w:p>
      <w:pPr>
        <w:jc w:val="both"/>
      </w:pPr>
    </w:p>
    <w:p>
      <w:pPr>
        <w:jc w:val="both"/>
      </w:pPr>
    </w:p>
    <w:p>
      <w:pPr>
        <w:jc w:val="both"/>
      </w:pPr>
      <w:r>
        <w:rPr>
          <w:b/>
          <w:sz w:val="21"/>
        </w:rPr>
        <w:t>合同附件清单：</w:t>
      </w:r>
    </w:p>
    <w:p>
      <w:pPr>
        <w:jc w:val="both"/>
      </w:pPr>
      <w:r>
        <w:rPr>
          <w:b/>
          <w:sz w:val="21"/>
        </w:rPr>
        <w:t>附件一：《报价清单明细表》</w:t>
      </w:r>
      <w:r>
        <w:rPr>
          <w:b/>
          <w:sz w:val="21"/>
        </w:rPr>
        <w:t>/（设备名称）配置清单</w:t>
      </w:r>
    </w:p>
    <w:p>
      <w:pPr>
        <w:jc w:val="both"/>
      </w:pPr>
      <w:r>
        <w:rPr>
          <w:b/>
          <w:sz w:val="21"/>
        </w:rPr>
        <w:t>附件二：医疗设备注册证</w:t>
      </w:r>
    </w:p>
    <w:p>
      <w:pPr>
        <w:jc w:val="both"/>
      </w:pPr>
      <w:r>
        <w:rPr>
          <w:b/>
          <w:sz w:val="21"/>
        </w:rPr>
        <w:t>附件三：有效的授权证明资料（乙方若为代理经销商）（其中一份为原件）</w:t>
      </w:r>
    </w:p>
    <w:p>
      <w:pPr>
        <w:jc w:val="both"/>
      </w:pPr>
      <w:r>
        <w:rPr>
          <w:b/>
          <w:sz w:val="21"/>
        </w:rPr>
        <w:t>附件四：厂家售后承诺书（其中一份为原件）</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b/>
          <w:sz w:val="21"/>
        </w:rPr>
        <w:t xml:space="preserve"> </w:t>
      </w:r>
    </w:p>
    <w:p>
      <w:pPr>
        <w:jc w:val="center"/>
      </w:pPr>
      <w:r>
        <w:rPr>
          <w:b/>
          <w:sz w:val="21"/>
        </w:rPr>
        <w:t xml:space="preserve"> </w:t>
      </w:r>
    </w:p>
    <w:p>
      <w:pPr>
        <w:jc w:val="center"/>
      </w:pPr>
    </w:p>
    <w:p>
      <w:pPr>
        <w:jc w:val="center"/>
      </w:pPr>
    </w:p>
    <w:p>
      <w:pPr>
        <w:jc w:val="center"/>
      </w:pPr>
    </w:p>
    <w:p>
      <w:pPr>
        <w:jc w:val="center"/>
      </w:pPr>
      <w:r>
        <w:rPr>
          <w:b/>
          <w:sz w:val="21"/>
        </w:rPr>
        <w:t xml:space="preserve"> </w:t>
      </w:r>
    </w:p>
    <w:p>
      <w:pPr>
        <w:jc w:val="center"/>
      </w:pPr>
      <w:r>
        <w:rPr>
          <w:sz w:val="68"/>
        </w:rPr>
        <w:t>佛山市政府采购项目</w:t>
      </w:r>
    </w:p>
    <w:p>
      <w:pPr>
        <w:jc w:val="center"/>
      </w:pPr>
      <w:r>
        <w:rPr>
          <w:sz w:val="68"/>
        </w:rPr>
        <w:t>合同书</w:t>
      </w:r>
    </w:p>
    <w:p>
      <w:pPr>
        <w:jc w:val="center"/>
      </w:pPr>
    </w:p>
    <w:p>
      <w:pPr>
        <w:jc w:val="center"/>
      </w:pPr>
    </w:p>
    <w:p>
      <w:pPr>
        <w:jc w:val="center"/>
      </w:pPr>
    </w:p>
    <w:p>
      <w:pPr>
        <w:jc w:val="center"/>
      </w:pPr>
    </w:p>
    <w:p>
      <w:pPr>
        <w:jc w:val="center"/>
      </w:pPr>
    </w:p>
    <w:p>
      <w:pPr>
        <w:ind w:firstLine="843"/>
        <w:jc w:val="both"/>
      </w:pPr>
      <w:r>
        <w:rPr>
          <w:b/>
          <w:sz w:val="24"/>
        </w:rPr>
        <w:t>项目编号：</w:t>
      </w:r>
      <w:r>
        <w:rPr>
          <w:b/>
          <w:sz w:val="24"/>
          <w:u w:val="single"/>
        </w:rPr>
        <w:t>GDZC-23GZ158</w:t>
      </w:r>
    </w:p>
    <w:p>
      <w:pPr>
        <w:ind w:firstLine="843"/>
        <w:jc w:val="both"/>
      </w:pPr>
      <w:r>
        <w:rPr>
          <w:b/>
          <w:sz w:val="24"/>
        </w:rPr>
        <w:t>项目名称：</w:t>
      </w:r>
      <w:r>
        <w:rPr>
          <w:b/>
          <w:sz w:val="24"/>
          <w:u w:val="single"/>
        </w:rPr>
        <w:t>2023</w:t>
      </w:r>
      <w:r>
        <w:rPr>
          <w:b/>
          <w:sz w:val="24"/>
          <w:u w:val="single"/>
        </w:rPr>
        <w:t>年顺德区第三人民医院专用设备购置项目</w:t>
      </w:r>
    </w:p>
    <w:p>
      <w:pPr>
        <w:ind w:firstLine="843"/>
        <w:jc w:val="both"/>
      </w:pPr>
      <w:r>
        <w:rPr>
          <w:b/>
          <w:sz w:val="24"/>
        </w:rPr>
        <w:t>包组号：包组三（</w:t>
      </w:r>
      <w:r>
        <w:rPr>
          <w:b/>
          <w:sz w:val="24"/>
        </w:rPr>
        <w:t>麻醉监护仪等</w:t>
      </w:r>
      <w:r>
        <w:rPr>
          <w:b/>
          <w:sz w:val="24"/>
        </w:rPr>
        <w:t>）</w:t>
      </w:r>
    </w:p>
    <w:p>
      <w:pPr>
        <w:jc w:val="center"/>
      </w:pPr>
    </w:p>
    <w:p>
      <w:pPr>
        <w:jc w:val="center"/>
      </w:pPr>
    </w:p>
    <w:p>
      <w:pPr>
        <w:jc w:val="center"/>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596"/>
        <w:gridCol w:w="6710"/>
      </w:tblGrid>
      <w:tr>
        <w:tc>
          <w:tcPr>
            <w:tcW w:type="dxa" w:w="1596"/>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6710"/>
            <w:tcBorders>
              <w:top w:val="none" w:color="000000" w:sz="4"/>
              <w:left w:val="none" w:color="000000" w:sz="4"/>
              <w:bottom w:val="none" w:color="000000" w:sz="4"/>
              <w:right w:val="none" w:color="000000" w:sz="4"/>
            </w:tcBorders>
            <w:vAlign w:val="top"/>
          </w:tcPr>
          <w:p>
            <w:pPr>
              <w:jc w:val="left"/>
            </w:pPr>
            <w:r>
              <w:rPr>
                <w:sz w:val="28"/>
                <w:u w:val="single"/>
              </w:rPr>
              <w:t>佛山市顺德区第三人民医院（佛山市顺德区北滘医院）</w:t>
            </w:r>
          </w:p>
        </w:tc>
      </w:tr>
      <w:tr>
        <w:tc>
          <w:tcPr>
            <w:tcW w:type="dxa" w:w="1596"/>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6710"/>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（中标人名称）</w:t>
            </w:r>
            <w:r>
              <w:rPr>
                <w:sz w:val="28"/>
                <w:u w:val="single"/>
              </w:rPr>
              <w:t xml:space="preserve">   </w:t>
            </w:r>
          </w:p>
        </w:tc>
      </w:tr>
      <w:tr>
        <w:tc>
          <w:tcPr>
            <w:tcW w:type="dxa" w:w="1596"/>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710"/>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58"/>
        <w:gridCol w:w="6648"/>
      </w:tblGrid>
      <w:tr>
        <w:tc>
          <w:tcPr>
            <w:tcW w:type="dxa" w:w="1658"/>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648"/>
            <w:tcBorders>
              <w:top w:val="none" w:color="000000" w:sz="4"/>
              <w:left w:val="none" w:color="000000" w:sz="4"/>
              <w:bottom w:val="none" w:color="000000" w:sz="4"/>
              <w:right w:val="none" w:color="000000" w:sz="4"/>
            </w:tcBorders>
            <w:vAlign w:val="top"/>
          </w:tcPr>
          <w:p>
            <w:pPr>
              <w:jc w:val="left"/>
            </w:pPr>
            <w:r>
              <w:rPr>
                <w:sz w:val="21"/>
                <w:u w:val="single"/>
              </w:rPr>
              <w:t>2023</w:t>
            </w:r>
            <w:r>
              <w:rPr>
                <w:sz w:val="21"/>
                <w:u w:val="single"/>
              </w:rPr>
              <w:t>年佛山市顺德区第三人民医院（佛山市顺德区北滘医院）专用医疗设备购置项目</w:t>
            </w:r>
          </w:p>
        </w:tc>
      </w:tr>
      <w:tr>
        <w:tc>
          <w:tcPr>
            <w:tcW w:type="dxa" w:w="1658"/>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648"/>
            <w:tcBorders>
              <w:top w:val="none" w:color="000000" w:sz="4"/>
              <w:left w:val="none" w:color="000000" w:sz="4"/>
              <w:bottom w:val="none" w:color="000000" w:sz="4"/>
              <w:right w:val="none" w:color="000000" w:sz="4"/>
            </w:tcBorders>
            <w:vAlign w:val="top"/>
          </w:tcPr>
          <w:p>
            <w:pPr>
              <w:jc w:val="both"/>
            </w:pPr>
            <w:r>
              <w:rPr>
                <w:sz w:val="21"/>
                <w:u w:val="single"/>
              </w:rPr>
              <w:t>GDZC-23GZ158</w:t>
            </w:r>
          </w:p>
        </w:tc>
      </w:tr>
      <w:tr>
        <w:tc>
          <w:tcPr>
            <w:tcW w:type="dxa" w:w="1658"/>
            <w:tcBorders>
              <w:top w:val="none" w:color="000000" w:sz="4"/>
              <w:left w:val="none" w:color="000000" w:sz="4"/>
              <w:bottom w:val="none" w:color="000000" w:sz="4"/>
              <w:right w:val="none" w:color="000000" w:sz="4"/>
            </w:tcBorders>
            <w:vAlign w:val="top"/>
          </w:tcPr>
          <w:p>
            <w:pPr>
              <w:jc w:val="both"/>
            </w:pPr>
            <w:r>
              <w:rPr>
                <w:b/>
                <w:sz w:val="21"/>
              </w:rPr>
              <w:t>甲</w:t>
            </w:r>
            <w:r>
              <w:rPr>
                <w:b/>
                <w:sz w:val="21"/>
              </w:rPr>
              <w:t xml:space="preserve">   </w:t>
            </w:r>
            <w:r>
              <w:rPr>
                <w:b/>
                <w:sz w:val="21"/>
              </w:rPr>
              <w:t>方：</w:t>
            </w:r>
          </w:p>
        </w:tc>
        <w:tc>
          <w:tcPr>
            <w:tcW w:type="dxa" w:w="6648"/>
            <w:tcBorders>
              <w:top w:val="none" w:color="000000" w:sz="4"/>
              <w:left w:val="none" w:color="000000" w:sz="4"/>
              <w:bottom w:val="none" w:color="000000" w:sz="4"/>
              <w:right w:val="none" w:color="000000" w:sz="4"/>
            </w:tcBorders>
            <w:vAlign w:val="top"/>
          </w:tcPr>
          <w:p>
            <w:pPr>
              <w:jc w:val="both"/>
            </w:pPr>
            <w:r>
              <w:rPr>
                <w:sz w:val="21"/>
                <w:u w:val="single"/>
              </w:rPr>
              <w:t>佛山市顺德区第三人民医院（佛山市顺德区北滘医院）</w:t>
            </w:r>
          </w:p>
        </w:tc>
      </w:tr>
      <w:tr>
        <w:tc>
          <w:tcPr>
            <w:tcW w:type="dxa" w:w="1658"/>
            <w:tcBorders>
              <w:top w:val="none" w:color="000000" w:sz="4"/>
              <w:left w:val="none" w:color="000000" w:sz="4"/>
              <w:bottom w:val="none" w:color="000000" w:sz="4"/>
              <w:right w:val="none" w:color="000000" w:sz="4"/>
            </w:tcBorders>
            <w:vAlign w:val="top"/>
          </w:tcPr>
          <w:p>
            <w:pPr>
              <w:jc w:val="both"/>
            </w:pPr>
            <w:r>
              <w:rPr>
                <w:b/>
                <w:sz w:val="21"/>
              </w:rPr>
              <w:t>乙</w:t>
            </w:r>
            <w:r>
              <w:rPr>
                <w:b/>
                <w:sz w:val="21"/>
              </w:rPr>
              <w:t xml:space="preserve"> </w:t>
            </w:r>
            <w:r>
              <w:rPr>
                <w:b/>
                <w:sz w:val="21"/>
              </w:rPr>
              <w:t>方：</w:t>
            </w:r>
          </w:p>
        </w:tc>
        <w:tc>
          <w:tcPr>
            <w:tcW w:type="dxa" w:w="6648"/>
            <w:tcBorders>
              <w:top w:val="none" w:color="000000" w:sz="4"/>
              <w:left w:val="none" w:color="000000" w:sz="4"/>
              <w:bottom w:val="none" w:color="000000" w:sz="4"/>
              <w:right w:val="none" w:color="000000" w:sz="4"/>
            </w:tcBorders>
            <w:vAlign w:val="top"/>
          </w:tcPr>
          <w:p>
            <w:pPr>
              <w:jc w:val="both"/>
            </w:pPr>
            <w:r>
              <w:rPr>
                <w:sz w:val="21"/>
                <w:u w:val="single"/>
              </w:rPr>
              <w:t>（中标人）</w:t>
            </w:r>
          </w:p>
        </w:tc>
      </w:tr>
    </w:tbl>
    <w:p>
      <w:pPr>
        <w:ind w:firstLine="420"/>
        <w:jc w:val="both"/>
      </w:pP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577"/>
        <w:gridCol w:w="1579"/>
        <w:gridCol w:w="1412"/>
        <w:gridCol w:w="1245"/>
        <w:gridCol w:w="638"/>
        <w:gridCol w:w="562"/>
        <w:gridCol w:w="1124"/>
        <w:gridCol w:w="1169"/>
      </w:tblGrid>
      <w:tr>
        <w:tc>
          <w:tcPr>
            <w:tcW w:type="dxa" w:w="57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579"/>
            <w:tcBorders>
              <w:top w:val="single" w:color="000000" w:sz="4"/>
              <w:left w:val="none" w:color="000000" w:sz="4"/>
              <w:bottom w:val="single" w:color="000000" w:sz="4"/>
              <w:right w:val="single" w:color="000000" w:sz="4"/>
            </w:tcBorders>
            <w:vAlign w:val="top"/>
          </w:tcPr>
          <w:p>
            <w:pPr>
              <w:jc w:val="center"/>
            </w:pPr>
            <w:r>
              <w:rPr>
                <w:b/>
                <w:color w:val="000000"/>
                <w:sz w:val="21"/>
              </w:rPr>
              <w:t>商品名称</w:t>
            </w:r>
          </w:p>
        </w:tc>
        <w:tc>
          <w:tcPr>
            <w:tcW w:type="dxa" w:w="1412"/>
            <w:tcBorders>
              <w:top w:val="single" w:color="000000" w:sz="4"/>
              <w:left w:val="none" w:color="000000" w:sz="4"/>
              <w:bottom w:val="single" w:color="000000" w:sz="4"/>
              <w:right w:val="single" w:color="000000" w:sz="4"/>
            </w:tcBorders>
            <w:vAlign w:val="top"/>
          </w:tcPr>
          <w:p>
            <w:pPr>
              <w:jc w:val="center"/>
            </w:pPr>
            <w:r>
              <w:rPr>
                <w:b/>
                <w:color w:val="000000"/>
                <w:sz w:val="21"/>
              </w:rPr>
              <w:t>品牌</w:t>
            </w:r>
            <w:r>
              <w:rPr>
                <w:b/>
                <w:color w:val="000000"/>
                <w:sz w:val="21"/>
              </w:rPr>
              <w:t>/规格型号</w:t>
            </w:r>
          </w:p>
        </w:tc>
        <w:tc>
          <w:tcPr>
            <w:tcW w:type="dxa" w:w="1245"/>
            <w:tcBorders>
              <w:top w:val="single" w:color="000000" w:sz="4"/>
              <w:left w:val="none" w:color="000000" w:sz="4"/>
              <w:bottom w:val="single" w:color="000000" w:sz="4"/>
              <w:right w:val="single" w:color="000000" w:sz="4"/>
            </w:tcBorders>
            <w:vAlign w:val="top"/>
          </w:tcPr>
          <w:p>
            <w:pPr>
              <w:jc w:val="center"/>
            </w:pPr>
            <w:r>
              <w:rPr>
                <w:b/>
                <w:color w:val="000000"/>
                <w:sz w:val="21"/>
              </w:rPr>
              <w:t>注册证号</w:t>
            </w:r>
          </w:p>
        </w:tc>
        <w:tc>
          <w:tcPr>
            <w:tcW w:type="dxa" w:w="638"/>
            <w:tcBorders>
              <w:top w:val="single" w:color="000000" w:sz="4"/>
              <w:left w:val="none" w:color="000000" w:sz="4"/>
              <w:bottom w:val="single" w:color="000000" w:sz="4"/>
              <w:right w:val="single" w:color="000000" w:sz="4"/>
            </w:tcBorders>
            <w:vAlign w:val="top"/>
          </w:tcPr>
          <w:p>
            <w:pPr>
              <w:jc w:val="center"/>
            </w:pPr>
            <w:r>
              <w:rPr>
                <w:b/>
                <w:color w:val="000000"/>
                <w:sz w:val="21"/>
              </w:rPr>
              <w:t>产地</w:t>
            </w:r>
          </w:p>
        </w:tc>
        <w:tc>
          <w:tcPr>
            <w:tcW w:type="dxa" w:w="56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1124"/>
            <w:tcBorders>
              <w:top w:val="single" w:color="000000" w:sz="4"/>
              <w:left w:val="none" w:color="000000" w:sz="4"/>
              <w:bottom w:val="none" w:color="000000" w:sz="4"/>
              <w:right w:val="single" w:color="000000" w:sz="4"/>
            </w:tcBorders>
            <w:vAlign w:val="top"/>
          </w:tcPr>
          <w:p>
            <w:pPr>
              <w:jc w:val="center"/>
            </w:pPr>
            <w:r>
              <w:rPr>
                <w:b/>
                <w:color w:val="000000"/>
                <w:sz w:val="21"/>
              </w:rPr>
              <w:t>单价</w:t>
            </w:r>
            <w:r>
              <w:rPr>
                <w:b/>
                <w:color w:val="000000"/>
                <w:sz w:val="21"/>
              </w:rPr>
              <w:t>(元)</w:t>
            </w:r>
          </w:p>
        </w:tc>
        <w:tc>
          <w:tcPr>
            <w:tcW w:type="dxa" w:w="1169"/>
            <w:tcBorders>
              <w:top w:val="single" w:color="000000" w:sz="4"/>
              <w:left w:val="none" w:color="000000" w:sz="4"/>
              <w:bottom w:val="none" w:color="000000" w:sz="4"/>
              <w:right w:val="single" w:color="000000" w:sz="4"/>
            </w:tcBorders>
            <w:vAlign w:val="top"/>
          </w:tcPr>
          <w:p>
            <w:pPr>
              <w:jc w:val="center"/>
            </w:pPr>
            <w:r>
              <w:rPr>
                <w:b/>
                <w:color w:val="000000"/>
                <w:sz w:val="21"/>
              </w:rPr>
              <w:t>总金额</w:t>
            </w:r>
            <w:r>
              <w:rPr>
                <w:b/>
                <w:color w:val="000000"/>
                <w:sz w:val="21"/>
              </w:rPr>
              <w:t>(元)</w:t>
            </w:r>
          </w:p>
        </w:tc>
      </w:tr>
      <w:tr>
        <w:tc>
          <w:tcPr>
            <w:tcW w:type="dxa" w:w="577"/>
            <w:tcBorders>
              <w:top w:val="none" w:color="000000" w:sz="4"/>
              <w:left w:val="single" w:color="000000" w:sz="4"/>
              <w:bottom w:val="single" w:color="000000" w:sz="4"/>
              <w:right w:val="single" w:color="000000" w:sz="4"/>
            </w:tcBorders>
            <w:vAlign w:val="top"/>
          </w:tcPr>
          <w:p>
            <w:pPr>
              <w:jc w:val="center"/>
            </w:pPr>
          </w:p>
        </w:tc>
        <w:tc>
          <w:tcPr>
            <w:tcW w:type="dxa" w:w="1579"/>
            <w:tcBorders>
              <w:top w:val="none" w:color="000000" w:sz="4"/>
              <w:left w:val="none" w:color="000000" w:sz="4"/>
              <w:bottom w:val="single" w:color="000000" w:sz="4"/>
              <w:right w:val="single" w:color="000000" w:sz="4"/>
            </w:tcBorders>
            <w:vAlign w:val="top"/>
          </w:tcPr>
          <w:p>
            <w:pPr>
              <w:jc w:val="center"/>
            </w:pPr>
          </w:p>
        </w:tc>
        <w:tc>
          <w:tcPr>
            <w:tcW w:type="dxa" w:w="1412"/>
            <w:tcBorders>
              <w:top w:val="none" w:color="000000" w:sz="4"/>
              <w:left w:val="non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both"/>
            </w:pPr>
          </w:p>
        </w:tc>
        <w:tc>
          <w:tcPr>
            <w:tcW w:type="dxa" w:w="638"/>
            <w:tcBorders>
              <w:top w:val="none" w:color="000000" w:sz="4"/>
              <w:left w:val="none" w:color="000000" w:sz="4"/>
              <w:bottom w:val="single" w:color="000000" w:sz="4"/>
              <w:right w:val="single" w:color="000000" w:sz="4"/>
            </w:tcBorders>
            <w:vAlign w:val="top"/>
          </w:tcPr>
          <w:p>
            <w:pPr>
              <w:jc w:val="both"/>
            </w:pPr>
          </w:p>
        </w:tc>
        <w:tc>
          <w:tcPr>
            <w:tcW w:type="dxa" w:w="562"/>
            <w:tcBorders>
              <w:top w:val="none" w:color="000000" w:sz="4"/>
              <w:left w:val="none" w:color="000000" w:sz="4"/>
              <w:bottom w:val="single" w:color="000000" w:sz="4"/>
              <w:right w:val="single" w:color="000000" w:sz="4"/>
            </w:tcBorders>
            <w:vAlign w:val="top"/>
          </w:tcPr>
          <w:p>
            <w:pPr>
              <w:jc w:val="both"/>
            </w:pPr>
          </w:p>
        </w:tc>
        <w:tc>
          <w:tcPr>
            <w:tcW w:type="dxa" w:w="1124"/>
            <w:tcBorders>
              <w:top w:val="single" w:color="000000" w:sz="4"/>
              <w:left w:val="none" w:color="000000" w:sz="4"/>
              <w:bottom w:val="none" w:color="000000" w:sz="4"/>
              <w:right w:val="single" w:color="000000" w:sz="4"/>
            </w:tcBorders>
            <w:vAlign w:val="top"/>
          </w:tcPr>
          <w:p>
            <w:pPr>
              <w:jc w:val="center"/>
            </w:pPr>
          </w:p>
        </w:tc>
        <w:tc>
          <w:tcPr>
            <w:tcW w:type="dxa" w:w="1169"/>
            <w:tcBorders>
              <w:top w:val="single" w:color="000000" w:sz="4"/>
              <w:left w:val="none" w:color="000000" w:sz="4"/>
              <w:bottom w:val="non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tc>
        <w:tc>
          <w:tcPr>
            <w:tcW w:type="dxa" w:w="1579"/>
            <w:tcBorders>
              <w:top w:val="none" w:color="000000" w:sz="4"/>
              <w:left w:val="none" w:color="000000" w:sz="4"/>
              <w:bottom w:val="single" w:color="000000" w:sz="4"/>
              <w:right w:val="single" w:color="000000" w:sz="4"/>
            </w:tcBorders>
            <w:vAlign w:val="top"/>
          </w:tcPr>
          <w:p>
            <w:pPr>
              <w:jc w:val="center"/>
            </w:pPr>
          </w:p>
        </w:tc>
        <w:tc>
          <w:tcPr>
            <w:tcW w:type="dxa" w:w="1412"/>
            <w:tcBorders>
              <w:top w:val="none" w:color="000000" w:sz="4"/>
              <w:left w:val="non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both"/>
            </w:pPr>
          </w:p>
        </w:tc>
        <w:tc>
          <w:tcPr>
            <w:tcW w:type="dxa" w:w="638"/>
            <w:tcBorders>
              <w:top w:val="none" w:color="000000" w:sz="4"/>
              <w:left w:val="none" w:color="000000" w:sz="4"/>
              <w:bottom w:val="single" w:color="000000" w:sz="4"/>
              <w:right w:val="single" w:color="000000" w:sz="4"/>
            </w:tcBorders>
            <w:vAlign w:val="top"/>
          </w:tcPr>
          <w:p>
            <w:pPr>
              <w:jc w:val="both"/>
            </w:pPr>
          </w:p>
        </w:tc>
        <w:tc>
          <w:tcPr>
            <w:tcW w:type="dxa" w:w="562"/>
            <w:tcBorders>
              <w:top w:val="none" w:color="000000" w:sz="4"/>
              <w:left w:val="none" w:color="000000" w:sz="4"/>
              <w:bottom w:val="single" w:color="000000" w:sz="4"/>
              <w:right w:val="single" w:color="000000" w:sz="4"/>
            </w:tcBorders>
            <w:vAlign w:val="top"/>
          </w:tcPr>
          <w:p>
            <w:pPr>
              <w:jc w:val="both"/>
            </w:pPr>
          </w:p>
        </w:tc>
        <w:tc>
          <w:tcPr>
            <w:tcW w:type="dxa" w:w="1124"/>
            <w:tcBorders>
              <w:top w:val="single" w:color="000000" w:sz="4"/>
              <w:left w:val="none" w:color="000000" w:sz="4"/>
              <w:bottom w:val="single" w:color="000000" w:sz="4"/>
              <w:right w:val="single" w:color="000000" w:sz="4"/>
            </w:tcBorders>
            <w:vAlign w:val="top"/>
          </w:tcPr>
          <w:p>
            <w:pPr>
              <w:jc w:val="center"/>
            </w:pPr>
          </w:p>
        </w:tc>
        <w:tc>
          <w:tcPr>
            <w:tcW w:type="dxa" w:w="1169"/>
            <w:tcBorders>
              <w:top w:val="singl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tc>
        <w:tc>
          <w:tcPr>
            <w:tcW w:type="dxa" w:w="1579"/>
            <w:tcBorders>
              <w:top w:val="none" w:color="000000" w:sz="4"/>
              <w:left w:val="none" w:color="000000" w:sz="4"/>
              <w:bottom w:val="single" w:color="000000" w:sz="4"/>
              <w:right w:val="single" w:color="000000" w:sz="4"/>
            </w:tcBorders>
            <w:vAlign w:val="top"/>
          </w:tcPr>
          <w:p>
            <w:pPr>
              <w:jc w:val="center"/>
            </w:pPr>
          </w:p>
        </w:tc>
        <w:tc>
          <w:tcPr>
            <w:tcW w:type="dxa" w:w="1412"/>
            <w:tcBorders>
              <w:top w:val="none" w:color="000000" w:sz="4"/>
              <w:left w:val="non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both"/>
            </w:pPr>
          </w:p>
        </w:tc>
        <w:tc>
          <w:tcPr>
            <w:tcW w:type="dxa" w:w="638"/>
            <w:tcBorders>
              <w:top w:val="none" w:color="000000" w:sz="4"/>
              <w:left w:val="none" w:color="000000" w:sz="4"/>
              <w:bottom w:val="single" w:color="000000" w:sz="4"/>
              <w:right w:val="single" w:color="000000" w:sz="4"/>
            </w:tcBorders>
            <w:vAlign w:val="top"/>
          </w:tcPr>
          <w:p>
            <w:pPr>
              <w:jc w:val="both"/>
            </w:pPr>
          </w:p>
        </w:tc>
        <w:tc>
          <w:tcPr>
            <w:tcW w:type="dxa" w:w="562"/>
            <w:tcBorders>
              <w:top w:val="none" w:color="000000" w:sz="4"/>
              <w:left w:val="none" w:color="000000" w:sz="4"/>
              <w:bottom w:val="single" w:color="000000" w:sz="4"/>
              <w:right w:val="single" w:color="000000" w:sz="4"/>
            </w:tcBorders>
            <w:vAlign w:val="top"/>
          </w:tcPr>
          <w:p>
            <w:pPr>
              <w:jc w:val="both"/>
            </w:pPr>
          </w:p>
        </w:tc>
        <w:tc>
          <w:tcPr>
            <w:tcW w:type="dxa" w:w="1124"/>
            <w:tcBorders>
              <w:top w:val="none" w:color="000000" w:sz="4"/>
              <w:left w:val="none" w:color="000000" w:sz="4"/>
              <w:bottom w:val="single" w:color="000000" w:sz="4"/>
              <w:right w:val="single" w:color="000000" w:sz="4"/>
            </w:tcBorders>
            <w:vAlign w:val="top"/>
          </w:tcPr>
          <w:p>
            <w:pPr>
              <w:jc w:val="center"/>
            </w:pPr>
          </w:p>
        </w:tc>
        <w:tc>
          <w:tcPr>
            <w:tcW w:type="dxa" w:w="1169"/>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both"/>
            </w:pPr>
          </w:p>
        </w:tc>
        <w:tc>
          <w:tcPr>
            <w:tcW w:type="dxa" w:w="7729"/>
            <w:gridSpan w:val="7"/>
            <w:tcBorders>
              <w:top w:val="none" w:color="000000" w:sz="4"/>
              <w:left w:val="none" w:color="000000" w:sz="4"/>
              <w:bottom w:val="single" w:color="000000" w:sz="4"/>
              <w:right w:val="single" w:color="000000" w:sz="4"/>
            </w:tcBorders>
            <w:vAlign w:val="top"/>
          </w:tcPr>
          <w:p>
            <w:pPr>
              <w:jc w:val="both"/>
            </w:pPr>
            <w:r>
              <w:rPr>
                <w:b/>
                <w:color w:val="000000"/>
                <w:sz w:val="21"/>
              </w:rPr>
              <w:t>合计：</w:t>
            </w:r>
            <w:r>
              <w:rPr>
                <w:color w:val="000000"/>
                <w:sz w:val="21"/>
              </w:rPr>
              <w:t>￥：</w:t>
            </w:r>
            <w:r>
              <w:rPr>
                <w:b/>
                <w:color w:val="000000"/>
                <w:sz w:val="21"/>
              </w:rPr>
              <w:t xml:space="preserve">          </w:t>
            </w:r>
            <w:r>
              <w:rPr>
                <w:b/>
                <w:color w:val="000000"/>
                <w:sz w:val="21"/>
              </w:rPr>
              <w:t>元</w:t>
            </w:r>
            <w:r>
              <w:rPr>
                <w:b/>
                <w:color w:val="000000"/>
                <w:sz w:val="21"/>
              </w:rPr>
              <w:t>大写：</w:t>
            </w:r>
            <w:r>
              <w:rPr>
                <w:b/>
                <w:color w:val="000000"/>
                <w:sz w:val="21"/>
              </w:rPr>
              <w:t xml:space="preserve">                       </w:t>
            </w:r>
            <w:r>
              <w:rPr>
                <w:b/>
                <w:color w:val="000000"/>
                <w:sz w:val="21"/>
              </w:rPr>
              <w:t>元整</w:t>
            </w:r>
          </w:p>
        </w:tc>
      </w:tr>
    </w:tbl>
    <w:p>
      <w:pPr>
        <w:jc w:val="both"/>
      </w:pPr>
      <w:r>
        <w:rPr>
          <w:sz w:val="21"/>
        </w:rPr>
        <w:t>备注：消毒设备在注册证号栏中分别填入注册证号、卫生许可证批号。合同设备如属《中华人民共和国强制检定的工作计量器具目录》内的，验收时乙方需提供合法正规的计量合格证，否则验收不合格。</w:t>
      </w:r>
    </w:p>
    <w:p>
      <w:pPr>
        <w:jc w:val="both"/>
      </w:pPr>
      <w:r>
        <w:rPr>
          <w:sz w:val="21"/>
        </w:rPr>
        <w:t>见附件一《报价清单明细表》</w:t>
      </w:r>
      <w:r>
        <w:rPr>
          <w:sz w:val="21"/>
        </w:rPr>
        <w:t>/（设备名称）配置清单。</w:t>
      </w:r>
    </w:p>
    <w:p>
      <w:pPr>
        <w:jc w:val="both"/>
      </w:pPr>
      <w:r>
        <w:rPr>
          <w:b/>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7"/>
        <w:gridCol w:w="1776"/>
        <w:gridCol w:w="5853"/>
      </w:tblGrid>
      <w:tr>
        <w:tc>
          <w:tcPr>
            <w:tcW w:type="dxa" w:w="67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776"/>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5853"/>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5853"/>
            <w:tcBorders>
              <w:top w:val="none" w:color="000000" w:sz="4"/>
              <w:left w:val="none" w:color="000000" w:sz="4"/>
              <w:bottom w:val="single" w:color="000000" w:sz="4"/>
              <w:right w:val="single" w:color="000000" w:sz="4"/>
            </w:tcBorders>
            <w:vAlign w:val="top"/>
          </w:tcPr>
          <w:p>
            <w:pPr>
              <w:jc w:val="both"/>
            </w:pPr>
            <w:r>
              <w:rPr>
                <w:sz w:val="21"/>
              </w:rPr>
              <w:t>人民币</w:t>
            </w:r>
            <w:r>
              <w:rPr>
                <w:sz w:val="21"/>
              </w:rPr>
              <w:t xml:space="preserve"> </w:t>
            </w:r>
            <w:r>
              <w:rPr>
                <w:sz w:val="21"/>
              </w:rPr>
              <w:t>小写：</w:t>
            </w:r>
            <w:r>
              <w:rPr>
                <w:sz w:val="21"/>
                <w:u w:val="single"/>
              </w:rPr>
              <w:t xml:space="preserve">             </w:t>
            </w:r>
            <w:r>
              <w:rPr>
                <w:sz w:val="21"/>
              </w:rPr>
              <w:t xml:space="preserve">   </w:t>
            </w:r>
          </w:p>
          <w:p>
            <w:pPr>
              <w:jc w:val="both"/>
            </w:pPr>
            <w:r>
              <w:rPr>
                <w:sz w:val="21"/>
              </w:rPr>
              <w:t>大写：</w:t>
            </w:r>
            <w:r>
              <w:rPr>
                <w:sz w:val="21"/>
                <w:u w:val="single"/>
              </w:rPr>
              <w:t xml:space="preserve">                          </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5853"/>
            <w:tcBorders>
              <w:top w:val="none" w:color="000000" w:sz="4"/>
              <w:left w:val="none" w:color="000000" w:sz="4"/>
              <w:bottom w:val="single" w:color="000000" w:sz="4"/>
              <w:right w:val="single" w:color="000000" w:sz="4"/>
            </w:tcBorders>
            <w:vAlign w:val="top"/>
          </w:tcPr>
          <w:p>
            <w:pPr>
              <w:jc w:val="both"/>
            </w:pPr>
            <w:r>
              <w:rPr>
                <w:sz w:val="21"/>
              </w:rPr>
              <w:t>（</w:t>
            </w:r>
            <w:r>
              <w:rPr>
                <w:sz w:val="21"/>
              </w:rPr>
              <w:t>1）广东省佛山市目的地包干价。</w:t>
            </w:r>
          </w:p>
          <w:p>
            <w:pPr>
              <w:jc w:val="both"/>
            </w:pPr>
            <w:r>
              <w:rPr>
                <w:sz w:val="21"/>
              </w:rPr>
              <w:t>（</w:t>
            </w:r>
            <w:r>
              <w:rPr>
                <w:sz w:val="21"/>
              </w:rPr>
              <w:t>2）合同总额包括但不限于全部产品及零配件、运输装卸、安装调试、设备网络连接、培训、售后服务、人工、交通差旅、耗材、检测调试的设备仪器、更换设备服务费、工具、管理、利润风险、国家政府相关部门的税费及有关规定的费用、社保金等相关费用等合同实施过程中应预见和不可预见的全部费用。乙方必须自行考虑在本项目实施期间的一切可能产生的费用，在项目的实施过程中，甲方除了支付合同规定的款项外，一切合同规定外的费用将拒绝支付。</w:t>
            </w:r>
          </w:p>
          <w:p>
            <w:pPr>
              <w:jc w:val="both"/>
            </w:pPr>
            <w:r>
              <w:rPr>
                <w:sz w:val="21"/>
              </w:rPr>
              <w:t>（</w:t>
            </w:r>
            <w:r>
              <w:rPr>
                <w:sz w:val="21"/>
              </w:rPr>
              <w:t>3）价格为固定不变价，天数为公历日。</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交货及安装地点</w:t>
            </w:r>
          </w:p>
        </w:tc>
        <w:tc>
          <w:tcPr>
            <w:tcW w:type="dxa" w:w="5853"/>
            <w:tcBorders>
              <w:top w:val="none" w:color="000000" w:sz="4"/>
              <w:left w:val="none" w:color="000000" w:sz="4"/>
              <w:bottom w:val="single" w:color="000000" w:sz="4"/>
              <w:right w:val="single" w:color="000000" w:sz="4"/>
            </w:tcBorders>
            <w:vAlign w:val="top"/>
          </w:tcPr>
          <w:p>
            <w:pPr>
              <w:jc w:val="both"/>
            </w:pPr>
            <w:r>
              <w:rPr>
                <w:sz w:val="21"/>
              </w:rPr>
              <w:t>甲方（用户）指定地点（佛山市内）。详细地址为：</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项目完工期</w:t>
            </w:r>
          </w:p>
        </w:tc>
        <w:tc>
          <w:tcPr>
            <w:tcW w:type="dxa" w:w="5853"/>
            <w:tcBorders>
              <w:top w:val="none" w:color="000000" w:sz="4"/>
              <w:left w:val="none" w:color="000000" w:sz="4"/>
              <w:bottom w:val="single" w:color="000000" w:sz="4"/>
              <w:right w:val="single" w:color="000000" w:sz="4"/>
            </w:tcBorders>
            <w:vAlign w:val="top"/>
          </w:tcPr>
          <w:p>
            <w:pPr>
              <w:jc w:val="both"/>
            </w:pPr>
            <w:r>
              <w:rPr>
                <w:sz w:val="21"/>
              </w:rPr>
              <w:t>自合同签订之日起</w:t>
            </w:r>
            <w:r>
              <w:rPr>
                <w:sz w:val="21"/>
                <w:u w:val="single"/>
              </w:rPr>
              <w:t xml:space="preserve">       </w:t>
            </w:r>
            <w:r>
              <w:rPr>
                <w:sz w:val="21"/>
              </w:rPr>
              <w:t>日历天内完成供货、安装、调试及验收合格并交付使用。</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质量保证期</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（一）所有设备质保期</w:t>
            </w:r>
            <w:r>
              <w:rPr>
                <w:sz w:val="19"/>
                <w:u w:val="single"/>
              </w:rPr>
              <w:t xml:space="preserve">       </w:t>
            </w:r>
            <w:r>
              <w:rPr>
                <w:sz w:val="21"/>
              </w:rPr>
              <w:t>年。质保期内</w:t>
            </w:r>
            <w:r>
              <w:rPr>
                <w:sz w:val="21"/>
              </w:rPr>
              <w:t>乙方</w:t>
            </w:r>
            <w:r>
              <w:rPr>
                <w:sz w:val="21"/>
              </w:rPr>
              <w:t>对所供货物实行包修、包换、包退、包维护保养，质保期内核心产品每个季度提供一次设备维护保养服务（如厂家的保养标准高于此，从其规定），每次保养后需提交维修保养工作报告，未按时提供视为违约。保养服务相关费用已包含在</w:t>
            </w:r>
            <w:r>
              <w:rPr>
                <w:sz w:val="21"/>
              </w:rPr>
              <w:t>合同金额</w:t>
            </w:r>
            <w:r>
              <w:rPr>
                <w:sz w:val="21"/>
              </w:rPr>
              <w:t>内。</w:t>
            </w:r>
          </w:p>
          <w:p>
            <w:pPr>
              <w:jc w:val="both"/>
            </w:pPr>
            <w:r>
              <w:rPr>
                <w:sz w:val="21"/>
              </w:rPr>
              <w:t>（二）质保期内非因</w:t>
            </w:r>
            <w:r>
              <w:rPr>
                <w:sz w:val="21"/>
              </w:rPr>
              <w:t>甲方</w:t>
            </w:r>
            <w:r>
              <w:rPr>
                <w:sz w:val="21"/>
              </w:rPr>
              <w:t>的人为原因而出现产品质量及安装问题，由</w:t>
            </w:r>
            <w:r>
              <w:rPr>
                <w:sz w:val="21"/>
              </w:rPr>
              <w:t>乙方</w:t>
            </w:r>
            <w:r>
              <w:rPr>
                <w:sz w:val="21"/>
              </w:rPr>
              <w:t>负责包修、包换或包退，并承担因此而产生的一切费用。</w:t>
            </w:r>
            <w:r>
              <w:rPr>
                <w:sz w:val="21"/>
              </w:rPr>
              <w:t>乙方</w:t>
            </w:r>
            <w:r>
              <w:rPr>
                <w:sz w:val="21"/>
              </w:rPr>
              <w:t>提供</w:t>
            </w:r>
            <w:r>
              <w:rPr>
                <w:sz w:val="21"/>
              </w:rPr>
              <w:t>7×24小时电话维护响应服务，应在收到</w:t>
            </w:r>
            <w:r>
              <w:rPr>
                <w:sz w:val="21"/>
              </w:rPr>
              <w:t>甲方</w:t>
            </w:r>
            <w:r>
              <w:rPr>
                <w:sz w:val="21"/>
              </w:rPr>
              <w:t>通知后</w:t>
            </w:r>
            <w:r>
              <w:rPr>
                <w:sz w:val="21"/>
              </w:rPr>
              <w:t>1小时响应，4小时内派员到现场维修（第二章 采购需求要求另有规定除外）, 并在48小时内消除障碍。质保期内，维修时间超过48小时，提供备用机或主要零配件；并按维修延误时间的1:5延长保修期。如停用时间累计超过60天则质保期重新计算。若</w:t>
            </w:r>
            <w:r>
              <w:rPr>
                <w:sz w:val="21"/>
              </w:rPr>
              <w:t>乙方</w:t>
            </w:r>
            <w:r>
              <w:rPr>
                <w:sz w:val="21"/>
              </w:rPr>
              <w:t>未能及时派员到现场维修，</w:t>
            </w:r>
            <w:r>
              <w:rPr>
                <w:sz w:val="21"/>
              </w:rPr>
              <w:t>乙方</w:t>
            </w:r>
            <w:r>
              <w:rPr>
                <w:sz w:val="21"/>
              </w:rPr>
              <w:t>应向</w:t>
            </w:r>
            <w:r>
              <w:rPr>
                <w:sz w:val="21"/>
              </w:rPr>
              <w:t>甲方</w:t>
            </w:r>
            <w:r>
              <w:rPr>
                <w:sz w:val="21"/>
              </w:rPr>
              <w:t>支付合同金额千分之五的违约金</w:t>
            </w:r>
            <w:r>
              <w:rPr>
                <w:sz w:val="21"/>
              </w:rPr>
              <w:t>/每次；若</w:t>
            </w:r>
            <w:r>
              <w:rPr>
                <w:sz w:val="21"/>
              </w:rPr>
              <w:t>乙方</w:t>
            </w:r>
            <w:r>
              <w:rPr>
                <w:sz w:val="21"/>
              </w:rPr>
              <w:t>未能在</w:t>
            </w:r>
            <w:r>
              <w:rPr>
                <w:sz w:val="21"/>
              </w:rPr>
              <w:t>48小时内消除障碍，</w:t>
            </w:r>
            <w:r>
              <w:rPr>
                <w:sz w:val="21"/>
              </w:rPr>
              <w:t>甲方</w:t>
            </w:r>
            <w:r>
              <w:rPr>
                <w:sz w:val="21"/>
              </w:rPr>
              <w:t>有权聘请第三方消除障碍，由此产生的费用由</w:t>
            </w:r>
            <w:r>
              <w:rPr>
                <w:sz w:val="21"/>
              </w:rPr>
              <w:t>乙方</w:t>
            </w:r>
            <w:r>
              <w:rPr>
                <w:sz w:val="21"/>
              </w:rPr>
              <w:t>承担。</w:t>
            </w:r>
          </w:p>
          <w:p>
            <w:pPr>
              <w:jc w:val="both"/>
            </w:pPr>
            <w:r>
              <w:rPr>
                <w:sz w:val="21"/>
              </w:rPr>
              <w:t>（三）保修期满后</w:t>
            </w:r>
            <w:r>
              <w:rPr>
                <w:sz w:val="21"/>
              </w:rPr>
              <w:t>乙方</w:t>
            </w:r>
            <w:r>
              <w:rPr>
                <w:sz w:val="21"/>
              </w:rPr>
              <w:t>对设备终身负责维修及系统软件免费升级，长期以优惠价提供零配件。质保期后对</w:t>
            </w:r>
            <w:r>
              <w:rPr>
                <w:sz w:val="21"/>
              </w:rPr>
              <w:t>甲方</w:t>
            </w:r>
            <w:r>
              <w:rPr>
                <w:sz w:val="21"/>
              </w:rPr>
              <w:t>的服务通知，</w:t>
            </w:r>
            <w:r>
              <w:rPr>
                <w:sz w:val="21"/>
              </w:rPr>
              <w:t>乙方</w:t>
            </w:r>
            <w:r>
              <w:rPr>
                <w:sz w:val="21"/>
              </w:rPr>
              <w:t>在接报后</w:t>
            </w:r>
            <w:r>
              <w:rPr>
                <w:sz w:val="21"/>
              </w:rPr>
              <w:t>1小时内响应，4小时内到达现场，48小时内处理完毕。若在48小时内仍未能有效解决，</w:t>
            </w:r>
            <w:r>
              <w:rPr>
                <w:sz w:val="21"/>
              </w:rPr>
              <w:t>乙方</w:t>
            </w:r>
            <w:r>
              <w:rPr>
                <w:sz w:val="21"/>
              </w:rPr>
              <w:t>须</w:t>
            </w:r>
            <w:r>
              <w:rPr>
                <w:sz w:val="21"/>
              </w:rPr>
              <w:t>48小时内提供同档次的设备或主要零配件予</w:t>
            </w:r>
            <w:r>
              <w:rPr>
                <w:sz w:val="21"/>
              </w:rPr>
              <w:t>甲方</w:t>
            </w:r>
            <w:r>
              <w:rPr>
                <w:sz w:val="21"/>
              </w:rPr>
              <w:t>临时使用。</w:t>
            </w:r>
          </w:p>
          <w:p>
            <w:pPr>
              <w:jc w:val="both"/>
            </w:pPr>
            <w:r>
              <w:rPr>
                <w:sz w:val="21"/>
              </w:rPr>
              <w:t>（四）因货物的质量问题发生争议时，由本地质量技术监督部门进行鉴定。货物符合质量技术标准的，鉴定费用由</w:t>
            </w:r>
            <w:r>
              <w:rPr>
                <w:sz w:val="21"/>
              </w:rPr>
              <w:t>甲方</w:t>
            </w:r>
            <w:r>
              <w:rPr>
                <w:sz w:val="21"/>
              </w:rPr>
              <w:t>承担；否则由</w:t>
            </w:r>
            <w:r>
              <w:rPr>
                <w:sz w:val="21"/>
              </w:rPr>
              <w:t>乙方</w:t>
            </w:r>
            <w:r>
              <w:rPr>
                <w:sz w:val="21"/>
              </w:rPr>
              <w:t>承担，且退货处理，按违约条例办理。</w:t>
            </w:r>
          </w:p>
          <w:p>
            <w:pPr>
              <w:jc w:val="both"/>
            </w:pPr>
            <w:r>
              <w:rPr>
                <w:sz w:val="21"/>
              </w:rPr>
              <w:t>（五）在质保期内，同一设备、出现相同或相似故障现象连续两次维修仍无法正常使用，无条件</w:t>
            </w:r>
            <w:r>
              <w:rPr>
                <w:sz w:val="21"/>
              </w:rPr>
              <w:t>48</w:t>
            </w:r>
            <w:r>
              <w:rPr>
                <w:sz w:val="21"/>
              </w:rPr>
              <w:t>小时内更换同品牌、同型号新设备。</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（一）设备到货安装结束后，向甲方提交全部报告材料、调试完成后，设备无故障正常使用一个月后验收，验收合格后乙方凭以下材料（包含但不限于）申请支付。甲方收到材料并确认后，</w:t>
            </w:r>
            <w:r>
              <w:rPr>
                <w:sz w:val="21"/>
              </w:rPr>
              <w:t>30日内向乙方支付至合同总额的100%：</w:t>
            </w:r>
          </w:p>
          <w:p>
            <w:pPr>
              <w:jc w:val="both"/>
            </w:pPr>
            <w:r>
              <w:rPr>
                <w:sz w:val="21"/>
              </w:rPr>
              <w:t>1.甲方收货证明；</w:t>
            </w:r>
          </w:p>
          <w:p>
            <w:pPr>
              <w:jc w:val="both"/>
            </w:pPr>
            <w:r>
              <w:rPr>
                <w:sz w:val="21"/>
              </w:rPr>
              <w:t>2.乙方开具的正式发票；</w:t>
            </w:r>
          </w:p>
          <w:p>
            <w:pPr>
              <w:jc w:val="both"/>
            </w:pPr>
            <w:r>
              <w:rPr>
                <w:sz w:val="21"/>
              </w:rPr>
              <w:t>3.调试验收使用意见（加盖甲方验收部门章）；</w:t>
            </w:r>
          </w:p>
          <w:p>
            <w:pPr>
              <w:jc w:val="both"/>
            </w:pPr>
            <w:r>
              <w:rPr>
                <w:sz w:val="21"/>
              </w:rPr>
              <w:t>4.有效商检报关证明文件（如果合同设备为进口货物的情况下要求提供）。</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（一）结算方式：转账结算（银行转账）。</w:t>
            </w:r>
          </w:p>
          <w:p>
            <w:pPr>
              <w:jc w:val="both"/>
            </w:pPr>
            <w:r>
              <w:rPr>
                <w:sz w:val="21"/>
              </w:rPr>
              <w:t>（二）开具发票：乙方收款时必须持有效发票。收款方、出具发票方、合同乙方均必须与中标人名称一致。</w:t>
            </w:r>
          </w:p>
          <w:p>
            <w:pPr>
              <w:jc w:val="left"/>
            </w:pPr>
            <w:r>
              <w:rPr>
                <w:sz w:val="21"/>
              </w:rPr>
              <w:t>（三）付款期间如因特殊情况需调整，由双方协商处理。</w:t>
            </w:r>
          </w:p>
        </w:tc>
      </w:tr>
    </w:tbl>
    <w:p>
      <w:pPr>
        <w:jc w:val="both"/>
      </w:pPr>
      <w:r>
        <w:rPr>
          <w:b/>
          <w:sz w:val="21"/>
        </w:rPr>
        <w:t>三、验收要求</w:t>
      </w:r>
    </w:p>
    <w:p>
      <w:pPr>
        <w:jc w:val="both"/>
      </w:pPr>
      <w:r>
        <w:rPr>
          <w:sz w:val="21"/>
        </w:rPr>
        <w:t>（一）货物若有国家标准按照国家标准验收，若无国家标准按行业标准验收，为原制造商制造的全新产品，整机无污染，无侵权行为、表面无划损、无任何缺陷隐患，在中国境内可依常规安全合法使用。</w:t>
      </w:r>
    </w:p>
    <w:p>
      <w:pPr>
        <w:jc w:val="both"/>
      </w:pPr>
      <w:r>
        <w:rPr>
          <w:sz w:val="21"/>
        </w:rPr>
        <w:t>（二）货物为原厂商未启封全新包装，具出厂合格证，序列号、包装箱号与出厂批号一致，并可追索查阅。所有随设备的附件必须齐全。</w:t>
      </w:r>
    </w:p>
    <w:p>
      <w:pPr>
        <w:jc w:val="both"/>
      </w:pPr>
      <w:r>
        <w:rPr>
          <w:sz w:val="21"/>
        </w:rPr>
        <w:t>（三）乙方应将关键主机设备的用户手册、保修手册、有关单证资料及配备件、随机工具等交付给甲方，使用操作及安全须知等重要资料应附有中文说明。</w:t>
      </w:r>
    </w:p>
    <w:p>
      <w:pPr>
        <w:jc w:val="both"/>
      </w:pPr>
      <w:r>
        <w:rPr>
          <w:sz w:val="21"/>
        </w:rPr>
        <w:t>（四）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p>
      <w:pPr>
        <w:jc w:val="both"/>
      </w:pPr>
      <w:r>
        <w:rPr>
          <w:sz w:val="21"/>
        </w:rPr>
        <w:t>（</w:t>
      </w:r>
      <w:r>
        <w:rPr>
          <w:sz w:val="21"/>
        </w:rPr>
        <w:t>五</w:t>
      </w:r>
      <w:r>
        <w:rPr>
          <w:sz w:val="21"/>
        </w:rPr>
        <w:t>）如所投设备属于《中华人民共和国强制检定的工作计量器具目录》内的，验收时乙方需提供合法正规的计量合格证，否则验收不合格。</w:t>
      </w:r>
    </w:p>
    <w:p>
      <w:pPr>
        <w:jc w:val="both"/>
      </w:pPr>
      <w:r>
        <w:rPr>
          <w:b/>
          <w:sz w:val="21"/>
        </w:rPr>
        <w:t>四、其他要求</w:t>
      </w:r>
    </w:p>
    <w:p>
      <w:pPr>
        <w:ind w:firstLine="420"/>
        <w:jc w:val="both"/>
      </w:pPr>
      <w:r>
        <w:rPr>
          <w:sz w:val="21"/>
        </w:rPr>
        <w:t>本项目为</w:t>
      </w:r>
      <w:r>
        <w:rPr>
          <w:sz w:val="21"/>
        </w:rPr>
        <w:t>“交钥匙”项目，乙方须承担及负责《招标文件》对乙方要求的一切事宜及责任。包含但不限于项目货物供货、运输装卸、保管、安装、调试、设备网络连接、送检、验收、培训、相关的税费、相关服务及合同实施过程中的应预见和不可预见等费用。若本项目采购的设备产品等方面的配置或要求中出现不合理或设备数量不完整的问题时，乙方有责任和义务在投标文件中提出补充修改方案并征得甲方同意后付诸实施。否则将视为提供实现相关功能的设备及服务的相关费用已包含在</w:t>
      </w:r>
      <w:r>
        <w:rPr>
          <w:sz w:val="21"/>
        </w:rPr>
        <w:t>合同金额</w:t>
      </w:r>
      <w:r>
        <w:rPr>
          <w:sz w:val="21"/>
        </w:rPr>
        <w:t>内，以达到本采购项目相关要求。</w:t>
      </w:r>
    </w:p>
    <w:p>
      <w:pPr>
        <w:jc w:val="both"/>
      </w:pPr>
      <w:r>
        <w:rPr>
          <w:b/>
          <w:sz w:val="21"/>
        </w:rPr>
        <w:t>五</w:t>
      </w:r>
      <w:r>
        <w:rPr>
          <w:b/>
          <w:sz w:val="21"/>
        </w:rPr>
        <w:t>、供货要求</w:t>
      </w:r>
    </w:p>
    <w:p>
      <w:pPr>
        <w:jc w:val="both"/>
      </w:pPr>
      <w:r>
        <w:rPr>
          <w:sz w:val="21"/>
        </w:rPr>
        <w:t>（一）所有产品来源均应符合有关规定，产品来源渠道合法。</w:t>
      </w:r>
    </w:p>
    <w:p>
      <w:pPr>
        <w:jc w:val="both"/>
      </w:pPr>
      <w:r>
        <w:rPr>
          <w:sz w:val="21"/>
        </w:rPr>
        <w:t>（二）乙方必须负责将所有设备运送至甲方指定的地点。</w:t>
      </w:r>
    </w:p>
    <w:p>
      <w:pPr>
        <w:jc w:val="both"/>
      </w:pPr>
      <w:r>
        <w:rPr>
          <w:sz w:val="21"/>
        </w:rPr>
        <w:t>（三）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p>
      <w:pPr>
        <w:jc w:val="both"/>
      </w:pPr>
      <w:r>
        <w:rPr>
          <w:sz w:val="21"/>
        </w:rPr>
        <w:t>（四）设备材料的包装必须是制造商原厂包装，其包装均应有良好的防湿、防锈、防潮、防雨、防腐及防碰撞的措施，凡由于包装不良造成的损失和由此产生的费用均由乙方承担。</w:t>
      </w:r>
    </w:p>
    <w:p>
      <w:pPr>
        <w:jc w:val="both"/>
      </w:pPr>
      <w:r>
        <w:rPr>
          <w:sz w:val="21"/>
        </w:rPr>
        <w:t>（五）货物在现场的保管由乙方负责，直至项目安装、验收完毕。</w:t>
      </w:r>
    </w:p>
    <w:p>
      <w:pPr>
        <w:jc w:val="both"/>
      </w:pPr>
      <w:r>
        <w:rPr>
          <w:sz w:val="21"/>
        </w:rPr>
        <w:t>（六）货物在系统安装调试验收合格前的一切保险由乙方负责。乙方负责其派出的现场服务人员人身意外保险。</w:t>
      </w:r>
    </w:p>
    <w:p>
      <w:pPr>
        <w:jc w:val="both"/>
      </w:pPr>
      <w:r>
        <w:rPr>
          <w:sz w:val="21"/>
        </w:rPr>
        <w:t>（七）乙方投标时所提供的货物如在实际供货时已经停产（不列入该厂家当时的产品系统），如果未能按原报价提供更技术参数及质量优的货物，甲方将有权单方面终止合同的执行，并追究因乙方所提供的未达到所承诺的产品而产生的所有损失和责任。</w:t>
      </w:r>
    </w:p>
    <w:p>
      <w:pPr>
        <w:jc w:val="both"/>
      </w:pPr>
      <w:r>
        <w:rPr>
          <w:sz w:val="21"/>
        </w:rPr>
        <w:t>（八）乙方在实际供货时，若被发现提供的货物未能达到招标文件和投标文件中的有关要求，将按有关法规进行处罚，甲方将有权单方面终止合同的执行，并追究因乙方所提供的未达到所承诺的产品而产生的所有损失和责任。</w:t>
      </w:r>
    </w:p>
    <w:p>
      <w:pPr>
        <w:jc w:val="both"/>
      </w:pPr>
      <w:r>
        <w:rPr>
          <w:sz w:val="21"/>
        </w:rPr>
        <w:t>（九）乙方负责将货物运到甲方的使用现场（整个运输过程包括但不限于装卸车、货物到现场的搬运费用）。</w:t>
      </w:r>
    </w:p>
    <w:p>
      <w:pPr>
        <w:jc w:val="both"/>
      </w:pPr>
      <w:r>
        <w:rPr>
          <w:sz w:val="21"/>
        </w:rPr>
        <w:t>（十）所有货物在开箱检验时必须完好，无破损，各种设备必须提供装箱清单，按装箱清单验收货物。货物外观清洁。数量、质量及性能不低于乙方投标文件中所投产品设备的数量和性能。</w:t>
      </w:r>
    </w:p>
    <w:p>
      <w:pPr>
        <w:jc w:val="both"/>
      </w:pPr>
      <w:r>
        <w:rPr>
          <w:sz w:val="21"/>
        </w:rPr>
        <w:t>（十一）如乙方所投产品为第二类医疗器械，须在签订合同前向甲方提供有效的医疗器械经营备案凭证复印件。</w:t>
      </w:r>
    </w:p>
    <w:p>
      <w:pPr>
        <w:jc w:val="both"/>
      </w:pPr>
      <w:r>
        <w:rPr>
          <w:b/>
          <w:sz w:val="21"/>
        </w:rPr>
        <w:t>六</w:t>
      </w:r>
      <w:r>
        <w:rPr>
          <w:b/>
          <w:sz w:val="21"/>
        </w:rPr>
        <w:t>、培训要求</w:t>
      </w:r>
    </w:p>
    <w:p>
      <w:pPr>
        <w:jc w:val="both"/>
      </w:pPr>
      <w:r>
        <w:rPr>
          <w:sz w:val="21"/>
        </w:rPr>
        <w:t>（一）乙方须根据甲方的要求安排熟悉本项目的专业技术人员在甲方指定的使用科室（甲方办公地点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（三）所有的培训费用包含乙方的差旅、食宿、教材、资料等由乙方负责，均包含在合同金额中。</w:t>
      </w:r>
    </w:p>
    <w:p>
      <w:pPr>
        <w:jc w:val="both"/>
      </w:pPr>
      <w:r>
        <w:rPr>
          <w:b/>
          <w:sz w:val="21"/>
        </w:rPr>
        <w:t>七</w:t>
      </w:r>
      <w:r>
        <w:rPr>
          <w:b/>
          <w:sz w:val="21"/>
        </w:rPr>
        <w:t>、安装</w:t>
      </w:r>
      <w:r>
        <w:rPr>
          <w:b/>
          <w:sz w:val="21"/>
        </w:rPr>
        <w:t>与</w:t>
      </w:r>
      <w:r>
        <w:rPr>
          <w:b/>
          <w:sz w:val="21"/>
        </w:rPr>
        <w:t>调试</w:t>
      </w:r>
    </w:p>
    <w:p>
      <w:pPr>
        <w:jc w:val="both"/>
      </w:pPr>
      <w:r>
        <w:rPr>
          <w:sz w:val="21"/>
        </w:rPr>
        <w:t>（一）乙方必须依照招标文件的要求和投标文件的承诺，将设备、系统安装并调试至正常运行的最佳状态。</w:t>
      </w:r>
    </w:p>
    <w:p>
      <w:pPr>
        <w:jc w:val="both"/>
      </w:pPr>
      <w:r>
        <w:rPr>
          <w:sz w:val="21"/>
        </w:rPr>
        <w:t>（二）</w:t>
      </w:r>
      <w:r>
        <w:rPr>
          <w:sz w:val="21"/>
        </w:rPr>
        <w:t>签订合同时中标人必须提供所有设备的医疗设备注册证，中标人若为代理经销商的，须提供有效的授权证明资料，或提供连贯的产品合法性来源证明资料。</w:t>
      </w:r>
    </w:p>
    <w:p>
      <w:pPr>
        <w:jc w:val="both"/>
      </w:pPr>
      <w:r>
        <w:rPr>
          <w:b/>
          <w:sz w:val="21"/>
        </w:rPr>
        <w:t>八</w:t>
      </w:r>
      <w:r>
        <w:rPr>
          <w:b/>
          <w:sz w:val="21"/>
        </w:rPr>
        <w:t>、违约条款与赔偿损失</w:t>
      </w:r>
    </w:p>
    <w:p>
      <w:pPr>
        <w:jc w:val="both"/>
      </w:pPr>
      <w:r>
        <w:rPr>
          <w:sz w:val="21"/>
        </w:rPr>
        <w:t>（一）乙方交付的货物、提供的服务不符合采购文件、报价文件或本合同规定的，甲方有权拒收，并且乙方须向甲方支付本合同总价</w:t>
      </w:r>
      <w:r>
        <w:rPr>
          <w:sz w:val="21"/>
        </w:rPr>
        <w:t>5%的违约金。</w:t>
      </w:r>
    </w:p>
    <w:p>
      <w:pPr>
        <w:jc w:val="both"/>
      </w:pPr>
      <w:r>
        <w:rPr>
          <w:sz w:val="21"/>
        </w:rPr>
        <w:t>（二）乙方未能按本合同规定的交货时间交付货物</w:t>
      </w:r>
      <w:r>
        <w:rPr>
          <w:sz w:val="21"/>
        </w:rPr>
        <w:t>/提供服务，从逾期之日起每日按本合同总价3‰的数额向甲方支付违约金；逾期半个月以上的，甲方有权终止合同，由此造成的甲方经济损失由乙方承担。</w:t>
      </w:r>
    </w:p>
    <w:p>
      <w:pPr>
        <w:jc w:val="both"/>
      </w:pPr>
      <w:r>
        <w:rPr>
          <w:sz w:val="21"/>
        </w:rPr>
        <w:t>（三）甲方无正当理由拒收货物</w:t>
      </w:r>
      <w:r>
        <w:rPr>
          <w:sz w:val="21"/>
        </w:rPr>
        <w:t>/接受服务，到期拒付货物/服务款项的，甲方向乙方偿付本合同总价5%的违约金。甲方逾期付款的，则每日按本合同总价的3‰向乙方偿付违约金。</w:t>
      </w:r>
    </w:p>
    <w:p>
      <w:pPr>
        <w:jc w:val="both"/>
      </w:pPr>
      <w:r>
        <w:rPr>
          <w:sz w:val="21"/>
        </w:rPr>
        <w:t>（四）其它违约责任按《中华人民共和国民法典》处理。</w:t>
      </w:r>
    </w:p>
    <w:p>
      <w:pPr>
        <w:jc w:val="both"/>
      </w:pPr>
      <w:r>
        <w:rPr>
          <w:b/>
          <w:sz w:val="21"/>
        </w:rPr>
        <w:t>九</w:t>
      </w:r>
      <w:r>
        <w:rPr>
          <w:b/>
          <w:sz w:val="21"/>
        </w:rPr>
        <w:t>、知识产权</w:t>
      </w:r>
    </w:p>
    <w:p>
      <w:pPr>
        <w:jc w:val="left"/>
      </w:pPr>
      <w:r>
        <w:rPr>
          <w:sz w:val="21"/>
        </w:rPr>
        <w:t>（一）</w:t>
      </w:r>
      <w:r>
        <w:rPr>
          <w:sz w:val="21"/>
        </w:rPr>
        <w:t>乙方</w:t>
      </w:r>
      <w:r>
        <w:rPr>
          <w:sz w:val="21"/>
        </w:rPr>
        <w:t>应保证向</w:t>
      </w:r>
      <w:r>
        <w:rPr>
          <w:sz w:val="21"/>
        </w:rPr>
        <w:t>甲方</w:t>
      </w:r>
      <w:r>
        <w:rPr>
          <w:sz w:val="21"/>
        </w:rPr>
        <w:t>销售的本采购合同项下的货物或其任何部分不侵犯任何第三方知识产权，并保证</w:t>
      </w:r>
      <w:r>
        <w:rPr>
          <w:sz w:val="21"/>
        </w:rPr>
        <w:t>甲方</w:t>
      </w:r>
      <w:r>
        <w:rPr>
          <w:sz w:val="21"/>
        </w:rPr>
        <w:t>购买和正常使用货物过程中免受第三方就知识产权侵权提出的任何纠纷、制裁、索赔或起诉。</w:t>
      </w:r>
    </w:p>
    <w:p>
      <w:pPr>
        <w:jc w:val="left"/>
      </w:pPr>
      <w:r>
        <w:rPr>
          <w:sz w:val="21"/>
        </w:rPr>
        <w:t>（二）</w:t>
      </w:r>
      <w:r>
        <w:rPr>
          <w:sz w:val="21"/>
        </w:rPr>
        <w:t>甲方</w:t>
      </w:r>
      <w:r>
        <w:rPr>
          <w:sz w:val="21"/>
        </w:rPr>
        <w:t>不对</w:t>
      </w:r>
      <w:r>
        <w:rPr>
          <w:sz w:val="21"/>
        </w:rPr>
        <w:t>乙方</w:t>
      </w:r>
      <w:r>
        <w:rPr>
          <w:sz w:val="21"/>
        </w:rPr>
        <w:t>提供的货物是否侵犯他人权利负责，如因</w:t>
      </w:r>
      <w:r>
        <w:rPr>
          <w:sz w:val="21"/>
        </w:rPr>
        <w:t>乙方</w:t>
      </w:r>
      <w:r>
        <w:rPr>
          <w:sz w:val="21"/>
        </w:rPr>
        <w:t>提供的货物因任何知识产权问题给</w:t>
      </w:r>
      <w:r>
        <w:rPr>
          <w:sz w:val="21"/>
        </w:rPr>
        <w:t>甲方</w:t>
      </w:r>
      <w:r>
        <w:rPr>
          <w:sz w:val="21"/>
        </w:rPr>
        <w:t>造成损失的，无论是执行合同期间或合同到期后的任何时间，</w:t>
      </w:r>
      <w:r>
        <w:rPr>
          <w:sz w:val="21"/>
        </w:rPr>
        <w:t>乙方</w:t>
      </w:r>
      <w:r>
        <w:rPr>
          <w:sz w:val="21"/>
        </w:rPr>
        <w:t>均应负责解决纠纷</w:t>
      </w:r>
      <w:r>
        <w:rPr>
          <w:sz w:val="21"/>
        </w:rPr>
        <w:t>,</w:t>
      </w:r>
      <w:r>
        <w:rPr>
          <w:sz w:val="21"/>
        </w:rPr>
        <w:t>并按</w:t>
      </w:r>
      <w:r>
        <w:rPr>
          <w:sz w:val="21"/>
        </w:rPr>
        <w:t>甲方</w:t>
      </w:r>
      <w:r>
        <w:rPr>
          <w:sz w:val="21"/>
        </w:rPr>
        <w:t>损失金额的</w:t>
      </w:r>
      <w:r>
        <w:rPr>
          <w:sz w:val="21"/>
        </w:rPr>
        <w:t>1.5</w:t>
      </w:r>
      <w:r>
        <w:rPr>
          <w:sz w:val="21"/>
        </w:rPr>
        <w:t>倍进行赔偿。</w:t>
      </w:r>
    </w:p>
    <w:p>
      <w:pPr>
        <w:jc w:val="both"/>
      </w:pPr>
      <w:r>
        <w:rPr>
          <w:sz w:val="21"/>
        </w:rPr>
        <w:t>（三）对于货物的知识产权非</w:t>
      </w:r>
      <w:r>
        <w:rPr>
          <w:sz w:val="21"/>
        </w:rPr>
        <w:t>乙方</w:t>
      </w:r>
      <w:r>
        <w:rPr>
          <w:sz w:val="21"/>
        </w:rPr>
        <w:t>所有的，</w:t>
      </w:r>
      <w:r>
        <w:rPr>
          <w:sz w:val="21"/>
        </w:rPr>
        <w:t>乙方</w:t>
      </w:r>
      <w:r>
        <w:rPr>
          <w:sz w:val="21"/>
        </w:rPr>
        <w:t>应向</w:t>
      </w:r>
      <w:r>
        <w:rPr>
          <w:sz w:val="21"/>
        </w:rPr>
        <w:t>甲方</w:t>
      </w:r>
      <w:r>
        <w:rPr>
          <w:sz w:val="21"/>
        </w:rPr>
        <w:t>提供货物的正规销售授权文件。</w:t>
      </w:r>
    </w:p>
    <w:p>
      <w:pPr>
        <w:jc w:val="both"/>
      </w:pPr>
      <w:r>
        <w:rPr>
          <w:b/>
          <w:sz w:val="21"/>
        </w:rPr>
        <w:t>十</w:t>
      </w:r>
      <w:r>
        <w:rPr>
          <w:b/>
          <w:sz w:val="21"/>
        </w:rPr>
        <w:t>、提出异议的时间和方法：</w:t>
      </w:r>
    </w:p>
    <w:p>
      <w:pPr>
        <w:jc w:val="both"/>
      </w:pPr>
      <w:r>
        <w:rPr>
          <w:sz w:val="21"/>
        </w:rPr>
        <w:t>1.甲方在验收后</w:t>
      </w:r>
      <w:r>
        <w:rPr>
          <w:sz w:val="21"/>
          <w:u w:val="single"/>
        </w:rPr>
        <w:t>7</w:t>
      </w:r>
      <w:r>
        <w:rPr>
          <w:sz w:val="21"/>
        </w:rPr>
        <w:t>天内如对货物的型号、规格、质量有异议时，应在妥善保管货物的同时，即向乙方提出书面异议。</w:t>
      </w:r>
    </w:p>
    <w:p>
      <w:pPr>
        <w:jc w:val="both"/>
      </w:pPr>
      <w:r>
        <w:rPr>
          <w:sz w:val="21"/>
        </w:rPr>
        <w:t>2.乙方在接到甲方书面异议后，应在3天内负责处理并函复甲方处理情况，否则，即视为默认甲方提出的异议和处理意见。</w:t>
      </w:r>
    </w:p>
    <w:p>
      <w:pPr>
        <w:jc w:val="both"/>
      </w:pPr>
      <w:r>
        <w:rPr>
          <w:sz w:val="21"/>
        </w:rPr>
        <w:t>3.甲方因违章操作、保管、保养不善等人为造成货物损毁，所提出的异议乙方有权不予接受。</w:t>
      </w:r>
    </w:p>
    <w:p>
      <w:pPr>
        <w:jc w:val="both"/>
      </w:pPr>
      <w:r>
        <w:rPr>
          <w:sz w:val="21"/>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jc w:val="both"/>
      </w:pPr>
      <w:r>
        <w:rPr>
          <w:b/>
          <w:sz w:val="21"/>
        </w:rPr>
        <w:t>十</w:t>
      </w:r>
      <w:r>
        <w:rPr>
          <w:b/>
          <w:sz w:val="21"/>
        </w:rPr>
        <w:t>一</w:t>
      </w:r>
      <w:r>
        <w:rPr>
          <w:b/>
          <w:sz w:val="21"/>
        </w:rPr>
        <w:t>、争议的解决：</w:t>
      </w:r>
    </w:p>
    <w:p>
      <w:pPr>
        <w:jc w:val="both"/>
      </w:pPr>
      <w:r>
        <w:rPr>
          <w:sz w:val="21"/>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且退货处理，按违约条例办理。</w:t>
      </w:r>
    </w:p>
    <w:p>
      <w:pPr>
        <w:jc w:val="both"/>
      </w:pPr>
      <w:r>
        <w:rPr>
          <w:sz w:val="21"/>
        </w:rPr>
        <w:t>2.法院审理期间，除提交法院审理的事项外，其它无争议的事项和条款仍应继续履行。</w:t>
      </w:r>
    </w:p>
    <w:p>
      <w:pPr>
        <w:jc w:val="both"/>
      </w:pPr>
      <w:r>
        <w:rPr>
          <w:b/>
          <w:sz w:val="21"/>
        </w:rPr>
        <w:t>十</w:t>
      </w:r>
      <w:r>
        <w:rPr>
          <w:b/>
          <w:sz w:val="21"/>
        </w:rPr>
        <w:t>二</w:t>
      </w:r>
      <w:r>
        <w:rPr>
          <w:b/>
          <w:sz w:val="21"/>
        </w:rPr>
        <w:t>、不可抗力：</w:t>
      </w:r>
    </w:p>
    <w:p>
      <w:pPr>
        <w:ind w:firstLine="48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三</w:t>
      </w:r>
      <w:r>
        <w:rPr>
          <w:b/>
          <w:sz w:val="21"/>
        </w:rPr>
        <w:t>、税费：</w:t>
      </w:r>
    </w:p>
    <w:p>
      <w:pPr>
        <w:jc w:val="both"/>
      </w:pPr>
      <w:r>
        <w:rPr>
          <w:sz w:val="21"/>
        </w:rPr>
        <w:t>1.本合同实施过程中所发生的一切税费及不可预见费均由乙方承担。</w:t>
      </w:r>
    </w:p>
    <w:p>
      <w:pPr>
        <w:jc w:val="both"/>
      </w:pPr>
      <w:r>
        <w:rPr>
          <w:sz w:val="21"/>
        </w:rPr>
        <w:t>2.乙方依照税务规章优先在合同履约地开具发票及纳税，咨询：0757-12366。</w:t>
      </w:r>
    </w:p>
    <w:p>
      <w:pPr>
        <w:jc w:val="both"/>
      </w:pPr>
      <w:r>
        <w:rPr>
          <w:b/>
          <w:sz w:val="21"/>
        </w:rPr>
        <w:t>十</w:t>
      </w:r>
      <w:r>
        <w:rPr>
          <w:b/>
          <w:sz w:val="21"/>
        </w:rPr>
        <w:t>四</w:t>
      </w:r>
      <w:r>
        <w:rPr>
          <w:b/>
          <w:sz w:val="21"/>
        </w:rPr>
        <w:t>、合同生效与合同备案：</w:t>
      </w:r>
    </w:p>
    <w:p>
      <w:pPr>
        <w:jc w:val="both"/>
      </w:pPr>
      <w:r>
        <w:rPr>
          <w:sz w:val="21"/>
        </w:rPr>
        <w:t>1.本合同在甲乙双方法人代表或其授权代表签字盖章后生效。</w:t>
      </w:r>
    </w:p>
    <w:p>
      <w:pPr>
        <w:jc w:val="both"/>
      </w:pPr>
      <w:r>
        <w:rPr>
          <w:sz w:val="21"/>
        </w:rPr>
        <w:t>2.自采购合同签订之日起2个工作日内，由甲方按照有关规定将采购合同副本报同级人民政府财政部门（政府采购管理部门）备案。</w:t>
      </w:r>
    </w:p>
    <w:p>
      <w:pPr>
        <w:jc w:val="both"/>
      </w:pPr>
      <w:r>
        <w:rPr>
          <w:b/>
          <w:sz w:val="21"/>
        </w:rPr>
        <w:t>十</w:t>
      </w:r>
      <w:r>
        <w:rPr>
          <w:b/>
          <w:sz w:val="21"/>
        </w:rPr>
        <w:t>五</w:t>
      </w:r>
      <w:r>
        <w:rPr>
          <w:b/>
          <w:sz w:val="21"/>
        </w:rPr>
        <w:t>、乙方应提供的资料内容：</w:t>
      </w:r>
    </w:p>
    <w:p>
      <w:pPr>
        <w:jc w:val="both"/>
      </w:pPr>
      <w:r>
        <w:rPr>
          <w:sz w:val="21"/>
        </w:rPr>
        <w:t>1.中国境内制造的产品必须提供出厂合格证，并提供甲方名下终端客户保修注册资料。</w:t>
      </w:r>
    </w:p>
    <w:p>
      <w:pPr>
        <w:jc w:val="both"/>
      </w:pPr>
      <w:r>
        <w:rPr>
          <w:sz w:val="21"/>
        </w:rPr>
        <w:t>2.关键产品/主机设备的用户手册、保修手册、有关单证资料及配备件、随机工具等，使用操作及安全须知等重要资料应附有中文说明。</w:t>
      </w:r>
    </w:p>
    <w:p>
      <w:pPr>
        <w:jc w:val="both"/>
      </w:pPr>
      <w:r>
        <w:rPr>
          <w:b/>
          <w:sz w:val="21"/>
        </w:rPr>
        <w:t>十</w:t>
      </w:r>
      <w:r>
        <w:rPr>
          <w:b/>
          <w:sz w:val="21"/>
        </w:rPr>
        <w:t>六</w:t>
      </w:r>
      <w:r>
        <w:rPr>
          <w:b/>
          <w:sz w:val="21"/>
        </w:rPr>
        <w:t>、关于政府采购合同融资</w:t>
      </w:r>
    </w:p>
    <w:p>
      <w:pPr>
        <w:jc w:val="both"/>
      </w:pPr>
      <w:r>
        <w:rPr>
          <w:sz w:val="21"/>
        </w:rPr>
        <w:t>1.乙方是否已申请政府采购合同融资：</w:t>
      </w:r>
      <w:r>
        <w:rPr>
          <w:sz w:val="21"/>
          <w:u w:val="single"/>
        </w:rPr>
        <w:t xml:space="preserve">  </w:t>
      </w:r>
      <w:r>
        <w:rPr>
          <w:sz w:val="21"/>
          <w:u w:val="single"/>
        </w:rPr>
        <w:t>是</w:t>
      </w:r>
      <w:r>
        <w:rPr>
          <w:sz w:val="21"/>
          <w:u w:val="single"/>
        </w:rPr>
        <w:t xml:space="preserve">/否  </w:t>
      </w:r>
      <w:r>
        <w:rPr>
          <w:sz w:val="21"/>
        </w:rPr>
        <w:t>；</w:t>
      </w:r>
    </w:p>
    <w:p>
      <w:pPr>
        <w:jc w:val="both"/>
      </w:pPr>
      <w:r>
        <w:rPr>
          <w:sz w:val="21"/>
        </w:rPr>
        <w:t>融资银行及联系方式：</w:t>
      </w:r>
      <w:r>
        <w:rPr>
          <w:sz w:val="21"/>
          <w:u w:val="single"/>
        </w:rPr>
        <w:t xml:space="preserve">                                            </w:t>
      </w:r>
      <w:r>
        <w:rPr>
          <w:sz w:val="21"/>
        </w:rPr>
        <w:t>。</w:t>
      </w:r>
    </w:p>
    <w:p>
      <w:pPr>
        <w:jc w:val="both"/>
      </w:pPr>
      <w:r>
        <w:rPr>
          <w:sz w:val="21"/>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jc w:val="both"/>
      </w:pPr>
      <w:r>
        <w:rPr>
          <w:b/>
          <w:sz w:val="21"/>
        </w:rPr>
        <w:t>十</w:t>
      </w:r>
      <w:r>
        <w:rPr>
          <w:b/>
          <w:sz w:val="21"/>
        </w:rPr>
        <w:t>七</w:t>
      </w:r>
      <w:r>
        <w:rPr>
          <w:b/>
          <w:sz w:val="21"/>
        </w:rPr>
        <w:t>、其它：</w:t>
      </w:r>
    </w:p>
    <w:p>
      <w:pPr>
        <w:jc w:val="both"/>
      </w:pPr>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2.如一方（包括联系人）地址、电话、传真号码有变更，应在变更后3个工作日内书面通知对方联系人或负责人，否则，因此造成的损失由未履行通知义务方承担相应责任。</w:t>
      </w:r>
    </w:p>
    <w:p>
      <w:pPr>
        <w:jc w:val="both"/>
      </w:pPr>
      <w:r>
        <w:rPr>
          <w:sz w:val="21"/>
        </w:rPr>
        <w:t>3.未经甲方书面同意，乙方不得擅自向第三方转让其主体性和关键性合同义务。</w:t>
      </w:r>
    </w:p>
    <w:p>
      <w:pPr>
        <w:jc w:val="both"/>
      </w:pPr>
      <w:r>
        <w:rPr>
          <w:sz w:val="21"/>
        </w:rPr>
        <w:t>4.本合同一式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jc w:val="both"/>
      </w:pPr>
      <w:r>
        <w:rPr>
          <w:sz w:val="21"/>
        </w:rPr>
        <w:t>5.本合同（含附件）共计</w:t>
      </w:r>
      <w:r>
        <w:rPr>
          <w:sz w:val="21"/>
          <w:u w:val="single"/>
        </w:rPr>
        <w:t xml:space="preserve">     </w:t>
      </w:r>
      <w:r>
        <w:rPr>
          <w:sz w:val="21"/>
        </w:rPr>
        <w:t>页</w:t>
      </w:r>
      <w:r>
        <w:rPr>
          <w:sz w:val="21"/>
        </w:rPr>
        <w:t>A4纸张，缺页之合同为无效合同。</w:t>
      </w:r>
    </w:p>
    <w:p>
      <w:pPr>
        <w:jc w:val="both"/>
      </w:pPr>
      <w:r>
        <w:rPr>
          <w:sz w:val="21"/>
        </w:rPr>
        <w:t>6.本合同签约履约地点：广东省佛山市。</w:t>
      </w:r>
    </w:p>
    <w:p>
      <w:pPr>
        <w:jc w:val="both"/>
      </w:pPr>
      <w:r>
        <w:rPr>
          <w:sz w:val="21"/>
        </w:rPr>
        <w:t>7.本合同所指“书面通知”包括但不限于短信、电子邮件等数据电文的通知形式，到达时间以民事诉讼法的规定为准，但进行书面通知前后，通知方均有义务电话确认通知事项。</w:t>
      </w:r>
    </w:p>
    <w:p>
      <w:pPr>
        <w:jc w:val="both"/>
      </w:pPr>
      <w:r>
        <w:rPr>
          <w:sz w:val="21"/>
        </w:rPr>
        <w:t>8.双方均已对以上各条款及附件作充分了解，并明确理解由此而产生的相关权责。</w:t>
      </w: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10"/>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96"/>
            <w:tcBorders>
              <w:top w:val="none" w:color="000000" w:sz="4"/>
              <w:left w:val="none" w:color="000000" w:sz="4"/>
              <w:bottom w:val="single" w:color="FFFFFF" w:sz="4"/>
              <w:right w:val="dashed" w:color="000000" w:sz="4"/>
            </w:tcBorders>
            <w:vAlign w:val="top"/>
          </w:tcPr>
          <w:p>
            <w:pPr>
              <w:jc w:val="both"/>
            </w:pPr>
          </w:p>
          <w:p>
            <w:pPr>
              <w:jc w:val="both"/>
            </w:pPr>
            <w:r>
              <w:rPr>
                <w:b/>
                <w:sz w:val="21"/>
              </w:rPr>
              <w:t>鉴证单位（盖章）：广东中采招标有限公司</w:t>
            </w:r>
          </w:p>
          <w:p>
            <w:pPr>
              <w:jc w:val="both"/>
            </w:pPr>
            <w:r>
              <w:rPr>
                <w:b/>
                <w:sz w:val="21"/>
              </w:rPr>
              <w:t>经确认，与招标文件及投标文件内容相符。</w:t>
            </w:r>
          </w:p>
          <w:p>
            <w:pPr>
              <w:jc w:val="both"/>
            </w:pPr>
            <w:r>
              <w:rPr>
                <w:b/>
                <w:sz w:val="21"/>
              </w:rPr>
              <w:t>代表：</w:t>
            </w:r>
          </w:p>
          <w:p>
            <w:pPr>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tc>
        <w:tc>
          <w:tcPr>
            <w:tcW w:type="dxa" w:w="4010"/>
            <w:tcBorders>
              <w:top w:val="none" w:color="000000" w:sz="4"/>
              <w:left w:val="none" w:color="000000" w:sz="4"/>
              <w:bottom w:val="single" w:color="FFFFFF"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w:t>
            </w:r>
            <w:r>
              <w:rPr>
                <w:sz w:val="21"/>
              </w:rPr>
              <w:t>户</w:t>
            </w:r>
            <w:r>
              <w:rPr>
                <w:sz w:val="21"/>
              </w:rPr>
              <w:t>行：</w:t>
            </w:r>
          </w:p>
        </w:tc>
      </w:tr>
    </w:tbl>
    <w:p>
      <w:pPr>
        <w:jc w:val="both"/>
      </w:pPr>
    </w:p>
    <w:p>
      <w:pPr>
        <w:jc w:val="both"/>
      </w:pPr>
    </w:p>
    <w:p>
      <w:pPr>
        <w:jc w:val="both"/>
      </w:pPr>
      <w:r>
        <w:rPr>
          <w:b/>
          <w:sz w:val="21"/>
        </w:rPr>
        <w:t>合同附件清单：</w:t>
      </w:r>
    </w:p>
    <w:p>
      <w:pPr>
        <w:jc w:val="both"/>
      </w:pPr>
      <w:r>
        <w:rPr>
          <w:b/>
          <w:sz w:val="21"/>
        </w:rPr>
        <w:t>附件一：《报价清单明细表》</w:t>
      </w:r>
      <w:r>
        <w:rPr>
          <w:b/>
          <w:sz w:val="21"/>
        </w:rPr>
        <w:t>/（设备名称）配置清单</w:t>
      </w:r>
    </w:p>
    <w:p>
      <w:pPr>
        <w:jc w:val="both"/>
      </w:pPr>
      <w:r>
        <w:rPr>
          <w:b/>
          <w:sz w:val="21"/>
        </w:rPr>
        <w:t>附件二：医疗设备注册证</w:t>
      </w:r>
    </w:p>
    <w:p>
      <w:pPr>
        <w:jc w:val="both"/>
      </w:pPr>
      <w:r>
        <w:rPr>
          <w:b/>
          <w:sz w:val="21"/>
        </w:rPr>
        <w:t>附件三：有效的授权证明资料（乙方若为代理经销商）（其中一份为原件）</w:t>
      </w:r>
    </w:p>
    <w:p>
      <w:pPr>
        <w:jc w:val="both"/>
      </w:pPr>
      <w:r>
        <w:rPr>
          <w:b/>
          <w:sz w:val="21"/>
        </w:rPr>
        <w:t>附件四：厂家售后承诺书（其中一份为原件）</w:t>
      </w:r>
    </w:p>
    <w:p>
      <w:pPr>
        <w:jc w:val="both"/>
      </w:pPr>
    </w:p>
    <w:p>
      <w:pPr>
        <w:jc w:val="both"/>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440606-2023-09626</w:t>
      </w:r>
    </w:p>
    <w:p>
      <w:pPr>
        <w:jc w:val="center"/>
      </w:pPr>
      <w:r>
        <w:rPr>
          <w:b/>
          <w:sz w:val="24"/>
        </w:rPr>
        <w:t>采购项目编号：</w:t>
      </w:r>
      <w:r>
        <w:rPr>
          <w:b/>
          <w:sz w:val="24"/>
        </w:rPr>
        <w:t>440606-2023-09626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广东中采招标有限公司</w:t>
      </w:r>
    </w:p>
    <w:p>
      <w:pPr>
        <w:ind w:firstLine="480"/>
      </w:pPr>
      <w:r>
        <w:rPr/>
        <w:t>你方组织的</w:t>
      </w:r>
      <w:r>
        <w:rPr>
          <w:u w:val="single"/>
        </w:rPr>
        <w:t>“</w:t>
      </w:r>
      <w:r>
        <w:rPr>
          <w:u w:val="single"/>
        </w:rPr>
        <w:t>2023年佛山市顺德区第三人民医院（佛山市顺德区北滘医院）专用医疗设备购置项目</w:t>
      </w:r>
      <w:r>
        <w:rPr>
          <w:u w:val="single"/>
        </w:rPr>
        <w:t>”</w:t>
      </w:r>
      <w:r>
        <w:rPr/>
        <w:t>项目的招标[采购项目编号为：</w:t>
      </w:r>
      <w:r>
        <w:rPr>
          <w:u w:val="single"/>
        </w:rPr>
        <w:t>440606-2023-09626</w:t>
      </w:r>
      <w:r>
        <w:rPr/>
        <w:t>]，我方愿参与投标。</w:t>
      </w:r>
    </w:p>
    <w:p>
      <w:pPr>
        <w:ind w:firstLine="480"/>
      </w:pPr>
      <w:r>
        <w:rPr/>
        <w:t>我方确认收到贵方提供的</w:t>
      </w:r>
      <w:r>
        <w:rPr>
          <w:u w:val="single"/>
        </w:rPr>
        <w:t>“</w:t>
      </w:r>
      <w:r>
        <w:rPr>
          <w:u w:val="single"/>
        </w:rPr>
        <w:t>2023年佛山市顺德区第三人民医院（佛山市顺德区北滘医院）专用医疗设备购置项目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广东中采招标有限公司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2023年佛山市顺德区第三人民医院（佛山市顺德区北滘医院）专用医疗设备购置项目</w:t>
      </w:r>
      <w:r>
        <w:rPr/>
        <w:t>”项目采购[采购项目编号为</w:t>
      </w:r>
      <w:r>
        <w:rPr/>
        <w:t>440606-2023-09626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佛山市顺德区第三人民医院（佛山市顺德区北滘医院）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广东中采招标有限公司</w:t>
      </w:r>
    </w:p>
    <w:p>
      <w:pPr>
        <w:ind w:firstLine="480"/>
      </w:pPr>
      <w:r>
        <w:rPr/>
        <w:t>如果我方在贵采购代理机构组织的</w:t>
      </w:r>
      <w:r>
        <w:rPr/>
        <w:t>2023年佛山市顺德区第三人民医院（佛山市顺德区北滘医院）专用医疗设备购置项目</w:t>
      </w:r>
      <w:r>
        <w:rPr/>
        <w:t>招标中获中标（采购项目编号：</w:t>
      </w:r>
      <w:r>
        <w:rPr/>
        <w:t>440606-2023-09626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广东中采招标有限公司</w:t>
      </w:r>
    </w:p>
    <w:p>
      <w:pPr>
        <w:ind w:firstLine="480"/>
      </w:pPr>
      <w:r>
        <w:rPr/>
        <w:t>我单位已登记并准备参与“</w:t>
      </w:r>
      <w:r>
        <w:rPr/>
        <w:t>2023年佛山市顺德区第三人民医院（佛山市顺德区北滘医院）专用医疗设备购置项目</w:t>
      </w:r>
      <w:r>
        <w:rPr/>
        <w:t>”项目（采购项目编号：</w:t>
      </w:r>
      <w:r>
        <w:rPr/>
        <w:t>440606-2023-09626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