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440605-2023-10740</w:t>
      </w:r>
    </w:p>
    <w:p>
      <w:pPr>
        <w:jc w:val="center"/>
      </w:pPr>
      <w:r>
        <w:rPr>
          <w:b/>
          <w:sz w:val="24"/>
        </w:rPr>
        <w:t>采购项目编号：</w:t>
      </w:r>
      <w:r>
        <w:rPr>
          <w:b/>
          <w:sz w:val="24"/>
        </w:rPr>
        <w:t>DZCG202363</w:t>
      </w:r>
    </w:p>
    <w:p>
      <w:pPr>
        <w:jc w:val="center"/>
      </w:pPr>
      <w:r>
        <w:rPr>
          <w:b/>
          <w:sz w:val="24"/>
        </w:rPr>
        <w:t>项目名称：</w:t>
      </w:r>
      <w:r>
        <w:rPr>
          <w:b/>
          <w:sz w:val="24"/>
        </w:rPr>
        <w:t>2023年度丹灶镇5G网联无人机智能化城市网格管理服务</w:t>
      </w:r>
    </w:p>
    <w:p>
      <w:pPr>
        <w:jc w:val="center"/>
      </w:pPr>
      <w:r>
        <w:rPr>
          <w:b/>
          <w:sz w:val="24"/>
        </w:rPr>
        <w:t>采购人：</w:t>
      </w:r>
      <w:r>
        <w:rPr>
          <w:b/>
          <w:sz w:val="24"/>
        </w:rPr>
        <w:t>佛山市南海区丹灶镇综合行政执法办公室</w:t>
      </w:r>
    </w:p>
    <w:p>
      <w:pPr>
        <w:jc w:val="center"/>
      </w:pPr>
      <w:r>
        <w:rPr>
          <w:b/>
          <w:sz w:val="24"/>
        </w:rPr>
        <w:t>采购代理机构：</w:t>
      </w:r>
      <w:r>
        <w:rPr>
          <w:b/>
          <w:sz w:val="24"/>
        </w:rPr>
        <w:t>广东中采招标有限公司</w:t>
      </w:r>
    </w:p>
    <w:p>
      <w:pPr>
        <w:ind w:firstLine="480"/>
      </w:pPr>
    </w:p>
    <w:p>
      <w:r>
        <w:rPr/>
        <w:t xml:space="preserve"> </w:t>
      </w:r>
    </w:p>
    <w:p/>
    <w:p>
      <w:pPr>
        <w:jc w:val="center"/>
      </w:pPr>
      <w:r>
        <w:rPr>
          <w:b/>
          <w:sz w:val="36"/>
        </w:rPr>
        <w:t>第一章 磋商邀请</w:t>
      </w:r>
    </w:p>
    <w:p>
      <w:pPr>
        <w:ind w:firstLine="480"/>
      </w:pPr>
      <w:r>
        <w:rPr/>
        <w:t>广东中采招标有限公司</w:t>
      </w:r>
      <w:r>
        <w:rPr/>
        <w:t>受</w:t>
      </w:r>
      <w:r>
        <w:rPr/>
        <w:t>佛山市南海区丹灶镇综合行政执法办公室</w:t>
      </w:r>
      <w:r>
        <w:rPr/>
        <w:t>的委托，采用</w:t>
      </w:r>
      <w:r>
        <w:rPr/>
        <w:t>竞争性磋商</w:t>
      </w:r>
      <w:r>
        <w:rPr/>
        <w:t>方式组织采购</w:t>
      </w:r>
      <w:r>
        <w:rPr/>
        <w:t>2023年度丹灶镇5G网联无人机智能化城市网格管理服务</w:t>
      </w:r>
      <w:r>
        <w:rPr/>
        <w:t>。欢迎符合资格条件的供应商参加。</w:t>
      </w:r>
    </w:p>
    <w:p>
      <w:r>
        <w:rPr>
          <w:b/>
          <w:sz w:val="28"/>
        </w:rPr>
        <w:t>一.项目概述</w:t>
      </w:r>
    </w:p>
    <w:p>
      <w:r>
        <w:rPr>
          <w:b/>
          <w:sz w:val="24"/>
        </w:rPr>
        <w:t>1.名称与编号</w:t>
      </w:r>
    </w:p>
    <w:p>
      <w:pPr>
        <w:ind w:firstLine="480"/>
      </w:pPr>
      <w:r>
        <w:rPr/>
        <w:t>采购项目名称：</w:t>
      </w:r>
      <w:r>
        <w:rPr/>
        <w:t>2023年度丹灶镇5G网联无人机智能化城市网格管理服务</w:t>
      </w:r>
    </w:p>
    <w:p>
      <w:pPr>
        <w:ind w:firstLine="480"/>
      </w:pPr>
      <w:r>
        <w:rPr/>
        <w:t>采购计划编号：</w:t>
      </w:r>
      <w:r>
        <w:rPr/>
        <w:t>440605-2023-10740</w:t>
      </w:r>
    </w:p>
    <w:p>
      <w:pPr>
        <w:ind w:firstLine="480"/>
      </w:pPr>
      <w:r>
        <w:rPr/>
        <w:t>采购项目编号：</w:t>
      </w:r>
      <w:r>
        <w:rPr/>
        <w:t>DZCG202363</w:t>
      </w:r>
    </w:p>
    <w:p>
      <w:pPr>
        <w:ind w:firstLine="480"/>
      </w:pPr>
      <w:r>
        <w:rPr/>
        <w:t>采购方式：</w:t>
      </w:r>
      <w:r>
        <w:rPr/>
        <w:t>竞争性磋商</w:t>
      </w:r>
    </w:p>
    <w:p>
      <w:pPr>
        <w:ind w:firstLine="480"/>
      </w:pPr>
      <w:r>
        <w:rPr/>
        <w:t>预算金额：</w:t>
      </w:r>
      <w:r>
        <w:rPr/>
        <w:t>2,000,000.00</w:t>
      </w:r>
      <w:r>
        <w:rPr/>
        <w:t>元</w:t>
      </w:r>
    </w:p>
    <w:p>
      <w:r>
        <w:rPr>
          <w:b/>
          <w:sz w:val="24"/>
        </w:rPr>
        <w:t>2.项目内容及需求情况（采购项目技术规格、参数及要求）</w:t>
      </w:r>
    </w:p>
    <w:p>
      <w:pPr>
        <w:ind w:firstLine="480"/>
      </w:pPr>
    </w:p>
    <w:p/>
    <w:p>
      <w:r>
        <w:rPr/>
        <w:t>采购包1(2023年度丹灶镇5G网联无人机智能化城市网格管理服务):</w:t>
      </w:r>
    </w:p>
    <w:p>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网联无人机智能化城市网格管理服务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合同履行期限：自合同签订之日起一年。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有效的营业执照（或事业单位法人证书，或社会团体法人登记证书，或其他具有独立承担民事责任的能力的有效证照）扫描件，如响应供应商为自然人的需提供自然人身份证明扫描件。</w:t>
      </w:r>
    </w:p>
    <w:p/>
    <w:p>
      <w:r>
        <w:rPr/>
        <w:t>2）有依法缴纳税收和社会保障资金的良好记录：须提供下列任一项证明材料：①提供《政府采购供应商资格信用承诺函》作为证明材料；②提供投标截止前6个月内（含投标截止当月，并往前顺推）任意1个月依法缴纳税收和社会保障资金的相关材料。如依法免税或不需要缴纳社会保障资金的，提供相应证明材料。</w:t>
      </w:r>
    </w:p>
    <w:p/>
    <w:p>
      <w:r>
        <w:rPr/>
        <w:t>3）具有良好的商业信誉和健全的财务会计制度：须提供下列任一项证明材料：①提供《政府采购供应商资格信用承诺函》作为证明材料；②2022年度经审计的财务报告及财务报表（资产负债表、利润表和现金流量表）扫描件（要求：审计报告由第三方会计师事务所或其它合法审计机构出具，须包含会计师事务所或审计机构的盖章页）；③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p/>
    <w:p>
      <w:r>
        <w:rPr/>
        <w:t>4）履行合同所必需的设备和专业技术能力：提供“具备履行合同所必需的设备和专业技术能力”的承诺函，格式自拟。</w:t>
      </w:r>
    </w:p>
    <w:p/>
    <w:p>
      <w:r>
        <w:rPr/>
        <w:t>5）参加采购活动前3年内，在经营活动中没有重大违法记录：须提供下列任一项证明材料：①提供《政府采购供应商资格信用承诺函》作为证明材料；②参照投标（报价）函相关承诺格式内容。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采购包1（2023年度丹灶镇5G网联无人机智能化城市网格管理服务）：</w:t>
      </w:r>
      <w:r>
        <w:rPr/>
        <w:t>采购包整体专门面向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软件和信息技术服务业）。</w:t>
      </w:r>
    </w:p>
    <w:p/>
    <w:p>
      <w:r>
        <w:rPr>
          <w:b/>
          <w:sz w:val="24"/>
        </w:rPr>
        <w:t>3.本项目特定的资格要求：</w:t>
      </w:r>
    </w:p>
    <w:p>
      <w:pPr>
        <w:ind w:firstLine="480"/>
      </w:pPr>
    </w:p>
    <w:p/>
    <w:p>
      <w:r>
        <w:rPr/>
        <w:t>采购包1（2023年度丹灶镇5G网联无人机智能化城市网格管理服务）：</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佛山市公共资源交易网（http://ggzy.foshan.gov.cn/）、佛山市公共资源交易中心南海分中心网站（http://www.nanhai.gov.cn/fsnhq/bmdh/sydw/ggzyjyzx/jyxx/）及采购代理机构网站（http://www.gdzczb.com/）</w:t>
      </w:r>
    </w:p>
    <w:p>
      <w:r>
        <w:rPr>
          <w:b/>
          <w:sz w:val="28"/>
        </w:rPr>
        <w:t>六.本项目联系方式：</w:t>
      </w:r>
    </w:p>
    <w:p>
      <w:r>
        <w:rPr>
          <w:b/>
          <w:sz w:val="24"/>
        </w:rPr>
        <w:t>1.采购人信息</w:t>
      </w:r>
    </w:p>
    <w:p>
      <w:pPr>
        <w:ind w:firstLine="480"/>
      </w:pPr>
      <w:r>
        <w:rPr/>
        <w:t>名称：</w:t>
      </w:r>
      <w:r>
        <w:rPr/>
        <w:t>佛山市南海区丹灶镇综合行政执法办公室</w:t>
      </w:r>
    </w:p>
    <w:p>
      <w:pPr>
        <w:ind w:firstLine="480"/>
      </w:pPr>
      <w:r>
        <w:rPr/>
        <w:t>地址：</w:t>
      </w:r>
      <w:r>
        <w:rPr/>
        <w:t>佛山市南海区丹灶镇金沙金业路8号3座</w:t>
      </w:r>
    </w:p>
    <w:p>
      <w:pPr>
        <w:ind w:firstLine="480"/>
      </w:pPr>
      <w:r>
        <w:rPr/>
        <w:t>联系方式：</w:t>
      </w:r>
      <w:r>
        <w:rPr/>
        <w:t>0757-85405672</w:t>
      </w:r>
    </w:p>
    <w:p>
      <w:r>
        <w:rPr>
          <w:b/>
          <w:sz w:val="24"/>
        </w:rPr>
        <w:t>2.采购代理机构信息</w:t>
      </w:r>
    </w:p>
    <w:p>
      <w:pPr>
        <w:ind w:firstLine="480"/>
      </w:pPr>
      <w:r>
        <w:rPr/>
        <w:t>名称：</w:t>
      </w:r>
      <w:r>
        <w:rPr/>
        <w:t>广东中采招标有限公司</w:t>
      </w:r>
    </w:p>
    <w:p>
      <w:pPr>
        <w:ind w:firstLine="480"/>
      </w:pPr>
      <w:r>
        <w:rPr/>
        <w:t>地址：</w:t>
      </w:r>
      <w:r>
        <w:rPr/>
        <w:t>广东省佛山市禅城区文华北路223号之一栋525、526、527单元（住所申报）</w:t>
      </w:r>
    </w:p>
    <w:p>
      <w:pPr>
        <w:ind w:firstLine="480"/>
      </w:pPr>
      <w:r>
        <w:rPr/>
        <w:t>联系方式：</w:t>
      </w:r>
      <w:r>
        <w:rPr/>
        <w:t>0757-81993027</w:t>
      </w:r>
    </w:p>
    <w:p>
      <w:r>
        <w:rPr>
          <w:b/>
          <w:sz w:val="24"/>
        </w:rPr>
        <w:t>3.项目联系方式</w:t>
      </w:r>
    </w:p>
    <w:p>
      <w:pPr>
        <w:ind w:firstLine="480"/>
      </w:pPr>
      <w:r>
        <w:rPr/>
        <w:t>项目联系人：</w:t>
      </w:r>
      <w:r>
        <w:rPr/>
        <w:t>广东中采招标有限公司</w:t>
      </w:r>
    </w:p>
    <w:p>
      <w:pPr>
        <w:ind w:firstLine="480"/>
      </w:pPr>
      <w:r>
        <w:rPr/>
        <w:t>电话：</w:t>
      </w:r>
      <w:r>
        <w:rPr/>
        <w:t>0757-81993027</w:t>
      </w:r>
    </w:p>
    <w:p>
      <w:r>
        <w:rPr>
          <w:b/>
          <w:sz w:val="24"/>
        </w:rPr>
        <w:t>4.技术支持联系方式</w:t>
      </w:r>
    </w:p>
    <w:p>
      <w:pPr>
        <w:ind w:firstLine="480"/>
      </w:pPr>
      <w:r>
        <w:rPr/>
        <w:t>云平台联系方式：020-88696588</w:t>
      </w:r>
    </w:p>
    <w:p>
      <w:r>
        <w:rPr/>
        <w:t>采购代理机构：</w:t>
      </w:r>
      <w:r>
        <w:rPr/>
        <w:t>广东中采招标有限公司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left"/>
      </w:pPr>
      <w:r>
        <w:rPr>
          <w:sz w:val="21"/>
        </w:rPr>
        <w:t>1.</w:t>
      </w:r>
      <w:r>
        <w:rPr>
          <w:sz w:val="21"/>
        </w:rPr>
        <w:t>采购需求中打</w:t>
      </w:r>
      <w:r>
        <w:rPr>
          <w:sz w:val="21"/>
        </w:rPr>
        <w:t>“★”</w:t>
      </w:r>
      <w:r>
        <w:rPr>
          <w:sz w:val="21"/>
        </w:rPr>
        <w:t>号条款为实质性条款，响应供应商如有任何一条负偏离则导致磋商无效。</w:t>
      </w:r>
    </w:p>
    <w:p>
      <w:pPr>
        <w:ind w:firstLine="420"/>
        <w:jc w:val="left"/>
      </w:pPr>
      <w:r>
        <w:rPr>
          <w:sz w:val="21"/>
        </w:rPr>
        <w:t>2.</w:t>
      </w:r>
      <w:r>
        <w:rPr>
          <w:sz w:val="21"/>
        </w:rPr>
        <w:t>建设背景</w:t>
      </w:r>
    </w:p>
    <w:p>
      <w:pPr>
        <w:ind w:firstLine="420"/>
        <w:jc w:val="left"/>
      </w:pPr>
      <w:r>
        <w:rPr>
          <w:sz w:val="21"/>
        </w:rPr>
        <w:t>近年来，佛山市南海区丹灶镇致力打造</w:t>
      </w:r>
      <w:r>
        <w:rPr>
          <w:sz w:val="21"/>
        </w:rPr>
        <w:t>“</w:t>
      </w:r>
      <w:r>
        <w:rPr>
          <w:sz w:val="21"/>
        </w:rPr>
        <w:t>大湾区新兴产业集聚发展标杆镇</w:t>
      </w:r>
      <w:r>
        <w:rPr>
          <w:sz w:val="21"/>
        </w:rPr>
        <w:t>”</w:t>
      </w:r>
      <w:r>
        <w:rPr>
          <w:sz w:val="21"/>
        </w:rPr>
        <w:t>，经济、环境、社会、文化各项事业快速健康发展。城市建设迅速发展的同时，城镇管理相对滞后的问题日益突出，已在一定程度上制约了建设效益的发挥，阻碍了城市化总体水平的提高。采用无人机监管手段，具有时效性强、机动性好、巡查范围广等特点，一定程度上弥补了人员的不足，能为城管、水务、环保、公安、应急等社会管理工作提供全面、实时、准确的现场数据，有效提高城镇管理效率。</w:t>
      </w:r>
    </w:p>
    <w:p>
      <w:pPr>
        <w:ind w:firstLine="420"/>
        <w:jc w:val="left"/>
      </w:pPr>
      <w:r>
        <w:rPr>
          <w:sz w:val="21"/>
        </w:rPr>
        <w:t>3.</w:t>
      </w:r>
      <w:r>
        <w:rPr>
          <w:sz w:val="21"/>
        </w:rPr>
        <w:t>建设目标</w:t>
      </w:r>
    </w:p>
    <w:p>
      <w:pPr>
        <w:ind w:firstLine="420"/>
        <w:jc w:val="left"/>
      </w:pPr>
      <w:r>
        <w:rPr>
          <w:sz w:val="21"/>
        </w:rPr>
        <w:t>基于</w:t>
      </w:r>
      <w:r>
        <w:rPr>
          <w:sz w:val="21"/>
        </w:rPr>
        <w:t>5G</w:t>
      </w:r>
      <w:r>
        <w:rPr>
          <w:sz w:val="21"/>
        </w:rPr>
        <w:t>网联无人机组网，以无人机基站为载体，搭载可见光、热红外、喊话器等传感器，采集正射影像、巡查视频等数据，实现在城管巡查、国土巡查、环保监测、河道巡查、应急监测、交通（警）巡逻、公安巡逻等领域中的应用，为丹灶镇城管、国土、环保、水务、应急、交通（警）、公安等政府部门提供高频次、全天时、快响应的无人机智能巡检与智能识别服务，并以此搭建城市综合可视化管控平台及智慧业务应用系统为无人机城市作业的综合管控与各部门业务应用提供信息化的技术支持。</w:t>
      </w:r>
    </w:p>
    <w:p/>
    <w:p>
      <w:pPr>
        <w:ind w:firstLine="480"/>
      </w:pPr>
    </w:p>
    <w:p/>
    <w:p>
      <w:r>
        <w:rPr/>
        <w:t>采购包1（2023年度丹灶镇5G网联无人机智能化城市网格管理服务）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★自合同签订之日起一年。</w:t>
            </w:r>
          </w:p>
        </w:tc>
      </w:tr>
      <w:tr>
        <w:tc>
          <w:tcPr>
            <w:tcW w:type="dxa" w:w="4153"/>
          </w:tcPr>
          <w:p>
            <w:r>
              <w:rPr/>
              <w:t>标的提供的地点</w:t>
            </w:r>
          </w:p>
        </w:tc>
        <w:tc>
          <w:tcPr>
            <w:tcW w:type="dxa" w:w="4153"/>
          </w:tcPr>
          <w:p/>
          <w:p>
            <w:r>
              <w:rPr/>
              <w:t>★采购人指定地址（地址：佛山市内）</w:t>
            </w:r>
          </w:p>
        </w:tc>
      </w:tr>
      <w:tr>
        <w:tc>
          <w:tcPr>
            <w:tcW w:type="dxa" w:w="4153"/>
          </w:tcPr>
          <w:p>
            <w:r>
              <w:rPr/>
              <w:t>付款方式</w:t>
            </w:r>
          </w:p>
        </w:tc>
        <w:tc>
          <w:tcPr>
            <w:tcW w:type="dxa" w:w="4153"/>
          </w:tcPr>
          <w:p/>
          <w:p/>
          <w:p>
            <w:r>
              <w:rPr/>
              <w:t>1期：支付比例25%,★（一）服务项目按期完成成果报告，服务期满3个月，采购人在收到成交供应商提供的对应金额有效发票后10个工作日内支付合同总金额的25%；</w:t>
            </w:r>
          </w:p>
          <w:p/>
          <w:p>
            <w:r>
              <w:rPr/>
              <w:t>2期：支付比例25%,★（二）服务项目按期完成成果报告，服务期满6个月，采购人在收到成交供应商提供的对应金额有效发票后10个工作日内支付合同总金额的25%；</w:t>
            </w:r>
          </w:p>
          <w:p/>
          <w:p>
            <w:r>
              <w:rPr/>
              <w:t>3期：支付比例25%,★（三）服务项目按期完成成果报告，服务期满9个月，采购人在收到成交供应商提供的对应金额有效发票后10个工作日内支付合同总金额的25%；</w:t>
            </w:r>
          </w:p>
          <w:p/>
          <w:p>
            <w:r>
              <w:rPr/>
              <w:t>4期：支付比例25%,★（四）服务项目按期完成成果报告，服务期满12个月，采购人在收到成交供应商提供的对应金额有效发票后10个工作日内支付合同总金额的25%。★（五）采购人支付每笔款项时，成交供应商应提供相应金额的正式发票（收款方、出具发票方和合同乙方均必须与成交供应商名称一致）。★（六）付款方式：采用支票、银行汇付（含电汇）等形式。 ★（七）付款期间如因特殊情况需调整，由双方协商处理。</w:t>
            </w:r>
          </w:p>
        </w:tc>
      </w:tr>
      <w:tr>
        <w:tc>
          <w:tcPr>
            <w:tcW w:type="dxa" w:w="4153"/>
          </w:tcPr>
          <w:p>
            <w:r>
              <w:rPr/>
              <w:t>验收要求</w:t>
            </w:r>
          </w:p>
        </w:tc>
        <w:tc>
          <w:tcPr>
            <w:tcW w:type="dxa" w:w="4153"/>
          </w:tcPr>
          <w:p/>
          <w:p/>
          <w:p/>
          <w:p>
            <w:r>
              <w:rPr/>
              <w:t>1期：★验收要求：★（一）硬件设备建设须经双方共同验收。经双方共同验收，如出现不合格，成交供应商负责无偿给予重新调整，以达到质量要求为止。若再次重新调整，成果仍出现未达到承诺要求的，采购人有权按延期1天扣除合同总金额的3‰作为违约金处理。 ★（二）成交供应商根据采购人要求提供项目相关文档。 ★（三）验收标准：①符合中华人民共和国国家和履约地相关安全质量标准、行业技术规范标准；②符合本项目采购文件要求和成交供应商招标文件承诺的相应标准；③货物来源国家官方标准。  上述标准必须是有关官方机构发布的最新版本的标准。★（四）验收形式：服务期满后由采购人组织双方共同验收。 ★（五）验收费用：成交供应商须为验收提供必需的一切条件及相关费用。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本项目磋商报价为全包价，以人民币元为结算单位，响应报价包含但不限于服务人员的人工费、交通费、设备购买（或租用）费用、全额含税发票、代理服务费、培训费、合同实施过程中的应预见或不可预见费用等费用完成合同规定责任和义务、达到合同目的的一切费用及单位利润。（二）响应供应商须考虑本项目在服务期间的一切可能产生的费用。在项目实施过程中，如项目工作范围发生变更，由成交供应商和采购人双方协商解决；其余情况下，合同价均不予调整，采购人将不再另行支付任何费用（另有约定的除外）。</w:t>
            </w:r>
          </w:p>
        </w:tc>
      </w:tr>
      <w:tr>
        <w:tc>
          <w:tcPr>
            <w:tcW w:type="dxa" w:w="2076"/>
          </w:tcPr>
          <w:p>
            <w:pPr>
              <w:jc w:val="center"/>
            </w:pPr>
            <w:r>
              <w:rPr/>
              <w:t>★</w:t>
            </w:r>
          </w:p>
        </w:tc>
        <w:tc>
          <w:tcPr>
            <w:tcW w:type="dxa" w:w="2076"/>
          </w:tcPr>
          <w:p>
            <w:pPr>
              <w:jc w:val="center"/>
            </w:pPr>
            <w:r>
              <w:rPr/>
              <w:t>2</w:t>
            </w:r>
          </w:p>
        </w:tc>
        <w:tc>
          <w:tcPr>
            <w:tcW w:type="dxa" w:w="2076"/>
          </w:tcPr>
          <w:p>
            <w:pPr>
              <w:jc w:val="left"/>
            </w:pPr>
            <w:r>
              <w:rPr/>
              <w:t>保密要求</w:t>
            </w:r>
          </w:p>
        </w:tc>
        <w:tc>
          <w:tcPr>
            <w:tcW w:type="dxa" w:w="2076"/>
          </w:tcPr>
          <w:p>
            <w:pPr>
              <w:jc w:val="left"/>
            </w:pPr>
            <w:r>
              <w:rPr/>
              <w:t>（一）本项目涉及的保密数据和资料包括分布资料、过程资料和在项目过程中确认的需要保密的其他信息及资料。 （二）本项目所涉及的保密数据和资料，仅限于成交供应商在本项目的合同期内使用，并只能用于本项目，不得用于其它用途，不得向第三方提供，且保密责任不因合同的终止或解除而失效，成交供应商须在签定合同的同时无条件签定保密协议。 （三）成交供应商须按国家相关法律法规的要求，制定数据安全保密措施，严防泄密，并在项目结束后销毁所有相关数据，不得保留备份。 （四）成交供应商不得将涉密数据在计算机互联网、政务网等非涉密网络上传输、登载。 （五）成交供应商发生涉密数据外传、丢失、被盗或者造成泄密事故的，应采取有效措施，及时补救，并及时报告；造成后果的，由成交供应商承担所有责任。</w:t>
            </w:r>
          </w:p>
        </w:tc>
      </w:tr>
      <w:tr>
        <w:tc>
          <w:tcPr>
            <w:tcW w:type="dxa" w:w="2076"/>
          </w:tcPr>
          <w:p>
            <w:pPr>
              <w:jc w:val="center"/>
            </w:pPr>
            <w:r>
              <w:rPr/>
              <w:t>★</w:t>
            </w:r>
          </w:p>
        </w:tc>
        <w:tc>
          <w:tcPr>
            <w:tcW w:type="dxa" w:w="2076"/>
          </w:tcPr>
          <w:p>
            <w:pPr>
              <w:jc w:val="center"/>
            </w:pPr>
            <w:r>
              <w:rPr/>
              <w:t>3</w:t>
            </w:r>
          </w:p>
        </w:tc>
        <w:tc>
          <w:tcPr>
            <w:tcW w:type="dxa" w:w="2076"/>
          </w:tcPr>
          <w:p>
            <w:pPr>
              <w:jc w:val="left"/>
            </w:pPr>
            <w:r>
              <w:rPr/>
              <w:t>知识产权归属</w:t>
            </w:r>
          </w:p>
        </w:tc>
        <w:tc>
          <w:tcPr>
            <w:tcW w:type="dxa" w:w="2076"/>
          </w:tcPr>
          <w:p>
            <w:pPr>
              <w:jc w:val="left"/>
            </w:pPr>
            <w:r>
              <w:rPr/>
              <w:t>（一）本项目的知识产权属采购人所有。 （二）成交供应商在服务过程中所涉及的知识产权费用和法律纠纷由成交供应商自行负责。 （三）成交供应商保证响应文件、全部资料的合法性和真实性，保证在全球范围内未曾自行或授权任何第三方对作品进行任何形式的使用。成交供应商需是作品的合法拥有者，拥有著作权，不得侵犯他人著作权。如有作品侵犯第三方著作权的情况发生，由成交供应商承担相应法律责任，采购人对此不承担任何责任。采购人在该项目拥有无偿展示权、使用权、复制权和修改权。 （四）成交供应商在合同履行过程中，如有涉稳、涉敏感信息产生一切不良影响及损失，采购人有权立即终止合同并追究责任。 （五）服务期满后，成交供应商须把采购人提供的所有资料、数据完整归还采购人，并不得留存任何复制品。</w:t>
            </w:r>
          </w:p>
        </w:tc>
      </w:tr>
      <w:tr>
        <w:tc>
          <w:tcPr>
            <w:tcW w:type="dxa" w:w="2076"/>
          </w:tcPr>
          <w:p>
            <w:pPr>
              <w:jc w:val="center"/>
            </w:pPr>
            <w:r>
              <w:rPr/>
              <w:t>★</w:t>
            </w:r>
          </w:p>
        </w:tc>
        <w:tc>
          <w:tcPr>
            <w:tcW w:type="dxa" w:w="2076"/>
          </w:tcPr>
          <w:p>
            <w:pPr>
              <w:jc w:val="center"/>
            </w:pPr>
            <w:r>
              <w:rPr/>
              <w:t>4</w:t>
            </w:r>
          </w:p>
        </w:tc>
        <w:tc>
          <w:tcPr>
            <w:tcW w:type="dxa" w:w="2076"/>
          </w:tcPr>
          <w:p>
            <w:pPr>
              <w:jc w:val="left"/>
            </w:pPr>
            <w:r>
              <w:rPr/>
              <w:t>培训要求</w:t>
            </w:r>
          </w:p>
        </w:tc>
        <w:tc>
          <w:tcPr>
            <w:tcW w:type="dxa" w:w="2076"/>
          </w:tcPr>
          <w:p>
            <w:pPr>
              <w:jc w:val="left"/>
            </w:pPr>
            <w:r>
              <w:rPr/>
              <w:t>（一）成交供应商应在硬件设备建设验收前提供现场专业技术培训服务。（二）所有培训以中文进行。该培训要求教会学员在日常和紧急情况下如何操作系统、设备运维流程、运维体。培训教员的简历连同培训计划须于培训前一并提交采购人，采购人认为培训教员不合格可要求更换。（三）成交供应商须在完成设备测试之前为采购人城市管理系统平台的对接技术人员进行现场培训，该培训包括正常操作程序和怎样处理紧急情况。同时，培训材料还应包括系统演示的详细脚本，在培训工作开始前向采购人提供所有中文培训资料，包括中文操作、维修手册。（四）培训费用：所有与本项目有关的培训费用包括差旅、食宿、教材、资料等由成交供应商负责，均计入响应报价中。</w:t>
            </w:r>
          </w:p>
        </w:tc>
      </w:tr>
      <w:tr>
        <w:tc>
          <w:tcPr>
            <w:tcW w:type="dxa" w:w="2076"/>
          </w:tcPr>
          <w:p>
            <w:pPr>
              <w:jc w:val="center"/>
            </w:pPr>
            <w:r>
              <w:rPr/>
              <w:t>★</w:t>
            </w:r>
          </w:p>
        </w:tc>
        <w:tc>
          <w:tcPr>
            <w:tcW w:type="dxa" w:w="2076"/>
          </w:tcPr>
          <w:p>
            <w:pPr>
              <w:jc w:val="center"/>
            </w:pPr>
            <w:r>
              <w:rPr/>
              <w:t>5</w:t>
            </w:r>
          </w:p>
        </w:tc>
        <w:tc>
          <w:tcPr>
            <w:tcW w:type="dxa" w:w="2076"/>
          </w:tcPr>
          <w:p>
            <w:pPr>
              <w:jc w:val="left"/>
            </w:pPr>
            <w:r>
              <w:rPr/>
              <w:t>其他要求</w:t>
            </w:r>
          </w:p>
        </w:tc>
        <w:tc>
          <w:tcPr>
            <w:tcW w:type="dxa" w:w="2076"/>
          </w:tcPr>
          <w:p>
            <w:pPr>
              <w:jc w:val="left"/>
            </w:pPr>
            <w:r>
              <w:rPr/>
              <w:t>（一）合同签订前，成交供应商须向采购人提供有效的《通用航空企业经营许可证》复印件给采购人备案，证书经营项目须满足本项目需求。（二）成交供应商在实际服务时，若被发现提供的服务未能达到磋商文件和响应文件中的有关要求，采购人有权依法解除合同，并按有关法规追究成交供应商的责任。（三）责任承诺:服务期内，对于成交供应商服务人员因工作原因引起的各种工伤、安全事件和事故，采购人免负一切责任，均由成交供应商负责（响应时提供承诺函作为证明材料，格式自拟）。（四）服务期内如任何一方由于不可抗力原因（含上级政府部门相关政策要求调整等情况）不能履行合同时，应在不可抗力事件结束后48小时内向对方通报，以减轻可能给对方造成的损失，双方谅解确认后，允许解除合同，并根据情况可部分或全部免于承担违约责任，当期服务费按实计算（即结算金额=合同总金额×当期支付比例÷该季度的天数×实际服务天数）。</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网联无人机智能化城市网格管理服务</w:t>
            </w:r>
          </w:p>
        </w:tc>
        <w:tc>
          <w:tcPr>
            <w:tcW w:type="dxa" w:w="933"/>
          </w:tcPr>
          <w:p>
            <w:pPr>
              <w:jc w:val="left"/>
            </w:pPr>
            <w:r>
              <w:rPr/>
              <w:t>项</w:t>
            </w:r>
          </w:p>
        </w:tc>
        <w:tc>
          <w:tcPr>
            <w:tcW w:type="dxa" w:w="933"/>
          </w:tcPr>
          <w:p>
            <w:pPr>
              <w:jc w:val="right"/>
            </w:pPr>
            <w:r>
              <w:rPr/>
              <w:t>1.00</w:t>
            </w:r>
          </w:p>
        </w:tc>
        <w:tc>
          <w:tcPr>
            <w:tcW w:type="dxa" w:w="933"/>
          </w:tcPr>
          <w:p>
            <w:pPr>
              <w:jc w:val="right"/>
            </w:pPr>
            <w:r>
              <w:rPr/>
              <w:t>2,000,000.00</w:t>
            </w:r>
          </w:p>
        </w:tc>
        <w:tc>
          <w:tcPr>
            <w:tcW w:type="dxa" w:w="933"/>
          </w:tcPr>
          <w:p>
            <w:pPr>
              <w:jc w:val="right"/>
            </w:pPr>
            <w:r>
              <w:rPr/>
              <w:t>2,000,000.00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网联无人机智能化城市网格管理服务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w:t>
            </w:r>
            <w:r>
              <w:rPr>
                <w:b/>
                <w:sz w:val="21"/>
              </w:rPr>
              <w:t>服务内容</w:t>
            </w:r>
          </w:p>
          <w:p>
            <w:pPr>
              <w:jc w:val="both"/>
            </w:pPr>
            <w:r>
              <w:rPr>
                <w:sz w:val="21"/>
              </w:rPr>
              <w:t>本项目主要是采购人租用成交供应商专业技术设备和技术力量，建设两个无人机自动化基站，成交供应商以每个基站不少于</w:t>
            </w:r>
            <w:r>
              <w:rPr>
                <w:sz w:val="21"/>
              </w:rPr>
              <w:t>20</w:t>
            </w:r>
            <w:r>
              <w:rPr>
                <w:sz w:val="21"/>
              </w:rPr>
              <w:t>平方公里的监测范围（具体监测范围以采购人指定为准），依托无人机前端图像识别，结合大数据智能分析、人工智能技术，实现数据融合、态势监测等功能实现项目监测，并根据下述要求向采购人提供相应服务，包括提供巡查监测数据成果、技术对接采购人的城市管理系统平台等。</w:t>
            </w:r>
          </w:p>
          <w:p>
            <w:pPr>
              <w:jc w:val="both"/>
            </w:pPr>
            <w:r>
              <w:rPr>
                <w:sz w:val="21"/>
              </w:rPr>
              <w:t>（一）无人机组网智能化监测硬件设备</w:t>
            </w:r>
          </w:p>
          <w:p>
            <w:pPr>
              <w:jc w:val="both"/>
            </w:pPr>
            <w:r>
              <w:rPr>
                <w:sz w:val="21"/>
              </w:rPr>
              <w:t>丹灶镇重点区域布置两台无人机自动化基站设备，依托基站实现无人机自动化远程飞行及数据采集，达到远程控制、全自主飞行、三维航线规划、巡查视频实时回传、自动更换电池与充放电、紧急环境一键返航等目标。</w:t>
            </w:r>
          </w:p>
          <w:p>
            <w:pPr>
              <w:jc w:val="both"/>
            </w:pPr>
            <w:r>
              <w:rPr>
                <w:sz w:val="21"/>
              </w:rPr>
              <w:t>无人机基站设备技术参数要求</w:t>
            </w:r>
            <w:r>
              <w:rPr>
                <w:sz w:val="21"/>
              </w:rPr>
              <w:t>以下需求仅作为技术要求的客观描述，无限制性或指向性</w:t>
            </w:r>
            <w:r>
              <w:rPr>
                <w:sz w:val="21"/>
              </w:rPr>
              <w:t>，响应供应商可提供更优方案：</w:t>
            </w:r>
          </w:p>
          <w:tbl>
            <w:tblPr>
              <w:tblInd w:type="dxa" w:w="120"/>
              <w:tblBorders>
                <w:top w:val="none" w:color="000000" w:sz="4"/>
                <w:left w:val="none" w:color="000000" w:sz="4"/>
                <w:bottom w:val="none" w:color="000000" w:sz="4"/>
                <w:right w:val="none" w:color="000000" w:sz="4"/>
                <w:insideH w:val="none"/>
                <w:insideV w:val="none"/>
              </w:tblBorders>
            </w:tblPr>
            <w:tblGrid>
              <w:gridCol w:w="476"/>
              <w:gridCol w:w="1338"/>
              <w:gridCol w:w="3782"/>
            </w:tblGrid>
            <w:tr>
              <w:tc>
                <w:tcPr>
                  <w:tcW w:type="dxa" w:w="476"/>
                  <w:vMerge w:val="restart"/>
                  <w:tcBorders>
                    <w:top w:val="single" w:color="000000" w:sz="4"/>
                    <w:left w:val="single" w:color="000000" w:sz="4"/>
                    <w:bottom w:val="single" w:color="000000" w:sz="4"/>
                    <w:right w:val="single" w:color="000000" w:sz="4"/>
                  </w:tcBorders>
                  <w:vAlign w:val="top"/>
                </w:tcPr>
                <w:p>
                  <w:pPr>
                    <w:jc w:val="center"/>
                  </w:pPr>
                  <w:r>
                    <w:rPr>
                      <w:sz w:val="21"/>
                    </w:rPr>
                    <w:t>无人机基站设备</w:t>
                  </w:r>
                </w:p>
              </w:tc>
              <w:tc>
                <w:tcPr>
                  <w:tcW w:type="dxa" w:w="1338"/>
                  <w:tcBorders>
                    <w:top w:val="single" w:color="000000" w:sz="4"/>
                    <w:left w:val="none" w:color="000000" w:sz="4"/>
                    <w:bottom w:val="single" w:color="000000" w:sz="4"/>
                    <w:right w:val="single" w:color="000000" w:sz="4"/>
                  </w:tcBorders>
                  <w:vAlign w:val="top"/>
                </w:tcPr>
                <w:p>
                  <w:pPr>
                    <w:jc w:val="center"/>
                  </w:pPr>
                  <w:r>
                    <w:rPr>
                      <w:sz w:val="21"/>
                    </w:rPr>
                    <w:t>内容</w:t>
                  </w:r>
                </w:p>
              </w:tc>
              <w:tc>
                <w:tcPr>
                  <w:tcW w:type="dxa" w:w="3782"/>
                  <w:tcBorders>
                    <w:top w:val="single" w:color="000000" w:sz="4"/>
                    <w:left w:val="none" w:color="000000" w:sz="4"/>
                    <w:bottom w:val="single" w:color="000000" w:sz="4"/>
                    <w:right w:val="single" w:color="000000" w:sz="4"/>
                  </w:tcBorders>
                  <w:vAlign w:val="top"/>
                </w:tcPr>
                <w:p>
                  <w:pPr>
                    <w:jc w:val="center"/>
                  </w:pPr>
                  <w:r>
                    <w:rPr>
                      <w:sz w:val="21"/>
                    </w:rPr>
                    <w:t>具体参数</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产品尺寸</w:t>
                  </w:r>
                </w:p>
              </w:tc>
              <w:tc>
                <w:tcPr>
                  <w:tcW w:type="dxa" w:w="3782"/>
                  <w:tcBorders>
                    <w:top w:val="none" w:color="000000" w:sz="4"/>
                    <w:left w:val="none" w:color="000000" w:sz="4"/>
                    <w:bottom w:val="single" w:color="000000" w:sz="4"/>
                    <w:right w:val="single" w:color="000000" w:sz="4"/>
                  </w:tcBorders>
                  <w:vAlign w:val="top"/>
                </w:tcPr>
                <w:p>
                  <w:pPr>
                    <w:jc w:val="both"/>
                  </w:pPr>
                  <w:r>
                    <w:rPr>
                      <w:sz w:val="21"/>
                    </w:rPr>
                    <w:t>关闭状态：</w:t>
                  </w:r>
                  <w:r>
                    <w:rPr>
                      <w:sz w:val="21"/>
                    </w:rPr>
                    <w:t>≤1950mm×1600mm×1600mm</w:t>
                  </w:r>
                  <w:r>
                    <w:rPr>
                      <w:sz w:val="21"/>
                    </w:rPr>
                    <w:t>；</w:t>
                  </w:r>
                </w:p>
                <w:p>
                  <w:pPr>
                    <w:jc w:val="both"/>
                  </w:pPr>
                  <w:r>
                    <w:rPr>
                      <w:sz w:val="21"/>
                    </w:rPr>
                    <w:t>展开状态：</w:t>
                  </w:r>
                  <w:r>
                    <w:rPr>
                      <w:sz w:val="21"/>
                    </w:rPr>
                    <w:t>≤3450mm×1600mm×1600mm</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材料</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主材：</w:t>
                  </w:r>
                  <w:r>
                    <w:rPr>
                      <w:sz w:val="21"/>
                    </w:rPr>
                    <w:t>304</w:t>
                  </w:r>
                  <w:r>
                    <w:rPr>
                      <w:sz w:val="21"/>
                    </w:rPr>
                    <w:t>不锈钢、铝、</w:t>
                  </w:r>
                  <w:r>
                    <w:rPr>
                      <w:sz w:val="21"/>
                    </w:rPr>
                    <w:t>PE</w:t>
                  </w:r>
                  <w:r>
                    <w:rPr>
                      <w:sz w:val="21"/>
                    </w:rPr>
                    <w:t>板、复合材料</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产品重量</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≤900kg</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防护等级</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≥IP55</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防风等级</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不低于</w:t>
                  </w:r>
                  <w:r>
                    <w:rPr>
                      <w:sz w:val="21"/>
                    </w:rPr>
                    <w:t>7</w:t>
                  </w:r>
                  <w:r>
                    <w:rPr>
                      <w:sz w:val="21"/>
                    </w:rPr>
                    <w:t>级风</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运行功率</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标准工况：</w:t>
                  </w:r>
                  <w:r>
                    <w:rPr>
                      <w:sz w:val="21"/>
                    </w:rPr>
                    <w:t>≤800w</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供电要求</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AC 220V</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工作环境温度</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-20℃</w:t>
                  </w:r>
                  <w:r>
                    <w:rPr>
                      <w:sz w:val="21"/>
                    </w:rPr>
                    <w:t>至</w:t>
                  </w:r>
                  <w:r>
                    <w:rPr>
                      <w:sz w:val="21"/>
                    </w:rPr>
                    <w:t>55℃</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续电方式及性能</w:t>
                  </w:r>
                </w:p>
              </w:tc>
              <w:tc>
                <w:tcPr>
                  <w:tcW w:type="dxa" w:w="3782"/>
                  <w:tcBorders>
                    <w:top w:val="none" w:color="000000" w:sz="4"/>
                    <w:left w:val="none" w:color="000000" w:sz="4"/>
                    <w:bottom w:val="single" w:color="000000" w:sz="4"/>
                    <w:right w:val="single" w:color="000000" w:sz="4"/>
                  </w:tcBorders>
                  <w:vAlign w:val="top"/>
                </w:tcPr>
                <w:p>
                  <w:pPr>
                    <w:jc w:val="left"/>
                  </w:pPr>
                  <w:r>
                    <w:rPr>
                      <w:sz w:val="21"/>
                    </w:rPr>
                    <w:t>支持无人机自主换电；自动换电时长</w:t>
                  </w:r>
                  <w:r>
                    <w:rPr>
                      <w:sz w:val="21"/>
                    </w:rPr>
                    <w:t>≤2</w:t>
                  </w:r>
                  <w:r>
                    <w:rPr>
                      <w:sz w:val="21"/>
                    </w:rPr>
                    <w:t>分钟</w:t>
                  </w:r>
                  <w:r>
                    <w:rPr>
                      <w:sz w:val="21"/>
                    </w:rPr>
                    <w:t>；电池同时充电数量</w:t>
                  </w:r>
                  <w:r>
                    <w:rPr>
                      <w:sz w:val="21"/>
                    </w:rPr>
                    <w:t>≥</w:t>
                  </w:r>
                  <w:r>
                    <w:rPr>
                      <w:sz w:val="21"/>
                    </w:rPr>
                    <w:t>4</w:t>
                  </w:r>
                  <w:r>
                    <w:rPr>
                      <w:sz w:val="21"/>
                    </w:rPr>
                    <w:t>块；电池最大存储数量</w:t>
                  </w:r>
                  <w:r>
                    <w:rPr>
                      <w:sz w:val="21"/>
                    </w:rPr>
                    <w:t>≥</w:t>
                  </w:r>
                  <w:r>
                    <w:rPr>
                      <w:sz w:val="21"/>
                    </w:rPr>
                    <w:t>8</w:t>
                  </w:r>
                  <w:r>
                    <w:rPr>
                      <w:sz w:val="21"/>
                    </w:rPr>
                    <w:t>块；</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电池热替换功能</w:t>
                  </w:r>
                </w:p>
              </w:tc>
              <w:tc>
                <w:tcPr>
                  <w:tcW w:type="dxa" w:w="3782"/>
                  <w:tcBorders>
                    <w:top w:val="none" w:color="000000" w:sz="4"/>
                    <w:left w:val="none" w:color="000000" w:sz="4"/>
                    <w:bottom w:val="single" w:color="000000" w:sz="4"/>
                    <w:right w:val="single" w:color="000000" w:sz="4"/>
                  </w:tcBorders>
                  <w:vAlign w:val="top"/>
                </w:tcPr>
                <w:p>
                  <w:pPr>
                    <w:jc w:val="left"/>
                  </w:pPr>
                  <w:r>
                    <w:rPr>
                      <w:sz w:val="21"/>
                    </w:rPr>
                    <w:t>具备电池热替换功能</w:t>
                  </w:r>
                  <w:r>
                    <w:rPr>
                      <w:sz w:val="21"/>
                    </w:rPr>
                    <w:t>，无需关闭电源亦可进行电池更换</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微气象监测系统</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机巢内部结合多传感器及智能算法，实现机巢各类设备的温湿度状态检测；气象站可实现对机场周边环境要素的实时监测，包括温度、湿度、风向、风力、雨量、气压等，保障无人机作业的安全可靠</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视频监控系统</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具备巢内外监控摄像头，可实时监控设备状态并上传视频至软件系统</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机巢功能扩展</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支持机巢</w:t>
                  </w:r>
                  <w:r>
                    <w:rPr>
                      <w:sz w:val="21"/>
                    </w:rPr>
                    <w:t>SDK</w:t>
                  </w:r>
                  <w:r>
                    <w:rPr>
                      <w:sz w:val="21"/>
                    </w:rPr>
                    <w:t>开发，可集成到第三方系统</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安全试验</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电压保护：具备防浪涌、欠压、过压、过流保护；电源管理：内置电源管理模块，精确调度充放电电压、电流，有效防止电池组压差过大；断电保护：当外部供电断开时，启用</w:t>
                  </w:r>
                  <w:r>
                    <w:rPr>
                      <w:sz w:val="21"/>
                    </w:rPr>
                    <w:t>UPS</w:t>
                  </w:r>
                  <w:r>
                    <w:rPr>
                      <w:sz w:val="21"/>
                    </w:rPr>
                    <w:t>电源供电运行，中断收回执行中无人机，保障飞行安全；误操作保护：内置控制系统多项运行检测，不满足作业条件时禁止指令执行，防止发生危险</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防盐雾测试</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由采购人对样机进行试验，通过试验由采购人确认后才投入供货安装调试</w:t>
                  </w:r>
                  <w:r>
                    <w:rPr>
                      <w:sz w:val="21"/>
                    </w:rPr>
                    <w:t>，样品能够正常工作（样品状态：不包装，不工作；盐雾试验条件：试验箱温度：（</w:t>
                  </w:r>
                  <w:r>
                    <w:rPr>
                      <w:sz w:val="21"/>
                    </w:rPr>
                    <w:t>35±2</w:t>
                  </w:r>
                  <w:r>
                    <w:rPr>
                      <w:sz w:val="21"/>
                    </w:rPr>
                    <w:t>）</w:t>
                  </w:r>
                  <w:r>
                    <w:rPr>
                      <w:sz w:val="21"/>
                    </w:rPr>
                    <w:t>℃</w:t>
                  </w:r>
                  <w:r>
                    <w:rPr>
                      <w:sz w:val="21"/>
                    </w:rPr>
                    <w:t>；氯化钠溶液质量百分比浓度：</w:t>
                  </w:r>
                  <w:r>
                    <w:rPr>
                      <w:sz w:val="21"/>
                    </w:rPr>
                    <w:t>5%</w:t>
                  </w:r>
                  <w:r>
                    <w:rPr>
                      <w:sz w:val="21"/>
                    </w:rPr>
                    <w:t>；</w:t>
                  </w:r>
                  <w:r>
                    <w:rPr>
                      <w:sz w:val="21"/>
                    </w:rPr>
                    <w:t>PH</w:t>
                  </w:r>
                  <w:r>
                    <w:rPr>
                      <w:sz w:val="21"/>
                    </w:rPr>
                    <w:t>值：</w:t>
                  </w:r>
                  <w:r>
                    <w:rPr>
                      <w:sz w:val="21"/>
                    </w:rPr>
                    <w:t>6.5~7.2</w:t>
                  </w:r>
                  <w:r>
                    <w:rPr>
                      <w:sz w:val="21"/>
                    </w:rPr>
                    <w:t>；盐雾沉降量（</w:t>
                  </w:r>
                  <w:r>
                    <w:rPr>
                      <w:sz w:val="21"/>
                    </w:rPr>
                    <w:t>ml/80cm2/h</w:t>
                  </w:r>
                  <w:r>
                    <w:rPr>
                      <w:sz w:val="21"/>
                    </w:rPr>
                    <w:t>）：</w:t>
                  </w:r>
                  <w:r>
                    <w:rPr>
                      <w:sz w:val="21"/>
                    </w:rPr>
                    <w:t>1.0~2.0</w:t>
                  </w:r>
                  <w:r>
                    <w:rPr>
                      <w:sz w:val="21"/>
                    </w:rPr>
                    <w:t>；喷雾方式：连续喷雾；喷雾时间：盐雾实验</w:t>
                  </w:r>
                  <w:r>
                    <w:rPr>
                      <w:sz w:val="21"/>
                    </w:rPr>
                    <w:t>8</w:t>
                  </w:r>
                  <w:r>
                    <w:rPr>
                      <w:sz w:val="21"/>
                    </w:rPr>
                    <w:t>小时）</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智能存储</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具备无人机存储能力，可为无人机提供起降场地</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无人机管控</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支持无人机状态、巡检视频、机场状态等实时监控；巡检任务管理、飞行记录、巡检数据管理</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无人值守</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支持自动巡检及异常情况下自主决策，实现远程操控、无人值守自主巡检</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数据自动上传</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支持数据自动上传及下载</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信息记录</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配备黑匣子或相关信息记录装置，信息记录时长</w:t>
                  </w:r>
                  <w:r>
                    <w:rPr>
                      <w:sz w:val="21"/>
                    </w:rPr>
                    <w:t>≥30</w:t>
                  </w:r>
                  <w:r>
                    <w:rPr>
                      <w:sz w:val="21"/>
                    </w:rPr>
                    <w:t>日</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温湿度控制</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巢内有空调，可支持温湿度控制调节</w:t>
                  </w:r>
                  <w:r>
                    <w:rPr>
                      <w:sz w:val="21"/>
                    </w:rPr>
                    <w:t>；</w:t>
                  </w:r>
                </w:p>
              </w:tc>
            </w:tr>
            <w:tr>
              <w:tc>
                <w:tcPr>
                  <w:tcW w:type="dxa" w:w="476"/>
                  <w:vMerge/>
                  <w:tcBorders>
                    <w:top w:val="single" w:color="000000" w:sz="4"/>
                    <w:left w:val="single" w:color="000000" w:sz="4"/>
                    <w:bottom w:val="single" w:color="000000" w:sz="4"/>
                    <w:right w:val="single" w:color="000000" w:sz="4"/>
                  </w:tcBorders>
                </w:tcPr>
                <w:p/>
              </w:tc>
              <w:tc>
                <w:tcPr>
                  <w:tcW w:type="dxa" w:w="1338"/>
                  <w:tcBorders>
                    <w:top w:val="none" w:color="000000" w:sz="4"/>
                    <w:left w:val="none" w:color="000000" w:sz="4"/>
                    <w:bottom w:val="single" w:color="000000" w:sz="4"/>
                    <w:right w:val="single" w:color="000000" w:sz="4"/>
                  </w:tcBorders>
                  <w:vAlign w:val="top"/>
                </w:tcPr>
                <w:p>
                  <w:pPr>
                    <w:jc w:val="center"/>
                  </w:pPr>
                  <w:r>
                    <w:rPr>
                      <w:sz w:val="21"/>
                    </w:rPr>
                    <w:t>紧急备降</w:t>
                  </w:r>
                </w:p>
              </w:tc>
              <w:tc>
                <w:tcPr>
                  <w:tcW w:type="dxa" w:w="3782"/>
                  <w:tcBorders>
                    <w:top w:val="none" w:color="000000" w:sz="4"/>
                    <w:left w:val="none" w:color="000000" w:sz="4"/>
                    <w:bottom w:val="single" w:color="000000" w:sz="4"/>
                    <w:right w:val="single" w:color="000000" w:sz="4"/>
                  </w:tcBorders>
                  <w:vAlign w:val="top"/>
                </w:tcPr>
                <w:p>
                  <w:pPr>
                    <w:jc w:val="center"/>
                  </w:pPr>
                  <w:r>
                    <w:rPr>
                      <w:sz w:val="21"/>
                    </w:rPr>
                    <w:t>支持紧急备降，误差</w:t>
                  </w:r>
                  <w:r>
                    <w:rPr>
                      <w:sz w:val="21"/>
                    </w:rPr>
                    <w:t>≤0.5m</w:t>
                  </w:r>
                  <w:r>
                    <w:rPr>
                      <w:sz w:val="21"/>
                    </w:rPr>
                    <w:t>；</w:t>
                  </w:r>
                </w:p>
              </w:tc>
            </w:tr>
          </w:tbl>
          <w:p>
            <w:pPr>
              <w:jc w:val="left"/>
            </w:pPr>
            <w:r>
              <w:rPr>
                <w:b/>
                <w:sz w:val="21"/>
              </w:rPr>
              <w:t>（二）无人机组网管控平台</w:t>
            </w:r>
          </w:p>
          <w:p>
            <w:pPr>
              <w:jc w:val="left"/>
            </w:pPr>
            <w:r>
              <w:rPr>
                <w:b/>
                <w:sz w:val="21"/>
              </w:rPr>
              <w:t>无人机组网管控平台应包含以下内容：</w:t>
            </w:r>
          </w:p>
          <w:p>
            <w:pPr>
              <w:jc w:val="left"/>
            </w:pPr>
            <w:r>
              <w:rPr>
                <w:b/>
                <w:sz w:val="21"/>
              </w:rPr>
              <w:t>1</w:t>
            </w:r>
            <w:r>
              <w:rPr>
                <w:b/>
                <w:sz w:val="21"/>
              </w:rPr>
              <w:t>、无人机智能化巡查系统</w:t>
            </w:r>
            <w:r>
              <w:rPr>
                <w:b/>
                <w:sz w:val="21"/>
              </w:rPr>
              <w:t>WEB</w:t>
            </w:r>
            <w:r>
              <w:rPr>
                <w:b/>
                <w:sz w:val="21"/>
              </w:rPr>
              <w:t>端</w:t>
            </w:r>
          </w:p>
          <w:p>
            <w:pPr>
              <w:jc w:val="left"/>
            </w:pPr>
            <w:r>
              <w:rPr>
                <w:b/>
                <w:sz w:val="21"/>
              </w:rPr>
              <w:t>具有云端任务规划、协同任务分发、云端飞行高度调整、飞行方向调整、航向重叠度调整、旁向重叠度调整及单人多人协同作业等功能。</w:t>
            </w:r>
          </w:p>
          <w:p>
            <w:pPr>
              <w:jc w:val="left"/>
            </w:pPr>
            <w:r>
              <w:rPr>
                <w:b/>
                <w:sz w:val="21"/>
              </w:rPr>
              <w:t>2</w:t>
            </w:r>
            <w:r>
              <w:rPr>
                <w:b/>
                <w:sz w:val="21"/>
              </w:rPr>
              <w:t>、无人机智能化巡查系统</w:t>
            </w:r>
            <w:r>
              <w:rPr>
                <w:b/>
                <w:sz w:val="21"/>
              </w:rPr>
              <w:t>APP</w:t>
            </w:r>
            <w:r>
              <w:rPr>
                <w:b/>
                <w:sz w:val="21"/>
              </w:rPr>
              <w:t>端</w:t>
            </w:r>
          </w:p>
          <w:p>
            <w:pPr>
              <w:jc w:val="left"/>
            </w:pPr>
            <w:r>
              <w:rPr>
                <w:b/>
                <w:sz w:val="21"/>
              </w:rPr>
              <w:t>具有云端任务导入、带状正射模式、带状倾斜模式、倾斜摄影模式、河道巡视模式、环绕飞行模式、全景采集模式等功能，</w:t>
            </w:r>
            <w:r>
              <w:rPr>
                <w:b/>
                <w:sz w:val="21"/>
              </w:rPr>
              <w:t>APP</w:t>
            </w:r>
            <w:r>
              <w:rPr>
                <w:b/>
                <w:sz w:val="21"/>
              </w:rPr>
              <w:t>要求支持安卓平台。</w:t>
            </w:r>
          </w:p>
          <w:p>
            <w:pPr>
              <w:jc w:val="left"/>
            </w:pPr>
            <w:r>
              <w:rPr>
                <w:b/>
                <w:sz w:val="21"/>
              </w:rPr>
              <w:t>3</w:t>
            </w:r>
            <w:r>
              <w:rPr>
                <w:b/>
                <w:sz w:val="21"/>
              </w:rPr>
              <w:t>、无人机管控系统</w:t>
            </w:r>
          </w:p>
          <w:p>
            <w:pPr>
              <w:jc w:val="left"/>
            </w:pPr>
            <w:r>
              <w:rPr>
                <w:b/>
                <w:sz w:val="21"/>
              </w:rPr>
              <w:t>具有远程控制、全自主飞行、三维航线规划、巡查视频实时回传、自动更换电池与充放电、紧急环境一键返航等功能。</w:t>
            </w:r>
          </w:p>
          <w:p>
            <w:pPr>
              <w:jc w:val="left"/>
            </w:pPr>
            <w:r>
              <w:rPr>
                <w:b/>
                <w:sz w:val="21"/>
              </w:rPr>
              <w:t>（三）无人机服务功能要求：</w:t>
            </w:r>
          </w:p>
          <w:p>
            <w:pPr>
              <w:jc w:val="left"/>
            </w:pPr>
            <w:r>
              <w:rPr>
                <w:b/>
                <w:sz w:val="21"/>
              </w:rPr>
              <w:t>1</w:t>
            </w:r>
            <w:r>
              <w:rPr>
                <w:b/>
                <w:sz w:val="21"/>
              </w:rPr>
              <w:t>、城管业务应用</w:t>
            </w:r>
          </w:p>
          <w:p>
            <w:pPr>
              <w:jc w:val="left"/>
            </w:pPr>
            <w:r>
              <w:rPr>
                <w:b/>
                <w:sz w:val="21"/>
              </w:rPr>
              <w:t>（</w:t>
            </w:r>
            <w:r>
              <w:rPr>
                <w:b/>
                <w:sz w:val="21"/>
              </w:rPr>
              <w:t>1</w:t>
            </w:r>
            <w:r>
              <w:rPr>
                <w:b/>
                <w:sz w:val="21"/>
              </w:rPr>
              <w:t>）城管大数据分析（图表界面）：</w:t>
            </w:r>
            <w:r>
              <w:rPr>
                <w:b/>
                <w:sz w:val="21"/>
              </w:rPr>
              <w:t>①</w:t>
            </w:r>
            <w:r>
              <w:rPr>
                <w:b/>
                <w:sz w:val="21"/>
              </w:rPr>
              <w:t>案件类型分析；</w:t>
            </w:r>
            <w:r>
              <w:rPr>
                <w:b/>
                <w:sz w:val="21"/>
              </w:rPr>
              <w:t>②</w:t>
            </w:r>
            <w:r>
              <w:rPr>
                <w:b/>
                <w:sz w:val="21"/>
              </w:rPr>
              <w:t>案发地域分析；</w:t>
            </w:r>
            <w:r>
              <w:rPr>
                <w:b/>
                <w:sz w:val="21"/>
              </w:rPr>
              <w:t>③</w:t>
            </w:r>
            <w:r>
              <w:rPr>
                <w:b/>
                <w:sz w:val="21"/>
              </w:rPr>
              <w:t>案发时效分析；</w:t>
            </w:r>
            <w:r>
              <w:rPr>
                <w:b/>
                <w:sz w:val="21"/>
              </w:rPr>
              <w:t>④</w:t>
            </w:r>
            <w:r>
              <w:rPr>
                <w:b/>
                <w:sz w:val="21"/>
              </w:rPr>
              <w:t>办案人员案件分析等。</w:t>
            </w:r>
          </w:p>
          <w:p>
            <w:pPr>
              <w:jc w:val="left"/>
            </w:pPr>
            <w:r>
              <w:rPr>
                <w:b/>
                <w:sz w:val="21"/>
              </w:rPr>
              <w:t>（</w:t>
            </w:r>
            <w:r>
              <w:rPr>
                <w:b/>
                <w:sz w:val="21"/>
              </w:rPr>
              <w:t>2</w:t>
            </w:r>
            <w:r>
              <w:rPr>
                <w:b/>
                <w:sz w:val="21"/>
              </w:rPr>
              <w:t>）建立移动客户端：</w:t>
            </w:r>
            <w:r>
              <w:rPr>
                <w:b/>
                <w:sz w:val="21"/>
              </w:rPr>
              <w:t>①</w:t>
            </w:r>
            <w:r>
              <w:rPr>
                <w:b/>
                <w:sz w:val="21"/>
              </w:rPr>
              <w:t>实现现场案件定位、数据录入；</w:t>
            </w:r>
            <w:r>
              <w:rPr>
                <w:b/>
                <w:sz w:val="21"/>
              </w:rPr>
              <w:t>②</w:t>
            </w:r>
            <w:r>
              <w:rPr>
                <w:b/>
                <w:sz w:val="21"/>
              </w:rPr>
              <w:t>实现办事人员、当事人信息自动载入和录入；</w:t>
            </w:r>
            <w:r>
              <w:rPr>
                <w:b/>
                <w:sz w:val="21"/>
              </w:rPr>
              <w:t>③</w:t>
            </w:r>
            <w:r>
              <w:rPr>
                <w:b/>
                <w:sz w:val="21"/>
              </w:rPr>
              <w:t>实现案件收发。</w:t>
            </w:r>
          </w:p>
          <w:p>
            <w:pPr>
              <w:jc w:val="left"/>
            </w:pPr>
            <w:r>
              <w:rPr>
                <w:b/>
                <w:sz w:val="21"/>
              </w:rPr>
              <w:t>（</w:t>
            </w:r>
            <w:r>
              <w:rPr>
                <w:b/>
                <w:sz w:val="21"/>
              </w:rPr>
              <w:t>3</w:t>
            </w:r>
            <w:r>
              <w:rPr>
                <w:b/>
                <w:sz w:val="21"/>
              </w:rPr>
              <w:t>）城管数据分析可视化；</w:t>
            </w:r>
          </w:p>
          <w:p>
            <w:pPr>
              <w:jc w:val="left"/>
            </w:pPr>
            <w:r>
              <w:rPr>
                <w:b/>
                <w:sz w:val="21"/>
              </w:rPr>
              <w:t>（</w:t>
            </w:r>
            <w:r>
              <w:rPr>
                <w:b/>
                <w:sz w:val="21"/>
              </w:rPr>
              <w:t>4</w:t>
            </w:r>
            <w:r>
              <w:rPr>
                <w:b/>
                <w:sz w:val="21"/>
              </w:rPr>
              <w:t>）实现无人机自动识别案件后报警、下发、录入、反馈、分析等功能。</w:t>
            </w:r>
          </w:p>
          <w:p>
            <w:pPr>
              <w:jc w:val="left"/>
            </w:pPr>
            <w:r>
              <w:rPr>
                <w:b/>
                <w:sz w:val="21"/>
              </w:rPr>
              <w:t>2</w:t>
            </w:r>
            <w:r>
              <w:rPr>
                <w:b/>
                <w:sz w:val="21"/>
              </w:rPr>
              <w:t>、其他业务应用</w:t>
            </w:r>
          </w:p>
          <w:p>
            <w:pPr>
              <w:jc w:val="left"/>
            </w:pPr>
            <w:r>
              <w:rPr>
                <w:b/>
                <w:sz w:val="21"/>
              </w:rPr>
              <w:t>提供数据成果客户端，供国土、环保、水利、应急、交通、交警、公安等政府部门使用，并根据这些部门的需求意见反馈，对数据成果进行适时优化提升。</w:t>
            </w:r>
          </w:p>
          <w:p>
            <w:pPr>
              <w:jc w:val="left"/>
            </w:pPr>
            <w:r>
              <w:rPr>
                <w:b/>
                <w:sz w:val="21"/>
              </w:rPr>
              <w:t>（四）无人机服务清单</w:t>
            </w:r>
          </w:p>
          <w:p>
            <w:pPr>
              <w:jc w:val="left"/>
            </w:pPr>
            <w:r>
              <w:rPr>
                <w:b/>
                <w:sz w:val="21"/>
              </w:rPr>
              <w:t>1</w:t>
            </w:r>
            <w:r>
              <w:rPr>
                <w:b/>
                <w:sz w:val="21"/>
              </w:rPr>
              <w:t>、</w:t>
            </w:r>
            <w:r>
              <w:rPr>
                <w:b/>
                <w:sz w:val="21"/>
              </w:rPr>
              <w:t>5G</w:t>
            </w:r>
            <w:r>
              <w:rPr>
                <w:b/>
                <w:sz w:val="21"/>
              </w:rPr>
              <w:t>网联无人机组网硬件设备基本需求</w:t>
            </w:r>
          </w:p>
          <w:tbl>
            <w:tblPr>
              <w:tblInd w:type="dxa" w:w="120"/>
              <w:tblBorders>
                <w:top w:val="none" w:color="000000" w:sz="4"/>
                <w:left w:val="none" w:color="000000" w:sz="4"/>
                <w:bottom w:val="none" w:color="000000" w:sz="4"/>
                <w:right w:val="none" w:color="000000" w:sz="4"/>
                <w:insideH w:val="none"/>
                <w:insideV w:val="none"/>
              </w:tblBorders>
            </w:tblPr>
            <w:tblGrid>
              <w:gridCol w:w="455"/>
              <w:gridCol w:w="1061"/>
              <w:gridCol w:w="4081"/>
            </w:tblGrid>
            <w:tr>
              <w:tc>
                <w:tcPr>
                  <w:tcW w:type="dxa" w:w="45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061"/>
                  <w:tcBorders>
                    <w:top w:val="single" w:color="000000" w:sz="4"/>
                    <w:left w:val="none" w:color="000000" w:sz="4"/>
                    <w:bottom w:val="single" w:color="000000" w:sz="4"/>
                    <w:right w:val="single" w:color="000000" w:sz="4"/>
                  </w:tcBorders>
                  <w:vAlign w:val="top"/>
                </w:tcPr>
                <w:p>
                  <w:pPr>
                    <w:jc w:val="center"/>
                  </w:pPr>
                  <w:r>
                    <w:rPr>
                      <w:b/>
                      <w:sz w:val="21"/>
                    </w:rPr>
                    <w:t>硬件租赁</w:t>
                  </w:r>
                </w:p>
              </w:tc>
              <w:tc>
                <w:tcPr>
                  <w:tcW w:type="dxa" w:w="4081"/>
                  <w:tcBorders>
                    <w:top w:val="single" w:color="000000" w:sz="4"/>
                    <w:left w:val="none" w:color="000000" w:sz="4"/>
                    <w:bottom w:val="single" w:color="000000" w:sz="4"/>
                    <w:right w:val="single" w:color="000000" w:sz="4"/>
                  </w:tcBorders>
                  <w:vAlign w:val="top"/>
                </w:tcPr>
                <w:p>
                  <w:pPr>
                    <w:jc w:val="center"/>
                  </w:pPr>
                  <w:r>
                    <w:rPr>
                      <w:b/>
                      <w:sz w:val="21"/>
                    </w:rPr>
                    <w:t>硬件参数及用途</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61"/>
                  <w:tcBorders>
                    <w:top w:val="none" w:color="000000" w:sz="4"/>
                    <w:left w:val="none" w:color="000000" w:sz="4"/>
                    <w:bottom w:val="single" w:color="000000" w:sz="4"/>
                    <w:right w:val="single" w:color="000000" w:sz="4"/>
                  </w:tcBorders>
                  <w:vAlign w:val="top"/>
                </w:tcPr>
                <w:p>
                  <w:pPr>
                    <w:jc w:val="center"/>
                  </w:pPr>
                  <w:r>
                    <w:rPr>
                      <w:sz w:val="21"/>
                    </w:rPr>
                    <w:t>无人机基站组网（</w:t>
                  </w:r>
                  <w:r>
                    <w:rPr>
                      <w:sz w:val="21"/>
                    </w:rPr>
                    <w:t>2</w:t>
                  </w:r>
                  <w:r>
                    <w:rPr>
                      <w:sz w:val="21"/>
                    </w:rPr>
                    <w:t>台）</w:t>
                  </w:r>
                </w:p>
              </w:tc>
              <w:tc>
                <w:tcPr>
                  <w:tcW w:type="dxa" w:w="4081"/>
                  <w:tcBorders>
                    <w:top w:val="none" w:color="000000" w:sz="4"/>
                    <w:left w:val="none" w:color="000000" w:sz="4"/>
                    <w:bottom w:val="single" w:color="000000" w:sz="4"/>
                    <w:right w:val="single" w:color="000000" w:sz="4"/>
                  </w:tcBorders>
                  <w:vAlign w:val="top"/>
                </w:tcPr>
                <w:p>
                  <w:pPr>
                    <w:jc w:val="left"/>
                  </w:pPr>
                  <w:r>
                    <w:rPr>
                      <w:sz w:val="21"/>
                    </w:rPr>
                    <w:t>提供无人机自动换电起降和</w:t>
                  </w:r>
                  <w:r>
                    <w:rPr>
                      <w:sz w:val="21"/>
                    </w:rPr>
                    <w:t>5G</w:t>
                  </w:r>
                  <w:r>
                    <w:rPr>
                      <w:sz w:val="21"/>
                    </w:rPr>
                    <w:t>传输设备包含无人机电池自动更换、飞行规划和控制，飞行控制信号增强，数据信息传输。</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61"/>
                  <w:tcBorders>
                    <w:top w:val="none" w:color="000000" w:sz="4"/>
                    <w:left w:val="none" w:color="000000" w:sz="4"/>
                    <w:bottom w:val="single" w:color="000000" w:sz="4"/>
                    <w:right w:val="single" w:color="000000" w:sz="4"/>
                  </w:tcBorders>
                  <w:vAlign w:val="top"/>
                </w:tcPr>
                <w:p>
                  <w:pPr>
                    <w:jc w:val="center"/>
                  </w:pPr>
                  <w:r>
                    <w:rPr>
                      <w:sz w:val="21"/>
                    </w:rPr>
                    <w:t>工业无人机</w:t>
                  </w:r>
                  <w:r>
                    <w:rPr>
                      <w:sz w:val="21"/>
                    </w:rPr>
                    <w:t>(2</w:t>
                  </w:r>
                  <w:r>
                    <w:rPr>
                      <w:sz w:val="21"/>
                    </w:rPr>
                    <w:t>台</w:t>
                  </w:r>
                  <w:r>
                    <w:rPr>
                      <w:sz w:val="21"/>
                    </w:rPr>
                    <w:t>)</w:t>
                  </w:r>
                </w:p>
              </w:tc>
              <w:tc>
                <w:tcPr>
                  <w:tcW w:type="dxa" w:w="4081"/>
                  <w:tcBorders>
                    <w:top w:val="none" w:color="000000" w:sz="4"/>
                    <w:left w:val="none" w:color="000000" w:sz="4"/>
                    <w:bottom w:val="single" w:color="000000" w:sz="4"/>
                    <w:right w:val="single" w:color="000000" w:sz="4"/>
                  </w:tcBorders>
                  <w:vAlign w:val="top"/>
                </w:tcPr>
                <w:p>
                  <w:pPr>
                    <w:jc w:val="left"/>
                  </w:pPr>
                  <w:r>
                    <w:rPr>
                      <w:sz w:val="21"/>
                    </w:rPr>
                    <w:t>提供数据采集飞行服务，支持</w:t>
                  </w:r>
                  <w:r>
                    <w:rPr>
                      <w:sz w:val="21"/>
                    </w:rPr>
                    <w:t>≥55</w:t>
                  </w:r>
                  <w:r>
                    <w:rPr>
                      <w:sz w:val="21"/>
                    </w:rPr>
                    <w:t>分钟续航时间，最大载重</w:t>
                  </w:r>
                  <w:r>
                    <w:rPr>
                      <w:sz w:val="21"/>
                    </w:rPr>
                    <w:t>≥2.5Kg</w:t>
                  </w:r>
                  <w:r>
                    <w:rPr>
                      <w:sz w:val="21"/>
                    </w:rPr>
                    <w:t>，防护等级</w:t>
                  </w:r>
                  <w:r>
                    <w:rPr>
                      <w:sz w:val="21"/>
                    </w:rPr>
                    <w:t>IP45</w:t>
                  </w:r>
                  <w:r>
                    <w:rPr>
                      <w:sz w:val="21"/>
                    </w:rPr>
                    <w:t>，有效控制距离</w:t>
                  </w:r>
                  <w:r>
                    <w:rPr>
                      <w:sz w:val="21"/>
                    </w:rPr>
                    <w:t>≥8Km</w:t>
                  </w:r>
                  <w:r>
                    <w:rPr>
                      <w:sz w:val="21"/>
                    </w:rPr>
                    <w:t>，具备红外视觉感知系统，内置高性能</w:t>
                  </w:r>
                  <w:r>
                    <w:rPr>
                      <w:sz w:val="21"/>
                    </w:rPr>
                    <w:t>RTK</w:t>
                  </w:r>
                  <w:r>
                    <w:rPr>
                      <w:sz w:val="21"/>
                    </w:rPr>
                    <w:t>模块，支持网络</w:t>
                  </w:r>
                  <w:r>
                    <w:rPr>
                      <w:sz w:val="21"/>
                    </w:rPr>
                    <w:t>RTK</w:t>
                  </w:r>
                  <w:r>
                    <w:rPr>
                      <w:sz w:val="21"/>
                    </w:rPr>
                    <w:t>。</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 xml:space="preserve"> 3</w:t>
                  </w:r>
                </w:p>
              </w:tc>
              <w:tc>
                <w:tcPr>
                  <w:tcW w:type="dxa" w:w="1061"/>
                  <w:tcBorders>
                    <w:top w:val="none" w:color="000000" w:sz="4"/>
                    <w:left w:val="none" w:color="000000" w:sz="4"/>
                    <w:bottom w:val="single" w:color="000000" w:sz="4"/>
                    <w:right w:val="single" w:color="000000" w:sz="4"/>
                  </w:tcBorders>
                  <w:vAlign w:val="top"/>
                </w:tcPr>
                <w:p>
                  <w:pPr>
                    <w:jc w:val="center"/>
                  </w:pPr>
                  <w:r>
                    <w:rPr>
                      <w:sz w:val="21"/>
                    </w:rPr>
                    <w:t>可见光热红外双光传感器</w:t>
                  </w:r>
                  <w:r>
                    <w:rPr>
                      <w:sz w:val="21"/>
                    </w:rPr>
                    <w:t>(2</w:t>
                  </w:r>
                  <w:r>
                    <w:rPr>
                      <w:sz w:val="21"/>
                    </w:rPr>
                    <w:t>台</w:t>
                  </w:r>
                  <w:r>
                    <w:rPr>
                      <w:sz w:val="21"/>
                    </w:rPr>
                    <w:t>)</w:t>
                  </w:r>
                </w:p>
              </w:tc>
              <w:tc>
                <w:tcPr>
                  <w:tcW w:type="dxa" w:w="4081"/>
                  <w:tcBorders>
                    <w:top w:val="none" w:color="000000" w:sz="4"/>
                    <w:left w:val="none" w:color="000000" w:sz="4"/>
                    <w:bottom w:val="single" w:color="000000" w:sz="4"/>
                    <w:right w:val="single" w:color="000000" w:sz="4"/>
                  </w:tcBorders>
                  <w:vAlign w:val="top"/>
                </w:tcPr>
                <w:p>
                  <w:pPr>
                    <w:jc w:val="left"/>
                  </w:pPr>
                  <w:r>
                    <w:rPr>
                      <w:sz w:val="21"/>
                    </w:rPr>
                    <w:t>提供数据采集传感器设备，防水等级</w:t>
                  </w:r>
                  <w:r>
                    <w:rPr>
                      <w:sz w:val="21"/>
                    </w:rPr>
                    <w:t>IP45</w:t>
                  </w:r>
                  <w:r>
                    <w:rPr>
                      <w:sz w:val="21"/>
                    </w:rPr>
                    <w:t>，三轴防抖云台，可见光相机：可见光有效像素</w:t>
                  </w:r>
                  <w:r>
                    <w:rPr>
                      <w:sz w:val="21"/>
                    </w:rPr>
                    <w:t>≥2000</w:t>
                  </w:r>
                  <w:r>
                    <w:rPr>
                      <w:sz w:val="21"/>
                    </w:rPr>
                    <w:t>万，</w:t>
                  </w:r>
                  <w:r>
                    <w:rPr>
                      <w:sz w:val="21"/>
                    </w:rPr>
                    <w:t>20</w:t>
                  </w:r>
                  <w:r>
                    <w:rPr>
                      <w:sz w:val="21"/>
                    </w:rPr>
                    <w:t>倍变焦；热红外相机：热成像像素</w:t>
                  </w:r>
                  <w:r>
                    <w:rPr>
                      <w:sz w:val="21"/>
                    </w:rPr>
                    <w:t>≥640×512</w:t>
                  </w:r>
                  <w:r>
                    <w:rPr>
                      <w:sz w:val="21"/>
                    </w:rPr>
                    <w:t>，测温范围</w:t>
                  </w:r>
                  <w:r>
                    <w:rPr>
                      <w:sz w:val="21"/>
                    </w:rPr>
                    <w:t>-40°-150°</w:t>
                  </w:r>
                  <w:r>
                    <w:rPr>
                      <w:sz w:val="21"/>
                    </w:rPr>
                    <w:t>，数字</w:t>
                  </w:r>
                  <w:r>
                    <w:rPr>
                      <w:sz w:val="21"/>
                    </w:rPr>
                    <w:t>8</w:t>
                  </w:r>
                  <w:r>
                    <w:rPr>
                      <w:sz w:val="21"/>
                    </w:rPr>
                    <w:t>倍变焦，敏感度＜</w:t>
                  </w:r>
                  <w:r>
                    <w:rPr>
                      <w:sz w:val="21"/>
                    </w:rPr>
                    <w:t>50MK</w:t>
                  </w:r>
                  <w:r>
                    <w:rPr>
                      <w:sz w:val="21"/>
                    </w:rPr>
                    <w:t>，激光测距</w:t>
                  </w:r>
                  <w:r>
                    <w:rPr>
                      <w:sz w:val="21"/>
                    </w:rPr>
                    <w:t>≥3M-1200M</w:t>
                  </w:r>
                  <w:r>
                    <w:rPr>
                      <w:sz w:val="21"/>
                    </w:rPr>
                    <w:t>。</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61"/>
                  <w:tcBorders>
                    <w:top w:val="none" w:color="000000" w:sz="4"/>
                    <w:left w:val="none" w:color="000000" w:sz="4"/>
                    <w:bottom w:val="single" w:color="000000" w:sz="4"/>
                    <w:right w:val="single" w:color="000000" w:sz="4"/>
                  </w:tcBorders>
                  <w:vAlign w:val="top"/>
                </w:tcPr>
                <w:p>
                  <w:pPr>
                    <w:jc w:val="center"/>
                  </w:pPr>
                  <w:r>
                    <w:rPr>
                      <w:sz w:val="21"/>
                    </w:rPr>
                    <w:t>灵嗅</w:t>
                  </w:r>
                  <w:r>
                    <w:rPr>
                      <w:sz w:val="21"/>
                    </w:rPr>
                    <w:t>V2</w:t>
                  </w:r>
                  <w:r>
                    <w:rPr>
                      <w:sz w:val="21"/>
                    </w:rPr>
                    <w:t>（</w:t>
                  </w:r>
                  <w:r>
                    <w:rPr>
                      <w:sz w:val="21"/>
                    </w:rPr>
                    <w:t>1</w:t>
                  </w:r>
                  <w:r>
                    <w:rPr>
                      <w:sz w:val="21"/>
                    </w:rPr>
                    <w:t>台）</w:t>
                  </w:r>
                </w:p>
              </w:tc>
              <w:tc>
                <w:tcPr>
                  <w:tcW w:type="dxa" w:w="4081"/>
                  <w:tcBorders>
                    <w:top w:val="none" w:color="000000" w:sz="4"/>
                    <w:left w:val="none" w:color="000000" w:sz="4"/>
                    <w:bottom w:val="single" w:color="000000" w:sz="4"/>
                    <w:right w:val="single" w:color="000000" w:sz="4"/>
                  </w:tcBorders>
                  <w:vAlign w:val="top"/>
                </w:tcPr>
                <w:p>
                  <w:pPr>
                    <w:jc w:val="left"/>
                  </w:pPr>
                  <w:r>
                    <w:rPr>
                      <w:sz w:val="21"/>
                    </w:rPr>
                    <w:t>支持典型气体检测，环保应用典型</w:t>
                  </w:r>
                  <w:r>
                    <w:rPr>
                      <w:sz w:val="21"/>
                    </w:rPr>
                    <w:t>7</w:t>
                  </w:r>
                  <w:r>
                    <w:rPr>
                      <w:sz w:val="21"/>
                    </w:rPr>
                    <w:t>参数</w:t>
                  </w:r>
                  <w:r>
                    <w:rPr>
                      <w:sz w:val="21"/>
                    </w:rPr>
                    <w:t>PM2.5</w:t>
                  </w:r>
                  <w:r>
                    <w:rPr>
                      <w:sz w:val="21"/>
                    </w:rPr>
                    <w:t>、</w:t>
                  </w:r>
                  <w:r>
                    <w:rPr>
                      <w:sz w:val="21"/>
                    </w:rPr>
                    <w:t>PM10</w:t>
                  </w:r>
                  <w:r>
                    <w:rPr>
                      <w:sz w:val="21"/>
                    </w:rPr>
                    <w:t>、</w:t>
                  </w:r>
                  <w:r>
                    <w:rPr>
                      <w:sz w:val="21"/>
                    </w:rPr>
                    <w:t>SO</w:t>
                  </w:r>
                  <w:r>
                    <w:rPr>
                      <w:sz w:val="21"/>
                      <w:vertAlign w:val="subscript"/>
                    </w:rPr>
                    <w:t>2</w:t>
                  </w:r>
                  <w:r>
                    <w:rPr>
                      <w:sz w:val="21"/>
                    </w:rPr>
                    <w:t>、</w:t>
                  </w:r>
                  <w:r>
                    <w:rPr>
                      <w:sz w:val="21"/>
                    </w:rPr>
                    <w:t>CO</w:t>
                  </w:r>
                  <w:r>
                    <w:rPr>
                      <w:sz w:val="21"/>
                    </w:rPr>
                    <w:t>、</w:t>
                  </w:r>
                  <w:r>
                    <w:rPr>
                      <w:sz w:val="21"/>
                    </w:rPr>
                    <w:t>NO</w:t>
                  </w:r>
                  <w:r>
                    <w:rPr>
                      <w:sz w:val="21"/>
                      <w:vertAlign w:val="subscript"/>
                    </w:rPr>
                    <w:t>2</w:t>
                  </w:r>
                  <w:r>
                    <w:rPr>
                      <w:sz w:val="21"/>
                    </w:rPr>
                    <w:t>、</w:t>
                  </w:r>
                  <w:r>
                    <w:rPr>
                      <w:sz w:val="21"/>
                    </w:rPr>
                    <w:t>O</w:t>
                  </w:r>
                  <w:r>
                    <w:rPr>
                      <w:sz w:val="21"/>
                      <w:vertAlign w:val="subscript"/>
                    </w:rPr>
                    <w:t>3</w:t>
                  </w:r>
                  <w:r>
                    <w:rPr>
                      <w:sz w:val="21"/>
                    </w:rPr>
                    <w:t>、</w:t>
                  </w:r>
                  <w:r>
                    <w:rPr>
                      <w:sz w:val="21"/>
                    </w:rPr>
                    <w:t>VOCs</w:t>
                  </w:r>
                  <w:r>
                    <w:rPr>
                      <w:sz w:val="21"/>
                    </w:rPr>
                    <w:t>。</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061"/>
                  <w:tcBorders>
                    <w:top w:val="none" w:color="000000" w:sz="4"/>
                    <w:left w:val="none" w:color="000000" w:sz="4"/>
                    <w:bottom w:val="single" w:color="000000" w:sz="4"/>
                    <w:right w:val="single" w:color="000000" w:sz="4"/>
                  </w:tcBorders>
                  <w:vAlign w:val="top"/>
                </w:tcPr>
                <w:p>
                  <w:pPr>
                    <w:jc w:val="center"/>
                  </w:pPr>
                  <w:r>
                    <w:rPr>
                      <w:sz w:val="21"/>
                    </w:rPr>
                    <w:t>空中喊话器（</w:t>
                  </w:r>
                  <w:r>
                    <w:rPr>
                      <w:sz w:val="21"/>
                    </w:rPr>
                    <w:t>2</w:t>
                  </w:r>
                  <w:r>
                    <w:rPr>
                      <w:sz w:val="21"/>
                    </w:rPr>
                    <w:t>套）</w:t>
                  </w:r>
                </w:p>
              </w:tc>
              <w:tc>
                <w:tcPr>
                  <w:tcW w:type="dxa" w:w="4081"/>
                  <w:tcBorders>
                    <w:top w:val="none" w:color="000000" w:sz="4"/>
                    <w:left w:val="none" w:color="000000" w:sz="4"/>
                    <w:bottom w:val="single" w:color="000000" w:sz="4"/>
                    <w:right w:val="single" w:color="000000" w:sz="4"/>
                  </w:tcBorders>
                  <w:vAlign w:val="top"/>
                </w:tcPr>
                <w:p>
                  <w:pPr>
                    <w:jc w:val="left"/>
                  </w:pPr>
                  <w:r>
                    <w:rPr>
                      <w:sz w:val="21"/>
                    </w:rPr>
                    <w:t>用于无人机高空喊话。</w:t>
                  </w:r>
                </w:p>
              </w:tc>
            </w:tr>
          </w:tbl>
          <w:p>
            <w:pPr>
              <w:jc w:val="both"/>
            </w:pPr>
            <w:r>
              <w:rPr>
                <w:sz w:val="21"/>
              </w:rPr>
              <w:t>2</w:t>
            </w:r>
            <w:r>
              <w:rPr>
                <w:sz w:val="21"/>
              </w:rPr>
              <w:t>、智能巡检与智能识别服务</w:t>
            </w:r>
          </w:p>
          <w:tbl>
            <w:tblPr>
              <w:tblInd w:type="dxa" w:w="240"/>
              <w:tblBorders>
                <w:top w:val="none" w:color="000000" w:sz="4"/>
                <w:left w:val="none" w:color="000000" w:sz="4"/>
                <w:bottom w:val="none" w:color="000000" w:sz="4"/>
                <w:right w:val="none" w:color="000000" w:sz="4"/>
                <w:insideH w:val="none"/>
                <w:insideV w:val="none"/>
              </w:tblBorders>
            </w:tblPr>
            <w:tblGrid>
              <w:gridCol w:w="604"/>
              <w:gridCol w:w="1012"/>
              <w:gridCol w:w="3980"/>
            </w:tblGrid>
            <w:tr>
              <w:tc>
                <w:tcPr>
                  <w:tcW w:type="dxa" w:w="604"/>
                  <w:tcBorders>
                    <w:top w:val="single" w:color="000000" w:sz="4"/>
                    <w:left w:val="single" w:color="000000" w:sz="4"/>
                    <w:bottom w:val="single" w:color="000000" w:sz="4"/>
                    <w:right w:val="single" w:color="000000" w:sz="4"/>
                  </w:tcBorders>
                  <w:vAlign w:val="top"/>
                </w:tcPr>
                <w:p>
                  <w:pPr>
                    <w:jc w:val="center"/>
                  </w:pPr>
                  <w:r>
                    <w:rPr>
                      <w:b/>
                      <w:sz w:val="21"/>
                    </w:rPr>
                    <w:t>服务类别</w:t>
                  </w:r>
                </w:p>
              </w:tc>
              <w:tc>
                <w:tcPr>
                  <w:tcW w:type="dxa" w:w="1012"/>
                  <w:tcBorders>
                    <w:top w:val="single" w:color="000000" w:sz="4"/>
                    <w:left w:val="none" w:color="000000" w:sz="4"/>
                    <w:bottom w:val="single" w:color="000000" w:sz="4"/>
                    <w:right w:val="single" w:color="000000" w:sz="4"/>
                  </w:tcBorders>
                  <w:vAlign w:val="top"/>
                </w:tcPr>
                <w:p>
                  <w:pPr>
                    <w:jc w:val="both"/>
                  </w:pPr>
                  <w:r>
                    <w:rPr>
                      <w:b/>
                      <w:sz w:val="21"/>
                    </w:rPr>
                    <w:t>服务内容</w:t>
                  </w:r>
                </w:p>
              </w:tc>
              <w:tc>
                <w:tcPr>
                  <w:tcW w:type="dxa" w:w="3980"/>
                  <w:tcBorders>
                    <w:top w:val="single" w:color="000000" w:sz="4"/>
                    <w:left w:val="none" w:color="000000" w:sz="4"/>
                    <w:bottom w:val="single" w:color="000000" w:sz="4"/>
                    <w:right w:val="single" w:color="000000" w:sz="4"/>
                  </w:tcBorders>
                  <w:vAlign w:val="top"/>
                </w:tcPr>
                <w:p>
                  <w:pPr>
                    <w:jc w:val="center"/>
                  </w:pPr>
                  <w:r>
                    <w:rPr>
                      <w:b/>
                      <w:sz w:val="21"/>
                    </w:rPr>
                    <w:t>服务描述</w:t>
                  </w:r>
                </w:p>
              </w:tc>
            </w:tr>
            <w:tr>
              <w:tc>
                <w:tcPr>
                  <w:tcW w:type="dxa" w:w="604"/>
                  <w:vMerge w:val="restart"/>
                  <w:tcBorders>
                    <w:top w:val="none" w:color="000000" w:sz="4"/>
                    <w:left w:val="single" w:color="000000" w:sz="4"/>
                    <w:bottom w:val="single" w:color="000000" w:sz="4"/>
                    <w:right w:val="single" w:color="000000" w:sz="4"/>
                  </w:tcBorders>
                  <w:vAlign w:val="top"/>
                </w:tcPr>
                <w:p>
                  <w:pPr>
                    <w:jc w:val="left"/>
                  </w:pPr>
                  <w:r>
                    <w:rPr>
                      <w:sz w:val="21"/>
                    </w:rPr>
                    <w:t>智慧城管巡查服务</w:t>
                  </w:r>
                </w:p>
                <w:p>
                  <w:pPr>
                    <w:jc w:val="left"/>
                  </w:pPr>
                </w:p>
              </w:tc>
              <w:tc>
                <w:tcPr>
                  <w:tcW w:type="dxa" w:w="1012"/>
                  <w:tcBorders>
                    <w:top w:val="none" w:color="000000" w:sz="4"/>
                    <w:left w:val="none" w:color="000000" w:sz="4"/>
                    <w:bottom w:val="single" w:color="000000" w:sz="4"/>
                    <w:right w:val="single" w:color="000000" w:sz="4"/>
                  </w:tcBorders>
                  <w:vAlign w:val="top"/>
                </w:tcPr>
                <w:p>
                  <w:pPr>
                    <w:jc w:val="left"/>
                  </w:pPr>
                  <w:r>
                    <w:rPr>
                      <w:sz w:val="21"/>
                    </w:rPr>
                    <w:t>违建巡查</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在基站覆盖范围内，对违法建设、河道违建等通过无人机巡逻进行遥感分析和图像分析违建物识别报告内容须包含：违建物的经纬度、位置说明、类型、面积等。</w:t>
                  </w:r>
                </w:p>
                <w:p>
                  <w:pPr>
                    <w:jc w:val="left"/>
                  </w:pPr>
                  <w:r>
                    <w:rPr>
                      <w:sz w:val="21"/>
                    </w:rPr>
                    <w:t>服务频率：每周不少于</w:t>
                  </w:r>
                  <w:r>
                    <w:rPr>
                      <w:sz w:val="21"/>
                    </w:rPr>
                    <w:t>2</w:t>
                  </w:r>
                  <w:r>
                    <w:rPr>
                      <w:sz w:val="21"/>
                    </w:rPr>
                    <w:t>次。</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占道经营、乱摆卖、垃圾焚烧</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w:t>
                  </w:r>
                  <w:r>
                    <w:rPr>
                      <w:sz w:val="21"/>
                    </w:rPr>
                    <w:t>1</w:t>
                  </w:r>
                  <w:r>
                    <w:rPr>
                      <w:sz w:val="21"/>
                    </w:rPr>
                    <w:t>、针对占道经营、乱摆卖情况进行智能巡查，现场取证；</w:t>
                  </w:r>
                  <w:r>
                    <w:rPr>
                      <w:sz w:val="21"/>
                    </w:rPr>
                    <w:t>2</w:t>
                  </w:r>
                  <w:r>
                    <w:rPr>
                      <w:sz w:val="21"/>
                    </w:rPr>
                    <w:t>、针对垃圾焚烧焚烧污染大气的情况，利用无人机可以在巡查中实现白天和夜间全时段覆盖，可以感应温度异常区域，及时判断是否存在非法用火行为。</w:t>
                  </w:r>
                </w:p>
                <w:p>
                  <w:pPr>
                    <w:jc w:val="left"/>
                  </w:pPr>
                  <w:r>
                    <w:rPr>
                      <w:sz w:val="21"/>
                    </w:rPr>
                    <w:t>服务频率：每周不少于</w:t>
                  </w:r>
                  <w:r>
                    <w:rPr>
                      <w:sz w:val="21"/>
                    </w:rPr>
                    <w:t>2</w:t>
                  </w:r>
                  <w:r>
                    <w:rPr>
                      <w:sz w:val="21"/>
                    </w:rPr>
                    <w:t>次。</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施工扬尘、工地围蔽</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在基站覆盖范围内，针对工地施工扬尘、工地围蔽等情况进行远程智能巡查，实时回传视频到指挥中心，并拍摄取证。</w:t>
                  </w:r>
                </w:p>
                <w:p>
                  <w:pPr>
                    <w:jc w:val="left"/>
                  </w:pPr>
                  <w:r>
                    <w:rPr>
                      <w:sz w:val="21"/>
                    </w:rPr>
                    <w:t>服务频率：每周不少于</w:t>
                  </w:r>
                  <w:r>
                    <w:rPr>
                      <w:sz w:val="21"/>
                    </w:rPr>
                    <w:t>2</w:t>
                  </w:r>
                  <w:r>
                    <w:rPr>
                      <w:sz w:val="21"/>
                    </w:rPr>
                    <w:t>次。</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倾斜摄影三维建模</w:t>
                  </w:r>
                </w:p>
              </w:tc>
              <w:tc>
                <w:tcPr>
                  <w:tcW w:type="dxa" w:w="3980"/>
                  <w:tcBorders>
                    <w:top w:val="none" w:color="000000" w:sz="4"/>
                    <w:left w:val="none" w:color="000000" w:sz="4"/>
                    <w:bottom w:val="single" w:color="000000" w:sz="4"/>
                    <w:right w:val="single" w:color="000000" w:sz="4"/>
                  </w:tcBorders>
                  <w:vAlign w:val="top"/>
                </w:tcPr>
                <w:p>
                  <w:pPr>
                    <w:jc w:val="left"/>
                  </w:pPr>
                  <w:r>
                    <w:rPr>
                      <w:sz w:val="21"/>
                    </w:rPr>
                    <w:t>提供违建监测区域的倾斜摄影三维模型。服务频率：全年不少于</w:t>
                  </w:r>
                  <w:r>
                    <w:rPr>
                      <w:sz w:val="21"/>
                    </w:rPr>
                    <w:t>1</w:t>
                  </w:r>
                  <w:r>
                    <w:rPr>
                      <w:sz w:val="21"/>
                    </w:rPr>
                    <w:t>次。</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巡查水坭混凝土搅拌车</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在基站覆盖范围内，针对违建、违法工地进行远程智能巡查，实时回传视频、定位到空天地系统，并拍摄取证。服务频率：每周不少于</w:t>
                  </w:r>
                  <w:r>
                    <w:rPr>
                      <w:sz w:val="21"/>
                    </w:rPr>
                    <w:t>2</w:t>
                  </w:r>
                  <w:r>
                    <w:rPr>
                      <w:sz w:val="21"/>
                    </w:rPr>
                    <w:t>次。</w:t>
                  </w:r>
                </w:p>
              </w:tc>
            </w:tr>
            <w:tr>
              <w:tc>
                <w:tcPr>
                  <w:tcW w:type="dxa" w:w="604"/>
                  <w:tcBorders>
                    <w:top w:val="none" w:color="000000" w:sz="4"/>
                    <w:left w:val="single" w:color="000000" w:sz="4"/>
                    <w:bottom w:val="single" w:color="000000" w:sz="4"/>
                    <w:right w:val="single" w:color="000000" w:sz="4"/>
                  </w:tcBorders>
                  <w:vAlign w:val="top"/>
                </w:tcPr>
                <w:p>
                  <w:pPr>
                    <w:jc w:val="left"/>
                  </w:pPr>
                  <w:r>
                    <w:rPr>
                      <w:sz w:val="21"/>
                    </w:rPr>
                    <w:t>智慧国土巡查服务</w:t>
                  </w:r>
                </w:p>
              </w:tc>
              <w:tc>
                <w:tcPr>
                  <w:tcW w:type="dxa" w:w="1012"/>
                  <w:tcBorders>
                    <w:top w:val="none" w:color="000000" w:sz="4"/>
                    <w:left w:val="none" w:color="000000" w:sz="4"/>
                    <w:bottom w:val="single" w:color="000000" w:sz="4"/>
                    <w:right w:val="single" w:color="000000" w:sz="4"/>
                  </w:tcBorders>
                  <w:vAlign w:val="top"/>
                </w:tcPr>
                <w:p>
                  <w:pPr>
                    <w:jc w:val="left"/>
                  </w:pPr>
                  <w:r>
                    <w:rPr>
                      <w:sz w:val="21"/>
                    </w:rPr>
                    <w:t>正射影像基础底图更新</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定期更新提供违建监测区域的正射影像基础底图及建筑物变化监测分析成果，服务期满九个月内，成交供应商需向采购人提供不少于三张整合全镇一张正射影像图（每三个月提供不少于一张）。</w:t>
                  </w:r>
                </w:p>
              </w:tc>
            </w:tr>
            <w:tr>
              <w:tc>
                <w:tcPr>
                  <w:tcW w:type="dxa" w:w="604"/>
                  <w:vMerge w:val="restart"/>
                  <w:tcBorders>
                    <w:top w:val="none" w:color="000000" w:sz="4"/>
                    <w:left w:val="single" w:color="000000" w:sz="4"/>
                    <w:bottom w:val="single" w:color="000000" w:sz="4"/>
                    <w:right w:val="single" w:color="000000" w:sz="4"/>
                  </w:tcBorders>
                  <w:vAlign w:val="top"/>
                </w:tcPr>
                <w:p>
                  <w:pPr>
                    <w:jc w:val="left"/>
                  </w:pPr>
                  <w:r>
                    <w:rPr>
                      <w:sz w:val="21"/>
                    </w:rPr>
                    <w:t>智慧环保巡查服务</w:t>
                  </w:r>
                </w:p>
              </w:tc>
              <w:tc>
                <w:tcPr>
                  <w:tcW w:type="dxa" w:w="1012"/>
                  <w:tcBorders>
                    <w:top w:val="none" w:color="000000" w:sz="4"/>
                    <w:left w:val="none" w:color="000000" w:sz="4"/>
                    <w:bottom w:val="single" w:color="000000" w:sz="4"/>
                    <w:right w:val="single" w:color="000000" w:sz="4"/>
                  </w:tcBorders>
                  <w:vAlign w:val="top"/>
                </w:tcPr>
                <w:p>
                  <w:pPr>
                    <w:jc w:val="left"/>
                  </w:pPr>
                  <w:r>
                    <w:rPr>
                      <w:sz w:val="21"/>
                    </w:rPr>
                    <w:t>污染源巡查监测</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在基站覆盖范围内，针对重点污染源辖区，提供环保污染源视频巡查监测服务，对污染源进行识别分析，提供环保巡查监测报告，包括：</w:t>
                  </w:r>
                </w:p>
                <w:p>
                  <w:pPr>
                    <w:jc w:val="left"/>
                  </w:pPr>
                  <w:r>
                    <w:rPr>
                      <w:sz w:val="21"/>
                    </w:rPr>
                    <w:t>1</w:t>
                  </w:r>
                  <w:r>
                    <w:rPr>
                      <w:sz w:val="21"/>
                    </w:rPr>
                    <w:t>、倾倒工业、危险固体废物</w:t>
                  </w:r>
                  <w:r>
                    <w:rPr>
                      <w:sz w:val="21"/>
                    </w:rPr>
                    <w:t>-</w:t>
                  </w:r>
                  <w:r>
                    <w:rPr>
                      <w:sz w:val="21"/>
                    </w:rPr>
                    <w:t>违法向城市道路或公共场所倾倒工业、危险固体废物；</w:t>
                  </w:r>
                  <w:r>
                    <w:rPr>
                      <w:sz w:val="21"/>
                    </w:rPr>
                    <w:t>2</w:t>
                  </w:r>
                  <w:r>
                    <w:rPr>
                      <w:sz w:val="21"/>
                    </w:rPr>
                    <w:t>、针对重点污染源辖区，提供环保污染源视频巡查监测服务；</w:t>
                  </w:r>
                  <w:r>
                    <w:rPr>
                      <w:sz w:val="21"/>
                    </w:rPr>
                    <w:t>3</w:t>
                  </w:r>
                  <w:r>
                    <w:rPr>
                      <w:sz w:val="21"/>
                    </w:rPr>
                    <w:t>、巡查重点水体是否发生突发污染情况，识别疑似排污口，经纬度，污染水体颜色等线索；</w:t>
                  </w:r>
                  <w:r>
                    <w:rPr>
                      <w:sz w:val="21"/>
                    </w:rPr>
                    <w:t>4</w:t>
                  </w:r>
                  <w:r>
                    <w:rPr>
                      <w:sz w:val="21"/>
                    </w:rPr>
                    <w:t>、环保巡查监测报告内容包含：巡查位置、经纬度、位置说明、污染源类型等。</w:t>
                  </w:r>
                </w:p>
                <w:p>
                  <w:pPr>
                    <w:jc w:val="left"/>
                  </w:pPr>
                  <w:r>
                    <w:rPr>
                      <w:sz w:val="21"/>
                    </w:rPr>
                    <w:t>服务频率：全年不少于</w:t>
                  </w:r>
                  <w:r>
                    <w:rPr>
                      <w:sz w:val="21"/>
                    </w:rPr>
                    <w:t>24</w:t>
                  </w:r>
                  <w:r>
                    <w:rPr>
                      <w:sz w:val="21"/>
                    </w:rPr>
                    <w:t>次。</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气体监测</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在基站覆盖范围内，针对重点辖区，通过搭载大气嗅探器自动巡航，对工业园区气体检测。工厂烟囱冒黑烟；大面积焚烧秸秆、垃圾；工地大面积扬尘排放。</w:t>
                  </w:r>
                </w:p>
                <w:p>
                  <w:pPr>
                    <w:jc w:val="left"/>
                  </w:pPr>
                  <w:r>
                    <w:rPr>
                      <w:sz w:val="21"/>
                    </w:rPr>
                    <w:t>环保巡查监测报告内容包含：巡查位置、经纬度、位置说明、污染源类型等。</w:t>
                  </w:r>
                </w:p>
                <w:p>
                  <w:pPr>
                    <w:jc w:val="left"/>
                  </w:pPr>
                  <w:r>
                    <w:rPr>
                      <w:sz w:val="21"/>
                    </w:rPr>
                    <w:t>服务频率：全年不少于</w:t>
                  </w:r>
                  <w:r>
                    <w:rPr>
                      <w:sz w:val="21"/>
                    </w:rPr>
                    <w:t>24</w:t>
                  </w:r>
                  <w:r>
                    <w:rPr>
                      <w:sz w:val="21"/>
                    </w:rPr>
                    <w:t>次。</w:t>
                  </w:r>
                </w:p>
              </w:tc>
            </w:tr>
            <w:tr>
              <w:tc>
                <w:tcPr>
                  <w:tcW w:type="dxa" w:w="604"/>
                  <w:tcBorders>
                    <w:top w:val="none" w:color="000000" w:sz="4"/>
                    <w:left w:val="single" w:color="000000" w:sz="4"/>
                    <w:bottom w:val="single" w:color="000000" w:sz="4"/>
                    <w:right w:val="single" w:color="000000" w:sz="4"/>
                  </w:tcBorders>
                  <w:vAlign w:val="top"/>
                </w:tcPr>
                <w:p>
                  <w:pPr>
                    <w:jc w:val="left"/>
                  </w:pPr>
                  <w:r>
                    <w:rPr>
                      <w:sz w:val="21"/>
                    </w:rPr>
                    <w:t>智慧水务巡查服务</w:t>
                  </w:r>
                </w:p>
              </w:tc>
              <w:tc>
                <w:tcPr>
                  <w:tcW w:type="dxa" w:w="1012"/>
                  <w:tcBorders>
                    <w:top w:val="none" w:color="000000" w:sz="4"/>
                    <w:left w:val="none" w:color="000000" w:sz="4"/>
                    <w:bottom w:val="single" w:color="000000" w:sz="4"/>
                    <w:right w:val="single" w:color="000000" w:sz="4"/>
                  </w:tcBorders>
                  <w:vAlign w:val="top"/>
                </w:tcPr>
                <w:p>
                  <w:pPr>
                    <w:jc w:val="left"/>
                  </w:pPr>
                  <w:r>
                    <w:rPr>
                      <w:sz w:val="21"/>
                    </w:rPr>
                    <w:t>河道及水土保持图斑道巡查监测</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在基站覆盖范围内，针对大江大河、主干河涌水土保持图斑进行视频巡查监测，对河道防洪安全、四乱、野钓、野泳、垃圾漂浮物等巡查进行识别分析，提供河道巡查监测报告。</w:t>
                  </w:r>
                </w:p>
                <w:p>
                  <w:pPr>
                    <w:jc w:val="left"/>
                  </w:pPr>
                  <w:r>
                    <w:rPr>
                      <w:sz w:val="21"/>
                    </w:rPr>
                    <w:t>河道巡查监测报告内容包含：巡查位置、经纬度、位置说明、污染源类型等。</w:t>
                  </w:r>
                </w:p>
                <w:p>
                  <w:pPr>
                    <w:jc w:val="left"/>
                  </w:pPr>
                  <w:r>
                    <w:rPr>
                      <w:sz w:val="21"/>
                    </w:rPr>
                    <w:t>服务频率：全年不少于</w:t>
                  </w:r>
                  <w:r>
                    <w:rPr>
                      <w:sz w:val="21"/>
                    </w:rPr>
                    <w:t>24</w:t>
                  </w:r>
                  <w:r>
                    <w:rPr>
                      <w:sz w:val="21"/>
                    </w:rPr>
                    <w:t>次。</w:t>
                  </w:r>
                </w:p>
              </w:tc>
            </w:tr>
            <w:tr>
              <w:tc>
                <w:tcPr>
                  <w:tcW w:type="dxa" w:w="604"/>
                  <w:vMerge w:val="restart"/>
                  <w:tcBorders>
                    <w:top w:val="none" w:color="000000" w:sz="4"/>
                    <w:left w:val="single" w:color="000000" w:sz="4"/>
                    <w:bottom w:val="single" w:color="000000" w:sz="4"/>
                    <w:right w:val="single" w:color="000000" w:sz="4"/>
                  </w:tcBorders>
                  <w:vAlign w:val="top"/>
                </w:tcPr>
                <w:p>
                  <w:pPr>
                    <w:jc w:val="left"/>
                  </w:pPr>
                  <w:r>
                    <w:rPr>
                      <w:sz w:val="21"/>
                    </w:rPr>
                    <w:t>智慧应急巡查服务</w:t>
                  </w:r>
                </w:p>
              </w:tc>
              <w:tc>
                <w:tcPr>
                  <w:tcW w:type="dxa" w:w="1012"/>
                  <w:tcBorders>
                    <w:top w:val="none" w:color="000000" w:sz="4"/>
                    <w:left w:val="none" w:color="000000" w:sz="4"/>
                    <w:bottom w:val="single" w:color="000000" w:sz="4"/>
                    <w:right w:val="single" w:color="000000" w:sz="4"/>
                  </w:tcBorders>
                  <w:vAlign w:val="top"/>
                </w:tcPr>
                <w:p>
                  <w:pPr>
                    <w:jc w:val="left"/>
                  </w:pPr>
                  <w:r>
                    <w:rPr>
                      <w:sz w:val="21"/>
                    </w:rPr>
                    <w:t>森林巡查</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在基站覆盖范围内，搭载可见光相机与红外相机等设备对开荒开垦、树木砍伐、森林防火、垃圾焚烧、秸秆焚烧等问题进行智能巡查，动态监测林区人员活动和易着火点等情况。</w:t>
                  </w:r>
                </w:p>
                <w:p>
                  <w:pPr>
                    <w:jc w:val="left"/>
                  </w:pPr>
                  <w:r>
                    <w:rPr>
                      <w:sz w:val="21"/>
                    </w:rPr>
                    <w:t>服务频率：每周不少于</w:t>
                  </w:r>
                  <w:r>
                    <w:rPr>
                      <w:sz w:val="21"/>
                    </w:rPr>
                    <w:t>1</w:t>
                  </w:r>
                  <w:r>
                    <w:rPr>
                      <w:sz w:val="21"/>
                    </w:rPr>
                    <w:t>次。</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火灾现场巡查</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在基站覆盖范围内，无人机接到应急指令后开展火灾第一现场监测，远程回传现场视频到指挥中心，辅助领导决策。</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防汛</w:t>
                  </w:r>
                  <w:r>
                    <w:rPr>
                      <w:sz w:val="21"/>
                    </w:rPr>
                    <w:t>IV</w:t>
                  </w:r>
                  <w:r>
                    <w:rPr>
                      <w:sz w:val="21"/>
                    </w:rPr>
                    <w:t>级或以上应急巡查</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在基站覆盖范围内，进行堤围巡查航拍，远程喊话在外滩地钓鱼活动的人员离开危险区域，监测险工险段，管涌点等三防风险点动态，及时掌握第一现场情况，根据三防指令开展临时现场勘查等服务。</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田头棚、铁皮屋巡查</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在基站覆盖范围内，进行田头棚、铁皮屋巡查，监测获取位置、涉及面积和人员流动情况。</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防溺水巡查</w:t>
                  </w:r>
                </w:p>
              </w:tc>
              <w:tc>
                <w:tcPr>
                  <w:tcW w:type="dxa" w:w="3980"/>
                  <w:tcBorders>
                    <w:top w:val="none" w:color="000000" w:sz="4"/>
                    <w:left w:val="none" w:color="000000" w:sz="4"/>
                    <w:bottom w:val="single" w:color="000000" w:sz="4"/>
                    <w:right w:val="single" w:color="000000" w:sz="4"/>
                  </w:tcBorders>
                  <w:vAlign w:val="top"/>
                </w:tcPr>
                <w:p>
                  <w:pPr>
                    <w:jc w:val="left"/>
                  </w:pPr>
                  <w:r>
                    <w:rPr>
                      <w:sz w:val="21"/>
                    </w:rPr>
                    <w:t>每年</w:t>
                  </w:r>
                  <w:r>
                    <w:rPr>
                      <w:sz w:val="21"/>
                    </w:rPr>
                    <w:t>7</w:t>
                  </w:r>
                  <w:r>
                    <w:rPr>
                      <w:sz w:val="21"/>
                    </w:rPr>
                    <w:t>月</w:t>
                  </w:r>
                  <w:r>
                    <w:rPr>
                      <w:sz w:val="21"/>
                    </w:rPr>
                    <w:t>-9</w:t>
                  </w:r>
                  <w:r>
                    <w:rPr>
                      <w:sz w:val="21"/>
                    </w:rPr>
                    <w:t>月暑期期间，调度无人机对镇内</w:t>
                  </w:r>
                  <w:r>
                    <w:rPr>
                      <w:sz w:val="21"/>
                    </w:rPr>
                    <w:t>10</w:t>
                  </w:r>
                  <w:r>
                    <w:rPr>
                      <w:sz w:val="21"/>
                    </w:rPr>
                    <w:t>个溺水黑点开展无人机劝导巡查，检查水上野泳人员情况，并利用喊话器劝离水上人员上岸。</w:t>
                  </w:r>
                </w:p>
                <w:p>
                  <w:pPr>
                    <w:jc w:val="left"/>
                  </w:pPr>
                  <w:r>
                    <w:rPr>
                      <w:sz w:val="21"/>
                    </w:rPr>
                    <w:t>服务频率：每年</w:t>
                  </w:r>
                  <w:r>
                    <w:rPr>
                      <w:sz w:val="21"/>
                    </w:rPr>
                    <w:t>7</w:t>
                  </w:r>
                  <w:r>
                    <w:rPr>
                      <w:sz w:val="21"/>
                    </w:rPr>
                    <w:t>月</w:t>
                  </w:r>
                  <w:r>
                    <w:rPr>
                      <w:sz w:val="21"/>
                    </w:rPr>
                    <w:t>-9</w:t>
                  </w:r>
                  <w:r>
                    <w:rPr>
                      <w:sz w:val="21"/>
                    </w:rPr>
                    <w:t>月暑期期间，每周不少于</w:t>
                  </w:r>
                  <w:r>
                    <w:rPr>
                      <w:sz w:val="21"/>
                    </w:rPr>
                    <w:t>1</w:t>
                  </w:r>
                  <w:r>
                    <w:rPr>
                      <w:sz w:val="21"/>
                    </w:rPr>
                    <w:t>次</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应急紧急调度</w:t>
                  </w:r>
                </w:p>
              </w:tc>
              <w:tc>
                <w:tcPr>
                  <w:tcW w:type="dxa" w:w="3980"/>
                  <w:tcBorders>
                    <w:top w:val="none" w:color="000000" w:sz="4"/>
                    <w:left w:val="none" w:color="000000" w:sz="4"/>
                    <w:bottom w:val="single" w:color="000000" w:sz="4"/>
                    <w:right w:val="single" w:color="000000" w:sz="4"/>
                  </w:tcBorders>
                  <w:vAlign w:val="top"/>
                </w:tcPr>
                <w:p>
                  <w:pPr>
                    <w:jc w:val="left"/>
                  </w:pPr>
                  <w:r>
                    <w:rPr>
                      <w:sz w:val="21"/>
                    </w:rPr>
                    <w:t>开展火灾、交通堵塞、安全生产事故等突发事件现场调度勘查，应急大型综合演练、区级盲演抽查演练等应急演练随时调度，要求接到应急指令</w:t>
                  </w:r>
                  <w:r>
                    <w:rPr>
                      <w:sz w:val="21"/>
                    </w:rPr>
                    <w:t>30</w:t>
                  </w:r>
                  <w:r>
                    <w:rPr>
                      <w:sz w:val="21"/>
                    </w:rPr>
                    <w:t>分钟内到达指定地点。</w:t>
                  </w:r>
                </w:p>
                <w:p>
                  <w:pPr>
                    <w:jc w:val="left"/>
                  </w:pPr>
                  <w:r>
                    <w:rPr>
                      <w:sz w:val="21"/>
                    </w:rPr>
                    <w:t>服务频率：每年不少于</w:t>
                  </w:r>
                  <w:r>
                    <w:rPr>
                      <w:sz w:val="21"/>
                    </w:rPr>
                    <w:t>10</w:t>
                  </w:r>
                  <w:r>
                    <w:rPr>
                      <w:sz w:val="21"/>
                    </w:rPr>
                    <w:t>次</w:t>
                  </w:r>
                </w:p>
              </w:tc>
            </w:tr>
            <w:tr>
              <w:tc>
                <w:tcPr>
                  <w:tcW w:type="dxa" w:w="604"/>
                  <w:vMerge w:val="restart"/>
                  <w:tcBorders>
                    <w:top w:val="none" w:color="000000" w:sz="4"/>
                    <w:left w:val="single" w:color="000000" w:sz="4"/>
                    <w:bottom w:val="single" w:color="000000" w:sz="4"/>
                    <w:right w:val="single" w:color="000000" w:sz="4"/>
                  </w:tcBorders>
                  <w:vAlign w:val="top"/>
                </w:tcPr>
                <w:p>
                  <w:pPr>
                    <w:jc w:val="left"/>
                  </w:pPr>
                  <w:r>
                    <w:rPr>
                      <w:sz w:val="21"/>
                    </w:rPr>
                    <w:t>智慧交通巡查服务</w:t>
                  </w:r>
                </w:p>
              </w:tc>
              <w:tc>
                <w:tcPr>
                  <w:tcW w:type="dxa" w:w="1012"/>
                  <w:tcBorders>
                    <w:top w:val="none" w:color="000000" w:sz="4"/>
                    <w:left w:val="none" w:color="000000" w:sz="4"/>
                    <w:bottom w:val="single" w:color="000000" w:sz="4"/>
                    <w:right w:val="single" w:color="000000" w:sz="4"/>
                  </w:tcBorders>
                  <w:vAlign w:val="top"/>
                </w:tcPr>
                <w:p>
                  <w:pPr>
                    <w:jc w:val="left"/>
                  </w:pPr>
                  <w:r>
                    <w:rPr>
                      <w:sz w:val="21"/>
                    </w:rPr>
                    <w:t>交通巡检</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在基站覆盖范围内，对辖区交通道路进行智能视频巡查，动态监测道路拥堵情况。</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私自开挖道路</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在基站覆盖范围内对全镇辖区范围内</w:t>
                  </w:r>
                  <w:r>
                    <w:rPr>
                      <w:sz w:val="21"/>
                    </w:rPr>
                    <w:t>55</w:t>
                  </w:r>
                  <w:r>
                    <w:rPr>
                      <w:sz w:val="21"/>
                    </w:rPr>
                    <w:t>条乡道村道，共</w:t>
                  </w:r>
                  <w:r>
                    <w:rPr>
                      <w:sz w:val="21"/>
                    </w:rPr>
                    <w:t>143.703Km</w:t>
                  </w:r>
                  <w:r>
                    <w:rPr>
                      <w:sz w:val="21"/>
                    </w:rPr>
                    <w:t>的道路进行动态监测路面保洁、路外保洁可视范围、绿化路灯外立面及私自开挖道路。</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重点路段及出入口路域整治</w:t>
                  </w:r>
                </w:p>
              </w:tc>
              <w:tc>
                <w:tcPr>
                  <w:tcW w:type="dxa" w:w="3980"/>
                  <w:tcBorders>
                    <w:top w:val="none" w:color="000000" w:sz="4"/>
                    <w:left w:val="none" w:color="000000" w:sz="4"/>
                    <w:bottom w:val="single" w:color="000000" w:sz="4"/>
                    <w:right w:val="single" w:color="000000" w:sz="4"/>
                  </w:tcBorders>
                  <w:vAlign w:val="top"/>
                </w:tcPr>
                <w:p>
                  <w:pPr>
                    <w:jc w:val="left"/>
                  </w:pPr>
                  <w:r>
                    <w:rPr>
                      <w:sz w:val="21"/>
                    </w:rPr>
                    <w:t>针对重点路段及出入口路域进行智能视频巡查，动态监测路面保洁、路外保洁可视范围、绿化路灯外立面及桥下空间。</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路政巡查</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在基站覆盖范围内，对路产、标志牌、机电设备、防汛设施、消防设施的完好情况智能视频巡查，实现动态监管。</w:t>
                  </w:r>
                </w:p>
              </w:tc>
            </w:tr>
            <w:tr>
              <w:tc>
                <w:tcPr>
                  <w:tcW w:type="dxa" w:w="604"/>
                  <w:tcBorders>
                    <w:top w:val="none" w:color="000000" w:sz="4"/>
                    <w:left w:val="single" w:color="000000" w:sz="4"/>
                    <w:bottom w:val="single" w:color="000000" w:sz="4"/>
                    <w:right w:val="single" w:color="000000" w:sz="4"/>
                  </w:tcBorders>
                  <w:vAlign w:val="top"/>
                </w:tcPr>
                <w:p>
                  <w:pPr>
                    <w:jc w:val="left"/>
                  </w:pPr>
                  <w:r>
                    <w:rPr>
                      <w:sz w:val="21"/>
                    </w:rPr>
                    <w:t>智慧交警巡查服务</w:t>
                  </w:r>
                </w:p>
              </w:tc>
              <w:tc>
                <w:tcPr>
                  <w:tcW w:type="dxa" w:w="1012"/>
                  <w:tcBorders>
                    <w:top w:val="none" w:color="000000" w:sz="4"/>
                    <w:left w:val="none" w:color="000000" w:sz="4"/>
                    <w:bottom w:val="single" w:color="000000" w:sz="4"/>
                    <w:right w:val="single" w:color="000000" w:sz="4"/>
                  </w:tcBorders>
                  <w:vAlign w:val="top"/>
                </w:tcPr>
                <w:p>
                  <w:pPr>
                    <w:jc w:val="left"/>
                  </w:pPr>
                  <w:r>
                    <w:rPr>
                      <w:sz w:val="21"/>
                    </w:rPr>
                    <w:t>交警巡查</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在基站覆盖范围内，对各类交通违法行为进行智能视频巡查，实现动态监管。</w:t>
                  </w:r>
                </w:p>
                <w:p>
                  <w:pPr>
                    <w:jc w:val="left"/>
                  </w:pPr>
                  <w:r>
                    <w:rPr>
                      <w:sz w:val="21"/>
                    </w:rPr>
                    <w:t>违章行为识别报告内容须包含：违章行为发生地的经纬度、位置说明；违章行为的类型、证据等。</w:t>
                  </w:r>
                </w:p>
              </w:tc>
            </w:tr>
            <w:tr>
              <w:tc>
                <w:tcPr>
                  <w:tcW w:type="dxa" w:w="604"/>
                  <w:vMerge w:val="restart"/>
                  <w:tcBorders>
                    <w:top w:val="none" w:color="000000" w:sz="4"/>
                    <w:left w:val="single" w:color="000000" w:sz="4"/>
                    <w:bottom w:val="single" w:color="000000" w:sz="4"/>
                    <w:right w:val="single" w:color="000000" w:sz="4"/>
                  </w:tcBorders>
                  <w:vAlign w:val="top"/>
                </w:tcPr>
                <w:p>
                  <w:pPr>
                    <w:jc w:val="left"/>
                  </w:pPr>
                  <w:r>
                    <w:rPr>
                      <w:sz w:val="21"/>
                    </w:rPr>
                    <w:t>智慧公安巡查服务</w:t>
                  </w:r>
                </w:p>
              </w:tc>
              <w:tc>
                <w:tcPr>
                  <w:tcW w:type="dxa" w:w="1012"/>
                  <w:tcBorders>
                    <w:top w:val="none" w:color="000000" w:sz="4"/>
                    <w:left w:val="none" w:color="000000" w:sz="4"/>
                    <w:bottom w:val="single" w:color="000000" w:sz="4"/>
                    <w:right w:val="single" w:color="000000" w:sz="4"/>
                  </w:tcBorders>
                  <w:vAlign w:val="top"/>
                </w:tcPr>
                <w:p>
                  <w:pPr>
                    <w:jc w:val="left"/>
                  </w:pPr>
                  <w:r>
                    <w:rPr>
                      <w:sz w:val="21"/>
                    </w:rPr>
                    <w:t>夜市治安巡查</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在基站覆盖范围内，进行视智能频巡查，提供违法现场视频、照片，违法车辆人员跟踪视频及照片等。</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公安活动场所治安巡查</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在基站覆盖范围内，进行智能视频巡查，提供违法现场视频、照片，违法车辆人员跟踪视频及照片等。</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涉黄报警</w:t>
                  </w:r>
                </w:p>
              </w:tc>
              <w:tc>
                <w:tcPr>
                  <w:tcW w:type="dxa" w:w="3980"/>
                  <w:tcBorders>
                    <w:top w:val="none" w:color="000000" w:sz="4"/>
                    <w:left w:val="none" w:color="000000" w:sz="4"/>
                    <w:bottom w:val="single" w:color="000000" w:sz="4"/>
                    <w:right w:val="single" w:color="000000" w:sz="4"/>
                  </w:tcBorders>
                  <w:vAlign w:val="top"/>
                </w:tcPr>
                <w:p>
                  <w:pPr>
                    <w:jc w:val="left"/>
                  </w:pPr>
                  <w:r>
                    <w:rPr>
                      <w:sz w:val="21"/>
                    </w:rPr>
                    <w:t>在基站覆盖范围内，无人机挂载喊话器，进行辖区喊话宣传巡查。</w:t>
                  </w:r>
                </w:p>
              </w:tc>
            </w:tr>
            <w:tr>
              <w:tc>
                <w:tcPr>
                  <w:tcW w:type="dxa" w:w="604"/>
                  <w:vMerge w:val="restart"/>
                  <w:tcBorders>
                    <w:top w:val="none" w:color="000000" w:sz="4"/>
                    <w:left w:val="single" w:color="000000" w:sz="4"/>
                    <w:bottom w:val="single" w:color="000000" w:sz="4"/>
                    <w:right w:val="single" w:color="000000" w:sz="4"/>
                  </w:tcBorders>
                  <w:vAlign w:val="top"/>
                </w:tcPr>
                <w:p>
                  <w:pPr>
                    <w:jc w:val="left"/>
                  </w:pPr>
                  <w:r>
                    <w:rPr>
                      <w:sz w:val="21"/>
                    </w:rPr>
                    <w:t>其它要求</w:t>
                  </w:r>
                </w:p>
                <w:p>
                  <w:pPr>
                    <w:jc w:val="left"/>
                  </w:pPr>
                </w:p>
              </w:tc>
              <w:tc>
                <w:tcPr>
                  <w:tcW w:type="dxa" w:w="1012"/>
                  <w:tcBorders>
                    <w:top w:val="none" w:color="000000" w:sz="4"/>
                    <w:left w:val="none" w:color="000000" w:sz="4"/>
                    <w:bottom w:val="single" w:color="000000" w:sz="4"/>
                    <w:right w:val="single" w:color="000000" w:sz="4"/>
                  </w:tcBorders>
                  <w:vAlign w:val="top"/>
                </w:tcPr>
                <w:p>
                  <w:pPr>
                    <w:jc w:val="left"/>
                  </w:pPr>
                  <w:r>
                    <w:rPr>
                      <w:sz w:val="21"/>
                    </w:rPr>
                    <w:t>日常巡查</w:t>
                  </w:r>
                </w:p>
              </w:tc>
              <w:tc>
                <w:tcPr>
                  <w:tcW w:type="dxa" w:w="3980"/>
                  <w:tcBorders>
                    <w:top w:val="none" w:color="000000" w:sz="4"/>
                    <w:left w:val="none" w:color="000000" w:sz="4"/>
                    <w:bottom w:val="single" w:color="000000" w:sz="4"/>
                    <w:right w:val="single" w:color="000000" w:sz="4"/>
                  </w:tcBorders>
                  <w:vAlign w:val="top"/>
                </w:tcPr>
                <w:p>
                  <w:pPr>
                    <w:jc w:val="left"/>
                  </w:pPr>
                  <w:r>
                    <w:rPr>
                      <w:sz w:val="21"/>
                    </w:rPr>
                    <w:t>无人机飞行巡查全覆盖（无死角）巡查，（可以分重点区域与常态区域）</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总结报告</w:t>
                  </w:r>
                </w:p>
              </w:tc>
              <w:tc>
                <w:tcPr>
                  <w:tcW w:type="dxa" w:w="3980"/>
                  <w:tcBorders>
                    <w:top w:val="none" w:color="000000" w:sz="4"/>
                    <w:left w:val="none" w:color="000000" w:sz="4"/>
                    <w:bottom w:val="single" w:color="000000" w:sz="4"/>
                    <w:right w:val="single" w:color="000000" w:sz="4"/>
                  </w:tcBorders>
                  <w:vAlign w:val="top"/>
                </w:tcPr>
                <w:p>
                  <w:pPr>
                    <w:jc w:val="left"/>
                  </w:pPr>
                  <w:r>
                    <w:rPr>
                      <w:sz w:val="21"/>
                    </w:rPr>
                    <w:t>对系统计运行情况，要求每周有小结，每月有总结，两违每周有统计报表；总结报告每月提交给相应部门，单独提供的服务内容需有书面记录定期汇总。</w:t>
                  </w:r>
                </w:p>
              </w:tc>
            </w:tr>
            <w:tr>
              <w:tc>
                <w:tcPr>
                  <w:tcW w:type="dxa" w:w="604"/>
                  <w:vMerge/>
                  <w:tcBorders>
                    <w:top w:val="none" w:color="000000" w:sz="4"/>
                    <w:left w:val="single" w:color="000000" w:sz="4"/>
                    <w:bottom w:val="single" w:color="000000" w:sz="4"/>
                    <w:right w:val="single" w:color="000000" w:sz="4"/>
                  </w:tcBorders>
                </w:tcPr>
                <w:p/>
              </w:tc>
              <w:tc>
                <w:tcPr>
                  <w:tcW w:type="dxa" w:w="1012"/>
                  <w:tcBorders>
                    <w:top w:val="none" w:color="000000" w:sz="4"/>
                    <w:left w:val="none" w:color="000000" w:sz="4"/>
                    <w:bottom w:val="single" w:color="000000" w:sz="4"/>
                    <w:right w:val="single" w:color="000000" w:sz="4"/>
                  </w:tcBorders>
                  <w:vAlign w:val="top"/>
                </w:tcPr>
                <w:p>
                  <w:pPr>
                    <w:jc w:val="left"/>
                  </w:pPr>
                  <w:r>
                    <w:rPr>
                      <w:sz w:val="21"/>
                    </w:rPr>
                    <w:t>现场服务人员考勤管理</w:t>
                  </w:r>
                </w:p>
              </w:tc>
              <w:tc>
                <w:tcPr>
                  <w:tcW w:type="dxa" w:w="3980"/>
                  <w:tcBorders>
                    <w:top w:val="none" w:color="000000" w:sz="4"/>
                    <w:left w:val="none" w:color="000000" w:sz="4"/>
                    <w:bottom w:val="single" w:color="000000" w:sz="4"/>
                    <w:right w:val="single" w:color="000000" w:sz="4"/>
                  </w:tcBorders>
                  <w:vAlign w:val="top"/>
                </w:tcPr>
                <w:p>
                  <w:pPr>
                    <w:jc w:val="left"/>
                  </w:pPr>
                  <w:r>
                    <w:rPr>
                      <w:sz w:val="21"/>
                    </w:rPr>
                    <w:t>现场服务人员不少于二人，在工作日内提供现场服务，针对对现场服务团队的上班工作情况</w:t>
                  </w:r>
                  <w:r>
                    <w:rPr>
                      <w:sz w:val="21"/>
                    </w:rPr>
                    <w:t>成交供应商</w:t>
                  </w:r>
                  <w:r>
                    <w:rPr>
                      <w:sz w:val="21"/>
                    </w:rPr>
                    <w:t>应进行考勤管理，同时提供考勤管理记录每月提交给采购人。</w:t>
                  </w:r>
                </w:p>
              </w:tc>
            </w:tr>
          </w:tbl>
          <w:p>
            <w:pPr>
              <w:jc w:val="both"/>
            </w:pPr>
            <w:r>
              <w:rPr>
                <w:sz w:val="21"/>
              </w:rPr>
              <w:t>注：</w:t>
            </w:r>
            <w:r>
              <w:rPr>
                <w:sz w:val="21"/>
              </w:rPr>
              <w:t>1</w:t>
            </w:r>
            <w:r>
              <w:rPr>
                <w:sz w:val="21"/>
              </w:rPr>
              <w:t>、如遇大风、暴雨等恶劣天气不适合无人机作业，当天不计入约定的成果提交限期范围，由成交供应商提出与采购人根据实际情况协商处理。</w:t>
            </w:r>
            <w:r>
              <w:rPr>
                <w:sz w:val="21"/>
              </w:rPr>
              <w:t>2</w:t>
            </w:r>
            <w:r>
              <w:rPr>
                <w:sz w:val="21"/>
              </w:rPr>
              <w:t>、上述服务频率为常规状态下的服务要求，各服务类别项遇应急情况时，成交供应商须根据采购人要求及时开展巡查监测，应急服务次数计入全年服务频次。</w:t>
            </w:r>
          </w:p>
        </w:tc>
      </w:tr>
      <w:tr>
        <w:tc>
          <w:tcPr>
            <w:tcW w:type="dxa" w:w="2076"/>
          </w:tcPr>
          <w:p/>
        </w:tc>
        <w:tc>
          <w:tcPr>
            <w:tcW w:type="dxa" w:w="415"/>
          </w:tcPr>
          <w:p>
            <w:r>
              <w:rPr/>
              <w:t>2</w:t>
            </w:r>
          </w:p>
        </w:tc>
        <w:tc>
          <w:tcPr>
            <w:tcW w:type="dxa" w:w="5814"/>
          </w:tcPr>
          <w:p>
            <w:pPr>
              <w:jc w:val="left"/>
            </w:pPr>
            <w:r>
              <w:rPr>
                <w:sz w:val="21"/>
              </w:rPr>
              <w:t>二、</w:t>
            </w:r>
            <w:r>
              <w:rPr>
                <w:b/>
                <w:sz w:val="21"/>
              </w:rPr>
              <w:t>无人机作业参考标准、规范</w:t>
            </w:r>
          </w:p>
          <w:p>
            <w:pPr>
              <w:jc w:val="both"/>
            </w:pPr>
            <w:r>
              <w:rPr>
                <w:sz w:val="21"/>
              </w:rPr>
              <w:t>（一）《低空数字航空摄影规范》</w:t>
            </w:r>
            <w:r>
              <w:rPr>
                <w:sz w:val="21"/>
              </w:rPr>
              <w:t>CH/Z 3005-2010</w:t>
            </w:r>
            <w:r>
              <w:rPr>
                <w:sz w:val="21"/>
              </w:rPr>
              <w:t>；</w:t>
            </w:r>
          </w:p>
          <w:p>
            <w:pPr>
              <w:jc w:val="both"/>
            </w:pPr>
            <w:r>
              <w:rPr>
                <w:sz w:val="21"/>
              </w:rPr>
              <w:t>（</w:t>
            </w:r>
            <w:r>
              <w:rPr>
                <w:sz w:val="21"/>
              </w:rPr>
              <w:t>二</w:t>
            </w:r>
            <w:r>
              <w:rPr>
                <w:sz w:val="21"/>
              </w:rPr>
              <w:t>）《无人机航摄安全作业基本要求》</w:t>
            </w:r>
            <w:r>
              <w:rPr>
                <w:sz w:val="21"/>
              </w:rPr>
              <w:t>CH/Z 3001</w:t>
            </w:r>
            <w:r>
              <w:rPr>
                <w:sz w:val="21"/>
              </w:rPr>
              <w:t>－</w:t>
            </w:r>
            <w:r>
              <w:rPr>
                <w:sz w:val="21"/>
              </w:rPr>
              <w:t>2010</w:t>
            </w:r>
            <w:r>
              <w:rPr>
                <w:sz w:val="21"/>
              </w:rPr>
              <w:t>；</w:t>
            </w:r>
          </w:p>
          <w:p>
            <w:pPr>
              <w:jc w:val="both"/>
            </w:pPr>
            <w:r>
              <w:rPr>
                <w:sz w:val="21"/>
              </w:rPr>
              <w:t>（</w:t>
            </w:r>
            <w:r>
              <w:rPr>
                <w:sz w:val="21"/>
              </w:rPr>
              <w:t>三</w:t>
            </w:r>
            <w:r>
              <w:rPr>
                <w:sz w:val="21"/>
              </w:rPr>
              <w:t>）《低空数字航空摄影测量外业规范》</w:t>
            </w:r>
            <w:r>
              <w:rPr>
                <w:sz w:val="21"/>
              </w:rPr>
              <w:t>CH/Z 3004</w:t>
            </w:r>
            <w:r>
              <w:rPr>
                <w:sz w:val="21"/>
              </w:rPr>
              <w:t>－</w:t>
            </w:r>
            <w:r>
              <w:rPr>
                <w:sz w:val="21"/>
              </w:rPr>
              <w:t>2010</w:t>
            </w:r>
            <w:r>
              <w:rPr>
                <w:sz w:val="21"/>
              </w:rPr>
              <w:t>；</w:t>
            </w:r>
          </w:p>
          <w:p>
            <w:pPr>
              <w:jc w:val="both"/>
            </w:pPr>
            <w:r>
              <w:rPr>
                <w:sz w:val="21"/>
              </w:rPr>
              <w:t>（</w:t>
            </w:r>
            <w:r>
              <w:rPr>
                <w:sz w:val="21"/>
              </w:rPr>
              <w:t>四</w:t>
            </w:r>
            <w:r>
              <w:rPr>
                <w:sz w:val="21"/>
              </w:rPr>
              <w:t>）《低空数字航空摄影测量内业规范》</w:t>
            </w:r>
            <w:r>
              <w:rPr>
                <w:sz w:val="21"/>
              </w:rPr>
              <w:t>CH/Z 3003</w:t>
            </w:r>
            <w:r>
              <w:rPr>
                <w:sz w:val="21"/>
              </w:rPr>
              <w:t>－</w:t>
            </w:r>
            <w:r>
              <w:rPr>
                <w:sz w:val="21"/>
              </w:rPr>
              <w:t>2010</w:t>
            </w:r>
            <w:r>
              <w:rPr>
                <w:sz w:val="21"/>
              </w:rPr>
              <w:t>；</w:t>
            </w:r>
          </w:p>
          <w:p>
            <w:pPr>
              <w:jc w:val="both"/>
            </w:pPr>
            <w:r>
              <w:rPr>
                <w:sz w:val="21"/>
              </w:rPr>
              <w:t>（</w:t>
            </w:r>
            <w:r>
              <w:rPr>
                <w:sz w:val="21"/>
              </w:rPr>
              <w:t>五</w:t>
            </w:r>
            <w:r>
              <w:rPr>
                <w:sz w:val="21"/>
              </w:rPr>
              <w:t>）《</w:t>
            </w:r>
            <w:r>
              <w:rPr>
                <w:sz w:val="21"/>
              </w:rPr>
              <w:t>IMU/GPS</w:t>
            </w:r>
            <w:r>
              <w:rPr>
                <w:sz w:val="21"/>
              </w:rPr>
              <w:t>辅助航空摄影技术规范》</w:t>
            </w:r>
            <w:r>
              <w:rPr>
                <w:sz w:val="21"/>
              </w:rPr>
              <w:t>GB/T 27919-2011</w:t>
            </w:r>
            <w:r>
              <w:rPr>
                <w:sz w:val="21"/>
              </w:rPr>
              <w:t>；</w:t>
            </w:r>
          </w:p>
          <w:p>
            <w:pPr>
              <w:jc w:val="both"/>
            </w:pPr>
            <w:r>
              <w:rPr>
                <w:sz w:val="21"/>
              </w:rPr>
              <w:t>（</w:t>
            </w:r>
            <w:r>
              <w:rPr>
                <w:sz w:val="21"/>
              </w:rPr>
              <w:t>六</w:t>
            </w:r>
            <w:r>
              <w:rPr>
                <w:sz w:val="21"/>
              </w:rPr>
              <w:t>）《基础地理信息数字成果</w:t>
            </w:r>
            <w:r>
              <w:rPr>
                <w:sz w:val="21"/>
              </w:rPr>
              <w:t>1:500 1:1000 1:2000</w:t>
            </w:r>
            <w:r>
              <w:rPr>
                <w:sz w:val="21"/>
              </w:rPr>
              <w:t>数字正射影像图》</w:t>
            </w:r>
            <w:r>
              <w:rPr>
                <w:sz w:val="21"/>
              </w:rPr>
              <w:t>CH/T9008.3-2010</w:t>
            </w:r>
            <w:r>
              <w:rPr>
                <w:sz w:val="21"/>
              </w:rPr>
              <w:t>；</w:t>
            </w:r>
          </w:p>
          <w:p>
            <w:pPr>
              <w:jc w:val="both"/>
            </w:pPr>
            <w:r>
              <w:rPr>
                <w:sz w:val="21"/>
              </w:rPr>
              <w:t>（</w:t>
            </w:r>
            <w:r>
              <w:rPr>
                <w:sz w:val="21"/>
              </w:rPr>
              <w:t>七</w:t>
            </w:r>
            <w:r>
              <w:rPr>
                <w:sz w:val="21"/>
              </w:rPr>
              <w:t>）《基础地理信息数字成果</w:t>
            </w:r>
            <w:r>
              <w:rPr>
                <w:sz w:val="21"/>
              </w:rPr>
              <w:t>1:500 1:1000 1:2000</w:t>
            </w:r>
            <w:r>
              <w:rPr>
                <w:sz w:val="21"/>
              </w:rPr>
              <w:t>数字高程模型》</w:t>
            </w:r>
            <w:r>
              <w:rPr>
                <w:sz w:val="21"/>
              </w:rPr>
              <w:t>CH/T9008.2-2010</w:t>
            </w:r>
            <w:r>
              <w:rPr>
                <w:sz w:val="21"/>
              </w:rPr>
              <w:t>。</w:t>
            </w:r>
          </w:p>
          <w:p>
            <w:pPr>
              <w:jc w:val="both"/>
            </w:pPr>
            <w:r>
              <w:rPr>
                <w:b/>
                <w:sz w:val="21"/>
              </w:rPr>
              <w:t>注：如有最新发布的标准、规范，按最新的执行。</w:t>
            </w:r>
          </w:p>
        </w:tc>
      </w:tr>
      <w:tr>
        <w:tc>
          <w:tcPr>
            <w:tcW w:type="dxa" w:w="2076"/>
          </w:tcPr>
          <w:p>
            <w:r>
              <w:rPr/>
              <w:t>★</w:t>
            </w:r>
          </w:p>
        </w:tc>
        <w:tc>
          <w:tcPr>
            <w:tcW w:type="dxa" w:w="415"/>
          </w:tcPr>
          <w:p>
            <w:r>
              <w:rPr/>
              <w:t>3</w:t>
            </w:r>
          </w:p>
        </w:tc>
        <w:tc>
          <w:tcPr>
            <w:tcW w:type="dxa" w:w="5814"/>
          </w:tcPr>
          <w:p>
            <w:pPr>
              <w:jc w:val="left"/>
            </w:pPr>
            <w:r>
              <w:rPr>
                <w:sz w:val="21"/>
              </w:rPr>
              <w:t>三、</w:t>
            </w:r>
            <w:r>
              <w:rPr>
                <w:b/>
                <w:sz w:val="21"/>
              </w:rPr>
              <w:t>其他服务约定</w:t>
            </w:r>
          </w:p>
          <w:p>
            <w:pPr>
              <w:jc w:val="both"/>
            </w:pPr>
            <w:r>
              <w:rPr>
                <w:sz w:val="21"/>
              </w:rPr>
              <w:t>（一）服务周期约定：本服务项目为期一年。</w:t>
            </w:r>
          </w:p>
          <w:p>
            <w:pPr>
              <w:jc w:val="both"/>
            </w:pPr>
            <w:r>
              <w:rPr>
                <w:sz w:val="21"/>
              </w:rPr>
              <w:t>（二）服务前期的时间进度约定：</w:t>
            </w:r>
            <w:r>
              <w:rPr>
                <w:sz w:val="21"/>
              </w:rPr>
              <w:t>1</w:t>
            </w:r>
            <w:r>
              <w:rPr>
                <w:sz w:val="21"/>
              </w:rPr>
              <w:t>、本合同签订生效后</w:t>
            </w:r>
            <w:r>
              <w:rPr>
                <w:sz w:val="21"/>
              </w:rPr>
              <w:t>7</w:t>
            </w:r>
            <w:r>
              <w:rPr>
                <w:sz w:val="21"/>
              </w:rPr>
              <w:t>天内，成交供应商须完成硬件设备建设安装调试，并提请双方共同验收；</w:t>
            </w:r>
            <w:r>
              <w:rPr>
                <w:sz w:val="21"/>
              </w:rPr>
              <w:t>2</w:t>
            </w:r>
            <w:r>
              <w:rPr>
                <w:sz w:val="21"/>
              </w:rPr>
              <w:t>、成交供应商须于完成硬件设备建设验收后次周开始以无人机基站提供巡查监测和数据成果服务。</w:t>
            </w:r>
          </w:p>
          <w:p>
            <w:pPr>
              <w:jc w:val="both"/>
            </w:pPr>
            <w:r>
              <w:rPr>
                <w:sz w:val="21"/>
              </w:rPr>
              <w:t>（三）接收服务请求的时间要求：</w:t>
            </w:r>
          </w:p>
          <w:p>
            <w:pPr>
              <w:jc w:val="both"/>
            </w:pPr>
            <w:r>
              <w:rPr>
                <w:sz w:val="21"/>
              </w:rPr>
              <w:t>成交供应商在</w:t>
            </w:r>
            <w:r>
              <w:rPr>
                <w:sz w:val="21"/>
              </w:rPr>
              <w:t>5×8</w:t>
            </w:r>
            <w:r>
              <w:rPr>
                <w:sz w:val="21"/>
              </w:rPr>
              <w:t>小时工作时间内设置由专人值守的热线电话，接收采购人的服务请求，并记录服务台事件处理结果；在非工作时间设置有专人</w:t>
            </w:r>
            <w:r>
              <w:rPr>
                <w:sz w:val="21"/>
              </w:rPr>
              <w:t>7×24</w:t>
            </w:r>
            <w:r>
              <w:rPr>
                <w:sz w:val="21"/>
              </w:rPr>
              <w:t>小时接听的移动电话热线，用于应急服务响应。对采购人的服务请求，成交供应商在接报后</w:t>
            </w:r>
            <w:r>
              <w:rPr>
                <w:sz w:val="21"/>
              </w:rPr>
              <w:t>1</w:t>
            </w:r>
            <w:r>
              <w:rPr>
                <w:sz w:val="21"/>
              </w:rPr>
              <w:t>小时内响应，</w:t>
            </w:r>
            <w:r>
              <w:rPr>
                <w:sz w:val="21"/>
              </w:rPr>
              <w:t>48</w:t>
            </w:r>
            <w:r>
              <w:rPr>
                <w:sz w:val="21"/>
              </w:rPr>
              <w:t>小时内处理完毕。响应服务时间将纳入考核范围，一个结算周期内响应时间超时</w:t>
            </w:r>
            <w:r>
              <w:rPr>
                <w:sz w:val="21"/>
              </w:rPr>
              <w:t>5</w:t>
            </w:r>
            <w:r>
              <w:rPr>
                <w:sz w:val="21"/>
              </w:rPr>
              <w:t>次以上，采购人有权扣除当期应支付合同金额的</w:t>
            </w:r>
            <w:r>
              <w:rPr>
                <w:sz w:val="21"/>
              </w:rPr>
              <w:t>5%</w:t>
            </w:r>
            <w:r>
              <w:rPr>
                <w:sz w:val="21"/>
              </w:rPr>
              <w:t>。成交供应商各项功能服务时间要求：</w:t>
            </w:r>
          </w:p>
          <w:tbl>
            <w:tblPr>
              <w:tblInd w:type="dxa" w:w="120"/>
              <w:tblBorders>
                <w:top w:val="none" w:color="000000" w:sz="4"/>
                <w:left w:val="none" w:color="000000" w:sz="4"/>
                <w:bottom w:val="none" w:color="000000" w:sz="4"/>
                <w:right w:val="none" w:color="000000" w:sz="4"/>
                <w:insideH w:val="none"/>
                <w:insideV w:val="none"/>
              </w:tblBorders>
            </w:tblPr>
            <w:tblGrid>
              <w:gridCol w:w="1062"/>
              <w:gridCol w:w="2078"/>
              <w:gridCol w:w="1197"/>
              <w:gridCol w:w="1260"/>
            </w:tblGrid>
            <w:tr>
              <w:tc>
                <w:tcPr>
                  <w:tcW w:type="dxa" w:w="3140"/>
                  <w:gridSpan w:val="2"/>
                  <w:tcBorders>
                    <w:top w:val="single" w:color="000000" w:sz="4"/>
                    <w:left w:val="single" w:color="000000" w:sz="4"/>
                    <w:bottom w:val="single" w:color="000000" w:sz="4"/>
                    <w:right w:val="single" w:color="000000" w:sz="4"/>
                  </w:tcBorders>
                  <w:vAlign w:val="top"/>
                </w:tcPr>
                <w:p>
                  <w:pPr>
                    <w:jc w:val="center"/>
                  </w:pPr>
                  <w:r>
                    <w:rPr>
                      <w:sz w:val="21"/>
                    </w:rPr>
                    <w:t>服务内容</w:t>
                  </w:r>
                </w:p>
              </w:tc>
              <w:tc>
                <w:tcPr>
                  <w:tcW w:type="dxa" w:w="1197"/>
                  <w:tcBorders>
                    <w:top w:val="single" w:color="000000" w:sz="4"/>
                    <w:left w:val="none" w:color="000000" w:sz="4"/>
                    <w:bottom w:val="single" w:color="000000" w:sz="4"/>
                    <w:right w:val="single" w:color="000000" w:sz="4"/>
                  </w:tcBorders>
                  <w:vAlign w:val="top"/>
                </w:tcPr>
                <w:p>
                  <w:pPr>
                    <w:jc w:val="center"/>
                  </w:pPr>
                  <w:r>
                    <w:rPr>
                      <w:sz w:val="21"/>
                    </w:rPr>
                    <w:t>类型</w:t>
                  </w:r>
                </w:p>
              </w:tc>
              <w:tc>
                <w:tcPr>
                  <w:tcW w:type="dxa" w:w="1260"/>
                  <w:tcBorders>
                    <w:top w:val="single" w:color="000000" w:sz="4"/>
                    <w:left w:val="none" w:color="000000" w:sz="4"/>
                    <w:bottom w:val="single" w:color="000000" w:sz="4"/>
                    <w:right w:val="single" w:color="000000" w:sz="4"/>
                  </w:tcBorders>
                  <w:vAlign w:val="top"/>
                </w:tcPr>
                <w:p>
                  <w:pPr>
                    <w:jc w:val="center"/>
                  </w:pPr>
                  <w:r>
                    <w:rPr>
                      <w:sz w:val="21"/>
                    </w:rPr>
                    <w:t>服务</w:t>
                  </w:r>
                  <w:r>
                    <w:rPr>
                      <w:sz w:val="21"/>
                    </w:rPr>
                    <w:t>时间</w:t>
                  </w:r>
                </w:p>
              </w:tc>
            </w:tr>
            <w:tr>
              <w:tc>
                <w:tcPr>
                  <w:tcW w:type="dxa" w:w="3140"/>
                  <w:gridSpan w:val="2"/>
                  <w:tcBorders>
                    <w:top w:val="none" w:color="000000" w:sz="4"/>
                    <w:left w:val="single" w:color="000000" w:sz="4"/>
                    <w:bottom w:val="single" w:color="000000" w:sz="4"/>
                    <w:right w:val="single" w:color="000000" w:sz="4"/>
                  </w:tcBorders>
                  <w:vAlign w:val="top"/>
                </w:tcPr>
                <w:p>
                  <w:pPr>
                    <w:jc w:val="center"/>
                  </w:pPr>
                  <w:r>
                    <w:rPr>
                      <w:sz w:val="21"/>
                    </w:rPr>
                    <w:t>5G</w:t>
                  </w:r>
                  <w:r>
                    <w:rPr>
                      <w:sz w:val="21"/>
                    </w:rPr>
                    <w:t>网联无人机组网租赁服务</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故障</w:t>
                  </w:r>
                </w:p>
              </w:tc>
              <w:tc>
                <w:tcPr>
                  <w:tcW w:type="dxa" w:w="1260"/>
                  <w:tcBorders>
                    <w:top w:val="none" w:color="000000" w:sz="4"/>
                    <w:left w:val="none" w:color="000000" w:sz="4"/>
                    <w:bottom w:val="single" w:color="000000" w:sz="4"/>
                    <w:right w:val="single" w:color="000000" w:sz="4"/>
                  </w:tcBorders>
                  <w:vAlign w:val="top"/>
                </w:tcPr>
                <w:p>
                  <w:pPr>
                    <w:jc w:val="center"/>
                  </w:pPr>
                  <w:r>
                    <w:rPr>
                      <w:sz w:val="21"/>
                    </w:rPr>
                    <w:t>7×24</w:t>
                  </w:r>
                </w:p>
              </w:tc>
            </w:tr>
            <w:tr>
              <w:tc>
                <w:tcPr>
                  <w:tcW w:type="dxa" w:w="1062"/>
                  <w:vMerge w:val="restart"/>
                  <w:tcBorders>
                    <w:top w:val="none" w:color="000000" w:sz="4"/>
                    <w:left w:val="single" w:color="000000" w:sz="4"/>
                    <w:bottom w:val="single" w:color="000000" w:sz="4"/>
                    <w:right w:val="single" w:color="000000" w:sz="4"/>
                  </w:tcBorders>
                  <w:vAlign w:val="top"/>
                </w:tcPr>
                <w:p>
                  <w:pPr>
                    <w:jc w:val="center"/>
                  </w:pPr>
                  <w:r>
                    <w:rPr>
                      <w:sz w:val="21"/>
                    </w:rPr>
                    <w:t>智能巡检与智能识别服务</w:t>
                  </w:r>
                </w:p>
              </w:tc>
              <w:tc>
                <w:tcPr>
                  <w:tcW w:type="dxa" w:w="2078"/>
                  <w:tcBorders>
                    <w:top w:val="none" w:color="000000" w:sz="4"/>
                    <w:left w:val="none" w:color="000000" w:sz="4"/>
                    <w:bottom w:val="single" w:color="000000" w:sz="4"/>
                    <w:right w:val="single" w:color="000000" w:sz="4"/>
                  </w:tcBorders>
                  <w:vAlign w:val="top"/>
                </w:tcPr>
                <w:p>
                  <w:pPr>
                    <w:jc w:val="center"/>
                  </w:pPr>
                  <w:r>
                    <w:rPr>
                      <w:sz w:val="21"/>
                    </w:rPr>
                    <w:t>智慧城管巡查服务</w:t>
                  </w:r>
                </w:p>
              </w:tc>
              <w:tc>
                <w:tcPr>
                  <w:tcW w:type="dxa" w:w="1197"/>
                  <w:vMerge w:val="restart"/>
                  <w:tcBorders>
                    <w:top w:val="none" w:color="000000" w:sz="4"/>
                    <w:left w:val="none" w:color="000000" w:sz="4"/>
                    <w:bottom w:val="single" w:color="000000" w:sz="4"/>
                    <w:right w:val="single" w:color="000000" w:sz="4"/>
                  </w:tcBorders>
                  <w:vAlign w:val="top"/>
                </w:tcPr>
                <w:p>
                  <w:pPr>
                    <w:jc w:val="center"/>
                  </w:pPr>
                  <w:r>
                    <w:rPr>
                      <w:sz w:val="21"/>
                    </w:rPr>
                    <w:t>运维服务</w:t>
                  </w:r>
                </w:p>
              </w:tc>
              <w:tc>
                <w:tcPr>
                  <w:tcW w:type="dxa" w:w="1260"/>
                  <w:tcBorders>
                    <w:top w:val="single" w:color="000000" w:sz="4"/>
                    <w:left w:val="none" w:color="000000" w:sz="4"/>
                    <w:bottom w:val="single" w:color="000000" w:sz="4"/>
                    <w:right w:val="single" w:color="000000" w:sz="4"/>
                  </w:tcBorders>
                  <w:vAlign w:val="top"/>
                </w:tcPr>
                <w:p>
                  <w:pPr>
                    <w:jc w:val="center"/>
                  </w:pPr>
                  <w:r>
                    <w:rPr>
                      <w:sz w:val="21"/>
                    </w:rPr>
                    <w:t>5×8</w:t>
                  </w:r>
                </w:p>
              </w:tc>
            </w:tr>
            <w:tr>
              <w:tc>
                <w:tcPr>
                  <w:tcW w:type="dxa" w:w="1062"/>
                  <w:vMerge/>
                  <w:tcBorders>
                    <w:top w:val="none" w:color="000000" w:sz="4"/>
                    <w:left w:val="single" w:color="000000" w:sz="4"/>
                    <w:bottom w:val="single" w:color="000000" w:sz="4"/>
                    <w:right w:val="single" w:color="000000" w:sz="4"/>
                  </w:tcBorders>
                </w:tcPr>
                <w:p/>
              </w:tc>
              <w:tc>
                <w:tcPr>
                  <w:tcW w:type="dxa" w:w="2078"/>
                  <w:tcBorders>
                    <w:top w:val="none" w:color="000000" w:sz="4"/>
                    <w:left w:val="none" w:color="000000" w:sz="4"/>
                    <w:bottom w:val="single" w:color="000000" w:sz="4"/>
                    <w:right w:val="single" w:color="000000" w:sz="4"/>
                  </w:tcBorders>
                  <w:vAlign w:val="top"/>
                </w:tcPr>
                <w:p>
                  <w:pPr>
                    <w:jc w:val="center"/>
                  </w:pPr>
                  <w:r>
                    <w:rPr>
                      <w:sz w:val="21"/>
                    </w:rPr>
                    <w:t>智慧国土巡查服务</w:t>
                  </w:r>
                </w:p>
              </w:tc>
              <w:tc>
                <w:tcPr>
                  <w:tcW w:type="dxa" w:w="1197"/>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vAlign w:val="top"/>
                </w:tcPr>
                <w:p>
                  <w:pPr>
                    <w:jc w:val="center"/>
                  </w:pPr>
                  <w:r>
                    <w:rPr>
                      <w:sz w:val="21"/>
                    </w:rPr>
                    <w:t>5×8</w:t>
                  </w:r>
                </w:p>
              </w:tc>
            </w:tr>
            <w:tr>
              <w:tc>
                <w:tcPr>
                  <w:tcW w:type="dxa" w:w="1062"/>
                  <w:vMerge/>
                  <w:tcBorders>
                    <w:top w:val="none" w:color="000000" w:sz="4"/>
                    <w:left w:val="single" w:color="000000" w:sz="4"/>
                    <w:bottom w:val="single" w:color="000000" w:sz="4"/>
                    <w:right w:val="single" w:color="000000" w:sz="4"/>
                  </w:tcBorders>
                </w:tcPr>
                <w:p/>
              </w:tc>
              <w:tc>
                <w:tcPr>
                  <w:tcW w:type="dxa" w:w="2078"/>
                  <w:tcBorders>
                    <w:top w:val="none" w:color="000000" w:sz="4"/>
                    <w:left w:val="none" w:color="000000" w:sz="4"/>
                    <w:bottom w:val="single" w:color="000000" w:sz="4"/>
                    <w:right w:val="single" w:color="000000" w:sz="4"/>
                  </w:tcBorders>
                  <w:vAlign w:val="top"/>
                </w:tcPr>
                <w:p>
                  <w:pPr>
                    <w:jc w:val="center"/>
                  </w:pPr>
                  <w:r>
                    <w:rPr>
                      <w:sz w:val="21"/>
                    </w:rPr>
                    <w:t>智慧环保巡查服务</w:t>
                  </w:r>
                </w:p>
              </w:tc>
              <w:tc>
                <w:tcPr>
                  <w:tcW w:type="dxa" w:w="1197"/>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vAlign w:val="top"/>
                </w:tcPr>
                <w:p>
                  <w:pPr>
                    <w:jc w:val="center"/>
                  </w:pPr>
                  <w:r>
                    <w:rPr>
                      <w:sz w:val="21"/>
                    </w:rPr>
                    <w:t>5×8</w:t>
                  </w:r>
                </w:p>
              </w:tc>
            </w:tr>
            <w:tr>
              <w:tc>
                <w:tcPr>
                  <w:tcW w:type="dxa" w:w="1062"/>
                  <w:vMerge/>
                  <w:tcBorders>
                    <w:top w:val="none" w:color="000000" w:sz="4"/>
                    <w:left w:val="single" w:color="000000" w:sz="4"/>
                    <w:bottom w:val="single" w:color="000000" w:sz="4"/>
                    <w:right w:val="single" w:color="000000" w:sz="4"/>
                  </w:tcBorders>
                </w:tcPr>
                <w:p/>
              </w:tc>
              <w:tc>
                <w:tcPr>
                  <w:tcW w:type="dxa" w:w="2078"/>
                  <w:tcBorders>
                    <w:top w:val="none" w:color="000000" w:sz="4"/>
                    <w:left w:val="none" w:color="000000" w:sz="4"/>
                    <w:bottom w:val="single" w:color="000000" w:sz="4"/>
                    <w:right w:val="single" w:color="000000" w:sz="4"/>
                  </w:tcBorders>
                  <w:vAlign w:val="top"/>
                </w:tcPr>
                <w:p>
                  <w:pPr>
                    <w:jc w:val="center"/>
                  </w:pPr>
                  <w:r>
                    <w:rPr>
                      <w:sz w:val="21"/>
                    </w:rPr>
                    <w:t>智慧水务巡查服务</w:t>
                  </w:r>
                </w:p>
              </w:tc>
              <w:tc>
                <w:tcPr>
                  <w:tcW w:type="dxa" w:w="1197"/>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vAlign w:val="top"/>
                </w:tcPr>
                <w:p>
                  <w:pPr>
                    <w:jc w:val="center"/>
                  </w:pPr>
                  <w:r>
                    <w:rPr>
                      <w:sz w:val="21"/>
                    </w:rPr>
                    <w:t>5×8</w:t>
                  </w:r>
                </w:p>
              </w:tc>
            </w:tr>
            <w:tr>
              <w:tc>
                <w:tcPr>
                  <w:tcW w:type="dxa" w:w="1062"/>
                  <w:vMerge/>
                  <w:tcBorders>
                    <w:top w:val="none" w:color="000000" w:sz="4"/>
                    <w:left w:val="single" w:color="000000" w:sz="4"/>
                    <w:bottom w:val="single" w:color="000000" w:sz="4"/>
                    <w:right w:val="single" w:color="000000" w:sz="4"/>
                  </w:tcBorders>
                </w:tcPr>
                <w:p/>
              </w:tc>
              <w:tc>
                <w:tcPr>
                  <w:tcW w:type="dxa" w:w="2078"/>
                  <w:tcBorders>
                    <w:top w:val="none" w:color="000000" w:sz="4"/>
                    <w:left w:val="none" w:color="000000" w:sz="4"/>
                    <w:bottom w:val="single" w:color="000000" w:sz="4"/>
                    <w:right w:val="single" w:color="000000" w:sz="4"/>
                  </w:tcBorders>
                  <w:vAlign w:val="top"/>
                </w:tcPr>
                <w:p>
                  <w:pPr>
                    <w:jc w:val="center"/>
                  </w:pPr>
                  <w:r>
                    <w:rPr>
                      <w:sz w:val="21"/>
                    </w:rPr>
                    <w:t>智慧应急巡查服务</w:t>
                  </w:r>
                </w:p>
              </w:tc>
              <w:tc>
                <w:tcPr>
                  <w:tcW w:type="dxa" w:w="1197"/>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vAlign w:val="top"/>
                </w:tcPr>
                <w:p>
                  <w:pPr>
                    <w:jc w:val="center"/>
                  </w:pPr>
                  <w:r>
                    <w:rPr>
                      <w:sz w:val="21"/>
                    </w:rPr>
                    <w:t>5×8</w:t>
                  </w:r>
                </w:p>
              </w:tc>
            </w:tr>
            <w:tr>
              <w:tc>
                <w:tcPr>
                  <w:tcW w:type="dxa" w:w="1062"/>
                  <w:vMerge/>
                  <w:tcBorders>
                    <w:top w:val="none" w:color="000000" w:sz="4"/>
                    <w:left w:val="single" w:color="000000" w:sz="4"/>
                    <w:bottom w:val="single" w:color="000000" w:sz="4"/>
                    <w:right w:val="single" w:color="000000" w:sz="4"/>
                  </w:tcBorders>
                </w:tcPr>
                <w:p/>
              </w:tc>
              <w:tc>
                <w:tcPr>
                  <w:tcW w:type="dxa" w:w="2078"/>
                  <w:tcBorders>
                    <w:top w:val="none" w:color="000000" w:sz="4"/>
                    <w:left w:val="none" w:color="000000" w:sz="4"/>
                    <w:bottom w:val="single" w:color="000000" w:sz="4"/>
                    <w:right w:val="single" w:color="000000" w:sz="4"/>
                  </w:tcBorders>
                  <w:vAlign w:val="top"/>
                </w:tcPr>
                <w:p>
                  <w:pPr>
                    <w:jc w:val="center"/>
                  </w:pPr>
                  <w:r>
                    <w:rPr>
                      <w:sz w:val="21"/>
                    </w:rPr>
                    <w:t>智慧交通巡查服务</w:t>
                  </w:r>
                </w:p>
              </w:tc>
              <w:tc>
                <w:tcPr>
                  <w:tcW w:type="dxa" w:w="1197"/>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vAlign w:val="top"/>
                </w:tcPr>
                <w:p>
                  <w:pPr>
                    <w:jc w:val="center"/>
                  </w:pPr>
                  <w:r>
                    <w:rPr>
                      <w:sz w:val="21"/>
                    </w:rPr>
                    <w:t>5×8</w:t>
                  </w:r>
                </w:p>
              </w:tc>
            </w:tr>
            <w:tr>
              <w:tc>
                <w:tcPr>
                  <w:tcW w:type="dxa" w:w="1062"/>
                  <w:vMerge/>
                  <w:tcBorders>
                    <w:top w:val="none" w:color="000000" w:sz="4"/>
                    <w:left w:val="single" w:color="000000" w:sz="4"/>
                    <w:bottom w:val="single" w:color="000000" w:sz="4"/>
                    <w:right w:val="single" w:color="000000" w:sz="4"/>
                  </w:tcBorders>
                </w:tcPr>
                <w:p/>
              </w:tc>
              <w:tc>
                <w:tcPr>
                  <w:tcW w:type="dxa" w:w="2078"/>
                  <w:tcBorders>
                    <w:top w:val="none" w:color="000000" w:sz="4"/>
                    <w:left w:val="none" w:color="000000" w:sz="4"/>
                    <w:bottom w:val="single" w:color="000000" w:sz="4"/>
                    <w:right w:val="single" w:color="000000" w:sz="4"/>
                  </w:tcBorders>
                  <w:vAlign w:val="top"/>
                </w:tcPr>
                <w:p>
                  <w:pPr>
                    <w:jc w:val="center"/>
                  </w:pPr>
                  <w:r>
                    <w:rPr>
                      <w:sz w:val="21"/>
                    </w:rPr>
                    <w:t>智慧交警巡查服务</w:t>
                  </w:r>
                </w:p>
              </w:tc>
              <w:tc>
                <w:tcPr>
                  <w:tcW w:type="dxa" w:w="1197"/>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vAlign w:val="top"/>
                </w:tcPr>
                <w:p>
                  <w:pPr>
                    <w:jc w:val="center"/>
                  </w:pPr>
                  <w:r>
                    <w:rPr>
                      <w:sz w:val="21"/>
                    </w:rPr>
                    <w:t>7×24</w:t>
                  </w:r>
                </w:p>
              </w:tc>
            </w:tr>
            <w:tr>
              <w:tc>
                <w:tcPr>
                  <w:tcW w:type="dxa" w:w="1062"/>
                  <w:vMerge/>
                  <w:tcBorders>
                    <w:top w:val="none" w:color="000000" w:sz="4"/>
                    <w:left w:val="single" w:color="000000" w:sz="4"/>
                    <w:bottom w:val="single" w:color="000000" w:sz="4"/>
                    <w:right w:val="single" w:color="000000" w:sz="4"/>
                  </w:tcBorders>
                </w:tcPr>
                <w:p/>
              </w:tc>
              <w:tc>
                <w:tcPr>
                  <w:tcW w:type="dxa" w:w="2078"/>
                  <w:tcBorders>
                    <w:top w:val="none" w:color="000000" w:sz="4"/>
                    <w:left w:val="none" w:color="000000" w:sz="4"/>
                    <w:bottom w:val="single" w:color="000000" w:sz="4"/>
                    <w:right w:val="single" w:color="000000" w:sz="4"/>
                  </w:tcBorders>
                  <w:vAlign w:val="top"/>
                </w:tcPr>
                <w:p>
                  <w:pPr>
                    <w:jc w:val="center"/>
                  </w:pPr>
                  <w:r>
                    <w:rPr>
                      <w:sz w:val="21"/>
                    </w:rPr>
                    <w:t>智慧公安巡查服务</w:t>
                  </w:r>
                </w:p>
              </w:tc>
              <w:tc>
                <w:tcPr>
                  <w:tcW w:type="dxa" w:w="1197"/>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vAlign w:val="top"/>
                </w:tcPr>
                <w:p>
                  <w:pPr>
                    <w:jc w:val="center"/>
                  </w:pPr>
                  <w:r>
                    <w:rPr>
                      <w:sz w:val="21"/>
                    </w:rPr>
                    <w:t>7×24</w:t>
                  </w:r>
                </w:p>
              </w:tc>
            </w:tr>
          </w:tbl>
          <w:p>
            <w:pPr>
              <w:jc w:val="both"/>
            </w:pPr>
            <w:r>
              <w:rPr>
                <w:sz w:val="21"/>
              </w:rPr>
              <w:t>（四）如出现因成交供应商原因导致服务项目未能按期完成的情况，双方约定按照以下方式处理：在一个结算周期内，如发生超过</w:t>
            </w:r>
            <w:r>
              <w:rPr>
                <w:sz w:val="21"/>
              </w:rPr>
              <w:t>3</w:t>
            </w:r>
            <w:r>
              <w:rPr>
                <w:sz w:val="21"/>
              </w:rPr>
              <w:t>次以上（含</w:t>
            </w:r>
            <w:r>
              <w:rPr>
                <w:sz w:val="21"/>
              </w:rPr>
              <w:t>3</w:t>
            </w:r>
            <w:r>
              <w:rPr>
                <w:sz w:val="21"/>
              </w:rPr>
              <w:t>次）、</w:t>
            </w:r>
            <w:r>
              <w:rPr>
                <w:sz w:val="21"/>
              </w:rPr>
              <w:t>5</w:t>
            </w:r>
            <w:r>
              <w:rPr>
                <w:sz w:val="21"/>
              </w:rPr>
              <w:t>次以下（不含</w:t>
            </w:r>
            <w:r>
              <w:rPr>
                <w:sz w:val="21"/>
              </w:rPr>
              <w:t>5</w:t>
            </w:r>
            <w:r>
              <w:rPr>
                <w:sz w:val="21"/>
              </w:rPr>
              <w:t>次）在约定限期内未按时提交成果报告的，采购人有权扣除当期应支付合同金额的</w:t>
            </w:r>
            <w:r>
              <w:rPr>
                <w:sz w:val="21"/>
              </w:rPr>
              <w:t>5%</w:t>
            </w:r>
            <w:r>
              <w:rPr>
                <w:sz w:val="21"/>
              </w:rPr>
              <w:t>；如发生超过</w:t>
            </w:r>
            <w:r>
              <w:rPr>
                <w:sz w:val="21"/>
              </w:rPr>
              <w:t>5</w:t>
            </w:r>
            <w:r>
              <w:rPr>
                <w:sz w:val="21"/>
              </w:rPr>
              <w:t>次以上（含</w:t>
            </w:r>
            <w:r>
              <w:rPr>
                <w:sz w:val="21"/>
              </w:rPr>
              <w:t>5</w:t>
            </w:r>
            <w:r>
              <w:rPr>
                <w:sz w:val="21"/>
              </w:rPr>
              <w:t>次）、</w:t>
            </w:r>
            <w:r>
              <w:rPr>
                <w:sz w:val="21"/>
              </w:rPr>
              <w:t>10</w:t>
            </w:r>
            <w:r>
              <w:rPr>
                <w:sz w:val="21"/>
              </w:rPr>
              <w:t>次以下（不含</w:t>
            </w:r>
            <w:r>
              <w:rPr>
                <w:sz w:val="21"/>
              </w:rPr>
              <w:t>10</w:t>
            </w:r>
            <w:r>
              <w:rPr>
                <w:sz w:val="21"/>
              </w:rPr>
              <w:t>次）在约定限期内未按时提交成果报告的，采购人有权扣除当期应支付合同金额的</w:t>
            </w:r>
            <w:r>
              <w:rPr>
                <w:sz w:val="21"/>
              </w:rPr>
              <w:t>10%</w:t>
            </w:r>
            <w:r>
              <w:rPr>
                <w:sz w:val="21"/>
              </w:rPr>
              <w:t>；如发生超过</w:t>
            </w:r>
            <w:r>
              <w:rPr>
                <w:sz w:val="21"/>
              </w:rPr>
              <w:t>10</w:t>
            </w:r>
            <w:r>
              <w:rPr>
                <w:sz w:val="21"/>
              </w:rPr>
              <w:t>次以上（含</w:t>
            </w:r>
            <w:r>
              <w:rPr>
                <w:sz w:val="21"/>
              </w:rPr>
              <w:t>10</w:t>
            </w:r>
            <w:r>
              <w:rPr>
                <w:sz w:val="21"/>
              </w:rPr>
              <w:t>次）在约定限期内未按时提交成果报告的，采购人有权扣除当期应支付合同金额的</w:t>
            </w:r>
            <w:r>
              <w:rPr>
                <w:sz w:val="21"/>
              </w:rPr>
              <w:t>50%</w:t>
            </w:r>
            <w:r>
              <w:rPr>
                <w:sz w:val="21"/>
              </w:rPr>
              <w:t>。扣除费用后成交供应商仍需提交符合采购人要求的成果报告。</w:t>
            </w:r>
          </w:p>
          <w:p>
            <w:pPr>
              <w:jc w:val="both"/>
            </w:pPr>
            <w:r>
              <w:rPr>
                <w:sz w:val="21"/>
              </w:rPr>
              <w:t>（五）成果质量保证：针对本项目采购要求，提供完整的质量保证体系，确保成果报告达到相关技术标准的要求，成交供应商应按响应文件描述保证工作成果满足相关部门的要求（验收由采购人和成交供应商联合验收）。如出现质量问题或成果在使用中发现有误的，成交供应商须无条件返工或负责修正，且不额外收取服务费。</w:t>
            </w:r>
          </w:p>
          <w:p>
            <w:pPr>
              <w:jc w:val="both"/>
            </w:pPr>
            <w:r>
              <w:rPr>
                <w:sz w:val="21"/>
              </w:rPr>
              <w:t>（六）人员要求：</w:t>
            </w:r>
            <w:r>
              <w:rPr>
                <w:sz w:val="21"/>
              </w:rPr>
              <w:t>1</w:t>
            </w:r>
            <w:r>
              <w:rPr>
                <w:sz w:val="21"/>
              </w:rPr>
              <w:t>、在项目</w:t>
            </w:r>
            <w:r>
              <w:rPr>
                <w:sz w:val="21"/>
              </w:rPr>
              <w:t>服务</w:t>
            </w:r>
            <w:r>
              <w:rPr>
                <w:sz w:val="21"/>
              </w:rPr>
              <w:t>期间，成交供应商必须成立项目实施小组（含</w:t>
            </w:r>
            <w:r>
              <w:rPr>
                <w:sz w:val="21"/>
              </w:rPr>
              <w:t>1</w:t>
            </w:r>
            <w:r>
              <w:rPr>
                <w:sz w:val="21"/>
              </w:rPr>
              <w:t>名项目经理及不少于</w:t>
            </w:r>
            <w:r>
              <w:rPr>
                <w:sz w:val="21"/>
              </w:rPr>
              <w:t>6</w:t>
            </w:r>
            <w:r>
              <w:rPr>
                <w:sz w:val="21"/>
              </w:rPr>
              <w:t>名技术人员；且上述人员不得互相兼任），并将有关人员名单和联络方式报采购人；成交供应商如需要更换项目经理或技术人员，应提前</w:t>
            </w:r>
            <w:r>
              <w:rPr>
                <w:sz w:val="21"/>
              </w:rPr>
              <w:t>10</w:t>
            </w:r>
            <w:r>
              <w:rPr>
                <w:sz w:val="21"/>
              </w:rPr>
              <w:t>天以书面形式通知采购人，并征得采购人书面同意。采购人认为成交供应商人员不称职的，成交供应商应在收到采购人书面通知</w:t>
            </w:r>
            <w:r>
              <w:rPr>
                <w:sz w:val="21"/>
              </w:rPr>
              <w:t>3</w:t>
            </w:r>
            <w:r>
              <w:rPr>
                <w:sz w:val="21"/>
              </w:rPr>
              <w:t>日内更换。</w:t>
            </w:r>
          </w:p>
          <w:p>
            <w:pPr>
              <w:jc w:val="both"/>
            </w:pPr>
            <w:r>
              <w:rPr>
                <w:sz w:val="21"/>
              </w:rPr>
              <w:t>2</w:t>
            </w:r>
            <w:r>
              <w:rPr>
                <w:sz w:val="21"/>
              </w:rPr>
              <w:t>、成交供应商项目实施小组成员必须与响应文件内承诺的人员配置一致。项目经理应专职服务于本项目，不得随意更换。</w:t>
            </w:r>
          </w:p>
          <w:p>
            <w:pPr>
              <w:jc w:val="both"/>
            </w:pPr>
            <w:r>
              <w:rPr>
                <w:sz w:val="21"/>
              </w:rPr>
              <w:t>3</w:t>
            </w:r>
            <w:r>
              <w:rPr>
                <w:sz w:val="21"/>
              </w:rPr>
              <w:t>、项目经理负责：</w:t>
            </w:r>
            <w:r>
              <w:rPr>
                <w:sz w:val="21"/>
              </w:rPr>
              <w:t>①</w:t>
            </w:r>
            <w:r>
              <w:rPr>
                <w:sz w:val="21"/>
              </w:rPr>
              <w:t>项目实施全过程管理；</w:t>
            </w:r>
            <w:r>
              <w:rPr>
                <w:sz w:val="21"/>
              </w:rPr>
              <w:t>②</w:t>
            </w:r>
            <w:r>
              <w:rPr>
                <w:sz w:val="21"/>
              </w:rPr>
              <w:t>项目团队建设和项目指导；</w:t>
            </w:r>
            <w:r>
              <w:rPr>
                <w:sz w:val="21"/>
              </w:rPr>
              <w:t>③</w:t>
            </w:r>
            <w:r>
              <w:rPr>
                <w:sz w:val="21"/>
              </w:rPr>
              <w:t>需求收集（客户和内部产品组），功能定义，开发详细的功能设计说明书，组织协调开发、测试，用户培训等各方面涉及此功能的人员的工作；</w:t>
            </w:r>
            <w:r>
              <w:rPr>
                <w:sz w:val="21"/>
              </w:rPr>
              <w:t>④</w:t>
            </w:r>
            <w:r>
              <w:rPr>
                <w:sz w:val="21"/>
              </w:rPr>
              <w:t>编制项目开发计划；项目工作日常执行；识别和控制项目风险；有效控制项目开发过程和项目质量；</w:t>
            </w:r>
            <w:r>
              <w:rPr>
                <w:sz w:val="21"/>
              </w:rPr>
              <w:t>⑤</w:t>
            </w:r>
            <w:r>
              <w:rPr>
                <w:sz w:val="21"/>
              </w:rPr>
              <w:t>有效的控制客户需求，解决项目开发过程中遇到的质量问题和管理问题；</w:t>
            </w:r>
            <w:r>
              <w:rPr>
                <w:sz w:val="21"/>
              </w:rPr>
              <w:t>⑥</w:t>
            </w:r>
            <w:r>
              <w:rPr>
                <w:sz w:val="21"/>
              </w:rPr>
              <w:t>负责项目资料文档的编写、收集、整理、建档、保存。</w:t>
            </w:r>
          </w:p>
          <w:p>
            <w:pPr>
              <w:jc w:val="both"/>
            </w:pPr>
            <w:r>
              <w:rPr>
                <w:sz w:val="21"/>
              </w:rPr>
              <w:t>4</w:t>
            </w:r>
            <w:r>
              <w:rPr>
                <w:sz w:val="21"/>
              </w:rPr>
              <w:t>、其他技术人员负责：</w:t>
            </w:r>
            <w:r>
              <w:rPr>
                <w:sz w:val="21"/>
              </w:rPr>
              <w:t>①</w:t>
            </w:r>
            <w:r>
              <w:rPr>
                <w:sz w:val="21"/>
              </w:rPr>
              <w:t>协商确定基础巡查区域，系统性安排基础巡查任务，任务结束整理成工作日志报告；</w:t>
            </w:r>
            <w:r>
              <w:rPr>
                <w:sz w:val="21"/>
              </w:rPr>
              <w:t>②</w:t>
            </w:r>
            <w:r>
              <w:rPr>
                <w:sz w:val="21"/>
              </w:rPr>
              <w:t>对客户所需基础巡查区域进行视频数据采集，数据统计、分析，生成案件报告（包括案件描述、类型、时间、状态、数据情况等）；</w:t>
            </w:r>
            <w:r>
              <w:rPr>
                <w:sz w:val="21"/>
              </w:rPr>
              <w:t>③</w:t>
            </w:r>
            <w:r>
              <w:rPr>
                <w:sz w:val="21"/>
              </w:rPr>
              <w:t>服务期间提供并负责无人机及相关设备使用、系统升级、维修、定期保养维护等。</w:t>
            </w:r>
          </w:p>
        </w:tc>
      </w:tr>
      <w:tr>
        <w:tc>
          <w:tcPr>
            <w:tcW w:type="dxa" w:w="2076"/>
          </w:tcPr>
          <w:p/>
        </w:tc>
        <w:tc>
          <w:tcPr>
            <w:tcW w:type="dxa" w:w="415"/>
          </w:tcPr>
          <w:p>
            <w:r>
              <w:rPr/>
              <w:t>4</w:t>
            </w:r>
          </w:p>
        </w:tc>
        <w:tc>
          <w:tcPr>
            <w:tcW w:type="dxa" w:w="5814"/>
          </w:tcPr>
          <w:p>
            <w:pPr>
              <w:jc w:val="both"/>
            </w:pPr>
            <w:r>
              <w:rPr>
                <w:b/>
                <w:sz w:val="21"/>
              </w:rPr>
              <w:t>四、演示</w:t>
            </w:r>
          </w:p>
          <w:p>
            <w:pPr>
              <w:jc w:val="both"/>
            </w:pPr>
            <w:r>
              <w:rPr>
                <w:sz w:val="21"/>
              </w:rPr>
              <w:t>（一）演示方式：以</w:t>
            </w:r>
            <w:r>
              <w:rPr>
                <w:sz w:val="21"/>
              </w:rPr>
              <w:t>u</w:t>
            </w:r>
            <w:r>
              <w:rPr>
                <w:sz w:val="21"/>
              </w:rPr>
              <w:t>盘形式在磋商截止时间前半小时内密封现场递交，密封袋须采用牛皮袋密封粘贴，封面须填写项目名称、项目编号、响应供应商名称，提供演示短视频，视频须配普通话语音讲解。评审时，均由采购代理机构工作人员操作播放。</w:t>
            </w:r>
          </w:p>
          <w:p>
            <w:pPr>
              <w:jc w:val="both"/>
            </w:pPr>
            <w:r>
              <w:rPr>
                <w:sz w:val="21"/>
              </w:rPr>
              <w:t>（二）演示内容：</w:t>
            </w:r>
          </w:p>
          <w:p>
            <w:pPr>
              <w:jc w:val="both"/>
            </w:pPr>
            <w:r>
              <w:rPr>
                <w:sz w:val="21"/>
              </w:rPr>
              <w:t>1</w:t>
            </w:r>
            <w:r>
              <w:rPr>
                <w:sz w:val="21"/>
              </w:rPr>
              <w:t>、演示无人机</w:t>
            </w:r>
            <w:r>
              <w:rPr>
                <w:sz w:val="21"/>
              </w:rPr>
              <w:t>基站</w:t>
            </w:r>
            <w:r>
              <w:rPr>
                <w:sz w:val="21"/>
              </w:rPr>
              <w:t>远程自动作业。演示无人机自动作业流程，应包括单任务选择、多任务选择、日历任务安排等作业模式，多任务依据任务列表顺序自动执行。日历任务根据日期及时间自动作业、亦可手动立即执行，应具备飞行前安全检查包括无人机</w:t>
            </w:r>
            <w:r>
              <w:rPr>
                <w:sz w:val="21"/>
              </w:rPr>
              <w:t>SD</w:t>
            </w:r>
            <w:r>
              <w:rPr>
                <w:sz w:val="21"/>
              </w:rPr>
              <w:t>卡已用空间、剩余可拍照数量、剩余可拍摄时长、天气状态、基站状态、电池状态等</w:t>
            </w:r>
            <w:r>
              <w:rPr>
                <w:sz w:val="21"/>
              </w:rPr>
              <w:t>。</w:t>
            </w:r>
          </w:p>
          <w:p>
            <w:pPr>
              <w:jc w:val="both"/>
            </w:pPr>
            <w:r>
              <w:rPr>
                <w:sz w:val="21"/>
              </w:rPr>
              <w:t>2</w:t>
            </w:r>
            <w:r>
              <w:rPr>
                <w:sz w:val="21"/>
              </w:rPr>
              <w:t>、演示平台的航线规划</w:t>
            </w:r>
            <w:r>
              <w:rPr>
                <w:sz w:val="21"/>
              </w:rPr>
              <w:t>。演示</w:t>
            </w:r>
            <w:r>
              <w:rPr>
                <w:sz w:val="21"/>
              </w:rPr>
              <w:t>无人机航线规划过程。新建任务，系统具备全景采集、正射影像、倾斜摄影、线状巡视、航点飞行、环绕飞行等航线模式；可选择任一模式进行航线规划演示，可上传</w:t>
            </w:r>
            <w:r>
              <w:rPr>
                <w:sz w:val="21"/>
              </w:rPr>
              <w:t>kml</w:t>
            </w:r>
            <w:r>
              <w:rPr>
                <w:sz w:val="21"/>
              </w:rPr>
              <w:t>文件自动生成航线，应具备在</w:t>
            </w:r>
            <w:r>
              <w:rPr>
                <w:sz w:val="21"/>
              </w:rPr>
              <w:t>2D/3D</w:t>
            </w:r>
            <w:r>
              <w:rPr>
                <w:sz w:val="21"/>
              </w:rPr>
              <w:t>地图下进行航线规划，应包括航线高度、起降高度、往返速度、航线速度、航线云台俯仰角、航点动作（悬停、拍照等），提供航线总长、任务长度、往返长度、航点数量、预计时间、预计拍照数量等航线提示，演示三维航线预览，使用</w:t>
            </w:r>
            <w:r>
              <w:rPr>
                <w:sz w:val="21"/>
              </w:rPr>
              <w:t>DSM</w:t>
            </w:r>
            <w:r>
              <w:rPr>
                <w:sz w:val="21"/>
              </w:rPr>
              <w:t>进行碰撞检测以及风险告警，禁飞区检测。</w:t>
            </w:r>
          </w:p>
          <w:p>
            <w:pPr>
              <w:jc w:val="both"/>
            </w:pPr>
            <w:r>
              <w:rPr>
                <w:sz w:val="21"/>
              </w:rPr>
              <w:t>3</w:t>
            </w:r>
            <w:r>
              <w:rPr>
                <w:sz w:val="21"/>
              </w:rPr>
              <w:t>、</w:t>
            </w:r>
            <w:r>
              <w:rPr>
                <w:sz w:val="21"/>
              </w:rPr>
              <w:t>演示事件图层展示功能。</w:t>
            </w:r>
            <w:r>
              <w:rPr>
                <w:sz w:val="21"/>
              </w:rPr>
              <w:t>演示</w:t>
            </w:r>
            <w:r>
              <w:rPr>
                <w:sz w:val="21"/>
              </w:rPr>
              <w:t>无人机采集的多类数据展示；在卫星影像地图上，可叠加加载正射影像、倾斜三维模型、点云模型、矢量文件等图层；可以在地图上显示事件点位分布，可查看事件管理流程，通过无人机飞行视频，进行视频抽帧，对抽帧的照片进行标注分析，录入事件的详细信息，应在地图中显示事件的地点，支持在事件列表中，快速定位至事件地点。</w:t>
            </w:r>
          </w:p>
          <w:p>
            <w:pPr>
              <w:jc w:val="both"/>
            </w:pPr>
            <w:r>
              <w:rPr>
                <w:sz w:val="21"/>
              </w:rPr>
              <w:t>4</w:t>
            </w:r>
            <w:r>
              <w:rPr>
                <w:sz w:val="21"/>
              </w:rPr>
              <w:t>、</w:t>
            </w:r>
            <w:r>
              <w:rPr>
                <w:sz w:val="21"/>
              </w:rPr>
              <w:t>演示目标分析功能</w:t>
            </w:r>
            <w:r>
              <w:rPr>
                <w:sz w:val="21"/>
              </w:rPr>
              <w:t>。演示</w:t>
            </w:r>
            <w:r>
              <w:rPr>
                <w:sz w:val="21"/>
              </w:rPr>
              <w:t>从系统选取数据、选取算法、执行目标分析识别流程。</w:t>
            </w:r>
            <w:r>
              <w:rPr>
                <w:sz w:val="21"/>
              </w:rPr>
              <w:t>经智能分析后可查看已识别出的问题列表，可在识别的照片中查看问题标注及问题类型，并可对问题信息进行修改。</w:t>
            </w:r>
          </w:p>
          <w:p>
            <w:pPr>
              <w:jc w:val="both"/>
            </w:pPr>
            <w:r>
              <w:rPr>
                <w:sz w:val="21"/>
              </w:rPr>
              <w:t>（三）播放时间：不得超过</w:t>
            </w:r>
            <w:r>
              <w:rPr>
                <w:sz w:val="21"/>
              </w:rPr>
              <w:t>10</w:t>
            </w:r>
            <w:r>
              <w:rPr>
                <w:sz w:val="21"/>
              </w:rPr>
              <w:t>分钟。</w:t>
            </w:r>
          </w:p>
          <w:p>
            <w:pPr>
              <w:jc w:val="both"/>
            </w:pPr>
            <w:r>
              <w:rPr>
                <w:sz w:val="21"/>
              </w:rPr>
              <w:t>（四）播放格式：</w:t>
            </w:r>
            <w:r>
              <w:rPr>
                <w:sz w:val="21"/>
              </w:rPr>
              <w:t>MP4</w:t>
            </w:r>
            <w:r>
              <w:rPr>
                <w:sz w:val="21"/>
              </w:rPr>
              <w:t>。</w:t>
            </w:r>
          </w:p>
          <w:p>
            <w:pPr>
              <w:jc w:val="both"/>
            </w:pPr>
            <w:r>
              <w:rPr>
                <w:sz w:val="21"/>
              </w:rPr>
              <w:t>（五）播放方式：对系统（案例）进行演示的内容录制成视频，向采购代理机构提供视频</w:t>
            </w:r>
            <w:r>
              <w:rPr>
                <w:sz w:val="21"/>
              </w:rPr>
              <w:t>U</w:t>
            </w:r>
            <w:r>
              <w:rPr>
                <w:sz w:val="21"/>
              </w:rPr>
              <w:t>盘，以确保视频可播放，如不可播放采购代理机构均不负责。</w:t>
            </w:r>
          </w:p>
          <w:p>
            <w:pPr>
              <w:jc w:val="both"/>
            </w:pPr>
            <w:r>
              <w:rPr>
                <w:sz w:val="21"/>
              </w:rPr>
              <w:t>（六）播放顺序：通过资格、符合性评审的响应供应商进行演示视频播放（视频须采用</w:t>
            </w:r>
            <w:r>
              <w:rPr>
                <w:sz w:val="21"/>
              </w:rPr>
              <w:t>dvd</w:t>
            </w:r>
            <w:r>
              <w:rPr>
                <w:sz w:val="21"/>
              </w:rPr>
              <w:t>或</w:t>
            </w:r>
            <w:r>
              <w:rPr>
                <w:sz w:val="21"/>
              </w:rPr>
              <w:t>mp4</w:t>
            </w:r>
            <w:r>
              <w:rPr>
                <w:sz w:val="21"/>
              </w:rPr>
              <w:t>格式，如提供其他格式的视频文件则投标人须另外提供播放软件）。按响应供应商递交响应文件的签到顺序。</w:t>
            </w:r>
          </w:p>
          <w:p>
            <w:pPr>
              <w:jc w:val="both"/>
            </w:pPr>
            <w:r>
              <w:rPr>
                <w:sz w:val="21"/>
              </w:rPr>
              <w:t>（七）播放内容：响应供应商演示的内容不得与本项目的用户需求书的内容无关。</w:t>
            </w:r>
          </w:p>
          <w:p>
            <w:pPr>
              <w:jc w:val="both"/>
            </w:pPr>
            <w:r>
              <w:rPr>
                <w:sz w:val="21"/>
              </w:rPr>
              <w:t>（八）现场播放内容与响应文件内容不一致时，以响应文件内容为准。</w:t>
            </w:r>
          </w:p>
        </w:tc>
      </w:tr>
      <w:tr>
        <w:tc>
          <w:tcPr>
            <w:tcW w:type="dxa" w:w="2076"/>
          </w:tcPr>
          <w:p/>
        </w:tc>
        <w:tc>
          <w:tcPr>
            <w:tcW w:type="dxa" w:w="415"/>
          </w:tcPr>
          <w:p>
            <w:r>
              <w:rPr/>
              <w:t>5</w:t>
            </w:r>
          </w:p>
        </w:tc>
        <w:tc>
          <w:tcPr>
            <w:tcW w:type="dxa" w:w="5814"/>
          </w:tcPr>
          <w:p>
            <w:pPr>
              <w:jc w:val="both"/>
            </w:pPr>
            <w:r>
              <w:rPr>
                <w:sz w:val="21"/>
              </w:rPr>
              <w:t>五、项目主要成果</w:t>
            </w:r>
          </w:p>
          <w:p>
            <w:pPr>
              <w:jc w:val="both"/>
            </w:pPr>
            <w:r>
              <w:rPr>
                <w:sz w:val="21"/>
              </w:rPr>
              <w:t>服务成果报告，须提供纸质文件</w:t>
            </w:r>
            <w:r>
              <w:rPr>
                <w:sz w:val="21"/>
              </w:rPr>
              <w:t>1</w:t>
            </w:r>
            <w:r>
              <w:rPr>
                <w:sz w:val="21"/>
              </w:rPr>
              <w:t>份，电子文件（</w:t>
            </w:r>
            <w:r>
              <w:rPr>
                <w:sz w:val="21"/>
              </w:rPr>
              <w:t>SHP</w:t>
            </w:r>
            <w:r>
              <w:rPr>
                <w:sz w:val="21"/>
              </w:rPr>
              <w:t>格式，刻录光盘一式三份）。</w:t>
            </w:r>
          </w:p>
          <w:p>
            <w:pPr>
              <w:jc w:val="both"/>
            </w:pPr>
            <w:r>
              <w:rPr>
                <w:sz w:val="21"/>
              </w:rPr>
              <w:t>备注说明：</w:t>
            </w:r>
          </w:p>
          <w:p>
            <w:pPr>
              <w:jc w:val="both"/>
            </w:pPr>
            <w:r>
              <w:rPr>
                <w:sz w:val="21"/>
              </w:rPr>
              <w:t>（一）成交供应商须向采购人完整地提供一套成果文本及电子文档。若采购人要求对资料的数量进行补充时，成交供应商须予以服从，并按要求补充，采购人不额外支付费用。</w:t>
            </w:r>
          </w:p>
          <w:p>
            <w:pPr>
              <w:jc w:val="both"/>
            </w:pPr>
            <w:r>
              <w:rPr>
                <w:sz w:val="21"/>
              </w:rPr>
              <w:t>（二）《成果报告》的内容可结合具体项目或后期实际审批情况适当调整。</w:t>
            </w:r>
          </w:p>
        </w:tc>
      </w:tr>
      <w:tr>
        <w:tc>
          <w:tcPr>
            <w:tcW w:type="dxa" w:w="2076"/>
          </w:tcPr>
          <w:p/>
        </w:tc>
        <w:tc>
          <w:tcPr>
            <w:tcW w:type="dxa" w:w="415"/>
          </w:tcPr>
          <w:p>
            <w:r>
              <w:rPr/>
              <w:t>6</w:t>
            </w:r>
          </w:p>
        </w:tc>
        <w:tc>
          <w:tcPr>
            <w:tcW w:type="dxa" w:w="5814"/>
          </w:tcPr>
          <w:p>
            <w:pPr>
              <w:jc w:val="left"/>
            </w:pPr>
            <w:r>
              <w:rPr>
                <w:sz w:val="21"/>
              </w:rPr>
              <w:t>六、响应供应商需针对本项目提供：</w:t>
            </w:r>
          </w:p>
          <w:p>
            <w:pPr>
              <w:jc w:val="left"/>
            </w:pPr>
            <w:r>
              <w:rPr>
                <w:sz w:val="21"/>
              </w:rPr>
              <w:t>（一）需提供重点、难点分析解决方案。重点难点分析到位，有相应解决方案。</w:t>
            </w:r>
          </w:p>
          <w:p>
            <w:pPr>
              <w:jc w:val="left"/>
            </w:pPr>
            <w:r>
              <w:rPr>
                <w:sz w:val="21"/>
              </w:rPr>
              <w:t>（二）需提供具体、合理、可行进度计划。</w:t>
            </w:r>
          </w:p>
          <w:p>
            <w:pPr>
              <w:jc w:val="left"/>
            </w:pPr>
            <w:r>
              <w:rPr>
                <w:sz w:val="21"/>
              </w:rPr>
              <w:t>（三）需提供具体完善质量保证措施。</w:t>
            </w:r>
          </w:p>
          <w:p>
            <w:pPr>
              <w:jc w:val="left"/>
            </w:pPr>
            <w:r>
              <w:rPr>
                <w:sz w:val="21"/>
              </w:rPr>
              <w:t>（四）需提供详细、合理、可行的应急处理措施及应急预案。</w:t>
            </w:r>
          </w:p>
          <w:p>
            <w:pPr>
              <w:jc w:val="both"/>
            </w:pPr>
            <w:r>
              <w:rPr>
                <w:sz w:val="21"/>
              </w:rPr>
              <w:t>（五）需提供科学合理，方案详细，可操作性强培训方案</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1.采购代理机构：本项目是指广东中采招标有限公司，负责整个采购活动的组织，依法负责编制和发布磋商文件，对磋商文件拥有最终的解释权，不以任何身份出任磋商小组成员。</w:t>
      </w:r>
    </w:p>
    <w:p>
      <w:pPr>
        <w:ind w:firstLine="480"/>
      </w:pPr>
      <w:r>
        <w:rPr/>
        <w:t>2.采购人：本项目是指</w:t>
      </w:r>
      <w:r>
        <w:rPr/>
        <w:t>佛山市南海区丹灶镇综合行政执法办公室</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1家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以成交通知书中的成交金额作为招标代理服务费的计算基数。招标代理服务费收费采用差额定率累进法计算方式。按中华人民共和国国家发展计划委员会颁发的计价格[2002]1980号、国家发改委[2003]857号及发改价格[2011]534号文规定的“服务类”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w:t>
            </w:r>
          </w:p>
          <w:p>
            <w:pPr>
              <w:jc w:val="left"/>
            </w:pPr>
            <w:r>
              <w:rPr/>
              <w:t>2，软件和信息技术服务业。从业人员300人以下或营收10000万元以下的为中小微型企业。其中，从业人员100人及以上，且营收1000万元及以上的为中型企业；从业人员10人及以上，且营收50万元及以上的为小型企业；从业人员10人以下或营收50万元以下的为微型企业。</w:t>
            </w:r>
          </w:p>
          <w:p>
            <w:pPr>
              <w:jc w:val="left"/>
            </w:pPr>
            <w:r>
              <w:rPr/>
              <w:t>3，投标文件信息公开：根据《佛山市南海区财政局关于印发&lt;佛山市南海区关于进一步深化政府采购改革的意见&gt;的通知》（南财采〔2020〕6号）的有关规定，采购代理机构将在佛山市公共资源交易中心南海分中心“交易信息”网页发布中标（成交）公告的同时一并公示中标供应商的投标文件内容，接受社会公众监督，投标人必须作出以下承诺（可参照投标文件格式）：（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秘密和其他不可公开的内容。如若中标，同意采购人或其委托的代理机构将上述应公示的内容予以公开。</w:t>
            </w:r>
          </w:p>
        </w:tc>
      </w:tr>
      <w:tr>
        <w:tc>
          <w:tcPr>
            <w:tcW w:type="dxa" w:w="1051"/>
          </w:tcPr>
          <w:p>
            <w:pPr>
              <w:jc w:val="center"/>
            </w:pPr>
            <w:r>
              <w:rPr/>
              <w:t>19</w:t>
            </w:r>
          </w:p>
        </w:tc>
        <w:tc>
          <w:tcPr>
            <w:tcW w:type="dxa" w:w="2252"/>
          </w:tcPr>
          <w:p>
            <w:r>
              <w:rPr/>
              <w:t>开标解密时长</w:t>
            </w:r>
          </w:p>
        </w:tc>
        <w:tc>
          <w:tcPr>
            <w:tcW w:type="dxa" w:w="5004"/>
          </w:tcPr>
          <w:p>
            <w:r>
              <w:rPr/>
              <w:t>默认时长30分钟。如遇特殊情况（网络不畅、平台故障等），则按开标时现场工作人员通知为准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；请各供应商在响应文件递交截止时间前按须知前附表规定的金额递交至</w:t>
      </w:r>
      <w:r>
        <w:rPr/>
        <w:t>广东中采招标有限公司</w:t>
      </w:r>
      <w:r>
        <w:rPr/>
        <w:t>，到账情况以开启时</w:t>
      </w:r>
      <w:r>
        <w:rPr/>
        <w:t>广东中采招标有限公司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佛山市公共资源交易网（http://ggzy.foshan.gov.cn/）、佛山市公共资源交易中心南海分中心网站（http://www.nanhai.gov.cn/fsnhq/bmdh/sydw/ggzyjyzx/jyxx/）及采购代理机构网站（http://www.gdzczb.com/）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佛山市公共资源交易网（http://ggzy.foshan.gov.cn/）、佛山市公共资源交易中心南海分中心网站（http://www.nanhai.gov.cn/fsnhq/bmdh/sydw/ggzyjyzx/jyxx/）及采购代理机构网站（http://www.gdzczb.com/）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广东中采招标有限公司</w:t>
      </w:r>
    </w:p>
    <w:p>
      <w:pPr>
        <w:ind w:firstLine="480"/>
      </w:pPr>
      <w:r>
        <w:rPr/>
        <w:t>电话：</w:t>
      </w:r>
      <w:r>
        <w:rPr/>
        <w:t>0757-81993027</w:t>
      </w:r>
    </w:p>
    <w:p>
      <w:pPr>
        <w:ind w:firstLine="480"/>
      </w:pPr>
      <w:r>
        <w:rPr/>
        <w:t>传真：</w:t>
      </w:r>
      <w:r>
        <w:rPr/>
        <w:t>/</w:t>
      </w:r>
    </w:p>
    <w:p>
      <w:pPr>
        <w:ind w:firstLine="480"/>
      </w:pPr>
      <w:r>
        <w:rPr/>
        <w:t>邮箱：</w:t>
      </w:r>
      <w:r>
        <w:rPr/>
        <w:t>gdzczb@126.com</w:t>
      </w:r>
    </w:p>
    <w:p>
      <w:pPr>
        <w:ind w:firstLine="480"/>
      </w:pPr>
      <w:r>
        <w:rPr/>
        <w:t>地址：</w:t>
      </w:r>
      <w:r>
        <w:rPr/>
        <w:t>广东省佛山市禅城区文华北路223号之一栋525、526、527单元（住所申报）</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政府采购监督管理机构名称：佛山市南海区财政局政府采购管理股</w:t>
      </w:r>
    </w:p>
    <w:p>
      <w:r>
        <w:rPr/>
        <w:t>地  址：佛山市南海区桂城街道南新三路20号</w:t>
      </w:r>
    </w:p>
    <w:p>
      <w:r>
        <w:rPr/>
        <w:t>电  话：0757-86282779、86282776</w:t>
      </w:r>
    </w:p>
    <w:p>
      <w:r>
        <w:rPr/>
        <w:t>邮  编：528200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(2023年度丹灶镇5G网联无人机智能化城市网格管理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广东中采招标有限公司</w:t>
      </w:r>
      <w:r>
        <w:rPr/>
        <w:t>统一对外发布。</w:t>
      </w:r>
    </w:p>
    <w:p>
      <w:pPr>
        <w:ind w:firstLine="480"/>
      </w:pPr>
      <w:r>
        <w:rPr/>
        <w:t>（2）对</w:t>
      </w:r>
      <w:r>
        <w:rPr/>
        <w:t>广东中采招标有限公司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采购包1（2023年度丹灶镇5G网联无人机智能化城市网格管理服务）：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采购包1（2023年度丹灶镇5G网联无人机智能化城市网格管理服务）：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有效的营业执照（或事业单位法人证书，或社会团体法人登记证书，或其他具有独立承担民事责任的能力的有效证照）扫描件，如响应供应商为自然人的需提供自然人身份证明扫描件。</w:t>
            </w:r>
          </w:p>
        </w:tc>
      </w:tr>
      <w:tr>
        <w:tc>
          <w:tcPr>
            <w:tcW w:type="dxa" w:w="890"/>
          </w:tcPr>
          <w:p>
            <w:r>
              <w:rPr/>
              <w:t>2</w:t>
            </w:r>
          </w:p>
        </w:tc>
        <w:tc>
          <w:tcPr>
            <w:tcW w:type="dxa" w:w="3178"/>
          </w:tcPr>
          <w:p>
            <w:r>
              <w:rPr/>
              <w:t>有依法缴纳税收和社会保障资金的良好记录</w:t>
            </w:r>
          </w:p>
        </w:tc>
        <w:tc>
          <w:tcPr>
            <w:tcW w:type="dxa" w:w="4238"/>
          </w:tcPr>
          <w:p>
            <w:r>
              <w:rPr/>
              <w:t>须提供下列任一项证明材料：①提供《政府采购供应商资格信用承诺函》作为证明材料；②提供投标截止前6个月内（含投标截止当月，并往前顺推）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须提供下列任一项证明材料：①提供《政府采购供应商资格信用承诺函》作为证明材料；②2022年度经审计的财务报告及财务报表（资产负债表、利润表和现金流量表）扫描件（要求：审计报告由第三方会计师事务所或其它合法审计机构出具，须包含会计师事务所或审计机构的盖章页）；③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tc>
      </w:tr>
      <w:tr>
        <w:tc>
          <w:tcPr>
            <w:tcW w:type="dxa" w:w="890"/>
          </w:tcPr>
          <w:p>
            <w:r>
              <w:rPr/>
              <w:t>4</w:t>
            </w:r>
          </w:p>
        </w:tc>
        <w:tc>
          <w:tcPr>
            <w:tcW w:type="dxa" w:w="3178"/>
          </w:tcPr>
          <w:p>
            <w:r>
              <w:rPr/>
              <w:t>履行合同所必需的设备和专业技术能力</w:t>
            </w:r>
          </w:p>
        </w:tc>
        <w:tc>
          <w:tcPr>
            <w:tcW w:type="dxa" w:w="4238"/>
          </w:tcPr>
          <w:p>
            <w:r>
              <w:rPr/>
              <w:t>提供“具备履行合同所必需的设备和专业技术能力”的承诺函，格式自拟。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须提供下列任一项证明材料：①提供《政府采购供应商资格信用承诺函》作为证明材料；②参照投标（报价）函相关承诺格式内容。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tc>
      </w:tr>
      <w:tr>
        <w:tc>
          <w:tcPr>
            <w:tcW w:type="dxa" w:w="890"/>
          </w:tcPr>
          <w:p>
            <w:r>
              <w:rPr/>
              <w:t>8</w:t>
            </w:r>
          </w:p>
        </w:tc>
        <w:tc>
          <w:tcPr>
            <w:tcW w:type="dxa" w:w="3178"/>
          </w:tcPr>
          <w:p>
            <w:r>
              <w:rPr/>
              <w:t>本采购包专门面向中小企业采购</w:t>
            </w:r>
          </w:p>
        </w:tc>
        <w:tc>
          <w:tcPr>
            <w:tcW w:type="dxa" w:w="4238"/>
          </w:tcPr>
          <w:p>
            <w:r>
              <w:rPr/>
              <w:t>采购包整体专门面向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软件和信息技术服务业）。</w:t>
            </w:r>
          </w:p>
        </w:tc>
      </w:tr>
    </w:tbl>
    <w:p/>
    <w:p>
      <w:pPr>
        <w:ind w:firstLine="480"/>
      </w:pPr>
      <w:r>
        <w:rPr/>
        <w:t>表二符合性审查表：</w:t>
      </w:r>
    </w:p>
    <w:p>
      <w:pPr>
        <w:ind w:firstLine="480"/>
      </w:pPr>
    </w:p>
    <w:p/>
    <w:p>
      <w:r>
        <w:rPr/>
        <w:t>采购包1（2023年度丹灶镇5G网联无人机智能化城市网格管理服务）：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按照磋商文件规定要求签署、盖章且响应文件有法定代表人签字或盖章，或签字人有法定代表人有效授权书的</w:t>
            </w:r>
          </w:p>
        </w:tc>
        <w:tc>
          <w:tcPr>
            <w:tcW w:type="dxa" w:w="4238"/>
          </w:tcPr>
          <w:p>
            <w:r>
              <w:rPr/>
              <w:t>按照磋商文件规定要求签署、盖章且响应文件有法定代表人签字或盖章，或签字人有法定代表人有效授权书的。</w:t>
            </w:r>
          </w:p>
        </w:tc>
      </w:tr>
      <w:tr>
        <w:tc>
          <w:tcPr>
            <w:tcW w:type="dxa" w:w="890"/>
          </w:tcPr>
          <w:p>
            <w:r>
              <w:rPr/>
              <w:t>2</w:t>
            </w:r>
          </w:p>
        </w:tc>
        <w:tc>
          <w:tcPr>
            <w:tcW w:type="dxa" w:w="3178"/>
          </w:tcPr>
          <w:p>
            <w:r>
              <w:rPr/>
              <w:t>响应承诺函已提交并符合磋商文件要求的</w:t>
            </w:r>
          </w:p>
        </w:tc>
        <w:tc>
          <w:tcPr>
            <w:tcW w:type="dxa" w:w="4238"/>
          </w:tcPr>
          <w:p>
            <w:r>
              <w:rPr/>
              <w:t>响应承诺函已提交并符合磋商文件要求的。</w:t>
            </w:r>
          </w:p>
        </w:tc>
      </w:tr>
      <w:tr>
        <w:tc>
          <w:tcPr>
            <w:tcW w:type="dxa" w:w="890"/>
          </w:tcPr>
          <w:p>
            <w:r>
              <w:rPr/>
              <w:t>3</w:t>
            </w:r>
          </w:p>
        </w:tc>
        <w:tc>
          <w:tcPr>
            <w:tcW w:type="dxa" w:w="3178"/>
          </w:tcPr>
          <w:p>
            <w:r>
              <w:rPr/>
              <w:t>响应报价未超过本项目最高限价的</w:t>
            </w:r>
          </w:p>
        </w:tc>
        <w:tc>
          <w:tcPr>
            <w:tcW w:type="dxa" w:w="4238"/>
          </w:tcPr>
          <w:p>
            <w:r>
              <w:rPr/>
              <w:t>响应报价未超过本项目最高限价的。磋商小组认为响应供应商的报价明显低于其他通过符合性审查响应供应商的报价，有可能影响产品质量或者不能诚信履约的，要求其在评标现场规定的时间内提供书面说明，必要时提交相关证明材料。</w:t>
            </w:r>
          </w:p>
        </w:tc>
      </w:tr>
      <w:tr>
        <w:tc>
          <w:tcPr>
            <w:tcW w:type="dxa" w:w="890"/>
          </w:tcPr>
          <w:p>
            <w:r>
              <w:rPr/>
              <w:t>4</w:t>
            </w:r>
          </w:p>
        </w:tc>
        <w:tc>
          <w:tcPr>
            <w:tcW w:type="dxa" w:w="3178"/>
          </w:tcPr>
          <w:p>
            <w:r>
              <w:rPr/>
              <w:t>“★”号条款满足磋商文件要求</w:t>
            </w:r>
          </w:p>
        </w:tc>
        <w:tc>
          <w:tcPr>
            <w:tcW w:type="dxa" w:w="4238"/>
          </w:tcPr>
          <w:p>
            <w:r>
              <w:rPr/>
              <w:t>响应文件完全满足磋商文件中实质性响应条款（即标注“★”号条款）（参考《技术和服务要求响应表》及《商务条件响应表》）。</w:t>
            </w:r>
          </w:p>
        </w:tc>
      </w:tr>
      <w:tr>
        <w:tc>
          <w:tcPr>
            <w:tcW w:type="dxa" w:w="890"/>
          </w:tcPr>
          <w:p>
            <w:r>
              <w:rPr/>
              <w:t>5</w:t>
            </w:r>
          </w:p>
        </w:tc>
        <w:tc>
          <w:tcPr>
            <w:tcW w:type="dxa" w:w="3178"/>
          </w:tcPr>
          <w:p>
            <w:r>
              <w:rPr/>
              <w:t>响应文件未含有采购人不能接受的附加条件的</w:t>
            </w:r>
          </w:p>
        </w:tc>
        <w:tc>
          <w:tcPr>
            <w:tcW w:type="dxa" w:w="4238"/>
          </w:tcPr>
          <w:p>
            <w:r>
              <w:rPr/>
              <w:t>响应文件未含有采购人不能接受的附加条件的。</w:t>
            </w:r>
          </w:p>
        </w:tc>
      </w:tr>
      <w:tr>
        <w:tc>
          <w:tcPr>
            <w:tcW w:type="dxa" w:w="890"/>
          </w:tcPr>
          <w:p>
            <w:r>
              <w:rPr/>
              <w:t>6</w:t>
            </w:r>
          </w:p>
        </w:tc>
        <w:tc>
          <w:tcPr>
            <w:tcW w:type="dxa" w:w="3178"/>
          </w:tcPr>
          <w:p>
            <w:r>
              <w:rPr/>
              <w:t>没有违反有关法律、法规、规章要求，被视为磋商无效的其他情况</w:t>
            </w:r>
          </w:p>
        </w:tc>
        <w:tc>
          <w:tcPr>
            <w:tcW w:type="dxa" w:w="4238"/>
          </w:tcPr>
          <w:p>
            <w:r>
              <w:rPr/>
              <w:t>没有违反有关法律、法规、规章要求，被视为磋商无效的其他情况。</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采购包1(2023年度丹灶镇5G网联无人机智能化城市网格管理服务):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满足无人机基站设备技术参数要求的情况  (13.0分)</w:t>
            </w:r>
          </w:p>
        </w:tc>
        <w:tc>
          <w:tcPr>
            <w:tcW w:type="dxa" w:w="5076"/>
          </w:tcPr>
          <w:p>
            <w:pPr>
              <w:jc w:val="left"/>
            </w:pPr>
            <w:r>
              <w:rPr/>
              <w:t>完全响应或优于本项目用户需求书“无人机基站设备最低技术参数”的，得13分；每出现一项不满足扣1分，扣至零分为止。 注：以上“项”为技术要求中最小层级序号的条款。技术条款须标注响应或不响应。须在《技术和服务要求响应表》中进行响应。投标人需提供第三方机构出具的检测报告扫描件作为证明材料。</w:t>
            </w:r>
          </w:p>
        </w:tc>
      </w:tr>
      <w:tr>
        <w:tc>
          <w:tcPr>
            <w:tcW w:type="dxa" w:w="922"/>
            <w:gridSpan w:val="2"/>
            <w:vMerge/>
          </w:tcPr>
          <w:p/>
        </w:tc>
        <w:tc>
          <w:tcPr>
            <w:tcW w:type="dxa" w:w="2307"/>
          </w:tcPr>
          <w:p>
            <w:pPr>
              <w:jc w:val="left"/>
            </w:pPr>
            <w:r>
              <w:rPr/>
              <w:t>专业技术人员保障 (12.0分)</w:t>
            </w:r>
          </w:p>
        </w:tc>
        <w:tc>
          <w:tcPr>
            <w:tcW w:type="dxa" w:w="5076"/>
          </w:tcPr>
          <w:p>
            <w:pPr>
              <w:jc w:val="left"/>
            </w:pPr>
            <w:r>
              <w:rPr/>
              <w:t>根据各响应供应商提供的专业技术人员保障进行评审： 1、项目经理（一人）：具有测绘高级或以上工程师证书、注册测绘师资格证书、涉密测绘成果管理人员培训证书的，每个证书得2分，本子项最高得6分。 2、其他技术人员（除项目经理外）： (1)持有民用无人机驾驶员合格证，每提供1人得0.5分，最高得3分；(2)如以上人员驾驶员等级为教员的，每人另加1分，最高得3分；本子项最高得6分。 本项最高得12分。 注：须同时提供上述人员证书扫描件及其磋商截止时间前近3个月内任意1个月（投标截止时间当月不计）在投标人单位参保的社保证明文件或同时提供社保部门离（退）休证明和本单位聘用合同（仅限退休返聘人员）扫描件作为证明材料。</w:t>
            </w:r>
          </w:p>
        </w:tc>
      </w:tr>
      <w:tr>
        <w:tc>
          <w:tcPr>
            <w:tcW w:type="dxa" w:w="922"/>
            <w:gridSpan w:val="2"/>
            <w:vMerge/>
          </w:tcPr>
          <w:p/>
        </w:tc>
        <w:tc>
          <w:tcPr>
            <w:tcW w:type="dxa" w:w="2307"/>
          </w:tcPr>
          <w:p>
            <w:pPr>
              <w:jc w:val="left"/>
            </w:pPr>
            <w:r>
              <w:rPr/>
              <w:t>项目的重点、难点分析解决方案 (3.0分)</w:t>
            </w:r>
            <w:r>
              <w:rPr/>
              <w:t>，（等次分值选择：</w:t>
            </w:r>
            <w:r>
              <w:rPr/>
              <w:t>0.0;</w:t>
            </w:r>
            <w:r>
              <w:rPr/>
              <w:t>1.0;</w:t>
            </w:r>
            <w:r>
              <w:rPr/>
              <w:t>2.0;</w:t>
            </w:r>
            <w:r>
              <w:rPr/>
              <w:t>3.0;</w:t>
            </w:r>
            <w:r>
              <w:rPr/>
              <w:t>）</w:t>
            </w:r>
          </w:p>
        </w:tc>
        <w:tc>
          <w:tcPr>
            <w:tcW w:type="dxa" w:w="5076"/>
          </w:tcPr>
          <w:p>
            <w:pPr>
              <w:jc w:val="left"/>
            </w:pPr>
            <w:r>
              <w:rPr/>
              <w:t>根据响应供应商提供对项目的重点、难点分析解决方案进行评审：  1、重点难点分析到位，有相应解决方案的，得3分； 2、重点难点基本分析到位，或者解决方案欠佳，或无相应解决方案的，得2分； 3、重点难点分析有欠缺，得1分； 4、不提供不得分。</w:t>
            </w:r>
          </w:p>
        </w:tc>
      </w:tr>
      <w:tr>
        <w:tc>
          <w:tcPr>
            <w:tcW w:type="dxa" w:w="922"/>
            <w:gridSpan w:val="2"/>
            <w:vMerge/>
          </w:tcPr>
          <w:p/>
        </w:tc>
        <w:tc>
          <w:tcPr>
            <w:tcW w:type="dxa" w:w="2307"/>
          </w:tcPr>
          <w:p>
            <w:pPr>
              <w:jc w:val="left"/>
            </w:pPr>
            <w:r>
              <w:rPr/>
              <w:t>进度计划 (3.0分)</w:t>
            </w:r>
            <w:r>
              <w:rPr/>
              <w:t>，（等次分值选择：</w:t>
            </w:r>
            <w:r>
              <w:rPr/>
              <w:t>0.0;</w:t>
            </w:r>
            <w:r>
              <w:rPr/>
              <w:t>1.0;</w:t>
            </w:r>
            <w:r>
              <w:rPr/>
              <w:t>2.0;</w:t>
            </w:r>
            <w:r>
              <w:rPr/>
              <w:t>3.0;</w:t>
            </w:r>
            <w:r>
              <w:rPr/>
              <w:t>）</w:t>
            </w:r>
          </w:p>
        </w:tc>
        <w:tc>
          <w:tcPr>
            <w:tcW w:type="dxa" w:w="5076"/>
          </w:tcPr>
          <w:p>
            <w:pPr>
              <w:jc w:val="left"/>
            </w:pPr>
            <w:r>
              <w:rPr/>
              <w:t>根据各响应供应商对本项目的进度计划进行评审： 1.进度计划完全满足项目需求，进度保障措施具体、合理、可行性强，得3分； 2.进度计划满足项目需求，进度保障措施比较合理、可行，得2分； 3.进度计划基本满足项目需求，保障措施基本合理、可行，得1分； 4.不提供不得分。</w:t>
            </w:r>
          </w:p>
        </w:tc>
      </w:tr>
      <w:tr>
        <w:tc>
          <w:tcPr>
            <w:tcW w:type="dxa" w:w="922"/>
            <w:gridSpan w:val="2"/>
            <w:vMerge/>
          </w:tcPr>
          <w:p/>
        </w:tc>
        <w:tc>
          <w:tcPr>
            <w:tcW w:type="dxa" w:w="2307"/>
          </w:tcPr>
          <w:p>
            <w:pPr>
              <w:jc w:val="left"/>
            </w:pPr>
            <w:r>
              <w:rPr/>
              <w:t>质量保证措施 (3.0分)</w:t>
            </w:r>
            <w:r>
              <w:rPr/>
              <w:t>，（等次分值选择：</w:t>
            </w:r>
            <w:r>
              <w:rPr/>
              <w:t>0.0;</w:t>
            </w:r>
            <w:r>
              <w:rPr/>
              <w:t>1.0;</w:t>
            </w:r>
            <w:r>
              <w:rPr/>
              <w:t>2.0;</w:t>
            </w:r>
            <w:r>
              <w:rPr/>
              <w:t>3.0;</w:t>
            </w:r>
            <w:r>
              <w:rPr/>
              <w:t>）</w:t>
            </w:r>
          </w:p>
        </w:tc>
        <w:tc>
          <w:tcPr>
            <w:tcW w:type="dxa" w:w="5076"/>
          </w:tcPr>
          <w:p>
            <w:pPr>
              <w:jc w:val="left"/>
            </w:pPr>
            <w:r>
              <w:rPr/>
              <w:t>根据各响应供应商对本项目的质量保证措施进行评审： 1.质量保证措施障具体完善，得3分； 2.质量保证措施较具体，得2分； 3.质量保证措施完善程度差，得1分； 4.不提供不得分。</w:t>
            </w:r>
          </w:p>
        </w:tc>
      </w:tr>
      <w:tr>
        <w:tc>
          <w:tcPr>
            <w:tcW w:type="dxa" w:w="922"/>
            <w:gridSpan w:val="2"/>
            <w:vMerge/>
          </w:tcPr>
          <w:p/>
        </w:tc>
        <w:tc>
          <w:tcPr>
            <w:tcW w:type="dxa" w:w="2307"/>
          </w:tcPr>
          <w:p>
            <w:pPr>
              <w:jc w:val="left"/>
            </w:pPr>
            <w:r>
              <w:rPr/>
              <w:t>应急处理措施及应急预案 (3.0分)</w:t>
            </w:r>
            <w:r>
              <w:rPr/>
              <w:t>，（等次分值选择：</w:t>
            </w:r>
            <w:r>
              <w:rPr/>
              <w:t>0.0;</w:t>
            </w:r>
            <w:r>
              <w:rPr/>
              <w:t>1.0;</w:t>
            </w:r>
            <w:r>
              <w:rPr/>
              <w:t>2.0;</w:t>
            </w:r>
            <w:r>
              <w:rPr/>
              <w:t>3.0;</w:t>
            </w:r>
            <w:r>
              <w:rPr/>
              <w:t>）</w:t>
            </w:r>
          </w:p>
        </w:tc>
        <w:tc>
          <w:tcPr>
            <w:tcW w:type="dxa" w:w="5076"/>
          </w:tcPr>
          <w:p>
            <w:pPr>
              <w:jc w:val="left"/>
            </w:pPr>
            <w:r>
              <w:rPr/>
              <w:t>根据各响应供应商提供的应急处理措施及应急预案进行评审： 1.应急处理措施及应急预案详细、合理、可行性高，得3分； 2.应急处理措施及应急预案较合理、可行性较高，得2分； 3.应急处理措施及应急预案不够合理、可行性较差，得1分； 4.不提供不得分。</w:t>
            </w:r>
          </w:p>
        </w:tc>
      </w:tr>
      <w:tr>
        <w:tc>
          <w:tcPr>
            <w:tcW w:type="dxa" w:w="922"/>
            <w:gridSpan w:val="2"/>
            <w:vMerge/>
          </w:tcPr>
          <w:p/>
        </w:tc>
        <w:tc>
          <w:tcPr>
            <w:tcW w:type="dxa" w:w="2307"/>
          </w:tcPr>
          <w:p>
            <w:pPr>
              <w:jc w:val="left"/>
            </w:pPr>
            <w:r>
              <w:rPr/>
              <w:t>系统视频播放 (20.0分)</w:t>
            </w:r>
          </w:p>
        </w:tc>
        <w:tc>
          <w:tcPr>
            <w:tcW w:type="dxa" w:w="5076"/>
          </w:tcPr>
          <w:p>
            <w:pPr>
              <w:jc w:val="left"/>
            </w:pPr>
            <w:r>
              <w:rPr/>
              <w:t>1、演示无人机基站远程自动作业。演示无人机自动作业流程，应包括单任务选择、多任务选择、日历任务安排等作业模式，多任务依据任务列表顺序自动执行。日历任务根据日期及时间自动作业、亦可手动立即执行，应具备飞行前安全检查包括无人机SD卡已用空间、剩余可拍照数量、剩余可拍摄时长、天气状态、基站状态、电池状态等。完全满足或优于用户需求的得5分，部分满足得2分，不满足不得分；2、演示平台的航线规划。演示无人机航线规划过程。新建任务，系统具备全景采集、正射影像、倾斜摄影、线状巡视、航点飞行、环绕飞行等航线模式；可选择任一模式进行航线规划演示，可上传 kml 文件自动生成航线，应具备在2D/3D地图下进行航线规划，应包括航线高度、起降高度、往返速度、航线速度、航线云台俯仰角、航点动作（悬停、拍照等），提供航线总长、任务长度、往返长度、航点数量、预计时间、预计拍照数量等航线提示，演示三维航线预览，使用DSM进行碰撞检测以及风险告警，禁飞区检测。完全满足或优于用户需求的得5分，部分满足得2分，不满足不得分；3、演示事件图层展示功能。演示无人机采集的多类数据展示；在卫星影像地图上，可叠加加载正射影像、倾斜三维模型、点云模型、矢量文件等图层；可以在地图上显示事件点位分布，可查看事件管理流程，通过无人机飞行视频，进行视频抽帧，对抽帧的照片进行标注分析，录入事件的详细信息，应在地图中显示事件的地点，支持在事件列表中，快速定位至事件地点。 完全满足或优于用户需求的得5分，部分满足得2分，不满足不得分。4、演示目标分析功能。演示从系统选取数据、选取算法、执行目标分析识别流程。 经智能分析后可查看已识别出的问题列表，可在识别的照片中查看问题标注及问题类型，并可对问题信息进行修改。完全满足或优于用户需求的得5分，部分满足得2分，不满足不得分。本项最高得20分。  注：系统（案例）进行演示的内容录制成视频（视频须采用dvd或mp4格式，如提供其他格式的视频文件则投标人须另外提供播放软件），若采用PPT或图片文字形式等非系统原型方式演示的不得分。</w:t>
            </w:r>
          </w:p>
        </w:tc>
      </w:tr>
      <w:tr>
        <w:tc>
          <w:tcPr>
            <w:tcW w:type="dxa" w:w="922"/>
            <w:gridSpan w:val="2"/>
            <w:vMerge/>
          </w:tcPr>
          <w:p/>
        </w:tc>
        <w:tc>
          <w:tcPr>
            <w:tcW w:type="dxa" w:w="2307"/>
          </w:tcPr>
          <w:p>
            <w:pPr>
              <w:jc w:val="left"/>
            </w:pPr>
            <w:r>
              <w:rPr/>
              <w:t>培训方案 (3.0分)</w:t>
            </w:r>
            <w:r>
              <w:rPr/>
              <w:t>，（等次分值选择：</w:t>
            </w:r>
            <w:r>
              <w:rPr/>
              <w:t>0.0;</w:t>
            </w:r>
            <w:r>
              <w:rPr/>
              <w:t>1.0;</w:t>
            </w:r>
            <w:r>
              <w:rPr/>
              <w:t>2.0;</w:t>
            </w:r>
            <w:r>
              <w:rPr/>
              <w:t>3.0;</w:t>
            </w:r>
            <w:r>
              <w:rPr/>
              <w:t>）</w:t>
            </w:r>
          </w:p>
        </w:tc>
        <w:tc>
          <w:tcPr>
            <w:tcW w:type="dxa" w:w="5076"/>
          </w:tcPr>
          <w:p>
            <w:pPr>
              <w:jc w:val="left"/>
            </w:pPr>
            <w:r>
              <w:rPr/>
              <w:t>根据响应供应商提供的培训方案进行评审： 1.科学合理，方案详细，可操作性强，得3分； 2.较为合理，可操作性较强，得2分； 3.操作性较弱，得1分； 4.没有提供不得分。</w:t>
            </w:r>
          </w:p>
        </w:tc>
      </w:tr>
      <w:tr>
        <w:tc>
          <w:tcPr>
            <w:tcW w:type="dxa" w:w="922"/>
            <w:gridSpan w:val="2"/>
            <w:vMerge w:val="restart"/>
          </w:tcPr>
          <w:p>
            <w:pPr>
              <w:jc w:val="center"/>
            </w:pPr>
            <w:r>
              <w:rPr/>
              <w:t>商务部分</w:t>
            </w:r>
          </w:p>
        </w:tc>
        <w:tc>
          <w:tcPr>
            <w:tcW w:type="dxa" w:w="2307"/>
          </w:tcPr>
          <w:p>
            <w:pPr>
              <w:jc w:val="left"/>
            </w:pPr>
            <w:r>
              <w:rPr/>
              <w:t>技术实力 (10.0分)</w:t>
            </w:r>
          </w:p>
        </w:tc>
        <w:tc>
          <w:tcPr>
            <w:tcW w:type="dxa" w:w="5076"/>
          </w:tcPr>
          <w:p>
            <w:pPr>
              <w:jc w:val="left"/>
            </w:pPr>
            <w:r>
              <w:rPr/>
              <w:t>响应供应商具有与无人机相关的机巡指挥调度类系统、航线规划类系统、河道巡查在线管理类系统、巡检成果归集处理类系统、巡检控制类系统的著作权软著证书，每具备一种系统类别的得2分，本项最高得10分。 注：同一类别不重复得分。须提供证书扫描件作为证明材料。</w:t>
            </w:r>
          </w:p>
        </w:tc>
      </w:tr>
      <w:tr>
        <w:tc>
          <w:tcPr>
            <w:tcW w:type="dxa" w:w="922"/>
            <w:gridSpan w:val="2"/>
            <w:vMerge/>
          </w:tcPr>
          <w:p/>
        </w:tc>
        <w:tc>
          <w:tcPr>
            <w:tcW w:type="dxa" w:w="2307"/>
          </w:tcPr>
          <w:p>
            <w:pPr>
              <w:jc w:val="left"/>
            </w:pPr>
            <w:r>
              <w:rPr/>
              <w:t>企业实力 (8.0分)</w:t>
            </w:r>
          </w:p>
        </w:tc>
        <w:tc>
          <w:tcPr>
            <w:tcW w:type="dxa" w:w="5076"/>
          </w:tcPr>
          <w:p>
            <w:pPr>
              <w:jc w:val="left"/>
            </w:pPr>
            <w:r>
              <w:rPr/>
              <w:t>响应供应商具有： 1、国内相关航空管理部门颁发的通用航空企业经营许可证书的得2分； 2、质量管理体系认证的得2分； 3、环境管理体系认证的得2分； 4、职业健康安全管理体系认证的得2分。  注：本项最高得8分。上述证书须提供相关的证书扫描件作为证明材料。上述第2、3、4点需同时提供全国认证认可信息网（http://cx.cnca.cn）查询“有效”截图作为证明材料，已失效、暂停、撤销或不提供不得分。</w:t>
            </w:r>
          </w:p>
        </w:tc>
      </w:tr>
      <w:tr>
        <w:tc>
          <w:tcPr>
            <w:tcW w:type="dxa" w:w="922"/>
            <w:gridSpan w:val="2"/>
            <w:vMerge/>
          </w:tcPr>
          <w:p/>
        </w:tc>
        <w:tc>
          <w:tcPr>
            <w:tcW w:type="dxa" w:w="2307"/>
          </w:tcPr>
          <w:p>
            <w:pPr>
              <w:jc w:val="left"/>
            </w:pPr>
            <w:r>
              <w:rPr/>
              <w:t>同类项目业绩 (12.0分)</w:t>
            </w:r>
          </w:p>
        </w:tc>
        <w:tc>
          <w:tcPr>
            <w:tcW w:type="dxa" w:w="5076"/>
          </w:tcPr>
          <w:p>
            <w:pPr>
              <w:jc w:val="left"/>
            </w:pPr>
            <w:r>
              <w:rPr/>
              <w:t>响应供应商2020年1月1日（以合同签订时间为准）以来，承接的同类项目业绩，每提供1个得2分，本项最高得12分。 注：须提供合同扫描件作为证明材料，不提供不得分。</w:t>
            </w:r>
          </w:p>
        </w:tc>
      </w:tr>
      <w:tr>
        <w:tc>
          <w:tcPr>
            <w:tcW w:type="dxa" w:w="922"/>
            <w:gridSpan w:val="2"/>
          </w:tcPr>
          <w:p>
            <w:pPr>
              <w:jc w:val="center"/>
            </w:pPr>
            <w:r>
              <w:rPr/>
              <w:t>投标报价</w:t>
            </w:r>
          </w:p>
        </w:tc>
        <w:tc>
          <w:tcPr>
            <w:tcW w:type="dxa" w:w="2307"/>
          </w:tcPr>
          <w:p>
            <w:pPr>
              <w:jc w:val="left"/>
            </w:pPr>
            <w:r>
              <w:rPr/>
              <w:t>磋商报价得分 (10.0分)</w:t>
            </w:r>
          </w:p>
        </w:tc>
        <w:tc>
          <w:tcPr>
            <w:tcW w:type="dxa" w:w="5076"/>
          </w:tcPr>
          <w:p>
            <w:pPr>
              <w:jc w:val="left"/>
            </w:pPr>
            <w:r>
              <w:rPr/>
              <w:t>磋商报价得分＝（评标基准价/最后磋商报价）×价格权值×100（注：满足磋商文件要求且最后磋商价格最低的磋商报价为评标基准价。）最低报价不是成交的唯一依据。</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评审结果按评审后总得分由高到低顺序排列。评审得分相同的，按最终报价由低到高顺序排列。得分且最终报价相同的，由磋商小组采取随机抽取的方式确定。排名第一的响应供应商为第一成交候选人。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both"/>
      </w:pPr>
    </w:p>
    <w:p>
      <w:pPr>
        <w:jc w:val="both"/>
      </w:pPr>
    </w:p>
    <w:p>
      <w:pPr>
        <w:jc w:val="both"/>
      </w:pPr>
    </w:p>
    <w:p>
      <w:pPr>
        <w:ind w:firstLine="480"/>
        <w:jc w:val="both"/>
      </w:pPr>
    </w:p>
    <w:p>
      <w:pPr>
        <w:jc w:val="both"/>
      </w:pPr>
    </w:p>
    <w:p>
      <w:pPr>
        <w:jc w:val="both"/>
      </w:pPr>
    </w:p>
    <w:p>
      <w:pPr>
        <w:jc w:val="both"/>
      </w:pPr>
    </w:p>
    <w:p>
      <w:pPr>
        <w:ind w:firstLine="480"/>
        <w:jc w:val="both"/>
      </w:pPr>
    </w:p>
    <w:p>
      <w:pPr>
        <w:jc w:val="both"/>
      </w:pPr>
    </w:p>
    <w:p>
      <w:pPr>
        <w:jc w:val="both"/>
      </w:pPr>
    </w:p>
    <w:p>
      <w:pPr>
        <w:jc w:val="both"/>
      </w:pPr>
    </w:p>
    <w:p>
      <w:pPr>
        <w:ind w:firstLine="480"/>
        <w:jc w:val="both"/>
      </w:pPr>
    </w:p>
    <w:p>
      <w:pPr>
        <w:jc w:val="both"/>
      </w:pPr>
    </w:p>
    <w:p>
      <w:pPr>
        <w:jc w:val="both"/>
      </w:pPr>
    </w:p>
    <w:p>
      <w:pPr>
        <w:jc w:val="both"/>
      </w:pPr>
    </w:p>
    <w:p>
      <w:pPr>
        <w:jc w:val="center"/>
      </w:pPr>
      <w:r>
        <w:rPr>
          <w:color w:val="000000"/>
          <w:sz w:val="68"/>
        </w:rPr>
        <w:t>佛山市政府采购项目</w:t>
      </w:r>
    </w:p>
    <w:p>
      <w:pPr>
        <w:jc w:val="center"/>
      </w:pPr>
    </w:p>
    <w:p>
      <w:pPr>
        <w:jc w:val="center"/>
      </w:pPr>
      <w:r>
        <w:rPr>
          <w:color w:val="000000"/>
          <w:sz w:val="68"/>
        </w:rPr>
        <w:t>合同书</w:t>
      </w:r>
    </w:p>
    <w:p>
      <w:pPr>
        <w:jc w:val="center"/>
      </w:pPr>
    </w:p>
    <w:p>
      <w:pPr>
        <w:jc w:val="center"/>
      </w:pPr>
    </w:p>
    <w:p>
      <w:pPr>
        <w:jc w:val="center"/>
      </w:pPr>
    </w:p>
    <w:p>
      <w:pPr>
        <w:jc w:val="center"/>
      </w:pPr>
    </w:p>
    <w:p>
      <w:pPr>
        <w:ind w:firstLine="1134"/>
        <w:jc w:val="left"/>
      </w:pPr>
      <w:r>
        <w:rPr>
          <w:b/>
          <w:color w:val="000000"/>
          <w:sz w:val="24"/>
        </w:rPr>
        <w:t>项目编号：</w:t>
      </w:r>
      <w:r>
        <w:rPr>
          <w:b/>
          <w:color w:val="000000"/>
          <w:sz w:val="24"/>
          <w:u w:val="single"/>
        </w:rPr>
        <w:t>DZCG202363</w:t>
      </w:r>
    </w:p>
    <w:p>
      <w:pPr>
        <w:ind w:firstLine="1134"/>
        <w:jc w:val="left"/>
      </w:pPr>
      <w:r>
        <w:rPr>
          <w:b/>
          <w:color w:val="000000"/>
          <w:sz w:val="24"/>
        </w:rPr>
        <w:t>项目名称：</w:t>
      </w:r>
      <w:r>
        <w:rPr>
          <w:b/>
          <w:color w:val="000000"/>
          <w:sz w:val="24"/>
          <w:u w:val="single"/>
        </w:rPr>
        <w:t>2023</w:t>
      </w:r>
      <w:r>
        <w:rPr>
          <w:b/>
          <w:color w:val="000000"/>
          <w:sz w:val="24"/>
          <w:u w:val="single"/>
        </w:rPr>
        <w:t>年度丹灶镇</w:t>
      </w:r>
      <w:r>
        <w:rPr>
          <w:b/>
          <w:color w:val="000000"/>
          <w:sz w:val="24"/>
          <w:u w:val="single"/>
        </w:rPr>
        <w:t>5G</w:t>
      </w:r>
      <w:r>
        <w:rPr>
          <w:b/>
          <w:color w:val="000000"/>
          <w:sz w:val="24"/>
          <w:u w:val="single"/>
        </w:rPr>
        <w:t>网联无人机智能化城市网格管理服务</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1938"/>
        <w:gridCol w:w="6368"/>
      </w:tblGrid>
      <w:tr>
        <w:tc>
          <w:tcPr>
            <w:tcW w:type="dxa" w:w="1938"/>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368"/>
            <w:tcBorders>
              <w:top w:val="none" w:color="000000" w:sz="4"/>
              <w:left w:val="none" w:color="000000" w:sz="4"/>
              <w:bottom w:val="none" w:color="000000" w:sz="4"/>
              <w:right w:val="none" w:color="000000" w:sz="4"/>
            </w:tcBorders>
            <w:vAlign w:val="top"/>
          </w:tcPr>
          <w:p>
            <w:pPr>
              <w:jc w:val="left"/>
            </w:pPr>
            <w:r>
              <w:rPr>
                <w:color w:val="000000"/>
                <w:sz w:val="28"/>
                <w:u w:val="single"/>
              </w:rPr>
              <w:t>佛山市南海区丹灶镇综合行政执法办公室</w:t>
            </w:r>
          </w:p>
        </w:tc>
      </w:tr>
      <w:tr>
        <w:tc>
          <w:tcPr>
            <w:tcW w:type="dxa" w:w="1938"/>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368"/>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（成交供应商名称）</w:t>
            </w:r>
            <w:r>
              <w:rPr>
                <w:color w:val="000000"/>
                <w:sz w:val="28"/>
                <w:u w:val="single"/>
              </w:rPr>
              <w:t xml:space="preserve">   </w:t>
            </w:r>
          </w:p>
        </w:tc>
      </w:tr>
      <w:tr>
        <w:tc>
          <w:tcPr>
            <w:tcW w:type="dxa" w:w="1938"/>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368"/>
            <w:tcBorders>
              <w:top w:val="none" w:color="000000" w:sz="4"/>
              <w:left w:val="none" w:color="000000" w:sz="4"/>
              <w:bottom w:val="none" w:color="000000" w:sz="4"/>
              <w:right w:val="none" w:color="000000" w:sz="4"/>
            </w:tcBorders>
            <w:vAlign w:val="top"/>
          </w:tcPr>
          <w:p>
            <w:pPr>
              <w:jc w:val="left"/>
            </w:pPr>
            <w:r>
              <w:rPr>
                <w:color w:val="000000"/>
                <w:sz w:val="28"/>
                <w:u w:val="single"/>
              </w:rPr>
              <w:t>2023</w:t>
            </w:r>
            <w:r>
              <w:rPr>
                <w:color w:val="000000"/>
                <w:sz w:val="28"/>
                <w:u w:val="single"/>
              </w:rPr>
              <w:t>年</w:t>
            </w:r>
            <w:r>
              <w:rPr>
                <w:sz w:val="21"/>
                <w:u w:val="single"/>
              </w:rPr>
              <w:t xml:space="preserve">   </w:t>
            </w:r>
            <w:r>
              <w:rPr>
                <w:color w:val="000000"/>
                <w:sz w:val="28"/>
                <w:u w:val="single"/>
              </w:rPr>
              <w:t>月</w:t>
            </w:r>
            <w:r>
              <w:rPr>
                <w:sz w:val="21"/>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left"/>
      </w:pPr>
      <w:r>
        <w:rPr>
          <w:i/>
          <w:color w:val="FF0000"/>
          <w:sz w:val="21"/>
        </w:rPr>
        <w:t>注：本合同仅为合同的参考文本，可根据项目的具体要求进行修订。</w:t>
      </w:r>
    </w:p>
    <w:p>
      <w:pPr>
        <w:jc w:val="center"/>
      </w:pPr>
      <w:r>
        <w:rPr>
          <w:b/>
          <w:color w:val="000000"/>
          <w:sz w:val="44"/>
        </w:rPr>
        <w:t>佛山市政府采购项目合同书</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622"/>
        <w:gridCol w:w="6684"/>
      </w:tblGrid>
      <w:tr>
        <w:tc>
          <w:tcPr>
            <w:tcW w:type="dxa" w:w="1622"/>
            <w:tcBorders>
              <w:top w:val="none" w:color="000000" w:sz="4"/>
              <w:left w:val="none" w:color="000000" w:sz="4"/>
              <w:bottom w:val="none" w:color="000000" w:sz="4"/>
              <w:right w:val="none" w:color="000000" w:sz="4"/>
            </w:tcBorders>
            <w:vAlign w:val="top"/>
          </w:tcPr>
          <w:p>
            <w:pPr>
              <w:jc w:val="both"/>
            </w:pPr>
            <w:r>
              <w:rPr>
                <w:b/>
                <w:color w:val="000000"/>
                <w:sz w:val="24"/>
              </w:rPr>
              <w:t>项目名称</w:t>
            </w:r>
            <w:r>
              <w:rPr>
                <w:b/>
                <w:color w:val="000000"/>
                <w:sz w:val="21"/>
              </w:rPr>
              <w:t>：</w:t>
            </w:r>
          </w:p>
        </w:tc>
        <w:tc>
          <w:tcPr>
            <w:tcW w:type="dxa" w:w="6684"/>
            <w:tcBorders>
              <w:top w:val="none" w:color="000000" w:sz="4"/>
              <w:left w:val="none" w:color="000000" w:sz="4"/>
              <w:bottom w:val="none" w:color="000000" w:sz="4"/>
              <w:right w:val="none" w:color="000000" w:sz="4"/>
            </w:tcBorders>
            <w:vAlign w:val="top"/>
          </w:tcPr>
          <w:p>
            <w:pPr>
              <w:jc w:val="left"/>
            </w:pPr>
            <w:r>
              <w:rPr>
                <w:color w:val="000000"/>
                <w:sz w:val="24"/>
                <w:u w:val="single"/>
              </w:rPr>
              <w:t>2023</w:t>
            </w:r>
            <w:r>
              <w:rPr>
                <w:color w:val="000000"/>
                <w:sz w:val="24"/>
                <w:u w:val="single"/>
              </w:rPr>
              <w:t>年度丹灶镇</w:t>
            </w:r>
            <w:r>
              <w:rPr>
                <w:color w:val="000000"/>
                <w:sz w:val="24"/>
                <w:u w:val="single"/>
              </w:rPr>
              <w:t>5G</w:t>
            </w:r>
            <w:r>
              <w:rPr>
                <w:color w:val="000000"/>
                <w:sz w:val="24"/>
                <w:u w:val="single"/>
              </w:rPr>
              <w:t>网联无人机智能化城市网格管理服务</w:t>
            </w:r>
          </w:p>
        </w:tc>
      </w:tr>
      <w:tr>
        <w:tc>
          <w:tcPr>
            <w:tcW w:type="dxa" w:w="1622"/>
            <w:tcBorders>
              <w:top w:val="none" w:color="000000" w:sz="4"/>
              <w:left w:val="none" w:color="000000" w:sz="4"/>
              <w:bottom w:val="none" w:color="000000" w:sz="4"/>
              <w:right w:val="none" w:color="000000" w:sz="4"/>
            </w:tcBorders>
            <w:vAlign w:val="top"/>
          </w:tcPr>
          <w:p>
            <w:pPr>
              <w:jc w:val="both"/>
            </w:pPr>
            <w:r>
              <w:rPr>
                <w:b/>
                <w:color w:val="000000"/>
                <w:sz w:val="24"/>
              </w:rPr>
              <w:t>项目编号：</w:t>
            </w:r>
          </w:p>
        </w:tc>
        <w:tc>
          <w:tcPr>
            <w:tcW w:type="dxa" w:w="6684"/>
            <w:tcBorders>
              <w:top w:val="none" w:color="000000" w:sz="4"/>
              <w:left w:val="none" w:color="000000" w:sz="4"/>
              <w:bottom w:val="none" w:color="000000" w:sz="4"/>
              <w:right w:val="none" w:color="000000" w:sz="4"/>
            </w:tcBorders>
            <w:vAlign w:val="top"/>
          </w:tcPr>
          <w:p>
            <w:pPr>
              <w:jc w:val="both"/>
            </w:pPr>
            <w:r>
              <w:rPr>
                <w:sz w:val="24"/>
                <w:u w:val="single"/>
              </w:rPr>
              <w:t>DZCG202363</w:t>
            </w:r>
          </w:p>
        </w:tc>
      </w:tr>
      <w:tr>
        <w:tc>
          <w:tcPr>
            <w:tcW w:type="dxa" w:w="1622"/>
            <w:tcBorders>
              <w:top w:val="none" w:color="000000" w:sz="4"/>
              <w:left w:val="none" w:color="000000" w:sz="4"/>
              <w:bottom w:val="none" w:color="000000" w:sz="4"/>
              <w:right w:val="none" w:color="000000" w:sz="4"/>
            </w:tcBorders>
            <w:vAlign w:val="top"/>
          </w:tcPr>
          <w:p>
            <w:pPr>
              <w:jc w:val="both"/>
            </w:pPr>
            <w:r>
              <w:rPr>
                <w:b/>
                <w:color w:val="000000"/>
                <w:sz w:val="24"/>
              </w:rPr>
              <w:t>甲</w:t>
            </w:r>
            <w:r>
              <w:rPr>
                <w:b/>
                <w:sz w:val="21"/>
              </w:rPr>
              <w:t xml:space="preserve">    </w:t>
            </w:r>
            <w:r>
              <w:rPr>
                <w:b/>
                <w:color w:val="000000"/>
                <w:sz w:val="24"/>
              </w:rPr>
              <w:t>方：</w:t>
            </w:r>
          </w:p>
        </w:tc>
        <w:tc>
          <w:tcPr>
            <w:tcW w:type="dxa" w:w="6684"/>
            <w:tcBorders>
              <w:top w:val="none" w:color="000000" w:sz="4"/>
              <w:left w:val="none" w:color="000000" w:sz="4"/>
              <w:bottom w:val="none" w:color="000000" w:sz="4"/>
              <w:right w:val="none" w:color="000000" w:sz="4"/>
            </w:tcBorders>
            <w:vAlign w:val="top"/>
          </w:tcPr>
          <w:p>
            <w:pPr>
              <w:jc w:val="both"/>
            </w:pPr>
            <w:r>
              <w:rPr>
                <w:color w:val="000000"/>
                <w:sz w:val="24"/>
                <w:u w:val="single"/>
              </w:rPr>
              <w:t>佛山市南海区丹灶镇综合行政执法办公室</w:t>
            </w:r>
          </w:p>
        </w:tc>
      </w:tr>
      <w:tr>
        <w:tc>
          <w:tcPr>
            <w:tcW w:type="dxa" w:w="1622"/>
            <w:tcBorders>
              <w:top w:val="none" w:color="000000" w:sz="4"/>
              <w:left w:val="none" w:color="000000" w:sz="4"/>
              <w:bottom w:val="none" w:color="000000" w:sz="4"/>
              <w:right w:val="none" w:color="000000" w:sz="4"/>
            </w:tcBorders>
            <w:vAlign w:val="top"/>
          </w:tcPr>
          <w:p>
            <w:pPr>
              <w:jc w:val="both"/>
            </w:pPr>
            <w:r>
              <w:rPr>
                <w:b/>
                <w:color w:val="000000"/>
                <w:sz w:val="24"/>
              </w:rPr>
              <w:t>乙</w:t>
            </w:r>
            <w:r>
              <w:rPr>
                <w:b/>
                <w:color w:val="000000"/>
                <w:sz w:val="24"/>
              </w:rPr>
              <w:t xml:space="preserve"> </w:t>
            </w:r>
            <w:r>
              <w:rPr>
                <w:b/>
                <w:color w:val="000000"/>
                <w:sz w:val="24"/>
              </w:rPr>
              <w:t>方：</w:t>
            </w:r>
          </w:p>
        </w:tc>
        <w:tc>
          <w:tcPr>
            <w:tcW w:type="dxa" w:w="6684"/>
            <w:tcBorders>
              <w:top w:val="none" w:color="000000" w:sz="4"/>
              <w:left w:val="none" w:color="000000" w:sz="4"/>
              <w:bottom w:val="none" w:color="000000" w:sz="4"/>
              <w:right w:val="none" w:color="000000" w:sz="4"/>
            </w:tcBorders>
            <w:vAlign w:val="top"/>
          </w:tcPr>
          <w:p>
            <w:pPr>
              <w:jc w:val="both"/>
            </w:pPr>
            <w:r>
              <w:rPr>
                <w:color w:val="000000"/>
                <w:sz w:val="24"/>
                <w:u w:val="single"/>
              </w:rPr>
              <w:t>（成交供应商名称）</w:t>
            </w:r>
            <w:r>
              <w:rPr>
                <w:color w:val="000000"/>
                <w:sz w:val="24"/>
                <w:u w:val="single"/>
              </w:rPr>
              <w:t xml:space="preserve">                              </w:t>
            </w:r>
          </w:p>
        </w:tc>
      </w:tr>
      <w:tr>
        <w:tc>
          <w:tcPr>
            <w:tcW w:type="dxa" w:w="1622"/>
            <w:tcBorders>
              <w:top w:val="none" w:color="000000" w:sz="4"/>
              <w:left w:val="none" w:color="000000" w:sz="4"/>
              <w:bottom w:val="none" w:color="000000" w:sz="4"/>
              <w:right w:val="none" w:color="000000" w:sz="4"/>
            </w:tcBorders>
            <w:vAlign w:val="top"/>
          </w:tcPr>
          <w:p>
            <w:pPr>
              <w:jc w:val="both"/>
            </w:pPr>
            <w:r>
              <w:rPr>
                <w:b/>
                <w:color w:val="000000"/>
                <w:sz w:val="24"/>
              </w:rPr>
              <w:t>合同性质：</w:t>
            </w:r>
          </w:p>
        </w:tc>
        <w:tc>
          <w:tcPr>
            <w:tcW w:type="dxa" w:w="6684"/>
            <w:tcBorders>
              <w:top w:val="none" w:color="000000" w:sz="4"/>
              <w:left w:val="none" w:color="000000" w:sz="4"/>
              <w:bottom w:val="none" w:color="000000" w:sz="4"/>
              <w:right w:val="none" w:color="000000" w:sz="4"/>
            </w:tcBorders>
            <w:vAlign w:val="top"/>
          </w:tcPr>
          <w:p>
            <w:pPr>
              <w:jc w:val="both"/>
            </w:pPr>
            <w:r>
              <w:rPr>
                <w:color w:val="000000"/>
                <w:sz w:val="24"/>
                <w:u w:val="single"/>
              </w:rPr>
              <w:t>本合同为中小企业预留合同</w:t>
            </w:r>
          </w:p>
        </w:tc>
      </w:tr>
    </w:tbl>
    <w:p>
      <w:pPr>
        <w:jc w:val="both"/>
      </w:pPr>
    </w:p>
    <w:p>
      <w:pPr>
        <w:ind w:firstLine="420"/>
        <w:jc w:val="both"/>
      </w:pPr>
      <w:r>
        <w:rPr>
          <w:color w:val="000000"/>
          <w:sz w:val="21"/>
        </w:rPr>
        <w:t>根据《中华人民共和国政府采购法》、《中华人民共和国民法典》和本项目采购文件的要求，经双方协商，本着平等互利和诚实信用的原则，一致同意签订本合同如下。</w:t>
      </w:r>
    </w:p>
    <w:p>
      <w:pPr>
        <w:jc w:val="both"/>
      </w:pPr>
    </w:p>
    <w:p>
      <w:pPr>
        <w:jc w:val="both"/>
      </w:pPr>
      <w:r>
        <w:rPr>
          <w:b/>
          <w:color w:val="000000"/>
          <w:sz w:val="21"/>
        </w:rPr>
        <w:t>一、</w:t>
      </w:r>
      <w:r>
        <w:rPr>
          <w:b/>
          <w:color w:val="000000"/>
          <w:sz w:val="21"/>
        </w:rPr>
        <w:t>服务内容</w:t>
      </w:r>
    </w:p>
    <w:p>
      <w:pPr>
        <w:jc w:val="both"/>
      </w:pPr>
      <w:r>
        <w:rPr>
          <w:sz w:val="21"/>
        </w:rPr>
        <w:t>本项目主要是</w:t>
      </w:r>
      <w:r>
        <w:rPr>
          <w:sz w:val="21"/>
        </w:rPr>
        <w:t>甲方</w:t>
      </w:r>
      <w:r>
        <w:rPr>
          <w:sz w:val="21"/>
        </w:rPr>
        <w:t>租用</w:t>
      </w:r>
      <w:r>
        <w:rPr>
          <w:sz w:val="21"/>
        </w:rPr>
        <w:t>乙方</w:t>
      </w:r>
      <w:r>
        <w:rPr>
          <w:sz w:val="21"/>
        </w:rPr>
        <w:t>专业技术设备和技术力量，建设两个无人机自动化基站，</w:t>
      </w:r>
      <w:r>
        <w:rPr>
          <w:sz w:val="21"/>
        </w:rPr>
        <w:t>乙方</w:t>
      </w:r>
      <w:r>
        <w:rPr>
          <w:sz w:val="21"/>
        </w:rPr>
        <w:t>以每个基站不少于</w:t>
      </w:r>
      <w:r>
        <w:rPr>
          <w:sz w:val="21"/>
        </w:rPr>
        <w:t>20</w:t>
      </w:r>
      <w:r>
        <w:rPr>
          <w:sz w:val="21"/>
        </w:rPr>
        <w:t>平方公里的监测范围（具体监测范围以</w:t>
      </w:r>
      <w:r>
        <w:rPr>
          <w:sz w:val="21"/>
        </w:rPr>
        <w:t>甲方</w:t>
      </w:r>
      <w:r>
        <w:rPr>
          <w:sz w:val="21"/>
        </w:rPr>
        <w:t>指定为准），依托无人机前端图像识别，结合大数据智能分析、人工智能技术，实现数据融合、态势监测等功能实现项目监测，并根据下述要求向</w:t>
      </w:r>
      <w:r>
        <w:rPr>
          <w:sz w:val="21"/>
        </w:rPr>
        <w:t>甲方</w:t>
      </w:r>
      <w:r>
        <w:rPr>
          <w:sz w:val="21"/>
        </w:rPr>
        <w:t>提供相应服务，包括提供巡查监测数据成果、技术对接</w:t>
      </w:r>
      <w:r>
        <w:rPr>
          <w:sz w:val="21"/>
        </w:rPr>
        <w:t>甲方</w:t>
      </w:r>
      <w:r>
        <w:rPr>
          <w:sz w:val="21"/>
        </w:rPr>
        <w:t>的城市管理系统平台等。</w:t>
      </w:r>
    </w:p>
    <w:p>
      <w:pPr>
        <w:jc w:val="both"/>
      </w:pPr>
      <w:r>
        <w:rPr>
          <w:sz w:val="21"/>
        </w:rPr>
        <w:t>（一）无人机组网智能化监测硬件设备</w:t>
      </w:r>
    </w:p>
    <w:p>
      <w:pPr>
        <w:jc w:val="both"/>
      </w:pPr>
      <w:r>
        <w:rPr>
          <w:sz w:val="21"/>
        </w:rPr>
        <w:t>丹灶镇重点区域布置两台无人机自动化基站设备，依托基站实现无人机自动化远程飞行及数据采集，达到远程控制、全自主飞行、三维航线规划、巡查视频实时回传、自动更换电池与充放电、紧急环境一键返航等目标。</w:t>
      </w:r>
    </w:p>
    <w:p>
      <w:pPr>
        <w:jc w:val="both"/>
      </w:pPr>
      <w:r>
        <w:rPr>
          <w:sz w:val="21"/>
        </w:rPr>
        <w:t>无人机基站设备技术参数要求</w:t>
      </w:r>
      <w:r>
        <w:rPr>
          <w:sz w:val="21"/>
        </w:rPr>
        <w:t>以下需求仅作为技术要求的客观描述，无限制性或指向性</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706"/>
        <w:gridCol w:w="1985"/>
        <w:gridCol w:w="5612"/>
      </w:tblGrid>
      <w:tr>
        <w:tc>
          <w:tcPr>
            <w:tcW w:type="dxa" w:w="706"/>
            <w:vMerge w:val="restart"/>
            <w:tcBorders>
              <w:top w:val="single" w:color="000000" w:sz="4"/>
              <w:left w:val="single" w:color="000000" w:sz="4"/>
              <w:bottom w:val="single" w:color="000000" w:sz="4"/>
              <w:right w:val="single" w:color="000000" w:sz="4"/>
            </w:tcBorders>
            <w:vAlign w:val="top"/>
          </w:tcPr>
          <w:p>
            <w:pPr>
              <w:jc w:val="center"/>
            </w:pPr>
            <w:r>
              <w:rPr>
                <w:sz w:val="21"/>
              </w:rPr>
              <w:t>无人机基站设备</w:t>
            </w:r>
          </w:p>
        </w:tc>
        <w:tc>
          <w:tcPr>
            <w:tcW w:type="dxa" w:w="1985"/>
            <w:tcBorders>
              <w:top w:val="single" w:color="000000" w:sz="4"/>
              <w:left w:val="none" w:color="000000" w:sz="4"/>
              <w:bottom w:val="single" w:color="000000" w:sz="4"/>
              <w:right w:val="single" w:color="000000" w:sz="4"/>
            </w:tcBorders>
            <w:vAlign w:val="top"/>
          </w:tcPr>
          <w:p>
            <w:pPr>
              <w:jc w:val="center"/>
            </w:pPr>
            <w:r>
              <w:rPr>
                <w:sz w:val="21"/>
              </w:rPr>
              <w:t>内容</w:t>
            </w:r>
          </w:p>
        </w:tc>
        <w:tc>
          <w:tcPr>
            <w:tcW w:type="dxa" w:w="5612"/>
            <w:tcBorders>
              <w:top w:val="single" w:color="000000" w:sz="4"/>
              <w:left w:val="none" w:color="000000" w:sz="4"/>
              <w:bottom w:val="single" w:color="000000" w:sz="4"/>
              <w:right w:val="single" w:color="000000" w:sz="4"/>
            </w:tcBorders>
            <w:vAlign w:val="top"/>
          </w:tcPr>
          <w:p>
            <w:pPr>
              <w:jc w:val="center"/>
            </w:pPr>
            <w:r>
              <w:rPr>
                <w:sz w:val="21"/>
              </w:rPr>
              <w:t>具体参数</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产品尺寸</w:t>
            </w:r>
          </w:p>
        </w:tc>
        <w:tc>
          <w:tcPr>
            <w:tcW w:type="dxa" w:w="5612"/>
            <w:tcBorders>
              <w:top w:val="none" w:color="000000" w:sz="4"/>
              <w:left w:val="none" w:color="000000" w:sz="4"/>
              <w:bottom w:val="single" w:color="000000" w:sz="4"/>
              <w:right w:val="single" w:color="000000" w:sz="4"/>
            </w:tcBorders>
            <w:vAlign w:val="top"/>
          </w:tcPr>
          <w:p>
            <w:pPr>
              <w:jc w:val="both"/>
            </w:pPr>
            <w:r>
              <w:rPr>
                <w:sz w:val="21"/>
              </w:rPr>
              <w:t>关闭状态：</w:t>
            </w:r>
            <w:r>
              <w:rPr>
                <w:sz w:val="21"/>
              </w:rPr>
              <w:t>≤1950mm×1600mm×1600mm</w:t>
            </w:r>
            <w:r>
              <w:rPr>
                <w:sz w:val="21"/>
              </w:rPr>
              <w:t>；</w:t>
            </w:r>
          </w:p>
          <w:p>
            <w:pPr>
              <w:jc w:val="both"/>
            </w:pPr>
            <w:r>
              <w:rPr>
                <w:sz w:val="21"/>
              </w:rPr>
              <w:t>展开状态：</w:t>
            </w:r>
            <w:r>
              <w:rPr>
                <w:sz w:val="21"/>
              </w:rPr>
              <w:t>≤3450mm×1600mm×1600mm</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材料</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主材：</w:t>
            </w:r>
            <w:r>
              <w:rPr>
                <w:sz w:val="21"/>
              </w:rPr>
              <w:t>304</w:t>
            </w:r>
            <w:r>
              <w:rPr>
                <w:sz w:val="21"/>
              </w:rPr>
              <w:t>不锈钢、铝、</w:t>
            </w:r>
            <w:r>
              <w:rPr>
                <w:sz w:val="21"/>
              </w:rPr>
              <w:t>PE</w:t>
            </w:r>
            <w:r>
              <w:rPr>
                <w:sz w:val="21"/>
              </w:rPr>
              <w:t>板、复合材料</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产品重量</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≤900kg</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防护等级</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≥IP55</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防风等级</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不低于</w:t>
            </w:r>
            <w:r>
              <w:rPr>
                <w:sz w:val="21"/>
              </w:rPr>
              <w:t>7</w:t>
            </w:r>
            <w:r>
              <w:rPr>
                <w:sz w:val="21"/>
              </w:rPr>
              <w:t>级风</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运行功率</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标准工况：</w:t>
            </w:r>
            <w:r>
              <w:rPr>
                <w:sz w:val="21"/>
              </w:rPr>
              <w:t>≤800w</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供电要求</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AC 220V</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工作环境温度</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-20℃</w:t>
            </w:r>
            <w:r>
              <w:rPr>
                <w:sz w:val="21"/>
              </w:rPr>
              <w:t>至</w:t>
            </w:r>
            <w:r>
              <w:rPr>
                <w:sz w:val="21"/>
              </w:rPr>
              <w:t>55℃</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续电方式及性能</w:t>
            </w:r>
          </w:p>
        </w:tc>
        <w:tc>
          <w:tcPr>
            <w:tcW w:type="dxa" w:w="5612"/>
            <w:tcBorders>
              <w:top w:val="none" w:color="000000" w:sz="4"/>
              <w:left w:val="none" w:color="000000" w:sz="4"/>
              <w:bottom w:val="single" w:color="000000" w:sz="4"/>
              <w:right w:val="single" w:color="000000" w:sz="4"/>
            </w:tcBorders>
            <w:vAlign w:val="top"/>
          </w:tcPr>
          <w:p>
            <w:pPr>
              <w:jc w:val="left"/>
            </w:pPr>
            <w:r>
              <w:rPr>
                <w:sz w:val="21"/>
              </w:rPr>
              <w:t>支持无人机自主换电；自动换电时长</w:t>
            </w:r>
            <w:r>
              <w:rPr>
                <w:sz w:val="21"/>
              </w:rPr>
              <w:t>≤2</w:t>
            </w:r>
            <w:r>
              <w:rPr>
                <w:sz w:val="21"/>
              </w:rPr>
              <w:t>分钟</w:t>
            </w:r>
            <w:r>
              <w:rPr>
                <w:sz w:val="21"/>
              </w:rPr>
              <w:t>；电池同时充电数量</w:t>
            </w:r>
            <w:r>
              <w:rPr>
                <w:sz w:val="21"/>
              </w:rPr>
              <w:t>≥</w:t>
            </w:r>
            <w:r>
              <w:rPr>
                <w:sz w:val="21"/>
              </w:rPr>
              <w:t>4</w:t>
            </w:r>
            <w:r>
              <w:rPr>
                <w:sz w:val="21"/>
              </w:rPr>
              <w:t>块；电池最大存储数量</w:t>
            </w:r>
            <w:r>
              <w:rPr>
                <w:sz w:val="21"/>
              </w:rPr>
              <w:t>≥</w:t>
            </w:r>
            <w:r>
              <w:rPr>
                <w:sz w:val="21"/>
              </w:rPr>
              <w:t>8</w:t>
            </w:r>
            <w:r>
              <w:rPr>
                <w:sz w:val="21"/>
              </w:rPr>
              <w:t>块；</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电池热替换功能</w:t>
            </w:r>
          </w:p>
        </w:tc>
        <w:tc>
          <w:tcPr>
            <w:tcW w:type="dxa" w:w="5612"/>
            <w:tcBorders>
              <w:top w:val="none" w:color="000000" w:sz="4"/>
              <w:left w:val="none" w:color="000000" w:sz="4"/>
              <w:bottom w:val="single" w:color="000000" w:sz="4"/>
              <w:right w:val="single" w:color="000000" w:sz="4"/>
            </w:tcBorders>
            <w:vAlign w:val="top"/>
          </w:tcPr>
          <w:p>
            <w:pPr>
              <w:jc w:val="left"/>
            </w:pPr>
            <w:r>
              <w:rPr>
                <w:sz w:val="21"/>
              </w:rPr>
              <w:t>具备电池热替换功能</w:t>
            </w:r>
            <w:r>
              <w:rPr>
                <w:sz w:val="21"/>
              </w:rPr>
              <w:t>，无需关闭电源亦可进行电池更换</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微气象监测系统</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机巢内部结合多传感器及智能算法，实现机巢各类设备的温湿度状态检测；气象站可实现对机场周边环境要素的实时监测，包括温度、湿度、风向、风力、雨量、气压等，保障无人机作业的安全可靠</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视频监控系统</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具备巢内外监控摄像头，可实时监控设备状态并上传视频至软件系统</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机巢功能扩展</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支持机巢</w:t>
            </w:r>
            <w:r>
              <w:rPr>
                <w:sz w:val="21"/>
              </w:rPr>
              <w:t>SDK</w:t>
            </w:r>
            <w:r>
              <w:rPr>
                <w:sz w:val="21"/>
              </w:rPr>
              <w:t>开发，可集成到第三方系统</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安全试验</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电压保护：具备防浪涌、欠压、过压、过流保护；电源管理：内置电源管理模块，精确调度充放电电压、电流，有效防止电池组压差过大；断电保护：当外部供电断开时，启用</w:t>
            </w:r>
            <w:r>
              <w:rPr>
                <w:sz w:val="21"/>
              </w:rPr>
              <w:t>UPS</w:t>
            </w:r>
            <w:r>
              <w:rPr>
                <w:sz w:val="21"/>
              </w:rPr>
              <w:t>电源供电运行，中断收回执行中无人机，保障飞行安全；误操作保护：内置控制系统多项运行检测，不满足作业条件时禁止指令执行，防止发生危险</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防盐雾测试</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由</w:t>
            </w:r>
            <w:r>
              <w:rPr>
                <w:sz w:val="21"/>
              </w:rPr>
              <w:t>甲方</w:t>
            </w:r>
            <w:r>
              <w:rPr>
                <w:sz w:val="21"/>
              </w:rPr>
              <w:t>对样机进行试验，通过试验由</w:t>
            </w:r>
            <w:r>
              <w:rPr>
                <w:sz w:val="21"/>
              </w:rPr>
              <w:t>甲方</w:t>
            </w:r>
            <w:r>
              <w:rPr>
                <w:sz w:val="21"/>
              </w:rPr>
              <w:t>确认后才投入供货安装调试</w:t>
            </w:r>
            <w:r>
              <w:rPr>
                <w:sz w:val="21"/>
              </w:rPr>
              <w:t>，样品能够正常工作（样品状态：不包装，不工作；盐雾试验条件：试验箱温度：（</w:t>
            </w:r>
            <w:r>
              <w:rPr>
                <w:sz w:val="21"/>
              </w:rPr>
              <w:t>35±2</w:t>
            </w:r>
            <w:r>
              <w:rPr>
                <w:sz w:val="21"/>
              </w:rPr>
              <w:t>）</w:t>
            </w:r>
            <w:r>
              <w:rPr>
                <w:sz w:val="21"/>
              </w:rPr>
              <w:t>℃</w:t>
            </w:r>
            <w:r>
              <w:rPr>
                <w:sz w:val="21"/>
              </w:rPr>
              <w:t>；氯化钠溶液质量百分比浓度：</w:t>
            </w:r>
            <w:r>
              <w:rPr>
                <w:sz w:val="21"/>
              </w:rPr>
              <w:t>5%</w:t>
            </w:r>
            <w:r>
              <w:rPr>
                <w:sz w:val="21"/>
              </w:rPr>
              <w:t>；</w:t>
            </w:r>
            <w:r>
              <w:rPr>
                <w:sz w:val="21"/>
              </w:rPr>
              <w:t>PH</w:t>
            </w:r>
            <w:r>
              <w:rPr>
                <w:sz w:val="21"/>
              </w:rPr>
              <w:t>值：</w:t>
            </w:r>
            <w:r>
              <w:rPr>
                <w:sz w:val="21"/>
              </w:rPr>
              <w:t>6.5~7.2</w:t>
            </w:r>
            <w:r>
              <w:rPr>
                <w:sz w:val="21"/>
              </w:rPr>
              <w:t>；盐雾沉降量（</w:t>
            </w:r>
            <w:r>
              <w:rPr>
                <w:sz w:val="21"/>
              </w:rPr>
              <w:t>ml/80cm2/h</w:t>
            </w:r>
            <w:r>
              <w:rPr>
                <w:sz w:val="21"/>
              </w:rPr>
              <w:t>）：</w:t>
            </w:r>
            <w:r>
              <w:rPr>
                <w:sz w:val="21"/>
              </w:rPr>
              <w:t>1.0~2.0</w:t>
            </w:r>
            <w:r>
              <w:rPr>
                <w:sz w:val="21"/>
              </w:rPr>
              <w:t>；喷雾方式：连续喷雾；喷雾时间：盐雾实验</w:t>
            </w:r>
            <w:r>
              <w:rPr>
                <w:sz w:val="21"/>
              </w:rPr>
              <w:t>8</w:t>
            </w:r>
            <w:r>
              <w:rPr>
                <w:sz w:val="21"/>
              </w:rPr>
              <w:t>小时）</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智能存储</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具备无人机存储能力，可为无人机提供起降场地</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无人机管控</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支持无人机状态、巡检视频、机场状态等实时监控；巡检任务管理、飞行记录、巡检数据管理</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无人值守</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支持自动巡检及异常情况下自主决策，实现远程操控、无人值守自主巡检</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数据自动上传</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支持数据自动上传及下载</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信息记录</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配备黑匣子或相关信息记录装置，信息记录时长</w:t>
            </w:r>
            <w:r>
              <w:rPr>
                <w:sz w:val="21"/>
              </w:rPr>
              <w:t>≥30</w:t>
            </w:r>
            <w:r>
              <w:rPr>
                <w:sz w:val="21"/>
              </w:rPr>
              <w:t>日</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温湿度控制</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巢内有空调，可支持温湿度控制调节</w:t>
            </w:r>
            <w:r>
              <w:rPr>
                <w:sz w:val="21"/>
              </w:rPr>
              <w:t>；</w:t>
            </w:r>
          </w:p>
        </w:tc>
      </w:tr>
      <w:tr>
        <w:tc>
          <w:tcPr>
            <w:tcW w:type="dxa" w:w="706"/>
            <w:vMerge/>
            <w:tcBorders>
              <w:top w:val="single" w:color="000000" w:sz="4"/>
              <w:left w:val="single" w:color="000000" w:sz="4"/>
              <w:bottom w:val="single" w:color="000000" w:sz="4"/>
              <w:right w:val="single" w:color="000000" w:sz="4"/>
            </w:tcBorders>
          </w:tcPr>
          <w:p/>
        </w:tc>
        <w:tc>
          <w:tcPr>
            <w:tcW w:type="dxa" w:w="1985"/>
            <w:tcBorders>
              <w:top w:val="none" w:color="000000" w:sz="4"/>
              <w:left w:val="none" w:color="000000" w:sz="4"/>
              <w:bottom w:val="single" w:color="000000" w:sz="4"/>
              <w:right w:val="single" w:color="000000" w:sz="4"/>
            </w:tcBorders>
            <w:vAlign w:val="top"/>
          </w:tcPr>
          <w:p>
            <w:pPr>
              <w:jc w:val="center"/>
            </w:pPr>
            <w:r>
              <w:rPr>
                <w:sz w:val="21"/>
              </w:rPr>
              <w:t>紧急备降</w:t>
            </w:r>
          </w:p>
        </w:tc>
        <w:tc>
          <w:tcPr>
            <w:tcW w:type="dxa" w:w="5612"/>
            <w:tcBorders>
              <w:top w:val="none" w:color="000000" w:sz="4"/>
              <w:left w:val="none" w:color="000000" w:sz="4"/>
              <w:bottom w:val="single" w:color="000000" w:sz="4"/>
              <w:right w:val="single" w:color="000000" w:sz="4"/>
            </w:tcBorders>
            <w:vAlign w:val="top"/>
          </w:tcPr>
          <w:p>
            <w:pPr>
              <w:jc w:val="center"/>
            </w:pPr>
            <w:r>
              <w:rPr>
                <w:sz w:val="21"/>
              </w:rPr>
              <w:t>支持紧急备降，误差</w:t>
            </w:r>
            <w:r>
              <w:rPr>
                <w:sz w:val="21"/>
              </w:rPr>
              <w:t>≤0.5m</w:t>
            </w:r>
            <w:r>
              <w:rPr>
                <w:sz w:val="21"/>
              </w:rPr>
              <w:t>；</w:t>
            </w:r>
          </w:p>
        </w:tc>
      </w:tr>
    </w:tbl>
    <w:p>
      <w:pPr>
        <w:jc w:val="left"/>
      </w:pPr>
      <w:r>
        <w:rPr>
          <w:b/>
          <w:sz w:val="21"/>
        </w:rPr>
        <w:t>（二）无人机组网管控平台</w:t>
      </w:r>
    </w:p>
    <w:p>
      <w:pPr>
        <w:jc w:val="left"/>
      </w:pPr>
      <w:r>
        <w:rPr>
          <w:b/>
          <w:sz w:val="21"/>
        </w:rPr>
        <w:t>无人机组网管控平台应包含以下内容：</w:t>
      </w:r>
    </w:p>
    <w:p>
      <w:pPr>
        <w:jc w:val="left"/>
      </w:pPr>
      <w:r>
        <w:rPr>
          <w:b/>
          <w:sz w:val="21"/>
        </w:rPr>
        <w:t>1</w:t>
      </w:r>
      <w:r>
        <w:rPr>
          <w:b/>
          <w:sz w:val="21"/>
        </w:rPr>
        <w:t>、无人机智能化巡查系统</w:t>
      </w:r>
      <w:r>
        <w:rPr>
          <w:b/>
          <w:sz w:val="21"/>
        </w:rPr>
        <w:t>WEB</w:t>
      </w:r>
      <w:r>
        <w:rPr>
          <w:b/>
          <w:sz w:val="21"/>
        </w:rPr>
        <w:t>端</w:t>
      </w:r>
    </w:p>
    <w:p>
      <w:pPr>
        <w:jc w:val="left"/>
      </w:pPr>
      <w:r>
        <w:rPr>
          <w:b/>
          <w:sz w:val="21"/>
        </w:rPr>
        <w:t>具有云端任务规划、协同任务分发、云端飞行高度调整、飞行方向调整、航向重叠度调整、旁向重叠度调整及单人多人协同作业等功能。</w:t>
      </w:r>
    </w:p>
    <w:p>
      <w:pPr>
        <w:jc w:val="left"/>
      </w:pPr>
      <w:r>
        <w:rPr>
          <w:b/>
          <w:sz w:val="21"/>
        </w:rPr>
        <w:t>2</w:t>
      </w:r>
      <w:r>
        <w:rPr>
          <w:b/>
          <w:sz w:val="21"/>
        </w:rPr>
        <w:t>、无人机智能化巡查系统</w:t>
      </w:r>
      <w:r>
        <w:rPr>
          <w:b/>
          <w:sz w:val="21"/>
        </w:rPr>
        <w:t>APP</w:t>
      </w:r>
      <w:r>
        <w:rPr>
          <w:b/>
          <w:sz w:val="21"/>
        </w:rPr>
        <w:t>端</w:t>
      </w:r>
    </w:p>
    <w:p>
      <w:pPr>
        <w:jc w:val="left"/>
      </w:pPr>
      <w:r>
        <w:rPr>
          <w:b/>
          <w:sz w:val="21"/>
        </w:rPr>
        <w:t>具有云端任务导入、带状正射模式、带状倾斜模式、倾斜摄影模式、河道巡视模式、环绕飞行模式、全景采集模式等功能，</w:t>
      </w:r>
      <w:r>
        <w:rPr>
          <w:b/>
          <w:sz w:val="21"/>
        </w:rPr>
        <w:t>APP</w:t>
      </w:r>
      <w:r>
        <w:rPr>
          <w:b/>
          <w:sz w:val="21"/>
        </w:rPr>
        <w:t>要求支持安卓平台。</w:t>
      </w:r>
    </w:p>
    <w:p>
      <w:pPr>
        <w:jc w:val="left"/>
      </w:pPr>
      <w:r>
        <w:rPr>
          <w:b/>
          <w:sz w:val="21"/>
        </w:rPr>
        <w:t>3</w:t>
      </w:r>
      <w:r>
        <w:rPr>
          <w:b/>
          <w:sz w:val="21"/>
        </w:rPr>
        <w:t>、无人机管控系统</w:t>
      </w:r>
    </w:p>
    <w:p>
      <w:pPr>
        <w:jc w:val="left"/>
      </w:pPr>
      <w:r>
        <w:rPr>
          <w:b/>
          <w:sz w:val="21"/>
        </w:rPr>
        <w:t>具有远程控制、全自主飞行、三维航线规划、巡查视频实时回传、自动更换电池与充放电、紧急环境一键返航等功能。</w:t>
      </w:r>
    </w:p>
    <w:p>
      <w:pPr>
        <w:jc w:val="left"/>
      </w:pPr>
      <w:r>
        <w:rPr>
          <w:b/>
          <w:sz w:val="21"/>
        </w:rPr>
        <w:t>（三）无人机服务功能要求：</w:t>
      </w:r>
    </w:p>
    <w:p>
      <w:pPr>
        <w:jc w:val="left"/>
      </w:pPr>
      <w:r>
        <w:rPr>
          <w:b/>
          <w:sz w:val="21"/>
        </w:rPr>
        <w:t>1</w:t>
      </w:r>
      <w:r>
        <w:rPr>
          <w:b/>
          <w:sz w:val="21"/>
        </w:rPr>
        <w:t>、城管业务应用</w:t>
      </w:r>
    </w:p>
    <w:p>
      <w:pPr>
        <w:jc w:val="left"/>
      </w:pPr>
      <w:r>
        <w:rPr>
          <w:b/>
          <w:sz w:val="21"/>
        </w:rPr>
        <w:t>（</w:t>
      </w:r>
      <w:r>
        <w:rPr>
          <w:b/>
          <w:sz w:val="21"/>
        </w:rPr>
        <w:t>1</w:t>
      </w:r>
      <w:r>
        <w:rPr>
          <w:b/>
          <w:sz w:val="21"/>
        </w:rPr>
        <w:t>）城管大数据分析（图表界面）：</w:t>
      </w:r>
      <w:r>
        <w:rPr>
          <w:b/>
          <w:sz w:val="21"/>
        </w:rPr>
        <w:t>①</w:t>
      </w:r>
      <w:r>
        <w:rPr>
          <w:b/>
          <w:sz w:val="21"/>
        </w:rPr>
        <w:t>案件类型分析；</w:t>
      </w:r>
      <w:r>
        <w:rPr>
          <w:b/>
          <w:sz w:val="21"/>
        </w:rPr>
        <w:t>②</w:t>
      </w:r>
      <w:r>
        <w:rPr>
          <w:b/>
          <w:sz w:val="21"/>
        </w:rPr>
        <w:t>案发地域分析；</w:t>
      </w:r>
      <w:r>
        <w:rPr>
          <w:b/>
          <w:sz w:val="21"/>
        </w:rPr>
        <w:t>③</w:t>
      </w:r>
      <w:r>
        <w:rPr>
          <w:b/>
          <w:sz w:val="21"/>
        </w:rPr>
        <w:t>案发时效分析；</w:t>
      </w:r>
      <w:r>
        <w:rPr>
          <w:b/>
          <w:sz w:val="21"/>
        </w:rPr>
        <w:t>④</w:t>
      </w:r>
      <w:r>
        <w:rPr>
          <w:b/>
          <w:sz w:val="21"/>
        </w:rPr>
        <w:t>办案人员案件分析等。</w:t>
      </w:r>
    </w:p>
    <w:p>
      <w:pPr>
        <w:jc w:val="left"/>
      </w:pPr>
      <w:r>
        <w:rPr>
          <w:b/>
          <w:sz w:val="21"/>
        </w:rPr>
        <w:t>（</w:t>
      </w:r>
      <w:r>
        <w:rPr>
          <w:b/>
          <w:sz w:val="21"/>
        </w:rPr>
        <w:t>2</w:t>
      </w:r>
      <w:r>
        <w:rPr>
          <w:b/>
          <w:sz w:val="21"/>
        </w:rPr>
        <w:t>）建立移动客户端：</w:t>
      </w:r>
      <w:r>
        <w:rPr>
          <w:b/>
          <w:sz w:val="21"/>
        </w:rPr>
        <w:t>①</w:t>
      </w:r>
      <w:r>
        <w:rPr>
          <w:b/>
          <w:sz w:val="21"/>
        </w:rPr>
        <w:t>实现现场案件定位、数据录入；</w:t>
      </w:r>
      <w:r>
        <w:rPr>
          <w:b/>
          <w:sz w:val="21"/>
        </w:rPr>
        <w:t>②</w:t>
      </w:r>
      <w:r>
        <w:rPr>
          <w:b/>
          <w:sz w:val="21"/>
        </w:rPr>
        <w:t>实现办事人员、当事人信息自动载入和录入；</w:t>
      </w:r>
      <w:r>
        <w:rPr>
          <w:b/>
          <w:sz w:val="21"/>
        </w:rPr>
        <w:t>③</w:t>
      </w:r>
      <w:r>
        <w:rPr>
          <w:b/>
          <w:sz w:val="21"/>
        </w:rPr>
        <w:t>实现案件收发。</w:t>
      </w:r>
    </w:p>
    <w:p>
      <w:pPr>
        <w:jc w:val="left"/>
      </w:pPr>
      <w:r>
        <w:rPr>
          <w:b/>
          <w:sz w:val="21"/>
        </w:rPr>
        <w:t>（</w:t>
      </w:r>
      <w:r>
        <w:rPr>
          <w:b/>
          <w:sz w:val="21"/>
        </w:rPr>
        <w:t>3</w:t>
      </w:r>
      <w:r>
        <w:rPr>
          <w:b/>
          <w:sz w:val="21"/>
        </w:rPr>
        <w:t>）城管数据分析可视化；</w:t>
      </w:r>
    </w:p>
    <w:p>
      <w:pPr>
        <w:jc w:val="left"/>
      </w:pPr>
      <w:r>
        <w:rPr>
          <w:b/>
          <w:sz w:val="21"/>
        </w:rPr>
        <w:t>（</w:t>
      </w:r>
      <w:r>
        <w:rPr>
          <w:b/>
          <w:sz w:val="21"/>
        </w:rPr>
        <w:t>4</w:t>
      </w:r>
      <w:r>
        <w:rPr>
          <w:b/>
          <w:sz w:val="21"/>
        </w:rPr>
        <w:t>）实现无人机自动识别案件后报警、下发、录入、反馈、分析等功能。</w:t>
      </w:r>
    </w:p>
    <w:p>
      <w:pPr>
        <w:jc w:val="left"/>
      </w:pPr>
      <w:r>
        <w:rPr>
          <w:b/>
          <w:sz w:val="21"/>
        </w:rPr>
        <w:t>2</w:t>
      </w:r>
      <w:r>
        <w:rPr>
          <w:b/>
          <w:sz w:val="21"/>
        </w:rPr>
        <w:t>、其他业务应用</w:t>
      </w:r>
    </w:p>
    <w:p>
      <w:pPr>
        <w:jc w:val="left"/>
      </w:pPr>
      <w:r>
        <w:rPr>
          <w:b/>
          <w:sz w:val="21"/>
        </w:rPr>
        <w:t>提供数据成果客户端，供国土、环保、水利、应急、交通、交警、公安等政府部门使用，并根据这些部门的需求意见反馈，对数据成果进行适时优化提升。</w:t>
      </w:r>
    </w:p>
    <w:p>
      <w:pPr>
        <w:jc w:val="left"/>
      </w:pPr>
      <w:r>
        <w:rPr>
          <w:b/>
          <w:sz w:val="21"/>
        </w:rPr>
        <w:t>（四）无人机服务清单</w:t>
      </w:r>
    </w:p>
    <w:p>
      <w:pPr>
        <w:jc w:val="left"/>
      </w:pPr>
      <w:r>
        <w:rPr>
          <w:b/>
          <w:sz w:val="21"/>
        </w:rPr>
        <w:t>1</w:t>
      </w:r>
      <w:r>
        <w:rPr>
          <w:b/>
          <w:sz w:val="21"/>
        </w:rPr>
        <w:t>、</w:t>
      </w:r>
      <w:r>
        <w:rPr>
          <w:b/>
          <w:sz w:val="21"/>
        </w:rPr>
        <w:t>5G</w:t>
      </w:r>
      <w:r>
        <w:rPr>
          <w:b/>
          <w:sz w:val="21"/>
        </w:rPr>
        <w:t>网联无人机组网硬件设备基本需求</w:t>
      </w:r>
    </w:p>
    <w:tbl>
      <w:tblPr>
        <w:tblW w:w="0" w:type="auto"/>
        <w:tblBorders>
          <w:top w:val="none" w:color="000000" w:sz="4"/>
          <w:left w:val="none" w:color="000000" w:sz="4"/>
          <w:bottom w:val="none" w:color="000000" w:sz="4"/>
          <w:right w:val="none" w:color="000000" w:sz="4"/>
          <w:insideH w:val="none"/>
          <w:insideV w:val="none"/>
        </w:tblBorders>
      </w:tblPr>
      <w:tblGrid>
        <w:gridCol w:w="683"/>
        <w:gridCol w:w="1573"/>
        <w:gridCol w:w="6047"/>
      </w:tblGrid>
      <w:tr>
        <w:tc>
          <w:tcPr>
            <w:tcW w:type="dxa" w:w="6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573"/>
            <w:tcBorders>
              <w:top w:val="single" w:color="000000" w:sz="4"/>
              <w:left w:val="none" w:color="000000" w:sz="4"/>
              <w:bottom w:val="single" w:color="000000" w:sz="4"/>
              <w:right w:val="single" w:color="000000" w:sz="4"/>
            </w:tcBorders>
            <w:vAlign w:val="top"/>
          </w:tcPr>
          <w:p>
            <w:pPr>
              <w:jc w:val="center"/>
            </w:pPr>
            <w:r>
              <w:rPr>
                <w:b/>
                <w:sz w:val="21"/>
              </w:rPr>
              <w:t>硬件租赁</w:t>
            </w:r>
          </w:p>
        </w:tc>
        <w:tc>
          <w:tcPr>
            <w:tcW w:type="dxa" w:w="6047"/>
            <w:tcBorders>
              <w:top w:val="single" w:color="000000" w:sz="4"/>
              <w:left w:val="none" w:color="000000" w:sz="4"/>
              <w:bottom w:val="single" w:color="000000" w:sz="4"/>
              <w:right w:val="single" w:color="000000" w:sz="4"/>
            </w:tcBorders>
            <w:vAlign w:val="top"/>
          </w:tcPr>
          <w:p>
            <w:pPr>
              <w:jc w:val="center"/>
            </w:pPr>
            <w:r>
              <w:rPr>
                <w:b/>
                <w:sz w:val="21"/>
              </w:rPr>
              <w:t>硬件参数及用途</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73"/>
            <w:tcBorders>
              <w:top w:val="none" w:color="000000" w:sz="4"/>
              <w:left w:val="none" w:color="000000" w:sz="4"/>
              <w:bottom w:val="single" w:color="000000" w:sz="4"/>
              <w:right w:val="single" w:color="000000" w:sz="4"/>
            </w:tcBorders>
            <w:vAlign w:val="top"/>
          </w:tcPr>
          <w:p>
            <w:pPr>
              <w:jc w:val="center"/>
            </w:pPr>
            <w:r>
              <w:rPr>
                <w:sz w:val="21"/>
              </w:rPr>
              <w:t>无人机基站组网（</w:t>
            </w:r>
            <w:r>
              <w:rPr>
                <w:sz w:val="21"/>
              </w:rPr>
              <w:t>2</w:t>
            </w:r>
            <w:r>
              <w:rPr>
                <w:sz w:val="21"/>
              </w:rPr>
              <w:t>台）</w:t>
            </w:r>
          </w:p>
        </w:tc>
        <w:tc>
          <w:tcPr>
            <w:tcW w:type="dxa" w:w="6047"/>
            <w:tcBorders>
              <w:top w:val="none" w:color="000000" w:sz="4"/>
              <w:left w:val="none" w:color="000000" w:sz="4"/>
              <w:bottom w:val="single" w:color="000000" w:sz="4"/>
              <w:right w:val="single" w:color="000000" w:sz="4"/>
            </w:tcBorders>
            <w:vAlign w:val="top"/>
          </w:tcPr>
          <w:p>
            <w:pPr>
              <w:jc w:val="left"/>
            </w:pPr>
            <w:r>
              <w:rPr>
                <w:sz w:val="21"/>
              </w:rPr>
              <w:t>提供无人机自动换电起降和</w:t>
            </w:r>
            <w:r>
              <w:rPr>
                <w:sz w:val="21"/>
              </w:rPr>
              <w:t>5G</w:t>
            </w:r>
            <w:r>
              <w:rPr>
                <w:sz w:val="21"/>
              </w:rPr>
              <w:t>传输设备包含无人机电池自动更换、飞行规划和控制，飞行控制信号增强，数据信息传输。</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73"/>
            <w:tcBorders>
              <w:top w:val="none" w:color="000000" w:sz="4"/>
              <w:left w:val="none" w:color="000000" w:sz="4"/>
              <w:bottom w:val="single" w:color="000000" w:sz="4"/>
              <w:right w:val="single" w:color="000000" w:sz="4"/>
            </w:tcBorders>
            <w:vAlign w:val="top"/>
          </w:tcPr>
          <w:p>
            <w:pPr>
              <w:jc w:val="center"/>
            </w:pPr>
            <w:r>
              <w:rPr>
                <w:sz w:val="21"/>
              </w:rPr>
              <w:t>工业无人机</w:t>
            </w:r>
            <w:r>
              <w:rPr>
                <w:sz w:val="21"/>
              </w:rPr>
              <w:t>(2</w:t>
            </w:r>
            <w:r>
              <w:rPr>
                <w:sz w:val="21"/>
              </w:rPr>
              <w:t>台</w:t>
            </w:r>
            <w:r>
              <w:rPr>
                <w:sz w:val="21"/>
              </w:rPr>
              <w:t>)</w:t>
            </w:r>
          </w:p>
        </w:tc>
        <w:tc>
          <w:tcPr>
            <w:tcW w:type="dxa" w:w="6047"/>
            <w:tcBorders>
              <w:top w:val="none" w:color="000000" w:sz="4"/>
              <w:left w:val="none" w:color="000000" w:sz="4"/>
              <w:bottom w:val="single" w:color="000000" w:sz="4"/>
              <w:right w:val="single" w:color="000000" w:sz="4"/>
            </w:tcBorders>
            <w:vAlign w:val="top"/>
          </w:tcPr>
          <w:p>
            <w:pPr>
              <w:jc w:val="left"/>
            </w:pPr>
            <w:r>
              <w:rPr>
                <w:sz w:val="21"/>
              </w:rPr>
              <w:t>提供数据采集飞行服务，支持</w:t>
            </w:r>
            <w:r>
              <w:rPr>
                <w:sz w:val="21"/>
              </w:rPr>
              <w:t>≥55</w:t>
            </w:r>
            <w:r>
              <w:rPr>
                <w:sz w:val="21"/>
              </w:rPr>
              <w:t>分钟续航时间，最大载重</w:t>
            </w:r>
            <w:r>
              <w:rPr>
                <w:sz w:val="21"/>
              </w:rPr>
              <w:t>≥2.5Kg</w:t>
            </w:r>
            <w:r>
              <w:rPr>
                <w:sz w:val="21"/>
              </w:rPr>
              <w:t>，防护等级</w:t>
            </w:r>
            <w:r>
              <w:rPr>
                <w:sz w:val="21"/>
              </w:rPr>
              <w:t>IP45</w:t>
            </w:r>
            <w:r>
              <w:rPr>
                <w:sz w:val="21"/>
              </w:rPr>
              <w:t>，有效控制距离</w:t>
            </w:r>
            <w:r>
              <w:rPr>
                <w:sz w:val="21"/>
              </w:rPr>
              <w:t>≥8Km</w:t>
            </w:r>
            <w:r>
              <w:rPr>
                <w:sz w:val="21"/>
              </w:rPr>
              <w:t>，具备红外视觉感知系统，内置高性能</w:t>
            </w:r>
            <w:r>
              <w:rPr>
                <w:sz w:val="21"/>
              </w:rPr>
              <w:t>RTK</w:t>
            </w:r>
            <w:r>
              <w:rPr>
                <w:sz w:val="21"/>
              </w:rPr>
              <w:t>模块，支持网络</w:t>
            </w:r>
            <w:r>
              <w:rPr>
                <w:sz w:val="21"/>
              </w:rPr>
              <w:t>RTK</w:t>
            </w:r>
            <w:r>
              <w:rPr>
                <w:sz w:val="21"/>
              </w:rPr>
              <w:t>。</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 xml:space="preserve"> 3</w:t>
            </w:r>
          </w:p>
        </w:tc>
        <w:tc>
          <w:tcPr>
            <w:tcW w:type="dxa" w:w="1573"/>
            <w:tcBorders>
              <w:top w:val="none" w:color="000000" w:sz="4"/>
              <w:left w:val="none" w:color="000000" w:sz="4"/>
              <w:bottom w:val="single" w:color="000000" w:sz="4"/>
              <w:right w:val="single" w:color="000000" w:sz="4"/>
            </w:tcBorders>
            <w:vAlign w:val="top"/>
          </w:tcPr>
          <w:p>
            <w:pPr>
              <w:jc w:val="center"/>
            </w:pPr>
            <w:r>
              <w:rPr>
                <w:sz w:val="21"/>
              </w:rPr>
              <w:t>可见光热红外双光传感器</w:t>
            </w:r>
            <w:r>
              <w:rPr>
                <w:sz w:val="21"/>
              </w:rPr>
              <w:t>(2</w:t>
            </w:r>
            <w:r>
              <w:rPr>
                <w:sz w:val="21"/>
              </w:rPr>
              <w:t>台</w:t>
            </w:r>
            <w:r>
              <w:rPr>
                <w:sz w:val="21"/>
              </w:rPr>
              <w:t>)</w:t>
            </w:r>
          </w:p>
        </w:tc>
        <w:tc>
          <w:tcPr>
            <w:tcW w:type="dxa" w:w="6047"/>
            <w:tcBorders>
              <w:top w:val="none" w:color="000000" w:sz="4"/>
              <w:left w:val="none" w:color="000000" w:sz="4"/>
              <w:bottom w:val="single" w:color="000000" w:sz="4"/>
              <w:right w:val="single" w:color="000000" w:sz="4"/>
            </w:tcBorders>
            <w:vAlign w:val="top"/>
          </w:tcPr>
          <w:p>
            <w:pPr>
              <w:jc w:val="left"/>
            </w:pPr>
            <w:r>
              <w:rPr>
                <w:sz w:val="21"/>
              </w:rPr>
              <w:t>提供数据采集传感器设备，防水等级</w:t>
            </w:r>
            <w:r>
              <w:rPr>
                <w:sz w:val="21"/>
              </w:rPr>
              <w:t>IP45</w:t>
            </w:r>
            <w:r>
              <w:rPr>
                <w:sz w:val="21"/>
              </w:rPr>
              <w:t>，三轴防抖云台，可见光相机：可见光有效像素</w:t>
            </w:r>
            <w:r>
              <w:rPr>
                <w:sz w:val="21"/>
              </w:rPr>
              <w:t>≥2000</w:t>
            </w:r>
            <w:r>
              <w:rPr>
                <w:sz w:val="21"/>
              </w:rPr>
              <w:t>万，</w:t>
            </w:r>
            <w:r>
              <w:rPr>
                <w:sz w:val="21"/>
              </w:rPr>
              <w:t>20</w:t>
            </w:r>
            <w:r>
              <w:rPr>
                <w:sz w:val="21"/>
              </w:rPr>
              <w:t>倍变焦；热红外相机：热成像像素</w:t>
            </w:r>
            <w:r>
              <w:rPr>
                <w:sz w:val="21"/>
              </w:rPr>
              <w:t>≥640×512</w:t>
            </w:r>
            <w:r>
              <w:rPr>
                <w:sz w:val="21"/>
              </w:rPr>
              <w:t>，测温范围</w:t>
            </w:r>
            <w:r>
              <w:rPr>
                <w:sz w:val="21"/>
              </w:rPr>
              <w:t>-40°-150°</w:t>
            </w:r>
            <w:r>
              <w:rPr>
                <w:sz w:val="21"/>
              </w:rPr>
              <w:t>，数字</w:t>
            </w:r>
            <w:r>
              <w:rPr>
                <w:sz w:val="21"/>
              </w:rPr>
              <w:t>8</w:t>
            </w:r>
            <w:r>
              <w:rPr>
                <w:sz w:val="21"/>
              </w:rPr>
              <w:t>倍变焦，敏感度＜</w:t>
            </w:r>
            <w:r>
              <w:rPr>
                <w:sz w:val="21"/>
              </w:rPr>
              <w:t>50MK</w:t>
            </w:r>
            <w:r>
              <w:rPr>
                <w:sz w:val="21"/>
              </w:rPr>
              <w:t>，激光测距</w:t>
            </w:r>
            <w:r>
              <w:rPr>
                <w:sz w:val="21"/>
              </w:rPr>
              <w:t>≥3M-1200M</w:t>
            </w:r>
            <w:r>
              <w:rPr>
                <w:sz w:val="21"/>
              </w:rPr>
              <w:t>。</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73"/>
            <w:tcBorders>
              <w:top w:val="none" w:color="000000" w:sz="4"/>
              <w:left w:val="none" w:color="000000" w:sz="4"/>
              <w:bottom w:val="single" w:color="000000" w:sz="4"/>
              <w:right w:val="single" w:color="000000" w:sz="4"/>
            </w:tcBorders>
            <w:vAlign w:val="top"/>
          </w:tcPr>
          <w:p>
            <w:pPr>
              <w:jc w:val="center"/>
            </w:pPr>
            <w:r>
              <w:rPr>
                <w:sz w:val="21"/>
              </w:rPr>
              <w:t>灵嗅</w:t>
            </w:r>
            <w:r>
              <w:rPr>
                <w:sz w:val="21"/>
              </w:rPr>
              <w:t>V2</w:t>
            </w:r>
            <w:r>
              <w:rPr>
                <w:sz w:val="21"/>
              </w:rPr>
              <w:t>（</w:t>
            </w:r>
            <w:r>
              <w:rPr>
                <w:sz w:val="21"/>
              </w:rPr>
              <w:t>1</w:t>
            </w:r>
            <w:r>
              <w:rPr>
                <w:sz w:val="21"/>
              </w:rPr>
              <w:t>台）</w:t>
            </w:r>
          </w:p>
        </w:tc>
        <w:tc>
          <w:tcPr>
            <w:tcW w:type="dxa" w:w="6047"/>
            <w:tcBorders>
              <w:top w:val="none" w:color="000000" w:sz="4"/>
              <w:left w:val="none" w:color="000000" w:sz="4"/>
              <w:bottom w:val="single" w:color="000000" w:sz="4"/>
              <w:right w:val="single" w:color="000000" w:sz="4"/>
            </w:tcBorders>
            <w:vAlign w:val="top"/>
          </w:tcPr>
          <w:p>
            <w:pPr>
              <w:jc w:val="left"/>
            </w:pPr>
            <w:r>
              <w:rPr>
                <w:sz w:val="21"/>
              </w:rPr>
              <w:t>支持典型气体检测，环保应用典型</w:t>
            </w:r>
            <w:r>
              <w:rPr>
                <w:sz w:val="21"/>
              </w:rPr>
              <w:t>7</w:t>
            </w:r>
            <w:r>
              <w:rPr>
                <w:sz w:val="21"/>
              </w:rPr>
              <w:t>参数</w:t>
            </w:r>
            <w:r>
              <w:rPr>
                <w:sz w:val="21"/>
              </w:rPr>
              <w:t>PM2.5</w:t>
            </w:r>
            <w:r>
              <w:rPr>
                <w:sz w:val="21"/>
              </w:rPr>
              <w:t>、</w:t>
            </w:r>
            <w:r>
              <w:rPr>
                <w:sz w:val="21"/>
              </w:rPr>
              <w:t>PM10</w:t>
            </w:r>
            <w:r>
              <w:rPr>
                <w:sz w:val="21"/>
              </w:rPr>
              <w:t>、</w:t>
            </w:r>
            <w:r>
              <w:rPr>
                <w:sz w:val="21"/>
              </w:rPr>
              <w:t>SO</w:t>
            </w:r>
            <w:r>
              <w:rPr>
                <w:sz w:val="21"/>
                <w:vertAlign w:val="subscript"/>
              </w:rPr>
              <w:t>2</w:t>
            </w:r>
            <w:r>
              <w:rPr>
                <w:sz w:val="21"/>
              </w:rPr>
              <w:t>、</w:t>
            </w:r>
            <w:r>
              <w:rPr>
                <w:sz w:val="21"/>
              </w:rPr>
              <w:t>CO</w:t>
            </w:r>
            <w:r>
              <w:rPr>
                <w:sz w:val="21"/>
              </w:rPr>
              <w:t>、</w:t>
            </w:r>
            <w:r>
              <w:rPr>
                <w:sz w:val="21"/>
              </w:rPr>
              <w:t>NO</w:t>
            </w:r>
            <w:r>
              <w:rPr>
                <w:sz w:val="21"/>
                <w:vertAlign w:val="subscript"/>
              </w:rPr>
              <w:t>2</w:t>
            </w:r>
            <w:r>
              <w:rPr>
                <w:sz w:val="21"/>
              </w:rPr>
              <w:t>、</w:t>
            </w:r>
            <w:r>
              <w:rPr>
                <w:sz w:val="21"/>
              </w:rPr>
              <w:t>O</w:t>
            </w:r>
            <w:r>
              <w:rPr>
                <w:sz w:val="21"/>
                <w:vertAlign w:val="subscript"/>
              </w:rPr>
              <w:t>3</w:t>
            </w:r>
            <w:r>
              <w:rPr>
                <w:sz w:val="21"/>
              </w:rPr>
              <w:t>、</w:t>
            </w:r>
            <w:r>
              <w:rPr>
                <w:sz w:val="21"/>
              </w:rPr>
              <w:t>VOCs</w:t>
            </w:r>
            <w:r>
              <w:rPr>
                <w:sz w:val="21"/>
              </w:rPr>
              <w:t>。</w:t>
            </w:r>
          </w:p>
        </w:tc>
      </w:tr>
      <w:tr>
        <w:tc>
          <w:tcPr>
            <w:tcW w:type="dxa" w:w="6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573"/>
            <w:tcBorders>
              <w:top w:val="none" w:color="000000" w:sz="4"/>
              <w:left w:val="none" w:color="000000" w:sz="4"/>
              <w:bottom w:val="single" w:color="000000" w:sz="4"/>
              <w:right w:val="single" w:color="000000" w:sz="4"/>
            </w:tcBorders>
            <w:vAlign w:val="top"/>
          </w:tcPr>
          <w:p>
            <w:pPr>
              <w:jc w:val="center"/>
            </w:pPr>
            <w:r>
              <w:rPr>
                <w:sz w:val="21"/>
              </w:rPr>
              <w:t>空中喊话器（</w:t>
            </w:r>
            <w:r>
              <w:rPr>
                <w:sz w:val="21"/>
              </w:rPr>
              <w:t>2</w:t>
            </w:r>
            <w:r>
              <w:rPr>
                <w:sz w:val="21"/>
              </w:rPr>
              <w:t>套）</w:t>
            </w:r>
          </w:p>
        </w:tc>
        <w:tc>
          <w:tcPr>
            <w:tcW w:type="dxa" w:w="6047"/>
            <w:tcBorders>
              <w:top w:val="none" w:color="000000" w:sz="4"/>
              <w:left w:val="none" w:color="000000" w:sz="4"/>
              <w:bottom w:val="single" w:color="000000" w:sz="4"/>
              <w:right w:val="single" w:color="000000" w:sz="4"/>
            </w:tcBorders>
            <w:vAlign w:val="top"/>
          </w:tcPr>
          <w:p>
            <w:pPr>
              <w:jc w:val="left"/>
            </w:pPr>
            <w:r>
              <w:rPr>
                <w:sz w:val="21"/>
              </w:rPr>
              <w:t>用于无人机高空喊话。</w:t>
            </w:r>
          </w:p>
        </w:tc>
      </w:tr>
    </w:tbl>
    <w:p>
      <w:pPr>
        <w:jc w:val="both"/>
      </w:pPr>
      <w:r>
        <w:rPr>
          <w:sz w:val="21"/>
        </w:rPr>
        <w:t>2</w:t>
      </w:r>
      <w:r>
        <w:rPr>
          <w:sz w:val="21"/>
        </w:rPr>
        <w:t>、智能巡检与智能识别服务</w:t>
      </w:r>
    </w:p>
    <w:tbl>
      <w:tblPr>
        <w:tblW w:w="0" w:type="auto"/>
        <w:tblBorders>
          <w:top w:val="none" w:color="000000" w:sz="4"/>
          <w:left w:val="none" w:color="000000" w:sz="4"/>
          <w:bottom w:val="none" w:color="000000" w:sz="4"/>
          <w:right w:val="none" w:color="000000" w:sz="4"/>
          <w:insideH w:val="none"/>
          <w:insideV w:val="none"/>
        </w:tblBorders>
      </w:tblPr>
      <w:tblGrid>
        <w:gridCol w:w="901"/>
        <w:gridCol w:w="1504"/>
        <w:gridCol w:w="5900"/>
      </w:tblGrid>
      <w:tr>
        <w:tc>
          <w:tcPr>
            <w:tcW w:type="dxa" w:w="901"/>
            <w:tcBorders>
              <w:top w:val="single" w:color="000000" w:sz="4"/>
              <w:left w:val="single" w:color="000000" w:sz="4"/>
              <w:bottom w:val="single" w:color="000000" w:sz="4"/>
              <w:right w:val="single" w:color="000000" w:sz="4"/>
            </w:tcBorders>
            <w:vAlign w:val="top"/>
          </w:tcPr>
          <w:p>
            <w:pPr>
              <w:jc w:val="center"/>
            </w:pPr>
            <w:r>
              <w:rPr>
                <w:b/>
                <w:sz w:val="21"/>
              </w:rPr>
              <w:t>服务类别</w:t>
            </w:r>
          </w:p>
        </w:tc>
        <w:tc>
          <w:tcPr>
            <w:tcW w:type="dxa" w:w="1504"/>
            <w:tcBorders>
              <w:top w:val="single" w:color="000000" w:sz="4"/>
              <w:left w:val="none" w:color="000000" w:sz="4"/>
              <w:bottom w:val="single" w:color="000000" w:sz="4"/>
              <w:right w:val="single" w:color="000000" w:sz="4"/>
            </w:tcBorders>
            <w:vAlign w:val="top"/>
          </w:tcPr>
          <w:p>
            <w:pPr>
              <w:jc w:val="both"/>
            </w:pPr>
            <w:r>
              <w:rPr>
                <w:b/>
                <w:sz w:val="21"/>
              </w:rPr>
              <w:t>服务内容</w:t>
            </w:r>
          </w:p>
        </w:tc>
        <w:tc>
          <w:tcPr>
            <w:tcW w:type="dxa" w:w="5900"/>
            <w:tcBorders>
              <w:top w:val="single" w:color="000000" w:sz="4"/>
              <w:left w:val="none" w:color="000000" w:sz="4"/>
              <w:bottom w:val="single" w:color="000000" w:sz="4"/>
              <w:right w:val="single" w:color="000000" w:sz="4"/>
            </w:tcBorders>
            <w:vAlign w:val="top"/>
          </w:tcPr>
          <w:p>
            <w:pPr>
              <w:jc w:val="center"/>
            </w:pPr>
            <w:r>
              <w:rPr>
                <w:b/>
                <w:sz w:val="21"/>
              </w:rPr>
              <w:t>服务描述</w:t>
            </w:r>
          </w:p>
        </w:tc>
      </w:tr>
      <w:tr>
        <w:tc>
          <w:tcPr>
            <w:tcW w:type="dxa" w:w="901"/>
            <w:vMerge w:val="restart"/>
            <w:tcBorders>
              <w:top w:val="none" w:color="000000" w:sz="4"/>
              <w:left w:val="single" w:color="000000" w:sz="4"/>
              <w:bottom w:val="single" w:color="000000" w:sz="4"/>
              <w:right w:val="single" w:color="000000" w:sz="4"/>
            </w:tcBorders>
            <w:vAlign w:val="top"/>
          </w:tcPr>
          <w:p>
            <w:pPr>
              <w:jc w:val="left"/>
            </w:pPr>
            <w:r>
              <w:rPr>
                <w:sz w:val="21"/>
              </w:rPr>
              <w:t>智慧城管巡查服务</w:t>
            </w:r>
          </w:p>
          <w:p>
            <w:pPr>
              <w:jc w:val="left"/>
            </w:pPr>
          </w:p>
        </w:tc>
        <w:tc>
          <w:tcPr>
            <w:tcW w:type="dxa" w:w="1504"/>
            <w:tcBorders>
              <w:top w:val="none" w:color="000000" w:sz="4"/>
              <w:left w:val="none" w:color="000000" w:sz="4"/>
              <w:bottom w:val="single" w:color="000000" w:sz="4"/>
              <w:right w:val="single" w:color="000000" w:sz="4"/>
            </w:tcBorders>
            <w:vAlign w:val="top"/>
          </w:tcPr>
          <w:p>
            <w:pPr>
              <w:jc w:val="left"/>
            </w:pPr>
            <w:r>
              <w:rPr>
                <w:sz w:val="21"/>
              </w:rPr>
              <w:t>违建巡查</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在基站覆盖范围内，对违法建设、河道违建等通过无人机巡逻进行遥感分析和图像分析违建物识别报告内容须包含：违建物的经纬度、位置说明、类型、面积等。</w:t>
            </w:r>
          </w:p>
          <w:p>
            <w:pPr>
              <w:jc w:val="left"/>
            </w:pPr>
            <w:r>
              <w:rPr>
                <w:sz w:val="21"/>
              </w:rPr>
              <w:t>服务频率：每周不少于</w:t>
            </w:r>
            <w:r>
              <w:rPr>
                <w:sz w:val="21"/>
              </w:rPr>
              <w:t>2</w:t>
            </w:r>
            <w:r>
              <w:rPr>
                <w:sz w:val="21"/>
              </w:rPr>
              <w:t>次。</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占道经营、乱摆卖、垃圾焚烧</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w:t>
            </w:r>
            <w:r>
              <w:rPr>
                <w:sz w:val="21"/>
              </w:rPr>
              <w:t>1</w:t>
            </w:r>
            <w:r>
              <w:rPr>
                <w:sz w:val="21"/>
              </w:rPr>
              <w:t>、针对占道经营、乱摆卖情况进行智能巡查，现场取证；</w:t>
            </w:r>
            <w:r>
              <w:rPr>
                <w:sz w:val="21"/>
              </w:rPr>
              <w:t>2</w:t>
            </w:r>
            <w:r>
              <w:rPr>
                <w:sz w:val="21"/>
              </w:rPr>
              <w:t>、针对垃圾焚烧焚烧污染大气的情况，利用无人机可以在巡查中实现白天和夜间全时段覆盖，可以感应温度异常区域，及时判断是否存在非法用火行为。</w:t>
            </w:r>
          </w:p>
          <w:p>
            <w:pPr>
              <w:jc w:val="left"/>
            </w:pPr>
            <w:r>
              <w:rPr>
                <w:sz w:val="21"/>
              </w:rPr>
              <w:t>服务频率：每周不少于</w:t>
            </w:r>
            <w:r>
              <w:rPr>
                <w:sz w:val="21"/>
              </w:rPr>
              <w:t>2</w:t>
            </w:r>
            <w:r>
              <w:rPr>
                <w:sz w:val="21"/>
              </w:rPr>
              <w:t>次。</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施工扬尘、工地围蔽</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在基站覆盖范围内，针对工地施工扬尘、工地围蔽等情况进行远程智能巡查，实时回传视频到指挥中心，并拍摄取证。</w:t>
            </w:r>
          </w:p>
          <w:p>
            <w:pPr>
              <w:jc w:val="left"/>
            </w:pPr>
            <w:r>
              <w:rPr>
                <w:sz w:val="21"/>
              </w:rPr>
              <w:t>服务频率：每周不少于</w:t>
            </w:r>
            <w:r>
              <w:rPr>
                <w:sz w:val="21"/>
              </w:rPr>
              <w:t>2</w:t>
            </w:r>
            <w:r>
              <w:rPr>
                <w:sz w:val="21"/>
              </w:rPr>
              <w:t>次。</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倾斜摄影三维建模</w:t>
            </w:r>
          </w:p>
        </w:tc>
        <w:tc>
          <w:tcPr>
            <w:tcW w:type="dxa" w:w="5900"/>
            <w:tcBorders>
              <w:top w:val="none" w:color="000000" w:sz="4"/>
              <w:left w:val="none" w:color="000000" w:sz="4"/>
              <w:bottom w:val="single" w:color="000000" w:sz="4"/>
              <w:right w:val="single" w:color="000000" w:sz="4"/>
            </w:tcBorders>
            <w:vAlign w:val="top"/>
          </w:tcPr>
          <w:p>
            <w:pPr>
              <w:jc w:val="left"/>
            </w:pPr>
            <w:r>
              <w:rPr>
                <w:sz w:val="21"/>
              </w:rPr>
              <w:t>提供违建监测区域的倾斜摄影三维模型。服务频率：全年不少于</w:t>
            </w:r>
            <w:r>
              <w:rPr>
                <w:sz w:val="21"/>
              </w:rPr>
              <w:t>1</w:t>
            </w:r>
            <w:r>
              <w:rPr>
                <w:sz w:val="21"/>
              </w:rPr>
              <w:t>次。</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巡查水坭混凝土搅拌车</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在基站覆盖范围内，针对违建、违法工地进行远程智能巡查，实时回传视频、定位到空天地系统，并拍摄取证。服务频率：每周不少于</w:t>
            </w:r>
            <w:r>
              <w:rPr>
                <w:sz w:val="21"/>
              </w:rPr>
              <w:t>2</w:t>
            </w:r>
            <w:r>
              <w:rPr>
                <w:sz w:val="21"/>
              </w:rPr>
              <w:t>次。</w:t>
            </w:r>
          </w:p>
        </w:tc>
      </w:tr>
      <w:tr>
        <w:tc>
          <w:tcPr>
            <w:tcW w:type="dxa" w:w="901"/>
            <w:tcBorders>
              <w:top w:val="none" w:color="000000" w:sz="4"/>
              <w:left w:val="single" w:color="000000" w:sz="4"/>
              <w:bottom w:val="single" w:color="000000" w:sz="4"/>
              <w:right w:val="single" w:color="000000" w:sz="4"/>
            </w:tcBorders>
            <w:vAlign w:val="top"/>
          </w:tcPr>
          <w:p>
            <w:pPr>
              <w:jc w:val="left"/>
            </w:pPr>
            <w:r>
              <w:rPr>
                <w:sz w:val="21"/>
              </w:rPr>
              <w:t>智慧国土巡查服务</w:t>
            </w:r>
          </w:p>
        </w:tc>
        <w:tc>
          <w:tcPr>
            <w:tcW w:type="dxa" w:w="1504"/>
            <w:tcBorders>
              <w:top w:val="none" w:color="000000" w:sz="4"/>
              <w:left w:val="none" w:color="000000" w:sz="4"/>
              <w:bottom w:val="single" w:color="000000" w:sz="4"/>
              <w:right w:val="single" w:color="000000" w:sz="4"/>
            </w:tcBorders>
            <w:vAlign w:val="top"/>
          </w:tcPr>
          <w:p>
            <w:pPr>
              <w:jc w:val="left"/>
            </w:pPr>
            <w:r>
              <w:rPr>
                <w:sz w:val="21"/>
              </w:rPr>
              <w:t>正射影像基础底图更新</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在基站覆盖范围内，定期更新提供违建监测区域的正射影像基础底图及建筑物变化监测分析成果，服务期满九个月内，乙方需向甲方提供不少于三张整合全镇一张正射影像图（每三个月提供不少于一张）。</w:t>
            </w:r>
          </w:p>
        </w:tc>
      </w:tr>
      <w:tr>
        <w:tc>
          <w:tcPr>
            <w:tcW w:type="dxa" w:w="901"/>
            <w:vMerge w:val="restart"/>
            <w:tcBorders>
              <w:top w:val="none" w:color="000000" w:sz="4"/>
              <w:left w:val="single" w:color="000000" w:sz="4"/>
              <w:bottom w:val="single" w:color="000000" w:sz="4"/>
              <w:right w:val="single" w:color="000000" w:sz="4"/>
            </w:tcBorders>
            <w:vAlign w:val="top"/>
          </w:tcPr>
          <w:p>
            <w:pPr>
              <w:jc w:val="left"/>
            </w:pPr>
            <w:r>
              <w:rPr>
                <w:sz w:val="21"/>
              </w:rPr>
              <w:t>智慧环保巡查服务</w:t>
            </w:r>
          </w:p>
        </w:tc>
        <w:tc>
          <w:tcPr>
            <w:tcW w:type="dxa" w:w="1504"/>
            <w:tcBorders>
              <w:top w:val="none" w:color="000000" w:sz="4"/>
              <w:left w:val="none" w:color="000000" w:sz="4"/>
              <w:bottom w:val="single" w:color="000000" w:sz="4"/>
              <w:right w:val="single" w:color="000000" w:sz="4"/>
            </w:tcBorders>
            <w:vAlign w:val="top"/>
          </w:tcPr>
          <w:p>
            <w:pPr>
              <w:jc w:val="left"/>
            </w:pPr>
            <w:r>
              <w:rPr>
                <w:sz w:val="21"/>
              </w:rPr>
              <w:t>污染源巡查监测</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在基站覆盖范围内，针对重点污染源辖区，提供环保污染源视频巡查监测服务，对污染源进行识别分析，提供环保巡查监测报告，包括：</w:t>
            </w:r>
          </w:p>
          <w:p>
            <w:pPr>
              <w:jc w:val="left"/>
            </w:pPr>
            <w:r>
              <w:rPr>
                <w:sz w:val="21"/>
              </w:rPr>
              <w:t>1</w:t>
            </w:r>
            <w:r>
              <w:rPr>
                <w:sz w:val="21"/>
              </w:rPr>
              <w:t>、倾倒工业、危险固体废物</w:t>
            </w:r>
            <w:r>
              <w:rPr>
                <w:sz w:val="21"/>
              </w:rPr>
              <w:t>-</w:t>
            </w:r>
            <w:r>
              <w:rPr>
                <w:sz w:val="21"/>
              </w:rPr>
              <w:t>违法向城市道路或公共场所倾倒工业、危险固体废物；</w:t>
            </w:r>
            <w:r>
              <w:rPr>
                <w:sz w:val="21"/>
              </w:rPr>
              <w:t>2</w:t>
            </w:r>
            <w:r>
              <w:rPr>
                <w:sz w:val="21"/>
              </w:rPr>
              <w:t>、针对重点污染源辖区，提供环保污染源视频巡查监测服务；</w:t>
            </w:r>
            <w:r>
              <w:rPr>
                <w:sz w:val="21"/>
              </w:rPr>
              <w:t>3</w:t>
            </w:r>
            <w:r>
              <w:rPr>
                <w:sz w:val="21"/>
              </w:rPr>
              <w:t>、巡查重点水体是否发生突发污染情况，识别疑似排污口，经纬度，污染水体颜色等线索；</w:t>
            </w:r>
            <w:r>
              <w:rPr>
                <w:sz w:val="21"/>
              </w:rPr>
              <w:t>4</w:t>
            </w:r>
            <w:r>
              <w:rPr>
                <w:sz w:val="21"/>
              </w:rPr>
              <w:t>、环保巡查监测报告内容包含：巡查位置、经纬度、位置说明、污染源类型等。</w:t>
            </w:r>
          </w:p>
          <w:p>
            <w:pPr>
              <w:jc w:val="left"/>
            </w:pPr>
            <w:r>
              <w:rPr>
                <w:sz w:val="21"/>
              </w:rPr>
              <w:t>服务频率：全年不少于</w:t>
            </w:r>
            <w:r>
              <w:rPr>
                <w:sz w:val="21"/>
              </w:rPr>
              <w:t>24</w:t>
            </w:r>
            <w:r>
              <w:rPr>
                <w:sz w:val="21"/>
              </w:rPr>
              <w:t>次。</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气体监测</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在基站覆盖范围内，针对重点辖区，通过搭载大气嗅探器自动巡航，对工业园区气体检测。工厂烟囱冒黑烟；大面积焚烧秸秆、垃圾；工地大面积扬尘排放。</w:t>
            </w:r>
          </w:p>
          <w:p>
            <w:pPr>
              <w:jc w:val="left"/>
            </w:pPr>
            <w:r>
              <w:rPr>
                <w:sz w:val="21"/>
              </w:rPr>
              <w:t>环保巡查监测报告内容包含：巡查位置、经纬度、位置说明、污染源类型等。</w:t>
            </w:r>
          </w:p>
          <w:p>
            <w:pPr>
              <w:jc w:val="left"/>
            </w:pPr>
            <w:r>
              <w:rPr>
                <w:sz w:val="21"/>
              </w:rPr>
              <w:t>服务频率：全年不少于</w:t>
            </w:r>
            <w:r>
              <w:rPr>
                <w:sz w:val="21"/>
              </w:rPr>
              <w:t>24</w:t>
            </w:r>
            <w:r>
              <w:rPr>
                <w:sz w:val="21"/>
              </w:rPr>
              <w:t>次。</w:t>
            </w:r>
          </w:p>
        </w:tc>
      </w:tr>
      <w:tr>
        <w:tc>
          <w:tcPr>
            <w:tcW w:type="dxa" w:w="901"/>
            <w:tcBorders>
              <w:top w:val="none" w:color="000000" w:sz="4"/>
              <w:left w:val="single" w:color="000000" w:sz="4"/>
              <w:bottom w:val="single" w:color="000000" w:sz="4"/>
              <w:right w:val="single" w:color="000000" w:sz="4"/>
            </w:tcBorders>
            <w:vAlign w:val="top"/>
          </w:tcPr>
          <w:p>
            <w:pPr>
              <w:jc w:val="left"/>
            </w:pPr>
            <w:r>
              <w:rPr>
                <w:sz w:val="21"/>
              </w:rPr>
              <w:t>智慧水务巡查服务</w:t>
            </w:r>
          </w:p>
        </w:tc>
        <w:tc>
          <w:tcPr>
            <w:tcW w:type="dxa" w:w="1504"/>
            <w:tcBorders>
              <w:top w:val="none" w:color="000000" w:sz="4"/>
              <w:left w:val="none" w:color="000000" w:sz="4"/>
              <w:bottom w:val="single" w:color="000000" w:sz="4"/>
              <w:right w:val="single" w:color="000000" w:sz="4"/>
            </w:tcBorders>
            <w:vAlign w:val="top"/>
          </w:tcPr>
          <w:p>
            <w:pPr>
              <w:jc w:val="left"/>
            </w:pPr>
            <w:r>
              <w:rPr>
                <w:sz w:val="21"/>
              </w:rPr>
              <w:t>河道及水土保持图斑道巡查监测</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在基站覆盖范围内，针对大江大河、主干河涌水土保持图斑进行视频巡查监测，对河道防洪安全、四乱、野钓、野泳、垃圾漂浮物等巡查进行识别分析，提供河道巡查监测报告。</w:t>
            </w:r>
          </w:p>
          <w:p>
            <w:pPr>
              <w:jc w:val="left"/>
            </w:pPr>
            <w:r>
              <w:rPr>
                <w:sz w:val="21"/>
              </w:rPr>
              <w:t>河道巡查监测报告内容包含：巡查位置、经纬度、位置说明、污染源类型等。</w:t>
            </w:r>
          </w:p>
          <w:p>
            <w:pPr>
              <w:jc w:val="left"/>
            </w:pPr>
            <w:r>
              <w:rPr>
                <w:sz w:val="21"/>
              </w:rPr>
              <w:t>服务频率：全年不少于</w:t>
            </w:r>
            <w:r>
              <w:rPr>
                <w:sz w:val="21"/>
              </w:rPr>
              <w:t>24</w:t>
            </w:r>
            <w:r>
              <w:rPr>
                <w:sz w:val="21"/>
              </w:rPr>
              <w:t>次。</w:t>
            </w:r>
          </w:p>
        </w:tc>
      </w:tr>
      <w:tr>
        <w:tc>
          <w:tcPr>
            <w:tcW w:type="dxa" w:w="901"/>
            <w:vMerge w:val="restart"/>
            <w:tcBorders>
              <w:top w:val="none" w:color="000000" w:sz="4"/>
              <w:left w:val="single" w:color="000000" w:sz="4"/>
              <w:bottom w:val="single" w:color="000000" w:sz="4"/>
              <w:right w:val="single" w:color="000000" w:sz="4"/>
            </w:tcBorders>
            <w:vAlign w:val="top"/>
          </w:tcPr>
          <w:p>
            <w:pPr>
              <w:jc w:val="left"/>
            </w:pPr>
            <w:r>
              <w:rPr>
                <w:sz w:val="21"/>
              </w:rPr>
              <w:t>智慧应急巡查服务</w:t>
            </w:r>
          </w:p>
        </w:tc>
        <w:tc>
          <w:tcPr>
            <w:tcW w:type="dxa" w:w="1504"/>
            <w:tcBorders>
              <w:top w:val="none" w:color="000000" w:sz="4"/>
              <w:left w:val="none" w:color="000000" w:sz="4"/>
              <w:bottom w:val="single" w:color="000000" w:sz="4"/>
              <w:right w:val="single" w:color="000000" w:sz="4"/>
            </w:tcBorders>
            <w:vAlign w:val="top"/>
          </w:tcPr>
          <w:p>
            <w:pPr>
              <w:jc w:val="left"/>
            </w:pPr>
            <w:r>
              <w:rPr>
                <w:sz w:val="21"/>
              </w:rPr>
              <w:t>森林巡查</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在基站覆盖范围内，搭载可见光相机与红外相机等设备对开荒开垦、树木砍伐、森林防火、垃圾焚烧、秸秆焚烧等问题进行智能巡查，动态监测林区人员活动和易着火点等情况。</w:t>
            </w:r>
          </w:p>
          <w:p>
            <w:pPr>
              <w:jc w:val="left"/>
            </w:pPr>
            <w:r>
              <w:rPr>
                <w:sz w:val="21"/>
              </w:rPr>
              <w:t>服务频率：每周不少于</w:t>
            </w:r>
            <w:r>
              <w:rPr>
                <w:sz w:val="21"/>
              </w:rPr>
              <w:t>1</w:t>
            </w:r>
            <w:r>
              <w:rPr>
                <w:sz w:val="21"/>
              </w:rPr>
              <w:t>次。</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火灾现场巡查</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在基站覆盖范围内，无人机接到应急指令后开展火灾第一现场监测，远程回传现场视频到指挥中心，辅助领导决策。</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防汛</w:t>
            </w:r>
            <w:r>
              <w:rPr>
                <w:sz w:val="21"/>
              </w:rPr>
              <w:t>IV</w:t>
            </w:r>
            <w:r>
              <w:rPr>
                <w:sz w:val="21"/>
              </w:rPr>
              <w:t>级或以上应急巡查</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在基站覆盖范围内，进行堤围巡查航拍，远程喊话在外滩地钓鱼活动的人员离开危险区域，监测险工险段，管涌点等三防风险点动态，及时掌握第一现场情况，根据三防指令开展临时现场勘查等服务。</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田头棚、铁皮屋巡查</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在基站覆盖范围内，进行田头棚、铁皮屋巡查，监测获取位置、涉及面积和人员流动情况。</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防溺水巡查</w:t>
            </w:r>
          </w:p>
        </w:tc>
        <w:tc>
          <w:tcPr>
            <w:tcW w:type="dxa" w:w="5900"/>
            <w:tcBorders>
              <w:top w:val="none" w:color="000000" w:sz="4"/>
              <w:left w:val="none" w:color="000000" w:sz="4"/>
              <w:bottom w:val="single" w:color="000000" w:sz="4"/>
              <w:right w:val="single" w:color="000000" w:sz="4"/>
            </w:tcBorders>
            <w:vAlign w:val="top"/>
          </w:tcPr>
          <w:p>
            <w:pPr>
              <w:jc w:val="left"/>
            </w:pPr>
            <w:r>
              <w:rPr>
                <w:sz w:val="21"/>
              </w:rPr>
              <w:t>每年</w:t>
            </w:r>
            <w:r>
              <w:rPr>
                <w:sz w:val="21"/>
              </w:rPr>
              <w:t>7</w:t>
            </w:r>
            <w:r>
              <w:rPr>
                <w:sz w:val="21"/>
              </w:rPr>
              <w:t>月</w:t>
            </w:r>
            <w:r>
              <w:rPr>
                <w:sz w:val="21"/>
              </w:rPr>
              <w:t>-9</w:t>
            </w:r>
            <w:r>
              <w:rPr>
                <w:sz w:val="21"/>
              </w:rPr>
              <w:t>月暑期期间，调度无人机对镇内</w:t>
            </w:r>
            <w:r>
              <w:rPr>
                <w:sz w:val="21"/>
              </w:rPr>
              <w:t>10</w:t>
            </w:r>
            <w:r>
              <w:rPr>
                <w:sz w:val="21"/>
              </w:rPr>
              <w:t>个溺水黑点开展无人机劝导巡查，检查水上野泳人员情况，并利用喊话器劝离水上人员上岸。</w:t>
            </w:r>
          </w:p>
          <w:p>
            <w:pPr>
              <w:jc w:val="left"/>
            </w:pPr>
            <w:r>
              <w:rPr>
                <w:sz w:val="21"/>
              </w:rPr>
              <w:t>服务频率：每年</w:t>
            </w:r>
            <w:r>
              <w:rPr>
                <w:sz w:val="21"/>
              </w:rPr>
              <w:t>7</w:t>
            </w:r>
            <w:r>
              <w:rPr>
                <w:sz w:val="21"/>
              </w:rPr>
              <w:t>月</w:t>
            </w:r>
            <w:r>
              <w:rPr>
                <w:sz w:val="21"/>
              </w:rPr>
              <w:t>-9</w:t>
            </w:r>
            <w:r>
              <w:rPr>
                <w:sz w:val="21"/>
              </w:rPr>
              <w:t>月暑期期间，每周不少于</w:t>
            </w:r>
            <w:r>
              <w:rPr>
                <w:sz w:val="21"/>
              </w:rPr>
              <w:t>1</w:t>
            </w:r>
            <w:r>
              <w:rPr>
                <w:sz w:val="21"/>
              </w:rPr>
              <w:t>次</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应急紧急调度</w:t>
            </w:r>
          </w:p>
        </w:tc>
        <w:tc>
          <w:tcPr>
            <w:tcW w:type="dxa" w:w="5900"/>
            <w:tcBorders>
              <w:top w:val="none" w:color="000000" w:sz="4"/>
              <w:left w:val="none" w:color="000000" w:sz="4"/>
              <w:bottom w:val="single" w:color="000000" w:sz="4"/>
              <w:right w:val="single" w:color="000000" w:sz="4"/>
            </w:tcBorders>
            <w:vAlign w:val="top"/>
          </w:tcPr>
          <w:p>
            <w:pPr>
              <w:jc w:val="left"/>
            </w:pPr>
            <w:r>
              <w:rPr>
                <w:sz w:val="21"/>
              </w:rPr>
              <w:t>开展火灾、交通堵塞、安全生产事故等突发事件现场调度勘查，应急大型综合演练、区级盲演抽查演练等应急演练随时调度，要求接到应急指令</w:t>
            </w:r>
            <w:r>
              <w:rPr>
                <w:sz w:val="21"/>
              </w:rPr>
              <w:t>30</w:t>
            </w:r>
            <w:r>
              <w:rPr>
                <w:sz w:val="21"/>
              </w:rPr>
              <w:t>分钟内到达指定地点。</w:t>
            </w:r>
          </w:p>
          <w:p>
            <w:pPr>
              <w:jc w:val="left"/>
            </w:pPr>
            <w:r>
              <w:rPr>
                <w:sz w:val="21"/>
              </w:rPr>
              <w:t>服务频率：每年不少于</w:t>
            </w:r>
            <w:r>
              <w:rPr>
                <w:sz w:val="21"/>
              </w:rPr>
              <w:t>10</w:t>
            </w:r>
            <w:r>
              <w:rPr>
                <w:sz w:val="21"/>
              </w:rPr>
              <w:t>次</w:t>
            </w:r>
          </w:p>
        </w:tc>
      </w:tr>
      <w:tr>
        <w:tc>
          <w:tcPr>
            <w:tcW w:type="dxa" w:w="901"/>
            <w:vMerge w:val="restart"/>
            <w:tcBorders>
              <w:top w:val="none" w:color="000000" w:sz="4"/>
              <w:left w:val="single" w:color="000000" w:sz="4"/>
              <w:bottom w:val="single" w:color="000000" w:sz="4"/>
              <w:right w:val="single" w:color="000000" w:sz="4"/>
            </w:tcBorders>
            <w:vAlign w:val="top"/>
          </w:tcPr>
          <w:p>
            <w:pPr>
              <w:jc w:val="left"/>
            </w:pPr>
            <w:r>
              <w:rPr>
                <w:sz w:val="21"/>
              </w:rPr>
              <w:t>智慧交通巡查服务</w:t>
            </w:r>
          </w:p>
        </w:tc>
        <w:tc>
          <w:tcPr>
            <w:tcW w:type="dxa" w:w="1504"/>
            <w:tcBorders>
              <w:top w:val="none" w:color="000000" w:sz="4"/>
              <w:left w:val="none" w:color="000000" w:sz="4"/>
              <w:bottom w:val="single" w:color="000000" w:sz="4"/>
              <w:right w:val="single" w:color="000000" w:sz="4"/>
            </w:tcBorders>
            <w:vAlign w:val="top"/>
          </w:tcPr>
          <w:p>
            <w:pPr>
              <w:jc w:val="left"/>
            </w:pPr>
            <w:r>
              <w:rPr>
                <w:sz w:val="21"/>
              </w:rPr>
              <w:t>交通巡检</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在基站覆盖范围内，对辖区交通道路进行智能视频巡查，动态监测道路拥堵情况。</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私自开挖道路</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在基站覆盖范围内对全镇辖区范围内</w:t>
            </w:r>
            <w:r>
              <w:rPr>
                <w:sz w:val="21"/>
              </w:rPr>
              <w:t>55</w:t>
            </w:r>
            <w:r>
              <w:rPr>
                <w:sz w:val="21"/>
              </w:rPr>
              <w:t>条乡道村道，共</w:t>
            </w:r>
            <w:r>
              <w:rPr>
                <w:sz w:val="21"/>
              </w:rPr>
              <w:t>143.703Km</w:t>
            </w:r>
            <w:r>
              <w:rPr>
                <w:sz w:val="21"/>
              </w:rPr>
              <w:t>的道路进行动态监测路面保洁、路外保洁可视范围、绿化路灯外立面及私自开挖道路。</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重点路段及出入口路域整治</w:t>
            </w:r>
          </w:p>
        </w:tc>
        <w:tc>
          <w:tcPr>
            <w:tcW w:type="dxa" w:w="5900"/>
            <w:tcBorders>
              <w:top w:val="none" w:color="000000" w:sz="4"/>
              <w:left w:val="none" w:color="000000" w:sz="4"/>
              <w:bottom w:val="single" w:color="000000" w:sz="4"/>
              <w:right w:val="single" w:color="000000" w:sz="4"/>
            </w:tcBorders>
            <w:vAlign w:val="top"/>
          </w:tcPr>
          <w:p>
            <w:pPr>
              <w:jc w:val="left"/>
            </w:pPr>
            <w:r>
              <w:rPr>
                <w:sz w:val="21"/>
              </w:rPr>
              <w:t>针对重点路段及出入口路域进行智能视频巡查，动态监测路面保洁、路外保洁可视范围、绿化路灯外立面及桥下空间。</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路政巡查</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在基站覆盖范围内，对路产、标志牌、机电设备、防汛设施、消防设施的完好情况智能视频巡查，实现动态监管。</w:t>
            </w:r>
          </w:p>
        </w:tc>
      </w:tr>
      <w:tr>
        <w:tc>
          <w:tcPr>
            <w:tcW w:type="dxa" w:w="901"/>
            <w:tcBorders>
              <w:top w:val="none" w:color="000000" w:sz="4"/>
              <w:left w:val="single" w:color="000000" w:sz="4"/>
              <w:bottom w:val="single" w:color="000000" w:sz="4"/>
              <w:right w:val="single" w:color="000000" w:sz="4"/>
            </w:tcBorders>
            <w:vAlign w:val="top"/>
          </w:tcPr>
          <w:p>
            <w:pPr>
              <w:jc w:val="left"/>
            </w:pPr>
            <w:r>
              <w:rPr>
                <w:sz w:val="21"/>
              </w:rPr>
              <w:t>智慧交警巡查服务</w:t>
            </w:r>
          </w:p>
        </w:tc>
        <w:tc>
          <w:tcPr>
            <w:tcW w:type="dxa" w:w="1504"/>
            <w:tcBorders>
              <w:top w:val="none" w:color="000000" w:sz="4"/>
              <w:left w:val="none" w:color="000000" w:sz="4"/>
              <w:bottom w:val="single" w:color="000000" w:sz="4"/>
              <w:right w:val="single" w:color="000000" w:sz="4"/>
            </w:tcBorders>
            <w:vAlign w:val="top"/>
          </w:tcPr>
          <w:p>
            <w:pPr>
              <w:jc w:val="left"/>
            </w:pPr>
            <w:r>
              <w:rPr>
                <w:sz w:val="21"/>
              </w:rPr>
              <w:t>交警巡查</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在基站覆盖范围内，对各类交通违法行为进行智能视频巡查，实现动态监管。</w:t>
            </w:r>
          </w:p>
          <w:p>
            <w:pPr>
              <w:jc w:val="left"/>
            </w:pPr>
            <w:r>
              <w:rPr>
                <w:sz w:val="21"/>
              </w:rPr>
              <w:t>违章行为识别报告内容须包含：违章行为发生地的经纬度、位置说明；违章行为的类型、证据等。</w:t>
            </w:r>
          </w:p>
        </w:tc>
      </w:tr>
      <w:tr>
        <w:tc>
          <w:tcPr>
            <w:tcW w:type="dxa" w:w="901"/>
            <w:vMerge w:val="restart"/>
            <w:tcBorders>
              <w:top w:val="none" w:color="000000" w:sz="4"/>
              <w:left w:val="single" w:color="000000" w:sz="4"/>
              <w:bottom w:val="single" w:color="000000" w:sz="4"/>
              <w:right w:val="single" w:color="000000" w:sz="4"/>
            </w:tcBorders>
            <w:vAlign w:val="top"/>
          </w:tcPr>
          <w:p>
            <w:pPr>
              <w:jc w:val="left"/>
            </w:pPr>
            <w:r>
              <w:rPr>
                <w:sz w:val="21"/>
              </w:rPr>
              <w:t>智慧公安巡查服务</w:t>
            </w:r>
          </w:p>
        </w:tc>
        <w:tc>
          <w:tcPr>
            <w:tcW w:type="dxa" w:w="1504"/>
            <w:tcBorders>
              <w:top w:val="none" w:color="000000" w:sz="4"/>
              <w:left w:val="none" w:color="000000" w:sz="4"/>
              <w:bottom w:val="single" w:color="000000" w:sz="4"/>
              <w:right w:val="single" w:color="000000" w:sz="4"/>
            </w:tcBorders>
            <w:vAlign w:val="top"/>
          </w:tcPr>
          <w:p>
            <w:pPr>
              <w:jc w:val="left"/>
            </w:pPr>
            <w:r>
              <w:rPr>
                <w:sz w:val="21"/>
              </w:rPr>
              <w:t>夜市治安巡查</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在基站覆盖范围内，进行视智能频巡查，提供违法现场视频、照片，违法车辆人员跟踪视频及照片等。</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公安活动场所治安巡查</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在基站覆盖范围内，进行智能视频巡查，提供违法现场视频、照片，违法车辆人员跟踪视频及照片等。</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涉黄报警</w:t>
            </w:r>
          </w:p>
        </w:tc>
        <w:tc>
          <w:tcPr>
            <w:tcW w:type="dxa" w:w="5900"/>
            <w:tcBorders>
              <w:top w:val="none" w:color="000000" w:sz="4"/>
              <w:left w:val="none" w:color="000000" w:sz="4"/>
              <w:bottom w:val="single" w:color="000000" w:sz="4"/>
              <w:right w:val="single" w:color="000000" w:sz="4"/>
            </w:tcBorders>
            <w:vAlign w:val="top"/>
          </w:tcPr>
          <w:p>
            <w:pPr>
              <w:jc w:val="left"/>
            </w:pPr>
            <w:r>
              <w:rPr>
                <w:sz w:val="21"/>
              </w:rPr>
              <w:t>在基站覆盖范围内，无人机挂载喊话器，进行辖区喊话宣传巡查。</w:t>
            </w:r>
          </w:p>
        </w:tc>
      </w:tr>
      <w:tr>
        <w:tc>
          <w:tcPr>
            <w:tcW w:type="dxa" w:w="901"/>
            <w:vMerge w:val="restart"/>
            <w:tcBorders>
              <w:top w:val="none" w:color="000000" w:sz="4"/>
              <w:left w:val="single" w:color="000000" w:sz="4"/>
              <w:bottom w:val="single" w:color="000000" w:sz="4"/>
              <w:right w:val="single" w:color="000000" w:sz="4"/>
            </w:tcBorders>
            <w:vAlign w:val="top"/>
          </w:tcPr>
          <w:p>
            <w:pPr>
              <w:jc w:val="left"/>
            </w:pPr>
            <w:r>
              <w:rPr>
                <w:sz w:val="21"/>
              </w:rPr>
              <w:t>其它要求</w:t>
            </w:r>
          </w:p>
          <w:p>
            <w:pPr>
              <w:jc w:val="left"/>
            </w:pPr>
          </w:p>
        </w:tc>
        <w:tc>
          <w:tcPr>
            <w:tcW w:type="dxa" w:w="1504"/>
            <w:tcBorders>
              <w:top w:val="none" w:color="000000" w:sz="4"/>
              <w:left w:val="none" w:color="000000" w:sz="4"/>
              <w:bottom w:val="single" w:color="000000" w:sz="4"/>
              <w:right w:val="single" w:color="000000" w:sz="4"/>
            </w:tcBorders>
            <w:vAlign w:val="top"/>
          </w:tcPr>
          <w:p>
            <w:pPr>
              <w:jc w:val="left"/>
            </w:pPr>
            <w:r>
              <w:rPr>
                <w:sz w:val="21"/>
              </w:rPr>
              <w:t>日常巡查</w:t>
            </w:r>
          </w:p>
        </w:tc>
        <w:tc>
          <w:tcPr>
            <w:tcW w:type="dxa" w:w="5900"/>
            <w:tcBorders>
              <w:top w:val="none" w:color="000000" w:sz="4"/>
              <w:left w:val="none" w:color="000000" w:sz="4"/>
              <w:bottom w:val="single" w:color="000000" w:sz="4"/>
              <w:right w:val="single" w:color="000000" w:sz="4"/>
            </w:tcBorders>
            <w:vAlign w:val="top"/>
          </w:tcPr>
          <w:p>
            <w:pPr>
              <w:jc w:val="left"/>
            </w:pPr>
            <w:r>
              <w:rPr>
                <w:sz w:val="21"/>
              </w:rPr>
              <w:t>无人机飞行巡查全覆盖（无死角）巡查，（可以分重点区域与常态区域）</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总结报告</w:t>
            </w:r>
          </w:p>
        </w:tc>
        <w:tc>
          <w:tcPr>
            <w:tcW w:type="dxa" w:w="5900"/>
            <w:tcBorders>
              <w:top w:val="none" w:color="000000" w:sz="4"/>
              <w:left w:val="none" w:color="000000" w:sz="4"/>
              <w:bottom w:val="single" w:color="000000" w:sz="4"/>
              <w:right w:val="single" w:color="000000" w:sz="4"/>
            </w:tcBorders>
            <w:vAlign w:val="top"/>
          </w:tcPr>
          <w:p>
            <w:pPr>
              <w:jc w:val="left"/>
            </w:pPr>
            <w:r>
              <w:rPr>
                <w:sz w:val="21"/>
              </w:rPr>
              <w:t>对系统计运行情况，要求每周有小结，每月有总结，两违每周有统计报表；总结报告每月提交给相应部门，单独提供的服务内容需有书面记录定期汇总。</w:t>
            </w:r>
          </w:p>
        </w:tc>
      </w:tr>
      <w:tr>
        <w:tc>
          <w:tcPr>
            <w:tcW w:type="dxa" w:w="901"/>
            <w:vMerge/>
            <w:tcBorders>
              <w:top w:val="none" w:color="000000" w:sz="4"/>
              <w:left w:val="single" w:color="000000" w:sz="4"/>
              <w:bottom w:val="single" w:color="000000" w:sz="4"/>
              <w:right w:val="single" w:color="000000" w:sz="4"/>
            </w:tcBorders>
          </w:tcPr>
          <w:p/>
        </w:tc>
        <w:tc>
          <w:tcPr>
            <w:tcW w:type="dxa" w:w="1504"/>
            <w:tcBorders>
              <w:top w:val="none" w:color="000000" w:sz="4"/>
              <w:left w:val="none" w:color="000000" w:sz="4"/>
              <w:bottom w:val="single" w:color="000000" w:sz="4"/>
              <w:right w:val="single" w:color="000000" w:sz="4"/>
            </w:tcBorders>
            <w:vAlign w:val="top"/>
          </w:tcPr>
          <w:p>
            <w:pPr>
              <w:jc w:val="left"/>
            </w:pPr>
            <w:r>
              <w:rPr>
                <w:sz w:val="21"/>
              </w:rPr>
              <w:t>现场服务人员考勤管理</w:t>
            </w:r>
          </w:p>
        </w:tc>
        <w:tc>
          <w:tcPr>
            <w:tcW w:type="dxa" w:w="5900"/>
            <w:tcBorders>
              <w:top w:val="none" w:color="000000" w:sz="4"/>
              <w:left w:val="none" w:color="000000" w:sz="4"/>
              <w:bottom w:val="single" w:color="000000" w:sz="4"/>
              <w:right w:val="single" w:color="000000" w:sz="4"/>
            </w:tcBorders>
            <w:vAlign w:val="top"/>
          </w:tcPr>
          <w:p>
            <w:pPr>
              <w:jc w:val="left"/>
            </w:pPr>
            <w:r>
              <w:rPr>
                <w:sz w:val="21"/>
              </w:rPr>
              <w:t>现场服务人员不少于二人，在工作日内提供现场服务，针对对现场服务团队的上班工作情况乙方应进行考勤管理，同时提供考勤管理记录每月提交给甲方。</w:t>
            </w:r>
          </w:p>
        </w:tc>
      </w:tr>
    </w:tbl>
    <w:p>
      <w:pPr>
        <w:jc w:val="both"/>
      </w:pPr>
      <w:r>
        <w:rPr>
          <w:sz w:val="21"/>
        </w:rPr>
        <w:t>注：</w:t>
      </w:r>
      <w:r>
        <w:rPr>
          <w:sz w:val="21"/>
        </w:rPr>
        <w:t>1</w:t>
      </w:r>
      <w:r>
        <w:rPr>
          <w:sz w:val="21"/>
        </w:rPr>
        <w:t>、如遇大风、暴雨等恶劣天气不适合无人机作业，当天不计入约定的成果提交限期范围，由</w:t>
      </w:r>
      <w:r>
        <w:rPr>
          <w:sz w:val="21"/>
        </w:rPr>
        <w:t>乙方</w:t>
      </w:r>
      <w:r>
        <w:rPr>
          <w:sz w:val="21"/>
        </w:rPr>
        <w:t>提出与</w:t>
      </w:r>
      <w:r>
        <w:rPr>
          <w:sz w:val="21"/>
        </w:rPr>
        <w:t>甲方</w:t>
      </w:r>
      <w:r>
        <w:rPr>
          <w:sz w:val="21"/>
        </w:rPr>
        <w:t>根据实际情况协商处理。</w:t>
      </w:r>
      <w:r>
        <w:rPr>
          <w:sz w:val="21"/>
        </w:rPr>
        <w:t>2</w:t>
      </w:r>
      <w:r>
        <w:rPr>
          <w:sz w:val="21"/>
        </w:rPr>
        <w:t>、上述服务频率为常规状态下的服务要求，各服务类别项遇应急情况时，</w:t>
      </w:r>
      <w:r>
        <w:rPr>
          <w:sz w:val="21"/>
        </w:rPr>
        <w:t>乙方</w:t>
      </w:r>
      <w:r>
        <w:rPr>
          <w:sz w:val="21"/>
        </w:rPr>
        <w:t>须根据</w:t>
      </w:r>
      <w:r>
        <w:rPr>
          <w:sz w:val="21"/>
        </w:rPr>
        <w:t>甲方</w:t>
      </w:r>
      <w:r>
        <w:rPr>
          <w:sz w:val="21"/>
        </w:rPr>
        <w:t>要求及时开展巡查监测，应急服务次数计入全年服务频次。</w:t>
      </w:r>
    </w:p>
    <w:p>
      <w:pPr>
        <w:jc w:val="left"/>
      </w:pPr>
      <w:r>
        <w:rPr>
          <w:b/>
          <w:sz w:val="21"/>
        </w:rPr>
        <w:t>二、</w:t>
      </w:r>
      <w:r>
        <w:rPr>
          <w:b/>
          <w:sz w:val="21"/>
        </w:rPr>
        <w:t>无人机作业参考标准、规范</w:t>
      </w:r>
    </w:p>
    <w:p>
      <w:pPr>
        <w:jc w:val="both"/>
      </w:pPr>
      <w:r>
        <w:rPr>
          <w:sz w:val="21"/>
        </w:rPr>
        <w:t>（一）《低空数字航空摄影规范》</w:t>
      </w:r>
      <w:r>
        <w:rPr>
          <w:sz w:val="21"/>
        </w:rPr>
        <w:t>CH/Z 3005-2010</w:t>
      </w:r>
      <w:r>
        <w:rPr>
          <w:sz w:val="21"/>
        </w:rPr>
        <w:t>；</w:t>
      </w:r>
    </w:p>
    <w:p>
      <w:pPr>
        <w:jc w:val="both"/>
      </w:pPr>
      <w:r>
        <w:rPr>
          <w:sz w:val="21"/>
        </w:rPr>
        <w:t>（</w:t>
      </w:r>
      <w:r>
        <w:rPr>
          <w:sz w:val="21"/>
        </w:rPr>
        <w:t>二</w:t>
      </w:r>
      <w:r>
        <w:rPr>
          <w:sz w:val="21"/>
        </w:rPr>
        <w:t>）《无人机航摄安全作业基本要求》</w:t>
      </w:r>
      <w:r>
        <w:rPr>
          <w:sz w:val="21"/>
        </w:rPr>
        <w:t>CH/Z 3001</w:t>
      </w:r>
      <w:r>
        <w:rPr>
          <w:sz w:val="21"/>
        </w:rPr>
        <w:t>－</w:t>
      </w:r>
      <w:r>
        <w:rPr>
          <w:sz w:val="21"/>
        </w:rPr>
        <w:t>2010</w:t>
      </w:r>
      <w:r>
        <w:rPr>
          <w:sz w:val="21"/>
        </w:rPr>
        <w:t>；</w:t>
      </w:r>
    </w:p>
    <w:p>
      <w:pPr>
        <w:jc w:val="both"/>
      </w:pPr>
      <w:r>
        <w:rPr>
          <w:sz w:val="21"/>
        </w:rPr>
        <w:t>（</w:t>
      </w:r>
      <w:r>
        <w:rPr>
          <w:sz w:val="21"/>
        </w:rPr>
        <w:t>三</w:t>
      </w:r>
      <w:r>
        <w:rPr>
          <w:sz w:val="21"/>
        </w:rPr>
        <w:t>）《低空数字航空摄影测量外业规范》</w:t>
      </w:r>
      <w:r>
        <w:rPr>
          <w:sz w:val="21"/>
        </w:rPr>
        <w:t>CH/Z 3004</w:t>
      </w:r>
      <w:r>
        <w:rPr>
          <w:sz w:val="21"/>
        </w:rPr>
        <w:t>－</w:t>
      </w:r>
      <w:r>
        <w:rPr>
          <w:sz w:val="21"/>
        </w:rPr>
        <w:t>2010</w:t>
      </w:r>
      <w:r>
        <w:rPr>
          <w:sz w:val="21"/>
        </w:rPr>
        <w:t>；</w:t>
      </w:r>
    </w:p>
    <w:p>
      <w:pPr>
        <w:jc w:val="both"/>
      </w:pPr>
      <w:r>
        <w:rPr>
          <w:sz w:val="21"/>
        </w:rPr>
        <w:t>（</w:t>
      </w:r>
      <w:r>
        <w:rPr>
          <w:sz w:val="21"/>
        </w:rPr>
        <w:t>四</w:t>
      </w:r>
      <w:r>
        <w:rPr>
          <w:sz w:val="21"/>
        </w:rPr>
        <w:t>）《低空数字航空摄影测量内业规范》</w:t>
      </w:r>
      <w:r>
        <w:rPr>
          <w:sz w:val="21"/>
        </w:rPr>
        <w:t>CH/Z 3003</w:t>
      </w:r>
      <w:r>
        <w:rPr>
          <w:sz w:val="21"/>
        </w:rPr>
        <w:t>－</w:t>
      </w:r>
      <w:r>
        <w:rPr>
          <w:sz w:val="21"/>
        </w:rPr>
        <w:t>2010</w:t>
      </w:r>
      <w:r>
        <w:rPr>
          <w:sz w:val="21"/>
        </w:rPr>
        <w:t>；</w:t>
      </w:r>
    </w:p>
    <w:p>
      <w:pPr>
        <w:jc w:val="both"/>
      </w:pPr>
      <w:r>
        <w:rPr>
          <w:sz w:val="21"/>
        </w:rPr>
        <w:t>（</w:t>
      </w:r>
      <w:r>
        <w:rPr>
          <w:sz w:val="21"/>
        </w:rPr>
        <w:t>五</w:t>
      </w:r>
      <w:r>
        <w:rPr>
          <w:sz w:val="21"/>
        </w:rPr>
        <w:t>）《</w:t>
      </w:r>
      <w:r>
        <w:rPr>
          <w:sz w:val="21"/>
        </w:rPr>
        <w:t>IMU/GPS</w:t>
      </w:r>
      <w:r>
        <w:rPr>
          <w:sz w:val="21"/>
        </w:rPr>
        <w:t>辅助航空摄影技术规范》</w:t>
      </w:r>
      <w:r>
        <w:rPr>
          <w:sz w:val="21"/>
        </w:rPr>
        <w:t>GB/T 27919-2011</w:t>
      </w:r>
      <w:r>
        <w:rPr>
          <w:sz w:val="21"/>
        </w:rPr>
        <w:t>；</w:t>
      </w:r>
    </w:p>
    <w:p>
      <w:pPr>
        <w:jc w:val="both"/>
      </w:pPr>
      <w:r>
        <w:rPr>
          <w:sz w:val="21"/>
        </w:rPr>
        <w:t>（</w:t>
      </w:r>
      <w:r>
        <w:rPr>
          <w:sz w:val="21"/>
        </w:rPr>
        <w:t>六</w:t>
      </w:r>
      <w:r>
        <w:rPr>
          <w:sz w:val="21"/>
        </w:rPr>
        <w:t>）《基础地理信息数字成果</w:t>
      </w:r>
      <w:r>
        <w:rPr>
          <w:sz w:val="21"/>
        </w:rPr>
        <w:t>1:500 1:1000 1:2000</w:t>
      </w:r>
      <w:r>
        <w:rPr>
          <w:sz w:val="21"/>
        </w:rPr>
        <w:t>数字正射影像图》</w:t>
      </w:r>
      <w:r>
        <w:rPr>
          <w:sz w:val="21"/>
        </w:rPr>
        <w:t>CH/T9008.3-2010</w:t>
      </w:r>
      <w:r>
        <w:rPr>
          <w:sz w:val="21"/>
        </w:rPr>
        <w:t>；</w:t>
      </w:r>
    </w:p>
    <w:p>
      <w:pPr>
        <w:jc w:val="both"/>
      </w:pPr>
      <w:r>
        <w:rPr>
          <w:sz w:val="21"/>
        </w:rPr>
        <w:t>（</w:t>
      </w:r>
      <w:r>
        <w:rPr>
          <w:sz w:val="21"/>
        </w:rPr>
        <w:t>七</w:t>
      </w:r>
      <w:r>
        <w:rPr>
          <w:sz w:val="21"/>
        </w:rPr>
        <w:t>）《基础地理信息数字成果</w:t>
      </w:r>
      <w:r>
        <w:rPr>
          <w:sz w:val="21"/>
        </w:rPr>
        <w:t>1:500 1:1000 1:2000</w:t>
      </w:r>
      <w:r>
        <w:rPr>
          <w:sz w:val="21"/>
        </w:rPr>
        <w:t>数字高程模型》</w:t>
      </w:r>
      <w:r>
        <w:rPr>
          <w:sz w:val="21"/>
        </w:rPr>
        <w:t>CH/T9008.2-2010</w:t>
      </w:r>
      <w:r>
        <w:rPr>
          <w:sz w:val="21"/>
        </w:rPr>
        <w:t>。</w:t>
      </w:r>
    </w:p>
    <w:p>
      <w:pPr>
        <w:jc w:val="both"/>
      </w:pPr>
      <w:r>
        <w:rPr>
          <w:b/>
          <w:sz w:val="21"/>
        </w:rPr>
        <w:t>注：如有最新发布的标准、规范，按最新的执行。</w:t>
      </w:r>
    </w:p>
    <w:p>
      <w:pPr>
        <w:jc w:val="both"/>
      </w:pPr>
      <w:r>
        <w:rPr>
          <w:b/>
          <w:sz w:val="21"/>
        </w:rPr>
        <w:t>三、</w:t>
      </w:r>
      <w:r>
        <w:rPr>
          <w:b/>
          <w:sz w:val="21"/>
        </w:rPr>
        <w:t>其他服务约定</w:t>
      </w:r>
    </w:p>
    <w:p>
      <w:pPr>
        <w:jc w:val="both"/>
      </w:pPr>
      <w:r>
        <w:rPr>
          <w:sz w:val="21"/>
        </w:rPr>
        <w:t>（一）服务周期约定：本服务项目为期一年。</w:t>
      </w:r>
    </w:p>
    <w:p>
      <w:pPr>
        <w:jc w:val="both"/>
      </w:pPr>
      <w:r>
        <w:rPr>
          <w:sz w:val="21"/>
        </w:rPr>
        <w:t>（二）服务前期的时间进度约定：</w:t>
      </w:r>
      <w:r>
        <w:rPr>
          <w:sz w:val="21"/>
        </w:rPr>
        <w:t>1</w:t>
      </w:r>
      <w:r>
        <w:rPr>
          <w:sz w:val="21"/>
        </w:rPr>
        <w:t>、本合同签订生效后</w:t>
      </w:r>
      <w:r>
        <w:rPr>
          <w:sz w:val="21"/>
        </w:rPr>
        <w:t>7</w:t>
      </w:r>
      <w:r>
        <w:rPr>
          <w:sz w:val="21"/>
        </w:rPr>
        <w:t>天内，</w:t>
      </w:r>
      <w:r>
        <w:rPr>
          <w:sz w:val="21"/>
        </w:rPr>
        <w:t>乙方</w:t>
      </w:r>
      <w:r>
        <w:rPr>
          <w:sz w:val="21"/>
        </w:rPr>
        <w:t>须完成硬件设备建设安装调试，并提请双方共同验收；</w:t>
      </w:r>
      <w:r>
        <w:rPr>
          <w:sz w:val="21"/>
        </w:rPr>
        <w:t>2</w:t>
      </w:r>
      <w:r>
        <w:rPr>
          <w:sz w:val="21"/>
        </w:rPr>
        <w:t>、</w:t>
      </w:r>
      <w:r>
        <w:rPr>
          <w:sz w:val="21"/>
        </w:rPr>
        <w:t>乙方</w:t>
      </w:r>
      <w:r>
        <w:rPr>
          <w:sz w:val="21"/>
        </w:rPr>
        <w:t>须于完成硬件设备建设验收后次周开始以无人机基站提供巡查监测和数据成果服务。</w:t>
      </w:r>
    </w:p>
    <w:p>
      <w:pPr>
        <w:jc w:val="both"/>
      </w:pPr>
      <w:r>
        <w:rPr>
          <w:sz w:val="21"/>
        </w:rPr>
        <w:t>（三）接收服务请求的时间要求：</w:t>
      </w:r>
    </w:p>
    <w:p>
      <w:pPr>
        <w:jc w:val="both"/>
      </w:pPr>
      <w:r>
        <w:rPr>
          <w:sz w:val="21"/>
        </w:rPr>
        <w:t>乙方</w:t>
      </w:r>
      <w:r>
        <w:rPr>
          <w:sz w:val="21"/>
        </w:rPr>
        <w:t>在</w:t>
      </w:r>
      <w:r>
        <w:rPr>
          <w:sz w:val="21"/>
        </w:rPr>
        <w:t>5×8</w:t>
      </w:r>
      <w:r>
        <w:rPr>
          <w:sz w:val="21"/>
        </w:rPr>
        <w:t>小时工作时间内设置由专人值守的热线电话，接收</w:t>
      </w:r>
      <w:r>
        <w:rPr>
          <w:sz w:val="21"/>
        </w:rPr>
        <w:t>甲方</w:t>
      </w:r>
      <w:r>
        <w:rPr>
          <w:sz w:val="21"/>
        </w:rPr>
        <w:t>的服务请求，并记录服务台事件处理结果；在非工作时间设置有专人</w:t>
      </w:r>
      <w:r>
        <w:rPr>
          <w:sz w:val="21"/>
        </w:rPr>
        <w:t>7×24</w:t>
      </w:r>
      <w:r>
        <w:rPr>
          <w:sz w:val="21"/>
        </w:rPr>
        <w:t>小时接听的移动电话热线，用于应急服务响应。对</w:t>
      </w:r>
      <w:r>
        <w:rPr>
          <w:sz w:val="21"/>
        </w:rPr>
        <w:t>甲方</w:t>
      </w:r>
      <w:r>
        <w:rPr>
          <w:sz w:val="21"/>
        </w:rPr>
        <w:t>的服务请求，</w:t>
      </w:r>
      <w:r>
        <w:rPr>
          <w:sz w:val="21"/>
        </w:rPr>
        <w:t>乙方</w:t>
      </w:r>
      <w:r>
        <w:rPr>
          <w:sz w:val="21"/>
        </w:rPr>
        <w:t>在接报后</w:t>
      </w:r>
      <w:r>
        <w:rPr>
          <w:sz w:val="21"/>
        </w:rPr>
        <w:t>1</w:t>
      </w:r>
      <w:r>
        <w:rPr>
          <w:sz w:val="21"/>
        </w:rPr>
        <w:t>小时内响应，</w:t>
      </w:r>
      <w:r>
        <w:rPr>
          <w:sz w:val="21"/>
        </w:rPr>
        <w:t>48</w:t>
      </w:r>
      <w:r>
        <w:rPr>
          <w:sz w:val="21"/>
        </w:rPr>
        <w:t>小时内处理完毕。响应服务时间将纳入考核范围，一个结算周期内响应时间超时</w:t>
      </w:r>
      <w:r>
        <w:rPr>
          <w:sz w:val="21"/>
        </w:rPr>
        <w:t>5</w:t>
      </w:r>
      <w:r>
        <w:rPr>
          <w:sz w:val="21"/>
        </w:rPr>
        <w:t>次以上，</w:t>
      </w:r>
      <w:r>
        <w:rPr>
          <w:sz w:val="21"/>
        </w:rPr>
        <w:t>甲方</w:t>
      </w:r>
      <w:r>
        <w:rPr>
          <w:sz w:val="21"/>
        </w:rPr>
        <w:t>有权扣除当期应支付合同金额的</w:t>
      </w:r>
      <w:r>
        <w:rPr>
          <w:sz w:val="21"/>
        </w:rPr>
        <w:t>5%</w:t>
      </w:r>
      <w:r>
        <w:rPr>
          <w:sz w:val="21"/>
        </w:rPr>
        <w:t>。</w:t>
      </w:r>
      <w:r>
        <w:rPr>
          <w:sz w:val="21"/>
        </w:rPr>
        <w:t>乙方</w:t>
      </w:r>
      <w:r>
        <w:rPr>
          <w:sz w:val="21"/>
        </w:rPr>
        <w:t>各项功能服务时间要求：</w:t>
      </w:r>
    </w:p>
    <w:tbl>
      <w:tblPr>
        <w:tblW w:w="0" w:type="auto"/>
        <w:tblBorders>
          <w:top w:val="none" w:color="000000" w:sz="4"/>
          <w:left w:val="none" w:color="000000" w:sz="4"/>
          <w:bottom w:val="none" w:color="000000" w:sz="4"/>
          <w:right w:val="none" w:color="000000" w:sz="4"/>
          <w:insideH w:val="none"/>
          <w:insideV w:val="none"/>
        </w:tblBorders>
      </w:tblPr>
      <w:tblGrid>
        <w:gridCol w:w="1575"/>
        <w:gridCol w:w="3084"/>
        <w:gridCol w:w="1776"/>
        <w:gridCol w:w="1869"/>
      </w:tblGrid>
      <w:tr>
        <w:tc>
          <w:tcPr>
            <w:tcW w:type="dxa" w:w="4659"/>
            <w:gridSpan w:val="2"/>
            <w:tcBorders>
              <w:top w:val="single" w:color="000000" w:sz="4"/>
              <w:left w:val="single" w:color="000000" w:sz="4"/>
              <w:bottom w:val="single" w:color="000000" w:sz="4"/>
              <w:right w:val="single" w:color="000000" w:sz="4"/>
            </w:tcBorders>
            <w:vAlign w:val="top"/>
          </w:tcPr>
          <w:p>
            <w:pPr>
              <w:jc w:val="center"/>
            </w:pPr>
            <w:r>
              <w:rPr>
                <w:sz w:val="21"/>
              </w:rPr>
              <w:t>服务内容</w:t>
            </w:r>
          </w:p>
        </w:tc>
        <w:tc>
          <w:tcPr>
            <w:tcW w:type="dxa" w:w="1776"/>
            <w:tcBorders>
              <w:top w:val="single" w:color="000000" w:sz="4"/>
              <w:left w:val="none" w:color="000000" w:sz="4"/>
              <w:bottom w:val="single" w:color="000000" w:sz="4"/>
              <w:right w:val="single" w:color="000000" w:sz="4"/>
            </w:tcBorders>
            <w:vAlign w:val="top"/>
          </w:tcPr>
          <w:p>
            <w:pPr>
              <w:jc w:val="center"/>
            </w:pPr>
            <w:r>
              <w:rPr>
                <w:sz w:val="21"/>
              </w:rPr>
              <w:t>类型</w:t>
            </w:r>
          </w:p>
        </w:tc>
        <w:tc>
          <w:tcPr>
            <w:tcW w:type="dxa" w:w="1869"/>
            <w:tcBorders>
              <w:top w:val="single" w:color="000000" w:sz="4"/>
              <w:left w:val="none" w:color="000000" w:sz="4"/>
              <w:bottom w:val="single" w:color="000000" w:sz="4"/>
              <w:right w:val="single" w:color="000000" w:sz="4"/>
            </w:tcBorders>
            <w:vAlign w:val="top"/>
          </w:tcPr>
          <w:p>
            <w:pPr>
              <w:jc w:val="center"/>
            </w:pPr>
            <w:r>
              <w:rPr>
                <w:sz w:val="21"/>
              </w:rPr>
              <w:t>服务</w:t>
            </w:r>
            <w:r>
              <w:rPr>
                <w:sz w:val="21"/>
              </w:rPr>
              <w:t>时间</w:t>
            </w:r>
          </w:p>
        </w:tc>
      </w:tr>
      <w:tr>
        <w:tc>
          <w:tcPr>
            <w:tcW w:type="dxa" w:w="4659"/>
            <w:gridSpan w:val="2"/>
            <w:tcBorders>
              <w:top w:val="none" w:color="000000" w:sz="4"/>
              <w:left w:val="single" w:color="000000" w:sz="4"/>
              <w:bottom w:val="single" w:color="000000" w:sz="4"/>
              <w:right w:val="single" w:color="000000" w:sz="4"/>
            </w:tcBorders>
            <w:vAlign w:val="top"/>
          </w:tcPr>
          <w:p>
            <w:pPr>
              <w:jc w:val="center"/>
            </w:pPr>
            <w:r>
              <w:rPr>
                <w:sz w:val="21"/>
              </w:rPr>
              <w:t>5G</w:t>
            </w:r>
            <w:r>
              <w:rPr>
                <w:sz w:val="21"/>
              </w:rPr>
              <w:t>网联无人机组网租赁服务</w:t>
            </w:r>
          </w:p>
        </w:tc>
        <w:tc>
          <w:tcPr>
            <w:tcW w:type="dxa" w:w="1776"/>
            <w:tcBorders>
              <w:top w:val="none" w:color="000000" w:sz="4"/>
              <w:left w:val="none" w:color="000000" w:sz="4"/>
              <w:bottom w:val="single" w:color="000000" w:sz="4"/>
              <w:right w:val="single" w:color="000000" w:sz="4"/>
            </w:tcBorders>
            <w:vAlign w:val="top"/>
          </w:tcPr>
          <w:p>
            <w:pPr>
              <w:jc w:val="center"/>
            </w:pPr>
            <w:r>
              <w:rPr>
                <w:sz w:val="21"/>
              </w:rPr>
              <w:t>故障</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7×24</w:t>
            </w:r>
          </w:p>
        </w:tc>
      </w:tr>
      <w:tr>
        <w:tc>
          <w:tcPr>
            <w:tcW w:type="dxa" w:w="1575"/>
            <w:vMerge w:val="restart"/>
            <w:tcBorders>
              <w:top w:val="none" w:color="000000" w:sz="4"/>
              <w:left w:val="single" w:color="000000" w:sz="4"/>
              <w:bottom w:val="single" w:color="000000" w:sz="4"/>
              <w:right w:val="single" w:color="000000" w:sz="4"/>
            </w:tcBorders>
            <w:vAlign w:val="top"/>
          </w:tcPr>
          <w:p>
            <w:pPr>
              <w:jc w:val="center"/>
            </w:pPr>
            <w:r>
              <w:rPr>
                <w:sz w:val="21"/>
              </w:rPr>
              <w:t>智能巡检与智能识别服务</w:t>
            </w:r>
          </w:p>
        </w:tc>
        <w:tc>
          <w:tcPr>
            <w:tcW w:type="dxa" w:w="3084"/>
            <w:tcBorders>
              <w:top w:val="none" w:color="000000" w:sz="4"/>
              <w:left w:val="none" w:color="000000" w:sz="4"/>
              <w:bottom w:val="single" w:color="000000" w:sz="4"/>
              <w:right w:val="single" w:color="000000" w:sz="4"/>
            </w:tcBorders>
            <w:vAlign w:val="top"/>
          </w:tcPr>
          <w:p>
            <w:pPr>
              <w:jc w:val="center"/>
            </w:pPr>
            <w:r>
              <w:rPr>
                <w:sz w:val="21"/>
              </w:rPr>
              <w:t>智慧城管巡查服务</w:t>
            </w:r>
          </w:p>
        </w:tc>
        <w:tc>
          <w:tcPr>
            <w:tcW w:type="dxa" w:w="1776"/>
            <w:vMerge w:val="restart"/>
            <w:tcBorders>
              <w:top w:val="none" w:color="000000" w:sz="4"/>
              <w:left w:val="none" w:color="000000" w:sz="4"/>
              <w:bottom w:val="single" w:color="000000" w:sz="4"/>
              <w:right w:val="single" w:color="000000" w:sz="4"/>
            </w:tcBorders>
            <w:vAlign w:val="top"/>
          </w:tcPr>
          <w:p>
            <w:pPr>
              <w:jc w:val="center"/>
            </w:pPr>
            <w:r>
              <w:rPr>
                <w:sz w:val="21"/>
              </w:rPr>
              <w:t>运维服务</w:t>
            </w:r>
          </w:p>
        </w:tc>
        <w:tc>
          <w:tcPr>
            <w:tcW w:type="dxa" w:w="1869"/>
            <w:tcBorders>
              <w:top w:val="single" w:color="000000" w:sz="4"/>
              <w:left w:val="none" w:color="000000" w:sz="4"/>
              <w:bottom w:val="single" w:color="000000" w:sz="4"/>
              <w:right w:val="single" w:color="000000" w:sz="4"/>
            </w:tcBorders>
            <w:vAlign w:val="top"/>
          </w:tcPr>
          <w:p>
            <w:pPr>
              <w:jc w:val="center"/>
            </w:pPr>
            <w:r>
              <w:rPr>
                <w:sz w:val="21"/>
              </w:rPr>
              <w:t>5×8</w:t>
            </w:r>
          </w:p>
        </w:tc>
      </w:tr>
      <w:tr>
        <w:tc>
          <w:tcPr>
            <w:tcW w:type="dxa" w:w="1575"/>
            <w:vMerge/>
            <w:tcBorders>
              <w:top w:val="none" w:color="000000" w:sz="4"/>
              <w:left w:val="single" w:color="000000" w:sz="4"/>
              <w:bottom w:val="single" w:color="000000" w:sz="4"/>
              <w:right w:val="single" w:color="000000" w:sz="4"/>
            </w:tcBorders>
          </w:tcPr>
          <w:p/>
        </w:tc>
        <w:tc>
          <w:tcPr>
            <w:tcW w:type="dxa" w:w="3084"/>
            <w:tcBorders>
              <w:top w:val="none" w:color="000000" w:sz="4"/>
              <w:left w:val="none" w:color="000000" w:sz="4"/>
              <w:bottom w:val="single" w:color="000000" w:sz="4"/>
              <w:right w:val="single" w:color="000000" w:sz="4"/>
            </w:tcBorders>
            <w:vAlign w:val="top"/>
          </w:tcPr>
          <w:p>
            <w:pPr>
              <w:jc w:val="center"/>
            </w:pPr>
            <w:r>
              <w:rPr>
                <w:sz w:val="21"/>
              </w:rPr>
              <w:t>智慧国土巡查服务</w:t>
            </w:r>
          </w:p>
        </w:tc>
        <w:tc>
          <w:tcPr>
            <w:tcW w:type="dxa" w:w="1776"/>
            <w:vMerge/>
            <w:tcBorders>
              <w:top w:val="none" w:color="000000" w:sz="4"/>
              <w:left w:val="none" w:color="000000" w:sz="4"/>
              <w:bottom w:val="single" w:color="000000" w:sz="4"/>
              <w:right w:val="single" w:color="000000" w:sz="4"/>
            </w:tcBorders>
          </w:tcPr>
          <w:p/>
        </w:tc>
        <w:tc>
          <w:tcPr>
            <w:tcW w:type="dxa" w:w="1869"/>
            <w:tcBorders>
              <w:top w:val="none" w:color="000000" w:sz="4"/>
              <w:left w:val="none" w:color="000000" w:sz="4"/>
              <w:bottom w:val="single" w:color="000000" w:sz="4"/>
              <w:right w:val="single" w:color="000000" w:sz="4"/>
            </w:tcBorders>
            <w:vAlign w:val="top"/>
          </w:tcPr>
          <w:p>
            <w:pPr>
              <w:jc w:val="center"/>
            </w:pPr>
            <w:r>
              <w:rPr>
                <w:sz w:val="21"/>
              </w:rPr>
              <w:t>5×8</w:t>
            </w:r>
          </w:p>
        </w:tc>
      </w:tr>
      <w:tr>
        <w:tc>
          <w:tcPr>
            <w:tcW w:type="dxa" w:w="1575"/>
            <w:vMerge/>
            <w:tcBorders>
              <w:top w:val="none" w:color="000000" w:sz="4"/>
              <w:left w:val="single" w:color="000000" w:sz="4"/>
              <w:bottom w:val="single" w:color="000000" w:sz="4"/>
              <w:right w:val="single" w:color="000000" w:sz="4"/>
            </w:tcBorders>
          </w:tcPr>
          <w:p/>
        </w:tc>
        <w:tc>
          <w:tcPr>
            <w:tcW w:type="dxa" w:w="3084"/>
            <w:tcBorders>
              <w:top w:val="none" w:color="000000" w:sz="4"/>
              <w:left w:val="none" w:color="000000" w:sz="4"/>
              <w:bottom w:val="single" w:color="000000" w:sz="4"/>
              <w:right w:val="single" w:color="000000" w:sz="4"/>
            </w:tcBorders>
            <w:vAlign w:val="top"/>
          </w:tcPr>
          <w:p>
            <w:pPr>
              <w:jc w:val="center"/>
            </w:pPr>
            <w:r>
              <w:rPr>
                <w:sz w:val="21"/>
              </w:rPr>
              <w:t>智慧环保巡查服务</w:t>
            </w:r>
          </w:p>
        </w:tc>
        <w:tc>
          <w:tcPr>
            <w:tcW w:type="dxa" w:w="1776"/>
            <w:vMerge/>
            <w:tcBorders>
              <w:top w:val="none" w:color="000000" w:sz="4"/>
              <w:left w:val="none" w:color="000000" w:sz="4"/>
              <w:bottom w:val="single" w:color="000000" w:sz="4"/>
              <w:right w:val="single" w:color="000000" w:sz="4"/>
            </w:tcBorders>
          </w:tcPr>
          <w:p/>
        </w:tc>
        <w:tc>
          <w:tcPr>
            <w:tcW w:type="dxa" w:w="1869"/>
            <w:tcBorders>
              <w:top w:val="none" w:color="000000" w:sz="4"/>
              <w:left w:val="none" w:color="000000" w:sz="4"/>
              <w:bottom w:val="single" w:color="000000" w:sz="4"/>
              <w:right w:val="single" w:color="000000" w:sz="4"/>
            </w:tcBorders>
            <w:vAlign w:val="top"/>
          </w:tcPr>
          <w:p>
            <w:pPr>
              <w:jc w:val="center"/>
            </w:pPr>
            <w:r>
              <w:rPr>
                <w:sz w:val="21"/>
              </w:rPr>
              <w:t>5×8</w:t>
            </w:r>
          </w:p>
        </w:tc>
      </w:tr>
      <w:tr>
        <w:tc>
          <w:tcPr>
            <w:tcW w:type="dxa" w:w="1575"/>
            <w:vMerge/>
            <w:tcBorders>
              <w:top w:val="none" w:color="000000" w:sz="4"/>
              <w:left w:val="single" w:color="000000" w:sz="4"/>
              <w:bottom w:val="single" w:color="000000" w:sz="4"/>
              <w:right w:val="single" w:color="000000" w:sz="4"/>
            </w:tcBorders>
          </w:tcPr>
          <w:p/>
        </w:tc>
        <w:tc>
          <w:tcPr>
            <w:tcW w:type="dxa" w:w="3084"/>
            <w:tcBorders>
              <w:top w:val="none" w:color="000000" w:sz="4"/>
              <w:left w:val="none" w:color="000000" w:sz="4"/>
              <w:bottom w:val="single" w:color="000000" w:sz="4"/>
              <w:right w:val="single" w:color="000000" w:sz="4"/>
            </w:tcBorders>
            <w:vAlign w:val="top"/>
          </w:tcPr>
          <w:p>
            <w:pPr>
              <w:jc w:val="center"/>
            </w:pPr>
            <w:r>
              <w:rPr>
                <w:sz w:val="21"/>
              </w:rPr>
              <w:t>智慧水务巡查服务</w:t>
            </w:r>
          </w:p>
        </w:tc>
        <w:tc>
          <w:tcPr>
            <w:tcW w:type="dxa" w:w="1776"/>
            <w:vMerge/>
            <w:tcBorders>
              <w:top w:val="none" w:color="000000" w:sz="4"/>
              <w:left w:val="none" w:color="000000" w:sz="4"/>
              <w:bottom w:val="single" w:color="000000" w:sz="4"/>
              <w:right w:val="single" w:color="000000" w:sz="4"/>
            </w:tcBorders>
          </w:tcPr>
          <w:p/>
        </w:tc>
        <w:tc>
          <w:tcPr>
            <w:tcW w:type="dxa" w:w="1869"/>
            <w:tcBorders>
              <w:top w:val="none" w:color="000000" w:sz="4"/>
              <w:left w:val="none" w:color="000000" w:sz="4"/>
              <w:bottom w:val="single" w:color="000000" w:sz="4"/>
              <w:right w:val="single" w:color="000000" w:sz="4"/>
            </w:tcBorders>
            <w:vAlign w:val="top"/>
          </w:tcPr>
          <w:p>
            <w:pPr>
              <w:jc w:val="center"/>
            </w:pPr>
            <w:r>
              <w:rPr>
                <w:sz w:val="21"/>
              </w:rPr>
              <w:t>5×8</w:t>
            </w:r>
          </w:p>
        </w:tc>
      </w:tr>
      <w:tr>
        <w:tc>
          <w:tcPr>
            <w:tcW w:type="dxa" w:w="1575"/>
            <w:vMerge/>
            <w:tcBorders>
              <w:top w:val="none" w:color="000000" w:sz="4"/>
              <w:left w:val="single" w:color="000000" w:sz="4"/>
              <w:bottom w:val="single" w:color="000000" w:sz="4"/>
              <w:right w:val="single" w:color="000000" w:sz="4"/>
            </w:tcBorders>
          </w:tcPr>
          <w:p/>
        </w:tc>
        <w:tc>
          <w:tcPr>
            <w:tcW w:type="dxa" w:w="3084"/>
            <w:tcBorders>
              <w:top w:val="none" w:color="000000" w:sz="4"/>
              <w:left w:val="none" w:color="000000" w:sz="4"/>
              <w:bottom w:val="single" w:color="000000" w:sz="4"/>
              <w:right w:val="single" w:color="000000" w:sz="4"/>
            </w:tcBorders>
            <w:vAlign w:val="top"/>
          </w:tcPr>
          <w:p>
            <w:pPr>
              <w:jc w:val="center"/>
            </w:pPr>
            <w:r>
              <w:rPr>
                <w:sz w:val="21"/>
              </w:rPr>
              <w:t>智慧应急巡查服务</w:t>
            </w:r>
          </w:p>
        </w:tc>
        <w:tc>
          <w:tcPr>
            <w:tcW w:type="dxa" w:w="1776"/>
            <w:vMerge/>
            <w:tcBorders>
              <w:top w:val="none" w:color="000000" w:sz="4"/>
              <w:left w:val="none" w:color="000000" w:sz="4"/>
              <w:bottom w:val="single" w:color="000000" w:sz="4"/>
              <w:right w:val="single" w:color="000000" w:sz="4"/>
            </w:tcBorders>
          </w:tcPr>
          <w:p/>
        </w:tc>
        <w:tc>
          <w:tcPr>
            <w:tcW w:type="dxa" w:w="1869"/>
            <w:tcBorders>
              <w:top w:val="none" w:color="000000" w:sz="4"/>
              <w:left w:val="none" w:color="000000" w:sz="4"/>
              <w:bottom w:val="single" w:color="000000" w:sz="4"/>
              <w:right w:val="single" w:color="000000" w:sz="4"/>
            </w:tcBorders>
            <w:vAlign w:val="top"/>
          </w:tcPr>
          <w:p>
            <w:pPr>
              <w:jc w:val="center"/>
            </w:pPr>
            <w:r>
              <w:rPr>
                <w:sz w:val="21"/>
              </w:rPr>
              <w:t>5×8</w:t>
            </w:r>
          </w:p>
        </w:tc>
      </w:tr>
      <w:tr>
        <w:tc>
          <w:tcPr>
            <w:tcW w:type="dxa" w:w="1575"/>
            <w:vMerge/>
            <w:tcBorders>
              <w:top w:val="none" w:color="000000" w:sz="4"/>
              <w:left w:val="single" w:color="000000" w:sz="4"/>
              <w:bottom w:val="single" w:color="000000" w:sz="4"/>
              <w:right w:val="single" w:color="000000" w:sz="4"/>
            </w:tcBorders>
          </w:tcPr>
          <w:p/>
        </w:tc>
        <w:tc>
          <w:tcPr>
            <w:tcW w:type="dxa" w:w="3084"/>
            <w:tcBorders>
              <w:top w:val="none" w:color="000000" w:sz="4"/>
              <w:left w:val="none" w:color="000000" w:sz="4"/>
              <w:bottom w:val="single" w:color="000000" w:sz="4"/>
              <w:right w:val="single" w:color="000000" w:sz="4"/>
            </w:tcBorders>
            <w:vAlign w:val="top"/>
          </w:tcPr>
          <w:p>
            <w:pPr>
              <w:jc w:val="center"/>
            </w:pPr>
            <w:r>
              <w:rPr>
                <w:sz w:val="21"/>
              </w:rPr>
              <w:t>智慧交通巡查服务</w:t>
            </w:r>
          </w:p>
        </w:tc>
        <w:tc>
          <w:tcPr>
            <w:tcW w:type="dxa" w:w="1776"/>
            <w:vMerge/>
            <w:tcBorders>
              <w:top w:val="none" w:color="000000" w:sz="4"/>
              <w:left w:val="none" w:color="000000" w:sz="4"/>
              <w:bottom w:val="single" w:color="000000" w:sz="4"/>
              <w:right w:val="single" w:color="000000" w:sz="4"/>
            </w:tcBorders>
          </w:tcPr>
          <w:p/>
        </w:tc>
        <w:tc>
          <w:tcPr>
            <w:tcW w:type="dxa" w:w="1869"/>
            <w:tcBorders>
              <w:top w:val="none" w:color="000000" w:sz="4"/>
              <w:left w:val="none" w:color="000000" w:sz="4"/>
              <w:bottom w:val="single" w:color="000000" w:sz="4"/>
              <w:right w:val="single" w:color="000000" w:sz="4"/>
            </w:tcBorders>
            <w:vAlign w:val="top"/>
          </w:tcPr>
          <w:p>
            <w:pPr>
              <w:jc w:val="center"/>
            </w:pPr>
            <w:r>
              <w:rPr>
                <w:sz w:val="21"/>
              </w:rPr>
              <w:t>5×8</w:t>
            </w:r>
          </w:p>
        </w:tc>
      </w:tr>
      <w:tr>
        <w:tc>
          <w:tcPr>
            <w:tcW w:type="dxa" w:w="1575"/>
            <w:vMerge/>
            <w:tcBorders>
              <w:top w:val="none" w:color="000000" w:sz="4"/>
              <w:left w:val="single" w:color="000000" w:sz="4"/>
              <w:bottom w:val="single" w:color="000000" w:sz="4"/>
              <w:right w:val="single" w:color="000000" w:sz="4"/>
            </w:tcBorders>
          </w:tcPr>
          <w:p/>
        </w:tc>
        <w:tc>
          <w:tcPr>
            <w:tcW w:type="dxa" w:w="3084"/>
            <w:tcBorders>
              <w:top w:val="none" w:color="000000" w:sz="4"/>
              <w:left w:val="none" w:color="000000" w:sz="4"/>
              <w:bottom w:val="single" w:color="000000" w:sz="4"/>
              <w:right w:val="single" w:color="000000" w:sz="4"/>
            </w:tcBorders>
            <w:vAlign w:val="top"/>
          </w:tcPr>
          <w:p>
            <w:pPr>
              <w:jc w:val="center"/>
            </w:pPr>
            <w:r>
              <w:rPr>
                <w:sz w:val="21"/>
              </w:rPr>
              <w:t>智慧交警巡查服务</w:t>
            </w:r>
          </w:p>
        </w:tc>
        <w:tc>
          <w:tcPr>
            <w:tcW w:type="dxa" w:w="1776"/>
            <w:vMerge/>
            <w:tcBorders>
              <w:top w:val="none" w:color="000000" w:sz="4"/>
              <w:left w:val="none" w:color="000000" w:sz="4"/>
              <w:bottom w:val="single" w:color="000000" w:sz="4"/>
              <w:right w:val="single" w:color="000000" w:sz="4"/>
            </w:tcBorders>
          </w:tcPr>
          <w:p/>
        </w:tc>
        <w:tc>
          <w:tcPr>
            <w:tcW w:type="dxa" w:w="1869"/>
            <w:tcBorders>
              <w:top w:val="none" w:color="000000" w:sz="4"/>
              <w:left w:val="none" w:color="000000" w:sz="4"/>
              <w:bottom w:val="single" w:color="000000" w:sz="4"/>
              <w:right w:val="single" w:color="000000" w:sz="4"/>
            </w:tcBorders>
            <w:vAlign w:val="top"/>
          </w:tcPr>
          <w:p>
            <w:pPr>
              <w:jc w:val="center"/>
            </w:pPr>
            <w:r>
              <w:rPr>
                <w:sz w:val="21"/>
              </w:rPr>
              <w:t>7×24</w:t>
            </w:r>
          </w:p>
        </w:tc>
      </w:tr>
      <w:tr>
        <w:tc>
          <w:tcPr>
            <w:tcW w:type="dxa" w:w="1575"/>
            <w:vMerge/>
            <w:tcBorders>
              <w:top w:val="none" w:color="000000" w:sz="4"/>
              <w:left w:val="single" w:color="000000" w:sz="4"/>
              <w:bottom w:val="single" w:color="000000" w:sz="4"/>
              <w:right w:val="single" w:color="000000" w:sz="4"/>
            </w:tcBorders>
          </w:tcPr>
          <w:p/>
        </w:tc>
        <w:tc>
          <w:tcPr>
            <w:tcW w:type="dxa" w:w="3084"/>
            <w:tcBorders>
              <w:top w:val="none" w:color="000000" w:sz="4"/>
              <w:left w:val="none" w:color="000000" w:sz="4"/>
              <w:bottom w:val="single" w:color="000000" w:sz="4"/>
              <w:right w:val="single" w:color="000000" w:sz="4"/>
            </w:tcBorders>
            <w:vAlign w:val="top"/>
          </w:tcPr>
          <w:p>
            <w:pPr>
              <w:jc w:val="center"/>
            </w:pPr>
            <w:r>
              <w:rPr>
                <w:sz w:val="21"/>
              </w:rPr>
              <w:t>智慧公安巡查服务</w:t>
            </w:r>
          </w:p>
        </w:tc>
        <w:tc>
          <w:tcPr>
            <w:tcW w:type="dxa" w:w="1776"/>
            <w:vMerge/>
            <w:tcBorders>
              <w:top w:val="none" w:color="000000" w:sz="4"/>
              <w:left w:val="none" w:color="000000" w:sz="4"/>
              <w:bottom w:val="single" w:color="000000" w:sz="4"/>
              <w:right w:val="single" w:color="000000" w:sz="4"/>
            </w:tcBorders>
          </w:tcPr>
          <w:p/>
        </w:tc>
        <w:tc>
          <w:tcPr>
            <w:tcW w:type="dxa" w:w="1869"/>
            <w:tcBorders>
              <w:top w:val="none" w:color="000000" w:sz="4"/>
              <w:left w:val="none" w:color="000000" w:sz="4"/>
              <w:bottom w:val="single" w:color="000000" w:sz="4"/>
              <w:right w:val="single" w:color="000000" w:sz="4"/>
            </w:tcBorders>
            <w:vAlign w:val="top"/>
          </w:tcPr>
          <w:p>
            <w:pPr>
              <w:jc w:val="center"/>
            </w:pPr>
            <w:r>
              <w:rPr>
                <w:sz w:val="21"/>
              </w:rPr>
              <w:t>7×24</w:t>
            </w:r>
          </w:p>
        </w:tc>
      </w:tr>
    </w:tbl>
    <w:p>
      <w:pPr>
        <w:jc w:val="both"/>
      </w:pPr>
      <w:r>
        <w:rPr>
          <w:sz w:val="21"/>
        </w:rPr>
        <w:t>（四）如出现因</w:t>
      </w:r>
      <w:r>
        <w:rPr>
          <w:sz w:val="21"/>
        </w:rPr>
        <w:t>乙方</w:t>
      </w:r>
      <w:r>
        <w:rPr>
          <w:sz w:val="21"/>
        </w:rPr>
        <w:t>原因导致服务项目未能按期完成的情况，双方约定按照以下方式处理：在一个结算周期内，如发生超过</w:t>
      </w:r>
      <w:r>
        <w:rPr>
          <w:sz w:val="21"/>
        </w:rPr>
        <w:t>3</w:t>
      </w:r>
      <w:r>
        <w:rPr>
          <w:sz w:val="21"/>
        </w:rPr>
        <w:t>次以上（含</w:t>
      </w:r>
      <w:r>
        <w:rPr>
          <w:sz w:val="21"/>
        </w:rPr>
        <w:t>3</w:t>
      </w:r>
      <w:r>
        <w:rPr>
          <w:sz w:val="21"/>
        </w:rPr>
        <w:t>次）、</w:t>
      </w:r>
      <w:r>
        <w:rPr>
          <w:sz w:val="21"/>
        </w:rPr>
        <w:t>5</w:t>
      </w:r>
      <w:r>
        <w:rPr>
          <w:sz w:val="21"/>
        </w:rPr>
        <w:t>次以下（不含</w:t>
      </w:r>
      <w:r>
        <w:rPr>
          <w:sz w:val="21"/>
        </w:rPr>
        <w:t>5</w:t>
      </w:r>
      <w:r>
        <w:rPr>
          <w:sz w:val="21"/>
        </w:rPr>
        <w:t>次）在约定限期内未按时提交成果报告的，</w:t>
      </w:r>
      <w:r>
        <w:rPr>
          <w:sz w:val="21"/>
        </w:rPr>
        <w:t>甲方</w:t>
      </w:r>
      <w:r>
        <w:rPr>
          <w:sz w:val="21"/>
        </w:rPr>
        <w:t>有权扣除当期应支付合同金额的</w:t>
      </w:r>
      <w:r>
        <w:rPr>
          <w:sz w:val="21"/>
        </w:rPr>
        <w:t>5%</w:t>
      </w:r>
      <w:r>
        <w:rPr>
          <w:sz w:val="21"/>
        </w:rPr>
        <w:t>；如发生超过</w:t>
      </w:r>
      <w:r>
        <w:rPr>
          <w:sz w:val="21"/>
        </w:rPr>
        <w:t>5</w:t>
      </w:r>
      <w:r>
        <w:rPr>
          <w:sz w:val="21"/>
        </w:rPr>
        <w:t>次以上（含</w:t>
      </w:r>
      <w:r>
        <w:rPr>
          <w:sz w:val="21"/>
        </w:rPr>
        <w:t>5</w:t>
      </w:r>
      <w:r>
        <w:rPr>
          <w:sz w:val="21"/>
        </w:rPr>
        <w:t>次）、</w:t>
      </w:r>
      <w:r>
        <w:rPr>
          <w:sz w:val="21"/>
        </w:rPr>
        <w:t>10</w:t>
      </w:r>
      <w:r>
        <w:rPr>
          <w:sz w:val="21"/>
        </w:rPr>
        <w:t>次以下（不含</w:t>
      </w:r>
      <w:r>
        <w:rPr>
          <w:sz w:val="21"/>
        </w:rPr>
        <w:t>10</w:t>
      </w:r>
      <w:r>
        <w:rPr>
          <w:sz w:val="21"/>
        </w:rPr>
        <w:t>次）在约定限期内未按时提交成果报告的，</w:t>
      </w:r>
      <w:r>
        <w:rPr>
          <w:sz w:val="21"/>
        </w:rPr>
        <w:t>甲方</w:t>
      </w:r>
      <w:r>
        <w:rPr>
          <w:sz w:val="21"/>
        </w:rPr>
        <w:t>有权扣除当期应支付合同金额的</w:t>
      </w:r>
      <w:r>
        <w:rPr>
          <w:sz w:val="21"/>
        </w:rPr>
        <w:t>10%</w:t>
      </w:r>
      <w:r>
        <w:rPr>
          <w:sz w:val="21"/>
        </w:rPr>
        <w:t>；如发生超过</w:t>
      </w:r>
      <w:r>
        <w:rPr>
          <w:sz w:val="21"/>
        </w:rPr>
        <w:t>10</w:t>
      </w:r>
      <w:r>
        <w:rPr>
          <w:sz w:val="21"/>
        </w:rPr>
        <w:t>次以上（含</w:t>
      </w:r>
      <w:r>
        <w:rPr>
          <w:sz w:val="21"/>
        </w:rPr>
        <w:t>10</w:t>
      </w:r>
      <w:r>
        <w:rPr>
          <w:sz w:val="21"/>
        </w:rPr>
        <w:t>次）在约定限期内未按时提交成果报告的，</w:t>
      </w:r>
      <w:r>
        <w:rPr>
          <w:sz w:val="21"/>
        </w:rPr>
        <w:t>甲方</w:t>
      </w:r>
      <w:r>
        <w:rPr>
          <w:sz w:val="21"/>
        </w:rPr>
        <w:t>有权扣除当期应支付合同金额的</w:t>
      </w:r>
      <w:r>
        <w:rPr>
          <w:sz w:val="21"/>
        </w:rPr>
        <w:t>50%</w:t>
      </w:r>
      <w:r>
        <w:rPr>
          <w:sz w:val="21"/>
        </w:rPr>
        <w:t>。扣除费用后</w:t>
      </w:r>
      <w:r>
        <w:rPr>
          <w:sz w:val="21"/>
        </w:rPr>
        <w:t>乙方</w:t>
      </w:r>
      <w:r>
        <w:rPr>
          <w:sz w:val="21"/>
        </w:rPr>
        <w:t>仍需提交符合</w:t>
      </w:r>
      <w:r>
        <w:rPr>
          <w:sz w:val="21"/>
        </w:rPr>
        <w:t>甲方</w:t>
      </w:r>
      <w:r>
        <w:rPr>
          <w:sz w:val="21"/>
        </w:rPr>
        <w:t>要求的成果报告。</w:t>
      </w:r>
    </w:p>
    <w:p>
      <w:pPr>
        <w:jc w:val="both"/>
      </w:pPr>
      <w:r>
        <w:rPr>
          <w:sz w:val="21"/>
        </w:rPr>
        <w:t>（五）成果质量保证：针对本项目采购要求，提供完整的质量保证体系，确保成果报告达到相关技术标准的要求，</w:t>
      </w:r>
      <w:r>
        <w:rPr>
          <w:sz w:val="21"/>
        </w:rPr>
        <w:t>乙方</w:t>
      </w:r>
      <w:r>
        <w:rPr>
          <w:sz w:val="21"/>
        </w:rPr>
        <w:t>应按响应文件描述保证工作成果满足相关部门的要求（验收由</w:t>
      </w:r>
      <w:r>
        <w:rPr>
          <w:sz w:val="21"/>
        </w:rPr>
        <w:t>甲乙</w:t>
      </w:r>
      <w:r>
        <w:rPr>
          <w:sz w:val="21"/>
        </w:rPr>
        <w:t>双</w:t>
      </w:r>
      <w:r>
        <w:rPr>
          <w:sz w:val="21"/>
        </w:rPr>
        <w:t>方</w:t>
      </w:r>
      <w:r>
        <w:rPr>
          <w:sz w:val="21"/>
        </w:rPr>
        <w:t>联合验收）。如出现质量问题或成果在使用中发现有误的，</w:t>
      </w:r>
      <w:r>
        <w:rPr>
          <w:sz w:val="21"/>
        </w:rPr>
        <w:t>乙方</w:t>
      </w:r>
      <w:r>
        <w:rPr>
          <w:sz w:val="21"/>
        </w:rPr>
        <w:t>须无条件返工或负责修正，且不额外收取服务费。</w:t>
      </w:r>
    </w:p>
    <w:p>
      <w:pPr>
        <w:jc w:val="both"/>
      </w:pPr>
      <w:r>
        <w:rPr>
          <w:sz w:val="21"/>
        </w:rPr>
        <w:t>（六）人员要求：</w:t>
      </w:r>
      <w:r>
        <w:rPr>
          <w:sz w:val="21"/>
        </w:rPr>
        <w:t>1</w:t>
      </w:r>
      <w:r>
        <w:rPr>
          <w:sz w:val="21"/>
        </w:rPr>
        <w:t>、在项目</w:t>
      </w:r>
      <w:r>
        <w:rPr>
          <w:sz w:val="21"/>
        </w:rPr>
        <w:t>服务</w:t>
      </w:r>
      <w:r>
        <w:rPr>
          <w:sz w:val="21"/>
        </w:rPr>
        <w:t>期间，</w:t>
      </w:r>
      <w:r>
        <w:rPr>
          <w:sz w:val="21"/>
        </w:rPr>
        <w:t>乙方</w:t>
      </w:r>
      <w:r>
        <w:rPr>
          <w:sz w:val="21"/>
        </w:rPr>
        <w:t>必须成立项目实施小组（含</w:t>
      </w:r>
      <w:r>
        <w:rPr>
          <w:sz w:val="21"/>
        </w:rPr>
        <w:t>1</w:t>
      </w:r>
      <w:r>
        <w:rPr>
          <w:sz w:val="21"/>
        </w:rPr>
        <w:t>名项目经理及不少于</w:t>
      </w:r>
      <w:r>
        <w:rPr>
          <w:sz w:val="21"/>
        </w:rPr>
        <w:t>6</w:t>
      </w:r>
      <w:r>
        <w:rPr>
          <w:sz w:val="21"/>
        </w:rPr>
        <w:t>名技术人员；且上述人员不得互相兼任），并将有关人员名单和联络方式报</w:t>
      </w:r>
      <w:r>
        <w:rPr>
          <w:sz w:val="21"/>
        </w:rPr>
        <w:t>甲方</w:t>
      </w:r>
      <w:r>
        <w:rPr>
          <w:sz w:val="21"/>
        </w:rPr>
        <w:t>；</w:t>
      </w:r>
      <w:r>
        <w:rPr>
          <w:sz w:val="21"/>
        </w:rPr>
        <w:t>乙方</w:t>
      </w:r>
      <w:r>
        <w:rPr>
          <w:sz w:val="21"/>
        </w:rPr>
        <w:t>如需要更换项目经理或技术人员，应提前</w:t>
      </w:r>
      <w:r>
        <w:rPr>
          <w:sz w:val="21"/>
        </w:rPr>
        <w:t>10</w:t>
      </w:r>
      <w:r>
        <w:rPr>
          <w:sz w:val="21"/>
        </w:rPr>
        <w:t>天以书面形式通知</w:t>
      </w:r>
      <w:r>
        <w:rPr>
          <w:sz w:val="21"/>
        </w:rPr>
        <w:t>甲方</w:t>
      </w:r>
      <w:r>
        <w:rPr>
          <w:sz w:val="21"/>
        </w:rPr>
        <w:t>，并征得</w:t>
      </w:r>
      <w:r>
        <w:rPr>
          <w:sz w:val="21"/>
        </w:rPr>
        <w:t>甲方</w:t>
      </w:r>
      <w:r>
        <w:rPr>
          <w:sz w:val="21"/>
        </w:rPr>
        <w:t>书面同意。</w:t>
      </w:r>
      <w:r>
        <w:rPr>
          <w:sz w:val="21"/>
        </w:rPr>
        <w:t>甲方</w:t>
      </w:r>
      <w:r>
        <w:rPr>
          <w:sz w:val="21"/>
        </w:rPr>
        <w:t>认为</w:t>
      </w:r>
      <w:r>
        <w:rPr>
          <w:sz w:val="21"/>
        </w:rPr>
        <w:t>乙方</w:t>
      </w:r>
      <w:r>
        <w:rPr>
          <w:sz w:val="21"/>
        </w:rPr>
        <w:t>人员不称职的，</w:t>
      </w:r>
      <w:r>
        <w:rPr>
          <w:sz w:val="21"/>
        </w:rPr>
        <w:t>乙方</w:t>
      </w:r>
      <w:r>
        <w:rPr>
          <w:sz w:val="21"/>
        </w:rPr>
        <w:t>应在收到</w:t>
      </w:r>
      <w:r>
        <w:rPr>
          <w:sz w:val="21"/>
        </w:rPr>
        <w:t>甲方</w:t>
      </w:r>
      <w:r>
        <w:rPr>
          <w:sz w:val="21"/>
        </w:rPr>
        <w:t>书面通知</w:t>
      </w:r>
      <w:r>
        <w:rPr>
          <w:sz w:val="21"/>
        </w:rPr>
        <w:t>3</w:t>
      </w:r>
      <w:r>
        <w:rPr>
          <w:sz w:val="21"/>
        </w:rPr>
        <w:t>日内更换。</w:t>
      </w:r>
    </w:p>
    <w:p>
      <w:pPr>
        <w:jc w:val="both"/>
      </w:pPr>
      <w:r>
        <w:rPr>
          <w:sz w:val="21"/>
        </w:rPr>
        <w:t>2</w:t>
      </w:r>
      <w:r>
        <w:rPr>
          <w:sz w:val="21"/>
        </w:rPr>
        <w:t>、</w:t>
      </w:r>
      <w:r>
        <w:rPr>
          <w:sz w:val="21"/>
        </w:rPr>
        <w:t>乙方</w:t>
      </w:r>
      <w:r>
        <w:rPr>
          <w:sz w:val="21"/>
        </w:rPr>
        <w:t>项目实施小组成员必须与响应文件内承诺的人员配置一致。项目经理应专职服务于本项目，不得随意更换。</w:t>
      </w:r>
    </w:p>
    <w:p>
      <w:pPr>
        <w:jc w:val="both"/>
      </w:pPr>
      <w:r>
        <w:rPr>
          <w:sz w:val="21"/>
        </w:rPr>
        <w:t>3</w:t>
      </w:r>
      <w:r>
        <w:rPr>
          <w:sz w:val="21"/>
        </w:rPr>
        <w:t>、项目经理负责：</w:t>
      </w:r>
      <w:r>
        <w:rPr>
          <w:sz w:val="21"/>
        </w:rPr>
        <w:t>①</w:t>
      </w:r>
      <w:r>
        <w:rPr>
          <w:sz w:val="21"/>
        </w:rPr>
        <w:t>项目实施全过程管理；</w:t>
      </w:r>
      <w:r>
        <w:rPr>
          <w:sz w:val="21"/>
        </w:rPr>
        <w:t>②</w:t>
      </w:r>
      <w:r>
        <w:rPr>
          <w:sz w:val="21"/>
        </w:rPr>
        <w:t>项目团队建设和项目指导；</w:t>
      </w:r>
      <w:r>
        <w:rPr>
          <w:sz w:val="21"/>
        </w:rPr>
        <w:t>③</w:t>
      </w:r>
      <w:r>
        <w:rPr>
          <w:sz w:val="21"/>
        </w:rPr>
        <w:t>需求收集（客户和内部产品组），功能定义，开发详细的功能设计说明书，组织协调开发、测试，用户培训等各方面涉及此功能的人员的工作；</w:t>
      </w:r>
      <w:r>
        <w:rPr>
          <w:sz w:val="21"/>
        </w:rPr>
        <w:t>④</w:t>
      </w:r>
      <w:r>
        <w:rPr>
          <w:sz w:val="21"/>
        </w:rPr>
        <w:t>编制项目开发计划；项目工作日常执行；识别和控制项目风险；有效控制项目开发过程和项目质量；</w:t>
      </w:r>
      <w:r>
        <w:rPr>
          <w:sz w:val="21"/>
        </w:rPr>
        <w:t>⑤</w:t>
      </w:r>
      <w:r>
        <w:rPr>
          <w:sz w:val="21"/>
        </w:rPr>
        <w:t>有效的控制客户需求，解决项目开发过程中遇到的质量问题和管理问题；</w:t>
      </w:r>
      <w:r>
        <w:rPr>
          <w:sz w:val="21"/>
        </w:rPr>
        <w:t>⑥</w:t>
      </w:r>
      <w:r>
        <w:rPr>
          <w:sz w:val="21"/>
        </w:rPr>
        <w:t>负责项目资料文档的编写、收集、整理、建档、保存。</w:t>
      </w:r>
    </w:p>
    <w:p>
      <w:pPr>
        <w:jc w:val="both"/>
      </w:pPr>
      <w:r>
        <w:rPr>
          <w:sz w:val="21"/>
        </w:rPr>
        <w:t>4</w:t>
      </w:r>
      <w:r>
        <w:rPr>
          <w:sz w:val="21"/>
        </w:rPr>
        <w:t>、其他技术人员负责：</w:t>
      </w:r>
      <w:r>
        <w:rPr>
          <w:sz w:val="21"/>
        </w:rPr>
        <w:t>①</w:t>
      </w:r>
      <w:r>
        <w:rPr>
          <w:sz w:val="21"/>
        </w:rPr>
        <w:t>协商确定基础巡查区域，系统性安排基础巡查任务，任务结束整理成工作日志报告；</w:t>
      </w:r>
      <w:r>
        <w:rPr>
          <w:sz w:val="21"/>
        </w:rPr>
        <w:t>②</w:t>
      </w:r>
      <w:r>
        <w:rPr>
          <w:sz w:val="21"/>
        </w:rPr>
        <w:t>对客户所需基础巡查区域进行视频数据采集，数据统计、分析，生成案件报告（包括案件描述、类型、时间、状态、数据情况等）；</w:t>
      </w:r>
      <w:r>
        <w:rPr>
          <w:sz w:val="21"/>
        </w:rPr>
        <w:t>③</w:t>
      </w:r>
      <w:r>
        <w:rPr>
          <w:sz w:val="21"/>
        </w:rPr>
        <w:t>服务期间提供并负责无人机及相关设备使用、系统升级、维修、定期保养维护等</w:t>
      </w:r>
      <w:r>
        <w:rPr>
          <w:sz w:val="21"/>
        </w:rPr>
        <w:t>。</w:t>
      </w:r>
    </w:p>
    <w:p>
      <w:pPr>
        <w:jc w:val="both"/>
      </w:pPr>
      <w:r>
        <w:rPr>
          <w:b/>
          <w:sz w:val="21"/>
        </w:rPr>
        <w:t>四、</w:t>
      </w:r>
      <w:r>
        <w:rPr>
          <w:b/>
          <w:sz w:val="21"/>
        </w:rPr>
        <w:t>项目主要成果</w:t>
      </w:r>
    </w:p>
    <w:p>
      <w:pPr>
        <w:jc w:val="both"/>
      </w:pPr>
      <w:r>
        <w:rPr>
          <w:sz w:val="21"/>
        </w:rPr>
        <w:t>服务成果报告，须提供纸质文件</w:t>
      </w:r>
      <w:r>
        <w:rPr>
          <w:sz w:val="21"/>
        </w:rPr>
        <w:t>1</w:t>
      </w:r>
      <w:r>
        <w:rPr>
          <w:sz w:val="21"/>
        </w:rPr>
        <w:t>份，电子文件（</w:t>
      </w:r>
      <w:r>
        <w:rPr>
          <w:sz w:val="21"/>
        </w:rPr>
        <w:t>SHP</w:t>
      </w:r>
      <w:r>
        <w:rPr>
          <w:sz w:val="21"/>
        </w:rPr>
        <w:t>格式，刻录光盘一式三份）。</w:t>
      </w:r>
    </w:p>
    <w:p>
      <w:pPr>
        <w:jc w:val="both"/>
      </w:pPr>
      <w:r>
        <w:rPr>
          <w:sz w:val="21"/>
        </w:rPr>
        <w:t>备注说明：</w:t>
      </w:r>
    </w:p>
    <w:p>
      <w:pPr>
        <w:jc w:val="both"/>
      </w:pPr>
      <w:r>
        <w:rPr>
          <w:sz w:val="21"/>
        </w:rPr>
        <w:t>（一）乙方须向甲方完整地提供一套成果文本及电子文档。若甲方要求对资料的数量进行补充时，乙方须予以服从，并按要求补充，甲方不额外支付费用。</w:t>
      </w:r>
    </w:p>
    <w:p>
      <w:pPr>
        <w:jc w:val="both"/>
      </w:pPr>
      <w:r>
        <w:rPr>
          <w:sz w:val="21"/>
        </w:rPr>
        <w:t>（二）《成果报告》的内容可结合具体项目或后期实际审批情况适当调整。</w:t>
      </w:r>
    </w:p>
    <w:p>
      <w:pPr>
        <w:jc w:val="both"/>
      </w:pPr>
      <w:r>
        <w:rPr>
          <w:b/>
          <w:color w:val="000000"/>
          <w:sz w:val="21"/>
        </w:rPr>
        <w:t>五、</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1"/>
        <w:gridCol w:w="1427"/>
        <w:gridCol w:w="6218"/>
      </w:tblGrid>
      <w:tr>
        <w:tc>
          <w:tcPr>
            <w:tcW w:type="dxa" w:w="661"/>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27"/>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218"/>
            <w:tcBorders>
              <w:top w:val="single" w:color="000000" w:sz="4"/>
              <w:left w:val="none" w:color="000000" w:sz="4"/>
              <w:bottom w:val="single" w:color="000000" w:sz="4"/>
              <w:right w:val="single" w:color="000000" w:sz="4"/>
            </w:tcBorders>
            <w:vAlign w:val="top"/>
          </w:tcPr>
          <w:p>
            <w:pPr>
              <w:jc w:val="center"/>
            </w:pPr>
            <w:r>
              <w:rPr>
                <w:b/>
                <w:color w:val="000000"/>
                <w:sz w:val="21"/>
              </w:rPr>
              <w:t>内容</w:t>
            </w:r>
          </w:p>
        </w:tc>
      </w:tr>
      <w:tr>
        <w:tc>
          <w:tcPr>
            <w:tcW w:type="dxa" w:w="661"/>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427"/>
            <w:tcBorders>
              <w:top w:val="none" w:color="000000" w:sz="4"/>
              <w:left w:val="none" w:color="000000" w:sz="4"/>
              <w:bottom w:val="single" w:color="000000" w:sz="4"/>
              <w:right w:val="single" w:color="000000" w:sz="4"/>
            </w:tcBorders>
            <w:vAlign w:val="top"/>
          </w:tcPr>
          <w:p>
            <w:pPr>
              <w:jc w:val="center"/>
            </w:pPr>
            <w:r>
              <w:rPr>
                <w:b/>
                <w:color w:val="000000"/>
                <w:sz w:val="21"/>
              </w:rPr>
              <w:t>合同总额</w:t>
            </w:r>
          </w:p>
        </w:tc>
        <w:tc>
          <w:tcPr>
            <w:tcW w:type="dxa" w:w="6218"/>
            <w:tcBorders>
              <w:top w:val="none" w:color="000000" w:sz="4"/>
              <w:left w:val="none" w:color="000000" w:sz="4"/>
              <w:bottom w:val="single" w:color="000000" w:sz="4"/>
              <w:right w:val="single" w:color="000000" w:sz="4"/>
            </w:tcBorders>
            <w:vAlign w:val="top"/>
          </w:tcPr>
          <w:p>
            <w:pPr>
              <w:jc w:val="both"/>
            </w:pPr>
            <w:r>
              <w:rPr>
                <w:color w:val="000000"/>
                <w:sz w:val="21"/>
              </w:rPr>
              <w:t>人民币小写：</w:t>
            </w:r>
            <w:r>
              <w:rPr>
                <w:sz w:val="21"/>
                <w:u w:val="single"/>
              </w:rPr>
              <w:t xml:space="preserve">             </w:t>
            </w:r>
            <w:r>
              <w:rPr>
                <w:color w:val="000000"/>
                <w:sz w:val="21"/>
              </w:rPr>
              <w:t>元；</w:t>
            </w:r>
          </w:p>
          <w:p>
            <w:pPr>
              <w:jc w:val="both"/>
            </w:pPr>
            <w:r>
              <w:rPr>
                <w:color w:val="000000"/>
                <w:sz w:val="21"/>
              </w:rPr>
              <w:t>大写：</w:t>
            </w:r>
            <w:r>
              <w:rPr>
                <w:sz w:val="21"/>
                <w:u w:val="single"/>
              </w:rPr>
              <w:t xml:space="preserve">             </w:t>
            </w:r>
            <w:r>
              <w:rPr>
                <w:color w:val="000000"/>
                <w:sz w:val="21"/>
              </w:rPr>
              <w:t>。</w:t>
            </w:r>
          </w:p>
        </w:tc>
      </w:tr>
      <w:tr>
        <w:tc>
          <w:tcPr>
            <w:tcW w:type="dxa" w:w="661"/>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427"/>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218"/>
            <w:tcBorders>
              <w:top w:val="none" w:color="000000" w:sz="4"/>
              <w:left w:val="none" w:color="000000" w:sz="4"/>
              <w:bottom w:val="single" w:color="000000" w:sz="4"/>
              <w:right w:val="single" w:color="000000" w:sz="4"/>
            </w:tcBorders>
            <w:vAlign w:val="top"/>
          </w:tcPr>
          <w:p>
            <w:pPr>
              <w:jc w:val="both"/>
            </w:pPr>
            <w:r>
              <w:rPr>
                <w:color w:val="000000"/>
                <w:sz w:val="21"/>
              </w:rPr>
              <w:t>(1)</w:t>
            </w:r>
            <w:r>
              <w:rPr>
                <w:color w:val="000000"/>
                <w:sz w:val="21"/>
              </w:rPr>
              <w:t>合同总额包含但不限于</w:t>
            </w:r>
            <w:r>
              <w:rPr>
                <w:sz w:val="21"/>
              </w:rPr>
              <w:t>服</w:t>
            </w:r>
            <w:r>
              <w:rPr>
                <w:sz w:val="21"/>
              </w:rPr>
              <w:t>务人员的人工费、交通费</w:t>
            </w:r>
            <w:r>
              <w:rPr>
                <w:sz w:val="21"/>
              </w:rPr>
              <w:t>、设备购买（或租用）费用</w:t>
            </w:r>
            <w:r>
              <w:rPr>
                <w:sz w:val="21"/>
              </w:rPr>
              <w:t>、</w:t>
            </w:r>
            <w:r>
              <w:rPr>
                <w:sz w:val="21"/>
              </w:rPr>
              <w:t>全额含税发票、代理服务费、合同实施过程中的应预见或不可预见费用等</w:t>
            </w:r>
            <w:r>
              <w:rPr>
                <w:sz w:val="21"/>
              </w:rPr>
              <w:t>费用完成合同规定责任和义务、达到合同目的的一切费用及单位利润</w:t>
            </w:r>
            <w:r>
              <w:rPr>
                <w:sz w:val="21"/>
              </w:rPr>
              <w:t>。（</w:t>
            </w:r>
            <w:r>
              <w:rPr>
                <w:sz w:val="21"/>
              </w:rPr>
              <w:t>2</w:t>
            </w:r>
            <w:r>
              <w:rPr>
                <w:sz w:val="21"/>
              </w:rPr>
              <w:t>）在项目实施过程中，如项目工作范围发生变更，由</w:t>
            </w:r>
            <w:r>
              <w:rPr>
                <w:sz w:val="21"/>
              </w:rPr>
              <w:t>乙方</w:t>
            </w:r>
            <w:r>
              <w:rPr>
                <w:sz w:val="21"/>
              </w:rPr>
              <w:t>和</w:t>
            </w:r>
            <w:r>
              <w:rPr>
                <w:sz w:val="21"/>
              </w:rPr>
              <w:t>甲方</w:t>
            </w:r>
            <w:r>
              <w:rPr>
                <w:sz w:val="21"/>
              </w:rPr>
              <w:t>双方协商解决；其余情况下，合同价均不予调整，</w:t>
            </w:r>
            <w:r>
              <w:rPr>
                <w:sz w:val="21"/>
              </w:rPr>
              <w:t>甲方</w:t>
            </w:r>
            <w:r>
              <w:rPr>
                <w:sz w:val="21"/>
              </w:rPr>
              <w:t>将不再另行支付任何费用（另有约定的除外）。</w:t>
            </w:r>
          </w:p>
        </w:tc>
      </w:tr>
      <w:tr>
        <w:tc>
          <w:tcPr>
            <w:tcW w:type="dxa" w:w="661"/>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427"/>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218"/>
            <w:tcBorders>
              <w:top w:val="none" w:color="000000" w:sz="4"/>
              <w:left w:val="none" w:color="000000" w:sz="4"/>
              <w:bottom w:val="single" w:color="000000" w:sz="4"/>
              <w:right w:val="single" w:color="000000" w:sz="4"/>
            </w:tcBorders>
            <w:vAlign w:val="top"/>
          </w:tcPr>
          <w:p>
            <w:pPr>
              <w:jc w:val="left"/>
            </w:pPr>
            <w:r>
              <w:rPr>
                <w:color w:val="000000"/>
                <w:sz w:val="21"/>
              </w:rPr>
              <w:t>甲方（用户）指定地点。详细地址为：</w:t>
            </w:r>
          </w:p>
        </w:tc>
      </w:tr>
      <w:tr>
        <w:tc>
          <w:tcPr>
            <w:tcW w:type="dxa" w:w="661"/>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427"/>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218"/>
            <w:tcBorders>
              <w:top w:val="none" w:color="000000" w:sz="4"/>
              <w:left w:val="none" w:color="000000" w:sz="4"/>
              <w:bottom w:val="single" w:color="000000" w:sz="4"/>
              <w:right w:val="single" w:color="000000" w:sz="4"/>
            </w:tcBorders>
            <w:vAlign w:val="top"/>
          </w:tcPr>
          <w:p>
            <w:pPr>
              <w:jc w:val="left"/>
            </w:pPr>
            <w:r>
              <w:rPr>
                <w:color w:val="000000"/>
                <w:sz w:val="21"/>
              </w:rPr>
              <w:t>自合同签订之日起一年</w:t>
            </w:r>
            <w:r>
              <w:rPr>
                <w:color w:val="000000"/>
                <w:sz w:val="21"/>
              </w:rPr>
              <w:t>，即从</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日至</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w:t>
            </w:r>
          </w:p>
        </w:tc>
      </w:tr>
      <w:tr>
        <w:tc>
          <w:tcPr>
            <w:tcW w:type="dxa" w:w="661"/>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427"/>
            <w:tcBorders>
              <w:top w:val="none" w:color="000000" w:sz="4"/>
              <w:left w:val="none" w:color="000000" w:sz="4"/>
              <w:bottom w:val="single" w:color="000000" w:sz="4"/>
              <w:right w:val="single" w:color="000000" w:sz="4"/>
            </w:tcBorders>
            <w:vAlign w:val="top"/>
          </w:tcPr>
          <w:p>
            <w:pPr>
              <w:jc w:val="center"/>
            </w:pPr>
            <w:r>
              <w:rPr>
                <w:b/>
                <w:color w:val="000000"/>
                <w:sz w:val="21"/>
              </w:rPr>
              <w:t>合同签订方式及情况</w:t>
            </w:r>
          </w:p>
        </w:tc>
        <w:tc>
          <w:tcPr>
            <w:tcW w:type="dxa" w:w="6218"/>
            <w:tcBorders>
              <w:top w:val="none" w:color="000000" w:sz="4"/>
              <w:left w:val="none" w:color="000000" w:sz="4"/>
              <w:bottom w:val="single" w:color="000000" w:sz="4"/>
              <w:right w:val="single" w:color="000000" w:sz="4"/>
            </w:tcBorders>
            <w:vAlign w:val="top"/>
          </w:tcPr>
          <w:p>
            <w:pPr>
              <w:jc w:val="both"/>
            </w:pPr>
            <w:r>
              <w:rPr>
                <w:color w:val="000000"/>
                <w:sz w:val="21"/>
              </w:rPr>
              <w:t>一次性签订本项目采购合同。</w:t>
            </w:r>
          </w:p>
        </w:tc>
      </w:tr>
      <w:tr>
        <w:tc>
          <w:tcPr>
            <w:tcW w:type="dxa" w:w="661"/>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427"/>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218"/>
            <w:tcBorders>
              <w:top w:val="none" w:color="000000" w:sz="4"/>
              <w:left w:val="none" w:color="000000" w:sz="4"/>
              <w:bottom w:val="single" w:color="000000" w:sz="4"/>
              <w:right w:val="single" w:color="000000" w:sz="4"/>
            </w:tcBorders>
            <w:vAlign w:val="top"/>
          </w:tcPr>
          <w:p>
            <w:pPr>
              <w:jc w:val="both"/>
            </w:pPr>
            <w:r>
              <w:rPr>
                <w:sz w:val="21"/>
              </w:rPr>
              <w:t>（一）</w:t>
            </w:r>
            <w:r>
              <w:rPr>
                <w:sz w:val="21"/>
              </w:rPr>
              <w:t>服务项目按期完成成果报告</w:t>
            </w:r>
            <w:r>
              <w:rPr>
                <w:sz w:val="21"/>
              </w:rPr>
              <w:t>，</w:t>
            </w:r>
            <w:r>
              <w:rPr>
                <w:sz w:val="21"/>
              </w:rPr>
              <w:t>服务期满</w:t>
            </w:r>
            <w:r>
              <w:rPr>
                <w:sz w:val="21"/>
              </w:rPr>
              <w:t>3</w:t>
            </w:r>
            <w:r>
              <w:rPr>
                <w:sz w:val="21"/>
              </w:rPr>
              <w:t>个月，甲方</w:t>
            </w:r>
            <w:r>
              <w:rPr>
                <w:sz w:val="21"/>
              </w:rPr>
              <w:t>在收到</w:t>
            </w:r>
            <w:r>
              <w:rPr>
                <w:sz w:val="21"/>
              </w:rPr>
              <w:t>乙方</w:t>
            </w:r>
            <w:r>
              <w:rPr>
                <w:sz w:val="21"/>
              </w:rPr>
              <w:t>提供的对应金额有效发票后</w:t>
            </w:r>
            <w:r>
              <w:rPr>
                <w:sz w:val="21"/>
              </w:rPr>
              <w:t>10</w:t>
            </w:r>
            <w:r>
              <w:rPr>
                <w:sz w:val="21"/>
              </w:rPr>
              <w:t>个工作日内支付合同总金额的</w:t>
            </w:r>
            <w:r>
              <w:rPr>
                <w:sz w:val="21"/>
              </w:rPr>
              <w:t>25</w:t>
            </w:r>
            <w:r>
              <w:rPr>
                <w:sz w:val="21"/>
              </w:rPr>
              <w:t>%</w:t>
            </w:r>
            <w:r>
              <w:rPr>
                <w:sz w:val="21"/>
              </w:rPr>
              <w:t>；</w:t>
            </w:r>
          </w:p>
          <w:p>
            <w:pPr>
              <w:jc w:val="both"/>
            </w:pPr>
            <w:r>
              <w:rPr>
                <w:sz w:val="21"/>
              </w:rPr>
              <w:t>（二）</w:t>
            </w:r>
            <w:r>
              <w:rPr>
                <w:sz w:val="21"/>
              </w:rPr>
              <w:t>服务项目按期完成成果报告</w:t>
            </w:r>
            <w:r>
              <w:rPr>
                <w:sz w:val="21"/>
              </w:rPr>
              <w:t>，</w:t>
            </w:r>
            <w:r>
              <w:rPr>
                <w:sz w:val="21"/>
              </w:rPr>
              <w:t>服务期满</w:t>
            </w:r>
            <w:r>
              <w:rPr>
                <w:sz w:val="21"/>
              </w:rPr>
              <w:t>6</w:t>
            </w:r>
            <w:r>
              <w:rPr>
                <w:sz w:val="21"/>
              </w:rPr>
              <w:t>个月，甲方</w:t>
            </w:r>
            <w:r>
              <w:rPr>
                <w:sz w:val="21"/>
              </w:rPr>
              <w:t>在收到</w:t>
            </w:r>
            <w:r>
              <w:rPr>
                <w:sz w:val="21"/>
              </w:rPr>
              <w:t>乙方</w:t>
            </w:r>
            <w:r>
              <w:rPr>
                <w:sz w:val="21"/>
              </w:rPr>
              <w:t>提供的对应金额有效发票后</w:t>
            </w:r>
            <w:r>
              <w:rPr>
                <w:sz w:val="21"/>
              </w:rPr>
              <w:t>10</w:t>
            </w:r>
            <w:r>
              <w:rPr>
                <w:sz w:val="21"/>
              </w:rPr>
              <w:t>个工作日内支付合同总金额的</w:t>
            </w:r>
            <w:r>
              <w:rPr>
                <w:sz w:val="21"/>
              </w:rPr>
              <w:t>25</w:t>
            </w:r>
            <w:r>
              <w:rPr>
                <w:sz w:val="21"/>
              </w:rPr>
              <w:t>%</w:t>
            </w:r>
            <w:r>
              <w:rPr>
                <w:sz w:val="21"/>
              </w:rPr>
              <w:t>；</w:t>
            </w:r>
          </w:p>
          <w:p>
            <w:pPr>
              <w:jc w:val="both"/>
            </w:pPr>
            <w:r>
              <w:rPr>
                <w:sz w:val="21"/>
              </w:rPr>
              <w:t>（</w:t>
            </w:r>
            <w:r>
              <w:rPr>
                <w:sz w:val="21"/>
              </w:rPr>
              <w:t>三</w:t>
            </w:r>
            <w:r>
              <w:rPr>
                <w:sz w:val="21"/>
              </w:rPr>
              <w:t>）</w:t>
            </w:r>
            <w:r>
              <w:rPr>
                <w:sz w:val="21"/>
              </w:rPr>
              <w:t>服务项目按期完成成果报告</w:t>
            </w:r>
            <w:r>
              <w:rPr>
                <w:sz w:val="21"/>
              </w:rPr>
              <w:t>，</w:t>
            </w:r>
            <w:r>
              <w:rPr>
                <w:sz w:val="21"/>
              </w:rPr>
              <w:t>服务期满</w:t>
            </w:r>
            <w:r>
              <w:rPr>
                <w:sz w:val="21"/>
              </w:rPr>
              <w:t>9</w:t>
            </w:r>
            <w:r>
              <w:rPr>
                <w:sz w:val="21"/>
              </w:rPr>
              <w:t>个月，甲方</w:t>
            </w:r>
            <w:r>
              <w:rPr>
                <w:sz w:val="21"/>
              </w:rPr>
              <w:t>在收到</w:t>
            </w:r>
            <w:r>
              <w:rPr>
                <w:sz w:val="21"/>
              </w:rPr>
              <w:t>乙方</w:t>
            </w:r>
            <w:r>
              <w:rPr>
                <w:sz w:val="21"/>
              </w:rPr>
              <w:t>提供的对应金额有效发票后</w:t>
            </w:r>
            <w:r>
              <w:rPr>
                <w:sz w:val="21"/>
              </w:rPr>
              <w:t>10</w:t>
            </w:r>
            <w:r>
              <w:rPr>
                <w:sz w:val="21"/>
              </w:rPr>
              <w:t>个工作日内支付合同总金额的</w:t>
            </w:r>
            <w:r>
              <w:rPr>
                <w:sz w:val="21"/>
              </w:rPr>
              <w:t>25</w:t>
            </w:r>
            <w:r>
              <w:rPr>
                <w:sz w:val="21"/>
              </w:rPr>
              <w:t>%</w:t>
            </w:r>
            <w:r>
              <w:rPr>
                <w:sz w:val="21"/>
              </w:rPr>
              <w:t>；</w:t>
            </w:r>
          </w:p>
          <w:p>
            <w:pPr>
              <w:jc w:val="both"/>
            </w:pPr>
            <w:r>
              <w:rPr>
                <w:sz w:val="21"/>
              </w:rPr>
              <w:t>（</w:t>
            </w:r>
            <w:r>
              <w:rPr>
                <w:sz w:val="21"/>
              </w:rPr>
              <w:t>四</w:t>
            </w:r>
            <w:r>
              <w:rPr>
                <w:sz w:val="21"/>
              </w:rPr>
              <w:t>）</w:t>
            </w:r>
            <w:r>
              <w:rPr>
                <w:sz w:val="21"/>
              </w:rPr>
              <w:t>服务项目按期完成成果报告</w:t>
            </w:r>
            <w:r>
              <w:rPr>
                <w:sz w:val="21"/>
              </w:rPr>
              <w:t>，</w:t>
            </w:r>
            <w:r>
              <w:rPr>
                <w:sz w:val="21"/>
              </w:rPr>
              <w:t>服务期满</w:t>
            </w:r>
            <w:r>
              <w:rPr>
                <w:sz w:val="21"/>
              </w:rPr>
              <w:t>12</w:t>
            </w:r>
            <w:r>
              <w:rPr>
                <w:sz w:val="21"/>
              </w:rPr>
              <w:t>个月，甲方</w:t>
            </w:r>
            <w:r>
              <w:rPr>
                <w:sz w:val="21"/>
              </w:rPr>
              <w:t>在收到</w:t>
            </w:r>
            <w:r>
              <w:rPr>
                <w:sz w:val="21"/>
              </w:rPr>
              <w:t>乙方</w:t>
            </w:r>
            <w:r>
              <w:rPr>
                <w:sz w:val="21"/>
              </w:rPr>
              <w:t>提供的对应金额有效发票后</w:t>
            </w:r>
            <w:r>
              <w:rPr>
                <w:sz w:val="21"/>
              </w:rPr>
              <w:t>10</w:t>
            </w:r>
            <w:r>
              <w:rPr>
                <w:sz w:val="21"/>
              </w:rPr>
              <w:t>个工作日内支付合同总金额的</w:t>
            </w:r>
            <w:r>
              <w:rPr>
                <w:sz w:val="21"/>
              </w:rPr>
              <w:t>25</w:t>
            </w:r>
            <w:r>
              <w:rPr>
                <w:sz w:val="21"/>
              </w:rPr>
              <w:t>%</w:t>
            </w:r>
            <w:r>
              <w:rPr>
                <w:sz w:val="21"/>
              </w:rPr>
              <w:t>。</w:t>
            </w:r>
          </w:p>
        </w:tc>
      </w:tr>
      <w:tr>
        <w:tc>
          <w:tcPr>
            <w:tcW w:type="dxa" w:w="661"/>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427"/>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218"/>
            <w:tcBorders>
              <w:top w:val="none" w:color="000000" w:sz="4"/>
              <w:left w:val="none" w:color="000000" w:sz="4"/>
              <w:bottom w:val="single" w:color="000000" w:sz="4"/>
              <w:right w:val="single" w:color="000000" w:sz="4"/>
            </w:tcBorders>
            <w:vAlign w:val="top"/>
          </w:tcPr>
          <w:p>
            <w:pPr>
              <w:jc w:val="left"/>
            </w:pPr>
            <w:r>
              <w:rPr>
                <w:sz w:val="21"/>
              </w:rPr>
              <w:t>（</w:t>
            </w:r>
            <w:r>
              <w:rPr>
                <w:sz w:val="21"/>
              </w:rPr>
              <w:t>一</w:t>
            </w:r>
            <w:r>
              <w:rPr>
                <w:sz w:val="21"/>
              </w:rPr>
              <w:t>）</w:t>
            </w:r>
            <w:r>
              <w:rPr>
                <w:sz w:val="21"/>
              </w:rPr>
              <w:t>甲方</w:t>
            </w:r>
            <w:r>
              <w:rPr>
                <w:sz w:val="21"/>
              </w:rPr>
              <w:t>支付每笔款项时，</w:t>
            </w:r>
            <w:r>
              <w:rPr>
                <w:sz w:val="21"/>
              </w:rPr>
              <w:t>乙方</w:t>
            </w:r>
            <w:r>
              <w:rPr>
                <w:sz w:val="21"/>
              </w:rPr>
              <w:t>应提供相应金额的正式发票（收款方、出具发票方和合同乙方均必须与</w:t>
            </w:r>
            <w:r>
              <w:rPr>
                <w:sz w:val="21"/>
              </w:rPr>
              <w:t>乙方</w:t>
            </w:r>
            <w:r>
              <w:rPr>
                <w:sz w:val="21"/>
              </w:rPr>
              <w:t>名称一致）。（</w:t>
            </w:r>
            <w:r>
              <w:rPr>
                <w:sz w:val="21"/>
              </w:rPr>
              <w:t>二</w:t>
            </w:r>
            <w:r>
              <w:rPr>
                <w:sz w:val="21"/>
              </w:rPr>
              <w:t>）付款方式：采用支票、银行汇付（含电汇）等形式。</w:t>
            </w:r>
            <w:r>
              <w:rPr>
                <w:sz w:val="21"/>
              </w:rPr>
              <w:t>（</w:t>
            </w:r>
            <w:r>
              <w:rPr>
                <w:sz w:val="21"/>
              </w:rPr>
              <w:t>三</w:t>
            </w:r>
            <w:r>
              <w:rPr>
                <w:sz w:val="21"/>
              </w:rPr>
              <w:t>）付款期间如因特殊情况需调整，由双方协商处理。</w:t>
            </w:r>
          </w:p>
        </w:tc>
      </w:tr>
    </w:tbl>
    <w:p>
      <w:pPr>
        <w:jc w:val="both"/>
      </w:pPr>
      <w:r>
        <w:rPr>
          <w:b/>
          <w:sz w:val="21"/>
        </w:rPr>
        <w:t>六</w:t>
      </w:r>
      <w:r>
        <w:rPr>
          <w:b/>
          <w:sz w:val="21"/>
        </w:rPr>
        <w:t>、验收要求</w:t>
      </w:r>
    </w:p>
    <w:p>
      <w:pPr>
        <w:jc w:val="both"/>
      </w:pPr>
      <w:r>
        <w:rPr>
          <w:sz w:val="21"/>
        </w:rPr>
        <w:t>（一）</w:t>
      </w:r>
      <w:r>
        <w:rPr>
          <w:sz w:val="21"/>
        </w:rPr>
        <w:t>硬件设备建设须经双方共同验收。经双方共同验收，如出现不合格，</w:t>
      </w:r>
      <w:r>
        <w:rPr>
          <w:sz w:val="21"/>
        </w:rPr>
        <w:t>乙方</w:t>
      </w:r>
      <w:r>
        <w:rPr>
          <w:sz w:val="21"/>
        </w:rPr>
        <w:t>负责无偿给予重新调整，以达到质量要求为止。若再次重新调整，成果仍出现未达到承诺要求的，</w:t>
      </w:r>
      <w:r>
        <w:rPr>
          <w:sz w:val="21"/>
        </w:rPr>
        <w:t>甲方</w:t>
      </w:r>
      <w:r>
        <w:rPr>
          <w:sz w:val="21"/>
        </w:rPr>
        <w:t>有权按延期</w:t>
      </w:r>
      <w:r>
        <w:rPr>
          <w:sz w:val="21"/>
        </w:rPr>
        <w:t>1</w:t>
      </w:r>
      <w:r>
        <w:rPr>
          <w:sz w:val="21"/>
        </w:rPr>
        <w:t>天扣除合同总金额的</w:t>
      </w:r>
      <w:r>
        <w:rPr>
          <w:sz w:val="21"/>
        </w:rPr>
        <w:t>3‰</w:t>
      </w:r>
      <w:r>
        <w:rPr>
          <w:sz w:val="21"/>
        </w:rPr>
        <w:t>作为违约金处理。</w:t>
      </w:r>
    </w:p>
    <w:p>
      <w:pPr>
        <w:jc w:val="both"/>
      </w:pPr>
      <w:r>
        <w:rPr>
          <w:sz w:val="21"/>
        </w:rPr>
        <w:t>（二）</w:t>
      </w:r>
      <w:r>
        <w:rPr>
          <w:sz w:val="21"/>
        </w:rPr>
        <w:t>乙方</w:t>
      </w:r>
      <w:r>
        <w:rPr>
          <w:sz w:val="21"/>
        </w:rPr>
        <w:t>根据</w:t>
      </w:r>
      <w:r>
        <w:rPr>
          <w:sz w:val="21"/>
        </w:rPr>
        <w:t>甲方</w:t>
      </w:r>
      <w:r>
        <w:rPr>
          <w:sz w:val="21"/>
        </w:rPr>
        <w:t>要求提供项目相关文档。</w:t>
      </w:r>
    </w:p>
    <w:p>
      <w:pPr>
        <w:jc w:val="both"/>
      </w:pPr>
      <w:r>
        <w:rPr>
          <w:sz w:val="21"/>
        </w:rPr>
        <w:t>（三）验收标准：</w:t>
      </w:r>
    </w:p>
    <w:p>
      <w:pPr>
        <w:jc w:val="both"/>
      </w:pPr>
      <w:r>
        <w:rPr>
          <w:sz w:val="21"/>
        </w:rPr>
        <w:t>①</w:t>
      </w:r>
      <w:r>
        <w:rPr>
          <w:sz w:val="21"/>
        </w:rPr>
        <w:t>符合中华人民共和国国家和履约地相关安全质量标准、行业技术规范标准；</w:t>
      </w:r>
    </w:p>
    <w:p>
      <w:pPr>
        <w:jc w:val="both"/>
      </w:pPr>
      <w:r>
        <w:rPr>
          <w:sz w:val="21"/>
        </w:rPr>
        <w:t>②</w:t>
      </w:r>
      <w:r>
        <w:rPr>
          <w:sz w:val="21"/>
        </w:rPr>
        <w:t>符合本项目采购文件要求和</w:t>
      </w:r>
      <w:r>
        <w:rPr>
          <w:sz w:val="21"/>
        </w:rPr>
        <w:t>乙方</w:t>
      </w:r>
      <w:r>
        <w:rPr>
          <w:sz w:val="21"/>
        </w:rPr>
        <w:t>招标文件承诺的相应标准；</w:t>
      </w:r>
    </w:p>
    <w:p>
      <w:pPr>
        <w:jc w:val="both"/>
      </w:pPr>
      <w:r>
        <w:rPr>
          <w:sz w:val="21"/>
        </w:rPr>
        <w:t>③</w:t>
      </w:r>
      <w:r>
        <w:rPr>
          <w:sz w:val="21"/>
        </w:rPr>
        <w:t>货物来源国家官方标准。</w:t>
      </w:r>
    </w:p>
    <w:p>
      <w:pPr>
        <w:jc w:val="both"/>
      </w:pPr>
      <w:r>
        <w:rPr>
          <w:sz w:val="21"/>
        </w:rPr>
        <w:t>上述标准必须是有关官方机构发布的最新版本的标准。</w:t>
      </w:r>
    </w:p>
    <w:p>
      <w:pPr>
        <w:jc w:val="both"/>
      </w:pPr>
      <w:r>
        <w:rPr>
          <w:sz w:val="21"/>
        </w:rPr>
        <w:t>（四）验收形式：服务期满后由</w:t>
      </w:r>
      <w:r>
        <w:rPr>
          <w:sz w:val="21"/>
        </w:rPr>
        <w:t>甲方</w:t>
      </w:r>
      <w:r>
        <w:rPr>
          <w:sz w:val="21"/>
        </w:rPr>
        <w:t>组织</w:t>
      </w:r>
      <w:r>
        <w:rPr>
          <w:sz w:val="21"/>
        </w:rPr>
        <w:t>双方共同</w:t>
      </w:r>
      <w:r>
        <w:rPr>
          <w:sz w:val="21"/>
        </w:rPr>
        <w:t>验收。</w:t>
      </w:r>
    </w:p>
    <w:p>
      <w:pPr>
        <w:jc w:val="both"/>
      </w:pPr>
      <w:r>
        <w:rPr>
          <w:sz w:val="21"/>
        </w:rPr>
        <w:t>（五）验收费用：</w:t>
      </w:r>
      <w:r>
        <w:rPr>
          <w:sz w:val="21"/>
        </w:rPr>
        <w:t>乙方</w:t>
      </w:r>
      <w:r>
        <w:rPr>
          <w:sz w:val="21"/>
        </w:rPr>
        <w:t>须为验收提供必需的一切条件及相关费用。</w:t>
      </w:r>
    </w:p>
    <w:p>
      <w:pPr>
        <w:jc w:val="both"/>
      </w:pPr>
      <w:r>
        <w:rPr>
          <w:b/>
          <w:sz w:val="21"/>
        </w:rPr>
        <w:t>七</w:t>
      </w:r>
      <w:r>
        <w:rPr>
          <w:b/>
          <w:sz w:val="21"/>
        </w:rPr>
        <w:t>、保密要求</w:t>
      </w:r>
    </w:p>
    <w:p>
      <w:pPr>
        <w:jc w:val="both"/>
      </w:pPr>
      <w:r>
        <w:rPr>
          <w:sz w:val="21"/>
        </w:rPr>
        <w:t>（一）本项目涉及的保密数据和资料包括分布资料、过程资料和在项目过程中确认的需要保密的其他信息及资料。</w:t>
      </w:r>
    </w:p>
    <w:p>
      <w:pPr>
        <w:jc w:val="both"/>
      </w:pPr>
      <w:r>
        <w:rPr>
          <w:sz w:val="21"/>
        </w:rPr>
        <w:t>（二）本项目所涉及的保密数据和资料，仅限于</w:t>
      </w:r>
      <w:r>
        <w:rPr>
          <w:sz w:val="21"/>
        </w:rPr>
        <w:t>乙方</w:t>
      </w:r>
      <w:r>
        <w:rPr>
          <w:sz w:val="21"/>
        </w:rPr>
        <w:t>在本项目的合同期内使用，并只能用于本项目，不得用于其它用途，不得向第三方提供，且保密责任不因合同的终止或解除而失效，</w:t>
      </w:r>
      <w:r>
        <w:rPr>
          <w:sz w:val="21"/>
        </w:rPr>
        <w:t>乙方</w:t>
      </w:r>
      <w:r>
        <w:rPr>
          <w:sz w:val="21"/>
        </w:rPr>
        <w:t>须在签定合同的同时无条件签定保密协议。</w:t>
      </w:r>
    </w:p>
    <w:p>
      <w:pPr>
        <w:jc w:val="both"/>
      </w:pPr>
      <w:r>
        <w:rPr>
          <w:sz w:val="21"/>
        </w:rPr>
        <w:t>（三）</w:t>
      </w:r>
      <w:r>
        <w:rPr>
          <w:sz w:val="21"/>
        </w:rPr>
        <w:t>乙方</w:t>
      </w:r>
      <w:r>
        <w:rPr>
          <w:sz w:val="21"/>
        </w:rPr>
        <w:t>须按国家相关法律法规的要求，制定数据安全保密措施，严防泄密，并在项目结束后销毁所有相关数据，不得保留备份。</w:t>
      </w:r>
    </w:p>
    <w:p>
      <w:pPr>
        <w:jc w:val="both"/>
      </w:pPr>
      <w:r>
        <w:rPr>
          <w:sz w:val="21"/>
        </w:rPr>
        <w:t>（四）</w:t>
      </w:r>
      <w:r>
        <w:rPr>
          <w:sz w:val="21"/>
        </w:rPr>
        <w:t>乙方</w:t>
      </w:r>
      <w:r>
        <w:rPr>
          <w:sz w:val="21"/>
        </w:rPr>
        <w:t>不得将涉密数据在计算机互联网、政务网等非涉密网络上传输、登载。</w:t>
      </w:r>
    </w:p>
    <w:p>
      <w:pPr>
        <w:jc w:val="both"/>
      </w:pPr>
      <w:r>
        <w:rPr>
          <w:sz w:val="21"/>
        </w:rPr>
        <w:t xml:space="preserve"> </w:t>
      </w:r>
      <w:r>
        <w:rPr>
          <w:sz w:val="21"/>
        </w:rPr>
        <w:t>（五）</w:t>
      </w:r>
      <w:r>
        <w:rPr>
          <w:sz w:val="21"/>
        </w:rPr>
        <w:t>乙方</w:t>
      </w:r>
      <w:r>
        <w:rPr>
          <w:sz w:val="21"/>
        </w:rPr>
        <w:t>发生涉密数据外传、丢失、被盗或者造成泄密事故的，应采取有效措施，及时补救，并及时报告；造成后果的，由</w:t>
      </w:r>
      <w:r>
        <w:rPr>
          <w:sz w:val="21"/>
        </w:rPr>
        <w:t>乙方</w:t>
      </w:r>
      <w:r>
        <w:rPr>
          <w:sz w:val="21"/>
        </w:rPr>
        <w:t>承担所有责任。</w:t>
      </w:r>
    </w:p>
    <w:p>
      <w:pPr>
        <w:jc w:val="both"/>
      </w:pPr>
      <w:r>
        <w:rPr>
          <w:b/>
          <w:sz w:val="21"/>
        </w:rPr>
        <w:t>八</w:t>
      </w:r>
      <w:r>
        <w:rPr>
          <w:b/>
          <w:sz w:val="21"/>
        </w:rPr>
        <w:t>、知识产权归属</w:t>
      </w:r>
    </w:p>
    <w:p>
      <w:pPr>
        <w:jc w:val="both"/>
      </w:pPr>
      <w:r>
        <w:rPr>
          <w:sz w:val="21"/>
        </w:rPr>
        <w:t>（一）本项目的知识产权属</w:t>
      </w:r>
      <w:r>
        <w:rPr>
          <w:sz w:val="21"/>
        </w:rPr>
        <w:t>甲方</w:t>
      </w:r>
      <w:r>
        <w:rPr>
          <w:sz w:val="21"/>
        </w:rPr>
        <w:t>所有。</w:t>
      </w:r>
    </w:p>
    <w:p>
      <w:pPr>
        <w:jc w:val="both"/>
      </w:pPr>
      <w:r>
        <w:rPr>
          <w:sz w:val="21"/>
        </w:rPr>
        <w:t>（二）</w:t>
      </w:r>
      <w:r>
        <w:rPr>
          <w:sz w:val="21"/>
        </w:rPr>
        <w:t>乙方</w:t>
      </w:r>
      <w:r>
        <w:rPr>
          <w:sz w:val="21"/>
        </w:rPr>
        <w:t>在服务过程中所涉及的知识产权费用和法律纠纷由</w:t>
      </w:r>
      <w:r>
        <w:rPr>
          <w:sz w:val="21"/>
        </w:rPr>
        <w:t>乙方</w:t>
      </w:r>
      <w:r>
        <w:rPr>
          <w:sz w:val="21"/>
        </w:rPr>
        <w:t>自行负责。</w:t>
      </w:r>
      <w:r>
        <w:rPr>
          <w:sz w:val="21"/>
        </w:rPr>
        <w:t>（三）</w:t>
      </w:r>
      <w:r>
        <w:rPr>
          <w:sz w:val="21"/>
        </w:rPr>
        <w:t>乙方</w:t>
      </w:r>
      <w:r>
        <w:rPr>
          <w:sz w:val="21"/>
        </w:rPr>
        <w:t>保证响应文件、全部资料的合法性和真实性，保证在全球范围内未曾自行或授权任何第三方对作品进行任何形式的使用。</w:t>
      </w:r>
      <w:r>
        <w:rPr>
          <w:sz w:val="21"/>
        </w:rPr>
        <w:t>乙方</w:t>
      </w:r>
      <w:r>
        <w:rPr>
          <w:sz w:val="21"/>
        </w:rPr>
        <w:t>需是作品的合法拥有者，拥有著作权，不得侵犯他人著作权。如有作品侵犯第三方著作权的情况发生，由</w:t>
      </w:r>
      <w:r>
        <w:rPr>
          <w:sz w:val="21"/>
        </w:rPr>
        <w:t>乙方</w:t>
      </w:r>
      <w:r>
        <w:rPr>
          <w:sz w:val="21"/>
        </w:rPr>
        <w:t>承担相应法律责任，</w:t>
      </w:r>
      <w:r>
        <w:rPr>
          <w:sz w:val="21"/>
        </w:rPr>
        <w:t>甲方</w:t>
      </w:r>
      <w:r>
        <w:rPr>
          <w:sz w:val="21"/>
        </w:rPr>
        <w:t>对此不承担任何责任。</w:t>
      </w:r>
      <w:r>
        <w:rPr>
          <w:sz w:val="21"/>
        </w:rPr>
        <w:t>甲方</w:t>
      </w:r>
      <w:r>
        <w:rPr>
          <w:sz w:val="21"/>
        </w:rPr>
        <w:t>在该项目拥有无偿展示权、使用权、复制权和修改权。</w:t>
      </w:r>
    </w:p>
    <w:p>
      <w:pPr>
        <w:jc w:val="both"/>
      </w:pPr>
      <w:r>
        <w:rPr>
          <w:sz w:val="21"/>
        </w:rPr>
        <w:t>（四）</w:t>
      </w:r>
      <w:r>
        <w:rPr>
          <w:sz w:val="21"/>
        </w:rPr>
        <w:t>乙方</w:t>
      </w:r>
      <w:r>
        <w:rPr>
          <w:sz w:val="21"/>
        </w:rPr>
        <w:t>在合同履行过程中，如有涉稳、涉敏感信息产生一切不良影响及损失，</w:t>
      </w:r>
      <w:r>
        <w:rPr>
          <w:sz w:val="21"/>
        </w:rPr>
        <w:t>甲方</w:t>
      </w:r>
      <w:r>
        <w:rPr>
          <w:sz w:val="21"/>
        </w:rPr>
        <w:t>有权立即终止合同并追究责任。</w:t>
      </w:r>
    </w:p>
    <w:p>
      <w:pPr>
        <w:jc w:val="both"/>
      </w:pPr>
      <w:r>
        <w:rPr>
          <w:sz w:val="21"/>
        </w:rPr>
        <w:t>（五）服务期满后，</w:t>
      </w:r>
      <w:r>
        <w:rPr>
          <w:sz w:val="21"/>
        </w:rPr>
        <w:t>乙方</w:t>
      </w:r>
      <w:r>
        <w:rPr>
          <w:sz w:val="21"/>
        </w:rPr>
        <w:t>须把</w:t>
      </w:r>
      <w:r>
        <w:rPr>
          <w:sz w:val="21"/>
        </w:rPr>
        <w:t>甲方</w:t>
      </w:r>
      <w:r>
        <w:rPr>
          <w:sz w:val="21"/>
        </w:rPr>
        <w:t>提供的所有资料、数据完整归还</w:t>
      </w:r>
      <w:r>
        <w:rPr>
          <w:sz w:val="21"/>
        </w:rPr>
        <w:t>甲方</w:t>
      </w:r>
      <w:r>
        <w:rPr>
          <w:sz w:val="21"/>
        </w:rPr>
        <w:t>，并不得留存任何复制品。</w:t>
      </w:r>
    </w:p>
    <w:p>
      <w:pPr>
        <w:jc w:val="both"/>
      </w:pPr>
      <w:r>
        <w:rPr>
          <w:b/>
          <w:sz w:val="21"/>
        </w:rPr>
        <w:t>九、培训要求</w:t>
      </w:r>
    </w:p>
    <w:p>
      <w:pPr>
        <w:jc w:val="both"/>
      </w:pPr>
      <w:r>
        <w:rPr>
          <w:sz w:val="21"/>
        </w:rPr>
        <w:t>（一）</w:t>
      </w:r>
      <w:r>
        <w:rPr>
          <w:sz w:val="21"/>
        </w:rPr>
        <w:t>乙方</w:t>
      </w:r>
      <w:r>
        <w:rPr>
          <w:sz w:val="21"/>
        </w:rPr>
        <w:t>应在硬件设备建设验收前提供现场专业技术培训服务。</w:t>
      </w:r>
    </w:p>
    <w:p>
      <w:pPr>
        <w:jc w:val="both"/>
      </w:pPr>
      <w:r>
        <w:rPr>
          <w:sz w:val="21"/>
        </w:rPr>
        <w:t>（二）所有培训以中文进行。该培训要求教会学员在日常和紧急情况下如何操作系统、设备运维流程、运维体。培训教员的简历连同培训计划须于培训前一并提交</w:t>
      </w:r>
      <w:r>
        <w:rPr>
          <w:sz w:val="21"/>
        </w:rPr>
        <w:t>甲方</w:t>
      </w:r>
      <w:r>
        <w:rPr>
          <w:sz w:val="21"/>
        </w:rPr>
        <w:t>，</w:t>
      </w:r>
      <w:r>
        <w:rPr>
          <w:sz w:val="21"/>
        </w:rPr>
        <w:t>甲方</w:t>
      </w:r>
      <w:r>
        <w:rPr>
          <w:sz w:val="21"/>
        </w:rPr>
        <w:t>认为培训教员不合格可要求更换。</w:t>
      </w:r>
    </w:p>
    <w:p>
      <w:pPr>
        <w:jc w:val="both"/>
      </w:pPr>
      <w:r>
        <w:rPr>
          <w:sz w:val="21"/>
        </w:rPr>
        <w:t>（三）</w:t>
      </w:r>
      <w:r>
        <w:rPr>
          <w:sz w:val="21"/>
        </w:rPr>
        <w:t>乙方</w:t>
      </w:r>
      <w:r>
        <w:rPr>
          <w:sz w:val="21"/>
        </w:rPr>
        <w:t>须在完成设备测试之前为</w:t>
      </w:r>
      <w:r>
        <w:rPr>
          <w:sz w:val="21"/>
        </w:rPr>
        <w:t>甲方</w:t>
      </w:r>
      <w:r>
        <w:rPr>
          <w:sz w:val="21"/>
        </w:rPr>
        <w:t>城市管理系统平台的对接技术人员进行现场培训，该培训包括正常操作程序和怎样处理紧急情况。同时，培训材料还应包括系统演示的详细脚本，在培训工作开始前向</w:t>
      </w:r>
      <w:r>
        <w:rPr>
          <w:sz w:val="21"/>
        </w:rPr>
        <w:t>甲方</w:t>
      </w:r>
      <w:r>
        <w:rPr>
          <w:sz w:val="21"/>
        </w:rPr>
        <w:t>提供所有中文培训资料，包括中文操作、维修手册。</w:t>
      </w:r>
    </w:p>
    <w:p>
      <w:pPr>
        <w:jc w:val="both"/>
      </w:pPr>
      <w:r>
        <w:rPr>
          <w:sz w:val="21"/>
        </w:rPr>
        <w:t>（四）</w:t>
      </w:r>
      <w:r>
        <w:rPr>
          <w:sz w:val="21"/>
        </w:rPr>
        <w:t>培训费用：所有与本项目有关的培训费用包括差旅、食宿、教材、资料等由</w:t>
      </w:r>
      <w:r>
        <w:rPr>
          <w:sz w:val="21"/>
        </w:rPr>
        <w:t>乙方</w:t>
      </w:r>
      <w:r>
        <w:rPr>
          <w:sz w:val="21"/>
        </w:rPr>
        <w:t>负责，均计入</w:t>
      </w:r>
      <w:r>
        <w:rPr>
          <w:sz w:val="21"/>
        </w:rPr>
        <w:t>合同总额</w:t>
      </w:r>
      <w:r>
        <w:rPr>
          <w:sz w:val="21"/>
        </w:rPr>
        <w:t>中。</w:t>
      </w:r>
    </w:p>
    <w:p>
      <w:pPr>
        <w:jc w:val="both"/>
      </w:pPr>
      <w:r>
        <w:rPr>
          <w:b/>
          <w:sz w:val="21"/>
        </w:rPr>
        <w:t>十</w:t>
      </w:r>
      <w:r>
        <w:rPr>
          <w:b/>
          <w:sz w:val="21"/>
        </w:rPr>
        <w:t>、</w:t>
      </w:r>
      <w:r>
        <w:rPr>
          <w:b/>
          <w:sz w:val="21"/>
        </w:rPr>
        <w:t>其他要求</w:t>
      </w:r>
    </w:p>
    <w:p>
      <w:pPr>
        <w:jc w:val="both"/>
      </w:pPr>
      <w:r>
        <w:rPr>
          <w:sz w:val="21"/>
        </w:rPr>
        <w:t>（一）合同签订前，乙方须向甲方提供有效的《通用航空企业经营许可证》复印件给甲方备案，证书经营项目须满足本项目需求。</w:t>
      </w:r>
    </w:p>
    <w:p>
      <w:pPr>
        <w:jc w:val="both"/>
      </w:pPr>
      <w:r>
        <w:rPr>
          <w:sz w:val="21"/>
        </w:rPr>
        <w:t>（二）乙方在实际服务时，若被发现提供的服务未能达到磋商文件和响应文件中的有关要求，甲方有权依法解除合同，并按有关法规追究乙方的责任。</w:t>
      </w:r>
    </w:p>
    <w:p>
      <w:pPr>
        <w:jc w:val="both"/>
      </w:pPr>
      <w:r>
        <w:rPr>
          <w:sz w:val="21"/>
        </w:rPr>
        <w:t>（三）责任承诺</w:t>
      </w:r>
      <w:r>
        <w:rPr>
          <w:sz w:val="21"/>
        </w:rPr>
        <w:t>:</w:t>
      </w:r>
      <w:r>
        <w:rPr>
          <w:sz w:val="21"/>
        </w:rPr>
        <w:t>服务期内，对于乙方服务人员因工作原因引起的各种工伤、安全事件和事故，甲方免负一切责任，均由乙方负责（响应时提供承诺函作为证明材料，格式自拟）。</w:t>
      </w:r>
    </w:p>
    <w:p>
      <w:pPr>
        <w:jc w:val="both"/>
      </w:pPr>
      <w:r>
        <w:rPr>
          <w:sz w:val="21"/>
        </w:rPr>
        <w:t>（四）服务期内如任何一方由于不可抗力原因（含上级政府部门相关政策要求调整等情况）不能履行合同时，应在不可抗力事件结束后</w:t>
      </w:r>
      <w:r>
        <w:rPr>
          <w:sz w:val="21"/>
        </w:rPr>
        <w:t>48</w:t>
      </w:r>
      <w:r>
        <w:rPr>
          <w:sz w:val="21"/>
        </w:rPr>
        <w:t>小时内向对方通报，以减轻可能给对方造成的损失，双方谅解确认后，允许解除合同，并根据情况可部分或全部免于承担违约责任，当期服务费按实计算（即结算金额</w:t>
      </w:r>
      <w:r>
        <w:rPr>
          <w:sz w:val="21"/>
        </w:rPr>
        <w:t>=</w:t>
      </w:r>
      <w:r>
        <w:rPr>
          <w:sz w:val="21"/>
        </w:rPr>
        <w:t>合同总金额</w:t>
      </w:r>
      <w:r>
        <w:rPr>
          <w:sz w:val="21"/>
        </w:rPr>
        <w:t>×当期支付比例÷该季度的天数×实际服务天数）。</w:t>
      </w:r>
    </w:p>
    <w:p>
      <w:pPr>
        <w:jc w:val="both"/>
      </w:pPr>
      <w:r>
        <w:rPr>
          <w:b/>
          <w:sz w:val="21"/>
        </w:rPr>
        <w:t>十一、</w:t>
      </w:r>
      <w:r>
        <w:rPr>
          <w:b/>
          <w:sz w:val="21"/>
        </w:rPr>
        <w:t>服务对照执行标准</w:t>
      </w:r>
    </w:p>
    <w:p>
      <w:pPr>
        <w:jc w:val="both"/>
      </w:pPr>
      <w:r>
        <w:rPr>
          <w:sz w:val="21"/>
        </w:rPr>
        <w:t>（一）符合中华人民共和国国家和履约地相关安全质量标准、行业技术规范标准；</w:t>
      </w:r>
    </w:p>
    <w:p>
      <w:pPr>
        <w:jc w:val="both"/>
      </w:pPr>
      <w:r>
        <w:rPr>
          <w:sz w:val="21"/>
        </w:rPr>
        <w:t>（二）符合采购文件和响应承诺中各方共同认可的合理要求；</w:t>
      </w:r>
    </w:p>
    <w:p>
      <w:pPr>
        <w:jc w:val="both"/>
      </w:pPr>
      <w:r>
        <w:rPr>
          <w:sz w:val="21"/>
        </w:rPr>
        <w:t>上述各类标准与法规必须是有关官方机构最新发布的现行标准版本。</w:t>
      </w:r>
    </w:p>
    <w:p>
      <w:pPr>
        <w:jc w:val="both"/>
      </w:pPr>
      <w:r>
        <w:rPr>
          <w:b/>
          <w:sz w:val="21"/>
        </w:rPr>
        <w:t>十</w:t>
      </w:r>
      <w:r>
        <w:rPr>
          <w:b/>
          <w:sz w:val="21"/>
        </w:rPr>
        <w:t>二</w:t>
      </w:r>
      <w:r>
        <w:rPr>
          <w:b/>
          <w:sz w:val="21"/>
        </w:rPr>
        <w:t>、投诉跟踪服务要求</w:t>
      </w:r>
    </w:p>
    <w:p>
      <w:pPr>
        <w:jc w:val="both"/>
      </w:pPr>
      <w:r>
        <w:rPr>
          <w:sz w:val="21"/>
        </w:rPr>
        <w:t>（一）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jc w:val="both"/>
      </w:pPr>
      <w:r>
        <w:rPr>
          <w:sz w:val="21"/>
        </w:rPr>
        <w:t>（二）服务期内，甲方有权按本项目的管理要求对乙方进行不定期抽查检查，若对不合格的管理服务提出警告后，仍未得到有效解决时，甲方有权终止管理合同。</w:t>
      </w:r>
    </w:p>
    <w:p>
      <w:pPr>
        <w:jc w:val="both"/>
      </w:pPr>
      <w:r>
        <w:rPr>
          <w:sz w:val="21"/>
        </w:rPr>
        <w:t>（三）乙方服务机构名称及地址：</w:t>
      </w:r>
    </w:p>
    <w:p>
      <w:pPr>
        <w:ind w:firstLine="420"/>
        <w:jc w:val="both"/>
      </w:pPr>
      <w:r>
        <w:rPr>
          <w:color w:val="000000"/>
          <w:sz w:val="21"/>
        </w:rPr>
        <w:t>联系人</w:t>
      </w:r>
      <w:r>
        <w:rPr>
          <w:color w:val="000000"/>
          <w:sz w:val="21"/>
        </w:rPr>
        <w:t>1</w:t>
      </w:r>
      <w:r>
        <w:rPr>
          <w:color w:val="000000"/>
          <w:sz w:val="21"/>
        </w:rPr>
        <w:t>：          ，联系电话：            ，手机：          ；</w:t>
      </w:r>
    </w:p>
    <w:p>
      <w:pPr>
        <w:ind w:firstLine="420"/>
        <w:jc w:val="both"/>
      </w:pPr>
      <w:r>
        <w:rPr>
          <w:color w:val="000000"/>
          <w:sz w:val="21"/>
        </w:rPr>
        <w:t>联系人</w:t>
      </w:r>
      <w:r>
        <w:rPr>
          <w:color w:val="000000"/>
          <w:sz w:val="21"/>
        </w:rPr>
        <w:t>2</w:t>
      </w:r>
      <w:r>
        <w:rPr>
          <w:color w:val="000000"/>
          <w:sz w:val="21"/>
        </w:rPr>
        <w:t>：          ，联系电话：            ，手机：          ；</w:t>
      </w:r>
    </w:p>
    <w:p>
      <w:pPr>
        <w:ind w:firstLine="420"/>
        <w:jc w:val="both"/>
      </w:pPr>
      <w:r>
        <w:rPr>
          <w:color w:val="000000"/>
          <w:sz w:val="21"/>
        </w:rPr>
        <w:t>服务专线电话：</w:t>
      </w:r>
    </w:p>
    <w:p>
      <w:pPr>
        <w:jc w:val="both"/>
      </w:pPr>
      <w:r>
        <w:rPr>
          <w:sz w:val="21"/>
        </w:rPr>
        <w:t>（四）其他服务要求：（补充内容不得对采购文件和投标</w:t>
      </w:r>
      <w:r>
        <w:rPr>
          <w:sz w:val="21"/>
        </w:rPr>
        <w:t>/</w:t>
      </w:r>
      <w:r>
        <w:rPr>
          <w:sz w:val="21"/>
        </w:rPr>
        <w:t>响应文件作实质性修改）</w:t>
      </w:r>
    </w:p>
    <w:p>
      <w:pPr>
        <w:jc w:val="both"/>
      </w:pPr>
      <w:r>
        <w:rPr>
          <w:sz w:val="21"/>
          <w:u w:val="single"/>
        </w:rPr>
        <w:t xml:space="preserve">                                                          </w:t>
      </w:r>
      <w:r>
        <w:rPr>
          <w:color w:val="000000"/>
          <w:sz w:val="21"/>
        </w:rPr>
        <w:t>。</w:t>
      </w:r>
    </w:p>
    <w:p>
      <w:pPr>
        <w:jc w:val="both"/>
      </w:pPr>
      <w:r>
        <w:rPr>
          <w:b/>
          <w:sz w:val="21"/>
        </w:rPr>
        <w:t>十</w:t>
      </w:r>
      <w:r>
        <w:rPr>
          <w:b/>
          <w:sz w:val="21"/>
        </w:rPr>
        <w:t>三</w:t>
      </w:r>
      <w:r>
        <w:rPr>
          <w:b/>
          <w:sz w:val="21"/>
        </w:rPr>
        <w:t>、违约责任</w:t>
      </w:r>
    </w:p>
    <w:p>
      <w:pPr>
        <w:jc w:val="both"/>
      </w:pPr>
      <w:r>
        <w:rPr>
          <w:color w:val="000000"/>
          <w:sz w:val="21"/>
        </w:rPr>
        <w:t>（一）乙方未按要求履行合同义务时，须从违约之日起每日按合同总额的</w:t>
      </w:r>
      <w:r>
        <w:rPr>
          <w:sz w:val="21"/>
          <w:u w:val="single"/>
        </w:rPr>
        <w:t xml:space="preserve">    </w:t>
      </w:r>
      <w:r>
        <w:rPr>
          <w:color w:val="000000"/>
          <w:sz w:val="21"/>
        </w:rPr>
        <w:t>比例向甲方支付违约金；逾期</w:t>
      </w:r>
      <w:r>
        <w:rPr>
          <w:sz w:val="21"/>
          <w:u w:val="single"/>
        </w:rPr>
        <w:t xml:space="preserve">    </w:t>
      </w:r>
      <w:r>
        <w:rPr>
          <w:color w:val="000000"/>
          <w:sz w:val="21"/>
        </w:rPr>
        <w:t>日以上时，甲方有权终止合同，由此造成甲方的经济损失由乙方承担。违约金不足以弥补损失的，乙方应按全额赔偿。</w:t>
      </w:r>
    </w:p>
    <w:p>
      <w:pPr>
        <w:jc w:val="both"/>
      </w:pPr>
      <w:r>
        <w:rPr>
          <w:color w:val="000000"/>
          <w:sz w:val="21"/>
        </w:rPr>
        <w:t>（二）甲方未按要求履行合同义务时，或无故拖延验收、付款时，甲方须向乙方支付滞纳金，标准为每日按逾期应付款总额的</w:t>
      </w:r>
      <w:r>
        <w:rPr>
          <w:sz w:val="21"/>
          <w:u w:val="single"/>
        </w:rPr>
        <w:t xml:space="preserve">    </w:t>
      </w:r>
      <w:r>
        <w:rPr>
          <w:color w:val="000000"/>
          <w:sz w:val="21"/>
        </w:rPr>
        <w:t>累计。</w:t>
      </w:r>
    </w:p>
    <w:p>
      <w:pPr>
        <w:jc w:val="both"/>
      </w:pPr>
      <w:r>
        <w:rPr>
          <w:b/>
          <w:sz w:val="21"/>
        </w:rPr>
        <w:t>十</w:t>
      </w:r>
      <w:r>
        <w:rPr>
          <w:b/>
          <w:sz w:val="21"/>
        </w:rPr>
        <w:t>四</w:t>
      </w:r>
      <w:r>
        <w:rPr>
          <w:b/>
          <w:sz w:val="21"/>
        </w:rPr>
        <w:t>、提出异议的时间和方法</w:t>
      </w:r>
    </w:p>
    <w:p>
      <w:pPr>
        <w:jc w:val="both"/>
      </w:pPr>
      <w:r>
        <w:rPr>
          <w:color w:val="000000"/>
          <w:sz w:val="21"/>
        </w:rPr>
        <w:t>（一）甲方有异议时，应</w:t>
      </w:r>
      <w:r>
        <w:rPr>
          <w:sz w:val="21"/>
          <w:u w:val="single"/>
        </w:rPr>
        <w:t xml:space="preserve">     </w:t>
      </w:r>
      <w:r>
        <w:rPr>
          <w:color w:val="000000"/>
          <w:sz w:val="21"/>
        </w:rPr>
        <w:t>天内向乙方提出书面异议。</w:t>
      </w:r>
    </w:p>
    <w:p>
      <w:pPr>
        <w:jc w:val="both"/>
      </w:pPr>
      <w:r>
        <w:rPr>
          <w:color w:val="000000"/>
          <w:sz w:val="21"/>
        </w:rPr>
        <w:t>（二）乙方在接到甲方书面异议后，应在</w:t>
      </w:r>
      <w:r>
        <w:rPr>
          <w:color w:val="000000"/>
          <w:sz w:val="21"/>
        </w:rPr>
        <w:t>3</w:t>
      </w:r>
      <w:r>
        <w:rPr>
          <w:color w:val="000000"/>
          <w:sz w:val="21"/>
        </w:rPr>
        <w:t>天内负责处理并函复甲方处理情况，否则，即视为默认甲方提出的异议和处理意见。</w:t>
      </w:r>
    </w:p>
    <w:p>
      <w:pPr>
        <w:jc w:val="both"/>
      </w:pPr>
      <w:r>
        <w:rPr>
          <w:color w:val="000000"/>
          <w:sz w:val="21"/>
        </w:rPr>
        <w:t>（三）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jc w:val="both"/>
      </w:pPr>
      <w:r>
        <w:rPr>
          <w:b/>
          <w:sz w:val="21"/>
        </w:rPr>
        <w:t>十</w:t>
      </w:r>
      <w:r>
        <w:rPr>
          <w:b/>
          <w:sz w:val="21"/>
        </w:rPr>
        <w:t>五</w:t>
      </w:r>
      <w:r>
        <w:rPr>
          <w:b/>
          <w:sz w:val="21"/>
        </w:rPr>
        <w:t>、争议的解决</w:t>
      </w:r>
    </w:p>
    <w:p>
      <w:pPr>
        <w:jc w:val="both"/>
      </w:pPr>
      <w:r>
        <w:rPr>
          <w:color w:val="000000"/>
          <w:sz w:val="21"/>
        </w:rPr>
        <w:t>（一）合同履行过程中发生的任何争议，如双方未能通过友好协商解决，应向佛山市有管辖权的人民法院提起诉讼。</w:t>
      </w:r>
    </w:p>
    <w:p>
      <w:pPr>
        <w:jc w:val="both"/>
      </w:pPr>
      <w:r>
        <w:rPr>
          <w:color w:val="000000"/>
          <w:sz w:val="21"/>
        </w:rPr>
        <w:t>（二）法院审理期间，除提交法院审理的事项外，其它无争议的事项和条款仍应继续履行。</w:t>
      </w:r>
    </w:p>
    <w:p>
      <w:pPr>
        <w:jc w:val="both"/>
      </w:pPr>
      <w:r>
        <w:rPr>
          <w:b/>
          <w:sz w:val="21"/>
        </w:rPr>
        <w:t>十</w:t>
      </w:r>
      <w:r>
        <w:rPr>
          <w:b/>
          <w:sz w:val="21"/>
        </w:rPr>
        <w:t>六</w:t>
      </w:r>
      <w:r>
        <w:rPr>
          <w:b/>
          <w:sz w:val="21"/>
        </w:rPr>
        <w:t>、不可抗力</w:t>
      </w:r>
    </w:p>
    <w:p>
      <w:pPr>
        <w:jc w:val="both"/>
      </w:pPr>
      <w:r>
        <w:rPr>
          <w:color w:val="000000"/>
          <w:sz w:val="21"/>
        </w:rPr>
        <w:t>任何一方由于不可抗力原因不能履行合同时，应在不可抗力事件结束后</w:t>
      </w:r>
      <w:r>
        <w:rPr>
          <w:color w:val="000000"/>
          <w:sz w:val="21"/>
        </w:rPr>
        <w:t>48</w:t>
      </w:r>
      <w:r>
        <w:rPr>
          <w:color w:val="000000"/>
          <w:sz w:val="21"/>
        </w:rPr>
        <w:t>小时内向对方通报，以减轻可能给对方造成的损失，在取得有关机构的不可抗力证明或双方谅解确认后，允许延期履行或修订合同，并根据情况可部分或全部免于承担违约责任。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w:t>
      </w:r>
      <w:r>
        <w:rPr>
          <w:b/>
          <w:sz w:val="21"/>
        </w:rPr>
        <w:t>七</w:t>
      </w:r>
      <w:r>
        <w:rPr>
          <w:b/>
          <w:sz w:val="21"/>
        </w:rPr>
        <w:t>、税费</w:t>
      </w:r>
    </w:p>
    <w:p>
      <w:pPr>
        <w:jc w:val="both"/>
      </w:pPr>
      <w:r>
        <w:rPr>
          <w:color w:val="000000"/>
          <w:sz w:val="21"/>
        </w:rPr>
        <w:t>（一）本合同实施过程中所发生的一切税费及不可预见费均由乙方承担。</w:t>
      </w:r>
    </w:p>
    <w:p>
      <w:pPr>
        <w:jc w:val="both"/>
      </w:pPr>
      <w:r>
        <w:rPr>
          <w:color w:val="000000"/>
          <w:sz w:val="21"/>
        </w:rPr>
        <w:t>（二）乙方依照税务规章优先在合同履约地开具发票及纳税，咨询：</w:t>
      </w:r>
      <w:r>
        <w:rPr>
          <w:color w:val="000000"/>
          <w:sz w:val="21"/>
        </w:rPr>
        <w:t>0757-12366</w:t>
      </w:r>
      <w:r>
        <w:rPr>
          <w:color w:val="000000"/>
          <w:sz w:val="21"/>
        </w:rPr>
        <w:t>。</w:t>
      </w:r>
    </w:p>
    <w:p>
      <w:pPr>
        <w:jc w:val="both"/>
      </w:pPr>
      <w:r>
        <w:rPr>
          <w:b/>
          <w:sz w:val="21"/>
        </w:rPr>
        <w:t>十</w:t>
      </w:r>
      <w:r>
        <w:rPr>
          <w:b/>
          <w:sz w:val="21"/>
        </w:rPr>
        <w:t>八</w:t>
      </w:r>
      <w:r>
        <w:rPr>
          <w:b/>
          <w:sz w:val="21"/>
        </w:rPr>
        <w:t>、合同生效与合同备案</w:t>
      </w:r>
    </w:p>
    <w:p>
      <w:pPr>
        <w:jc w:val="both"/>
      </w:pPr>
      <w:r>
        <w:rPr>
          <w:color w:val="000000"/>
          <w:sz w:val="21"/>
        </w:rPr>
        <w:t>（一）本合同在甲乙双方法人代表或其授权代表签字盖章后生效。</w:t>
      </w:r>
    </w:p>
    <w:p>
      <w:pPr>
        <w:jc w:val="both"/>
      </w:pPr>
      <w:r>
        <w:rPr>
          <w:color w:val="000000"/>
          <w:sz w:val="21"/>
        </w:rPr>
        <w:t>（二）自采购合同签订之日起</w:t>
      </w:r>
      <w:r>
        <w:rPr>
          <w:color w:val="000000"/>
          <w:sz w:val="21"/>
        </w:rPr>
        <w:t>7</w:t>
      </w:r>
      <w:r>
        <w:rPr>
          <w:color w:val="000000"/>
          <w:sz w:val="21"/>
        </w:rPr>
        <w:t>个工作日内，由甲方按照有关规定将采购合同副本报同级人民政府财政部门（政府采购管理部门）备案。</w:t>
      </w:r>
    </w:p>
    <w:p>
      <w:pPr>
        <w:jc w:val="both"/>
      </w:pPr>
      <w:r>
        <w:rPr>
          <w:b/>
          <w:sz w:val="21"/>
        </w:rPr>
        <w:t>十</w:t>
      </w:r>
      <w:r>
        <w:rPr>
          <w:b/>
          <w:sz w:val="21"/>
        </w:rPr>
        <w:t>九</w:t>
      </w:r>
      <w:r>
        <w:rPr>
          <w:b/>
          <w:sz w:val="21"/>
        </w:rPr>
        <w:t>、乙方应提供的资料内容</w:t>
      </w:r>
    </w:p>
    <w:p>
      <w:pPr>
        <w:jc w:val="both"/>
      </w:pPr>
      <w:r>
        <w:rPr>
          <w:sz w:val="21"/>
          <w:u w:val="single"/>
        </w:rPr>
        <w:t xml:space="preserve">                                                            </w:t>
      </w:r>
      <w:r>
        <w:rPr>
          <w:color w:val="000000"/>
          <w:sz w:val="21"/>
        </w:rPr>
        <w:t>。</w:t>
      </w:r>
    </w:p>
    <w:p>
      <w:pPr>
        <w:jc w:val="both"/>
      </w:pPr>
      <w:r>
        <w:rPr>
          <w:b/>
          <w:sz w:val="21"/>
        </w:rPr>
        <w:t>二十</w:t>
      </w:r>
      <w:r>
        <w:rPr>
          <w:b/>
          <w:sz w:val="21"/>
        </w:rPr>
        <w:t>、关于政府采购合同融资</w:t>
      </w:r>
    </w:p>
    <w:p>
      <w:pPr>
        <w:jc w:val="both"/>
      </w:pPr>
      <w:r>
        <w:rPr>
          <w:color w:val="000000"/>
          <w:sz w:val="21"/>
        </w:rPr>
        <w:t>（一）乙方是否已申请政府采购合同融资：是</w:t>
      </w:r>
      <w:r>
        <w:rPr>
          <w:color w:val="000000"/>
          <w:sz w:val="21"/>
        </w:rPr>
        <w:t>/</w:t>
      </w:r>
      <w:r>
        <w:rPr>
          <w:color w:val="000000"/>
          <w:sz w:val="21"/>
        </w:rPr>
        <w:t>否  ；</w:t>
      </w:r>
    </w:p>
    <w:p>
      <w:pPr>
        <w:jc w:val="both"/>
      </w:pPr>
      <w:r>
        <w:rPr>
          <w:color w:val="000000"/>
          <w:sz w:val="21"/>
        </w:rPr>
        <w:t>（二）融资银行及联系方式：</w:t>
      </w:r>
      <w:r>
        <w:rPr>
          <w:sz w:val="21"/>
          <w:u w:val="single"/>
        </w:rPr>
        <w:t xml:space="preserve">                                                </w:t>
      </w:r>
      <w:r>
        <w:rPr>
          <w:color w:val="000000"/>
          <w:sz w:val="21"/>
        </w:rPr>
        <w:t>。</w:t>
      </w:r>
    </w:p>
    <w:p>
      <w:pPr>
        <w:jc w:val="both"/>
      </w:pPr>
      <w:r>
        <w:rPr>
          <w:color w:val="000000"/>
          <w:sz w:val="21"/>
        </w:rPr>
        <w:t>（三）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jc w:val="both"/>
      </w:pPr>
      <w:r>
        <w:rPr>
          <w:b/>
          <w:sz w:val="21"/>
        </w:rPr>
        <w:t>二十</w:t>
      </w:r>
      <w:r>
        <w:rPr>
          <w:b/>
          <w:sz w:val="21"/>
        </w:rPr>
        <w:t>一</w:t>
      </w:r>
      <w:r>
        <w:rPr>
          <w:b/>
          <w:sz w:val="21"/>
        </w:rPr>
        <w:t>、其它</w:t>
      </w:r>
    </w:p>
    <w:p>
      <w:pPr>
        <w:jc w:val="both"/>
      </w:pPr>
      <w:r>
        <w:rPr>
          <w:color w:val="000000"/>
          <w:sz w:val="21"/>
        </w:rPr>
        <w:t>（一）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color w:val="000000"/>
          <w:sz w:val="21"/>
        </w:rPr>
        <w:t>（二）如一方（包括联系人）地址、电话、传真号码有变更，应在变更后</w:t>
      </w:r>
      <w:r>
        <w:rPr>
          <w:color w:val="000000"/>
          <w:sz w:val="21"/>
        </w:rPr>
        <w:t>3</w:t>
      </w:r>
      <w:r>
        <w:rPr>
          <w:color w:val="000000"/>
          <w:sz w:val="21"/>
        </w:rPr>
        <w:t>个工作日内书面通知对方联系人或负责人，否则，因此造成的损失由未履行通知义务方承担相应责任。</w:t>
      </w:r>
    </w:p>
    <w:p>
      <w:pPr>
        <w:jc w:val="both"/>
      </w:pPr>
      <w:r>
        <w:rPr>
          <w:color w:val="000000"/>
          <w:sz w:val="21"/>
        </w:rPr>
        <w:t>（三）未经甲方书面同意，乙方不得擅自向第三方转让其主体性和关键性合同义务。</w:t>
      </w:r>
    </w:p>
    <w:p>
      <w:pPr>
        <w:jc w:val="both"/>
      </w:pPr>
      <w:r>
        <w:rPr>
          <w:color w:val="000000"/>
          <w:sz w:val="21"/>
        </w:rPr>
        <w:t>（四）本合同一式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w:t>
      </w:r>
    </w:p>
    <w:p>
      <w:pPr>
        <w:jc w:val="both"/>
      </w:pPr>
      <w:r>
        <w:rPr>
          <w:color w:val="000000"/>
          <w:sz w:val="21"/>
        </w:rPr>
        <w:t>（五）本合同（含附件）共计</w:t>
      </w:r>
      <w:r>
        <w:rPr>
          <w:color w:val="000000"/>
          <w:sz w:val="21"/>
        </w:rPr>
        <w:t xml:space="preserve"> </w:t>
      </w:r>
      <w:r>
        <w:rPr>
          <w:color w:val="000000"/>
          <w:sz w:val="21"/>
        </w:rPr>
        <w:t>页，缺页之合同为无效合同。</w:t>
      </w:r>
    </w:p>
    <w:p>
      <w:pPr>
        <w:jc w:val="both"/>
      </w:pPr>
      <w:r>
        <w:rPr>
          <w:color w:val="000000"/>
          <w:sz w:val="21"/>
        </w:rPr>
        <w:t>（六）本合同签约履约地点：广东省佛山市。</w:t>
      </w:r>
    </w:p>
    <w:p>
      <w:pPr>
        <w:jc w:val="both"/>
      </w:pPr>
      <w:r>
        <w:rPr>
          <w:color w:val="000000"/>
          <w:sz w:val="21"/>
        </w:rPr>
        <w:t>（七）本合同所指</w:t>
      </w:r>
      <w:r>
        <w:rPr>
          <w:color w:val="000000"/>
          <w:sz w:val="21"/>
        </w:rPr>
        <w:t>“</w:t>
      </w:r>
      <w:r>
        <w:rPr>
          <w:color w:val="000000"/>
          <w:sz w:val="21"/>
        </w:rPr>
        <w:t>书面通知</w:t>
      </w:r>
      <w:r>
        <w:rPr>
          <w:color w:val="000000"/>
          <w:sz w:val="21"/>
        </w:rPr>
        <w:t>”</w:t>
      </w:r>
      <w:r>
        <w:rPr>
          <w:color w:val="000000"/>
          <w:sz w:val="21"/>
        </w:rPr>
        <w:t>包括但不限于短信、电子邮件等数据电文的通知形式，到达时间以民事诉讼法的规定为准，但进行书面通知前后，通知方均有义务电话确认通知事项。</w:t>
      </w:r>
    </w:p>
    <w:p>
      <w:pPr>
        <w:jc w:val="both"/>
      </w:pPr>
      <w:r>
        <w:rPr>
          <w:color w:val="000000"/>
          <w:sz w:val="21"/>
        </w:rPr>
        <w:t>（八）双方均已对以上各条款及附件作充分了解，并明确理解由此而产生的相关权责。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91"/>
        <w:gridCol w:w="3919"/>
        <w:gridCol w:w="196"/>
      </w:tblGrid>
      <w:tr>
        <w:tc>
          <w:tcPr>
            <w:tcW w:type="dxa" w:w="4191"/>
            <w:tcBorders>
              <w:top w:val="none" w:color="000000" w:sz="4"/>
              <w:left w:val="none" w:color="000000" w:sz="4"/>
              <w:bottom w:val="none" w:color="000000" w:sz="4"/>
              <w:right w:val="dashed" w:color="000000" w:sz="4"/>
            </w:tcBorders>
            <w:vAlign w:val="top"/>
          </w:tcPr>
          <w:p>
            <w:pPr>
              <w:jc w:val="both"/>
            </w:pPr>
            <w:r>
              <w:rPr>
                <w:b/>
                <w:color w:val="000000"/>
                <w:sz w:val="21"/>
              </w:rPr>
              <w:t>甲方（盖章）：</w:t>
            </w:r>
          </w:p>
          <w:p>
            <w:pPr>
              <w:jc w:val="both"/>
            </w:pPr>
            <w:r>
              <w:rPr>
                <w:color w:val="000000"/>
                <w:sz w:val="21"/>
              </w:rPr>
              <w:t>代表：</w:t>
            </w:r>
            <w:r>
              <w:rPr>
                <w:sz w:val="21"/>
                <w:u w:val="single"/>
              </w:rPr>
              <w:t xml:space="preserve">                              </w:t>
            </w:r>
            <w:r>
              <w:rPr>
                <w:sz w:val="21"/>
              </w:rPr>
              <w:t xml:space="preserve"> </w:t>
            </w:r>
          </w:p>
          <w:p>
            <w:pPr>
              <w:jc w:val="both"/>
            </w:pPr>
            <w:r>
              <w:rPr>
                <w:color w:val="000000"/>
                <w:sz w:val="21"/>
              </w:rPr>
              <w:t>地址：</w:t>
            </w:r>
          </w:p>
          <w:p>
            <w:pPr>
              <w:jc w:val="both"/>
            </w:pPr>
            <w:r>
              <w:rPr>
                <w:color w:val="000000"/>
                <w:sz w:val="21"/>
              </w:rPr>
              <w:t>电话：</w:t>
            </w:r>
          </w:p>
          <w:p>
            <w:pPr>
              <w:jc w:val="both"/>
            </w:pPr>
            <w:r>
              <w:rPr>
                <w:color w:val="000000"/>
                <w:sz w:val="21"/>
              </w:rPr>
              <w:t>传真：</w:t>
            </w:r>
          </w:p>
          <w:p>
            <w:pPr>
              <w:jc w:val="both"/>
            </w:pPr>
            <w:r>
              <w:rPr>
                <w:color w:val="000000"/>
                <w:sz w:val="21"/>
              </w:rPr>
              <w:t>日期：</w:t>
            </w:r>
            <w:r>
              <w:rPr>
                <w:sz w:val="21"/>
              </w:rPr>
              <w:t xml:space="preserve">           </w:t>
            </w:r>
            <w:r>
              <w:rPr>
                <w:color w:val="000000"/>
                <w:sz w:val="21"/>
              </w:rPr>
              <w:t>年</w:t>
            </w:r>
            <w:r>
              <w:rPr>
                <w:sz w:val="21"/>
              </w:rPr>
              <w:t xml:space="preserve">     </w:t>
            </w:r>
            <w:r>
              <w:rPr>
                <w:color w:val="000000"/>
                <w:sz w:val="21"/>
              </w:rPr>
              <w:t>月</w:t>
            </w:r>
            <w:r>
              <w:rPr>
                <w:sz w:val="21"/>
              </w:rPr>
              <w:t xml:space="preserve">    </w:t>
            </w:r>
            <w:r>
              <w:rPr>
                <w:color w:val="000000"/>
                <w:sz w:val="21"/>
              </w:rPr>
              <w:t>日</w:t>
            </w:r>
          </w:p>
        </w:tc>
        <w:tc>
          <w:tcPr>
            <w:tcW w:type="dxa" w:w="3919"/>
            <w:tcBorders>
              <w:top w:val="none" w:color="000000" w:sz="4"/>
              <w:left w:val="none" w:color="000000" w:sz="4"/>
              <w:bottom w:val="none" w:color="000000" w:sz="4"/>
              <w:right w:val="none" w:color="000000" w:sz="4"/>
            </w:tcBorders>
            <w:vAlign w:val="top"/>
          </w:tcPr>
          <w:p>
            <w:pPr>
              <w:jc w:val="both"/>
            </w:pPr>
            <w:r>
              <w:rPr>
                <w:b/>
                <w:color w:val="000000"/>
                <w:sz w:val="21"/>
              </w:rPr>
              <w:t>乙方（盖章）：</w:t>
            </w:r>
          </w:p>
          <w:p>
            <w:pPr>
              <w:jc w:val="both"/>
            </w:pPr>
            <w:r>
              <w:rPr>
                <w:color w:val="000000"/>
                <w:sz w:val="21"/>
              </w:rPr>
              <w:t>代表：</w:t>
            </w:r>
            <w:r>
              <w:rPr>
                <w:sz w:val="21"/>
                <w:u w:val="single"/>
              </w:rPr>
              <w:t xml:space="preserve">                           </w:t>
            </w:r>
          </w:p>
          <w:p>
            <w:pPr>
              <w:jc w:val="both"/>
            </w:pPr>
            <w:r>
              <w:rPr>
                <w:color w:val="000000"/>
                <w:sz w:val="21"/>
              </w:rPr>
              <w:t>地址：</w:t>
            </w:r>
          </w:p>
          <w:p>
            <w:pPr>
              <w:jc w:val="both"/>
            </w:pPr>
            <w:r>
              <w:rPr>
                <w:color w:val="000000"/>
                <w:sz w:val="21"/>
              </w:rPr>
              <w:t>电话：</w:t>
            </w:r>
          </w:p>
          <w:p>
            <w:pPr>
              <w:jc w:val="both"/>
            </w:pPr>
            <w:r>
              <w:rPr>
                <w:color w:val="000000"/>
                <w:sz w:val="21"/>
              </w:rPr>
              <w:t>传真：</w:t>
            </w:r>
          </w:p>
          <w:p>
            <w:pPr>
              <w:jc w:val="both"/>
            </w:pPr>
            <w:r>
              <w:rPr>
                <w:color w:val="000000"/>
                <w:sz w:val="21"/>
              </w:rPr>
              <w:t>日期：</w:t>
            </w:r>
            <w:r>
              <w:rPr>
                <w:sz w:val="21"/>
              </w:rPr>
              <w:t xml:space="preserve">        </w:t>
            </w:r>
            <w:r>
              <w:rPr>
                <w:color w:val="000000"/>
                <w:sz w:val="21"/>
              </w:rPr>
              <w:t>年</w:t>
            </w:r>
            <w:r>
              <w:rPr>
                <w:sz w:val="21"/>
              </w:rPr>
              <w:t xml:space="preserve">     </w:t>
            </w:r>
            <w:r>
              <w:rPr>
                <w:color w:val="000000"/>
                <w:sz w:val="21"/>
              </w:rPr>
              <w:t>月</w:t>
            </w:r>
            <w:r>
              <w:rPr>
                <w:sz w:val="21"/>
              </w:rPr>
              <w:t xml:space="preserve">     </w:t>
            </w:r>
            <w:r>
              <w:rPr>
                <w:color w:val="000000"/>
                <w:sz w:val="21"/>
              </w:rPr>
              <w:t>日</w:t>
            </w:r>
          </w:p>
        </w:tc>
        <w:tc>
          <w:tcPr>
            <w:tcW w:type="dxa" w:w="196"/>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91"/>
            <w:tcBorders>
              <w:top w:val="none" w:color="000000" w:sz="4"/>
              <w:left w:val="none" w:color="000000" w:sz="4"/>
              <w:bottom w:val="single" w:color="FFFFFF" w:sz="4"/>
              <w:right w:val="dashed" w:color="000000" w:sz="4"/>
            </w:tcBorders>
            <w:vAlign w:val="top"/>
          </w:tcPr>
          <w:p>
            <w:pPr>
              <w:jc w:val="both"/>
            </w:pPr>
          </w:p>
          <w:p>
            <w:pPr>
              <w:jc w:val="both"/>
            </w:pPr>
          </w:p>
        </w:tc>
        <w:tc>
          <w:tcPr>
            <w:tcW w:type="dxa" w:w="4115"/>
            <w:gridSpan w:val="2"/>
            <w:tcBorders>
              <w:top w:val="none" w:color="000000" w:sz="4"/>
              <w:left w:val="none" w:color="000000" w:sz="4"/>
              <w:bottom w:val="single" w:color="FFFFFF" w:sz="4"/>
              <w:right w:val="none" w:color="000000" w:sz="4"/>
            </w:tcBorders>
            <w:vAlign w:val="top"/>
          </w:tcPr>
          <w:p>
            <w:pPr>
              <w:jc w:val="both"/>
            </w:pPr>
          </w:p>
          <w:p>
            <w:pPr>
              <w:jc w:val="both"/>
            </w:pPr>
            <w:r>
              <w:rPr>
                <w:b/>
                <w:color w:val="000000"/>
                <w:sz w:val="21"/>
              </w:rPr>
              <w:t>收款方、开票方须与乙方一致，专户为：</w:t>
            </w:r>
          </w:p>
          <w:p>
            <w:pPr>
              <w:jc w:val="both"/>
            </w:pPr>
            <w:r>
              <w:rPr>
                <w:color w:val="000000"/>
                <w:sz w:val="21"/>
              </w:rPr>
              <w:t>开户名称：</w:t>
            </w:r>
          </w:p>
          <w:p>
            <w:pPr>
              <w:jc w:val="both"/>
            </w:pPr>
            <w:r>
              <w:rPr>
                <w:color w:val="000000"/>
                <w:sz w:val="21"/>
              </w:rPr>
              <w:t>银行账号：</w:t>
            </w:r>
          </w:p>
          <w:p>
            <w:pPr>
              <w:jc w:val="both"/>
            </w:pPr>
            <w:r>
              <w:rPr>
                <w:color w:val="000000"/>
                <w:sz w:val="21"/>
              </w:rPr>
              <w:t>开</w:t>
            </w:r>
            <w:r>
              <w:rPr>
                <w:sz w:val="21"/>
              </w:rPr>
              <w:t xml:space="preserve"> </w:t>
            </w:r>
            <w:r>
              <w:rPr>
                <w:color w:val="000000"/>
                <w:sz w:val="21"/>
              </w:rPr>
              <w:t>户</w:t>
            </w:r>
            <w:r>
              <w:rPr>
                <w:sz w:val="21"/>
              </w:rPr>
              <w:t xml:space="preserve"> </w:t>
            </w:r>
            <w:r>
              <w:rPr>
                <w:color w:val="000000"/>
                <w:sz w:val="21"/>
              </w:rPr>
              <w:t>行：</w:t>
            </w:r>
          </w:p>
        </w:tc>
      </w:tr>
    </w:tbl>
    <w:p>
      <w:pPr>
        <w:jc w:val="both"/>
      </w:pPr>
    </w:p>
    <w:p>
      <w:pPr>
        <w:jc w:val="both"/>
      </w:pPr>
    </w:p>
    <w:p>
      <w:pPr>
        <w:jc w:val="both"/>
      </w:pPr>
      <w:r>
        <w:rPr>
          <w:b/>
          <w:color w:val="000000"/>
          <w:sz w:val="24"/>
        </w:rPr>
        <w:t>合同附件清单：</w:t>
      </w:r>
    </w:p>
    <w:p>
      <w:pPr>
        <w:jc w:val="both"/>
      </w:pPr>
      <w:r>
        <w:rPr>
          <w:b/>
          <w:color w:val="000000"/>
          <w:sz w:val="21"/>
        </w:rPr>
        <w:t>附件一、《报价清单明细表》</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440605-2023-10740</w:t>
      </w:r>
    </w:p>
    <w:p>
      <w:pPr>
        <w:jc w:val="center"/>
      </w:pPr>
      <w:r>
        <w:rPr>
          <w:b/>
          <w:sz w:val="24"/>
        </w:rPr>
        <w:t>采购项目编号：</w:t>
      </w:r>
      <w:r>
        <w:rPr>
          <w:b/>
          <w:sz w:val="24"/>
        </w:rPr>
        <w:t>DZCG202363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广东中采招标有限公司</w:t>
      </w:r>
    </w:p>
    <w:p>
      <w:pPr>
        <w:ind w:firstLine="480"/>
      </w:pPr>
      <w:r>
        <w:rPr/>
        <w:t>你方组织的</w:t>
      </w:r>
      <w:r>
        <w:rPr>
          <w:u w:val="single"/>
        </w:rPr>
        <w:t>“</w:t>
      </w:r>
      <w:r>
        <w:rPr>
          <w:u w:val="single"/>
        </w:rPr>
        <w:t>2023年度丹灶镇5G网联无人机智能化城市网格管理服务</w:t>
      </w:r>
      <w:r>
        <w:rPr>
          <w:u w:val="single"/>
        </w:rPr>
        <w:t>”</w:t>
      </w:r>
      <w:r>
        <w:rPr/>
        <w:t>项目的竞争性磋商[采购项目编号为：</w:t>
      </w:r>
      <w:r>
        <w:rPr>
          <w:u w:val="single"/>
        </w:rPr>
        <w:t>DZCG202363</w:t>
      </w:r>
      <w:r>
        <w:rPr/>
        <w:t>]，我方愿参与响应。</w:t>
      </w:r>
    </w:p>
    <w:p>
      <w:pPr>
        <w:ind w:firstLine="480"/>
      </w:pPr>
      <w:r>
        <w:rPr/>
        <w:t>我方确认收到贵方提供的</w:t>
      </w:r>
      <w:r>
        <w:rPr>
          <w:u w:val="single"/>
        </w:rPr>
        <w:t>“</w:t>
      </w:r>
      <w:r>
        <w:rPr>
          <w:u w:val="single"/>
        </w:rPr>
        <w:t>2023年度丹灶镇5G网联无人机智能化城市网格管理服务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广东中采招标有限公司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2023年度丹灶镇5G网联无人机智能化城市网格管理服务</w:t>
      </w:r>
      <w:r>
        <w:rPr/>
        <w:t>”项目采购[采购项目编号为</w:t>
      </w:r>
      <w:r>
        <w:rPr/>
        <w:t>DZCG202363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佛山市南海区丹灶镇综合行政执法办公室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广东中采招标有限公司</w:t>
      </w:r>
    </w:p>
    <w:p>
      <w:pPr>
        <w:ind w:firstLine="480"/>
      </w:pPr>
      <w:r>
        <w:rPr/>
        <w:t>我单位参加贵公司组织的</w:t>
      </w:r>
      <w:r>
        <w:rPr/>
        <w:t>2023年度丹灶镇5G网联无人机智能化城市网格管理服务</w:t>
      </w:r>
      <w:r>
        <w:rPr/>
        <w:t>（采购项目编号：</w:t>
      </w:r>
      <w:r>
        <w:rPr/>
        <w:t>DZCG202363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广东中采招标有限公司</w:t>
      </w:r>
    </w:p>
    <w:p>
      <w:pPr>
        <w:ind w:firstLine="480"/>
      </w:pPr>
      <w:r>
        <w:rPr/>
        <w:t>我单位已登记并准备参与“</w:t>
      </w:r>
      <w:r>
        <w:rPr/>
        <w:t>2023年度丹灶镇5G网联无人机智能化城市网格管理服务</w:t>
      </w:r>
      <w:r>
        <w:rPr/>
        <w:t>”项目（采购项目编号：</w:t>
      </w:r>
      <w:r>
        <w:rPr/>
        <w:t>DZCG202363</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