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48"/>
          <w:szCs w:val="48"/>
          <w:highlight w:val="none"/>
        </w:rPr>
      </w:pPr>
      <w:bookmarkStart w:id="157" w:name="_GoBack"/>
    </w:p>
    <w:p>
      <w:pPr>
        <w:tabs>
          <w:tab w:val="left" w:pos="2880"/>
        </w:tabs>
        <w:spacing w:line="1600" w:lineRule="atLeast"/>
        <w:ind w:firstLine="1440" w:firstLineChars="200"/>
        <w:jc w:val="both"/>
        <w:rPr>
          <w:color w:val="auto"/>
          <w:sz w:val="72"/>
          <w:highlight w:val="none"/>
        </w:rPr>
      </w:pPr>
      <w:r>
        <w:rPr>
          <w:rFonts w:hint="eastAsia"/>
          <w:color w:val="auto"/>
          <w:sz w:val="72"/>
          <w:highlight w:val="none"/>
        </w:rPr>
        <w:t>南庄镇农村采购项目</w:t>
      </w:r>
    </w:p>
    <w:p>
      <w:pPr>
        <w:tabs>
          <w:tab w:val="left" w:pos="420"/>
          <w:tab w:val="left" w:pos="6660"/>
        </w:tabs>
        <w:spacing w:line="1600" w:lineRule="atLeast"/>
        <w:jc w:val="center"/>
        <w:rPr>
          <w:color w:val="auto"/>
          <w:sz w:val="72"/>
          <w:highlight w:val="none"/>
        </w:rPr>
      </w:pPr>
      <w:r>
        <w:rPr>
          <w:rFonts w:hint="eastAsia"/>
          <w:color w:val="auto"/>
          <w:sz w:val="72"/>
          <w:highlight w:val="none"/>
        </w:rPr>
        <w:t>公开竞投文件</w:t>
      </w:r>
    </w:p>
    <w:p>
      <w:pPr>
        <w:ind w:firstLine="210" w:firstLineChars="100"/>
        <w:jc w:val="center"/>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ind w:firstLine="210" w:firstLineChars="10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rPr>
          <w:rFonts w:hint="eastAsia"/>
          <w:color w:val="auto"/>
          <w:highlight w:val="none"/>
        </w:rPr>
      </w:pPr>
    </w:p>
    <w:p>
      <w:pPr>
        <w:ind w:firstLine="280" w:firstLineChars="100"/>
        <w:rPr>
          <w:rFonts w:hint="eastAsia"/>
          <w:color w:val="auto"/>
          <w:sz w:val="28"/>
          <w:szCs w:val="28"/>
          <w:highlight w:val="none"/>
        </w:rPr>
      </w:pP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项目名称：</w:t>
      </w:r>
      <w:r>
        <w:rPr>
          <w:rFonts w:hint="eastAsia" w:ascii="宋体" w:hAnsi="宋体" w:cs="宋体"/>
          <w:b/>
          <w:bCs/>
          <w:color w:val="auto"/>
          <w:sz w:val="28"/>
          <w:szCs w:val="28"/>
          <w:highlight w:val="none"/>
          <w:lang w:eastAsia="zh-CN"/>
        </w:rPr>
        <w:t>吉利上二村车辆停放管理服务</w:t>
      </w:r>
    </w:p>
    <w:p>
      <w:pPr>
        <w:spacing w:line="500" w:lineRule="exact"/>
        <w:ind w:left="2674" w:leftChars="603" w:hanging="1408" w:hangingChars="501"/>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GDZC-23JT234</w:t>
      </w:r>
    </w:p>
    <w:p>
      <w:pPr>
        <w:spacing w:line="500" w:lineRule="exact"/>
        <w:jc w:val="center"/>
        <w:rPr>
          <w:rFonts w:hint="eastAsia"/>
          <w:b/>
          <w:bCs/>
          <w:color w:val="auto"/>
          <w:sz w:val="24"/>
          <w:highlight w:val="none"/>
        </w:rPr>
      </w:pPr>
    </w:p>
    <w:p>
      <w:pPr>
        <w:spacing w:line="500" w:lineRule="exact"/>
        <w:jc w:val="center"/>
        <w:rPr>
          <w:rFonts w:hint="eastAsia"/>
          <w:b/>
          <w:bCs/>
          <w:color w:val="auto"/>
          <w:sz w:val="24"/>
          <w:highlight w:val="none"/>
        </w:rPr>
      </w:pPr>
    </w:p>
    <w:p>
      <w:pPr>
        <w:pStyle w:val="6"/>
        <w:rPr>
          <w:rFonts w:hint="eastAsia"/>
          <w:b/>
          <w:bCs/>
          <w:color w:val="auto"/>
          <w:sz w:val="24"/>
          <w:highlight w:val="none"/>
        </w:rPr>
      </w:pPr>
    </w:p>
    <w:p>
      <w:pPr>
        <w:pStyle w:val="6"/>
        <w:rPr>
          <w:rFonts w:hint="eastAsia"/>
          <w:b/>
          <w:bCs/>
          <w:color w:val="auto"/>
          <w:sz w:val="24"/>
          <w:highlight w:val="none"/>
        </w:rPr>
      </w:pPr>
    </w:p>
    <w:p>
      <w:pPr>
        <w:ind w:firstLine="1265" w:firstLineChars="450"/>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招标人</w:t>
      </w:r>
      <w:r>
        <w:rPr>
          <w:rFonts w:hint="eastAsia" w:ascii="宋体" w:hAnsi="宋体"/>
          <w:b/>
          <w:color w:val="auto"/>
          <w:sz w:val="28"/>
          <w:szCs w:val="28"/>
          <w:highlight w:val="none"/>
        </w:rPr>
        <w:t>：</w:t>
      </w:r>
      <w:r>
        <w:rPr>
          <w:rFonts w:hint="eastAsia" w:ascii="宋体" w:hAnsi="宋体" w:cs="宋体"/>
          <w:b/>
          <w:bCs/>
          <w:color w:val="auto"/>
          <w:sz w:val="28"/>
          <w:szCs w:val="28"/>
          <w:highlight w:val="none"/>
          <w:lang w:eastAsia="zh-CN"/>
        </w:rPr>
        <w:t>佛山市禅城区南庄镇吉利村上二经济合作社</w:t>
      </w:r>
    </w:p>
    <w:p>
      <w:pPr>
        <w:rPr>
          <w:rFonts w:hint="eastAsia" w:ascii="宋体" w:hAnsi="宋体"/>
          <w:b/>
          <w:color w:val="auto"/>
          <w:sz w:val="28"/>
          <w:szCs w:val="28"/>
          <w:highlight w:val="none"/>
        </w:rPr>
      </w:pPr>
    </w:p>
    <w:p>
      <w:pPr>
        <w:ind w:firstLine="1265" w:firstLineChars="450"/>
        <w:rPr>
          <w:rFonts w:hint="eastAsia" w:ascii="宋体" w:hAnsi="宋体"/>
          <w:b/>
          <w:color w:val="auto"/>
          <w:sz w:val="28"/>
          <w:szCs w:val="28"/>
          <w:highlight w:val="none"/>
        </w:rPr>
      </w:pPr>
      <w:r>
        <w:rPr>
          <w:rFonts w:hint="eastAsia" w:ascii="宋体" w:hAnsi="宋体"/>
          <w:b/>
          <w:color w:val="auto"/>
          <w:sz w:val="28"/>
          <w:szCs w:val="28"/>
          <w:highlight w:val="none"/>
          <w:lang w:eastAsia="zh-CN"/>
        </w:rPr>
        <w:t>招标代理机构</w:t>
      </w:r>
      <w:r>
        <w:rPr>
          <w:rFonts w:hint="eastAsia" w:ascii="宋体" w:hAnsi="宋体"/>
          <w:b/>
          <w:color w:val="auto"/>
          <w:sz w:val="28"/>
          <w:szCs w:val="28"/>
          <w:highlight w:val="none"/>
        </w:rPr>
        <w:t>：广东中采招标有限公司</w:t>
      </w:r>
    </w:p>
    <w:p>
      <w:pPr>
        <w:rPr>
          <w:rFonts w:hint="eastAsia" w:ascii="宋体" w:hAnsi="宋体"/>
          <w:b/>
          <w:color w:val="auto"/>
          <w:sz w:val="28"/>
          <w:szCs w:val="28"/>
          <w:highlight w:val="none"/>
        </w:rPr>
      </w:pPr>
    </w:p>
    <w:p>
      <w:pPr>
        <w:spacing w:line="360" w:lineRule="auto"/>
        <w:jc w:val="center"/>
        <w:rPr>
          <w:rFonts w:hint="eastAsia" w:eastAsia="隶书"/>
          <w:b/>
          <w:bCs/>
          <w:color w:val="auto"/>
          <w:sz w:val="36"/>
          <w:highlight w:val="none"/>
        </w:rPr>
      </w:pPr>
    </w:p>
    <w:p>
      <w:pPr>
        <w:pStyle w:val="6"/>
        <w:rPr>
          <w:rFonts w:hint="eastAsia"/>
          <w:color w:val="auto"/>
          <w:highlight w:val="none"/>
        </w:rPr>
      </w:pPr>
    </w:p>
    <w:p>
      <w:pPr>
        <w:spacing w:line="360" w:lineRule="auto"/>
        <w:jc w:val="center"/>
        <w:rPr>
          <w:rFonts w:hint="eastAsia" w:eastAsia="隶书"/>
          <w:b/>
          <w:bCs/>
          <w:color w:val="auto"/>
          <w:sz w:val="36"/>
          <w:highlight w:val="none"/>
        </w:rPr>
      </w:pPr>
    </w:p>
    <w:p>
      <w:pPr>
        <w:spacing w:line="312" w:lineRule="auto"/>
        <w:jc w:val="center"/>
        <w:rPr>
          <w:rFonts w:hint="eastAsia" w:ascii="黑体" w:hAnsi="宋体" w:eastAsia="黑体"/>
          <w:b/>
          <w:bCs/>
          <w:color w:val="auto"/>
          <w:sz w:val="28"/>
          <w:highlight w:val="none"/>
        </w:rPr>
      </w:pPr>
      <w:r>
        <w:rPr>
          <w:rFonts w:hint="eastAsia" w:ascii="黑体" w:hAnsi="宋体" w:eastAsia="黑体"/>
          <w:b/>
          <w:bCs/>
          <w:color w:val="auto"/>
          <w:sz w:val="28"/>
          <w:highlight w:val="none"/>
        </w:rPr>
        <w:t>发布日期：</w:t>
      </w:r>
      <w:r>
        <w:rPr>
          <w:rFonts w:hint="eastAsia" w:ascii="黑体" w:hAnsi="宋体" w:eastAsia="黑体"/>
          <w:b/>
          <w:bCs/>
          <w:color w:val="auto"/>
          <w:sz w:val="28"/>
          <w:highlight w:val="none"/>
          <w:lang w:eastAsia="zh-CN"/>
        </w:rPr>
        <w:t>二〇二四</w:t>
      </w:r>
      <w:r>
        <w:rPr>
          <w:rFonts w:hint="eastAsia" w:ascii="黑体" w:hAnsi="宋体" w:eastAsia="黑体"/>
          <w:b/>
          <w:bCs/>
          <w:color w:val="auto"/>
          <w:sz w:val="28"/>
          <w:highlight w:val="none"/>
        </w:rPr>
        <w:t>年</w:t>
      </w:r>
      <w:r>
        <w:rPr>
          <w:rFonts w:hint="eastAsia" w:ascii="黑体" w:hAnsi="宋体" w:eastAsia="黑体"/>
          <w:b/>
          <w:bCs/>
          <w:color w:val="auto"/>
          <w:sz w:val="28"/>
          <w:highlight w:val="none"/>
          <w:lang w:eastAsia="zh-CN"/>
        </w:rPr>
        <w:t>一</w:t>
      </w:r>
      <w:r>
        <w:rPr>
          <w:rFonts w:hint="eastAsia" w:ascii="黑体" w:hAnsi="宋体" w:eastAsia="黑体"/>
          <w:b/>
          <w:bCs/>
          <w:color w:val="auto"/>
          <w:sz w:val="28"/>
          <w:highlight w:val="none"/>
        </w:rPr>
        <w:t>月</w:t>
      </w: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rPr>
          <w:rFonts w:hint="eastAsia" w:eastAsia="隶书"/>
          <w:b/>
          <w:bCs/>
          <w:color w:val="auto"/>
          <w:sz w:val="32"/>
          <w:szCs w:val="32"/>
          <w:highlight w:val="none"/>
          <w:lang w:val="en-US" w:eastAsia="zh-CN"/>
        </w:rPr>
      </w:pPr>
    </w:p>
    <w:p>
      <w:pPr>
        <w:pStyle w:val="6"/>
        <w:rPr>
          <w:rFonts w:hint="eastAsia" w:eastAsia="隶书"/>
          <w:b/>
          <w:bCs/>
          <w:color w:val="auto"/>
          <w:sz w:val="32"/>
          <w:szCs w:val="32"/>
          <w:highlight w:val="none"/>
          <w:lang w:val="en-US" w:eastAsia="zh-CN"/>
        </w:rPr>
      </w:pPr>
    </w:p>
    <w:p>
      <w:pPr>
        <w:spacing w:before="240" w:beforeLines="100"/>
        <w:jc w:val="center"/>
        <w:rPr>
          <w:rFonts w:hint="eastAsia" w:ascii="宋体" w:hAnsi="宋体"/>
          <w:b/>
          <w:color w:val="auto"/>
          <w:sz w:val="48"/>
          <w:szCs w:val="48"/>
          <w:highlight w:val="none"/>
        </w:rPr>
        <w:sectPr>
          <w:headerReference r:id="rId3" w:type="default"/>
          <w:pgSz w:w="11850" w:h="16783"/>
          <w:pgMar w:top="1134" w:right="1134" w:bottom="1134" w:left="1417" w:header="573" w:footer="584" w:gutter="0"/>
          <w:pgBorders>
            <w:top w:val="none" w:sz="0" w:space="0"/>
            <w:left w:val="none" w:sz="0" w:space="0"/>
            <w:bottom w:val="none" w:sz="0" w:space="0"/>
            <w:right w:val="none" w:sz="0" w:space="0"/>
          </w:pgBorders>
          <w:cols w:space="0" w:num="1"/>
          <w:rtlGutter w:val="0"/>
          <w:docGrid w:linePitch="0" w:charSpace="0"/>
        </w:sectPr>
      </w:pPr>
    </w:p>
    <w:p>
      <w:pPr>
        <w:spacing w:before="240" w:beforeLines="100"/>
        <w:jc w:val="center"/>
        <w:rPr>
          <w:rFonts w:ascii="宋体"/>
          <w:b/>
          <w:color w:val="auto"/>
          <w:sz w:val="48"/>
          <w:szCs w:val="48"/>
          <w:highlight w:val="none"/>
        </w:rPr>
      </w:pPr>
      <w:r>
        <w:rPr>
          <w:rFonts w:hint="eastAsia" w:ascii="宋体" w:hAnsi="宋体"/>
          <w:b/>
          <w:color w:val="auto"/>
          <w:sz w:val="48"/>
          <w:szCs w:val="48"/>
          <w:highlight w:val="none"/>
        </w:rPr>
        <w:t>目录</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bookmarkStart w:id="0" w:name="_Toc334432586"/>
      <w:r>
        <w:rPr>
          <w:rFonts w:hint="eastAsia" w:asciiTheme="minorEastAsia" w:hAnsiTheme="minorEastAsia" w:eastAsiaTheme="minorEastAsia" w:cstheme="minorEastAsia"/>
          <w:b w:val="0"/>
          <w:bCs w:val="0"/>
          <w:color w:val="auto"/>
          <w:sz w:val="22"/>
          <w:szCs w:val="22"/>
          <w:highlight w:val="none"/>
        </w:rPr>
        <w:fldChar w:fldCharType="begin"/>
      </w:r>
      <w:r>
        <w:rPr>
          <w:rFonts w:hint="eastAsia" w:asciiTheme="minorEastAsia" w:hAnsiTheme="minorEastAsia" w:eastAsiaTheme="minorEastAsia" w:cstheme="minorEastAsia"/>
          <w:b w:val="0"/>
          <w:bCs w:val="0"/>
          <w:color w:val="auto"/>
          <w:sz w:val="22"/>
          <w:szCs w:val="22"/>
          <w:highlight w:val="none"/>
        </w:rPr>
        <w:instrText xml:space="preserve">TOC \o "1-3" \h \u </w:instrText>
      </w:r>
      <w:r>
        <w:rPr>
          <w:rFonts w:hint="eastAsia" w:asciiTheme="minorEastAsia" w:hAnsiTheme="minorEastAsia" w:eastAsiaTheme="minorEastAsia" w:cstheme="minorEastAsia"/>
          <w:b w:val="0"/>
          <w:bCs w:val="0"/>
          <w:color w:val="auto"/>
          <w:sz w:val="22"/>
          <w:szCs w:val="22"/>
          <w:highlight w:val="none"/>
        </w:rPr>
        <w:fldChar w:fldCharType="separate"/>
      </w: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_Toc4354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第一部分</w:t>
      </w:r>
      <w:r>
        <w:rPr>
          <w:rFonts w:hint="eastAsia" w:asciiTheme="majorEastAsia" w:hAnsiTheme="majorEastAsia" w:eastAsiaTheme="majorEastAsia" w:cstheme="majorEastAsia"/>
          <w:color w:val="auto"/>
          <w:sz w:val="24"/>
          <w:szCs w:val="24"/>
          <w:highlight w:val="none"/>
          <w:lang w:eastAsia="zh-CN"/>
        </w:rPr>
        <w:t>竞投公告</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_Toc4354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_Toc21591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第二部分</w:t>
      </w:r>
      <w:r>
        <w:rPr>
          <w:rFonts w:hint="eastAsia" w:asciiTheme="majorEastAsia" w:hAnsiTheme="majorEastAsia" w:eastAsiaTheme="majorEastAsia" w:cstheme="majorEastAsia"/>
          <w:color w:val="auto"/>
          <w:sz w:val="24"/>
          <w:szCs w:val="24"/>
          <w:highlight w:val="none"/>
        </w:rPr>
        <w:t>项目内容</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_Toc21591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_Toc5219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lang w:val="en-US" w:eastAsia="zh-CN"/>
        </w:rPr>
        <w:t>第三部分投标人须知</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bCs w:val="0"/>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lang w:val="en-US" w:eastAsia="zh-CN"/>
        </w:rPr>
        <w:t>6</w:t>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_Toc30654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第四部分合同书范本</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_Toc30654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37</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5"/>
        <w:tabs>
          <w:tab w:val="right" w:leader="dot" w:pos="9299"/>
        </w:tabs>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val="0"/>
          <w:color w:val="auto"/>
          <w:sz w:val="24"/>
          <w:szCs w:val="24"/>
          <w:highlight w:val="none"/>
        </w:rPr>
        <w:fldChar w:fldCharType="begin"/>
      </w:r>
      <w:r>
        <w:rPr>
          <w:rFonts w:hint="eastAsia" w:asciiTheme="majorEastAsia" w:hAnsiTheme="majorEastAsia" w:eastAsiaTheme="majorEastAsia" w:cstheme="majorEastAsia"/>
          <w:bCs w:val="0"/>
          <w:color w:val="auto"/>
          <w:sz w:val="24"/>
          <w:szCs w:val="24"/>
          <w:highlight w:val="none"/>
        </w:rPr>
        <w:instrText xml:space="preserve"> HYPERLINK \l _Toc27266 </w:instrText>
      </w:r>
      <w:r>
        <w:rPr>
          <w:rFonts w:hint="eastAsia" w:asciiTheme="majorEastAsia" w:hAnsiTheme="majorEastAsia" w:eastAsiaTheme="majorEastAsia" w:cstheme="majorEastAsia"/>
          <w:bCs w:val="0"/>
          <w:color w:val="auto"/>
          <w:sz w:val="24"/>
          <w:szCs w:val="24"/>
          <w:highlight w:val="none"/>
        </w:rPr>
        <w:fldChar w:fldCharType="separate"/>
      </w:r>
      <w:r>
        <w:rPr>
          <w:rFonts w:hint="eastAsia" w:asciiTheme="majorEastAsia" w:hAnsiTheme="majorEastAsia" w:eastAsiaTheme="majorEastAsia" w:cstheme="majorEastAsia"/>
          <w:color w:val="auto"/>
          <w:kern w:val="2"/>
          <w:sz w:val="24"/>
          <w:szCs w:val="24"/>
          <w:highlight w:val="none"/>
          <w:lang w:val="en-US" w:eastAsia="zh-CN" w:bidi="ar-SA"/>
        </w:rPr>
        <w:t>第五部分资格审查文件格式</w:t>
      </w: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PAGEREF _Toc27266 \h </w:instrText>
      </w:r>
      <w:r>
        <w:rPr>
          <w:rFonts w:hint="eastAsia" w:asciiTheme="majorEastAsia" w:hAnsiTheme="majorEastAsia" w:eastAsiaTheme="majorEastAsia" w:cstheme="majorEastAsia"/>
          <w:color w:val="auto"/>
          <w:sz w:val="24"/>
          <w:szCs w:val="24"/>
          <w:highlight w:val="none"/>
        </w:rPr>
        <w:fldChar w:fldCharType="separate"/>
      </w:r>
      <w:r>
        <w:rPr>
          <w:rFonts w:hint="eastAsia" w:asciiTheme="majorEastAsia" w:hAnsiTheme="majorEastAsia" w:eastAsiaTheme="majorEastAsia" w:cstheme="majorEastAsia"/>
          <w:color w:val="auto"/>
          <w:sz w:val="24"/>
          <w:szCs w:val="24"/>
          <w:highlight w:val="none"/>
        </w:rPr>
        <w:t>61</w: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bCs w:val="0"/>
          <w:color w:val="auto"/>
          <w:sz w:val="24"/>
          <w:szCs w:val="24"/>
          <w:highlight w:val="none"/>
        </w:rPr>
        <w:fldChar w:fldCharType="end"/>
      </w:r>
    </w:p>
    <w:p>
      <w:pPr>
        <w:pStyle w:val="11"/>
        <w:tabs>
          <w:tab w:val="right" w:leader="dot" w:pos="9299"/>
        </w:tabs>
        <w:rPr>
          <w:color w:val="auto"/>
          <w:highlight w:val="none"/>
        </w:rPr>
      </w:pPr>
    </w:p>
    <w:p>
      <w:pPr>
        <w:pStyle w:val="15"/>
        <w:tabs>
          <w:tab w:val="right" w:leader="dot" w:pos="9349"/>
        </w:tabs>
        <w:spacing w:line="360" w:lineRule="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Cs w:val="0"/>
          <w:color w:val="auto"/>
          <w:szCs w:val="22"/>
          <w:highlight w:val="none"/>
        </w:rPr>
        <w:fldChar w:fldCharType="end"/>
      </w:r>
    </w:p>
    <w:p>
      <w:pPr>
        <w:pStyle w:val="12"/>
        <w:rPr>
          <w:color w:val="auto"/>
          <w:highlight w:val="none"/>
        </w:rPr>
      </w:pPr>
    </w:p>
    <w:p>
      <w:pPr>
        <w:spacing w:after="120" w:afterLines="50" w:line="360" w:lineRule="auto"/>
        <w:jc w:val="center"/>
        <w:outlineLvl w:val="0"/>
        <w:rPr>
          <w:rFonts w:hint="eastAsia" w:ascii="宋体" w:hAnsi="宋体"/>
          <w:b/>
          <w:color w:val="auto"/>
          <w:sz w:val="36"/>
          <w:szCs w:val="36"/>
          <w:highlight w:val="none"/>
        </w:rPr>
        <w:sectPr>
          <w:footerReference r:id="rId4" w:type="default"/>
          <w:pgSz w:w="11850" w:h="16783"/>
          <w:pgMar w:top="1134" w:right="1134" w:bottom="1134" w:left="1417" w:header="573" w:footer="584" w:gutter="0"/>
          <w:pgBorders>
            <w:top w:val="none" w:sz="0" w:space="0"/>
            <w:left w:val="none" w:sz="0" w:space="0"/>
            <w:bottom w:val="none" w:sz="0" w:space="0"/>
            <w:right w:val="none" w:sz="0" w:space="0"/>
          </w:pgBorders>
          <w:pgNumType w:fmt="decimal" w:start="1"/>
          <w:cols w:space="0" w:num="1"/>
          <w:rtlGutter w:val="0"/>
          <w:docGrid w:linePitch="0" w:charSpace="0"/>
        </w:sectPr>
      </w:pPr>
      <w:bookmarkStart w:id="1" w:name="_Toc7029"/>
      <w:bookmarkStart w:id="2" w:name="_Toc13131"/>
      <w:bookmarkStart w:id="3" w:name="_Toc7755"/>
    </w:p>
    <w:p>
      <w:pPr>
        <w:spacing w:after="120" w:afterLines="50" w:line="360" w:lineRule="auto"/>
        <w:jc w:val="center"/>
        <w:outlineLvl w:val="0"/>
        <w:rPr>
          <w:rFonts w:hint="eastAsia" w:ascii="宋体" w:eastAsia="宋体"/>
          <w:b/>
          <w:color w:val="auto"/>
          <w:sz w:val="36"/>
          <w:szCs w:val="36"/>
          <w:highlight w:val="none"/>
          <w:lang w:eastAsia="zh-CN"/>
        </w:rPr>
      </w:pPr>
      <w:bookmarkStart w:id="4" w:name="_Toc4354"/>
      <w:r>
        <w:rPr>
          <w:rFonts w:hint="eastAsia" w:ascii="宋体" w:hAnsi="宋体"/>
          <w:b/>
          <w:color w:val="auto"/>
          <w:sz w:val="36"/>
          <w:szCs w:val="36"/>
          <w:highlight w:val="none"/>
        </w:rPr>
        <w:t>第一部分</w:t>
      </w:r>
      <w:bookmarkEnd w:id="0"/>
      <w:bookmarkEnd w:id="1"/>
      <w:bookmarkEnd w:id="2"/>
      <w:bookmarkEnd w:id="3"/>
      <w:r>
        <w:rPr>
          <w:rFonts w:hint="eastAsia" w:ascii="宋体" w:hAnsi="宋体"/>
          <w:b/>
          <w:color w:val="auto"/>
          <w:sz w:val="36"/>
          <w:szCs w:val="36"/>
          <w:highlight w:val="none"/>
          <w:lang w:eastAsia="zh-CN"/>
        </w:rPr>
        <w:t>竞投公告</w:t>
      </w:r>
      <w:bookmarkEnd w:id="4"/>
    </w:p>
    <w:p>
      <w:pPr>
        <w:autoSpaceDN w:val="0"/>
        <w:spacing w:line="360" w:lineRule="auto"/>
        <w:ind w:firstLine="180"/>
        <w:jc w:val="center"/>
        <w:rPr>
          <w:rFonts w:ascii="宋体" w:hAnsi="宋体"/>
          <w:b/>
          <w:bCs/>
          <w:color w:val="auto"/>
          <w:sz w:val="24"/>
          <w:highlight w:val="none"/>
        </w:rPr>
      </w:pPr>
      <w:r>
        <w:rPr>
          <w:rFonts w:hint="eastAsia" w:ascii="宋体" w:hAnsi="宋体"/>
          <w:b/>
          <w:bCs/>
          <w:color w:val="auto"/>
          <w:sz w:val="24"/>
          <w:highlight w:val="none"/>
        </w:rPr>
        <w:t>项目概况</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u w:val="single"/>
          <w:lang w:eastAsia="zh-CN"/>
        </w:rPr>
        <w:t>佛山市禅城区南庄镇吉利村上二经济合作社拟对吉利上二村停车停放进行管理，通过公开竞投确定中标人负责对吉利上二村车辆停放进行管理，</w:t>
      </w:r>
      <w:r>
        <w:rPr>
          <w:rFonts w:hint="eastAsia" w:ascii="宋体" w:hAnsi="宋体"/>
          <w:color w:val="auto"/>
          <w:sz w:val="24"/>
          <w:highlight w:val="none"/>
        </w:rPr>
        <w:t>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截止时间前登录佛山市公共资源交易中心禅城分中心网下载</w:t>
      </w:r>
      <w:r>
        <w:rPr>
          <w:rFonts w:hint="eastAsia" w:ascii="宋体" w:hAnsi="宋体"/>
          <w:color w:val="auto"/>
          <w:sz w:val="24"/>
          <w:highlight w:val="none"/>
          <w:u w:val="single"/>
          <w:lang w:eastAsia="zh-CN"/>
        </w:rPr>
        <w:t>吉利上二村车辆停放管理服务公开竞投</w:t>
      </w:r>
      <w:r>
        <w:rPr>
          <w:rFonts w:hint="eastAsia" w:ascii="宋体" w:hAnsi="宋体" w:cs="宋体"/>
          <w:color w:val="auto"/>
          <w:sz w:val="24"/>
          <w:highlight w:val="none"/>
        </w:rPr>
        <w:t>文件</w:t>
      </w:r>
      <w:r>
        <w:rPr>
          <w:rFonts w:hint="eastAsia" w:ascii="宋体" w:hAnsi="宋体"/>
          <w:color w:val="auto"/>
          <w:sz w:val="24"/>
          <w:highlight w:val="none"/>
        </w:rPr>
        <w:t>，并于202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月8日9</w:t>
      </w:r>
      <w:r>
        <w:rPr>
          <w:rFonts w:hint="eastAsia" w:ascii="宋体" w:hAnsi="宋体"/>
          <w:color w:val="auto"/>
          <w:sz w:val="24"/>
          <w:highlight w:val="none"/>
          <w:u w:val="none"/>
        </w:rPr>
        <w:t>点</w:t>
      </w:r>
      <w:r>
        <w:rPr>
          <w:rFonts w:hint="eastAsia" w:ascii="宋体" w:hAnsi="宋体"/>
          <w:color w:val="auto"/>
          <w:sz w:val="24"/>
          <w:highlight w:val="none"/>
          <w:u w:val="none"/>
          <w:lang w:val="en-US" w:eastAsia="zh-CN"/>
        </w:rPr>
        <w:t>00</w:t>
      </w:r>
      <w:r>
        <w:rPr>
          <w:rFonts w:hint="eastAsia" w:ascii="宋体" w:hAnsi="宋体"/>
          <w:color w:val="auto"/>
          <w:sz w:val="24"/>
          <w:highlight w:val="none"/>
          <w:u w:val="none"/>
        </w:rPr>
        <w:t>分</w:t>
      </w:r>
      <w:r>
        <w:rPr>
          <w:rFonts w:hint="eastAsia" w:ascii="宋体" w:hAnsi="宋体"/>
          <w:color w:val="auto"/>
          <w:sz w:val="24"/>
          <w:highlight w:val="none"/>
        </w:rPr>
        <w:t>（北京时间）前递交</w:t>
      </w:r>
      <w:r>
        <w:rPr>
          <w:rFonts w:hint="eastAsia" w:ascii="宋体" w:hAnsi="宋体"/>
          <w:color w:val="auto"/>
          <w:sz w:val="24"/>
          <w:highlight w:val="none"/>
          <w:lang w:eastAsia="zh-CN"/>
        </w:rPr>
        <w:t>资格审查</w:t>
      </w:r>
      <w:r>
        <w:rPr>
          <w:rFonts w:hint="eastAsia" w:ascii="宋体" w:hAnsi="宋体"/>
          <w:color w:val="auto"/>
          <w:sz w:val="24"/>
          <w:highlight w:val="none"/>
        </w:rPr>
        <w:t>文件</w:t>
      </w:r>
      <w:r>
        <w:rPr>
          <w:rFonts w:hint="eastAsia" w:ascii="宋体" w:hAnsi="宋体"/>
          <w:color w:val="auto"/>
          <w:sz w:val="24"/>
          <w:highlight w:val="none"/>
          <w:lang w:eastAsia="zh-CN"/>
        </w:rPr>
        <w:t>，经资格审查合格后参加竞投</w:t>
      </w:r>
      <w:r>
        <w:rPr>
          <w:rFonts w:hint="eastAsia" w:ascii="宋体" w:hAnsi="宋体"/>
          <w:color w:val="auto"/>
          <w:sz w:val="24"/>
          <w:highlight w:val="none"/>
        </w:rPr>
        <w:t>。</w:t>
      </w:r>
    </w:p>
    <w:p>
      <w:pPr>
        <w:numPr>
          <w:ilvl w:val="0"/>
          <w:numId w:val="2"/>
        </w:numPr>
        <w:tabs>
          <w:tab w:val="left" w:pos="426"/>
        </w:tabs>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项目基本情况</w:t>
      </w:r>
    </w:p>
    <w:p>
      <w:pPr>
        <w:autoSpaceDN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吉利上二村车辆停放管理服务</w:t>
      </w:r>
    </w:p>
    <w:p>
      <w:pPr>
        <w:autoSpaceDN w:val="0"/>
        <w:spacing w:line="360" w:lineRule="auto"/>
        <w:ind w:firstLine="480" w:firstLineChars="200"/>
        <w:jc w:val="left"/>
        <w:rPr>
          <w:color w:val="auto"/>
          <w:highlight w:val="none"/>
        </w:rPr>
      </w:pPr>
      <w:r>
        <w:rPr>
          <w:rFonts w:hint="eastAsia" w:ascii="宋体" w:hAnsi="宋体"/>
          <w:color w:val="auto"/>
          <w:sz w:val="24"/>
          <w:highlight w:val="none"/>
        </w:rPr>
        <w:t>最低限价：</w:t>
      </w:r>
      <w:r>
        <w:rPr>
          <w:rFonts w:hint="eastAsia" w:ascii="宋体" w:hAnsi="宋体"/>
          <w:color w:val="auto"/>
          <w:sz w:val="24"/>
          <w:highlight w:val="none"/>
          <w:lang w:val="en-US" w:eastAsia="zh-CN"/>
        </w:rPr>
        <w:t>100,000.00元/年，由中标人向招标人支付。</w:t>
      </w:r>
    </w:p>
    <w:p>
      <w:pPr>
        <w:autoSpaceDN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需求</w:t>
      </w:r>
      <w:r>
        <w:rPr>
          <w:rFonts w:hint="eastAsia" w:ascii="宋体" w:hAnsi="宋体" w:cs="宋体"/>
          <w:color w:val="auto"/>
          <w:sz w:val="24"/>
          <w:highlight w:val="none"/>
        </w:rPr>
        <w:t>（包括但不限于标的名称、数量、简要技术需求或服务要求等）</w:t>
      </w:r>
      <w:r>
        <w:rPr>
          <w:rFonts w:hint="eastAsia" w:ascii="宋体" w:hAnsi="宋体"/>
          <w:color w:val="auto"/>
          <w:sz w:val="24"/>
          <w:highlight w:val="none"/>
        </w:rPr>
        <w:t>：</w:t>
      </w:r>
    </w:p>
    <w:p>
      <w:pPr>
        <w:numPr>
          <w:ilvl w:val="0"/>
          <w:numId w:val="3"/>
        </w:numPr>
        <w:autoSpaceDN w:val="0"/>
        <w:spacing w:line="360" w:lineRule="auto"/>
        <w:ind w:left="425" w:leftChars="0" w:hanging="5"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标的名称：</w:t>
      </w:r>
      <w:r>
        <w:rPr>
          <w:rFonts w:hint="eastAsia" w:ascii="宋体" w:hAnsi="宋体"/>
          <w:color w:val="auto"/>
          <w:sz w:val="24"/>
          <w:highlight w:val="none"/>
          <w:lang w:eastAsia="zh-CN"/>
        </w:rPr>
        <w:t>吉利上二村车辆停放管理服务</w:t>
      </w:r>
    </w:p>
    <w:p>
      <w:pPr>
        <w:numPr>
          <w:ilvl w:val="0"/>
          <w:numId w:val="3"/>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rPr>
        <w:t>数量：1项</w:t>
      </w:r>
    </w:p>
    <w:p>
      <w:pPr>
        <w:numPr>
          <w:ilvl w:val="0"/>
          <w:numId w:val="3"/>
        </w:numPr>
        <w:tabs>
          <w:tab w:val="left" w:pos="426"/>
        </w:tabs>
        <w:autoSpaceDE w:val="0"/>
        <w:autoSpaceDN w:val="0"/>
        <w:adjustRightInd w:val="0"/>
        <w:snapToGrid w:val="0"/>
        <w:spacing w:line="360" w:lineRule="auto"/>
        <w:ind w:left="425" w:leftChars="0" w:hanging="5" w:firstLineChars="0"/>
        <w:rPr>
          <w:rFonts w:hint="eastAsia" w:ascii="宋体" w:hAnsi="宋体" w:cs="宋体"/>
          <w:color w:val="auto"/>
          <w:sz w:val="24"/>
          <w:highlight w:val="none"/>
        </w:rPr>
      </w:pPr>
      <w:r>
        <w:rPr>
          <w:rFonts w:hint="eastAsia" w:ascii="宋体" w:hAnsi="宋体" w:cs="宋体"/>
          <w:color w:val="auto"/>
          <w:sz w:val="24"/>
          <w:highlight w:val="none"/>
        </w:rPr>
        <w:t>简要技术需求或服务要求：</w:t>
      </w:r>
    </w:p>
    <w:tbl>
      <w:tblPr>
        <w:tblStyle w:val="19"/>
        <w:tblW w:w="9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1350"/>
        <w:gridCol w:w="5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16"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采购内容</w:t>
            </w:r>
          </w:p>
        </w:tc>
        <w:tc>
          <w:tcPr>
            <w:tcW w:w="1350"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数量</w:t>
            </w:r>
          </w:p>
        </w:tc>
        <w:tc>
          <w:tcPr>
            <w:tcW w:w="5639" w:type="dxa"/>
            <w:tcBorders>
              <w:tl2br w:val="nil"/>
              <w:tr2bl w:val="nil"/>
            </w:tcBorders>
            <w:noWrap w:val="0"/>
            <w:vAlign w:val="center"/>
          </w:tcPr>
          <w:p>
            <w:pPr>
              <w:pStyle w:val="17"/>
              <w:ind w:firstLine="0" w:firstLineChars="0"/>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最低限价</w:t>
            </w:r>
            <w:r>
              <w:rPr>
                <w:rFonts w:hint="eastAsia" w:asciiTheme="minorEastAsia" w:hAnsiTheme="minorEastAsia" w:eastAsiaTheme="minorEastAsia" w:cstheme="minorEastAsia"/>
                <w:b/>
                <w:bCs/>
                <w:color w:val="auto"/>
                <w:sz w:val="24"/>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516" w:type="dxa"/>
            <w:tcBorders>
              <w:tl2br w:val="nil"/>
              <w:tr2bl w:val="nil"/>
            </w:tcBorders>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吉利上二村车辆停放管理服务</w:t>
            </w:r>
          </w:p>
        </w:tc>
        <w:tc>
          <w:tcPr>
            <w:tcW w:w="1350" w:type="dxa"/>
            <w:tcBorders>
              <w:tl2br w:val="nil"/>
              <w:tr2bl w:val="nil"/>
            </w:tcBorders>
            <w:noWrap w:val="0"/>
            <w:vAlign w:val="center"/>
          </w:tcPr>
          <w:p>
            <w:pPr>
              <w:spacing w:after="72" w:afterLines="3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w:t>
            </w:r>
          </w:p>
        </w:tc>
        <w:tc>
          <w:tcPr>
            <w:tcW w:w="5639" w:type="dxa"/>
            <w:tcBorders>
              <w:tl2br w:val="nil"/>
              <w:tr2bl w:val="nil"/>
            </w:tcBorders>
            <w:noWrap w:val="0"/>
            <w:vAlign w:val="center"/>
          </w:tcPr>
          <w:p>
            <w:pPr>
              <w:pStyle w:val="3"/>
              <w:spacing w:before="0" w:after="0" w:line="240" w:lineRule="auto"/>
              <w:jc w:val="center"/>
              <w:rPr>
                <w:rFonts w:hint="eastAsia" w:asciiTheme="minorEastAsia" w:hAnsiTheme="minorEastAsia" w:eastAsiaTheme="minorEastAsia" w:cstheme="minorEastAsia"/>
                <w:color w:val="auto"/>
                <w:sz w:val="24"/>
                <w:szCs w:val="24"/>
                <w:highlight w:val="none"/>
                <w:lang w:val="en-US" w:eastAsia="zh-CN"/>
              </w:rPr>
            </w:pPr>
            <w:bookmarkStart w:id="5" w:name="_Toc2683"/>
            <w:r>
              <w:rPr>
                <w:rFonts w:hint="eastAsia" w:asciiTheme="minorEastAsia" w:hAnsiTheme="minorEastAsia" w:eastAsiaTheme="minorEastAsia" w:cstheme="minorEastAsia"/>
                <w:color w:val="auto"/>
                <w:sz w:val="24"/>
                <w:szCs w:val="24"/>
                <w:highlight w:val="none"/>
                <w:lang w:val="en-US" w:eastAsia="zh-CN"/>
              </w:rPr>
              <w:t>100,000.00元/年。</w:t>
            </w:r>
            <w:bookmarkEnd w:id="5"/>
          </w:p>
          <w:p>
            <w:pPr>
              <w:pStyle w:val="3"/>
              <w:spacing w:before="0" w:after="0" w:line="240" w:lineRule="auto"/>
              <w:rPr>
                <w:rFonts w:hint="eastAsia" w:asciiTheme="minorEastAsia" w:hAnsiTheme="minorEastAsia" w:eastAsiaTheme="minorEastAsia" w:cstheme="minorEastAsia"/>
                <w:color w:val="auto"/>
                <w:sz w:val="24"/>
                <w:szCs w:val="24"/>
                <w:highlight w:val="none"/>
              </w:rPr>
            </w:pPr>
            <w:bookmarkStart w:id="6" w:name="_Toc22804"/>
            <w:bookmarkStart w:id="7" w:name="_Toc31748"/>
            <w:r>
              <w:rPr>
                <w:rFonts w:hint="eastAsia" w:asciiTheme="minorEastAsia" w:hAnsiTheme="minorEastAsia" w:eastAsiaTheme="minorEastAsia" w:cstheme="minorEastAsia"/>
                <w:color w:val="auto"/>
                <w:sz w:val="24"/>
                <w:szCs w:val="24"/>
                <w:highlight w:val="none"/>
              </w:rPr>
              <w:t>说明：</w:t>
            </w:r>
            <w:bookmarkEnd w:id="6"/>
            <w:bookmarkEnd w:id="7"/>
          </w:p>
          <w:p>
            <w:pPr>
              <w:pStyle w:val="3"/>
              <w:spacing w:before="0" w:after="0" w:line="240" w:lineRule="auto"/>
              <w:rPr>
                <w:rFonts w:hint="eastAsia" w:asciiTheme="minorEastAsia" w:hAnsiTheme="minorEastAsia" w:eastAsiaTheme="minorEastAsia" w:cstheme="minorEastAsia"/>
                <w:b/>
                <w:bCs/>
                <w:color w:val="auto"/>
                <w:sz w:val="24"/>
                <w:szCs w:val="24"/>
                <w:highlight w:val="none"/>
              </w:rPr>
            </w:pPr>
            <w:bookmarkStart w:id="8" w:name="_Toc13636"/>
            <w:bookmarkStart w:id="9" w:name="_Toc24175"/>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将</w:t>
            </w:r>
            <w:r>
              <w:rPr>
                <w:rFonts w:hint="eastAsia" w:asciiTheme="minorEastAsia" w:hAnsiTheme="minorEastAsia" w:eastAsiaTheme="minorEastAsia" w:cstheme="minorEastAsia"/>
                <w:b/>
                <w:bCs/>
                <w:color w:val="auto"/>
                <w:sz w:val="24"/>
                <w:szCs w:val="24"/>
                <w:highlight w:val="none"/>
                <w:lang w:eastAsia="zh-CN"/>
              </w:rPr>
              <w:t>吉利上二村车辆停放管理</w:t>
            </w:r>
            <w:r>
              <w:rPr>
                <w:rFonts w:hint="eastAsia" w:asciiTheme="minorEastAsia" w:hAnsiTheme="minorEastAsia" w:eastAsiaTheme="minorEastAsia" w:cstheme="minorEastAsia"/>
                <w:b/>
                <w:bCs/>
                <w:color w:val="auto"/>
                <w:sz w:val="24"/>
                <w:szCs w:val="24"/>
                <w:highlight w:val="none"/>
              </w:rPr>
              <w:t>交由中标人进行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，中标人按中标价向</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支付相关</w:t>
            </w:r>
            <w:r>
              <w:rPr>
                <w:rFonts w:hint="eastAsia" w:asciiTheme="minorEastAsia" w:hAnsiTheme="minorEastAsia" w:eastAsiaTheme="minorEastAsia" w:cstheme="minorEastAsia"/>
                <w:b/>
                <w:bCs/>
                <w:color w:val="auto"/>
                <w:sz w:val="24"/>
                <w:szCs w:val="24"/>
                <w:highlight w:val="none"/>
                <w:lang w:eastAsia="zh-CN"/>
              </w:rPr>
              <w:t>费用</w:t>
            </w:r>
            <w:r>
              <w:rPr>
                <w:rFonts w:hint="eastAsia" w:asciiTheme="minorEastAsia" w:hAnsiTheme="minorEastAsia" w:eastAsiaTheme="minorEastAsia" w:cstheme="minorEastAsia"/>
                <w:b/>
                <w:bCs/>
                <w:color w:val="auto"/>
                <w:sz w:val="24"/>
                <w:szCs w:val="24"/>
                <w:highlight w:val="none"/>
              </w:rPr>
              <w:t>；</w:t>
            </w:r>
            <w:bookmarkEnd w:id="8"/>
            <w:bookmarkEnd w:id="9"/>
          </w:p>
          <w:p>
            <w:pPr>
              <w:pStyle w:val="12"/>
              <w:rPr>
                <w:rFonts w:hint="eastAsia" w:asciiTheme="minorEastAsia" w:hAnsiTheme="minorEastAsia" w:eastAsiaTheme="minorEastAsia" w:cstheme="minorEastAsia"/>
                <w:b/>
                <w:bCs/>
                <w:color w:val="auto"/>
                <w:sz w:val="24"/>
                <w:szCs w:val="24"/>
                <w:highlight w:val="none"/>
              </w:rPr>
            </w:pPr>
            <w:bookmarkStart w:id="10" w:name="_Toc22463"/>
            <w:r>
              <w:rPr>
                <w:rFonts w:hint="eastAsia" w:asciiTheme="minorEastAsia" w:hAnsiTheme="minorEastAsia" w:eastAsiaTheme="minorEastAsia" w:cstheme="minorEastAsia"/>
                <w:b/>
                <w:bCs/>
                <w:color w:val="auto"/>
                <w:sz w:val="24"/>
                <w:szCs w:val="24"/>
                <w:highlight w:val="none"/>
              </w:rPr>
              <w:t>2.中标人按</w:t>
            </w:r>
            <w:r>
              <w:rPr>
                <w:rFonts w:hint="eastAsia" w:asciiTheme="minorEastAsia" w:hAnsiTheme="minorEastAsia" w:eastAsiaTheme="minorEastAsia" w:cstheme="minorEastAsia"/>
                <w:b/>
                <w:bCs/>
                <w:color w:val="auto"/>
                <w:sz w:val="24"/>
                <w:szCs w:val="24"/>
                <w:highlight w:val="none"/>
                <w:lang w:eastAsia="zh-CN"/>
              </w:rPr>
              <w:t>招标人</w:t>
            </w:r>
            <w:r>
              <w:rPr>
                <w:rFonts w:hint="eastAsia" w:asciiTheme="minorEastAsia" w:hAnsiTheme="minorEastAsia" w:eastAsiaTheme="minorEastAsia" w:cstheme="minorEastAsia"/>
                <w:b/>
                <w:bCs/>
                <w:color w:val="auto"/>
                <w:sz w:val="24"/>
                <w:szCs w:val="24"/>
                <w:highlight w:val="none"/>
              </w:rPr>
              <w:t>的要求进行</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严格按照市、区、相关文件要求进行备案、收费、管理</w:t>
            </w:r>
            <w:bookmarkEnd w:id="10"/>
            <w:r>
              <w:rPr>
                <w:rFonts w:hint="eastAsia" w:asciiTheme="minorEastAsia" w:hAnsiTheme="minorEastAsia" w:eastAsiaTheme="minorEastAsia" w:cstheme="minorEastAsia"/>
                <w:b/>
                <w:bCs/>
                <w:color w:val="auto"/>
                <w:sz w:val="24"/>
                <w:szCs w:val="24"/>
                <w:highlight w:val="none"/>
              </w:rPr>
              <w:t>。</w:t>
            </w:r>
          </w:p>
          <w:p>
            <w:pPr>
              <w:rPr>
                <w:rFonts w:hint="eastAsia"/>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.中标人必须在中标通知书发出之日起15个工作日内完成本停车场在佛山市停车场管理系统登记备案</w:t>
            </w:r>
            <w:r>
              <w:rPr>
                <w:rFonts w:hint="eastAsia" w:asciiTheme="minorEastAsia" w:hAnsiTheme="minorEastAsia" w:eastAsiaTheme="minorEastAsia" w:cstheme="minorEastAsia"/>
                <w:b/>
                <w:bCs/>
                <w:color w:val="auto"/>
                <w:sz w:val="24"/>
                <w:szCs w:val="24"/>
                <w:highlight w:val="none"/>
                <w:lang w:eastAsia="zh-CN"/>
              </w:rPr>
              <w:t>。</w:t>
            </w:r>
          </w:p>
        </w:tc>
      </w:tr>
    </w:tbl>
    <w:p>
      <w:pPr>
        <w:numPr>
          <w:ilvl w:val="0"/>
          <w:numId w:val="3"/>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olor w:val="auto"/>
          <w:sz w:val="24"/>
          <w:highlight w:val="none"/>
          <w:lang w:eastAsia="zh-CN"/>
        </w:rPr>
        <w:t>服务期</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5年，具体起止日期以合同约定为准。</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申请人的资</w:t>
      </w:r>
      <w:r>
        <w:rPr>
          <w:rFonts w:hint="eastAsia" w:ascii="宋体" w:hAnsi="宋体" w:eastAsia="宋体" w:cs="宋体"/>
          <w:b/>
          <w:bCs/>
          <w:color w:val="auto"/>
          <w:sz w:val="24"/>
          <w:highlight w:val="none"/>
        </w:rPr>
        <w:t>格要求</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5"/>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6"/>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4"/>
        </w:numPr>
        <w:autoSpaceDE w:val="0"/>
        <w:autoSpaceDN w:val="0"/>
        <w:adjustRightInd w:val="0"/>
        <w:snapToGrid w:val="0"/>
        <w:spacing w:line="360" w:lineRule="auto"/>
        <w:ind w:left="0" w:leftChars="0" w:firstLine="0" w:firstLineChars="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获取</w:t>
      </w:r>
      <w:r>
        <w:rPr>
          <w:rFonts w:hint="eastAsia" w:ascii="宋体" w:hAnsi="宋体" w:cs="宋体"/>
          <w:b/>
          <w:bCs/>
          <w:color w:val="auto"/>
          <w:sz w:val="24"/>
          <w:highlight w:val="none"/>
          <w:lang w:eastAsia="zh-CN"/>
        </w:rPr>
        <w:t>竞投文件</w:t>
      </w:r>
    </w:p>
    <w:p>
      <w:pPr>
        <w:numPr>
          <w:ilvl w:val="0"/>
          <w:numId w:val="7"/>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s="宋体"/>
          <w:color w:val="auto"/>
          <w:sz w:val="24"/>
          <w:highlight w:val="none"/>
        </w:rPr>
        <w:t>凡有意参加</w:t>
      </w:r>
      <w:r>
        <w:rPr>
          <w:rFonts w:hint="eastAsia" w:ascii="宋体" w:hAnsi="宋体" w:cs="宋体"/>
          <w:color w:val="auto"/>
          <w:sz w:val="24"/>
          <w:highlight w:val="none"/>
          <w:lang w:eastAsia="zh-CN"/>
        </w:rPr>
        <w:t>竞投</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，可于</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u w:val="none"/>
          <w:lang w:val="en-US" w:eastAsia="zh-CN"/>
        </w:rPr>
        <w:t>月31日</w:t>
      </w:r>
      <w:r>
        <w:rPr>
          <w:rFonts w:hint="eastAsia" w:ascii="宋体" w:hAnsi="宋体" w:cs="宋体"/>
          <w:color w:val="auto"/>
          <w:sz w:val="24"/>
          <w:highlight w:val="none"/>
        </w:rPr>
        <w:t>至</w:t>
      </w:r>
      <w:r>
        <w:rPr>
          <w:rFonts w:hint="eastAsia" w:ascii="宋体" w:hAnsi="宋体" w:cs="宋体"/>
          <w:color w:val="auto"/>
          <w:sz w:val="24"/>
          <w:highlight w:val="none"/>
          <w:lang w:eastAsia="zh-CN"/>
        </w:rPr>
        <w:t>竞投</w:t>
      </w:r>
      <w:r>
        <w:rPr>
          <w:rFonts w:hint="eastAsia" w:ascii="宋体" w:hAnsi="宋体" w:cs="宋体"/>
          <w:color w:val="auto"/>
          <w:sz w:val="24"/>
          <w:highlight w:val="none"/>
        </w:rPr>
        <w:t>截止时间前登录佛山市禅城区南庄镇人民政府网（http://www.chancheng.gov.cn/nanzhuang/）</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佛山市公共资源交易中心禅城分中心网（http://ccggzy.chancheng.gov.cn/）</w:t>
      </w:r>
      <w:r>
        <w:rPr>
          <w:rFonts w:hint="eastAsia" w:ascii="宋体" w:hAnsi="宋体" w:cs="宋体"/>
          <w:color w:val="auto"/>
          <w:sz w:val="24"/>
          <w:highlight w:val="none"/>
          <w:lang w:eastAsia="zh-CN"/>
        </w:rPr>
        <w:t>、招标代理机构网站（http://www.gdzczb.com/）</w:t>
      </w:r>
      <w:r>
        <w:rPr>
          <w:rFonts w:hint="eastAsia" w:ascii="宋体" w:hAnsi="宋体" w:cs="宋体"/>
          <w:color w:val="auto"/>
          <w:sz w:val="24"/>
          <w:highlight w:val="none"/>
        </w:rPr>
        <w:t>。下载</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等资料。</w:t>
      </w:r>
    </w:p>
    <w:p>
      <w:pPr>
        <w:numPr>
          <w:ilvl w:val="0"/>
          <w:numId w:val="7"/>
        </w:numPr>
        <w:autoSpaceDN w:val="0"/>
        <w:spacing w:line="360" w:lineRule="auto"/>
        <w:ind w:left="425" w:leftChars="0" w:hanging="5" w:firstLineChars="0"/>
        <w:jc w:val="left"/>
        <w:rPr>
          <w:rFonts w:hint="eastAsia" w:ascii="宋体" w:hAnsi="宋体" w:cs="宋体"/>
          <w:color w:val="auto"/>
          <w:sz w:val="24"/>
          <w:highlight w:val="none"/>
        </w:rPr>
      </w:pP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一经在佛山市公共资源交易中心禅城分中心网发布，视作已发放给所有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应及时下载电子版</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。否则所造成的一切后果由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自负。</w:t>
      </w:r>
      <w:r>
        <w:rPr>
          <w:rFonts w:hint="eastAsia" w:ascii="宋体" w:hAnsi="宋体" w:cs="宋体"/>
          <w:color w:val="auto"/>
          <w:sz w:val="24"/>
          <w:highlight w:val="none"/>
          <w:lang w:eastAsia="zh-CN"/>
        </w:rPr>
        <w:t>竞投文件</w:t>
      </w:r>
      <w:r>
        <w:rPr>
          <w:rFonts w:hint="eastAsia" w:ascii="宋体" w:hAnsi="宋体" w:cs="宋体"/>
          <w:color w:val="auto"/>
          <w:sz w:val="24"/>
          <w:highlight w:val="none"/>
        </w:rPr>
        <w:t>每套售价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00元（人民币），在开标当天收取，售后不退。</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提交</w:t>
      </w:r>
      <w:r>
        <w:rPr>
          <w:rFonts w:hint="eastAsia" w:ascii="宋体" w:hAnsi="宋体" w:cs="宋体"/>
          <w:b/>
          <w:bCs/>
          <w:color w:val="auto"/>
          <w:sz w:val="24"/>
          <w:highlight w:val="none"/>
          <w:lang w:eastAsia="zh-CN"/>
        </w:rPr>
        <w:t>资格审查</w:t>
      </w:r>
      <w:r>
        <w:rPr>
          <w:rFonts w:hint="eastAsia" w:ascii="宋体" w:hAnsi="宋体" w:cs="宋体"/>
          <w:b/>
          <w:bCs/>
          <w:color w:val="auto"/>
          <w:sz w:val="24"/>
          <w:highlight w:val="none"/>
        </w:rPr>
        <w:t>文件截止时间、开标时间和地点</w:t>
      </w:r>
    </w:p>
    <w:p>
      <w:pPr>
        <w:numPr>
          <w:ilvl w:val="0"/>
          <w:numId w:val="8"/>
        </w:numPr>
        <w:autoSpaceDN w:val="0"/>
        <w:spacing w:line="360" w:lineRule="auto"/>
        <w:ind w:left="425" w:leftChars="0" w:hanging="5" w:firstLineChars="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资格审查</w:t>
      </w:r>
      <w:r>
        <w:rPr>
          <w:rFonts w:hint="eastAsia" w:ascii="宋体" w:hAnsi="宋体"/>
          <w:color w:val="auto"/>
          <w:sz w:val="24"/>
          <w:highlight w:val="none"/>
          <w:lang w:eastAsia="zh-CN"/>
        </w:rPr>
        <w:t>文件递交</w:t>
      </w:r>
      <w:r>
        <w:rPr>
          <w:rFonts w:hint="eastAsia" w:ascii="宋体" w:hAnsi="宋体"/>
          <w:color w:val="auto"/>
          <w:sz w:val="24"/>
          <w:highlight w:val="none"/>
        </w:rPr>
        <w:t>截止时间：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s="宋体"/>
          <w:color w:val="auto"/>
          <w:sz w:val="24"/>
          <w:highlight w:val="none"/>
        </w:rPr>
        <w:t>点</w:t>
      </w:r>
      <w:r>
        <w:rPr>
          <w:rFonts w:hint="eastAsia" w:ascii="宋体" w:hAnsi="宋体"/>
          <w:color w:val="auto"/>
          <w:sz w:val="24"/>
          <w:highlight w:val="none"/>
          <w:lang w:val="en-US" w:eastAsia="zh-CN"/>
        </w:rPr>
        <w:t>00</w:t>
      </w:r>
      <w:r>
        <w:rPr>
          <w:rFonts w:hint="eastAsia" w:ascii="宋体" w:hAnsi="宋体" w:cs="宋体"/>
          <w:color w:val="auto"/>
          <w:sz w:val="24"/>
          <w:highlight w:val="none"/>
        </w:rPr>
        <w:t>分（北京时间）</w:t>
      </w:r>
      <w:r>
        <w:rPr>
          <w:rFonts w:hint="eastAsia" w:ascii="宋体" w:hAnsi="宋体" w:cs="宋体"/>
          <w:color w:val="auto"/>
          <w:sz w:val="24"/>
          <w:highlight w:val="none"/>
          <w:lang w:val="en-US" w:eastAsia="zh-CN"/>
        </w:rPr>
        <w:t>。</w:t>
      </w:r>
    </w:p>
    <w:p>
      <w:pPr>
        <w:numPr>
          <w:ilvl w:val="0"/>
          <w:numId w:val="8"/>
        </w:numPr>
        <w:autoSpaceDN w:val="0"/>
        <w:spacing w:line="360" w:lineRule="auto"/>
        <w:ind w:left="425" w:leftChars="0" w:hanging="5" w:firstLineChars="0"/>
        <w:jc w:val="left"/>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资格</w:t>
      </w:r>
      <w:r>
        <w:rPr>
          <w:rFonts w:hint="eastAsia" w:ascii="宋体" w:hAnsi="宋体" w:cs="宋体"/>
          <w:color w:val="auto"/>
          <w:sz w:val="24"/>
          <w:highlight w:val="none"/>
          <w:lang w:eastAsia="zh-CN"/>
        </w:rPr>
        <w:t>审查</w:t>
      </w:r>
      <w:r>
        <w:rPr>
          <w:rFonts w:hint="eastAsia" w:ascii="宋体" w:hAnsi="宋体"/>
          <w:color w:val="auto"/>
          <w:sz w:val="24"/>
          <w:highlight w:val="none"/>
        </w:rPr>
        <w:t>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olor w:val="auto"/>
          <w:sz w:val="24"/>
          <w:highlight w:val="none"/>
        </w:rPr>
        <w:t>点</w:t>
      </w:r>
      <w:r>
        <w:rPr>
          <w:rFonts w:hint="eastAsia" w:ascii="宋体" w:hAnsi="宋体"/>
          <w:color w:val="auto"/>
          <w:sz w:val="24"/>
          <w:highlight w:val="none"/>
          <w:lang w:val="en-US" w:eastAsia="zh-CN"/>
        </w:rPr>
        <w:t>00</w:t>
      </w:r>
      <w:r>
        <w:rPr>
          <w:rFonts w:hint="eastAsia" w:ascii="宋体" w:hAnsi="宋体"/>
          <w:color w:val="auto"/>
          <w:sz w:val="24"/>
          <w:highlight w:val="none"/>
        </w:rPr>
        <w:t>分（北京时间）</w:t>
      </w:r>
      <w:r>
        <w:rPr>
          <w:rFonts w:hint="eastAsia" w:ascii="宋体" w:hAnsi="宋体"/>
          <w:color w:val="auto"/>
          <w:sz w:val="24"/>
          <w:highlight w:val="none"/>
          <w:lang w:eastAsia="zh-CN"/>
        </w:rPr>
        <w:t>（</w:t>
      </w:r>
      <w:r>
        <w:rPr>
          <w:rFonts w:hint="eastAsia" w:ascii="宋体" w:hAnsi="宋体" w:cs="宋体"/>
          <w:color w:val="auto"/>
          <w:sz w:val="24"/>
          <w:highlight w:val="none"/>
          <w:lang w:eastAsia="zh-CN"/>
        </w:rPr>
        <w:t>资格审查</w:t>
      </w:r>
      <w:r>
        <w:rPr>
          <w:rFonts w:hint="eastAsia" w:ascii="宋体" w:hAnsi="宋体"/>
          <w:color w:val="auto"/>
          <w:sz w:val="24"/>
          <w:highlight w:val="none"/>
        </w:rPr>
        <w:t>文件递交截止</w:t>
      </w:r>
      <w:r>
        <w:rPr>
          <w:rFonts w:hint="eastAsia" w:ascii="宋体" w:hAnsi="宋体"/>
          <w:color w:val="auto"/>
          <w:sz w:val="24"/>
          <w:highlight w:val="none"/>
          <w:lang w:eastAsia="zh-CN"/>
        </w:rPr>
        <w:t>后马上进行资格审查）。</w:t>
      </w:r>
    </w:p>
    <w:p>
      <w:pPr>
        <w:numPr>
          <w:ilvl w:val="0"/>
          <w:numId w:val="8"/>
        </w:numPr>
        <w:autoSpaceDN w:val="0"/>
        <w:spacing w:line="360" w:lineRule="auto"/>
        <w:ind w:left="425" w:leftChars="0" w:hanging="5" w:firstLineChars="0"/>
        <w:jc w:val="left"/>
        <w:rPr>
          <w:rFonts w:hint="eastAsia" w:ascii="宋体" w:hAnsi="宋体"/>
          <w:color w:val="auto"/>
          <w:sz w:val="24"/>
          <w:highlight w:val="none"/>
        </w:rPr>
      </w:pPr>
      <w:r>
        <w:rPr>
          <w:rFonts w:hint="eastAsia" w:ascii="宋体" w:hAnsi="宋体"/>
          <w:color w:val="auto"/>
          <w:sz w:val="24"/>
          <w:highlight w:val="none"/>
          <w:lang w:eastAsia="zh-CN"/>
        </w:rPr>
        <w:t>竞投地点</w:t>
      </w:r>
      <w:r>
        <w:rPr>
          <w:rFonts w:hint="eastAsia" w:ascii="宋体" w:hAnsi="宋体"/>
          <w:color w:val="auto"/>
          <w:sz w:val="24"/>
          <w:highlight w:val="none"/>
        </w:rPr>
        <w:t>：佛山市禅城区南庄镇紫洞南路106号南庄商业广场A1座四楼南庄镇公共资源交易所开标室（接受</w:t>
      </w:r>
      <w:r>
        <w:rPr>
          <w:rFonts w:hint="eastAsia" w:ascii="宋体" w:hAnsi="宋体"/>
          <w:color w:val="auto"/>
          <w:sz w:val="24"/>
          <w:highlight w:val="none"/>
          <w:lang w:eastAsia="zh-CN"/>
        </w:rPr>
        <w:t>竞投</w:t>
      </w:r>
      <w:r>
        <w:rPr>
          <w:rFonts w:hint="eastAsia" w:ascii="宋体" w:hAnsi="宋体"/>
          <w:color w:val="auto"/>
          <w:sz w:val="24"/>
          <w:highlight w:val="none"/>
        </w:rPr>
        <w:t>文件时间：</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8</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分至</w:t>
      </w: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u w:val="none"/>
          <w:lang w:val="en-US" w:eastAsia="zh-CN"/>
        </w:rPr>
        <w:t>月8日</w:t>
      </w:r>
      <w:r>
        <w:rPr>
          <w:rFonts w:hint="eastAsia" w:ascii="宋体" w:hAnsi="宋体"/>
          <w:color w:val="auto"/>
          <w:sz w:val="24"/>
          <w:highlight w:val="none"/>
          <w:lang w:val="en-US" w:eastAsia="zh-CN"/>
        </w:rPr>
        <w:t>9</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s="仿宋_GB2312"/>
          <w:color w:val="auto"/>
          <w:kern w:val="0"/>
          <w:sz w:val="24"/>
          <w:highlight w:val="none"/>
        </w:rPr>
        <w:t>逾期送达或未送达指定地点的</w:t>
      </w:r>
      <w:r>
        <w:rPr>
          <w:rFonts w:hint="eastAsia" w:ascii="宋体" w:hAnsi="宋体" w:cs="仿宋_GB2312"/>
          <w:color w:val="auto"/>
          <w:kern w:val="0"/>
          <w:sz w:val="24"/>
          <w:highlight w:val="none"/>
          <w:lang w:eastAsia="zh-CN"/>
        </w:rPr>
        <w:t>竞投</w:t>
      </w:r>
      <w:r>
        <w:rPr>
          <w:rFonts w:hint="eastAsia" w:ascii="宋体" w:hAnsi="宋体" w:cs="仿宋_GB2312"/>
          <w:color w:val="auto"/>
          <w:kern w:val="0"/>
          <w:sz w:val="24"/>
          <w:highlight w:val="none"/>
        </w:rPr>
        <w:t>文件，招标人将不予受理</w:t>
      </w:r>
      <w:r>
        <w:rPr>
          <w:rFonts w:hint="eastAsia" w:ascii="宋体" w:hAnsi="宋体"/>
          <w:color w:val="auto"/>
          <w:sz w:val="24"/>
          <w:highlight w:val="none"/>
        </w:rPr>
        <w:t>）。</w:t>
      </w:r>
    </w:p>
    <w:p>
      <w:pPr>
        <w:numPr>
          <w:ilvl w:val="0"/>
          <w:numId w:val="4"/>
        </w:numPr>
        <w:autoSpaceDE w:val="0"/>
        <w:autoSpaceDN w:val="0"/>
        <w:adjustRightInd w:val="0"/>
        <w:snapToGrid w:val="0"/>
        <w:spacing w:line="360" w:lineRule="auto"/>
        <w:ind w:left="0" w:leftChars="0" w:firstLine="0" w:firstLineChars="0"/>
        <w:rPr>
          <w:rFonts w:ascii="宋体" w:hAnsi="宋体" w:cs="宋体"/>
          <w:b/>
          <w:bCs/>
          <w:color w:val="auto"/>
          <w:sz w:val="24"/>
          <w:highlight w:val="none"/>
        </w:rPr>
      </w:pPr>
      <w:r>
        <w:rPr>
          <w:rFonts w:hint="eastAsia" w:ascii="宋体" w:hAnsi="宋体" w:cs="宋体"/>
          <w:b/>
          <w:bCs/>
          <w:color w:val="auto"/>
          <w:sz w:val="24"/>
          <w:highlight w:val="none"/>
        </w:rPr>
        <w:t>公告期限</w:t>
      </w:r>
    </w:p>
    <w:p>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numPr>
          <w:ilvl w:val="0"/>
          <w:numId w:val="4"/>
        </w:numPr>
        <w:autoSpaceDE w:val="0"/>
        <w:autoSpaceDN w:val="0"/>
        <w:adjustRightInd w:val="0"/>
        <w:snapToGrid w:val="0"/>
        <w:spacing w:line="360" w:lineRule="auto"/>
        <w:ind w:left="0" w:leftChars="0" w:firstLine="0" w:firstLineChars="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竞投方式：采用一次性报价的暗标方式，价高者得的原则确定中标人。投标人</w:t>
      </w:r>
      <w:r>
        <w:rPr>
          <w:rFonts w:hint="eastAsia" w:ascii="宋体" w:hAnsi="宋体" w:cs="宋体"/>
          <w:b/>
          <w:bCs/>
          <w:color w:val="auto"/>
          <w:sz w:val="24"/>
          <w:highlight w:val="none"/>
        </w:rPr>
        <w:t>所报价格为</w:t>
      </w:r>
      <w:r>
        <w:rPr>
          <w:rFonts w:hint="eastAsia" w:ascii="宋体" w:hAnsi="宋体" w:cs="宋体"/>
          <w:b/>
          <w:bCs/>
          <w:color w:val="auto"/>
          <w:sz w:val="24"/>
          <w:highlight w:val="none"/>
          <w:lang w:eastAsia="zh-CN"/>
        </w:rPr>
        <w:t>向招标人支付管理费用</w:t>
      </w:r>
      <w:r>
        <w:rPr>
          <w:rFonts w:hint="eastAsia" w:ascii="宋体" w:hAnsi="宋体" w:cs="宋体"/>
          <w:b/>
          <w:bCs/>
          <w:color w:val="auto"/>
          <w:sz w:val="24"/>
          <w:highlight w:val="none"/>
          <w:lang w:val="en-US" w:eastAsia="zh-CN"/>
        </w:rPr>
        <w:t>。</w:t>
      </w:r>
    </w:p>
    <w:p>
      <w:pPr>
        <w:numPr>
          <w:ilvl w:val="0"/>
          <w:numId w:val="4"/>
        </w:numPr>
        <w:autoSpaceDE w:val="0"/>
        <w:autoSpaceDN w:val="0"/>
        <w:adjustRightInd w:val="0"/>
        <w:snapToGrid w:val="0"/>
        <w:spacing w:line="360" w:lineRule="auto"/>
        <w:ind w:left="0" w:leftChars="0" w:firstLine="0" w:firstLineChars="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对本次招标提出询问，请按以下方式联系</w:t>
      </w:r>
    </w:p>
    <w:p>
      <w:pPr>
        <w:numPr>
          <w:ilvl w:val="0"/>
          <w:numId w:val="9"/>
        </w:numPr>
        <w:autoSpaceDN w:val="0"/>
        <w:adjustRightInd/>
        <w:snapToGrid/>
        <w:spacing w:line="360" w:lineRule="auto"/>
        <w:ind w:left="425" w:hanging="5"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信息</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佛山市禅城区南庄镇吉利村上二经济合作社</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地址：佛山市禅城区南庄镇</w:t>
      </w:r>
      <w:r>
        <w:rPr>
          <w:rFonts w:hint="eastAsia" w:ascii="宋体" w:hAnsi="宋体"/>
          <w:color w:val="auto"/>
          <w:sz w:val="24"/>
          <w:szCs w:val="24"/>
          <w:highlight w:val="none"/>
          <w:lang w:val="en-US" w:eastAsia="zh-CN"/>
        </w:rPr>
        <w:t>吉利村</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联系</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w:t>
      </w:r>
      <w:r>
        <w:rPr>
          <w:rFonts w:hint="eastAsia"/>
          <w:color w:val="auto"/>
          <w:highlight w:val="none"/>
          <w:lang w:eastAsia="zh-CN"/>
        </w:rPr>
        <w:t>关先生</w:t>
      </w:r>
    </w:p>
    <w:p>
      <w:pPr>
        <w:spacing w:line="360" w:lineRule="auto"/>
        <w:ind w:firstLine="480" w:firstLineChars="200"/>
        <w:outlineLvl w:val="9"/>
        <w:rPr>
          <w:rFonts w:hint="default" w:ascii="宋体" w:hAnsi="宋体" w:eastAsia="宋体"/>
          <w:color w:val="auto"/>
          <w:sz w:val="24"/>
          <w:szCs w:val="24"/>
          <w:highlight w:val="none"/>
          <w:lang w:val="en-US" w:eastAsia="zh-CN"/>
        </w:rPr>
      </w:pPr>
      <w:bookmarkStart w:id="11" w:name="_Toc24077"/>
      <w:r>
        <w:rPr>
          <w:rFonts w:hint="eastAsia" w:ascii="宋体" w:hAnsi="宋体"/>
          <w:color w:val="auto"/>
          <w:sz w:val="24"/>
          <w:szCs w:val="24"/>
          <w:highlight w:val="none"/>
        </w:rPr>
        <w:t>联系方式：</w:t>
      </w:r>
      <w:bookmarkEnd w:id="11"/>
      <w:r>
        <w:rPr>
          <w:rFonts w:hint="eastAsia" w:ascii="宋体" w:hAnsi="宋体"/>
          <w:color w:val="auto"/>
          <w:sz w:val="24"/>
          <w:szCs w:val="24"/>
          <w:highlight w:val="none"/>
          <w:lang w:val="en-US" w:eastAsia="zh-CN"/>
        </w:rPr>
        <w:t>0757-85398026</w:t>
      </w:r>
    </w:p>
    <w:p>
      <w:pPr>
        <w:numPr>
          <w:ilvl w:val="0"/>
          <w:numId w:val="9"/>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信息</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广东中采招标有限公司</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佛山市禅城区文华北路223号之一栋5层525、526、527单元</w:t>
      </w:r>
    </w:p>
    <w:p>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numPr>
          <w:ilvl w:val="0"/>
          <w:numId w:val="9"/>
        </w:numPr>
        <w:autoSpaceDN w:val="0"/>
        <w:adjustRightInd/>
        <w:snapToGrid/>
        <w:spacing w:line="360" w:lineRule="auto"/>
        <w:ind w:left="425" w:hanging="5" w:firstLineChars="0"/>
        <w:jc w:val="left"/>
        <w:rPr>
          <w:rFonts w:hint="eastAsia" w:ascii="宋体" w:hAnsi="宋体"/>
          <w:color w:val="auto"/>
          <w:sz w:val="24"/>
          <w:szCs w:val="24"/>
          <w:highlight w:val="none"/>
        </w:rPr>
      </w:pPr>
      <w:r>
        <w:rPr>
          <w:rFonts w:hint="eastAsia" w:ascii="宋体" w:hAnsi="宋体"/>
          <w:color w:val="auto"/>
          <w:sz w:val="24"/>
          <w:szCs w:val="24"/>
          <w:highlight w:val="none"/>
        </w:rPr>
        <w:t>项目联系方式</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项目联系人：</w:t>
      </w:r>
      <w:r>
        <w:rPr>
          <w:rFonts w:hint="eastAsia" w:ascii="宋体" w:hAnsi="宋体"/>
          <w:color w:val="auto"/>
          <w:sz w:val="24"/>
          <w:szCs w:val="24"/>
          <w:highlight w:val="none"/>
          <w:lang w:val="en-US" w:eastAsia="zh-CN"/>
        </w:rPr>
        <w:t>夏</w:t>
      </w:r>
      <w:r>
        <w:rPr>
          <w:rFonts w:hint="eastAsia" w:ascii="宋体" w:hAnsi="宋体"/>
          <w:color w:val="auto"/>
          <w:sz w:val="24"/>
          <w:szCs w:val="24"/>
          <w:highlight w:val="none"/>
        </w:rPr>
        <w:t>先生</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0757-81993027</w:t>
      </w:r>
    </w:p>
    <w:p>
      <w:pPr>
        <w:spacing w:line="360" w:lineRule="auto"/>
        <w:ind w:firstLine="480" w:firstLineChars="200"/>
        <w:jc w:val="left"/>
        <w:rPr>
          <w:rFonts w:hint="eastAsia" w:ascii="宋体" w:eastAsia="宋体"/>
          <w:color w:val="auto"/>
          <w:sz w:val="24"/>
          <w:highlight w:val="none"/>
          <w:lang w:eastAsia="zh-CN"/>
        </w:rPr>
      </w:pPr>
    </w:p>
    <w:p>
      <w:pPr>
        <w:spacing w:after="72" w:afterLines="30" w:line="360" w:lineRule="auto"/>
        <w:ind w:firstLine="540" w:firstLineChars="225"/>
        <w:jc w:val="right"/>
        <w:rPr>
          <w:rFonts w:hint="eastAsia" w:ascii="宋体" w:eastAsia="宋体"/>
          <w:color w:val="auto"/>
          <w:sz w:val="24"/>
          <w:highlight w:val="none"/>
          <w:lang w:eastAsia="zh-CN"/>
        </w:rPr>
      </w:pPr>
      <w:r>
        <w:rPr>
          <w:rFonts w:hint="eastAsia" w:ascii="宋体" w:hAnsi="宋体"/>
          <w:color w:val="auto"/>
          <w:sz w:val="24"/>
          <w:highlight w:val="none"/>
          <w:lang w:eastAsia="zh-CN"/>
        </w:rPr>
        <w:t>广东中采招标有限公司</w:t>
      </w:r>
    </w:p>
    <w:p>
      <w:pPr>
        <w:spacing w:after="72" w:afterLines="30" w:line="360" w:lineRule="auto"/>
        <w:ind w:firstLine="540" w:firstLineChars="225"/>
        <w:jc w:val="right"/>
        <w:rPr>
          <w:rFonts w:hint="eastAsia" w:ascii="宋体" w:hAnsi="宋体"/>
          <w:color w:val="auto"/>
          <w:sz w:val="24"/>
          <w:highlight w:val="none"/>
          <w:u w:val="none"/>
        </w:rPr>
      </w:pPr>
      <w:r>
        <w:rPr>
          <w:rFonts w:hint="eastAsia" w:ascii="宋体" w:hAnsi="宋体"/>
          <w:color w:val="auto"/>
          <w:sz w:val="24"/>
          <w:highlight w:val="none"/>
          <w:lang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31</w:t>
      </w:r>
      <w:r>
        <w:rPr>
          <w:rFonts w:hint="eastAsia" w:ascii="宋体" w:hAnsi="宋体"/>
          <w:color w:val="auto"/>
          <w:sz w:val="24"/>
          <w:highlight w:val="none"/>
          <w:u w:val="none"/>
        </w:rPr>
        <w:t>日</w:t>
      </w:r>
      <w:bookmarkStart w:id="12" w:name="_Toc334432587"/>
    </w:p>
    <w:p>
      <w:pPr>
        <w:rPr>
          <w:rFonts w:hint="eastAsia" w:ascii="宋体" w:hAnsi="宋体"/>
          <w:color w:val="auto"/>
          <w:sz w:val="24"/>
          <w:highlight w:val="none"/>
          <w:u w:val="none"/>
        </w:rPr>
      </w:pPr>
      <w:r>
        <w:rPr>
          <w:rFonts w:hint="eastAsia" w:ascii="宋体" w:hAnsi="宋体"/>
          <w:color w:val="auto"/>
          <w:sz w:val="24"/>
          <w:highlight w:val="none"/>
          <w:u w:val="none"/>
        </w:rPr>
        <w:br w:type="page"/>
      </w:r>
    </w:p>
    <w:p>
      <w:pPr>
        <w:pStyle w:val="2"/>
        <w:rPr>
          <w:color w:val="auto"/>
          <w:highlight w:val="none"/>
        </w:rPr>
        <w:sectPr>
          <w:footerReference r:id="rId5" w:type="default"/>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0" w:charSpace="0"/>
        </w:sectPr>
      </w:pPr>
    </w:p>
    <w:p>
      <w:pPr>
        <w:spacing w:after="120" w:afterLines="50" w:line="360" w:lineRule="auto"/>
        <w:jc w:val="center"/>
        <w:outlineLvl w:val="0"/>
        <w:rPr>
          <w:rFonts w:hint="eastAsia" w:ascii="宋体" w:hAnsi="宋体"/>
          <w:b/>
          <w:color w:val="auto"/>
          <w:sz w:val="36"/>
          <w:szCs w:val="36"/>
          <w:highlight w:val="none"/>
        </w:rPr>
      </w:pPr>
      <w:bookmarkStart w:id="13" w:name="_Toc19575"/>
      <w:bookmarkStart w:id="14" w:name="_Toc24772"/>
      <w:bookmarkStart w:id="15" w:name="_Toc7214"/>
      <w:bookmarkStart w:id="16" w:name="_Toc21591"/>
      <w:r>
        <w:rPr>
          <w:rFonts w:hint="eastAsia" w:ascii="宋体" w:hAnsi="宋体"/>
          <w:b/>
          <w:color w:val="auto"/>
          <w:sz w:val="36"/>
          <w:szCs w:val="36"/>
          <w:highlight w:val="none"/>
          <w:lang w:val="en-US" w:eastAsia="zh-CN"/>
        </w:rPr>
        <w:t>第二部分</w:t>
      </w:r>
      <w:r>
        <w:rPr>
          <w:rFonts w:hint="eastAsia" w:ascii="宋体" w:hAnsi="宋体"/>
          <w:b/>
          <w:color w:val="auto"/>
          <w:sz w:val="36"/>
          <w:szCs w:val="36"/>
          <w:highlight w:val="none"/>
        </w:rPr>
        <w:t>项目内容</w:t>
      </w:r>
      <w:bookmarkEnd w:id="12"/>
      <w:bookmarkEnd w:id="13"/>
      <w:bookmarkEnd w:id="14"/>
      <w:bookmarkEnd w:id="15"/>
      <w:bookmarkEnd w:id="16"/>
      <w:bookmarkStart w:id="17" w:name="_Toc13772"/>
      <w:bookmarkEnd w:id="17"/>
      <w:bookmarkStart w:id="18" w:name="_Toc9845"/>
      <w:bookmarkStart w:id="19" w:name="_Toc31874"/>
      <w:bookmarkStart w:id="20" w:name="_Toc11502"/>
    </w:p>
    <w:p>
      <w:pPr>
        <w:pStyle w:val="6"/>
        <w:rPr>
          <w:color w:val="auto"/>
          <w:highlight w:val="none"/>
        </w:rPr>
      </w:pPr>
    </w:p>
    <w:p>
      <w:pPr>
        <w:widowControl/>
        <w:numPr>
          <w:ilvl w:val="0"/>
          <w:numId w:val="0"/>
        </w:numPr>
        <w:spacing w:line="360" w:lineRule="auto"/>
        <w:jc w:val="center"/>
        <w:outlineLvl w:val="0"/>
        <w:rPr>
          <w:b/>
          <w:color w:val="auto"/>
          <w:sz w:val="32"/>
          <w:highlight w:val="none"/>
        </w:rPr>
      </w:pPr>
      <w:bookmarkStart w:id="21" w:name="_Toc5219"/>
      <w:r>
        <w:rPr>
          <w:rFonts w:hint="eastAsia"/>
          <w:b/>
          <w:color w:val="auto"/>
          <w:sz w:val="32"/>
          <w:highlight w:val="none"/>
        </w:rPr>
        <w:t>一、</w:t>
      </w:r>
      <w:r>
        <w:rPr>
          <w:rFonts w:hint="eastAsia"/>
          <w:b/>
          <w:color w:val="auto"/>
          <w:sz w:val="32"/>
          <w:highlight w:val="none"/>
          <w:lang w:eastAsia="zh-CN"/>
        </w:rPr>
        <w:t>投标人</w:t>
      </w:r>
      <w:r>
        <w:rPr>
          <w:rFonts w:hint="eastAsia"/>
          <w:b/>
          <w:color w:val="auto"/>
          <w:sz w:val="32"/>
          <w:highlight w:val="none"/>
        </w:rPr>
        <w:t>资格要求</w:t>
      </w:r>
      <w:bookmarkEnd w:id="18"/>
      <w:bookmarkEnd w:id="19"/>
      <w:bookmarkEnd w:id="20"/>
      <w:bookmarkEnd w:id="21"/>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须具有独立法人资格，营业执照处于有效期内；</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本项目不接受联合体竞投。</w:t>
      </w:r>
    </w:p>
    <w:p>
      <w:pPr>
        <w:numPr>
          <w:ilvl w:val="0"/>
          <w:numId w:val="10"/>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法律、行政法规规定的其他条件。</w:t>
      </w:r>
    </w:p>
    <w:p>
      <w:pPr>
        <w:numPr>
          <w:ilvl w:val="0"/>
          <w:numId w:val="11"/>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单位负责人为同一人或者存在直接控股、管理关系的不同投标人，不得同时参加本项目竞投；</w:t>
      </w:r>
    </w:p>
    <w:p>
      <w:pPr>
        <w:numPr>
          <w:ilvl w:val="0"/>
          <w:numId w:val="11"/>
        </w:numPr>
        <w:autoSpaceDN w:val="0"/>
        <w:spacing w:line="360" w:lineRule="auto"/>
        <w:ind w:left="425" w:leftChars="0" w:hanging="5" w:firstLineChars="0"/>
        <w:jc w:val="left"/>
        <w:rPr>
          <w:rFonts w:hint="eastAsia" w:ascii="宋体" w:hAnsi="宋体"/>
          <w:color w:val="auto"/>
          <w:sz w:val="24"/>
          <w:highlight w:val="none"/>
          <w:lang w:eastAsia="zh-CN"/>
        </w:rPr>
      </w:pPr>
      <w:r>
        <w:rPr>
          <w:rFonts w:hint="eastAsia" w:ascii="宋体" w:hAnsi="宋体"/>
          <w:color w:val="auto"/>
          <w:sz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spacing w:line="460" w:lineRule="exact"/>
        <w:jc w:val="both"/>
        <w:outlineLvl w:val="1"/>
        <w:rPr>
          <w:rFonts w:hint="eastAsia"/>
          <w:b/>
          <w:color w:val="auto"/>
          <w:sz w:val="32"/>
          <w:highlight w:val="none"/>
        </w:rPr>
      </w:pPr>
      <w:bookmarkStart w:id="22" w:name="_Toc9938"/>
      <w:bookmarkStart w:id="23" w:name="_Toc22464"/>
      <w:bookmarkStart w:id="24" w:name="_Toc18342"/>
    </w:p>
    <w:p>
      <w:pPr>
        <w:spacing w:line="460" w:lineRule="exact"/>
        <w:jc w:val="center"/>
        <w:outlineLvl w:val="1"/>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pPr>
    </w:p>
    <w:p>
      <w:pPr>
        <w:pStyle w:val="6"/>
        <w:rPr>
          <w:rFonts w:hint="eastAsia"/>
          <w:b/>
          <w:color w:val="auto"/>
          <w:sz w:val="32"/>
          <w:highlight w:val="none"/>
        </w:rPr>
      </w:pPr>
    </w:p>
    <w:p>
      <w:pPr>
        <w:rPr>
          <w:rFonts w:hint="eastAsia"/>
          <w:b/>
          <w:color w:val="auto"/>
          <w:sz w:val="32"/>
          <w:highlight w:val="none"/>
        </w:rPr>
        <w:sectPr>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spacing w:line="460" w:lineRule="exact"/>
        <w:jc w:val="center"/>
        <w:outlineLvl w:val="1"/>
        <w:rPr>
          <w:b/>
          <w:color w:val="auto"/>
          <w:sz w:val="32"/>
          <w:highlight w:val="none"/>
        </w:rPr>
      </w:pPr>
      <w:bookmarkStart w:id="25" w:name="_Toc5091"/>
      <w:r>
        <w:rPr>
          <w:rFonts w:hint="eastAsia"/>
          <w:b/>
          <w:color w:val="auto"/>
          <w:sz w:val="32"/>
          <w:highlight w:val="none"/>
          <w:lang w:eastAsia="zh-CN"/>
        </w:rPr>
        <w:t>二</w:t>
      </w:r>
      <w:r>
        <w:rPr>
          <w:rFonts w:hint="eastAsia"/>
          <w:b/>
          <w:color w:val="auto"/>
          <w:sz w:val="32"/>
          <w:highlight w:val="none"/>
        </w:rPr>
        <w:t>、项目技术要求</w:t>
      </w:r>
      <w:bookmarkEnd w:id="22"/>
      <w:bookmarkEnd w:id="23"/>
      <w:bookmarkEnd w:id="24"/>
      <w:bookmarkEnd w:id="25"/>
    </w:p>
    <w:p>
      <w:pPr>
        <w:pStyle w:val="30"/>
        <w:numPr>
          <w:ilvl w:val="0"/>
          <w:numId w:val="12"/>
        </w:numPr>
        <w:spacing w:before="240" w:beforeLines="100" w:after="120" w:afterLines="50" w:line="360" w:lineRule="auto"/>
        <w:ind w:left="624" w:leftChars="0" w:hanging="624" w:firstLineChars="0"/>
        <w:rPr>
          <w:rFonts w:hint="eastAsia" w:ascii="宋体" w:hAnsi="宋体" w:eastAsia="宋体" w:cs="宋体"/>
          <w:b/>
          <w:color w:val="auto"/>
          <w:sz w:val="24"/>
          <w:highlight w:val="none"/>
        </w:rPr>
      </w:pPr>
      <w:bookmarkStart w:id="26" w:name="_Toc24252"/>
      <w:bookmarkStart w:id="27" w:name="_Toc17678"/>
      <w:bookmarkStart w:id="28" w:name="_Toc32011"/>
      <w:bookmarkStart w:id="29" w:name="_Toc334432588"/>
      <w:r>
        <w:rPr>
          <w:rFonts w:hint="eastAsia" w:ascii="宋体" w:hAnsi="宋体" w:eastAsia="宋体" w:cs="宋体"/>
          <w:b/>
          <w:color w:val="auto"/>
          <w:sz w:val="24"/>
          <w:highlight w:val="none"/>
        </w:rPr>
        <w:t>项目背景</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根据现行法律法规，招标人将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吉利上二村车辆停放管理服务</w:t>
      </w:r>
      <w:r>
        <w:rPr>
          <w:rFonts w:hint="eastAsia" w:ascii="宋体" w:hAnsi="宋体" w:eastAsia="宋体" w:cs="宋体"/>
          <w:color w:val="auto"/>
          <w:sz w:val="24"/>
          <w:szCs w:val="24"/>
          <w:highlight w:val="none"/>
          <w:lang w:val="en-US" w:eastAsia="zh-CN"/>
        </w:rPr>
        <w:t>工作委托给中标人经营管理，合同期限为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，中标人须按中标价向招标人支付费用。</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项目概况</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为解决</w:t>
      </w:r>
      <w:r>
        <w:rPr>
          <w:rFonts w:hint="eastAsia" w:ascii="宋体" w:hAnsi="宋体" w:cs="宋体"/>
          <w:color w:val="auto"/>
          <w:sz w:val="24"/>
          <w:szCs w:val="24"/>
          <w:highlight w:val="none"/>
          <w:lang w:eastAsia="zh-CN"/>
        </w:rPr>
        <w:t>吉利上二村</w:t>
      </w:r>
      <w:r>
        <w:rPr>
          <w:rFonts w:hint="eastAsia" w:ascii="宋体" w:hAnsi="宋体" w:eastAsia="宋体" w:cs="宋体"/>
          <w:color w:val="auto"/>
          <w:sz w:val="24"/>
          <w:szCs w:val="24"/>
          <w:highlight w:val="none"/>
        </w:rPr>
        <w:t>停车需求矛盾和车辆乱停乱放的问题，构建简约高效的停车治理体系，提升精细化停车管理水平，响应《佛山市人民政府办公室关于规范村（社区）停车管理的指导意见》文件精神，现</w:t>
      </w:r>
      <w:r>
        <w:rPr>
          <w:rFonts w:hint="eastAsia" w:ascii="宋体" w:hAnsi="宋体" w:eastAsia="宋体" w:cs="宋体"/>
          <w:color w:val="auto"/>
          <w:sz w:val="24"/>
          <w:szCs w:val="24"/>
          <w:highlight w:val="none"/>
          <w:lang w:eastAsia="zh-CN"/>
        </w:rPr>
        <w:t>吉利</w:t>
      </w:r>
      <w:r>
        <w:rPr>
          <w:rFonts w:hint="eastAsia" w:ascii="宋体" w:hAnsi="宋体" w:cs="宋体"/>
          <w:color w:val="auto"/>
          <w:sz w:val="24"/>
          <w:szCs w:val="24"/>
          <w:highlight w:val="none"/>
          <w:lang w:eastAsia="zh-CN"/>
        </w:rPr>
        <w:t>上二村</w:t>
      </w:r>
      <w:r>
        <w:rPr>
          <w:rFonts w:hint="eastAsia" w:ascii="宋体" w:hAnsi="宋体" w:eastAsia="宋体" w:cs="宋体"/>
          <w:color w:val="auto"/>
          <w:sz w:val="24"/>
          <w:szCs w:val="24"/>
          <w:highlight w:val="none"/>
        </w:rPr>
        <w:t>规划引入第三方停车管理公司进行投资建设及运营管理，拟定以下智能监控和停车场管理方案：</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项目内容</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范围区域：上二村闸口内的停车范围（已有划线车位约50个，需由中标方划车位线约100个及各闸口网格线、识别区、消防通道路面标识字、标识牌等）；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设施建设地点：</w:t>
      </w:r>
      <w:r>
        <w:rPr>
          <w:rFonts w:hint="eastAsia" w:ascii="宋体" w:hAnsi="宋体" w:cs="宋体"/>
          <w:b w:val="0"/>
          <w:bCs w:val="0"/>
          <w:color w:val="auto"/>
          <w:sz w:val="24"/>
          <w:szCs w:val="24"/>
          <w:highlight w:val="none"/>
          <w:lang w:eastAsia="zh-CN"/>
        </w:rPr>
        <w:t>上二村路口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上二村聚鹏美食</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上二村外工村路口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上二村容树头（靠陶瓷城方向）</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上二村出陶瓷城路口</w:t>
      </w:r>
      <w:r>
        <w:rPr>
          <w:rFonts w:hint="eastAsia" w:ascii="宋体" w:hAnsi="宋体" w:eastAsia="宋体" w:cs="宋体"/>
          <w:b w:val="0"/>
          <w:bCs w:val="0"/>
          <w:color w:val="auto"/>
          <w:sz w:val="24"/>
          <w:szCs w:val="24"/>
          <w:highlight w:val="none"/>
          <w:lang w:eastAsia="zh-CN"/>
        </w:rPr>
        <w:t>出入口等</w:t>
      </w:r>
      <w:r>
        <w:rPr>
          <w:rFonts w:hint="eastAsia" w:ascii="宋体" w:hAnsi="宋体" w:cs="宋体"/>
          <w:b w:val="0"/>
          <w:bCs w:val="0"/>
          <w:color w:val="auto"/>
          <w:sz w:val="24"/>
          <w:szCs w:val="24"/>
          <w:highlight w:val="none"/>
          <w:lang w:val="en-US" w:eastAsia="zh-CN"/>
        </w:rPr>
        <w:t>共计</w:t>
      </w:r>
      <w:r>
        <w:rPr>
          <w:rFonts w:hint="eastAsia" w:ascii="宋体" w:hAnsi="宋体" w:eastAsia="宋体" w:cs="宋体"/>
          <w:b w:val="0"/>
          <w:bCs w:val="0"/>
          <w:color w:val="auto"/>
          <w:sz w:val="24"/>
          <w:szCs w:val="24"/>
          <w:highlight w:val="none"/>
          <w:lang w:eastAsia="zh-CN"/>
        </w:rPr>
        <w:t>5个车辆进出通道点位</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详见下图</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进行智能停车系统建设和管理；</w:t>
      </w:r>
    </w:p>
    <w:p>
      <w:pPr>
        <w:pStyle w:val="30"/>
        <w:numPr>
          <w:ilvl w:val="0"/>
          <w:numId w:val="0"/>
        </w:numPr>
        <w:spacing w:line="360" w:lineRule="auto"/>
        <w:ind w:leftChars="-173" w:firstLine="720" w:firstLineChars="3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点位一：</w:t>
      </w:r>
    </w:p>
    <w:p>
      <w:pPr>
        <w:pStyle w:val="30"/>
        <w:numPr>
          <w:ilvl w:val="0"/>
          <w:numId w:val="0"/>
        </w:numPr>
        <w:spacing w:line="360" w:lineRule="auto"/>
        <w:ind w:leftChars="-173" w:firstLine="720" w:firstLineChars="3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3930650" cy="2923540"/>
            <wp:effectExtent l="0" t="0" r="6350" b="10160"/>
            <wp:docPr id="2" name="图片 2" descr="4f48aad7ebfeb60a4cdd6055319b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48aad7ebfeb60a4cdd6055319b786"/>
                    <pic:cNvPicPr>
                      <a:picLocks noChangeAspect="1"/>
                    </pic:cNvPicPr>
                  </pic:nvPicPr>
                  <pic:blipFill>
                    <a:blip r:embed="rId9"/>
                    <a:stretch>
                      <a:fillRect/>
                    </a:stretch>
                  </pic:blipFill>
                  <pic:spPr>
                    <a:xfrm>
                      <a:off x="0" y="0"/>
                      <a:ext cx="3930650" cy="2923540"/>
                    </a:xfrm>
                    <a:prstGeom prst="rect">
                      <a:avLst/>
                    </a:prstGeom>
                  </pic:spPr>
                </pic:pic>
              </a:graphicData>
            </a:graphic>
          </wp:inline>
        </w:drawing>
      </w:r>
    </w:p>
    <w:p>
      <w:p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720" w:firstLine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点位二：</w:t>
      </w:r>
    </w:p>
    <w:p>
      <w:pPr>
        <w:pStyle w:val="30"/>
        <w:numPr>
          <w:ilvl w:val="0"/>
          <w:numId w:val="0"/>
        </w:numPr>
        <w:spacing w:line="360" w:lineRule="auto"/>
        <w:ind w:leftChars="-173" w:firstLine="720" w:firstLineChars="300"/>
        <w:jc w:val="left"/>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3248660" cy="2433320"/>
            <wp:effectExtent l="0" t="0" r="2540" b="5080"/>
            <wp:docPr id="5" name="图片 5" descr="eef1f7b6274b0f18b27ebdc3b77b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f1f7b6274b0f18b27ebdc3b77b5cb"/>
                    <pic:cNvPicPr>
                      <a:picLocks noChangeAspect="1"/>
                    </pic:cNvPicPr>
                  </pic:nvPicPr>
                  <pic:blipFill>
                    <a:blip r:embed="rId10"/>
                    <a:stretch>
                      <a:fillRect/>
                    </a:stretch>
                  </pic:blipFill>
                  <pic:spPr>
                    <a:xfrm>
                      <a:off x="0" y="0"/>
                      <a:ext cx="3248660" cy="2433320"/>
                    </a:xfrm>
                    <a:prstGeom prst="rect">
                      <a:avLst/>
                    </a:prstGeom>
                  </pic:spPr>
                </pic:pic>
              </a:graphicData>
            </a:graphic>
          </wp:inline>
        </w:drawing>
      </w:r>
    </w:p>
    <w:p>
      <w:pPr>
        <w:pStyle w:val="30"/>
        <w:numPr>
          <w:ilvl w:val="0"/>
          <w:numId w:val="0"/>
        </w:numPr>
        <w:spacing w:line="360" w:lineRule="auto"/>
        <w:ind w:leftChars="-173" w:firstLine="720" w:firstLineChars="300"/>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点位三：</w:t>
      </w:r>
    </w:p>
    <w:p>
      <w:pPr>
        <w:pStyle w:val="30"/>
        <w:numPr>
          <w:ilvl w:val="0"/>
          <w:numId w:val="0"/>
        </w:numPr>
        <w:spacing w:line="360" w:lineRule="auto"/>
        <w:ind w:left="218" w:leftChars="104" w:firstLine="0" w:firstLine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303270" cy="2476500"/>
            <wp:effectExtent l="0" t="0" r="11430" b="0"/>
            <wp:docPr id="6" name="图片 6" descr="a0ab8fd633a0c3b6f90e472b575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0ab8fd633a0c3b6f90e472b575fa02"/>
                    <pic:cNvPicPr>
                      <a:picLocks noChangeAspect="1"/>
                    </pic:cNvPicPr>
                  </pic:nvPicPr>
                  <pic:blipFill>
                    <a:blip r:embed="rId11"/>
                    <a:stretch>
                      <a:fillRect/>
                    </a:stretch>
                  </pic:blipFill>
                  <pic:spPr>
                    <a:xfrm>
                      <a:off x="0" y="0"/>
                      <a:ext cx="3303270" cy="2476500"/>
                    </a:xfrm>
                    <a:prstGeom prst="rect">
                      <a:avLst/>
                    </a:prstGeom>
                  </pic:spPr>
                </pic:pic>
              </a:graphicData>
            </a:graphic>
          </wp:inline>
        </w:drawing>
      </w:r>
    </w:p>
    <w:p>
      <w:pPr>
        <w:pStyle w:val="30"/>
        <w:numPr>
          <w:ilvl w:val="0"/>
          <w:numId w:val="0"/>
        </w:numPr>
        <w:spacing w:line="360" w:lineRule="auto"/>
        <w:ind w:leftChars="-173"/>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点位四：</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161030" cy="2369820"/>
            <wp:effectExtent l="0" t="0" r="1270" b="5080"/>
            <wp:docPr id="7" name="图片 7" descr="edbac4ac2d839492574493146869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bac4ac2d839492574493146869acc"/>
                    <pic:cNvPicPr>
                      <a:picLocks noChangeAspect="1"/>
                    </pic:cNvPicPr>
                  </pic:nvPicPr>
                  <pic:blipFill>
                    <a:blip r:embed="rId12"/>
                    <a:stretch>
                      <a:fillRect/>
                    </a:stretch>
                  </pic:blipFill>
                  <pic:spPr>
                    <a:xfrm>
                      <a:off x="0" y="0"/>
                      <a:ext cx="3161030" cy="2369820"/>
                    </a:xfrm>
                    <a:prstGeom prst="rect">
                      <a:avLst/>
                    </a:prstGeom>
                  </pic:spPr>
                </pic:pic>
              </a:graphicData>
            </a:graphic>
          </wp:inline>
        </w:drawing>
      </w:r>
    </w:p>
    <w:p>
      <w:pPr>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720" w:firstLine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点位五：</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3215005" cy="2411095"/>
            <wp:effectExtent l="0" t="0" r="10795" b="1905"/>
            <wp:docPr id="8" name="图片 8" descr="c71a4c05a99db0c8b8a4ee0e69a9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71a4c05a99db0c8b8a4ee0e69a917e"/>
                    <pic:cNvPicPr>
                      <a:picLocks noChangeAspect="1"/>
                    </pic:cNvPicPr>
                  </pic:nvPicPr>
                  <pic:blipFill>
                    <a:blip r:embed="rId13"/>
                    <a:stretch>
                      <a:fillRect/>
                    </a:stretch>
                  </pic:blipFill>
                  <pic:spPr>
                    <a:xfrm>
                      <a:off x="0" y="0"/>
                      <a:ext cx="3215005" cy="2411095"/>
                    </a:xfrm>
                    <a:prstGeom prst="rect">
                      <a:avLst/>
                    </a:prstGeom>
                  </pic:spPr>
                </pic:pic>
              </a:graphicData>
            </a:graphic>
          </wp:inline>
        </w:drawing>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人员配置：需配备不少于3名人员在现场进行24小时管理。</w:t>
      </w:r>
    </w:p>
    <w:p>
      <w:pPr>
        <w:pStyle w:val="30"/>
        <w:numPr>
          <w:ilvl w:val="1"/>
          <w:numId w:val="12"/>
        </w:numPr>
        <w:spacing w:line="360" w:lineRule="auto"/>
        <w:ind w:left="415" w:leftChars="0" w:hanging="415" w:hangingChars="17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设备和工程量清单</w:t>
      </w:r>
    </w:p>
    <w:tbl>
      <w:tblPr>
        <w:tblStyle w:val="19"/>
        <w:tblW w:w="8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741"/>
        <w:gridCol w:w="636"/>
        <w:gridCol w:w="452"/>
        <w:gridCol w:w="2341"/>
        <w:gridCol w:w="3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上二村车牌识别系统设备清单（9个车道）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一、硬件设备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1、入口设备 （5个车道）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nil"/>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nil"/>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智能道闸</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直杆道闸，直流无刷，开闸时间1.5-6S可调，灰色机身、含空开、含1个单路车检器，可配1.5—4米直杆（最快开闸速度随杆长变化）</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348615</wp:posOffset>
                  </wp:positionH>
                  <wp:positionV relativeFrom="paragraph">
                    <wp:posOffset>40640</wp:posOffset>
                  </wp:positionV>
                  <wp:extent cx="1439545" cy="928370"/>
                  <wp:effectExtent l="0" t="0" r="8255" b="5080"/>
                  <wp:wrapNone/>
                  <wp:docPr id="20" name="图片_21"/>
                  <wp:cNvGraphicFramePr/>
                  <a:graphic xmlns:a="http://schemas.openxmlformats.org/drawingml/2006/main">
                    <a:graphicData uri="http://schemas.openxmlformats.org/drawingml/2006/picture">
                      <pic:pic xmlns:pic="http://schemas.openxmlformats.org/drawingml/2006/picture">
                        <pic:nvPicPr>
                          <pic:cNvPr id="20" name="图片_21"/>
                          <pic:cNvPicPr/>
                        </pic:nvPicPr>
                        <pic:blipFill>
                          <a:blip r:embed="rId14"/>
                          <a:stretch>
                            <a:fillRect/>
                          </a:stretch>
                        </pic:blipFill>
                        <pic:spPr>
                          <a:xfrm>
                            <a:off x="0" y="0"/>
                            <a:ext cx="1439545" cy="9283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地感处理器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含底座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PMS控制机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LED显示屏</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一体化机箱</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视频流触发</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CS高清手动变焦镜头</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2.7-13.5mm-F1.4</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2、出口设备  （4个车道）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智能道闸</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直杆道闸，直流无刷，开闸时间1.5-6S可调，灰色机身、含空开、含1个单路车检器，可配1.5—4米直杆（最快开闸速度随杆长变化）</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地感处理器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含底座</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PMS控制机</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LED显示屏</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一体化机箱</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视频流触发</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CS高清手动变焦镜头</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3.3-10.5mm-F1.4</w:t>
            </w: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3、双路设别配置包（2个车道配置附枪）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高清枪型网</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络摄像机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变焦</w:t>
            </w:r>
          </w:p>
        </w:tc>
        <w:tc>
          <w:tcPr>
            <w:tcW w:w="3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摄像机立柱组件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摄像机立柱配件包</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摄像机联接组件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摄像机抱箍支架组件</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补光灯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9" name="Shape5"/>
                  <wp:cNvGraphicFramePr/>
                  <a:graphic xmlns:a="http://schemas.openxmlformats.org/drawingml/2006/main">
                    <a:graphicData uri="http://schemas.openxmlformats.org/drawingml/2006/picture">
                      <pic:pic xmlns:pic="http://schemas.openxmlformats.org/drawingml/2006/picture">
                        <pic:nvPicPr>
                          <pic:cNvPr id="9" name="Shape5"/>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1" name="Shape3"/>
                  <wp:cNvGraphicFramePr/>
                  <a:graphic xmlns:a="http://schemas.openxmlformats.org/drawingml/2006/main">
                    <a:graphicData uri="http://schemas.openxmlformats.org/drawingml/2006/picture">
                      <pic:pic xmlns:pic="http://schemas.openxmlformats.org/drawingml/2006/picture">
                        <pic:nvPicPr>
                          <pic:cNvPr id="11" name="Shape3"/>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8" name="Shape4"/>
                  <wp:cNvGraphicFramePr/>
                  <a:graphic xmlns:a="http://schemas.openxmlformats.org/drawingml/2006/main">
                    <a:graphicData uri="http://schemas.openxmlformats.org/drawingml/2006/picture">
                      <pic:pic xmlns:pic="http://schemas.openxmlformats.org/drawingml/2006/picture">
                        <pic:nvPicPr>
                          <pic:cNvPr id="18" name="Shape4"/>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5" name="Shape6"/>
                  <wp:cNvGraphicFramePr/>
                  <a:graphic xmlns:a="http://schemas.openxmlformats.org/drawingml/2006/main">
                    <a:graphicData uri="http://schemas.openxmlformats.org/drawingml/2006/picture">
                      <pic:pic xmlns:pic="http://schemas.openxmlformats.org/drawingml/2006/picture">
                        <pic:nvPicPr>
                          <pic:cNvPr id="25" name="Shape6"/>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t>二、停车场管理系统、电脑、网络及相关配件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nil"/>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nil"/>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工作站电脑</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含显示器和鼠标键盘套件</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停车管理平台</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千兆交换机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16口全千兆交换机</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电源插座</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10A-250V</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防撞柱</w:t>
            </w:r>
          </w:p>
        </w:tc>
        <w:tc>
          <w:tcPr>
            <w:tcW w:w="61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5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347"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single" w:color="000000" w:sz="4" w:space="0"/>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施工材料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道闸控制</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设备供电</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2.8米一根</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超五类非屏蔽网线</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打磨片、管码、胶塞等</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安装设备</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安装新设备</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土建施工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含所有开沟、切割地感、综合布管布线等施工。</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安全岛部分工作量(含刷油漆或贴瓷砖)/以实际工程预算核算为准</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3000×500×250mm(2个），1500×500×250mm（3个）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系统调试</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按停车场套数计算/以实际工程预算核算为准</w:t>
            </w:r>
          </w:p>
        </w:tc>
        <w:tc>
          <w:tcPr>
            <w:tcW w:w="311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2" name="Shape9"/>
                  <wp:cNvGraphicFramePr/>
                  <a:graphic xmlns:a="http://schemas.openxmlformats.org/drawingml/2006/main">
                    <a:graphicData uri="http://schemas.openxmlformats.org/drawingml/2006/picture">
                      <pic:pic xmlns:pic="http://schemas.openxmlformats.org/drawingml/2006/picture">
                        <pic:nvPicPr>
                          <pic:cNvPr id="12" name="Shape9"/>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3" name="Shape8"/>
                  <wp:cNvGraphicFramePr/>
                  <a:graphic xmlns:a="http://schemas.openxmlformats.org/drawingml/2006/main">
                    <a:graphicData uri="http://schemas.openxmlformats.org/drawingml/2006/picture">
                      <pic:pic xmlns:pic="http://schemas.openxmlformats.org/drawingml/2006/picture">
                        <pic:nvPicPr>
                          <pic:cNvPr id="13" name="Shape8"/>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4" name="Shape10"/>
                  <wp:cNvGraphicFramePr/>
                  <a:graphic xmlns:a="http://schemas.openxmlformats.org/drawingml/2006/main">
                    <a:graphicData uri="http://schemas.openxmlformats.org/drawingml/2006/picture">
                      <pic:pic xmlns:pic="http://schemas.openxmlformats.org/drawingml/2006/picture">
                        <pic:nvPicPr>
                          <pic:cNvPr id="24" name="Shape10"/>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7" name="Shape8_SpCnt_1"/>
                  <wp:cNvGraphicFramePr/>
                  <a:graphic xmlns:a="http://schemas.openxmlformats.org/drawingml/2006/main">
                    <a:graphicData uri="http://schemas.openxmlformats.org/drawingml/2006/picture">
                      <pic:pic xmlns:pic="http://schemas.openxmlformats.org/drawingml/2006/picture">
                        <pic:nvPicPr>
                          <pic:cNvPr id="27" name="Shape8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6" name="Shape9_SpCnt_1"/>
                  <wp:cNvGraphicFramePr/>
                  <a:graphic xmlns:a="http://schemas.openxmlformats.org/drawingml/2006/main">
                    <a:graphicData uri="http://schemas.openxmlformats.org/drawingml/2006/picture">
                      <pic:pic xmlns:pic="http://schemas.openxmlformats.org/drawingml/2006/picture">
                        <pic:nvPicPr>
                          <pic:cNvPr id="16" name="Shape9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9" name="Shape7"/>
                  <wp:cNvGraphicFramePr/>
                  <a:graphic xmlns:a="http://schemas.openxmlformats.org/drawingml/2006/main">
                    <a:graphicData uri="http://schemas.openxmlformats.org/drawingml/2006/picture">
                      <pic:pic xmlns:pic="http://schemas.openxmlformats.org/drawingml/2006/picture">
                        <pic:nvPicPr>
                          <pic:cNvPr id="19" name="Shape7"/>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17" name="Shape7_SpCnt_1"/>
                  <wp:cNvGraphicFramePr/>
                  <a:graphic xmlns:a="http://schemas.openxmlformats.org/drawingml/2006/main">
                    <a:graphicData uri="http://schemas.openxmlformats.org/drawingml/2006/picture">
                      <pic:pic xmlns:pic="http://schemas.openxmlformats.org/drawingml/2006/picture">
                        <pic:nvPicPr>
                          <pic:cNvPr id="17" name="Shape7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 cy="9525"/>
                  <wp:effectExtent l="0" t="0" r="0" b="0"/>
                  <wp:wrapNone/>
                  <wp:docPr id="21" name="Shape10_SpCnt_1"/>
                  <wp:cNvGraphicFramePr/>
                  <a:graphic xmlns:a="http://schemas.openxmlformats.org/drawingml/2006/main">
                    <a:graphicData uri="http://schemas.openxmlformats.org/drawingml/2006/picture">
                      <pic:pic xmlns:pic="http://schemas.openxmlformats.org/drawingml/2006/picture">
                        <pic:nvPicPr>
                          <pic:cNvPr id="21" name="Shape10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lang w:val="en-US" w:eastAsia="zh-CN" w:bidi="ar"/>
              </w:rPr>
              <w:t>运输费用</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趟</w:t>
            </w:r>
          </w:p>
        </w:tc>
        <w:tc>
          <w:tcPr>
            <w:tcW w:w="23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区域不同、收费不同</w:t>
            </w:r>
          </w:p>
        </w:tc>
        <w:tc>
          <w:tcPr>
            <w:tcW w:w="311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监控系统</w:t>
            </w:r>
          </w:p>
        </w:tc>
        <w:tc>
          <w:tcPr>
            <w:tcW w:w="6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23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含硬盘、录像机、43寸显示屏</w:t>
            </w:r>
          </w:p>
        </w:tc>
        <w:tc>
          <w:tcPr>
            <w:tcW w:w="3110"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6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2" name="Shape6_SpCnt_1"/>
                  <wp:cNvGraphicFramePr/>
                  <a:graphic xmlns:a="http://schemas.openxmlformats.org/drawingml/2006/main">
                    <a:graphicData uri="http://schemas.openxmlformats.org/drawingml/2006/picture">
                      <pic:pic xmlns:pic="http://schemas.openxmlformats.org/drawingml/2006/picture">
                        <pic:nvPicPr>
                          <pic:cNvPr id="22" name="Shape6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10" name="Shape5_SpCnt_1"/>
                  <wp:cNvGraphicFramePr/>
                  <a:graphic xmlns:a="http://schemas.openxmlformats.org/drawingml/2006/main">
                    <a:graphicData uri="http://schemas.openxmlformats.org/drawingml/2006/picture">
                      <pic:pic xmlns:pic="http://schemas.openxmlformats.org/drawingml/2006/picture">
                        <pic:nvPicPr>
                          <pic:cNvPr id="10" name="Shape5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6" name="Shape4_SpCnt_1"/>
                  <wp:cNvGraphicFramePr/>
                  <a:graphic xmlns:a="http://schemas.openxmlformats.org/drawingml/2006/main">
                    <a:graphicData uri="http://schemas.openxmlformats.org/drawingml/2006/picture">
                      <pic:pic xmlns:pic="http://schemas.openxmlformats.org/drawingml/2006/picture">
                        <pic:nvPicPr>
                          <pic:cNvPr id="26" name="Shape4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0</wp:posOffset>
                  </wp:positionV>
                  <wp:extent cx="152400" cy="9525"/>
                  <wp:effectExtent l="0" t="0" r="0" b="0"/>
                  <wp:wrapNone/>
                  <wp:docPr id="23" name="Shape3_SpCnt_1"/>
                  <wp:cNvGraphicFramePr/>
                  <a:graphic xmlns:a="http://schemas.openxmlformats.org/drawingml/2006/main">
                    <a:graphicData uri="http://schemas.openxmlformats.org/drawingml/2006/picture">
                      <pic:pic xmlns:pic="http://schemas.openxmlformats.org/drawingml/2006/picture">
                        <pic:nvPicPr>
                          <pic:cNvPr id="23" name="Shape3_SpCnt_1"/>
                          <pic:cNvPicPr/>
                        </pic:nvPicPr>
                        <pic:blipFill>
                          <a:blip r:embed="rId15"/>
                          <a:stretch>
                            <a:fillRect/>
                          </a:stretch>
                        </pic:blipFill>
                        <pic:spPr>
                          <a:xfrm>
                            <a:off x="0" y="0"/>
                            <a:ext cx="152400" cy="952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highlight w:val="none"/>
                <w:u w:val="none"/>
                <w:lang w:val="en-US" w:eastAsia="zh-CN" w:bidi="ar"/>
              </w:rPr>
              <w:t>四、车位划线、标识标牌、设备维保费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tcBorders>
              <w:top w:val="single" w:color="000000" w:sz="8" w:space="0"/>
              <w:left w:val="single" w:color="000000" w:sz="8"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54"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10"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52"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347" w:type="dxa"/>
            <w:tcBorders>
              <w:top w:val="single" w:color="000000" w:sz="8"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配置情况</w:t>
            </w:r>
          </w:p>
        </w:tc>
        <w:tc>
          <w:tcPr>
            <w:tcW w:w="3110" w:type="dxa"/>
            <w:tcBorders>
              <w:top w:val="single" w:color="000000" w:sz="8" w:space="0"/>
              <w:left w:val="single" w:color="000000" w:sz="4" w:space="0"/>
              <w:bottom w:val="nil"/>
              <w:right w:val="single" w:color="000000" w:sz="8"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车位划线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热熔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网格线、识别区、箭头</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标识标牌</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收费标准牌、限速牌、二维码</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含3米立柱和抱箍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每年设备维保费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w:t>
            </w:r>
          </w:p>
        </w:tc>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含配件含人工</w:t>
            </w:r>
          </w:p>
        </w:tc>
        <w:tc>
          <w:tcPr>
            <w:tcW w:w="3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r>
    </w:tbl>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1）智能停车系统设备采购、安装及维保费用总预算约为270000元内(大写:人民币贰拾柒万元整），其中智能停车系统设备采购、安装及车位、闸口网格线、识别区、消防通道路面标识字、标识牌画线费用约为205000元，5年的维保费用约为65000元，以中标人实际支出费用为准），智能停车系统设备采购、安装、画线及维保等一切费用已包含在中标价内由中标人负责，招标人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tabs>
          <w:tab w:val="left" w:pos="220"/>
        </w:tabs>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或同等质量以上的品牌，且必须提供厂家授权书，质保期5年。中标人拟投入的设备清单（含品牌、型号等）须招标人确认后才能实施安装，否则视为中标人违约。</w:t>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停</w:t>
      </w:r>
      <w:r>
        <w:rPr>
          <w:rFonts w:hint="eastAsia" w:ascii="宋体" w:hAnsi="宋体" w:eastAsia="宋体" w:cs="宋体"/>
          <w:b/>
          <w:bCs/>
          <w:color w:val="auto"/>
          <w:sz w:val="24"/>
          <w:szCs w:val="24"/>
          <w:highlight w:val="none"/>
          <w:lang w:val="en-US" w:eastAsia="zh-CN"/>
        </w:rPr>
        <w:t>泊位设置</w:t>
      </w:r>
    </w:p>
    <w:p>
      <w:pPr>
        <w:pStyle w:val="30"/>
        <w:numPr>
          <w:ilvl w:val="0"/>
          <w:numId w:val="0"/>
        </w:numPr>
        <w:tabs>
          <w:tab w:val="left" w:pos="220"/>
        </w:tabs>
        <w:spacing w:line="360" w:lineRule="auto"/>
        <w:ind w:left="0" w:leftChars="0" w:firstLine="420" w:firstLineChars="17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上二村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个，需由</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划车位线约100个及各闸口网格线、识别区、消防通道路面标识字、标识牌等</w:t>
      </w:r>
      <w:r>
        <w:rPr>
          <w:rFonts w:hint="eastAsia" w:ascii="宋体" w:hAnsi="宋体" w:cs="宋体"/>
          <w:b w:val="0"/>
          <w:bCs w:val="0"/>
          <w:color w:val="auto"/>
          <w:sz w:val="24"/>
          <w:szCs w:val="24"/>
          <w:highlight w:val="none"/>
          <w:lang w:val="en-US" w:eastAsia="zh-CN"/>
        </w:rPr>
        <w:t>，具体停泊车位的设置位置须经招标人确认才能划线，</w:t>
      </w:r>
      <w:r>
        <w:rPr>
          <w:rFonts w:hint="eastAsia" w:ascii="宋体" w:hAnsi="宋体" w:eastAsia="宋体" w:cs="宋体"/>
          <w:b w:val="0"/>
          <w:bCs w:val="0"/>
          <w:color w:val="auto"/>
          <w:sz w:val="24"/>
          <w:szCs w:val="24"/>
          <w:highlight w:val="none"/>
          <w:lang w:val="en-US" w:eastAsia="zh-CN"/>
        </w:rPr>
        <w:t>如需增加或减少车位，需提交可行性方案报招标人审批后方可进行操作。</w:t>
      </w:r>
    </w:p>
    <w:p>
      <w:pPr>
        <w:pStyle w:val="30"/>
        <w:numPr>
          <w:ilvl w:val="0"/>
          <w:numId w:val="0"/>
        </w:numPr>
        <w:tabs>
          <w:tab w:val="left" w:pos="220"/>
        </w:tabs>
        <w:spacing w:line="360" w:lineRule="auto"/>
        <w:ind w:left="0" w:leftChars="0" w:firstLine="420" w:firstLineChars="175"/>
        <w:rPr>
          <w:rFonts w:hint="eastAsia" w:ascii="宋体" w:hAnsi="宋体" w:eastAsia="宋体" w:cs="宋体"/>
          <w:b w:val="0"/>
          <w:bCs w:val="0"/>
          <w:color w:val="auto"/>
          <w:sz w:val="24"/>
          <w:szCs w:val="24"/>
          <w:highlight w:val="none"/>
          <w:lang w:val="en-US" w:eastAsia="zh-CN"/>
        </w:rPr>
      </w:pP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运营管理</w:t>
      </w:r>
    </w:p>
    <w:p>
      <w:pPr>
        <w:pStyle w:val="6"/>
        <w:ind w:left="415" w:leftChars="0" w:hanging="415" w:hangingChars="173"/>
        <w:rPr>
          <w:rFonts w:hint="eastAsia" w:ascii="宋体" w:hAnsi="宋体" w:eastAsia="宋体" w:cs="宋体"/>
          <w:color w:val="auto"/>
          <w:sz w:val="24"/>
          <w:szCs w:val="24"/>
          <w:highlight w:val="none"/>
        </w:rPr>
      </w:pPr>
    </w:p>
    <w:p>
      <w:pPr>
        <w:pStyle w:val="30"/>
        <w:numPr>
          <w:ilvl w:val="1"/>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停车收费方案</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，中标人同</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w:t>
      </w:r>
      <w:r>
        <w:rPr>
          <w:rFonts w:hint="eastAsia" w:ascii="宋体" w:hAnsi="宋体" w:eastAsia="宋体" w:cs="宋体"/>
          <w:b w:val="0"/>
          <w:bCs w:val="0"/>
          <w:color w:val="auto"/>
          <w:sz w:val="24"/>
          <w:szCs w:val="24"/>
          <w:highlight w:val="none"/>
          <w:lang w:val="en-US" w:eastAsia="zh-CN"/>
        </w:rPr>
        <w:t>每两年为一个周期，每个周期内的年度管理费在上一个周期的基础上按8%固定递增</w:t>
      </w:r>
      <w:r>
        <w:rPr>
          <w:rFonts w:hint="eastAsia" w:ascii="宋体" w:hAnsi="宋体" w:cs="宋体"/>
          <w:color w:val="auto"/>
          <w:sz w:val="24"/>
          <w:highlight w:val="none"/>
          <w:lang w:val="en-US" w:eastAsia="zh-CN"/>
        </w:rPr>
        <w:t>（比如首年15万，第1-2年为第一个周期（第一个周期内的年度管理费均为15万），第3-4年为第二个周期，第二个周期（第3-4年）内的年度管理费是15万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（100%+8%）=16.2万，第5年为第三个周期，第三个周期在第二个周期的基础上，增加8%，即16.2</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（100%+8%）=17.496万）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开具有效的租金收据给中标人。停车费收取对象为临时停放车辆和外地月租车，按</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统一登记后送中标人录入车牌免费。与</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招标人</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2"/>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村民车辆停放，</w:t>
      </w:r>
      <w:r>
        <w:rPr>
          <w:rFonts w:hint="eastAsia" w:ascii="宋体" w:hAnsi="宋体" w:cs="宋体"/>
          <w:b w:val="0"/>
          <w:bCs w:val="0"/>
          <w:color w:val="auto"/>
          <w:sz w:val="24"/>
          <w:szCs w:val="24"/>
          <w:highlight w:val="none"/>
          <w:lang w:val="en-US" w:eastAsia="zh-CN"/>
        </w:rPr>
        <w:t>其次为</w:t>
      </w:r>
      <w:r>
        <w:rPr>
          <w:rFonts w:hint="eastAsia" w:ascii="宋体" w:hAnsi="宋体" w:eastAsia="宋体" w:cs="宋体"/>
          <w:b w:val="0"/>
          <w:bCs w:val="0"/>
          <w:color w:val="auto"/>
          <w:sz w:val="24"/>
          <w:szCs w:val="24"/>
          <w:highlight w:val="none"/>
          <w:lang w:val="en-US" w:eastAsia="zh-CN"/>
        </w:rPr>
        <w:t>村集体物业租户车辆，最后再安排其他外来车辆停放。村集体物业租户车辆、其他外来车辆均为临停车辆，中标人收取外来车辆停放场地占用费</w:t>
      </w:r>
      <w:r>
        <w:rPr>
          <w:rFonts w:hint="eastAsia" w:ascii="宋体" w:hAnsi="宋体" w:cs="宋体"/>
          <w:b w:val="0"/>
          <w:bCs w:val="0"/>
          <w:color w:val="auto"/>
          <w:sz w:val="24"/>
          <w:szCs w:val="24"/>
          <w:highlight w:val="none"/>
          <w:lang w:val="en-US" w:eastAsia="zh-CN"/>
        </w:rPr>
        <w:t>。</w:t>
      </w:r>
    </w:p>
    <w:p>
      <w:pPr>
        <w:pStyle w:val="30"/>
        <w:numPr>
          <w:ilvl w:val="2"/>
          <w:numId w:val="12"/>
        </w:numPr>
        <w:spacing w:line="360" w:lineRule="auto"/>
        <w:ind w:left="415" w:hanging="417" w:hangingChars="173"/>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临时停车收费标准：</w:t>
      </w:r>
      <w:r>
        <w:rPr>
          <w:rFonts w:hint="eastAsia" w:ascii="宋体" w:hAnsi="宋体" w:eastAsia="宋体" w:cs="宋体"/>
          <w:color w:val="auto"/>
          <w:kern w:val="0"/>
          <w:sz w:val="24"/>
          <w:szCs w:val="24"/>
          <w:highlight w:val="none"/>
          <w:lang w:val="en-US" w:eastAsia="zh-CN"/>
        </w:rPr>
        <w:t> </w:t>
      </w:r>
    </w:p>
    <w:p>
      <w:pPr>
        <w:pStyle w:val="30"/>
        <w:numPr>
          <w:ilvl w:val="-1"/>
          <w:numId w:val="0"/>
        </w:numPr>
        <w:spacing w:line="360" w:lineRule="auto"/>
        <w:ind w:firstLine="420" w:firstLineChars="17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小车类：3小时内免费，超3小时后按5元计算，第4小时后每小时增3元（不足1小时的按1小时计算）,每天24小时内最高限价25元，停放超过24小时以上按上述标准累加收费；车辆缴费后，需在15分钟内离场，超时则重新计时收费。（免费停车时长如有调整，以</w:t>
      </w:r>
      <w:r>
        <w:rPr>
          <w:rFonts w:hint="eastAsia" w:ascii="宋体" w:hAnsi="宋体" w:cs="宋体"/>
          <w:color w:val="auto"/>
          <w:kern w:val="2"/>
          <w:sz w:val="24"/>
          <w:szCs w:val="24"/>
          <w:highlight w:val="none"/>
          <w:lang w:val="en-US" w:eastAsia="zh-CN"/>
        </w:rPr>
        <w:t>招标人</w:t>
      </w:r>
      <w:r>
        <w:rPr>
          <w:rFonts w:hint="eastAsia" w:ascii="宋体" w:hAnsi="宋体" w:eastAsia="宋体" w:cs="宋体"/>
          <w:color w:val="auto"/>
          <w:kern w:val="2"/>
          <w:sz w:val="24"/>
          <w:szCs w:val="24"/>
          <w:highlight w:val="none"/>
          <w:lang w:val="en-US" w:eastAsia="zh-CN"/>
        </w:rPr>
        <w:t>书面通知为准）</w:t>
      </w:r>
    </w:p>
    <w:p>
      <w:pPr>
        <w:pStyle w:val="30"/>
        <w:numPr>
          <w:ilvl w:val="-1"/>
          <w:numId w:val="0"/>
        </w:numPr>
        <w:spacing w:line="360" w:lineRule="auto"/>
        <w:ind w:firstLine="420" w:firstLineChars="17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（2）每辆车每天累计免费停车时长为3小时。</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7" w:leftChars="0" w:hanging="417"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月租类收费标准：</w:t>
      </w:r>
      <w:r>
        <w:rPr>
          <w:rFonts w:hint="eastAsia" w:ascii="宋体" w:hAnsi="宋体" w:eastAsia="宋体" w:cs="宋体"/>
          <w:color w:val="auto"/>
          <w:kern w:val="0"/>
          <w:sz w:val="24"/>
          <w:szCs w:val="24"/>
          <w:highlight w:val="none"/>
          <w:lang w:val="en-US" w:eastAsia="zh-CN"/>
        </w:rPr>
        <w:t>符合以下条件的车辆可办理月卡（按季度收取），月租办理最多可办理一年，村内外来车辆可按以下方案享有以下优惠</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小车：最高不超过170元/月/辆（一次性缴纳的按1年优惠2个月）。车位优先满足吉利上二村村民需求。</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重要节假日免收停车费，如春节（年二十八凌晨至正月初九凌晨）、清明节等节日免收费。</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内重要传统节日及村民生日、婚庆、弥月、丧事等亲友车辆需要在村内停放的，可向上二村队委报备，报备后车辆给予免费，并由车场管理处统一安排在临时停车位内停放。并由乙方提供二维码给办事村民专用，时间由村民自定，二维码有效期一般不超过一个星期，超期后二维码自动作废。</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户籍村民或非本村户籍嫁入本村的村民驾驶非本人名下的车辆时，需由本人及村队委和中标人三方核实后，可报备登记视为临时户籍车辆，若发现该车辆不是自用，而是为他人谎报的，中标人把该车辆列入黑名单，禁止该车进入本村。</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村民建房需要堆放建筑材料，按建房户数（一户）可免费提供3至4个车位，如超过5个车位，则当外来车临停收费。</w:t>
      </w:r>
    </w:p>
    <w:p>
      <w:pPr>
        <w:pStyle w:val="30"/>
        <w:keepNext w:val="0"/>
        <w:keepLines w:val="0"/>
        <w:pageBreakBefore w:val="0"/>
        <w:widowControl/>
        <w:numPr>
          <w:ilvl w:val="2"/>
          <w:numId w:val="12"/>
        </w:numPr>
        <w:kinsoku/>
        <w:wordWrap/>
        <w:overflowPunct/>
        <w:topLinePunct w:val="0"/>
        <w:autoSpaceDE/>
        <w:autoSpaceDN/>
        <w:bidi w:val="0"/>
        <w:adjustRightInd/>
        <w:snapToGrid/>
        <w:spacing w:line="360" w:lineRule="auto"/>
        <w:ind w:left="415" w:hanging="415" w:hangingChars="17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医院、公安、消防、供电、供水、政府部门等进村办事车辆及吉利村委会和吉利市政等车辆全天免费停车。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所有，中标人保证设备完好并无条件移交给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中标人办理临时停车收费业务，每次办理的停车收费期限不能超过12个月，且收费期限不能超过本合同的服务期，若合同服务期满后，中标人还有多收取的停车费用，多出部分中标人必须退还给付款人后，</w:t>
      </w:r>
      <w:r>
        <w:rPr>
          <w:rFonts w:hint="eastAsia" w:ascii="宋体" w:hAnsi="宋体" w:cs="宋体"/>
          <w:color w:val="auto"/>
          <w:sz w:val="24"/>
          <w:szCs w:val="24"/>
          <w:highlight w:val="none"/>
          <w:lang w:val="en-US" w:eastAsia="zh-CN"/>
        </w:rPr>
        <w:t>招标人将本项目的履约保证金</w:t>
      </w:r>
      <w:r>
        <w:rPr>
          <w:rFonts w:hint="eastAsia" w:ascii="宋体" w:hAnsi="宋体" w:eastAsia="宋体" w:cs="宋体"/>
          <w:color w:val="auto"/>
          <w:sz w:val="24"/>
          <w:szCs w:val="24"/>
          <w:highlight w:val="none"/>
          <w:lang w:val="en-US" w:eastAsia="zh-CN"/>
        </w:rPr>
        <w:t>退给中标人。</w:t>
      </w:r>
    </w:p>
    <w:p>
      <w:pPr>
        <w:pStyle w:val="30"/>
        <w:numPr>
          <w:ilvl w:val="1"/>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停车管理要求</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中标人自行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通知执法相关部门协调进行处理。</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2"/>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次可以告知和劝解，如果3次以上违规停车，取消车主对应的停车优惠。</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0"/>
        <w:numPr>
          <w:ilvl w:val="0"/>
          <w:numId w:val="12"/>
        </w:numPr>
        <w:spacing w:line="360" w:lineRule="auto"/>
        <w:ind w:left="417" w:leftChars="0" w:hanging="417"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停车应急预案</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1"/>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1"/>
          <w:numId w:val="12"/>
        </w:numPr>
        <w:spacing w:line="360" w:lineRule="auto"/>
        <w:ind w:left="415" w:leftChars="0" w:hanging="415" w:hangingChars="1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其他约定：①中标人必须在</w:t>
      </w:r>
      <w:r>
        <w:rPr>
          <w:rFonts w:hint="eastAsia" w:ascii="宋体" w:hAnsi="宋体" w:cs="宋体"/>
          <w:b/>
          <w:bCs/>
          <w:color w:val="auto"/>
          <w:sz w:val="24"/>
          <w:szCs w:val="24"/>
          <w:highlight w:val="none"/>
          <w:lang w:val="en-US" w:eastAsia="zh-CN"/>
        </w:rPr>
        <w:t>成交通知书</w:t>
      </w:r>
      <w:r>
        <w:rPr>
          <w:rFonts w:hint="eastAsia" w:ascii="宋体" w:hAnsi="宋体" w:eastAsia="宋体" w:cs="宋体"/>
          <w:b/>
          <w:bCs/>
          <w:color w:val="auto"/>
          <w:sz w:val="24"/>
          <w:szCs w:val="24"/>
          <w:highlight w:val="none"/>
          <w:lang w:val="en-US" w:eastAsia="zh-CN"/>
        </w:rPr>
        <w:t>发出之日起15个工作日内完成本停车场在佛山市停车场管理系统登记备案。②另外</w:t>
      </w:r>
      <w:r>
        <w:rPr>
          <w:rFonts w:hint="eastAsia"/>
          <w:color w:val="auto"/>
          <w:highlight w:val="none"/>
          <w:lang w:eastAsia="zh-CN"/>
        </w:rPr>
        <w:t>，</w:t>
      </w:r>
      <w:r>
        <w:rPr>
          <w:rFonts w:hint="eastAsia" w:ascii="宋体" w:hAnsi="宋体" w:cs="宋体"/>
          <w:b/>
          <w:bCs/>
          <w:color w:val="auto"/>
          <w:sz w:val="24"/>
          <w:highlight w:val="none"/>
          <w:lang w:val="en-US" w:eastAsia="zh-CN"/>
        </w:rPr>
        <w:t>在合同期内</w:t>
      </w:r>
      <w:r>
        <w:rPr>
          <w:rFonts w:hint="eastAsia" w:ascii="宋体" w:hAnsi="宋体" w:eastAsia="宋体" w:cs="宋体"/>
          <w:b/>
          <w:bCs/>
          <w:color w:val="auto"/>
          <w:sz w:val="24"/>
          <w:szCs w:val="24"/>
          <w:highlight w:val="none"/>
          <w:lang w:val="en-US" w:eastAsia="zh-CN"/>
        </w:rPr>
        <w:t>中标人需负责上二村内街灯的日常更换及维保工作。</w:t>
      </w:r>
      <w:r>
        <w:rPr>
          <w:rFonts w:hint="eastAsia" w:ascii="宋体" w:hAnsi="宋体" w:cs="宋体"/>
          <w:b/>
          <w:bCs/>
          <w:color w:val="auto"/>
          <w:sz w:val="24"/>
          <w:highlight w:val="none"/>
          <w:lang w:val="en-US" w:eastAsia="zh-CN"/>
        </w:rPr>
        <w:t>③中标人须开放停车管理系统的权限给招标人，以便招标人行使监督权利。</w:t>
      </w:r>
    </w:p>
    <w:p>
      <w:pPr>
        <w:pStyle w:val="30"/>
        <w:numPr>
          <w:ilvl w:val="0"/>
          <w:numId w:val="12"/>
        </w:numPr>
        <w:spacing w:line="360" w:lineRule="auto"/>
        <w:ind w:left="417" w:leftChars="0" w:hanging="417" w:hangingChars="17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按与招标人约定收费标准对停放车辆进行收费及开具有效发票。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若合同签订之日起半年内出现一次考核得分低于80分的为不达标，招标人可以单方解除本合同，并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招</w:t>
      </w:r>
      <w:r>
        <w:rPr>
          <w:rFonts w:hint="eastAsia" w:ascii="宋体" w:hAnsi="宋体" w:eastAsia="宋体" w:cs="宋体"/>
          <w:color w:val="auto"/>
          <w:sz w:val="24"/>
          <w:szCs w:val="24"/>
          <w:highlight w:val="none"/>
        </w:rPr>
        <w:t>标人可以单方解除本合同，并</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和不退回已交的服务费，且中标人投入建设安装的一切设施设备无偿归招标人所有。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有权监督中标人依据双方约定事项进行日常管理：若因服务问题工作人员工作不积极而导致管理不善致道路因乱停放的现象多，产生堵塞而被村民投诉或拍照影相不符合停车要求的，且经由村干部核实为有效投诉的，将由招标人对中标人进行金额惩罚，惩罚金额200元或以上最终解释权归招标人。</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可对中标人进行约谈，要求加强巡查整改，如因中标人工作人员态度不好导致处事不公而引发纠纷案或投诉案多的，招标人有权要求中标人在限期内整改并更换人员，如中标人限期拒不整改的，视为中标人根本违约，招标人有权单方面解除合同，</w:t>
      </w:r>
      <w:r>
        <w:rPr>
          <w:rFonts w:hint="eastAsia" w:ascii="宋体" w:hAnsi="宋体" w:cs="宋体"/>
          <w:color w:val="auto"/>
          <w:sz w:val="24"/>
          <w:szCs w:val="24"/>
          <w:highlight w:val="none"/>
          <w:lang w:eastAsia="zh-CN"/>
        </w:rPr>
        <w:t>不予退还中标人履约保证金</w:t>
      </w:r>
      <w:r>
        <w:rPr>
          <w:rFonts w:hint="eastAsia" w:ascii="宋体" w:hAnsi="宋体" w:eastAsia="宋体" w:cs="宋体"/>
          <w:color w:val="auto"/>
          <w:sz w:val="24"/>
          <w:szCs w:val="24"/>
          <w:highlight w:val="none"/>
        </w:rPr>
        <w:t>和不退回已交的服务费，中标人投入建设安装的一切设施设备无偿归招标人所有。</w:t>
      </w:r>
    </w:p>
    <w:p>
      <w:pPr>
        <w:pStyle w:val="30"/>
        <w:numPr>
          <w:ilvl w:val="1"/>
          <w:numId w:val="12"/>
        </w:numPr>
        <w:spacing w:line="360" w:lineRule="auto"/>
        <w:ind w:left="415" w:leftChars="0" w:hanging="415" w:hangingChars="17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招标人有权监督中标人依据双方约定事项进行日常管理</w:t>
      </w:r>
      <w:r>
        <w:rPr>
          <w:rStyle w:val="37"/>
          <w:rFonts w:hint="eastAsia" w:ascii="宋体" w:hAnsi="宋体" w:eastAsia="宋体" w:cs="宋体"/>
          <w:b w:val="0"/>
          <w:color w:val="auto"/>
          <w:sz w:val="24"/>
          <w:szCs w:val="24"/>
          <w:highlight w:val="none"/>
        </w:rPr>
        <w:t>。</w:t>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p>
    <w:p>
      <w:pPr>
        <w:spacing w:line="240" w:lineRule="auto"/>
        <w:ind w:left="0" w:leftChars="0" w:firstLine="0" w:firstLineChars="0"/>
        <w:jc w:val="left"/>
        <w:outlineLvl w:val="9"/>
        <w:rPr>
          <w:rFonts w:hint="eastAsia" w:ascii="宋体" w:hAnsi="宋体" w:eastAsia="宋体" w:cs="宋体"/>
          <w:b/>
          <w:color w:val="auto"/>
          <w:sz w:val="24"/>
          <w:szCs w:val="24"/>
          <w:highlight w:val="none"/>
          <w:lang w:eastAsia="zh-CN"/>
        </w:rPr>
      </w:pPr>
      <w:bookmarkStart w:id="30" w:name="_Toc10156"/>
      <w:r>
        <w:rPr>
          <w:rFonts w:hint="eastAsia" w:ascii="宋体" w:hAnsi="宋体" w:eastAsia="宋体" w:cs="宋体"/>
          <w:b/>
          <w:color w:val="auto"/>
          <w:sz w:val="24"/>
          <w:szCs w:val="24"/>
          <w:highlight w:val="none"/>
          <w:lang w:eastAsia="zh-CN"/>
        </w:rPr>
        <w:br w:type="page"/>
      </w:r>
    </w:p>
    <w:p>
      <w:pPr>
        <w:spacing w:line="460" w:lineRule="exact"/>
        <w:ind w:left="417" w:leftChars="0" w:hanging="417" w:hangingChars="173"/>
        <w:jc w:val="center"/>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三、项目商务要求</w:t>
      </w:r>
      <w:bookmarkEnd w:id="30"/>
    </w:p>
    <w:p>
      <w:pPr>
        <w:pStyle w:val="6"/>
        <w:ind w:left="415" w:leftChars="0" w:hanging="415" w:hangingChars="173"/>
        <w:rPr>
          <w:rFonts w:hint="eastAsia" w:ascii="宋体" w:hAnsi="宋体" w:eastAsia="宋体" w:cs="宋体"/>
          <w:color w:val="auto"/>
          <w:sz w:val="24"/>
          <w:szCs w:val="24"/>
          <w:highlight w:val="none"/>
        </w:rPr>
      </w:pPr>
    </w:p>
    <w:p>
      <w:pPr>
        <w:pStyle w:val="30"/>
        <w:numPr>
          <w:ilvl w:val="0"/>
          <w:numId w:val="13"/>
        </w:numPr>
        <w:spacing w:line="360" w:lineRule="auto"/>
        <w:ind w:left="624" w:leftChars="0" w:hanging="624"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★基本商务要求一览表</w:t>
      </w:r>
    </w:p>
    <w:tbl>
      <w:tblPr>
        <w:tblStyle w:val="19"/>
        <w:tblW w:w="9318" w:type="dxa"/>
        <w:tblInd w:w="-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5"/>
        <w:gridCol w:w="2050"/>
        <w:gridCol w:w="6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0" w:type="dxa"/>
            <w:tcBorders>
              <w:tl2br w:val="nil"/>
              <w:tr2bl w:val="nil"/>
            </w:tcBorders>
            <w:noWrap w:val="0"/>
            <w:vAlign w:val="center"/>
          </w:tcPr>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最低限价（由中标</w:t>
            </w:r>
          </w:p>
          <w:p>
            <w:pPr>
              <w:ind w:left="415" w:leftChars="0" w:hanging="415" w:hangingChars="17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支付）</w:t>
            </w:r>
          </w:p>
        </w:tc>
        <w:tc>
          <w:tcPr>
            <w:tcW w:w="6523"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100,000.00元/年</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2"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523" w:type="dxa"/>
            <w:tcBorders>
              <w:tl2br w:val="nil"/>
              <w:tr2bl w:val="nil"/>
            </w:tcBorders>
            <w:noWrap w:val="0"/>
            <w:vAlign w:val="center"/>
          </w:tcPr>
          <w:p>
            <w:pPr>
              <w:numPr>
                <w:ilvl w:val="0"/>
                <w:numId w:val="14"/>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报价不得低于本项目的最低限价，否则为无效报价。</w:t>
            </w:r>
          </w:p>
          <w:p>
            <w:pPr>
              <w:numPr>
                <w:ilvl w:val="0"/>
                <w:numId w:val="14"/>
              </w:numPr>
              <w:ind w:left="425" w:leftChars="0" w:hanging="425"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固定总价包干。投标报价为中标方支付给招标方的车辆管理服务维护费用。包括但不限于以下各项的支出费用由中标方另外自行承担：（1）工人工资、福利：人工费、劳工意外保险、工伤、医疗、失业、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8）设别设施所产生的一切电费由中标方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65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5年，具体起止日期以合同约定为准。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46"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中标人按照本合同制定的车辆管理费收费标准，对进入</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辖区内停放的外来车辆收取车辆管理维护</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中标人在合同期内按季度向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eastAsia="zh-CN"/>
              </w:rPr>
              <w:t>车辆停放管理服务维护费</w:t>
            </w:r>
            <w:r>
              <w:rPr>
                <w:rFonts w:hint="eastAsia" w:ascii="宋体" w:hAnsi="宋体" w:eastAsia="宋体" w:cs="宋体"/>
                <w:color w:val="auto"/>
                <w:sz w:val="24"/>
                <w:szCs w:val="24"/>
                <w:highlight w:val="none"/>
              </w:rPr>
              <w:t>：</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按季度支付管理车辆维护服务费，中标人须在合同签订之日起5天内向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第一季度</w:t>
            </w:r>
            <w:r>
              <w:rPr>
                <w:rFonts w:hint="eastAsia" w:ascii="宋体" w:hAnsi="宋体" w:eastAsia="宋体" w:cs="宋体"/>
                <w:color w:val="auto"/>
                <w:sz w:val="24"/>
                <w:szCs w:val="24"/>
                <w:highlight w:val="none"/>
              </w:rPr>
              <w:t>管理车辆维护服务费</w:t>
            </w:r>
            <w:r>
              <w:rPr>
                <w:rFonts w:hint="eastAsia" w:ascii="宋体" w:hAnsi="宋体" w:cs="宋体"/>
                <w:color w:val="auto"/>
                <w:sz w:val="24"/>
                <w:szCs w:val="24"/>
                <w:highlight w:val="none"/>
                <w:lang w:eastAsia="zh-CN"/>
              </w:rPr>
              <w:t>。</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按先支付后管理使用原则，逾期15日未付清的视作根本性违约，</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有权单方解除本合同，并</w:t>
            </w:r>
            <w:r>
              <w:rPr>
                <w:rFonts w:hint="eastAsia" w:ascii="宋体" w:hAnsi="宋体" w:cs="宋体"/>
                <w:color w:val="auto"/>
                <w:sz w:val="24"/>
                <w:szCs w:val="24"/>
                <w:highlight w:val="none"/>
                <w:lang w:eastAsia="zh-CN"/>
              </w:rPr>
              <w:t>不予退还中标人履约全部履约</w:t>
            </w:r>
            <w:r>
              <w:rPr>
                <w:rFonts w:hint="eastAsia" w:ascii="宋体" w:hAnsi="宋体" w:eastAsia="宋体" w:cs="宋体"/>
                <w:color w:val="auto"/>
                <w:sz w:val="24"/>
                <w:szCs w:val="24"/>
                <w:highlight w:val="none"/>
              </w:rPr>
              <w:t>保证金，中标人投入建设安装的一切设施设备无偿归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在收取服务费时只提供</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开具的收据，如需要开具发票，所产生的税费由中标人承担。</w:t>
            </w:r>
          </w:p>
          <w:p>
            <w:pPr>
              <w:numPr>
                <w:ilvl w:val="0"/>
                <w:numId w:val="15"/>
              </w:numPr>
              <w:ind w:left="415" w:leftChars="0" w:hanging="415" w:hangingChars="17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如租户需要开具发票以及所产生的税费也由中标人承担。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投标有效期延至合同验收之日。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6523"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lang w:val="en-US" w:eastAsia="zh-CN"/>
              </w:rPr>
              <w:t>3万元</w:t>
            </w:r>
            <w:r>
              <w:rPr>
                <w:rFonts w:hint="eastAsia" w:ascii="宋体" w:hAnsi="宋体" w:eastAsia="宋体" w:cs="宋体"/>
                <w:color w:val="auto"/>
                <w:sz w:val="24"/>
                <w:szCs w:val="24"/>
                <w:highlight w:val="none"/>
              </w:rPr>
              <w:t>。中标人在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发出3个工作日内，应以银行转账的方式向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交纳履约保证金。如中标人无违约行为的，服务期结束后30日内，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将履约保证金全额无息退还给中标人。中标人不按要求提交履约保证金的，</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有权解除合同，取消中标人的成交资格，</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745"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50" w:type="dxa"/>
            <w:tcBorders>
              <w:tl2br w:val="nil"/>
              <w:tr2bl w:val="nil"/>
            </w:tcBorders>
            <w:noWrap w:val="0"/>
            <w:vAlign w:val="center"/>
          </w:tcPr>
          <w:p>
            <w:pPr>
              <w:ind w:left="415" w:leftChars="0" w:hanging="415" w:hangingChars="17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523" w:type="dxa"/>
            <w:tcBorders>
              <w:tl2br w:val="nil"/>
              <w:tr2bl w:val="nil"/>
            </w:tcBorders>
            <w:noWrap w:val="0"/>
            <w:vAlign w:val="center"/>
          </w:tcPr>
          <w:p>
            <w:pPr>
              <w:numPr>
                <w:ilvl w:val="-1"/>
                <w:numId w:val="0"/>
              </w:numPr>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合同期结束或由于其他原因导致合同终止安装的设施设备归</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所有，合同结束设施设备交付给</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时设施设备必须保证完整，状态完好，能正常使用，否则保证金不作退回。</w:t>
            </w:r>
          </w:p>
        </w:tc>
      </w:tr>
    </w:tbl>
    <w:p>
      <w:pPr>
        <w:spacing w:after="100" w:afterAutospacing="1"/>
        <w:ind w:left="415" w:leftChars="0" w:hanging="415" w:hangingChars="173"/>
        <w:rPr>
          <w:rFonts w:hint="eastAsia" w:ascii="宋体" w:hAnsi="宋体" w:eastAsia="宋体" w:cs="宋体"/>
          <w:color w:val="auto"/>
          <w:sz w:val="24"/>
          <w:szCs w:val="24"/>
          <w:highlight w:val="none"/>
          <w:lang w:eastAsia="zh-CN"/>
        </w:rPr>
      </w:pP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本项目</w:t>
      </w:r>
      <w:r>
        <w:rPr>
          <w:rFonts w:hint="eastAsia" w:ascii="宋体" w:hAnsi="宋体" w:eastAsia="宋体" w:cs="宋体"/>
          <w:b/>
          <w:color w:val="auto"/>
          <w:sz w:val="24"/>
          <w:szCs w:val="24"/>
          <w:highlight w:val="none"/>
        </w:rPr>
        <w:t>验收要求</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（乙方）须为验收提供必需的一切条件及相关费用。</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项目验收依次序对照执行标准</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符合中华人民共和国国家和履约地相关安全质量标准、行业技术规范标准。</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符合招标文件和投标承诺中各方共同认可的各项合理要求；</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上述各类标准与法规必须是有关官方机构最新发布的现行标准版本</w:t>
      </w:r>
      <w:r>
        <w:rPr>
          <w:rFonts w:hint="eastAsia" w:ascii="宋体" w:hAnsi="宋体" w:eastAsia="宋体" w:cs="宋体"/>
          <w:color w:val="auto"/>
          <w:sz w:val="24"/>
          <w:szCs w:val="24"/>
          <w:highlight w:val="none"/>
          <w:lang w:val="zh-CN"/>
        </w:rPr>
        <w:t>。</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的权利和义务</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提出采购项目服务的意见和建议</w:t>
      </w:r>
      <w:r>
        <w:rPr>
          <w:rFonts w:hint="eastAsia" w:ascii="宋体" w:hAnsi="宋体" w:eastAsia="宋体" w:cs="宋体"/>
          <w:color w:val="auto"/>
          <w:sz w:val="24"/>
          <w:szCs w:val="24"/>
          <w:highlight w:val="none"/>
          <w:lang w:eastAsia="zh-CN"/>
        </w:rPr>
        <w:t>。</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招标人有义务配合中标人做好各项日常管理工作，中标人应根据招标人建议制定有关管理制度和措施执行。招标人有权对中标人的管理方案进行检查及合理修改，共同优化管理工作。</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有权对中标人的日常管理工作进行监管检查，每季度进行一次全面考核评定，如中标人因管理不善或管理失误，给招标人造成严重负面影响或导致经济受损的，招标人有权单方面终止合同，并视中标人根本违约处理（</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和不退回已交的服务费，中标人投入建设安装的一切设施设备无偿归招标人所有，并赔偿招标人的经济损失）。</w:t>
      </w:r>
    </w:p>
    <w:p>
      <w:pPr>
        <w:pStyle w:val="30"/>
        <w:numPr>
          <w:ilvl w:val="1"/>
          <w:numId w:val="13"/>
        </w:numPr>
        <w:spacing w:line="360" w:lineRule="auto"/>
        <w:ind w:left="624" w:leftChars="0" w:hanging="6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为确保其依法具有收取车辆管理费的资格及权利，已严格按照有关法律程序研究制定出相关的收费及管理的村规民约，并经党员及村民代表大会表决通过及予以公布后实施，以便于中标人按规定管理及收费。在收费过程中所产生的纠纷投诉，中标人应自行负责处理。重大事件招标人有义务协助处理。</w:t>
      </w:r>
    </w:p>
    <w:p>
      <w:pPr>
        <w:pStyle w:val="30"/>
        <w:numPr>
          <w:ilvl w:val="1"/>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招标人对本辖区内的所有土地拥有使用权，中标人如需规划增设停车位置时必经招标人同意。设置停车位置的土地，如遇招标人开发使用时，中标人无条件配合执行</w:t>
      </w:r>
      <w:r>
        <w:rPr>
          <w:rFonts w:hint="eastAsia" w:ascii="宋体" w:hAnsi="宋体" w:eastAsia="宋体" w:cs="宋体"/>
          <w:color w:val="auto"/>
          <w:sz w:val="24"/>
          <w:szCs w:val="24"/>
          <w:highlight w:val="none"/>
        </w:rPr>
        <w:t>。</w:t>
      </w:r>
    </w:p>
    <w:p>
      <w:pPr>
        <w:pStyle w:val="30"/>
        <w:numPr>
          <w:ilvl w:val="0"/>
          <w:numId w:val="13"/>
        </w:numPr>
        <w:spacing w:line="360" w:lineRule="auto"/>
        <w:ind w:left="624" w:leftChars="0" w:hanging="624"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中标人</w:t>
      </w:r>
      <w:r>
        <w:rPr>
          <w:rFonts w:hint="eastAsia" w:ascii="宋体" w:hAnsi="宋体" w:eastAsia="宋体" w:cs="宋体"/>
          <w:b/>
          <w:color w:val="auto"/>
          <w:sz w:val="24"/>
          <w:szCs w:val="24"/>
          <w:highlight w:val="none"/>
        </w:rPr>
        <w:t>的权利和义务</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根据国家的有关法律、法规、政策及本合同的有关规定，在不违反本合同规定的基础上，自行制定有关规章制度车辆管理办法、实施细则等规定，中标人的管理工作不得影响招标人工作人员的日常正常工作。</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按照招标人制定的车辆管理收费标准进行收取车辆管理费。并提供优质的停车管理及道路交通管理服务，不得出现只收费不服务或多收费少服务的行为，如发现有，经指出不改的，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日常管理工作能正常运作，中标人必须根据工作需要配置足够的工作人员（不少于3人）并办理好用工手续及购买意外保险。中标人员工不纳入招标人用工编制，不享受招标人员工的福利待遇，与招标人不成立劳动或劳务关系。中标人工作人员在合同期内所发生的安全事故、工伤及劳资纠纷等均由中标人负责，一切责任与招标人无关，如屡屡出现人手不足的现象，视为中标人根本违约，招标人有权单方面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和不退回已交的服务费，中标人投入建设安装的一切设施设备无偿归招标人所有。</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招标人有权收取中标人每次人民币200元的违约金。</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工作人员上班时要着装统一，工作要吃苦耐劳，勤巡勤查，待人处事需热情服务，如出现有因工作人员礼貌不周或处事不公而导致发生纠纷案和投诉案的，中标人要自行及时设法处理，事后要自查自纠，吸取教训及时整改。合同期内出现三次投诉的，招标人有权解除本合同，并视中标人违约</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不予退还中标人履约</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以作为招标人的经济补偿。</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为了切实做好车辆的有序停放管理，中标人要适时对辖区内的停车位进行合理规划设置。将本地车位与外地临时车位进行区分管理，中标人应严格管理控制禁止外来车辆在本地车位上停放过夜。</w:t>
      </w:r>
      <w:r>
        <w:rPr>
          <w:rFonts w:hint="eastAsia" w:ascii="宋体" w:hAnsi="宋体" w:cs="宋体"/>
          <w:color w:val="auto"/>
          <w:sz w:val="24"/>
          <w:szCs w:val="24"/>
          <w:highlight w:val="none"/>
          <w:lang w:val="en-US" w:eastAsia="zh-CN"/>
        </w:rPr>
        <w:t>吉利上二村</w:t>
      </w:r>
      <w:r>
        <w:rPr>
          <w:rFonts w:hint="eastAsia" w:ascii="宋体" w:hAnsi="宋体" w:eastAsia="宋体" w:cs="宋体"/>
          <w:color w:val="auto"/>
          <w:sz w:val="24"/>
          <w:szCs w:val="24"/>
          <w:highlight w:val="none"/>
          <w:lang w:val="en-US" w:eastAsia="zh-CN"/>
        </w:rPr>
        <w:t>辖区内的村民住宅以外的车位均为共享车位，禁止私装地锁或摆设物品霸占，否则中标人有权没收处理。</w:t>
      </w:r>
    </w:p>
    <w:p>
      <w:pPr>
        <w:pStyle w:val="30"/>
        <w:numPr>
          <w:ilvl w:val="1"/>
          <w:numId w:val="13"/>
        </w:numPr>
        <w:tabs>
          <w:tab w:val="left" w:pos="420"/>
        </w:tabs>
        <w:spacing w:line="360" w:lineRule="auto"/>
        <w:ind w:left="424" w:leftChars="0" w:hanging="424"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签订合同后，根据现时村内情况，对辖区内破旧车位重新划热熔线（破旧车位数待定），并完善所有道路标识、道路监控以及部分停车位设施。统一完善后，中标人也要对车位划线、道路标识、停车设施等定期检查及维护更新，对危险路段及停车场等做好交通标志指示牌的安装，以起到警示作用（如禁停牌、限速牌、限重牌、停车场标识、凸面广角镜等）。上述所产生的一切费用均由中标人承担。</w:t>
      </w:r>
    </w:p>
    <w:p>
      <w:pPr>
        <w:pStyle w:val="30"/>
        <w:numPr>
          <w:ilvl w:val="1"/>
          <w:numId w:val="13"/>
        </w:numPr>
        <w:tabs>
          <w:tab w:val="left" w:pos="420"/>
        </w:tabs>
        <w:spacing w:line="360" w:lineRule="auto"/>
        <w:ind w:left="424" w:leftChars="0" w:hanging="424"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时需对所有设备进行维护、保养以确保其正常运行工作。在合同期内，中标人对车辆管理的设备维护更新或增设等费用均由中标人承担。合同期满后，中标人须要将所有设备（含新建和原有的硬件与软件）及各类管理档案资料等正常完好地无偿移交给招标人。如有损坏，招标人有权请人进行修复，但所产生费用均由中标人支付或从</w:t>
      </w:r>
      <w:r>
        <w:rPr>
          <w:rFonts w:hint="eastAsia" w:ascii="宋体" w:hAnsi="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CN"/>
        </w:rPr>
        <w:t>保证金处扣除。</w:t>
      </w:r>
    </w:p>
    <w:p>
      <w:pPr>
        <w:jc w:val="left"/>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br w:type="page"/>
      </w:r>
    </w:p>
    <w:p>
      <w:pPr>
        <w:jc w:val="center"/>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Times New Roman"/>
          <w:b/>
          <w:color w:val="auto"/>
          <w:kern w:val="2"/>
          <w:sz w:val="36"/>
          <w:szCs w:val="36"/>
          <w:highlight w:val="none"/>
          <w:lang w:val="en-US" w:eastAsia="zh-CN" w:bidi="ar-SA"/>
        </w:rPr>
        <w:t>第三部分</w:t>
      </w:r>
      <w:r>
        <w:rPr>
          <w:rFonts w:hint="eastAsia" w:ascii="宋体" w:hAnsi="宋体" w:cs="Times New Roman"/>
          <w:b/>
          <w:color w:val="auto"/>
          <w:kern w:val="2"/>
          <w:sz w:val="36"/>
          <w:szCs w:val="36"/>
          <w:highlight w:val="none"/>
          <w:lang w:val="en-US" w:eastAsia="zh-CN" w:bidi="ar-SA"/>
        </w:rPr>
        <w:t>投标人</w:t>
      </w:r>
      <w:r>
        <w:rPr>
          <w:rFonts w:hint="eastAsia" w:ascii="宋体" w:hAnsi="宋体" w:eastAsia="宋体" w:cs="Times New Roman"/>
          <w:b/>
          <w:color w:val="auto"/>
          <w:kern w:val="2"/>
          <w:sz w:val="36"/>
          <w:szCs w:val="36"/>
          <w:highlight w:val="none"/>
          <w:lang w:val="en-US" w:eastAsia="zh-CN" w:bidi="ar-SA"/>
        </w:rPr>
        <w:t>须知</w:t>
      </w:r>
      <w:bookmarkEnd w:id="26"/>
      <w:bookmarkEnd w:id="27"/>
      <w:bookmarkEnd w:id="28"/>
      <w:bookmarkEnd w:id="29"/>
    </w:p>
    <w:p>
      <w:pPr>
        <w:spacing w:after="72" w:afterLines="30" w:line="336" w:lineRule="auto"/>
        <w:ind w:right="-178" w:rightChars="-85"/>
        <w:jc w:val="center"/>
        <w:outlineLvl w:val="1"/>
        <w:rPr>
          <w:rFonts w:ascii="宋体"/>
          <w:b/>
          <w:color w:val="auto"/>
          <w:sz w:val="28"/>
          <w:szCs w:val="28"/>
          <w:highlight w:val="none"/>
        </w:rPr>
      </w:pPr>
      <w:bookmarkStart w:id="31" w:name="_Toc334432589"/>
      <w:bookmarkStart w:id="32" w:name="_Toc14893"/>
      <w:bookmarkStart w:id="33" w:name="_Toc488"/>
      <w:bookmarkStart w:id="34" w:name="_Toc4244"/>
      <w:bookmarkStart w:id="35" w:name="_Toc519"/>
      <w:r>
        <w:rPr>
          <w:rFonts w:hint="eastAsia" w:ascii="宋体" w:hAnsi="宋体"/>
          <w:b/>
          <w:color w:val="auto"/>
          <w:sz w:val="28"/>
          <w:szCs w:val="28"/>
          <w:highlight w:val="none"/>
        </w:rPr>
        <w:t>一、</w:t>
      </w:r>
      <w:r>
        <w:rPr>
          <w:rFonts w:hint="eastAsia" w:ascii="宋体" w:hAnsi="宋体"/>
          <w:b/>
          <w:color w:val="auto"/>
          <w:sz w:val="28"/>
          <w:szCs w:val="28"/>
          <w:highlight w:val="none"/>
          <w:lang w:eastAsia="zh-CN"/>
        </w:rPr>
        <w:t>投标</w:t>
      </w:r>
      <w:r>
        <w:rPr>
          <w:rFonts w:hint="eastAsia" w:ascii="宋体" w:hAnsi="宋体"/>
          <w:b/>
          <w:color w:val="auto"/>
          <w:sz w:val="28"/>
          <w:szCs w:val="28"/>
          <w:highlight w:val="none"/>
        </w:rPr>
        <w:t>须知前附表</w:t>
      </w:r>
      <w:bookmarkEnd w:id="31"/>
      <w:bookmarkEnd w:id="32"/>
      <w:bookmarkEnd w:id="33"/>
      <w:bookmarkEnd w:id="34"/>
      <w:bookmarkEnd w:id="35"/>
    </w:p>
    <w:tbl>
      <w:tblPr>
        <w:tblStyle w:val="1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9"/>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0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49"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7194" w:type="dxa"/>
            <w:shd w:val="clear" w:color="auto" w:fill="E6E6E6"/>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p>
        </w:tc>
        <w:tc>
          <w:tcPr>
            <w:tcW w:w="7194" w:type="dxa"/>
            <w:noWrap w:val="0"/>
            <w:vAlign w:val="center"/>
          </w:tcPr>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3万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保证金的缴纳形式及要求：</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以银行转账方式提交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缴纳方式：</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lang w:val="en-US" w:eastAsia="zh-CN"/>
              </w:rPr>
              <w:t>为法人：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截止时间之前（以银行到账时间为准），从本单位的基本账户通过银行汇款或转账的形式，将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保证金按规定金额从基本账户一次性转入或汇入到指定银行账户，否则</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无效。</w:t>
            </w:r>
          </w:p>
          <w:p>
            <w:pPr>
              <w:pStyle w:val="2"/>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为自然人，应在竞投截止时间之前（以银行到账时间为准），（1）从本人账户通过银行汇款或转账的形式或（2）银行柜台现金缴存方式，将竞投保证金按规定金额一次性转入或汇入到指定银行账户，否则竞投无效。（本项目不适用）</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保证金请按以下账号提供并以该银行到账时间为准：</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开户名称：佛山市禅城区南庄镇公共资源交易所</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账号：44536501040028342</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开户银行名称：中国农业银行股份有限公司佛山南庄支行</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保证金的金额（人民币）：</w:t>
            </w:r>
            <w:r>
              <w:rPr>
                <w:rFonts w:hint="eastAsia" w:asciiTheme="minorEastAsia" w:hAnsiTheme="minorEastAsia" w:eastAsiaTheme="minorEastAsia" w:cstheme="minorEastAsia"/>
                <w:color w:val="auto"/>
                <w:sz w:val="24"/>
                <w:szCs w:val="24"/>
                <w:highlight w:val="none"/>
                <w:lang w:val="en-US" w:eastAsia="zh-CN"/>
              </w:rPr>
              <w:t>3万</w:t>
            </w:r>
            <w:r>
              <w:rPr>
                <w:rFonts w:hint="eastAsia" w:asciiTheme="minorEastAsia" w:hAnsiTheme="minorEastAsia" w:eastAsiaTheme="minorEastAsia" w:cstheme="minorEastAsia"/>
                <w:color w:val="auto"/>
                <w:sz w:val="24"/>
                <w:szCs w:val="24"/>
                <w:highlight w:val="none"/>
              </w:rPr>
              <w:t>元</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（2）在办理转账时，请在转账摘要上注明“</w:t>
            </w:r>
            <w:r>
              <w:rPr>
                <w:rFonts w:hint="eastAsia"/>
                <w:color w:val="auto"/>
                <w:highlight w:val="none"/>
              </w:rPr>
              <w:t>吉利上二村</w:t>
            </w:r>
            <w:r>
              <w:rPr>
                <w:rFonts w:hint="eastAsia" w:asciiTheme="minorEastAsia" w:hAnsiTheme="minorEastAsia" w:eastAsiaTheme="minorEastAsia" w:cstheme="minorEastAsia"/>
                <w:color w:val="auto"/>
                <w:sz w:val="24"/>
                <w:szCs w:val="24"/>
                <w:highlight w:val="none"/>
              </w:rPr>
              <w:t>”字样，若转账单上没有相应备注，则视为无效</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（3）公共资源交易所在接到招标人退还保证金通知书后5个工作日内退还给</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应提前办理</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保证金手续，自行承担银行到账延误风险。</w:t>
            </w:r>
          </w:p>
          <w:p>
            <w:pPr>
              <w:tabs>
                <w:tab w:val="left" w:pos="459"/>
                <w:tab w:val="left" w:pos="601"/>
              </w:tabs>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（5）采用银行转账提交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保证金的应在递交</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文件时提交转账凭证供核对。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竞投文件</w:t>
            </w:r>
            <w:r>
              <w:rPr>
                <w:rFonts w:hint="eastAsia" w:asciiTheme="minorEastAsia" w:hAnsiTheme="minorEastAsia" w:eastAsiaTheme="minorEastAsia" w:cstheme="minorEastAsia"/>
                <w:color w:val="auto"/>
                <w:sz w:val="24"/>
                <w:szCs w:val="24"/>
                <w:highlight w:val="none"/>
              </w:rPr>
              <w:t>的澄清</w:t>
            </w:r>
          </w:p>
        </w:tc>
        <w:tc>
          <w:tcPr>
            <w:tcW w:w="7194" w:type="dxa"/>
            <w:noWrap w:val="0"/>
            <w:vAlign w:val="center"/>
          </w:tcPr>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不统一组织答疑会；</w:t>
            </w:r>
          </w:p>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提出疑问期限：在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截止日期前2日；</w:t>
            </w:r>
          </w:p>
          <w:p>
            <w:pPr>
              <w:numPr>
                <w:ilvl w:val="0"/>
                <w:numId w:val="17"/>
              </w:numPr>
              <w:tabs>
                <w:tab w:val="left" w:pos="432"/>
              </w:tabs>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澄清、修改或答疑期限：在</w:t>
            </w:r>
            <w:r>
              <w:rPr>
                <w:rFonts w:hint="eastAsia" w:asciiTheme="minorEastAsia" w:hAnsiTheme="minorEastAsia" w:eastAsiaTheme="minorEastAsia" w:cstheme="minorEastAsia"/>
                <w:color w:val="auto"/>
                <w:sz w:val="24"/>
                <w:szCs w:val="24"/>
                <w:highlight w:val="none"/>
                <w:lang w:eastAsia="zh-CN"/>
              </w:rPr>
              <w:t>竞投</w:t>
            </w:r>
            <w:r>
              <w:rPr>
                <w:rFonts w:hint="eastAsia" w:asciiTheme="minorEastAsia" w:hAnsiTheme="minorEastAsia" w:eastAsiaTheme="minorEastAsia" w:cstheme="minorEastAsia"/>
                <w:color w:val="auto"/>
                <w:sz w:val="24"/>
                <w:szCs w:val="24"/>
                <w:highlight w:val="none"/>
              </w:rPr>
              <w:t>截止日期前1日。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递交</w:t>
            </w: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时须提交的资料</w:t>
            </w:r>
          </w:p>
        </w:tc>
        <w:tc>
          <w:tcPr>
            <w:tcW w:w="7194" w:type="dxa"/>
            <w:noWrap w:val="0"/>
            <w:vAlign w:val="center"/>
          </w:tcPr>
          <w:p>
            <w:pPr>
              <w:spacing w:line="300" w:lineRule="auto"/>
              <w:rPr>
                <w:rFonts w:hint="eastAsia"/>
                <w:color w:val="auto"/>
                <w:sz w:val="24"/>
                <w:szCs w:val="32"/>
                <w:highlight w:val="none"/>
                <w:lang w:val="zh-CN"/>
              </w:rPr>
            </w:pPr>
            <w:r>
              <w:rPr>
                <w:rFonts w:hint="eastAsia"/>
                <w:color w:val="auto"/>
                <w:sz w:val="24"/>
                <w:szCs w:val="32"/>
                <w:highlight w:val="none"/>
                <w:lang w:val="zh-CN"/>
              </w:rPr>
              <w:t>投标人应凭以下资料递交</w:t>
            </w:r>
            <w:r>
              <w:rPr>
                <w:rFonts w:hint="eastAsia"/>
                <w:color w:val="auto"/>
                <w:sz w:val="24"/>
                <w:szCs w:val="32"/>
                <w:highlight w:val="none"/>
                <w:lang w:eastAsia="zh-CN"/>
              </w:rPr>
              <w:t>资格审查</w:t>
            </w:r>
            <w:r>
              <w:rPr>
                <w:rFonts w:hint="eastAsia"/>
                <w:color w:val="auto"/>
                <w:sz w:val="24"/>
                <w:szCs w:val="32"/>
                <w:highlight w:val="none"/>
                <w:lang w:val="zh-CN"/>
              </w:rPr>
              <w:t>文件（加盖投标人公章），否则，招标代理机构将有权拒收（</w:t>
            </w:r>
            <w:r>
              <w:rPr>
                <w:rFonts w:hint="eastAsia"/>
                <w:color w:val="auto"/>
                <w:sz w:val="24"/>
                <w:szCs w:val="32"/>
                <w:highlight w:val="none"/>
              </w:rPr>
              <w:t>用于递交</w:t>
            </w:r>
            <w:r>
              <w:rPr>
                <w:rFonts w:hint="eastAsia"/>
                <w:color w:val="auto"/>
                <w:sz w:val="24"/>
                <w:szCs w:val="32"/>
                <w:highlight w:val="none"/>
                <w:lang w:eastAsia="zh-CN"/>
              </w:rPr>
              <w:t>竞投</w:t>
            </w:r>
            <w:r>
              <w:rPr>
                <w:rFonts w:hint="eastAsia"/>
                <w:color w:val="auto"/>
                <w:sz w:val="24"/>
                <w:szCs w:val="32"/>
                <w:highlight w:val="none"/>
              </w:rPr>
              <w:t>文件的以下证明文件不得密封在</w:t>
            </w:r>
            <w:r>
              <w:rPr>
                <w:rFonts w:hint="eastAsia"/>
                <w:color w:val="auto"/>
                <w:sz w:val="24"/>
                <w:szCs w:val="32"/>
                <w:highlight w:val="none"/>
                <w:lang w:eastAsia="zh-CN"/>
              </w:rPr>
              <w:t>竞投</w:t>
            </w:r>
            <w:r>
              <w:rPr>
                <w:rFonts w:hint="eastAsia"/>
                <w:color w:val="auto"/>
                <w:sz w:val="24"/>
                <w:szCs w:val="32"/>
                <w:highlight w:val="none"/>
              </w:rPr>
              <w:t>文件包装袋内</w:t>
            </w:r>
            <w:r>
              <w:rPr>
                <w:rFonts w:hint="eastAsia"/>
                <w:color w:val="auto"/>
                <w:sz w:val="24"/>
                <w:szCs w:val="32"/>
                <w:highlight w:val="none"/>
                <w:lang w:val="zh-CN"/>
              </w:rPr>
              <w:t>）：</w:t>
            </w:r>
          </w:p>
          <w:p>
            <w:pPr>
              <w:pStyle w:val="2"/>
              <w:rPr>
                <w:rFonts w:hint="default"/>
                <w:color w:val="auto"/>
                <w:sz w:val="24"/>
                <w:szCs w:val="32"/>
                <w:highlight w:val="none"/>
                <w:lang w:val="en-US" w:eastAsia="zh-CN"/>
              </w:rPr>
            </w:pPr>
            <w:r>
              <w:rPr>
                <w:rFonts w:hint="eastAsia"/>
                <w:color w:val="auto"/>
                <w:sz w:val="24"/>
                <w:szCs w:val="32"/>
                <w:highlight w:val="none"/>
                <w:lang w:val="en-US" w:eastAsia="zh-CN"/>
              </w:rPr>
              <w:t>如为法人：</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法定代表人/负责人资格证明书原件；</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法定代表人/负责人授权书原件【</w:t>
            </w:r>
            <w:r>
              <w:rPr>
                <w:rFonts w:hint="eastAsia"/>
                <w:color w:val="auto"/>
                <w:sz w:val="24"/>
                <w:szCs w:val="32"/>
                <w:highlight w:val="none"/>
                <w:lang w:eastAsia="zh-CN"/>
              </w:rPr>
              <w:t>由投标人</w:t>
            </w:r>
            <w:r>
              <w:rPr>
                <w:rFonts w:hint="eastAsia"/>
                <w:color w:val="auto"/>
                <w:sz w:val="24"/>
                <w:szCs w:val="32"/>
                <w:highlight w:val="none"/>
                <w:lang w:val="zh-CN" w:eastAsia="zh-CN"/>
              </w:rPr>
              <w:t>法定代表人/负责人</w:t>
            </w:r>
            <w:r>
              <w:rPr>
                <w:rFonts w:hint="eastAsia"/>
                <w:color w:val="auto"/>
                <w:sz w:val="24"/>
                <w:szCs w:val="32"/>
                <w:highlight w:val="none"/>
                <w:lang w:eastAsia="zh-CN"/>
              </w:rPr>
              <w:t>的授权代表递交竞投文件时</w:t>
            </w:r>
            <w:r>
              <w:rPr>
                <w:rFonts w:hint="eastAsia"/>
                <w:color w:val="auto"/>
                <w:sz w:val="24"/>
                <w:szCs w:val="32"/>
                <w:highlight w:val="none"/>
                <w:lang w:val="zh-CN" w:eastAsia="zh-CN"/>
              </w:rPr>
              <w:t>须提供】；</w:t>
            </w:r>
          </w:p>
          <w:p>
            <w:pPr>
              <w:numPr>
                <w:ilvl w:val="0"/>
                <w:numId w:val="18"/>
              </w:numPr>
              <w:tabs>
                <w:tab w:val="left" w:pos="432"/>
              </w:tabs>
              <w:spacing w:line="300" w:lineRule="auto"/>
              <w:ind w:left="425" w:leftChars="0" w:hanging="425" w:firstLineChars="0"/>
              <w:rPr>
                <w:rFonts w:hint="eastAsia"/>
                <w:color w:val="auto"/>
                <w:sz w:val="24"/>
                <w:szCs w:val="32"/>
                <w:highlight w:val="none"/>
                <w:lang w:val="zh-CN" w:eastAsia="zh-CN"/>
              </w:rPr>
            </w:pPr>
            <w:r>
              <w:rPr>
                <w:rFonts w:hint="eastAsia"/>
                <w:color w:val="auto"/>
                <w:sz w:val="24"/>
                <w:szCs w:val="32"/>
                <w:highlight w:val="none"/>
                <w:lang w:val="zh-CN" w:eastAsia="zh-CN"/>
              </w:rPr>
              <w:t>法定代表人/负责人或授权代表本人身份证原件；</w:t>
            </w:r>
          </w:p>
          <w:p>
            <w:pPr>
              <w:numPr>
                <w:ilvl w:val="0"/>
                <w:numId w:val="18"/>
              </w:numPr>
              <w:tabs>
                <w:tab w:val="left" w:pos="432"/>
              </w:tabs>
              <w:spacing w:line="300" w:lineRule="auto"/>
              <w:ind w:left="425" w:leftChars="0" w:hanging="425" w:firstLineChars="0"/>
              <w:rPr>
                <w:rFonts w:hint="eastAsia"/>
                <w:color w:val="auto"/>
                <w:sz w:val="24"/>
                <w:szCs w:val="32"/>
                <w:highlight w:val="none"/>
              </w:rPr>
            </w:pPr>
            <w:r>
              <w:rPr>
                <w:rFonts w:hint="eastAsia"/>
                <w:color w:val="auto"/>
                <w:sz w:val="24"/>
                <w:szCs w:val="32"/>
                <w:highlight w:val="none"/>
                <w:lang w:eastAsia="zh-CN"/>
              </w:rPr>
              <w:t>竞投保证金递交凭证的原件或者复印件加盖单位公章。</w:t>
            </w:r>
          </w:p>
          <w:p>
            <w:pPr>
              <w:pStyle w:val="2"/>
              <w:rPr>
                <w:rFonts w:hint="eastAsia"/>
                <w:color w:val="auto"/>
                <w:sz w:val="24"/>
                <w:szCs w:val="32"/>
                <w:highlight w:val="none"/>
                <w:lang w:val="en-US" w:eastAsia="zh-CN"/>
              </w:rPr>
            </w:pPr>
            <w:r>
              <w:rPr>
                <w:rFonts w:hint="eastAsia"/>
                <w:color w:val="auto"/>
                <w:sz w:val="24"/>
                <w:szCs w:val="32"/>
                <w:highlight w:val="none"/>
                <w:lang w:val="en-US" w:eastAsia="zh-CN"/>
              </w:rPr>
              <w:t>如为自然人：（本项目不适用）</w:t>
            </w:r>
          </w:p>
          <w:p>
            <w:pPr>
              <w:numPr>
                <w:ilvl w:val="0"/>
                <w:numId w:val="19"/>
              </w:numPr>
              <w:tabs>
                <w:tab w:val="left" w:pos="432"/>
              </w:tabs>
              <w:spacing w:line="300" w:lineRule="auto"/>
              <w:ind w:left="425" w:leftChars="0" w:hanging="425" w:firstLineChars="0"/>
              <w:rPr>
                <w:rFonts w:hint="default"/>
                <w:color w:val="auto"/>
                <w:sz w:val="24"/>
                <w:szCs w:val="32"/>
                <w:highlight w:val="none"/>
                <w:lang w:val="en-US"/>
              </w:rPr>
            </w:pPr>
            <w:r>
              <w:rPr>
                <w:rFonts w:hint="eastAsia" w:eastAsia="宋体"/>
                <w:color w:val="auto"/>
                <w:sz w:val="24"/>
                <w:szCs w:val="32"/>
                <w:highlight w:val="none"/>
                <w:lang w:val="en-US" w:eastAsia="zh-CN"/>
              </w:rPr>
              <w:t>自然人</w:t>
            </w:r>
            <w:r>
              <w:rPr>
                <w:rFonts w:hint="eastAsia"/>
                <w:color w:val="auto"/>
                <w:sz w:val="24"/>
                <w:szCs w:val="32"/>
                <w:highlight w:val="none"/>
                <w:lang w:val="zh-CN" w:eastAsia="zh-CN"/>
              </w:rPr>
              <w:t>身份证原件；</w:t>
            </w:r>
          </w:p>
          <w:p>
            <w:pPr>
              <w:numPr>
                <w:ilvl w:val="0"/>
                <w:numId w:val="19"/>
              </w:numPr>
              <w:tabs>
                <w:tab w:val="left" w:pos="432"/>
              </w:tabs>
              <w:spacing w:line="300" w:lineRule="auto"/>
              <w:ind w:left="425" w:leftChars="0" w:hanging="425" w:firstLineChars="0"/>
              <w:rPr>
                <w:rFonts w:hint="eastAsia"/>
                <w:color w:val="auto"/>
                <w:highlight w:val="none"/>
              </w:rPr>
            </w:pPr>
            <w:r>
              <w:rPr>
                <w:rFonts w:hint="eastAsia"/>
                <w:color w:val="auto"/>
                <w:sz w:val="24"/>
                <w:szCs w:val="32"/>
                <w:highlight w:val="none"/>
                <w:lang w:val="zh-CN" w:eastAsia="zh-CN"/>
              </w:rPr>
              <w:t>竞投保证金递交凭证的原件</w:t>
            </w:r>
            <w:r>
              <w:rPr>
                <w:rFonts w:hint="eastAsia"/>
                <w:color w:val="auto"/>
                <w:sz w:val="24"/>
                <w:szCs w:val="32"/>
                <w:highlight w:val="none"/>
                <w:lang w:val="en-US" w:eastAsia="zh-CN"/>
              </w:rPr>
              <w:t>或复印件</w:t>
            </w:r>
            <w:r>
              <w:rPr>
                <w:rFonts w:hint="eastAsia"/>
                <w:color w:val="auto"/>
                <w:sz w:val="24"/>
                <w:szCs w:val="32"/>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资格审查</w:t>
            </w:r>
            <w:r>
              <w:rPr>
                <w:rFonts w:hint="eastAsia" w:asciiTheme="minorEastAsia" w:hAnsiTheme="minorEastAsia" w:eastAsiaTheme="minorEastAsia" w:cstheme="minorEastAsia"/>
                <w:color w:val="auto"/>
                <w:sz w:val="24"/>
                <w:szCs w:val="24"/>
                <w:highlight w:val="none"/>
              </w:rPr>
              <w:t>文件递交数量</w:t>
            </w:r>
          </w:p>
        </w:tc>
        <w:tc>
          <w:tcPr>
            <w:tcW w:w="7194" w:type="dxa"/>
            <w:noWrap w:val="0"/>
            <w:vAlign w:val="center"/>
          </w:tcPr>
          <w:p>
            <w:pPr>
              <w:spacing w:after="72" w:afterLines="30" w:line="30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u w:val="single"/>
                <w:lang w:val="en-GB"/>
              </w:rPr>
              <w:t>1份</w:t>
            </w:r>
            <w:r>
              <w:rPr>
                <w:rFonts w:hint="eastAsia" w:asciiTheme="minorEastAsia" w:hAnsiTheme="minorEastAsia" w:eastAsiaTheme="minorEastAsia" w:cstheme="minorEastAsia"/>
                <w:b/>
                <w:color w:val="auto"/>
                <w:sz w:val="24"/>
                <w:szCs w:val="24"/>
                <w:highlight w:val="none"/>
                <w:lang w:val="en-GB"/>
              </w:rPr>
              <w:t>正本、</w:t>
            </w:r>
            <w:r>
              <w:rPr>
                <w:rFonts w:hint="eastAsia" w:asciiTheme="minorEastAsia" w:hAnsiTheme="minorEastAsia" w:eastAsiaTheme="minorEastAsia" w:cstheme="minorEastAsia"/>
                <w:b/>
                <w:color w:val="auto"/>
                <w:sz w:val="24"/>
                <w:szCs w:val="24"/>
                <w:highlight w:val="none"/>
                <w:u w:val="single"/>
                <w:lang w:val="en-US" w:eastAsia="zh-CN"/>
              </w:rPr>
              <w:t>3</w:t>
            </w:r>
            <w:r>
              <w:rPr>
                <w:rFonts w:hint="eastAsia" w:asciiTheme="minorEastAsia" w:hAnsiTheme="minorEastAsia" w:eastAsiaTheme="minorEastAsia" w:cstheme="minorEastAsia"/>
                <w:b/>
                <w:color w:val="auto"/>
                <w:sz w:val="24"/>
                <w:szCs w:val="24"/>
                <w:highlight w:val="none"/>
                <w:u w:val="single"/>
                <w:lang w:val="en-GB"/>
              </w:rPr>
              <w:t>份</w:t>
            </w:r>
            <w:r>
              <w:rPr>
                <w:rFonts w:hint="eastAsia" w:asciiTheme="minorEastAsia" w:hAnsiTheme="minorEastAsia" w:eastAsiaTheme="minorEastAsia" w:cstheme="minorEastAsia"/>
                <w:b/>
                <w:color w:val="auto"/>
                <w:sz w:val="24"/>
                <w:szCs w:val="24"/>
                <w:highlight w:val="none"/>
                <w:lang w:val="en-GB"/>
              </w:rPr>
              <w:t>副本和</w:t>
            </w:r>
            <w:r>
              <w:rPr>
                <w:rFonts w:hint="eastAsia" w:asciiTheme="minorEastAsia" w:hAnsiTheme="minorEastAsia" w:eastAsiaTheme="minorEastAsia" w:cstheme="minorEastAsia"/>
                <w:b/>
                <w:color w:val="auto"/>
                <w:sz w:val="24"/>
                <w:szCs w:val="24"/>
                <w:highlight w:val="none"/>
                <w:u w:val="single"/>
              </w:rPr>
              <w:t>2份</w:t>
            </w:r>
            <w:r>
              <w:rPr>
                <w:rFonts w:hint="eastAsia" w:asciiTheme="minorEastAsia" w:hAnsiTheme="minorEastAsia" w:eastAsiaTheme="minorEastAsia" w:cstheme="minorEastAsia"/>
                <w:b/>
                <w:color w:val="auto"/>
                <w:sz w:val="24"/>
                <w:szCs w:val="24"/>
                <w:highlight w:val="none"/>
              </w:rPr>
              <w:t>电子光盘</w:t>
            </w:r>
          </w:p>
          <w:p>
            <w:pPr>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说明：</w:t>
            </w:r>
          </w:p>
          <w:p>
            <w:pPr>
              <w:numPr>
                <w:ilvl w:val="0"/>
                <w:numId w:val="20"/>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0"/>
              </w:numPr>
              <w:ind w:left="0" w:leftChars="0" w:firstLine="0" w:firstLineChars="0"/>
              <w:rPr>
                <w:rFonts w:hint="eastAsia" w:asciiTheme="minorEastAsia" w:hAnsiTheme="minorEastAsia" w:eastAsiaTheme="minorEastAsia" w:cstheme="minorEastAsia"/>
                <w:b/>
                <w:color w:val="auto"/>
                <w:sz w:val="24"/>
                <w:szCs w:val="24"/>
                <w:highlight w:val="none"/>
                <w:lang w:val="en-GB"/>
              </w:rPr>
            </w:pPr>
            <w:r>
              <w:rPr>
                <w:rFonts w:hint="eastAsia" w:asciiTheme="minorEastAsia" w:hAnsiTheme="minorEastAsia" w:eastAsiaTheme="minorEastAsia" w:cstheme="minorEastAsia"/>
                <w:b/>
                <w:color w:val="auto"/>
                <w:sz w:val="24"/>
                <w:szCs w:val="24"/>
                <w:highlight w:val="none"/>
                <w:lang w:val="en-GB"/>
              </w:rPr>
              <w:t>电子光盘内容：</w:t>
            </w:r>
            <w:r>
              <w:rPr>
                <w:rFonts w:hint="eastAsia" w:asciiTheme="minorEastAsia" w:hAnsiTheme="minorEastAsia" w:eastAsiaTheme="minorEastAsia" w:cstheme="minorEastAsia"/>
                <w:b/>
                <w:color w:val="auto"/>
                <w:sz w:val="24"/>
                <w:szCs w:val="24"/>
                <w:highlight w:val="none"/>
                <w:lang w:val="en-GB" w:eastAsia="zh-CN"/>
              </w:rPr>
              <w:t>竞投</w:t>
            </w:r>
            <w:r>
              <w:rPr>
                <w:rFonts w:hint="eastAsia" w:asciiTheme="minorEastAsia" w:hAnsiTheme="minorEastAsia" w:eastAsiaTheme="minorEastAsia" w:cstheme="minorEastAsia"/>
                <w:b/>
                <w:color w:val="auto"/>
                <w:sz w:val="24"/>
                <w:szCs w:val="24"/>
                <w:highlight w:val="none"/>
                <w:lang w:val="en-GB"/>
              </w:rPr>
              <w:t>文件正本的所有内容，WORD版可编辑文档格式。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资格审查文件的制作要求及密封要求</w:t>
            </w:r>
          </w:p>
        </w:tc>
        <w:tc>
          <w:tcPr>
            <w:tcW w:w="7194" w:type="dxa"/>
            <w:noWrap w:val="0"/>
            <w:vAlign w:val="center"/>
          </w:tcPr>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《资格审查文件》装订为一册。</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《资格审查文件》【正本】和【副本】的封面须加盖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公章，【副本】可为【正本】的复印件。</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资格审查文件的【正本】、【副本】、【电子光盘】，均应密封在同一密封包中。若上述资料确实无法密封在同一密封包中，则可按实际情况分开密封，但须在密封包装上标明密封内容。</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电子光盘内容：</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文件正本的所有内容，WORD版可编辑文档格式。</w:t>
            </w:r>
          </w:p>
          <w:p>
            <w:pPr>
              <w:numPr>
                <w:ilvl w:val="0"/>
                <w:numId w:val="21"/>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密封各文件资料时，应在密封包装的封口处加盖</w:t>
            </w: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公章。所有密封文件封套正面统一按“文件包装袋封面”格式填写标贴。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资格审查文件有效期</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递交资格审查文件截止日起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天内有效，中标单位的有效期延续到项目验收之日。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定标</w:t>
            </w:r>
            <w:r>
              <w:rPr>
                <w:rFonts w:hint="eastAsia" w:asciiTheme="minorEastAsia" w:hAnsiTheme="minorEastAsia" w:eastAsiaTheme="minorEastAsia" w:cstheme="minorEastAsia"/>
                <w:color w:val="auto"/>
                <w:sz w:val="24"/>
                <w:szCs w:val="24"/>
                <w:highlight w:val="none"/>
              </w:rPr>
              <w:t>方法</w:t>
            </w:r>
          </w:p>
        </w:tc>
        <w:tc>
          <w:tcPr>
            <w:tcW w:w="7194"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采用一次性报价的暗标方式，价高者得的原则确定中标人。投标人</w:t>
            </w:r>
            <w:r>
              <w:rPr>
                <w:rFonts w:hint="eastAsia" w:asciiTheme="minorEastAsia" w:hAnsiTheme="minorEastAsia" w:eastAsiaTheme="minorEastAsia" w:cstheme="minorEastAsia"/>
                <w:b/>
                <w:bCs/>
                <w:color w:val="auto"/>
                <w:kern w:val="0"/>
                <w:sz w:val="24"/>
                <w:szCs w:val="24"/>
                <w:highlight w:val="none"/>
              </w:rPr>
              <w:t>所报价格为</w:t>
            </w:r>
            <w:r>
              <w:rPr>
                <w:rFonts w:hint="eastAsia" w:asciiTheme="minorEastAsia" w:hAnsiTheme="minorEastAsia" w:eastAsiaTheme="minorEastAsia" w:cstheme="minorEastAsia"/>
                <w:b/>
                <w:bCs/>
                <w:color w:val="auto"/>
                <w:kern w:val="0"/>
                <w:sz w:val="24"/>
                <w:szCs w:val="24"/>
                <w:highlight w:val="none"/>
                <w:lang w:eastAsia="zh-CN"/>
              </w:rPr>
              <w:t>向招标人支付管理费用的基数</w:t>
            </w:r>
            <w:r>
              <w:rPr>
                <w:rFonts w:hint="eastAsia" w:asciiTheme="minorEastAsia" w:hAnsiTheme="minorEastAsia" w:eastAsiaTheme="minorEastAsia" w:cstheme="minorEastAsia"/>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中标服务费</w:t>
            </w:r>
          </w:p>
        </w:tc>
        <w:tc>
          <w:tcPr>
            <w:tcW w:w="7194" w:type="dxa"/>
            <w:noWrap w:val="0"/>
            <w:vAlign w:val="center"/>
          </w:tcPr>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成交通知书</w:t>
            </w:r>
            <w:r>
              <w:rPr>
                <w:rFonts w:hint="eastAsia" w:asciiTheme="minorEastAsia" w:hAnsiTheme="minorEastAsia" w:eastAsiaTheme="minorEastAsia" w:cstheme="minorEastAsia"/>
                <w:color w:val="auto"/>
                <w:sz w:val="24"/>
                <w:szCs w:val="24"/>
                <w:highlight w:val="none"/>
              </w:rPr>
              <w:t>》发出后三个工作日内一次性向</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eastAsia="zh-CN"/>
              </w:rPr>
              <w:t>。</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中标</w:t>
            </w:r>
            <w:r>
              <w:rPr>
                <w:rFonts w:hint="eastAsia" w:asciiTheme="minorEastAsia" w:hAnsiTheme="minorEastAsia" w:eastAsiaTheme="minorEastAsia" w:cstheme="minorEastAsia"/>
                <w:color w:val="auto"/>
                <w:sz w:val="24"/>
                <w:szCs w:val="24"/>
                <w:highlight w:val="none"/>
              </w:rPr>
              <w:t>服务费</w:t>
            </w:r>
            <w:r>
              <w:rPr>
                <w:rFonts w:hint="eastAsia" w:asciiTheme="minorEastAsia" w:hAnsiTheme="minorEastAsia" w:eastAsiaTheme="minorEastAsia" w:cstheme="minorEastAsia"/>
                <w:color w:val="auto"/>
                <w:sz w:val="24"/>
                <w:szCs w:val="24"/>
                <w:highlight w:val="none"/>
                <w:lang w:val="en-US" w:eastAsia="zh-CN"/>
              </w:rPr>
              <w:t>定额收取5000元。</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GB"/>
              </w:rPr>
              <w:t>支付</w:t>
            </w:r>
            <w:r>
              <w:rPr>
                <w:rFonts w:hint="eastAsia" w:asciiTheme="minorEastAsia" w:hAnsiTheme="minorEastAsia" w:eastAsiaTheme="minorEastAsia" w:cstheme="minorEastAsia"/>
                <w:color w:val="auto"/>
                <w:sz w:val="24"/>
                <w:szCs w:val="24"/>
                <w:highlight w:val="none"/>
              </w:rPr>
              <w:t>中标服务费银行账户信息如下：</w:t>
            </w:r>
          </w:p>
          <w:p>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lang w:eastAsia="zh-CN"/>
              </w:rPr>
              <w:t>广东中采招标有限公司</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开户行名称：兴业银行股份有限公司佛山分行</w:t>
            </w:r>
          </w:p>
          <w:p>
            <w:pPr>
              <w:pStyle w:val="3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银行账号：392060100100155323</w:t>
            </w:r>
          </w:p>
          <w:p>
            <w:pPr>
              <w:numPr>
                <w:ilvl w:val="0"/>
                <w:numId w:val="22"/>
              </w:numPr>
              <w:spacing w:line="300" w:lineRule="auto"/>
              <w:ind w:left="425" w:leftChars="0" w:hanging="425" w:firstLineChars="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在办理转账时，请在转账摘要上注明“</w:t>
            </w:r>
            <w:r>
              <w:rPr>
                <w:rFonts w:hint="eastAsia" w:asciiTheme="minorEastAsia" w:hAnsiTheme="minorEastAsia" w:eastAsiaTheme="minorEastAsia" w:cstheme="minorEastAsia"/>
                <w:color w:val="auto"/>
                <w:sz w:val="24"/>
                <w:highlight w:val="none"/>
                <w:u w:val="single"/>
              </w:rPr>
              <w:t>吉利上二村</w:t>
            </w:r>
            <w:r>
              <w:rPr>
                <w:rFonts w:hint="eastAsia" w:asciiTheme="minorEastAsia" w:hAnsiTheme="minorEastAsia" w:eastAsiaTheme="minorEastAsia" w:cstheme="minorEastAsia"/>
                <w:color w:val="auto"/>
                <w:sz w:val="24"/>
                <w:szCs w:val="24"/>
                <w:highlight w:val="none"/>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noWrap w:val="0"/>
            <w:vAlign w:val="center"/>
          </w:tcPr>
          <w:p>
            <w:pPr>
              <w:numPr>
                <w:ilvl w:val="0"/>
                <w:numId w:val="16"/>
              </w:numPr>
              <w:tabs>
                <w:tab w:val="left" w:pos="252"/>
                <w:tab w:val="clear" w:pos="420"/>
              </w:tabs>
              <w:ind w:right="-107" w:rightChars="-51"/>
              <w:jc w:val="center"/>
              <w:rPr>
                <w:rFonts w:hint="eastAsia" w:asciiTheme="minorEastAsia" w:hAnsiTheme="minorEastAsia" w:eastAsiaTheme="minorEastAsia" w:cstheme="minorEastAsia"/>
                <w:color w:val="auto"/>
                <w:sz w:val="24"/>
                <w:szCs w:val="24"/>
                <w:highlight w:val="none"/>
              </w:rPr>
            </w:pPr>
          </w:p>
        </w:tc>
        <w:tc>
          <w:tcPr>
            <w:tcW w:w="184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相关公告发布媒介</w:t>
            </w:r>
          </w:p>
        </w:tc>
        <w:tc>
          <w:tcPr>
            <w:tcW w:w="7194" w:type="dxa"/>
            <w:noWrap w:val="0"/>
            <w:vAlign w:val="center"/>
          </w:tcPr>
          <w:p>
            <w:pPr>
              <w:wordWrap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佛山市公共资源交易中心禅城分中心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"http://ccggzy.chancheng.gov.cn/"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http://ccggzy.chancheng.gov.cn/</w:t>
            </w:r>
            <w:r>
              <w:rPr>
                <w:rFonts w:hint="eastAsia" w:asciiTheme="minorEastAsia" w:hAnsiTheme="minorEastAsia" w:eastAsiaTheme="minorEastAsia" w:cstheme="minorEastAsia"/>
                <w:color w:val="auto"/>
                <w:sz w:val="24"/>
                <w:szCs w:val="24"/>
                <w:highlight w:val="none"/>
              </w:rPr>
              <w:fldChar w:fldCharType="end"/>
            </w:r>
          </w:p>
          <w:p>
            <w:pPr>
              <w:wordWrap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rPr>
              <w:t>佛山市禅城区</w:t>
            </w:r>
            <w:r>
              <w:rPr>
                <w:rFonts w:hint="eastAsia" w:asciiTheme="minorEastAsia" w:hAnsiTheme="minorEastAsia" w:eastAsiaTheme="minorEastAsia" w:cstheme="minorEastAsia"/>
                <w:color w:val="auto"/>
                <w:sz w:val="24"/>
                <w:szCs w:val="24"/>
                <w:highlight w:val="none"/>
              </w:rPr>
              <w:t>南庄镇政府：</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"http://www.chancheng.gov.cn/nanzhuang/" </w:instrText>
            </w:r>
            <w:r>
              <w:rPr>
                <w:rFonts w:hint="eastAsia" w:asciiTheme="minorEastAsia" w:hAnsiTheme="minorEastAsia" w:eastAsiaTheme="minorEastAsia" w:cstheme="minorEastAsia"/>
                <w:color w:val="auto"/>
                <w:sz w:val="24"/>
                <w:szCs w:val="24"/>
                <w:highlight w:val="none"/>
              </w:rPr>
              <w:fldChar w:fldCharType="separate"/>
            </w:r>
            <w:r>
              <w:rPr>
                <w:rStyle w:val="23"/>
                <w:rFonts w:hint="eastAsia" w:asciiTheme="minorEastAsia" w:hAnsiTheme="minorEastAsia" w:eastAsiaTheme="minorEastAsia" w:cstheme="minorEastAsia"/>
                <w:color w:val="auto"/>
                <w:sz w:val="24"/>
                <w:szCs w:val="24"/>
                <w:highlight w:val="none"/>
              </w:rPr>
              <w:t>http://www.chancheng.gov.cn/nanzhuang/</w:t>
            </w:r>
            <w:r>
              <w:rPr>
                <w:rFonts w:hint="eastAsia" w:asciiTheme="minorEastAsia" w:hAnsiTheme="minorEastAsia" w:eastAsiaTheme="minorEastAsia" w:cstheme="minorEastAsia"/>
                <w:color w:val="auto"/>
                <w:sz w:val="24"/>
                <w:szCs w:val="24"/>
                <w:highlight w:val="none"/>
              </w:rPr>
              <w:fldChar w:fldCharType="end"/>
            </w:r>
          </w:p>
          <w:p>
            <w:pPr>
              <w:pStyle w:val="2"/>
              <w:wordWrap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网站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（http://www.gdzczb.com/）</w:t>
            </w:r>
          </w:p>
        </w:tc>
      </w:tr>
    </w:tbl>
    <w:p>
      <w:pPr>
        <w:snapToGrid w:val="0"/>
        <w:ind w:right="-178" w:rightChars="-85"/>
        <w:rPr>
          <w:rFonts w:ascii="宋体"/>
          <w:b/>
          <w:color w:val="auto"/>
          <w:sz w:val="18"/>
          <w:szCs w:val="18"/>
          <w:highlight w:val="none"/>
        </w:rPr>
      </w:pPr>
    </w:p>
    <w:p>
      <w:pPr>
        <w:pStyle w:val="12"/>
        <w:rPr>
          <w:color w:val="auto"/>
          <w:highlight w:val="none"/>
        </w:rPr>
      </w:pPr>
      <w:bookmarkStart w:id="36" w:name="_Toc334432590"/>
    </w:p>
    <w:p>
      <w:pPr>
        <w:pStyle w:val="12"/>
        <w:rPr>
          <w:color w:val="auto"/>
          <w:highlight w:val="none"/>
        </w:rPr>
      </w:pPr>
    </w:p>
    <w:p>
      <w:pPr>
        <w:spacing w:after="72" w:afterLines="30" w:line="336" w:lineRule="auto"/>
        <w:ind w:right="-178" w:rightChars="-85"/>
        <w:jc w:val="center"/>
        <w:outlineLvl w:val="1"/>
        <w:rPr>
          <w:rFonts w:ascii="宋体"/>
          <w:b/>
          <w:color w:val="auto"/>
          <w:sz w:val="28"/>
          <w:szCs w:val="28"/>
          <w:highlight w:val="none"/>
        </w:rPr>
      </w:pPr>
      <w:r>
        <w:rPr>
          <w:rFonts w:ascii="宋体"/>
          <w:b/>
          <w:color w:val="auto"/>
          <w:sz w:val="28"/>
          <w:szCs w:val="28"/>
          <w:highlight w:val="none"/>
        </w:rPr>
        <w:br w:type="page"/>
      </w:r>
      <w:bookmarkStart w:id="37" w:name="_Toc3357"/>
      <w:bookmarkStart w:id="38" w:name="_Toc17337"/>
      <w:bookmarkStart w:id="39" w:name="_Toc12687"/>
      <w:bookmarkStart w:id="40" w:name="_Toc3020"/>
      <w:r>
        <w:rPr>
          <w:rFonts w:hint="eastAsia" w:ascii="宋体" w:hAnsi="宋体"/>
          <w:b/>
          <w:color w:val="auto"/>
          <w:sz w:val="28"/>
          <w:szCs w:val="28"/>
          <w:highlight w:val="none"/>
        </w:rPr>
        <w:t>二、总则及概念释义</w:t>
      </w:r>
      <w:bookmarkEnd w:id="36"/>
      <w:bookmarkEnd w:id="37"/>
      <w:bookmarkEnd w:id="38"/>
      <w:bookmarkEnd w:id="39"/>
      <w:bookmarkEnd w:id="40"/>
    </w:p>
    <w:p>
      <w:pPr>
        <w:numPr>
          <w:ilvl w:val="0"/>
          <w:numId w:val="23"/>
        </w:numPr>
        <w:tabs>
          <w:tab w:val="left" w:pos="540"/>
        </w:tabs>
        <w:spacing w:line="360" w:lineRule="auto"/>
        <w:ind w:left="420" w:leftChars="0" w:hanging="420" w:firstLineChars="0"/>
        <w:rPr>
          <w:rFonts w:ascii="宋体"/>
          <w:color w:val="auto"/>
          <w:sz w:val="24"/>
          <w:highlight w:val="none"/>
        </w:rPr>
      </w:pPr>
      <w:r>
        <w:rPr>
          <w:rFonts w:hint="eastAsia" w:ascii="宋体" w:hAnsi="宋体"/>
          <w:b/>
          <w:color w:val="auto"/>
          <w:sz w:val="24"/>
          <w:highlight w:val="none"/>
        </w:rPr>
        <w:t>招标适用范围：</w:t>
      </w:r>
      <w:r>
        <w:rPr>
          <w:rFonts w:hint="eastAsia" w:ascii="宋体" w:hAnsi="宋体"/>
          <w:color w:val="auto"/>
          <w:sz w:val="24"/>
          <w:highlight w:val="none"/>
        </w:rPr>
        <w:t>本</w:t>
      </w:r>
      <w:r>
        <w:rPr>
          <w:rFonts w:hint="eastAsia" w:ascii="宋体" w:hAnsi="宋体"/>
          <w:color w:val="auto"/>
          <w:sz w:val="24"/>
          <w:highlight w:val="none"/>
          <w:lang w:eastAsia="zh-CN"/>
        </w:rPr>
        <w:t>竞投文件</w:t>
      </w:r>
      <w:r>
        <w:rPr>
          <w:rFonts w:hint="eastAsia" w:ascii="宋体" w:hAnsi="宋体"/>
          <w:color w:val="auto"/>
          <w:sz w:val="24"/>
          <w:highlight w:val="none"/>
        </w:rPr>
        <w:t>仅适用于本次</w:t>
      </w:r>
      <w:r>
        <w:rPr>
          <w:rFonts w:hint="eastAsia" w:ascii="宋体" w:hAnsi="宋体"/>
          <w:color w:val="auto"/>
          <w:sz w:val="24"/>
          <w:highlight w:val="none"/>
          <w:lang w:eastAsia="zh-CN"/>
        </w:rPr>
        <w:t>竞</w:t>
      </w:r>
      <w:r>
        <w:rPr>
          <w:rFonts w:hint="eastAsia" w:ascii="宋体" w:hAnsi="宋体" w:cs="Times New Roman"/>
          <w:color w:val="auto"/>
          <w:sz w:val="24"/>
          <w:highlight w:val="none"/>
          <w:lang w:eastAsia="zh-CN"/>
        </w:rPr>
        <w:t>投公告中所叙述的项目内容及相关伴随服务。本次招标采用公开招标一次性报价暗标竞投的方式，价高者得的原则确定中标人。投标人所报价格为向招标人支付管理费用。</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本《</w:t>
      </w:r>
      <w:r>
        <w:rPr>
          <w:rFonts w:hint="eastAsia" w:ascii="宋体" w:hAnsi="宋体"/>
          <w:b/>
          <w:color w:val="auto"/>
          <w:sz w:val="24"/>
          <w:highlight w:val="none"/>
          <w:lang w:eastAsia="zh-CN"/>
        </w:rPr>
        <w:t>竞投文件</w:t>
      </w:r>
      <w:r>
        <w:rPr>
          <w:rFonts w:hint="eastAsia" w:ascii="宋体" w:hAnsi="宋体"/>
          <w:b/>
          <w:color w:val="auto"/>
          <w:sz w:val="24"/>
          <w:highlight w:val="none"/>
        </w:rPr>
        <w:t>》使用的词语有如下定义：</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b/>
          <w:color w:val="auto"/>
          <w:sz w:val="24"/>
          <w:highlight w:val="none"/>
          <w:u w:val="single"/>
          <w:lang w:eastAsia="zh-CN"/>
        </w:rPr>
        <w:t>佛山市禅城区南庄镇吉利村上二经济合作社</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他是</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活动当事人之一，负责项目的整体规划、技术方案可行性设计论证与实施，作为合同用户的主体承担质疑回复、履行合同义务、验收与评价等义务。</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”系指</w:t>
      </w:r>
      <w:r>
        <w:rPr>
          <w:rFonts w:hint="eastAsia" w:asciiTheme="minorEastAsia" w:hAnsiTheme="minorEastAsia" w:eastAsiaTheme="minorEastAsia" w:cstheme="minorEastAsia"/>
          <w:b/>
          <w:bCs/>
          <w:color w:val="auto"/>
          <w:sz w:val="24"/>
          <w:highlight w:val="none"/>
          <w:u w:val="single"/>
          <w:lang w:eastAsia="zh-CN"/>
        </w:rPr>
        <w:t>广东中采招标有限公司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是整个</w:t>
      </w:r>
      <w:r>
        <w:rPr>
          <w:rFonts w:hint="eastAsia" w:asciiTheme="minorEastAsia" w:hAnsiTheme="minorEastAsia" w:eastAsiaTheme="minorEastAsia" w:cstheme="minorEastAsia"/>
          <w:color w:val="auto"/>
          <w:sz w:val="24"/>
          <w:highlight w:val="none"/>
          <w:lang w:val="en-GB" w:eastAsia="zh-CN"/>
        </w:rPr>
        <w:t>竞投</w:t>
      </w:r>
      <w:r>
        <w:rPr>
          <w:rFonts w:hint="eastAsia" w:asciiTheme="minorEastAsia" w:hAnsiTheme="minorEastAsia" w:eastAsiaTheme="minorEastAsia" w:cstheme="minorEastAsia"/>
          <w:color w:val="auto"/>
          <w:sz w:val="24"/>
          <w:highlight w:val="none"/>
          <w:lang w:val="en-GB"/>
        </w:rPr>
        <w:t>活动的组织者，依法负责编制和发布</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，对</w:t>
      </w:r>
      <w:r>
        <w:rPr>
          <w:rFonts w:hint="eastAsia" w:asciiTheme="minorEastAsia" w:hAnsiTheme="minorEastAsia" w:eastAsiaTheme="minorEastAsia" w:cstheme="minorEastAsia"/>
          <w:color w:val="auto"/>
          <w:sz w:val="24"/>
          <w:highlight w:val="none"/>
          <w:lang w:val="en-GB" w:eastAsia="zh-CN"/>
        </w:rPr>
        <w:t>竞投文件</w:t>
      </w:r>
      <w:r>
        <w:rPr>
          <w:rFonts w:hint="eastAsia" w:asciiTheme="minorEastAsia" w:hAnsiTheme="minorEastAsia" w:eastAsiaTheme="minorEastAsia" w:cstheme="minorEastAsia"/>
          <w:color w:val="auto"/>
          <w:sz w:val="24"/>
          <w:highlight w:val="none"/>
          <w:lang w:val="en-GB"/>
        </w:rPr>
        <w:t>拥有最终的解释权。</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”系指响应招标、参加</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竞争的法人、其他组织或个人。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2.4</w:t>
      </w:r>
      <w:r>
        <w:rPr>
          <w:rFonts w:hint="eastAsia" w:asciiTheme="minorEastAsia" w:hAnsiTheme="minorEastAsia" w:eastAsiaTheme="minorEastAsia" w:cstheme="minorEastAsia"/>
          <w:color w:val="auto"/>
          <w:sz w:val="24"/>
          <w:highlight w:val="none"/>
        </w:rPr>
        <w:t>“中标人”系指由评标委员会按本《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》所列述的相关标准，评审推荐，经法定程序确定获得本项目中标资格的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”系指由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依法发布的本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，包括全部章节和附件。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资格审查</w:t>
      </w:r>
      <w:r>
        <w:rPr>
          <w:rFonts w:hint="eastAsia" w:asciiTheme="minorEastAsia" w:hAnsiTheme="minorEastAsia" w:eastAsiaTheme="minorEastAsia" w:cstheme="minorEastAsia"/>
          <w:color w:val="auto"/>
          <w:sz w:val="24"/>
          <w:highlight w:val="none"/>
        </w:rPr>
        <w:t>文件”系指</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根据本</w:t>
      </w:r>
      <w:r>
        <w:rPr>
          <w:rFonts w:hint="eastAsia" w:asciiTheme="minorEastAsia" w:hAnsiTheme="minorEastAsia" w:eastAsiaTheme="minorEastAsia" w:cstheme="minorEastAsia"/>
          <w:color w:val="auto"/>
          <w:sz w:val="24"/>
          <w:highlight w:val="none"/>
          <w:lang w:eastAsia="zh-CN"/>
        </w:rPr>
        <w:t>竞投文件</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提交的全部文件。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“合同”系指由本次</w:t>
      </w:r>
      <w:r>
        <w:rPr>
          <w:rFonts w:hint="eastAsia" w:asciiTheme="minorEastAsia" w:hAnsiTheme="minorEastAsia" w:eastAsiaTheme="minorEastAsia" w:cstheme="minorEastAsia"/>
          <w:color w:val="auto"/>
          <w:sz w:val="24"/>
          <w:highlight w:val="none"/>
          <w:lang w:eastAsia="zh-CN"/>
        </w:rPr>
        <w:t>竞投</w:t>
      </w:r>
      <w:r>
        <w:rPr>
          <w:rFonts w:hint="eastAsia" w:asciiTheme="minorEastAsia" w:hAnsiTheme="minorEastAsia" w:eastAsiaTheme="minorEastAsia" w:cstheme="minorEastAsia"/>
          <w:color w:val="auto"/>
          <w:sz w:val="24"/>
          <w:highlight w:val="none"/>
        </w:rPr>
        <w:t>所产生的合同或合约文件。</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日期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天数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GB"/>
        </w:rPr>
        <w:t>、</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lang w:val="en-GB"/>
        </w:rPr>
        <w:t>在无特别说明时</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lang w:val="en-GB"/>
        </w:rPr>
        <w:t>指公历日及北京时间。</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rPr>
      </w:pPr>
      <w:r>
        <w:rPr>
          <w:rFonts w:hint="eastAsia" w:ascii="宋体" w:hAnsi="宋体"/>
          <w:b/>
          <w:color w:val="auto"/>
          <w:sz w:val="24"/>
          <w:highlight w:val="none"/>
        </w:rPr>
        <w:t>合格的</w:t>
      </w:r>
      <w:r>
        <w:rPr>
          <w:rFonts w:hint="eastAsia" w:ascii="宋体" w:hAnsi="宋体"/>
          <w:b/>
          <w:color w:val="auto"/>
          <w:sz w:val="24"/>
          <w:highlight w:val="none"/>
          <w:lang w:eastAsia="zh-CN"/>
        </w:rPr>
        <w:t>投标人</w:t>
      </w:r>
      <w:r>
        <w:rPr>
          <w:rFonts w:hint="eastAsia" w:ascii="宋体" w:hAnsi="宋体"/>
          <w:b/>
          <w:color w:val="auto"/>
          <w:sz w:val="24"/>
          <w:highlight w:val="none"/>
        </w:rPr>
        <w:t>：</w:t>
      </w:r>
    </w:p>
    <w:p>
      <w:pPr>
        <w:numPr>
          <w:ilvl w:val="0"/>
          <w:numId w:val="0"/>
        </w:numPr>
        <w:tabs>
          <w:tab w:val="left" w:pos="540"/>
        </w:tabs>
        <w:spacing w:line="360" w:lineRule="auto"/>
        <w:ind w:left="480" w:hanging="480" w:hanging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3.1投标人必须符合以下资格条件：</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须具有独立法人资格，营业执照处于有效期内。</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本项目不接受联合体竞投。</w:t>
      </w:r>
    </w:p>
    <w:p>
      <w:pPr>
        <w:pStyle w:val="2"/>
        <w:numPr>
          <w:ilvl w:val="0"/>
          <w:numId w:val="24"/>
        </w:numPr>
        <w:spacing w:line="450" w:lineRule="exact"/>
        <w:ind w:left="425" w:leftChars="0" w:hanging="425"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法律、行政法规规定的其他条件。</w:t>
      </w:r>
    </w:p>
    <w:p>
      <w:pPr>
        <w:numPr>
          <w:ilvl w:val="0"/>
          <w:numId w:val="25"/>
        </w:numPr>
        <w:tabs>
          <w:tab w:val="left" w:pos="284"/>
        </w:tabs>
        <w:autoSpaceDE w:val="0"/>
        <w:autoSpaceDN w:val="0"/>
        <w:adjustRightInd w:val="0"/>
        <w:snapToGrid w:val="0"/>
        <w:spacing w:line="360" w:lineRule="auto"/>
        <w:ind w:left="425" w:leftChars="0" w:hanging="425" w:firstLineChars="0"/>
        <w:rPr>
          <w:rFonts w:hint="eastAsia" w:cs="宋体"/>
          <w:color w:val="auto"/>
          <w:sz w:val="24"/>
          <w:szCs w:val="24"/>
          <w:highlight w:val="none"/>
          <w:lang w:eastAsia="zh-CN"/>
        </w:rPr>
      </w:pPr>
      <w:r>
        <w:rPr>
          <w:rFonts w:hint="eastAsia" w:cs="宋体"/>
          <w:color w:val="auto"/>
          <w:sz w:val="24"/>
          <w:szCs w:val="24"/>
          <w:highlight w:val="none"/>
          <w:lang w:eastAsia="zh-CN"/>
        </w:rPr>
        <w:t>单位负责人为同一人或者存在直接控股、管理关系的不同投标人，不得同时参加本项目竞投；</w:t>
      </w:r>
    </w:p>
    <w:p>
      <w:pPr>
        <w:numPr>
          <w:ilvl w:val="0"/>
          <w:numId w:val="25"/>
        </w:numPr>
        <w:tabs>
          <w:tab w:val="left" w:pos="284"/>
        </w:tabs>
        <w:autoSpaceDE w:val="0"/>
        <w:autoSpaceDN w:val="0"/>
        <w:adjustRightInd w:val="0"/>
        <w:snapToGrid w:val="0"/>
        <w:spacing w:line="360" w:lineRule="auto"/>
        <w:ind w:left="425" w:leftChars="0" w:hanging="425" w:firstLineChars="0"/>
        <w:rPr>
          <w:rFonts w:ascii="宋体"/>
          <w:color w:val="auto"/>
          <w:sz w:val="24"/>
          <w:szCs w:val="24"/>
          <w:highlight w:val="none"/>
        </w:rPr>
      </w:pPr>
      <w:r>
        <w:rPr>
          <w:rFonts w:hint="eastAsia" w:cs="宋体"/>
          <w:color w:val="auto"/>
          <w:sz w:val="24"/>
          <w:szCs w:val="24"/>
          <w:highlight w:val="none"/>
          <w:lang w:eastAsia="zh-CN"/>
        </w:rPr>
        <w:t>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numPr>
          <w:ilvl w:val="0"/>
          <w:numId w:val="0"/>
        </w:numPr>
        <w:tabs>
          <w:tab w:val="left" w:pos="540"/>
        </w:tabs>
        <w:spacing w:line="360" w:lineRule="auto"/>
        <w:ind w:left="0" w:firstLine="0"/>
        <w:rPr>
          <w:rFonts w:ascii="宋体"/>
          <w:color w:val="auto"/>
          <w:sz w:val="24"/>
          <w:szCs w:val="24"/>
          <w:highlight w:val="none"/>
        </w:rPr>
      </w:pPr>
      <w:r>
        <w:rPr>
          <w:rFonts w:hint="eastAsia" w:ascii="宋体" w:hAnsi="宋体"/>
          <w:color w:val="auto"/>
          <w:sz w:val="24"/>
          <w:szCs w:val="24"/>
          <w:highlight w:val="none"/>
          <w:lang w:val="en-US" w:eastAsia="zh-CN"/>
        </w:rPr>
        <w:t>3.2</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必须购买了</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w:t>
      </w:r>
    </w:p>
    <w:p>
      <w:pPr>
        <w:numPr>
          <w:ilvl w:val="0"/>
          <w:numId w:val="0"/>
        </w:numPr>
        <w:tabs>
          <w:tab w:val="left" w:pos="540"/>
        </w:tabs>
        <w:spacing w:line="360" w:lineRule="auto"/>
        <w:ind w:left="480" w:hanging="480" w:hangingChars="200"/>
        <w:rPr>
          <w:rFonts w:ascii="宋体"/>
          <w:color w:val="auto"/>
          <w:sz w:val="24"/>
          <w:szCs w:val="24"/>
          <w:highlight w:val="none"/>
        </w:rPr>
      </w:pPr>
      <w:r>
        <w:rPr>
          <w:rFonts w:hint="eastAsia" w:ascii="宋体" w:hAnsi="宋体"/>
          <w:color w:val="auto"/>
          <w:sz w:val="24"/>
          <w:szCs w:val="24"/>
          <w:highlight w:val="none"/>
          <w:lang w:val="en-US" w:eastAsia="zh-CN"/>
        </w:rPr>
        <w:t>3.3</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获取了本</w:t>
      </w:r>
      <w:r>
        <w:rPr>
          <w:rFonts w:hint="eastAsia" w:ascii="宋体" w:hAnsi="宋体"/>
          <w:color w:val="auto"/>
          <w:sz w:val="24"/>
          <w:szCs w:val="24"/>
          <w:highlight w:val="none"/>
          <w:lang w:eastAsia="zh-CN"/>
        </w:rPr>
        <w:t>竞投文件</w:t>
      </w:r>
      <w:r>
        <w:rPr>
          <w:rFonts w:hint="eastAsia" w:ascii="宋体" w:hAnsi="宋体"/>
          <w:color w:val="auto"/>
          <w:sz w:val="24"/>
          <w:szCs w:val="24"/>
          <w:highlight w:val="none"/>
        </w:rPr>
        <w:t>并非意味着满足了合格、有效</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的基本条件，一切均以</w:t>
      </w:r>
      <w:r>
        <w:rPr>
          <w:rFonts w:hint="eastAsia" w:ascii="宋体" w:hAnsi="宋体"/>
          <w:color w:val="auto"/>
          <w:sz w:val="24"/>
          <w:szCs w:val="24"/>
          <w:highlight w:val="none"/>
          <w:lang w:eastAsia="zh-CN"/>
        </w:rPr>
        <w:t>招标人代表与招标代理机构代表</w:t>
      </w:r>
      <w:r>
        <w:rPr>
          <w:rFonts w:hint="eastAsia" w:ascii="宋体" w:hAnsi="宋体"/>
          <w:color w:val="auto"/>
          <w:sz w:val="24"/>
          <w:szCs w:val="24"/>
          <w:highlight w:val="none"/>
        </w:rPr>
        <w:t>共同评定确认的结果为准。不合格的</w:t>
      </w:r>
      <w:r>
        <w:rPr>
          <w:rFonts w:hint="eastAsia" w:ascii="宋体" w:hAnsi="宋体"/>
          <w:color w:val="auto"/>
          <w:sz w:val="24"/>
          <w:szCs w:val="24"/>
          <w:highlight w:val="none"/>
          <w:lang w:eastAsia="zh-CN"/>
        </w:rPr>
        <w:t>投标人招标人拒绝其参加竞投</w:t>
      </w:r>
      <w:r>
        <w:rPr>
          <w:rFonts w:hint="eastAsia" w:ascii="宋体" w:hAnsi="宋体"/>
          <w:color w:val="auto"/>
          <w:sz w:val="24"/>
          <w:szCs w:val="24"/>
          <w:highlight w:val="none"/>
        </w:rPr>
        <w:t>，且</w:t>
      </w:r>
      <w:r>
        <w:rPr>
          <w:rFonts w:hint="eastAsia" w:ascii="宋体" w:hAnsi="宋体"/>
          <w:color w:val="auto"/>
          <w:sz w:val="24"/>
          <w:szCs w:val="24"/>
          <w:highlight w:val="none"/>
          <w:lang w:eastAsia="zh-CN"/>
        </w:rPr>
        <w:t>不退还竞投文件费和</w:t>
      </w:r>
      <w:r>
        <w:rPr>
          <w:rFonts w:hint="eastAsia" w:ascii="宋体" w:hAnsi="宋体"/>
          <w:color w:val="auto"/>
          <w:sz w:val="24"/>
          <w:szCs w:val="24"/>
          <w:highlight w:val="none"/>
        </w:rPr>
        <w:t>不予支付任何费用。</w:t>
      </w:r>
    </w:p>
    <w:p>
      <w:pPr>
        <w:numPr>
          <w:ilvl w:val="0"/>
          <w:numId w:val="23"/>
        </w:numPr>
        <w:tabs>
          <w:tab w:val="left" w:pos="540"/>
        </w:tabs>
        <w:spacing w:before="120" w:beforeLines="50" w:line="360" w:lineRule="auto"/>
        <w:ind w:left="420" w:leftChars="0" w:hanging="420" w:firstLineChars="0"/>
        <w:rPr>
          <w:rFonts w:ascii="宋体"/>
          <w:color w:val="auto"/>
          <w:sz w:val="24"/>
          <w:szCs w:val="24"/>
          <w:highlight w:val="none"/>
        </w:rPr>
      </w:pPr>
      <w:r>
        <w:rPr>
          <w:rFonts w:hint="eastAsia" w:ascii="宋体" w:hAnsi="宋体"/>
          <w:b/>
          <w:color w:val="auto"/>
          <w:sz w:val="24"/>
          <w:szCs w:val="24"/>
          <w:highlight w:val="none"/>
          <w:lang w:val="zh-CN"/>
        </w:rPr>
        <w:t>竞投费用：</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应承担所有与准备和参加</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所涉及的一切费用。不论</w:t>
      </w: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的结果如何，</w:t>
      </w:r>
      <w:r>
        <w:rPr>
          <w:rFonts w:hint="eastAsia" w:ascii="宋体" w:hAnsi="宋体"/>
          <w:color w:val="auto"/>
          <w:sz w:val="24"/>
          <w:szCs w:val="24"/>
          <w:highlight w:val="none"/>
          <w:lang w:eastAsia="zh-CN"/>
        </w:rPr>
        <w:t>招标代理机构</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均无义务和责任承担这些费用。</w:t>
      </w:r>
    </w:p>
    <w:p>
      <w:pPr>
        <w:numPr>
          <w:ilvl w:val="0"/>
          <w:numId w:val="23"/>
        </w:numPr>
        <w:tabs>
          <w:tab w:val="left" w:pos="540"/>
        </w:tabs>
        <w:spacing w:before="120" w:beforeLines="50" w:line="360" w:lineRule="auto"/>
        <w:ind w:left="420" w:leftChars="0" w:hanging="420" w:firstLineChars="0"/>
        <w:rPr>
          <w:rFonts w:ascii="宋体"/>
          <w:color w:val="auto"/>
          <w:sz w:val="24"/>
          <w:highlight w:val="none"/>
        </w:rPr>
      </w:pPr>
      <w:r>
        <w:rPr>
          <w:rFonts w:hint="eastAsia" w:ascii="宋体" w:hAnsi="宋体"/>
          <w:b/>
          <w:color w:val="auto"/>
          <w:sz w:val="24"/>
          <w:highlight w:val="none"/>
          <w:lang w:val="zh-CN"/>
        </w:rPr>
        <w:t>纪律与保密事项：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5.1</w:t>
      </w:r>
      <w:r>
        <w:rPr>
          <w:rFonts w:hint="eastAsia" w:ascii="宋体" w:hAnsi="宋体"/>
          <w:color w:val="auto"/>
          <w:sz w:val="24"/>
          <w:szCs w:val="24"/>
          <w:highlight w:val="none"/>
          <w:lang w:eastAsia="zh-CN"/>
        </w:rPr>
        <w:t>投标人不得相互串通竞投报价，或以不正当的手段妨碍、排挤其他投标人，扰乱招标市场，破坏公平竞争原则，不得损害招标人或其他投标人的合法权益，投标人不得以向招标人行贿或者采取其他不正当手段谋取中标。</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5.2</w:t>
      </w:r>
      <w:r>
        <w:rPr>
          <w:rFonts w:hint="eastAsia" w:ascii="宋体" w:hAnsi="宋体"/>
          <w:color w:val="auto"/>
          <w:sz w:val="24"/>
          <w:szCs w:val="24"/>
          <w:highlight w:val="none"/>
          <w:lang w:eastAsia="zh-CN"/>
        </w:rPr>
        <w:t>获得本竞投文件者，应对文件进行保密，不得用作本次竞投以外的任何用途。若有要求，开标后，投标人应归还竞投文件中保密的文件和资料。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5.3</w:t>
      </w:r>
      <w:r>
        <w:rPr>
          <w:rFonts w:hint="eastAsia" w:ascii="宋体" w:hAnsi="宋体"/>
          <w:color w:val="auto"/>
          <w:sz w:val="24"/>
          <w:szCs w:val="24"/>
          <w:highlight w:val="none"/>
          <w:lang w:eastAsia="zh-CN"/>
        </w:rPr>
        <w:t>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lang w:eastAsia="zh-CN"/>
        </w:rPr>
        <w:t>除投标人被要求对竞投文件进行澄清外，在确定中标人之前，投标人不得与招标人就竞投价格、竞投方案等实质性内容进行谈判。</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5.5</w:t>
      </w:r>
      <w:r>
        <w:rPr>
          <w:rFonts w:hint="eastAsia" w:ascii="宋体" w:hAnsi="宋体"/>
          <w:color w:val="auto"/>
          <w:sz w:val="24"/>
          <w:szCs w:val="24"/>
          <w:highlight w:val="none"/>
          <w:lang w:eastAsia="zh-CN"/>
        </w:rPr>
        <w:t>从递交资格审查文件截止之日起至授予合同期间，在资格审查文件的审查、澄清阶段，投标人试图对招标代理机构施加任何影响或对招标人的比较及授予合同的决定产生影响，都可能导致其取消资格。</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勘探现场及咨询答疑会：</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lang w:val="zh-CN" w:eastAsia="zh-CN"/>
        </w:rPr>
        <w:t>投标人应充分重视和仔细地进行这种考察，以便获取那些须投标人自己负责的有关编制资格审查文件和签署合同所涉及现场所有的资料。一旦中标，这种考察即被认为其结果已在中标文件中得到充分反映。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6.2</w:t>
      </w:r>
      <w:r>
        <w:rPr>
          <w:rFonts w:hint="eastAsia" w:ascii="宋体" w:hAnsi="宋体"/>
          <w:color w:val="auto"/>
          <w:sz w:val="24"/>
          <w:szCs w:val="24"/>
          <w:highlight w:val="none"/>
          <w:lang w:val="zh-CN" w:eastAsia="zh-CN"/>
        </w:rPr>
        <w:t>招标人向投标人提供的有关现场的数据和资料，是招标人现有的能被投标人利用的资料，招标人对投标人做出的任何推论、理解和结论均不负责任。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6.3</w:t>
      </w:r>
      <w:r>
        <w:rPr>
          <w:rFonts w:hint="eastAsia" w:ascii="宋体" w:hAnsi="宋体"/>
          <w:color w:val="auto"/>
          <w:sz w:val="24"/>
          <w:szCs w:val="24"/>
          <w:highlight w:val="none"/>
          <w:lang w:val="zh-CN" w:eastAsia="zh-CN"/>
        </w:rPr>
        <w:t>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6.4</w:t>
      </w:r>
      <w:r>
        <w:rPr>
          <w:rFonts w:hint="eastAsia" w:ascii="宋体" w:hAnsi="宋体"/>
          <w:color w:val="auto"/>
          <w:sz w:val="24"/>
          <w:szCs w:val="24"/>
          <w:highlight w:val="none"/>
          <w:lang w:val="zh-CN" w:eastAsia="zh-CN"/>
        </w:rPr>
        <w:t>本项目不集中统一举行现场勘探，投标人可自行考察现场，因此而产生的费用由投标人自己承担。</w:t>
      </w:r>
    </w:p>
    <w:p>
      <w:pPr>
        <w:spacing w:line="312" w:lineRule="auto"/>
        <w:rPr>
          <w:rFonts w:ascii="宋体"/>
          <w:color w:val="auto"/>
          <w:sz w:val="24"/>
          <w:highlight w:val="none"/>
        </w:rPr>
      </w:pPr>
    </w:p>
    <w:p>
      <w:pPr>
        <w:spacing w:after="72" w:afterLines="30" w:line="336" w:lineRule="auto"/>
        <w:ind w:right="-178" w:rightChars="-85"/>
        <w:jc w:val="center"/>
        <w:outlineLvl w:val="1"/>
        <w:rPr>
          <w:rFonts w:ascii="宋体"/>
          <w:b/>
          <w:color w:val="auto"/>
          <w:sz w:val="28"/>
          <w:szCs w:val="28"/>
          <w:highlight w:val="none"/>
        </w:rPr>
      </w:pPr>
      <w:bookmarkStart w:id="41" w:name="_Toc19884"/>
      <w:bookmarkStart w:id="42" w:name="_Toc334432591"/>
      <w:bookmarkStart w:id="43" w:name="_Toc21830"/>
      <w:bookmarkStart w:id="44" w:name="_Toc10095"/>
      <w:bookmarkStart w:id="45" w:name="_Toc6537"/>
      <w:r>
        <w:rPr>
          <w:rFonts w:hint="eastAsia" w:ascii="宋体" w:hAnsi="宋体"/>
          <w:b/>
          <w:color w:val="auto"/>
          <w:sz w:val="28"/>
          <w:szCs w:val="28"/>
          <w:highlight w:val="none"/>
        </w:rPr>
        <w:t>三、</w:t>
      </w:r>
      <w:r>
        <w:rPr>
          <w:rFonts w:hint="eastAsia" w:ascii="宋体" w:hAnsi="宋体"/>
          <w:b/>
          <w:color w:val="auto"/>
          <w:sz w:val="28"/>
          <w:szCs w:val="28"/>
          <w:highlight w:val="none"/>
          <w:lang w:eastAsia="zh-CN"/>
        </w:rPr>
        <w:t>竞投文件</w:t>
      </w:r>
      <w:r>
        <w:rPr>
          <w:rFonts w:hint="eastAsia" w:ascii="宋体" w:hAnsi="宋体"/>
          <w:b/>
          <w:color w:val="auto"/>
          <w:sz w:val="28"/>
          <w:szCs w:val="28"/>
          <w:highlight w:val="none"/>
        </w:rPr>
        <w:t>说明</w:t>
      </w:r>
      <w:bookmarkEnd w:id="41"/>
      <w:bookmarkEnd w:id="42"/>
      <w:bookmarkEnd w:id="43"/>
      <w:bookmarkEnd w:id="44"/>
      <w:bookmarkEnd w:id="45"/>
    </w:p>
    <w:p>
      <w:pPr>
        <w:numPr>
          <w:ilvl w:val="0"/>
          <w:numId w:val="23"/>
        </w:numPr>
        <w:tabs>
          <w:tab w:val="left" w:pos="540"/>
        </w:tabs>
        <w:spacing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7.1</w:t>
      </w:r>
      <w:r>
        <w:rPr>
          <w:rFonts w:hint="eastAsia" w:ascii="宋体" w:hAnsi="宋体"/>
          <w:color w:val="auto"/>
          <w:sz w:val="24"/>
          <w:szCs w:val="24"/>
          <w:highlight w:val="none"/>
          <w:lang w:val="en-GB" w:eastAsia="zh-CN"/>
        </w:rPr>
        <w:t>本竞投文件是招标人作为阐明项目内容及相应的伴随服务的基本要求，竞投文件、资格审查文件、资格审查结果、竞投结果、合同书和相关承诺确认文件均作为任何一方当事人履约的重要依据。投标人获得竞投文件后，应仔细检查竞投文件的所有内容，如有残缺等问题应在获得竞投文件1天内向招标代理机构（或招标人）提出，否则，由此引起的损失由投标人自己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本竞投文件由①竞投公告、②项目内容、③投标人须知、④合同书范本、⑤资格审查文件格式共五部分组成。</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7.3</w:t>
      </w:r>
      <w:r>
        <w:rPr>
          <w:rFonts w:hint="eastAsia" w:ascii="宋体" w:hAnsi="宋体"/>
          <w:color w:val="auto"/>
          <w:sz w:val="24"/>
          <w:szCs w:val="24"/>
          <w:highlight w:val="none"/>
          <w:lang w:val="zh-CN" w:eastAsia="zh-CN"/>
        </w:rPr>
        <w:t>投标人应仔细阅读、并充分理解竞投文件的全部内容（包括所有的补充、修改内容、重要事项、格式、条款和技术规范、参数及要求等）。按照竞投文件的要求编制资格审查文件和提交全部资料，并对竞投文件提出的实质性和条件作出响应。</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7.2</w:t>
      </w:r>
      <w:r>
        <w:rPr>
          <w:rFonts w:hint="eastAsia" w:ascii="宋体" w:hAnsi="宋体"/>
          <w:color w:val="auto"/>
          <w:sz w:val="24"/>
          <w:szCs w:val="24"/>
          <w:highlight w:val="none"/>
          <w:lang w:val="zh-CN" w:eastAsia="zh-CN"/>
        </w:rPr>
        <w:t>投标人没有按照竞投文件要求提交全部资料，或者资格审查文件没有对竞投文件在各方面都做出实质性响应是投标人的风险，有可能导致其资格审查不通过，或被认定为无效竞投或被确定为竞投无效。</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竞投文件的澄清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8.1</w:t>
      </w:r>
      <w:r>
        <w:rPr>
          <w:rFonts w:hint="eastAsia" w:ascii="宋体" w:hAnsi="宋体"/>
          <w:color w:val="auto"/>
          <w:sz w:val="24"/>
          <w:szCs w:val="24"/>
          <w:highlight w:val="none"/>
          <w:lang w:val="zh-CN" w:eastAsia="zh-CN"/>
        </w:rPr>
        <w:t>投标人对本竞投文件如有疑问，请按竞投公告载明的地址以书面形式【包括信函或传真等（应加盖公章），下同】向招标代理机构提出澄清要求,招标代理机构对收到的任何澄清要求以书面形式予以答复。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8.2</w:t>
      </w:r>
      <w:r>
        <w:rPr>
          <w:rFonts w:hint="eastAsia" w:ascii="宋体" w:hAnsi="宋体"/>
          <w:color w:val="auto"/>
          <w:sz w:val="24"/>
          <w:szCs w:val="24"/>
          <w:highlight w:val="none"/>
          <w:lang w:val="zh-CN" w:eastAsia="zh-CN"/>
        </w:rPr>
        <w:t>根据需要，招标代理机构和招标人在收到投标人递交的书面疑问或澄清要求后，将以书面形式解答或通过信息发布网站发布答疑或澄清文件。答疑或澄清文件将作为竞投文件的组成部分，如与竞投文件内容不一致的，应以最终的答疑或澄清文件的内容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lang w:val="zh-CN" w:eastAsia="zh-CN"/>
        </w:rPr>
        <w:t>投标人在规定的时间内，未对发布的澄清内容或答疑内容作出回复时，招标代理机构和招标人将视其为无异议。</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8.4</w:t>
      </w:r>
      <w:r>
        <w:rPr>
          <w:rFonts w:hint="eastAsia" w:ascii="宋体" w:hAnsi="宋体"/>
          <w:color w:val="auto"/>
          <w:sz w:val="24"/>
          <w:szCs w:val="24"/>
          <w:highlight w:val="none"/>
          <w:lang w:val="zh-CN" w:eastAsia="zh-CN"/>
        </w:rPr>
        <w:t>招标过程中的一切修改文件或补充文件一旦确认后与竞投文件具有同等法律效力，投标人有责任履行相应的义务。</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8.5澄清的内容可能影响资格审查文件编制的，招标人或者招标代理机构应当在竞投截止时间至少1日前，</w:t>
      </w:r>
      <w:r>
        <w:rPr>
          <w:rFonts w:hint="eastAsia" w:ascii="宋体" w:hAnsi="宋体"/>
          <w:color w:val="auto"/>
          <w:sz w:val="24"/>
          <w:szCs w:val="24"/>
          <w:highlight w:val="none"/>
          <w:lang w:val="zh-CN" w:eastAsia="zh-CN"/>
        </w:rPr>
        <w:t>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潜在投标人；不足1日的，招标人或者招标代理机构应当顺延提交资格审查文件的截止时间。</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竞投文件的修改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9.1</w:t>
      </w:r>
      <w:r>
        <w:rPr>
          <w:rFonts w:hint="eastAsia" w:ascii="宋体" w:hAnsi="宋体"/>
          <w:color w:val="auto"/>
          <w:sz w:val="24"/>
          <w:szCs w:val="24"/>
          <w:highlight w:val="none"/>
          <w:lang w:val="zh-CN" w:eastAsia="zh-CN"/>
        </w:rPr>
        <w:t>在递交资格审查文件截止日期前的任何时候，无论何故，招标代理机构可主动地或在答复投标人提出澄清的问题时对竞投文件进行修改。</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9.2</w:t>
      </w:r>
      <w:r>
        <w:rPr>
          <w:rFonts w:hint="eastAsia" w:ascii="宋体" w:hAnsi="宋体"/>
          <w:color w:val="auto"/>
          <w:sz w:val="24"/>
          <w:szCs w:val="24"/>
          <w:highlight w:val="none"/>
          <w:lang w:val="zh-CN" w:eastAsia="zh-CN"/>
        </w:rPr>
        <w:t>竞投文件的修改将在</w:t>
      </w:r>
      <w:r>
        <w:rPr>
          <w:rFonts w:hint="eastAsia" w:ascii="宋体" w:hAnsi="宋体"/>
          <w:color w:val="auto"/>
          <w:sz w:val="24"/>
          <w:szCs w:val="24"/>
          <w:highlight w:val="none"/>
          <w:lang w:val="en-US" w:eastAsia="zh-CN"/>
        </w:rPr>
        <w:t>佛山市公共资源交易中心禅城分中心网页发布，投标人自行查看，一经发布则视作全体投标人均已知悉</w:t>
      </w:r>
      <w:r>
        <w:rPr>
          <w:rFonts w:hint="eastAsia" w:ascii="宋体" w:hAnsi="宋体"/>
          <w:color w:val="auto"/>
          <w:sz w:val="24"/>
          <w:szCs w:val="24"/>
          <w:highlight w:val="none"/>
          <w:lang w:val="zh-CN" w:eastAsia="zh-CN"/>
        </w:rPr>
        <w:t>。</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9.3</w:t>
      </w:r>
      <w:r>
        <w:rPr>
          <w:rFonts w:hint="eastAsia" w:ascii="宋体" w:hAnsi="宋体"/>
          <w:color w:val="auto"/>
          <w:sz w:val="24"/>
          <w:szCs w:val="24"/>
          <w:highlight w:val="none"/>
          <w:lang w:val="zh-CN" w:eastAsia="zh-CN"/>
        </w:rPr>
        <w:t>必要时，为使投标人在准备资格审查文件时有合理的时间考虑竞投文件的修改，招标代理机构可酌情推迟本项目递交资格审查文件截止日期，但应发布公告并书面通知所有购买竞投文件的潜在投标人。</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9.4</w:t>
      </w:r>
      <w:r>
        <w:rPr>
          <w:rFonts w:hint="eastAsia" w:ascii="宋体" w:hAnsi="宋体"/>
          <w:color w:val="auto"/>
          <w:sz w:val="24"/>
          <w:szCs w:val="24"/>
          <w:highlight w:val="none"/>
          <w:lang w:val="zh-CN" w:eastAsia="zh-CN"/>
        </w:rPr>
        <w:t>修改的内容可能影响资格审查文件编制的，招标人或者招标代理机构应当在竞投截止时间至少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日前，在</w:t>
      </w:r>
      <w:r>
        <w:rPr>
          <w:rFonts w:hint="eastAsia" w:ascii="宋体" w:hAnsi="宋体"/>
          <w:color w:val="auto"/>
          <w:sz w:val="24"/>
          <w:szCs w:val="24"/>
          <w:highlight w:val="none"/>
          <w:lang w:val="en-US" w:eastAsia="zh-CN"/>
        </w:rPr>
        <w:t>佛山市公共资源交易中心禅城分中心网页发布</w:t>
      </w:r>
      <w:r>
        <w:rPr>
          <w:rFonts w:hint="eastAsia" w:ascii="宋体" w:hAnsi="宋体"/>
          <w:color w:val="auto"/>
          <w:sz w:val="24"/>
          <w:szCs w:val="24"/>
          <w:highlight w:val="none"/>
          <w:lang w:val="zh-CN" w:eastAsia="zh-CN"/>
        </w:rPr>
        <w:t>通知</w:t>
      </w:r>
      <w:r>
        <w:rPr>
          <w:rFonts w:hint="eastAsia" w:ascii="宋体" w:hAnsi="宋体"/>
          <w:color w:val="auto"/>
          <w:sz w:val="24"/>
          <w:szCs w:val="24"/>
          <w:highlight w:val="none"/>
          <w:lang w:val="en-US" w:eastAsia="zh-CN"/>
        </w:rPr>
        <w:t>潜在投标人</w:t>
      </w:r>
      <w:r>
        <w:rPr>
          <w:rFonts w:hint="eastAsia" w:ascii="宋体" w:hAnsi="宋体"/>
          <w:color w:val="auto"/>
          <w:sz w:val="24"/>
          <w:szCs w:val="24"/>
          <w:highlight w:val="none"/>
          <w:lang w:val="zh-CN" w:eastAsia="zh-CN"/>
        </w:rPr>
        <w:t>；不足</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eastAsia="zh-CN"/>
        </w:rPr>
        <w:t>日的，招标人或者招标代理机构应当顺延提交资格审查文件的截止时间。</w:t>
      </w:r>
    </w:p>
    <w:p>
      <w:pPr>
        <w:spacing w:after="72" w:afterLines="30" w:line="336" w:lineRule="auto"/>
        <w:ind w:right="-178" w:rightChars="-85"/>
        <w:jc w:val="center"/>
        <w:rPr>
          <w:rFonts w:hint="eastAsia" w:ascii="宋体" w:hAnsi="宋体"/>
          <w:b/>
          <w:color w:val="auto"/>
          <w:sz w:val="28"/>
          <w:szCs w:val="28"/>
          <w:highlight w:val="none"/>
        </w:rPr>
      </w:pPr>
      <w:bookmarkStart w:id="46" w:name="_Toc334432592"/>
      <w:bookmarkStart w:id="47" w:name="_Toc31024"/>
    </w:p>
    <w:p>
      <w:pPr>
        <w:spacing w:after="72" w:afterLines="30" w:line="336" w:lineRule="auto"/>
        <w:ind w:right="-178" w:rightChars="-85"/>
        <w:jc w:val="center"/>
        <w:outlineLvl w:val="1"/>
        <w:rPr>
          <w:rFonts w:ascii="宋体"/>
          <w:b/>
          <w:color w:val="auto"/>
          <w:sz w:val="28"/>
          <w:szCs w:val="28"/>
          <w:highlight w:val="none"/>
        </w:rPr>
      </w:pPr>
      <w:bookmarkStart w:id="48" w:name="_Toc5541"/>
      <w:bookmarkStart w:id="49" w:name="_Toc29099"/>
      <w:bookmarkStart w:id="50" w:name="_Toc18892"/>
      <w:r>
        <w:rPr>
          <w:rFonts w:hint="eastAsia" w:ascii="宋体" w:hAnsi="宋体"/>
          <w:b/>
          <w:color w:val="auto"/>
          <w:sz w:val="28"/>
          <w:szCs w:val="28"/>
          <w:highlight w:val="none"/>
        </w:rPr>
        <w:t>四、</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文件说明</w:t>
      </w:r>
      <w:bookmarkEnd w:id="46"/>
      <w:bookmarkEnd w:id="47"/>
      <w:bookmarkEnd w:id="48"/>
      <w:bookmarkEnd w:id="49"/>
      <w:bookmarkEnd w:id="50"/>
    </w:p>
    <w:p>
      <w:pPr>
        <w:numPr>
          <w:ilvl w:val="0"/>
          <w:numId w:val="23"/>
        </w:numPr>
        <w:tabs>
          <w:tab w:val="left" w:pos="540"/>
        </w:tabs>
        <w:spacing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原则</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10.1</w:t>
      </w:r>
      <w:r>
        <w:rPr>
          <w:rFonts w:hint="eastAsia" w:ascii="宋体" w:hAnsi="宋体"/>
          <w:color w:val="auto"/>
          <w:sz w:val="24"/>
          <w:szCs w:val="24"/>
          <w:highlight w:val="none"/>
          <w:lang w:val="en-GB" w:eastAsia="zh-CN"/>
        </w:rPr>
        <w:t>资格审查文件应突出重点，精简扼要。所提供的资料必须符合诚实信用、客观真实的原则，对弄虚作假或违背诚信的违法行为，应自行承担相应的后果及法律责任。</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zh-CN" w:eastAsia="zh-CN"/>
        </w:rPr>
      </w:pPr>
      <w:r>
        <w:rPr>
          <w:rFonts w:hint="eastAsia" w:ascii="宋体" w:hAnsi="宋体"/>
          <w:color w:val="auto"/>
          <w:sz w:val="24"/>
          <w:szCs w:val="24"/>
          <w:highlight w:val="none"/>
          <w:lang w:val="en-US" w:eastAsia="zh-CN"/>
        </w:rPr>
        <w:t>10.2</w:t>
      </w:r>
      <w:r>
        <w:rPr>
          <w:rFonts w:hint="eastAsia" w:ascii="宋体" w:hAnsi="宋体"/>
          <w:color w:val="auto"/>
          <w:sz w:val="24"/>
          <w:szCs w:val="24"/>
          <w:highlight w:val="none"/>
          <w:lang w:val="zh-CN" w:eastAsia="zh-CN"/>
        </w:rPr>
        <w:t>无论采购结果如何，投标人自行承担因参加本次竞投而发生的一切费用。</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bookmarkStart w:id="51" w:name="_Toc136663328"/>
      <w:bookmarkStart w:id="52" w:name="_Toc168310815"/>
      <w:bookmarkStart w:id="53" w:name="_Toc149106628"/>
      <w:bookmarkStart w:id="54" w:name="_Toc119321129"/>
      <w:bookmarkStart w:id="55" w:name="_Toc148948833"/>
      <w:bookmarkStart w:id="56" w:name="_Toc136684235"/>
      <w:bookmarkStart w:id="57" w:name="_Toc136659020"/>
      <w:bookmarkStart w:id="58" w:name="_Toc142985643"/>
      <w:bookmarkStart w:id="59" w:name="_Toc136682646"/>
      <w:r>
        <w:rPr>
          <w:rFonts w:hint="eastAsia" w:ascii="宋体" w:hAnsi="宋体"/>
          <w:b/>
          <w:color w:val="auto"/>
          <w:sz w:val="24"/>
          <w:highlight w:val="none"/>
          <w:lang w:val="zh-CN"/>
        </w:rPr>
        <w:t>资格审查文件的组成与制作要求</w:t>
      </w:r>
      <w:bookmarkEnd w:id="51"/>
      <w:bookmarkEnd w:id="52"/>
      <w:bookmarkEnd w:id="53"/>
      <w:bookmarkEnd w:id="54"/>
      <w:bookmarkEnd w:id="55"/>
      <w:bookmarkEnd w:id="56"/>
      <w:bookmarkEnd w:id="57"/>
      <w:bookmarkEnd w:id="58"/>
      <w:bookmarkEnd w:id="59"/>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11.1</w:t>
      </w:r>
      <w:r>
        <w:rPr>
          <w:rFonts w:hint="eastAsia" w:ascii="宋体" w:hAnsi="宋体"/>
          <w:color w:val="auto"/>
          <w:sz w:val="24"/>
          <w:szCs w:val="24"/>
          <w:highlight w:val="none"/>
          <w:lang w:val="en-GB" w:eastAsia="zh-CN"/>
        </w:rPr>
        <w:t>具体按竞投文件中第五部分“资格审查文件格式”的要求统一编制。</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11.2</w:t>
      </w:r>
      <w:r>
        <w:rPr>
          <w:rFonts w:hint="eastAsia" w:ascii="宋体" w:hAnsi="宋体"/>
          <w:color w:val="auto"/>
          <w:sz w:val="24"/>
          <w:szCs w:val="24"/>
          <w:highlight w:val="none"/>
          <w:lang w:val="en-GB" w:eastAsia="zh-CN"/>
        </w:rPr>
        <w:t>投标人应以A4版面统一编制《资格审查文件》。《资格审查文件》的电子文档应采用word格式或PDF格式制作</w:t>
      </w:r>
      <w:r>
        <w:rPr>
          <w:rFonts w:hint="eastAsia" w:ascii="宋体" w:hAnsi="宋体"/>
          <w:color w:val="auto"/>
          <w:sz w:val="24"/>
          <w:szCs w:val="24"/>
          <w:highlight w:val="none"/>
          <w:lang w:val="en-US" w:eastAsia="zh-CN"/>
        </w:rPr>
        <w:t>，并统一刻录在两份光盘内。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11.3</w:t>
      </w:r>
      <w:r>
        <w:rPr>
          <w:rFonts w:hint="eastAsia" w:ascii="宋体" w:hAnsi="宋体"/>
          <w:color w:val="auto"/>
          <w:sz w:val="24"/>
          <w:szCs w:val="24"/>
          <w:highlight w:val="none"/>
          <w:lang w:val="en-GB" w:eastAsia="zh-CN"/>
        </w:rPr>
        <w:t>资格审查文件递交的内容和数量详见《投标须知前附表》要求。</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11.4</w:t>
      </w:r>
      <w:r>
        <w:rPr>
          <w:rFonts w:hint="eastAsia" w:ascii="宋体" w:hAnsi="宋体"/>
          <w:color w:val="auto"/>
          <w:sz w:val="24"/>
          <w:szCs w:val="24"/>
          <w:highlight w:val="none"/>
          <w:lang w:val="en-GB" w:eastAsia="zh-CN"/>
        </w:rPr>
        <w:t>资格审查文件的制作以及投标人与招标代理机构就有关竞投的所有来往函电均应使用简体中文。投标人提交的支持文件或印刷的资料可以用另一种语言，但相应内容须附有中文译注，对不同文字文本竞投文件的解释发生异议的，以中文文本为准。对中文翻译有异议的，以权威机构的译本为准。</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11.5</w:t>
      </w:r>
      <w:r>
        <w:rPr>
          <w:rFonts w:hint="eastAsia" w:ascii="宋体" w:hAnsi="宋体"/>
          <w:color w:val="auto"/>
          <w:sz w:val="24"/>
          <w:szCs w:val="24"/>
          <w:highlight w:val="none"/>
          <w:lang w:val="en-GB" w:eastAsia="zh-CN"/>
        </w:rPr>
        <w:t>资格审查文件使用的度量衡单位采用中华人民共和国法定计量单位。</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11.6</w:t>
      </w:r>
      <w:r>
        <w:rPr>
          <w:rFonts w:hint="eastAsia" w:ascii="宋体" w:hAnsi="宋体"/>
          <w:color w:val="auto"/>
          <w:sz w:val="24"/>
          <w:szCs w:val="24"/>
          <w:highlight w:val="none"/>
          <w:lang w:val="en-GB" w:eastAsia="zh-CN"/>
        </w:rPr>
        <w:t>资格审查文件所使用的公章必须为企事业法人公章，且与投标人名称一致。需签名之处必须由法定代表人或授权代表亲笔签署（或签章）。</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11.7</w:t>
      </w:r>
      <w:r>
        <w:rPr>
          <w:rFonts w:hint="eastAsia" w:ascii="宋体" w:hAnsi="宋体"/>
          <w:color w:val="auto"/>
          <w:sz w:val="24"/>
          <w:szCs w:val="24"/>
          <w:highlight w:val="none"/>
          <w:lang w:val="en-GB" w:eastAsia="zh-CN"/>
        </w:rPr>
        <w:t>资格审查文件自制部分必须打印（副本文件可由正本文件复印而成），且整册装订牢固可靠且不能轻易脱落。如因装订问题而出现漏页或缺页，由此产生的一切后果由投标人自行承担。</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11.8</w:t>
      </w:r>
      <w:r>
        <w:rPr>
          <w:rFonts w:hint="eastAsia" w:ascii="宋体" w:hAnsi="宋体"/>
          <w:color w:val="auto"/>
          <w:sz w:val="24"/>
          <w:szCs w:val="24"/>
          <w:highlight w:val="none"/>
          <w:lang w:val="en-GB" w:eastAsia="zh-CN"/>
        </w:rPr>
        <w:t>任何行间插字、涂改和增删（如有）必须由投标人代表签字确认并加盖投标人公章后方为有效。</w:t>
      </w:r>
    </w:p>
    <w:p>
      <w:pPr>
        <w:numPr>
          <w:ilvl w:val="0"/>
          <w:numId w:val="0"/>
        </w:numPr>
        <w:tabs>
          <w:tab w:val="left" w:pos="540"/>
        </w:tabs>
        <w:spacing w:line="360" w:lineRule="auto"/>
        <w:ind w:left="480" w:hanging="480" w:hangingChars="200"/>
        <w:rPr>
          <w:rFonts w:hint="eastAsia" w:ascii="宋体" w:hAnsi="宋体"/>
          <w:color w:val="auto"/>
          <w:sz w:val="24"/>
          <w:szCs w:val="24"/>
          <w:highlight w:val="none"/>
          <w:lang w:val="en-GB" w:eastAsia="zh-CN"/>
        </w:rPr>
      </w:pPr>
      <w:r>
        <w:rPr>
          <w:rFonts w:hint="eastAsia" w:ascii="宋体" w:hAnsi="宋体"/>
          <w:color w:val="auto"/>
          <w:sz w:val="24"/>
          <w:szCs w:val="24"/>
          <w:highlight w:val="none"/>
          <w:lang w:val="en-US" w:eastAsia="zh-CN"/>
        </w:rPr>
        <w:t>11.9</w:t>
      </w:r>
      <w:r>
        <w:rPr>
          <w:rFonts w:hint="eastAsia" w:ascii="宋体" w:hAnsi="宋体"/>
          <w:color w:val="auto"/>
          <w:sz w:val="24"/>
          <w:szCs w:val="24"/>
          <w:highlight w:val="none"/>
          <w:lang w:val="en-GB" w:eastAsia="zh-CN"/>
        </w:rPr>
        <w:t>资格审查文件【正本】和【副本】的封面须加盖投标人公章。</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11.10</w:t>
      </w:r>
      <w:r>
        <w:rPr>
          <w:rFonts w:hint="eastAsia" w:ascii="宋体" w:hAnsi="宋体"/>
          <w:color w:val="auto"/>
          <w:sz w:val="24"/>
          <w:szCs w:val="24"/>
          <w:highlight w:val="none"/>
          <w:lang w:val="en-GB" w:eastAsia="zh-CN"/>
        </w:rPr>
        <w:t>资格</w:t>
      </w:r>
      <w:r>
        <w:rPr>
          <w:rFonts w:hint="eastAsia" w:hAnsi="宋体"/>
          <w:color w:val="auto"/>
          <w:sz w:val="24"/>
          <w:highlight w:val="none"/>
          <w:lang w:val="en-GB" w:eastAsia="zh-CN"/>
        </w:rPr>
        <w:t>审查</w:t>
      </w:r>
      <w:r>
        <w:rPr>
          <w:rFonts w:hint="eastAsia" w:ascii="宋体" w:hAnsi="宋体"/>
          <w:color w:val="auto"/>
          <w:sz w:val="24"/>
          <w:highlight w:val="none"/>
          <w:lang w:val="en-GB"/>
        </w:rPr>
        <w:t>文件应包含正本、副本、相对应的电子文档，每一份</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文件上应明确注明</w:t>
      </w:r>
      <w:r>
        <w:rPr>
          <w:rFonts w:hint="eastAsia" w:ascii="宋体"/>
          <w:color w:val="auto"/>
          <w:sz w:val="24"/>
          <w:highlight w:val="none"/>
          <w:lang w:val="en-GB"/>
        </w:rPr>
        <w:t>“</w:t>
      </w:r>
      <w:r>
        <w:rPr>
          <w:rFonts w:hint="eastAsia" w:ascii="宋体" w:hAnsi="宋体"/>
          <w:color w:val="auto"/>
          <w:sz w:val="24"/>
          <w:highlight w:val="none"/>
          <w:lang w:val="en-GB"/>
        </w:rPr>
        <w:t>正本</w:t>
      </w:r>
      <w:r>
        <w:rPr>
          <w:rFonts w:hint="eastAsia" w:ascii="宋体"/>
          <w:color w:val="auto"/>
          <w:sz w:val="24"/>
          <w:highlight w:val="none"/>
          <w:lang w:val="en-GB"/>
        </w:rPr>
        <w:t>”</w:t>
      </w:r>
      <w:r>
        <w:rPr>
          <w:rFonts w:hint="eastAsia" w:ascii="宋体" w:hAnsi="宋体"/>
          <w:color w:val="auto"/>
          <w:sz w:val="24"/>
          <w:highlight w:val="none"/>
          <w:lang w:val="en-GB"/>
        </w:rPr>
        <w:t>或</w:t>
      </w:r>
      <w:r>
        <w:rPr>
          <w:rFonts w:hint="eastAsia" w:ascii="宋体"/>
          <w:color w:val="auto"/>
          <w:sz w:val="24"/>
          <w:highlight w:val="none"/>
          <w:lang w:val="en-GB"/>
        </w:rPr>
        <w:t>“</w:t>
      </w:r>
      <w:r>
        <w:rPr>
          <w:rFonts w:hint="eastAsia" w:ascii="宋体" w:hAnsi="宋体"/>
          <w:color w:val="auto"/>
          <w:sz w:val="24"/>
          <w:highlight w:val="none"/>
          <w:lang w:val="en-GB"/>
        </w:rPr>
        <w:t>副本</w:t>
      </w:r>
      <w:r>
        <w:rPr>
          <w:rFonts w:hint="eastAsia" w:ascii="宋体"/>
          <w:color w:val="auto"/>
          <w:sz w:val="24"/>
          <w:highlight w:val="none"/>
          <w:lang w:val="en-GB"/>
        </w:rPr>
        <w:t>”</w:t>
      </w:r>
      <w:r>
        <w:rPr>
          <w:rFonts w:hint="eastAsia" w:ascii="宋体" w:hAnsi="宋体"/>
          <w:color w:val="auto"/>
          <w:sz w:val="24"/>
          <w:highlight w:val="none"/>
          <w:lang w:val="en-GB"/>
        </w:rPr>
        <w:t>字样，“电子文档”（光盘）表面须标明</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名称，并</w:t>
      </w:r>
      <w:r>
        <w:rPr>
          <w:rFonts w:hint="eastAsia" w:ascii="宋体" w:hAnsi="宋体"/>
          <w:b/>
          <w:color w:val="auto"/>
          <w:sz w:val="24"/>
          <w:highlight w:val="none"/>
          <w:lang w:val="en-GB"/>
        </w:rPr>
        <w:t>应将上述资料密封在同一密封包中</w:t>
      </w:r>
      <w:r>
        <w:rPr>
          <w:rFonts w:hint="eastAsia" w:ascii="宋体" w:hAnsi="宋体"/>
          <w:color w:val="auto"/>
          <w:sz w:val="24"/>
          <w:highlight w:val="none"/>
          <w:lang w:val="en-GB"/>
        </w:rPr>
        <w:t>，若上述资料确实无法密封在同一密封包中，则可按实际情况分开密封，但须在密封包装上标明密封内容。密封各文件资料时，应在密封包装的封口处加盖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公章，同时</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文件应在规定时间内递交。</w:t>
      </w:r>
    </w:p>
    <w:p>
      <w:pPr>
        <w:numPr>
          <w:ilvl w:val="0"/>
          <w:numId w:val="0"/>
        </w:numPr>
        <w:tabs>
          <w:tab w:val="left" w:pos="540"/>
        </w:tabs>
        <w:spacing w:line="360" w:lineRule="auto"/>
        <w:ind w:left="480" w:hanging="480" w:hangingChars="200"/>
        <w:rPr>
          <w:color w:val="auto"/>
          <w:sz w:val="24"/>
          <w:highlight w:val="none"/>
          <w:lang w:val="en-GB"/>
        </w:rPr>
      </w:pPr>
      <w:r>
        <w:rPr>
          <w:rFonts w:hint="eastAsia" w:ascii="宋体" w:hAnsi="宋体"/>
          <w:color w:val="auto"/>
          <w:sz w:val="24"/>
          <w:highlight w:val="none"/>
          <w:lang w:val="en-US" w:eastAsia="zh-CN"/>
        </w:rPr>
        <w:t>11.11</w:t>
      </w:r>
      <w:r>
        <w:rPr>
          <w:rFonts w:hint="eastAsia" w:ascii="宋体" w:hAnsi="宋体"/>
          <w:color w:val="auto"/>
          <w:sz w:val="24"/>
          <w:highlight w:val="none"/>
          <w:lang w:val="en-GB"/>
        </w:rPr>
        <w:t>一旦</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文件的正本和副本及电子文档内容有差异，均以正本为准。</w:t>
      </w:r>
    </w:p>
    <w:p>
      <w:pPr>
        <w:numPr>
          <w:ilvl w:val="0"/>
          <w:numId w:val="0"/>
        </w:numPr>
        <w:tabs>
          <w:tab w:val="left" w:pos="540"/>
        </w:tabs>
        <w:spacing w:line="360" w:lineRule="auto"/>
        <w:ind w:left="480" w:hanging="482" w:hangingChars="200"/>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US" w:eastAsia="zh-CN"/>
        </w:rPr>
        <w:t>11.12</w:t>
      </w:r>
      <w:r>
        <w:rPr>
          <w:rFonts w:hint="eastAsia" w:asciiTheme="minorEastAsia" w:hAnsiTheme="minorEastAsia" w:eastAsiaTheme="minorEastAsia" w:cstheme="minorEastAsia"/>
          <w:b/>
          <w:color w:val="auto"/>
          <w:sz w:val="24"/>
          <w:highlight w:val="none"/>
          <w:lang w:val="en-GB"/>
        </w:rPr>
        <w:t>所有密封文件封套正面统一按“文件包装袋封面”格式填写标贴。</w:t>
      </w:r>
    </w:p>
    <w:p>
      <w:pPr>
        <w:numPr>
          <w:ilvl w:val="0"/>
          <w:numId w:val="0"/>
        </w:numPr>
        <w:tabs>
          <w:tab w:val="left" w:pos="540"/>
        </w:tabs>
        <w:spacing w:line="360" w:lineRule="auto"/>
        <w:ind w:left="480" w:hanging="480" w:hangingChars="200"/>
        <w:rPr>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11.13</w:t>
      </w:r>
      <w:r>
        <w:rPr>
          <w:rFonts w:hint="eastAsia" w:asciiTheme="minorEastAsia" w:hAnsiTheme="minorEastAsia" w:eastAsiaTheme="minorEastAsia" w:cstheme="minorEastAsia"/>
          <w:color w:val="auto"/>
          <w:sz w:val="24"/>
          <w:highlight w:val="none"/>
          <w:lang w:val="en-GB" w:eastAsia="zh-CN"/>
        </w:rPr>
        <w:t>招标</w:t>
      </w:r>
      <w:r>
        <w:rPr>
          <w:rFonts w:hint="eastAsia" w:asciiTheme="minorEastAsia" w:hAnsiTheme="minorEastAsia" w:eastAsiaTheme="minorEastAsia" w:cstheme="minorEastAsia"/>
          <w:b w:val="0"/>
          <w:bCs/>
          <w:color w:val="auto"/>
          <w:sz w:val="24"/>
          <w:highlight w:val="none"/>
          <w:lang w:val="en-GB" w:eastAsia="zh-CN"/>
        </w:rPr>
        <w:t>代理</w:t>
      </w:r>
      <w:r>
        <w:rPr>
          <w:rFonts w:hint="eastAsia" w:asciiTheme="minorEastAsia" w:hAnsiTheme="minorEastAsia" w:eastAsiaTheme="minorEastAsia" w:cstheme="minorEastAsia"/>
          <w:color w:val="auto"/>
          <w:sz w:val="24"/>
          <w:highlight w:val="none"/>
          <w:lang w:val="en-GB" w:eastAsia="zh-CN"/>
        </w:rPr>
        <w:t>机构</w:t>
      </w:r>
      <w:r>
        <w:rPr>
          <w:rFonts w:hint="eastAsia" w:asciiTheme="minorEastAsia" w:hAnsiTheme="minorEastAsia" w:eastAsiaTheme="minorEastAsia" w:cstheme="minorEastAsia"/>
          <w:color w:val="auto"/>
          <w:sz w:val="24"/>
          <w:highlight w:val="none"/>
          <w:lang w:val="en-GB"/>
        </w:rPr>
        <w:t>拒绝接</w:t>
      </w:r>
      <w:r>
        <w:rPr>
          <w:rFonts w:hint="eastAsia" w:hAnsi="宋体"/>
          <w:color w:val="auto"/>
          <w:sz w:val="24"/>
          <w:highlight w:val="none"/>
          <w:lang w:val="en-GB"/>
        </w:rPr>
        <w:t>受</w:t>
      </w:r>
      <w:r>
        <w:rPr>
          <w:rFonts w:hint="eastAsia" w:hAnsi="宋体"/>
          <w:color w:val="auto"/>
          <w:sz w:val="24"/>
          <w:highlight w:val="none"/>
          <w:lang w:val="en-GB" w:eastAsia="zh-CN"/>
        </w:rPr>
        <w:t>竞投</w:t>
      </w:r>
      <w:r>
        <w:rPr>
          <w:rFonts w:hint="eastAsia" w:hAnsi="宋体"/>
          <w:color w:val="auto"/>
          <w:sz w:val="24"/>
          <w:highlight w:val="none"/>
          <w:lang w:val="en-GB"/>
        </w:rPr>
        <w:t>的情形：</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以电报、电话传真形式</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en-GB"/>
        </w:rPr>
        <w:t>密封、数量、规格、册装不合要求或逾期提交的</w:t>
      </w:r>
      <w:r>
        <w:rPr>
          <w:rFonts w:hint="eastAsia" w:hAnsi="宋体"/>
          <w:color w:val="auto"/>
          <w:sz w:val="24"/>
          <w:highlight w:val="none"/>
          <w:lang w:val="en-GB" w:eastAsia="zh-CN"/>
        </w:rPr>
        <w:t>资格审查</w:t>
      </w:r>
      <w:r>
        <w:rPr>
          <w:rFonts w:hint="eastAsia" w:ascii="宋体" w:hAnsi="宋体"/>
          <w:color w:val="auto"/>
          <w:sz w:val="24"/>
          <w:highlight w:val="none"/>
          <w:lang w:val="en-GB"/>
        </w:rPr>
        <w:t>文件；</w:t>
      </w:r>
    </w:p>
    <w:p>
      <w:pPr>
        <w:numPr>
          <w:ilvl w:val="0"/>
          <w:numId w:val="26"/>
        </w:numPr>
        <w:tabs>
          <w:tab w:val="left" w:pos="540"/>
          <w:tab w:val="clear" w:pos="420"/>
        </w:tabs>
        <w:spacing w:line="374" w:lineRule="auto"/>
        <w:ind w:left="840" w:hanging="300"/>
        <w:rPr>
          <w:rFonts w:ascii="宋体"/>
          <w:color w:val="auto"/>
          <w:sz w:val="24"/>
          <w:highlight w:val="none"/>
          <w:lang w:val="en-GB"/>
        </w:rPr>
      </w:pPr>
      <w:r>
        <w:rPr>
          <w:rFonts w:hint="eastAsia" w:ascii="宋体" w:hAnsi="宋体"/>
          <w:color w:val="auto"/>
          <w:sz w:val="24"/>
          <w:highlight w:val="none"/>
          <w:lang w:val="en-GB"/>
        </w:rPr>
        <w:t>未按要求</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或已</w:t>
      </w:r>
      <w:r>
        <w:rPr>
          <w:rFonts w:hint="eastAsia" w:ascii="宋体" w:hAnsi="宋体"/>
          <w:color w:val="auto"/>
          <w:sz w:val="24"/>
          <w:highlight w:val="none"/>
        </w:rPr>
        <w:t>购买</w:t>
      </w:r>
      <w:r>
        <w:rPr>
          <w:rFonts w:hint="eastAsia" w:ascii="宋体" w:hAnsi="宋体"/>
          <w:color w:val="auto"/>
          <w:sz w:val="24"/>
          <w:highlight w:val="none"/>
          <w:lang w:eastAsia="zh-CN"/>
        </w:rPr>
        <w:t>竞投文件</w:t>
      </w:r>
      <w:r>
        <w:rPr>
          <w:rFonts w:hint="eastAsia" w:ascii="宋体" w:hAnsi="宋体"/>
          <w:color w:val="auto"/>
          <w:sz w:val="24"/>
          <w:highlight w:val="none"/>
          <w:lang w:val="en-GB"/>
        </w:rPr>
        <w:t>但不按时交纳足额</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保证金；</w:t>
      </w:r>
    </w:p>
    <w:p>
      <w:pPr>
        <w:numPr>
          <w:ilvl w:val="0"/>
          <w:numId w:val="26"/>
        </w:numPr>
        <w:tabs>
          <w:tab w:val="left" w:pos="540"/>
          <w:tab w:val="clear" w:pos="420"/>
        </w:tabs>
        <w:spacing w:line="374" w:lineRule="auto"/>
        <w:ind w:left="1260" w:hanging="720"/>
        <w:rPr>
          <w:rFonts w:ascii="宋体"/>
          <w:color w:val="auto"/>
          <w:sz w:val="24"/>
          <w:highlight w:val="none"/>
          <w:lang w:val="en-GB"/>
        </w:rPr>
      </w:pPr>
      <w:r>
        <w:rPr>
          <w:rFonts w:hint="eastAsia" w:ascii="宋体" w:hAnsi="宋体"/>
          <w:color w:val="auto"/>
          <w:sz w:val="24"/>
          <w:highlight w:val="none"/>
          <w:lang w:val="zh-CN"/>
        </w:rPr>
        <w:t>投标人代表未准时出席开标会或未按要求签到的。</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竞投报价</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12.1</w:t>
      </w:r>
      <w:r>
        <w:rPr>
          <w:rFonts w:hint="eastAsia" w:ascii="宋体" w:hAnsi="宋体"/>
          <w:color w:val="auto"/>
          <w:sz w:val="24"/>
          <w:highlight w:val="none"/>
          <w:lang w:val="en-GB"/>
        </w:rPr>
        <w:t>本次</w:t>
      </w:r>
      <w:r>
        <w:rPr>
          <w:rFonts w:hint="eastAsia" w:ascii="宋体" w:hAnsi="宋体"/>
          <w:color w:val="auto"/>
          <w:sz w:val="24"/>
          <w:highlight w:val="none"/>
          <w:lang w:val="en-US" w:eastAsia="zh-CN"/>
        </w:rPr>
        <w:t>竞投</w:t>
      </w:r>
      <w:r>
        <w:rPr>
          <w:rFonts w:hint="eastAsia" w:ascii="宋体" w:hAnsi="宋体"/>
          <w:color w:val="auto"/>
          <w:sz w:val="24"/>
          <w:highlight w:val="none"/>
          <w:lang w:val="en-GB"/>
        </w:rPr>
        <w:t>必须对项目要求的全部内容进行报价，</w:t>
      </w:r>
      <w:r>
        <w:rPr>
          <w:rFonts w:hint="eastAsia" w:ascii="宋体" w:hAnsi="宋体"/>
          <w:color w:val="auto"/>
          <w:sz w:val="24"/>
          <w:highlight w:val="none"/>
          <w:lang w:val="en-GB" w:eastAsia="zh-CN"/>
        </w:rPr>
        <w:t>经审查合格的投标人，只要确认领取本项目报价书参加竞投，即视为完全响应竞投文件的全部内容</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12.1.1本次竞投会采取填写报价书和公布报价的方式进行。竞投人填好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60" w:lineRule="auto"/>
        <w:ind w:left="480" w:hanging="480" w:hanging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12.1.2本项目所报价格不得低于本项目设定的最低限价，若报价金额低于设定的最低限价，则报价无效；若报价金额不低于本项目设定的最低限价，则采取价高者得的原则确定中标人。若出现最高报价相同的，按提交报价书的先后顺序确定中标人</w:t>
      </w:r>
      <w:r>
        <w:rPr>
          <w:rFonts w:hint="eastAsia" w:ascii="宋体" w:hAnsi="宋体"/>
          <w:b/>
          <w:bCs/>
          <w:color w:val="auto"/>
          <w:sz w:val="24"/>
          <w:highlight w:val="none"/>
          <w:lang w:val="en-US" w:eastAsia="zh-CN"/>
        </w:rPr>
        <w:t>（即最先提交报价书者为中标人）</w:t>
      </w:r>
      <w:r>
        <w:rPr>
          <w:rFonts w:hint="eastAsia" w:ascii="宋体" w:hAnsi="宋体"/>
          <w:color w:val="auto"/>
          <w:sz w:val="24"/>
          <w:highlight w:val="none"/>
          <w:lang w:val="en-US"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12.2</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总价是以</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可独立履行本项目合同义务，并在通过准确核算后，可满足预期实施效果、验收标准和符合自身合法利益的前提下所作出的综合性合理报价，对在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文件和合同书中未有明确列述、设计遗漏失误、市场剧变、汇率、利率因素、应预见和不可预见的费用等均视为已完全考虑到并包括在</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总价之内。</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12.3</w:t>
      </w:r>
      <w:r>
        <w:rPr>
          <w:rFonts w:hint="eastAsia" w:ascii="宋体" w:hAnsi="宋体"/>
          <w:color w:val="auto"/>
          <w:sz w:val="24"/>
          <w:highlight w:val="none"/>
          <w:lang w:val="en-GB"/>
        </w:rPr>
        <w:t>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在中标并签署合同后，在提供招标范围内的服务工作中出现的任何遗漏，均由中标人免费提供，</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将不再支付任何费用。</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12.4</w:t>
      </w:r>
      <w:r>
        <w:rPr>
          <w:rFonts w:hint="eastAsia" w:ascii="宋体" w:hAnsi="宋体"/>
          <w:color w:val="auto"/>
          <w:sz w:val="24"/>
          <w:highlight w:val="none"/>
          <w:lang w:val="en-GB"/>
        </w:rPr>
        <w:t>合同项下，</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需要的货物和附带备品、配件所需的费用，如果</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是另外单独报价，且未计入</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总价内的</w:t>
      </w:r>
      <w:r>
        <w:rPr>
          <w:rFonts w:hint="eastAsia" w:ascii="宋体" w:hAnsi="宋体"/>
          <w:color w:val="auto"/>
          <w:sz w:val="24"/>
          <w:highlight w:val="none"/>
          <w:lang w:val="en-GB" w:eastAsia="zh-CN"/>
        </w:rPr>
        <w:t>投标人将被取消资格</w:t>
      </w:r>
      <w:r>
        <w:rPr>
          <w:rFonts w:hint="eastAsia" w:ascii="宋体" w:hAnsi="宋体"/>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12.5</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应根据企业自身实力、费用指标，本项目</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、主要合同条款、现场踏勘及市场情况、风险因素和拟采用的服务方案等进行自主报价，</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报价应是完成本</w:t>
      </w:r>
      <w:r>
        <w:rPr>
          <w:rFonts w:hint="eastAsia" w:ascii="宋体" w:hAnsi="宋体"/>
          <w:color w:val="auto"/>
          <w:sz w:val="24"/>
          <w:highlight w:val="none"/>
          <w:lang w:val="en-GB" w:eastAsia="zh-CN"/>
        </w:rPr>
        <w:t>竞投文件</w:t>
      </w:r>
      <w:r>
        <w:rPr>
          <w:rFonts w:hint="eastAsia" w:ascii="宋体" w:hAnsi="宋体"/>
          <w:color w:val="auto"/>
          <w:sz w:val="24"/>
          <w:highlight w:val="none"/>
          <w:lang w:val="en-GB"/>
        </w:rPr>
        <w:t>和合同条款上所列招标范围及工期等内容的全部，不得以任何理由予以重复，作为</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计算单价或总价的依据。</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rPr>
      </w:pPr>
      <w:r>
        <w:rPr>
          <w:rFonts w:hint="eastAsia" w:ascii="宋体" w:hAnsi="宋体"/>
          <w:color w:val="auto"/>
          <w:sz w:val="24"/>
          <w:highlight w:val="none"/>
          <w:lang w:val="en-US" w:eastAsia="zh-CN"/>
        </w:rPr>
        <w:t>12.6</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有权根据项目实际需要对服务方案进行优化，由于服务方案的优化所造成增加或减</w:t>
      </w:r>
      <w:r>
        <w:rPr>
          <w:rFonts w:hint="eastAsia" w:ascii="宋体" w:hAnsi="宋体"/>
          <w:color w:val="auto"/>
          <w:sz w:val="24"/>
          <w:highlight w:val="none"/>
          <w:lang w:val="en-GB" w:eastAsia="zh-CN"/>
        </w:rPr>
        <w:t>小部分</w:t>
      </w:r>
      <w:r>
        <w:rPr>
          <w:rFonts w:hint="eastAsia" w:ascii="宋体" w:hAnsi="宋体"/>
          <w:color w:val="auto"/>
          <w:sz w:val="24"/>
          <w:highlight w:val="none"/>
          <w:lang w:val="en-GB"/>
        </w:rPr>
        <w:t>内容，</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必须无条件接受，不得拒绝或要求调整任何收费。如果方案优化后，有部分服务内容超越了本项目中标单位的服务范围，则该部分内容</w:t>
      </w:r>
      <w:r>
        <w:rPr>
          <w:rFonts w:hint="eastAsia" w:ascii="宋体" w:hAnsi="宋体"/>
          <w:color w:val="auto"/>
          <w:sz w:val="24"/>
          <w:highlight w:val="none"/>
          <w:lang w:val="en-GB" w:eastAsia="zh-CN"/>
        </w:rPr>
        <w:t>招标人</w:t>
      </w:r>
      <w:r>
        <w:rPr>
          <w:rFonts w:hint="eastAsia" w:ascii="宋体" w:hAnsi="宋体"/>
          <w:color w:val="auto"/>
          <w:sz w:val="24"/>
          <w:highlight w:val="none"/>
          <w:lang w:val="en-GB"/>
        </w:rPr>
        <w:t>有权另行组织采购。</w:t>
      </w:r>
    </w:p>
    <w:p>
      <w:pPr>
        <w:numPr>
          <w:ilvl w:val="0"/>
          <w:numId w:val="23"/>
        </w:numPr>
        <w:tabs>
          <w:tab w:val="left" w:pos="540"/>
        </w:tabs>
        <w:spacing w:before="120" w:beforeLines="50" w:line="374"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竞投保证金</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zh-CN" w:eastAsia="zh-CN"/>
        </w:rPr>
        <w:t>本项目需提交竞投保证金：</w:t>
      </w:r>
      <w:r>
        <w:rPr>
          <w:rFonts w:hint="eastAsia" w:ascii="宋体" w:hAnsi="宋体"/>
          <w:color w:val="auto"/>
          <w:sz w:val="24"/>
          <w:highlight w:val="none"/>
          <w:lang w:val="en-US" w:eastAsia="zh-CN"/>
        </w:rPr>
        <w:t>人民币3万元</w:t>
      </w:r>
      <w:r>
        <w:rPr>
          <w:rFonts w:hint="eastAsia" w:ascii="宋体" w:hAnsi="宋体"/>
          <w:color w:val="auto"/>
          <w:sz w:val="24"/>
          <w:highlight w:val="none"/>
          <w:lang w:val="en-GB" w:eastAsia="zh-CN"/>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13.1</w:t>
      </w:r>
      <w:r>
        <w:rPr>
          <w:rFonts w:hint="eastAsia" w:ascii="宋体" w:hAnsi="宋体"/>
          <w:color w:val="auto"/>
          <w:sz w:val="24"/>
          <w:highlight w:val="none"/>
          <w:lang w:val="zh-CN" w:eastAsia="zh-CN"/>
        </w:rPr>
        <w:t>对约定需要交纳竞投保证金时，投标人应在竞投截止时间前按竞投文件要求交纳竞投保证金，并作为其竞投的一部分。竞投保证金应以投标人名义按竞投须知前附表的要求递交。</w:t>
      </w:r>
    </w:p>
    <w:p>
      <w:pPr>
        <w:tabs>
          <w:tab w:val="left" w:pos="540"/>
        </w:tabs>
        <w:spacing w:line="374" w:lineRule="auto"/>
        <w:ind w:firstLine="482" w:firstLineChars="200"/>
        <w:rPr>
          <w:color w:val="auto"/>
          <w:sz w:val="24"/>
          <w:highlight w:val="none"/>
          <w:lang w:val="zh-CN"/>
        </w:rPr>
      </w:pPr>
      <w:r>
        <w:rPr>
          <w:rFonts w:hint="eastAsia"/>
          <w:b/>
          <w:bCs/>
          <w:color w:val="auto"/>
          <w:sz w:val="24"/>
          <w:highlight w:val="none"/>
          <w:lang w:val="zh-CN"/>
        </w:rPr>
        <w:t>凡没有按照本须知第</w:t>
      </w:r>
      <w:r>
        <w:rPr>
          <w:b/>
          <w:bCs/>
          <w:color w:val="auto"/>
          <w:sz w:val="24"/>
          <w:highlight w:val="none"/>
          <w:lang w:val="zh-CN"/>
        </w:rPr>
        <w:t>1</w:t>
      </w:r>
      <w:r>
        <w:rPr>
          <w:rFonts w:hint="eastAsia"/>
          <w:b/>
          <w:bCs/>
          <w:color w:val="auto"/>
          <w:sz w:val="24"/>
          <w:highlight w:val="none"/>
          <w:lang w:val="en-US" w:eastAsia="zh-CN"/>
        </w:rPr>
        <w:t>3</w:t>
      </w:r>
      <w:r>
        <w:rPr>
          <w:b/>
          <w:bCs/>
          <w:color w:val="auto"/>
          <w:sz w:val="24"/>
          <w:highlight w:val="none"/>
          <w:lang w:val="zh-CN"/>
        </w:rPr>
        <w:t>.1</w:t>
      </w:r>
      <w:r>
        <w:rPr>
          <w:rFonts w:hint="eastAsia"/>
          <w:b/>
          <w:bCs/>
          <w:color w:val="auto"/>
          <w:sz w:val="24"/>
          <w:highlight w:val="none"/>
          <w:lang w:val="zh-CN"/>
        </w:rPr>
        <w:t>条的规定随附有效的竞投保证金的竞投，视为资格审查不合格，被拒绝参加竞投。</w:t>
      </w:r>
    </w:p>
    <w:p>
      <w:pPr>
        <w:numPr>
          <w:ilvl w:val="0"/>
          <w:numId w:val="0"/>
        </w:numPr>
        <w:tabs>
          <w:tab w:val="left" w:pos="540"/>
        </w:tabs>
        <w:spacing w:line="360" w:lineRule="auto"/>
        <w:ind w:left="480" w:hanging="480" w:hangingChars="20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13.2</w:t>
      </w:r>
      <w:r>
        <w:rPr>
          <w:rFonts w:hint="eastAsia" w:ascii="宋体" w:hAnsi="宋体"/>
          <w:color w:val="auto"/>
          <w:sz w:val="24"/>
          <w:highlight w:val="none"/>
          <w:lang w:val="zh-CN" w:eastAsia="zh-CN"/>
        </w:rPr>
        <w:t>竞投保证金是用于保护本次招标免受投标人的行为而引起的风险，下列任何一种情况发生时，不予退还竞投保证金，因此而造成招标人的损失须由投标人承担：</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lang w:eastAsia="zh-CN"/>
        </w:rPr>
        <w:t>资格审查</w:t>
      </w:r>
      <w:r>
        <w:rPr>
          <w:rFonts w:hint="eastAsia" w:ascii="宋体" w:hAnsi="宋体"/>
          <w:color w:val="auto"/>
          <w:sz w:val="24"/>
          <w:highlight w:val="none"/>
        </w:rPr>
        <w:t>文件中提供伪造、虚假的材料；</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lang w:eastAsia="zh-CN"/>
        </w:rPr>
        <w:t>资格审查</w:t>
      </w:r>
      <w:r>
        <w:rPr>
          <w:rFonts w:hint="eastAsia" w:ascii="宋体" w:hAnsi="宋体"/>
          <w:color w:val="auto"/>
          <w:sz w:val="24"/>
          <w:highlight w:val="none"/>
        </w:rPr>
        <w:t>期间，使用不正当手段试图影响、改变</w:t>
      </w:r>
      <w:r>
        <w:rPr>
          <w:rFonts w:hint="eastAsia" w:ascii="宋体" w:hAnsi="宋体"/>
          <w:color w:val="auto"/>
          <w:sz w:val="24"/>
          <w:highlight w:val="none"/>
          <w:lang w:eastAsia="zh-CN"/>
        </w:rPr>
        <w:t>资格审查</w:t>
      </w:r>
      <w:r>
        <w:rPr>
          <w:rFonts w:hint="eastAsia" w:ascii="宋体" w:hAnsi="宋体"/>
          <w:color w:val="auto"/>
          <w:sz w:val="24"/>
          <w:highlight w:val="none"/>
        </w:rPr>
        <w:t>结果；</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恶意串通或捏造事实，对其竞争对手进行诋毁、排挤、攻击；</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中标人在规定期限内未能根据《竞投文件》要求或《成交通知书》的规定签订合同</w:t>
      </w:r>
      <w:r>
        <w:rPr>
          <w:rFonts w:hint="eastAsia" w:ascii="宋体" w:hAnsi="宋体"/>
          <w:color w:val="auto"/>
          <w:sz w:val="24"/>
          <w:highlight w:val="none"/>
        </w:rPr>
        <w:t>，或拒绝、拖延、没有完全履行</w:t>
      </w:r>
      <w:r>
        <w:rPr>
          <w:rFonts w:hint="eastAsia" w:ascii="宋体" w:hAnsi="宋体"/>
          <w:color w:val="auto"/>
          <w:sz w:val="24"/>
          <w:highlight w:val="none"/>
          <w:lang w:eastAsia="zh-CN"/>
        </w:rPr>
        <w:t>竞投</w:t>
      </w:r>
      <w:r>
        <w:rPr>
          <w:rFonts w:hint="eastAsia" w:ascii="宋体" w:hAnsi="宋体"/>
          <w:color w:val="auto"/>
          <w:sz w:val="24"/>
          <w:highlight w:val="none"/>
        </w:rPr>
        <w:t>承诺（不可抗力除外）；</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中标后未按竞投文件中的规定缴付招标代理费和评估费；</w:t>
      </w:r>
    </w:p>
    <w:p>
      <w:pPr>
        <w:numPr>
          <w:ilvl w:val="1"/>
          <w:numId w:val="27"/>
        </w:numPr>
        <w:tabs>
          <w:tab w:val="left" w:pos="900"/>
          <w:tab w:val="clear" w:pos="840"/>
        </w:tabs>
        <w:spacing w:line="374" w:lineRule="auto"/>
        <w:ind w:left="900" w:hanging="360"/>
        <w:rPr>
          <w:rFonts w:ascii="宋体"/>
          <w:color w:val="auto"/>
          <w:sz w:val="24"/>
          <w:highlight w:val="none"/>
        </w:rPr>
      </w:pPr>
      <w:r>
        <w:rPr>
          <w:rFonts w:hint="eastAsia" w:ascii="宋体" w:hAnsi="宋体"/>
          <w:color w:val="auto"/>
          <w:sz w:val="24"/>
          <w:highlight w:val="none"/>
        </w:rPr>
        <w:t>擅自将中标项目或主体关键性内容分包转让他人；</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rPr>
        <w:t>获中标通知后，无法如期履行承诺按</w:t>
      </w:r>
      <w:r>
        <w:rPr>
          <w:rFonts w:hint="eastAsia" w:ascii="宋体" w:hAnsi="宋体"/>
          <w:color w:val="auto"/>
          <w:sz w:val="24"/>
          <w:highlight w:val="none"/>
          <w:lang w:eastAsia="zh-CN"/>
        </w:rPr>
        <w:t>招标人</w:t>
      </w:r>
      <w:r>
        <w:rPr>
          <w:rFonts w:hint="eastAsia" w:ascii="宋体" w:hAnsi="宋体"/>
          <w:color w:val="auto"/>
          <w:sz w:val="24"/>
          <w:highlight w:val="none"/>
        </w:rPr>
        <w:t>的要求提供合法有效的重要证明材料原件；</w:t>
      </w:r>
    </w:p>
    <w:p>
      <w:pPr>
        <w:numPr>
          <w:ilvl w:val="1"/>
          <w:numId w:val="27"/>
        </w:numPr>
        <w:tabs>
          <w:tab w:val="left" w:pos="900"/>
          <w:tab w:val="clear" w:pos="840"/>
        </w:tabs>
        <w:spacing w:line="374" w:lineRule="auto"/>
        <w:ind w:left="900" w:hanging="360"/>
        <w:rPr>
          <w:rFonts w:ascii="宋体"/>
          <w:color w:val="auto"/>
          <w:sz w:val="24"/>
          <w:highlight w:val="none"/>
          <w:lang w:val="zh-CN"/>
        </w:rPr>
      </w:pPr>
      <w:r>
        <w:rPr>
          <w:rFonts w:hint="eastAsia" w:ascii="宋体" w:hAnsi="宋体"/>
          <w:color w:val="auto"/>
          <w:sz w:val="24"/>
          <w:highlight w:val="none"/>
          <w:lang w:val="zh-CN"/>
        </w:rPr>
        <w:t>有违反国家有关法律法规的行为。</w:t>
      </w:r>
    </w:p>
    <w:p>
      <w:pPr>
        <w:numPr>
          <w:ilvl w:val="0"/>
          <w:numId w:val="0"/>
        </w:numPr>
        <w:tabs>
          <w:tab w:val="left" w:pos="540"/>
        </w:tabs>
        <w:spacing w:line="360" w:lineRule="auto"/>
        <w:ind w:left="480" w:hanging="480" w:hanging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13.3</w:t>
      </w:r>
      <w:r>
        <w:rPr>
          <w:rFonts w:hint="eastAsia" w:asciiTheme="minorEastAsia" w:hAnsiTheme="minorEastAsia" w:eastAsiaTheme="minorEastAsia" w:cstheme="minorEastAsia"/>
          <w:color w:val="auto"/>
          <w:sz w:val="24"/>
          <w:highlight w:val="none"/>
          <w:lang w:val="zh-CN"/>
        </w:rPr>
        <w:t>未中标的投标人的竞投保证金，于</w:t>
      </w:r>
      <w:r>
        <w:rPr>
          <w:rFonts w:hint="eastAsia" w:asciiTheme="minorEastAsia" w:hAnsiTheme="minorEastAsia" w:eastAsiaTheme="minorEastAsia" w:cstheme="minorEastAsia"/>
          <w:color w:val="auto"/>
          <w:sz w:val="24"/>
          <w:highlight w:val="none"/>
          <w:lang w:val="en-GB" w:eastAsia="zh-CN"/>
        </w:rPr>
        <w:t>成交通知书</w:t>
      </w:r>
      <w:r>
        <w:rPr>
          <w:rFonts w:hint="eastAsia" w:asciiTheme="minorEastAsia" w:hAnsiTheme="minorEastAsia" w:eastAsiaTheme="minorEastAsia" w:cstheme="minorEastAsia"/>
          <w:color w:val="auto"/>
          <w:sz w:val="24"/>
          <w:highlight w:val="none"/>
          <w:lang w:val="en-GB"/>
        </w:rPr>
        <w:t>发出后</w:t>
      </w:r>
      <w:r>
        <w:rPr>
          <w:rFonts w:hint="eastAsia" w:asciiTheme="minorEastAsia" w:hAnsiTheme="minorEastAsia" w:eastAsiaTheme="minorEastAsia" w:cstheme="minorEastAsia"/>
          <w:color w:val="auto"/>
          <w:sz w:val="24"/>
          <w:highlight w:val="none"/>
          <w:lang w:val="zh-CN"/>
        </w:rPr>
        <w:t>五个工作日内按规定退还。</w:t>
      </w:r>
    </w:p>
    <w:p>
      <w:pPr>
        <w:numPr>
          <w:ilvl w:val="0"/>
          <w:numId w:val="0"/>
        </w:numPr>
        <w:tabs>
          <w:tab w:val="left" w:pos="540"/>
        </w:tabs>
        <w:spacing w:line="374" w:lineRule="auto"/>
        <w:ind w:left="0" w:firstLine="0"/>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13.4</w:t>
      </w:r>
      <w:r>
        <w:rPr>
          <w:rFonts w:hint="eastAsia" w:asciiTheme="minorEastAsia" w:hAnsiTheme="minorEastAsia" w:eastAsiaTheme="minorEastAsia" w:cstheme="minorEastAsia"/>
          <w:color w:val="auto"/>
          <w:sz w:val="24"/>
          <w:highlight w:val="none"/>
          <w:lang w:val="zh-CN"/>
        </w:rPr>
        <w:t>中标人的竞投保证金将在其与招标人签订合同后五个工作日内按规定退还</w:t>
      </w:r>
      <w:r>
        <w:rPr>
          <w:rFonts w:hint="eastAsia" w:asciiTheme="minorEastAsia" w:hAnsiTheme="minorEastAsia" w:eastAsiaTheme="minorEastAsia" w:cstheme="minorEastAsia"/>
          <w:color w:val="auto"/>
          <w:sz w:val="24"/>
          <w:highlight w:val="none"/>
          <w:lang w:val="en-GB"/>
        </w:rPr>
        <w:t>。</w:t>
      </w:r>
    </w:p>
    <w:p>
      <w:pPr>
        <w:numPr>
          <w:ilvl w:val="0"/>
          <w:numId w:val="23"/>
        </w:numPr>
        <w:tabs>
          <w:tab w:val="left" w:pos="540"/>
        </w:tabs>
        <w:spacing w:before="120" w:beforeLines="50" w:line="374" w:lineRule="auto"/>
        <w:ind w:left="420" w:leftChars="0" w:hanging="420" w:firstLineChars="0"/>
        <w:rPr>
          <w:rFonts w:hint="eastAsia" w:asciiTheme="minorEastAsia" w:hAnsiTheme="minorEastAsia" w:eastAsiaTheme="minorEastAsia" w:cstheme="minorEastAsia"/>
          <w:b/>
          <w:color w:val="auto"/>
          <w:sz w:val="24"/>
          <w:highlight w:val="none"/>
          <w:lang w:val="zh-CN"/>
        </w:rPr>
      </w:pPr>
      <w:r>
        <w:rPr>
          <w:rFonts w:hint="eastAsia" w:asciiTheme="minorEastAsia" w:hAnsiTheme="minorEastAsia" w:eastAsiaTheme="minorEastAsia" w:cstheme="minorEastAsia"/>
          <w:b/>
          <w:color w:val="auto"/>
          <w:sz w:val="24"/>
          <w:highlight w:val="none"/>
          <w:lang w:val="en-US" w:eastAsia="zh-CN"/>
        </w:rPr>
        <w:t>投标</w:t>
      </w:r>
      <w:r>
        <w:rPr>
          <w:rFonts w:hint="eastAsia" w:asciiTheme="minorEastAsia" w:hAnsiTheme="minorEastAsia" w:eastAsiaTheme="minorEastAsia" w:cstheme="minorEastAsia"/>
          <w:b/>
          <w:color w:val="auto"/>
          <w:sz w:val="24"/>
          <w:highlight w:val="none"/>
          <w:lang w:val="zh-CN"/>
        </w:rPr>
        <w:t>有效期</w:t>
      </w:r>
    </w:p>
    <w:p>
      <w:pPr>
        <w:numPr>
          <w:ilvl w:val="0"/>
          <w:numId w:val="0"/>
        </w:numPr>
        <w:tabs>
          <w:tab w:val="left" w:pos="540"/>
        </w:tabs>
        <w:spacing w:line="374" w:lineRule="auto"/>
        <w:ind w:left="0" w:firstLine="0"/>
        <w:rPr>
          <w:rFonts w:ascii="宋体"/>
          <w:b/>
          <w:color w:val="auto"/>
          <w:sz w:val="24"/>
          <w:highlight w:val="none"/>
          <w:lang w:val="en-GB"/>
        </w:rPr>
      </w:pPr>
      <w:r>
        <w:rPr>
          <w:rFonts w:hint="eastAsia" w:asciiTheme="minorEastAsia" w:hAnsiTheme="minorEastAsia" w:eastAsiaTheme="minorEastAsia" w:cstheme="minorEastAsia"/>
          <w:color w:val="auto"/>
          <w:sz w:val="24"/>
          <w:highlight w:val="none"/>
          <w:lang w:val="en-US" w:eastAsia="zh-CN"/>
        </w:rPr>
        <w:t>14.1</w:t>
      </w:r>
      <w:r>
        <w:rPr>
          <w:rFonts w:hint="eastAsia" w:ascii="宋体" w:hAnsi="宋体"/>
          <w:color w:val="auto"/>
          <w:sz w:val="24"/>
          <w:highlight w:val="none"/>
          <w:lang w:val="en-US" w:eastAsia="zh-CN"/>
        </w:rPr>
        <w:t>投标</w:t>
      </w:r>
      <w:r>
        <w:rPr>
          <w:rFonts w:hint="eastAsia" w:ascii="宋体" w:hAnsi="宋体"/>
          <w:color w:val="auto"/>
          <w:sz w:val="24"/>
          <w:highlight w:val="none"/>
          <w:lang w:val="en-GB" w:eastAsia="zh-CN"/>
        </w:rPr>
        <w:t>有效期为自递交资格审查文件截止之日起</w:t>
      </w:r>
      <w:r>
        <w:rPr>
          <w:rFonts w:hint="eastAsia" w:ascii="宋体" w:hAnsi="宋体"/>
          <w:color w:val="auto"/>
          <w:sz w:val="24"/>
          <w:highlight w:val="none"/>
          <w:lang w:val="en-US" w:eastAsia="zh-CN"/>
        </w:rPr>
        <w:t>60</w:t>
      </w:r>
      <w:r>
        <w:rPr>
          <w:rFonts w:hint="eastAsia" w:ascii="宋体" w:hAnsi="宋体"/>
          <w:color w:val="auto"/>
          <w:sz w:val="24"/>
          <w:highlight w:val="none"/>
          <w:lang w:val="en-GB" w:eastAsia="zh-CN"/>
        </w:rPr>
        <w:t>天，中标单位投标有效期则顺延至项目完成验收之日，在此有效期内未经招标人或招标代理机构同意，资格审查文件的一切内容和补充承诺均为持续有效且不予</w:t>
      </w:r>
      <w:r>
        <w:rPr>
          <w:rFonts w:hint="eastAsia" w:ascii="宋体" w:hAnsi="宋体"/>
          <w:color w:val="auto"/>
          <w:sz w:val="24"/>
          <w:highlight w:val="none"/>
          <w:lang w:val="en-GB"/>
        </w:rPr>
        <w:t>改变。</w:t>
      </w:r>
      <w:r>
        <w:rPr>
          <w:rFonts w:hint="eastAsia" w:ascii="宋体" w:hAnsi="宋体"/>
          <w:b/>
          <w:color w:val="auto"/>
          <w:sz w:val="24"/>
          <w:highlight w:val="none"/>
          <w:lang w:val="en-GB" w:eastAsia="zh-CN"/>
        </w:rPr>
        <w:t>投标有效期</w:t>
      </w:r>
      <w:r>
        <w:rPr>
          <w:rFonts w:hint="eastAsia" w:ascii="宋体" w:hAnsi="宋体"/>
          <w:b/>
          <w:color w:val="auto"/>
          <w:sz w:val="24"/>
          <w:highlight w:val="none"/>
          <w:lang w:val="en-GB"/>
        </w:rPr>
        <w:t>比规定时间短的将被视为</w:t>
      </w:r>
      <w:r>
        <w:rPr>
          <w:rFonts w:hint="eastAsia" w:ascii="宋体" w:hAnsi="宋体"/>
          <w:b/>
          <w:color w:val="auto"/>
          <w:sz w:val="24"/>
          <w:highlight w:val="none"/>
          <w:lang w:val="en-GB" w:eastAsia="zh-CN"/>
        </w:rPr>
        <w:t>资格审查不合格</w:t>
      </w:r>
      <w:r>
        <w:rPr>
          <w:rFonts w:hint="eastAsia" w:ascii="宋体" w:hAnsi="宋体"/>
          <w:b/>
          <w:color w:val="auto"/>
          <w:sz w:val="24"/>
          <w:highlight w:val="none"/>
          <w:lang w:val="en-GB"/>
        </w:rPr>
        <w:t>。</w:t>
      </w:r>
    </w:p>
    <w:p>
      <w:pPr>
        <w:numPr>
          <w:ilvl w:val="0"/>
          <w:numId w:val="0"/>
        </w:numPr>
        <w:tabs>
          <w:tab w:val="left" w:pos="540"/>
        </w:tabs>
        <w:spacing w:line="360" w:lineRule="auto"/>
        <w:ind w:left="480" w:hanging="480" w:hangingChars="20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14.2</w:t>
      </w:r>
      <w:r>
        <w:rPr>
          <w:rFonts w:hint="eastAsia" w:ascii="宋体" w:hAnsi="宋体"/>
          <w:color w:val="auto"/>
          <w:sz w:val="24"/>
          <w:highlight w:val="none"/>
          <w:lang w:val="en-GB" w:eastAsia="zh-CN"/>
        </w:rPr>
        <w:t>特殊情况下招标代理机构或招标人可于投标有效期期满前，要求投标人延长其竞投文件有效期。投标人可以拒绝或同意上述要求，延长投标有效期的要求与答复均要求为书面形式。不同意该要求的投标人将视为自动放弃</w:t>
      </w:r>
      <w:r>
        <w:rPr>
          <w:rFonts w:hint="eastAsia" w:ascii="宋体" w:hAnsi="宋体"/>
          <w:color w:val="auto"/>
          <w:sz w:val="24"/>
          <w:highlight w:val="none"/>
          <w:lang w:val="zh-CN" w:eastAsia="zh-CN"/>
        </w:rPr>
        <w:t>竞投资格</w:t>
      </w:r>
      <w:r>
        <w:rPr>
          <w:rFonts w:hint="eastAsia" w:ascii="宋体" w:hAnsi="宋体"/>
          <w:color w:val="auto"/>
          <w:sz w:val="24"/>
          <w:highlight w:val="none"/>
          <w:lang w:val="en-GB" w:eastAsia="zh-CN"/>
        </w:rPr>
        <w:t>，其竞投保证金将予以退还。</w:t>
      </w:r>
    </w:p>
    <w:p>
      <w:pPr>
        <w:tabs>
          <w:tab w:val="left" w:pos="540"/>
          <w:tab w:val="left" w:pos="720"/>
          <w:tab w:val="left" w:pos="840"/>
        </w:tabs>
        <w:spacing w:after="72" w:afterLines="30" w:line="336" w:lineRule="auto"/>
        <w:ind w:right="-178" w:rightChars="-85"/>
        <w:jc w:val="center"/>
        <w:outlineLvl w:val="1"/>
        <w:rPr>
          <w:rFonts w:ascii="宋体"/>
          <w:b/>
          <w:color w:val="auto"/>
          <w:sz w:val="28"/>
          <w:szCs w:val="28"/>
          <w:highlight w:val="none"/>
        </w:rPr>
      </w:pPr>
      <w:r>
        <w:rPr>
          <w:rFonts w:ascii="宋体"/>
          <w:color w:val="auto"/>
          <w:sz w:val="24"/>
          <w:highlight w:val="none"/>
          <w:lang w:val="en-GB"/>
        </w:rPr>
        <w:br w:type="page"/>
      </w:r>
      <w:bookmarkStart w:id="60" w:name="_Toc27501"/>
      <w:bookmarkStart w:id="61" w:name="_Toc27249"/>
      <w:bookmarkStart w:id="62" w:name="_Toc334432593"/>
      <w:bookmarkStart w:id="63" w:name="_Toc19881"/>
      <w:bookmarkStart w:id="64" w:name="_Toc20538"/>
      <w:r>
        <w:rPr>
          <w:rFonts w:hint="eastAsia" w:ascii="宋体" w:hAnsi="宋体"/>
          <w:b/>
          <w:color w:val="auto"/>
          <w:sz w:val="28"/>
          <w:szCs w:val="28"/>
          <w:highlight w:val="none"/>
        </w:rPr>
        <w:t>五、</w:t>
      </w:r>
      <w:r>
        <w:rPr>
          <w:rFonts w:hint="eastAsia" w:ascii="宋体" w:hAnsi="宋体"/>
          <w:b/>
          <w:color w:val="auto"/>
          <w:sz w:val="28"/>
          <w:szCs w:val="28"/>
          <w:highlight w:val="none"/>
          <w:lang w:eastAsia="zh-CN"/>
        </w:rPr>
        <w:t>资格审查</w:t>
      </w:r>
      <w:r>
        <w:rPr>
          <w:rFonts w:hint="eastAsia" w:ascii="宋体" w:hAnsi="宋体"/>
          <w:b/>
          <w:color w:val="auto"/>
          <w:sz w:val="28"/>
          <w:szCs w:val="28"/>
          <w:highlight w:val="none"/>
        </w:rPr>
        <w:t>程序</w:t>
      </w:r>
      <w:bookmarkEnd w:id="60"/>
      <w:bookmarkEnd w:id="61"/>
      <w:bookmarkEnd w:id="62"/>
      <w:bookmarkEnd w:id="63"/>
      <w:bookmarkEnd w:id="64"/>
    </w:p>
    <w:p>
      <w:pPr>
        <w:numPr>
          <w:ilvl w:val="0"/>
          <w:numId w:val="23"/>
        </w:numPr>
        <w:tabs>
          <w:tab w:val="left" w:pos="540"/>
        </w:tabs>
        <w:spacing w:line="377"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资格审查文件的递交</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15.1</w:t>
      </w:r>
      <w:r>
        <w:rPr>
          <w:rFonts w:hint="eastAsia" w:ascii="宋体" w:hAnsi="宋体"/>
          <w:color w:val="auto"/>
          <w:sz w:val="24"/>
          <w:highlight w:val="none"/>
          <w:lang w:val="zh-CN" w:eastAsia="zh-CN"/>
        </w:rPr>
        <w:t>投标人代表应按《竞投公告》所规定的时间和地点递交资格审查文件。</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15.2</w:t>
      </w:r>
      <w:r>
        <w:rPr>
          <w:rFonts w:hint="eastAsia" w:ascii="宋体" w:hAnsi="宋体"/>
          <w:color w:val="auto"/>
          <w:sz w:val="24"/>
          <w:highlight w:val="none"/>
          <w:lang w:val="zh-CN" w:eastAsia="zh-CN"/>
        </w:rPr>
        <w:t>递交资格审查文件时间宣布截止后，招标代理机构将不接收任何资格审查文件。</w:t>
      </w:r>
    </w:p>
    <w:p>
      <w:pPr>
        <w:numPr>
          <w:ilvl w:val="0"/>
          <w:numId w:val="23"/>
        </w:numPr>
        <w:tabs>
          <w:tab w:val="left" w:pos="540"/>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评审流程及相关事项</w:t>
      </w:r>
    </w:p>
    <w:p>
      <w:pPr>
        <w:numPr>
          <w:ilvl w:val="0"/>
          <w:numId w:val="0"/>
        </w:numPr>
        <w:tabs>
          <w:tab w:val="left" w:pos="540"/>
        </w:tabs>
        <w:spacing w:line="374" w:lineRule="auto"/>
        <w:ind w:left="0" w:firstLine="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16.1由招标人代表和招标代理机构负责审查。</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16.2</w:t>
      </w:r>
      <w:r>
        <w:rPr>
          <w:rFonts w:hint="eastAsia" w:ascii="宋体" w:hAnsi="宋体"/>
          <w:color w:val="auto"/>
          <w:sz w:val="24"/>
          <w:highlight w:val="none"/>
          <w:lang w:val="zh-CN" w:eastAsia="zh-CN"/>
        </w:rPr>
        <w:t>评审方法：合格制，合资格的投标人全部通过。</w:t>
      </w:r>
    </w:p>
    <w:p>
      <w:pPr>
        <w:numPr>
          <w:ilvl w:val="0"/>
          <w:numId w:val="0"/>
        </w:numPr>
        <w:tabs>
          <w:tab w:val="left" w:pos="540"/>
        </w:tabs>
        <w:spacing w:line="374" w:lineRule="auto"/>
        <w:ind w:left="0" w:firstLine="0"/>
        <w:rPr>
          <w:rFonts w:hint="eastAsia" w:ascii="宋体" w:hAnsi="宋体"/>
          <w:color w:val="auto"/>
          <w:sz w:val="24"/>
          <w:highlight w:val="none"/>
          <w:lang w:val="zh-CN" w:eastAsia="zh-CN"/>
        </w:rPr>
      </w:pPr>
      <w:r>
        <w:rPr>
          <w:rFonts w:hint="eastAsia" w:ascii="宋体" w:hAnsi="宋体"/>
          <w:color w:val="auto"/>
          <w:sz w:val="24"/>
          <w:highlight w:val="none"/>
          <w:lang w:val="en-US" w:eastAsia="zh-CN"/>
        </w:rPr>
        <w:t>16.3</w:t>
      </w:r>
      <w:r>
        <w:rPr>
          <w:rFonts w:hint="eastAsia" w:ascii="宋体" w:hAnsi="宋体"/>
          <w:color w:val="auto"/>
          <w:sz w:val="24"/>
          <w:highlight w:val="none"/>
          <w:lang w:val="zh-CN" w:eastAsia="zh-CN"/>
        </w:rPr>
        <w:t>评审程序：</w:t>
      </w:r>
    </w:p>
    <w:p>
      <w:pPr>
        <w:numPr>
          <w:ilvl w:val="0"/>
          <w:numId w:val="0"/>
        </w:numPr>
        <w:tabs>
          <w:tab w:val="left" w:pos="540"/>
        </w:tabs>
        <w:spacing w:line="374" w:lineRule="auto"/>
        <w:ind w:left="0" w:firstLine="0"/>
        <w:rPr>
          <w:rFonts w:ascii="宋体"/>
          <w:color w:val="auto"/>
          <w:sz w:val="24"/>
          <w:highlight w:val="none"/>
          <w:lang w:val="zh-CN"/>
        </w:rPr>
      </w:pPr>
      <w:r>
        <w:rPr>
          <w:rFonts w:hint="eastAsia" w:ascii="宋体" w:hAnsi="宋体"/>
          <w:color w:val="auto"/>
          <w:sz w:val="24"/>
          <w:highlight w:val="none"/>
          <w:lang w:val="zh-CN" w:eastAsia="zh-CN"/>
        </w:rPr>
        <w:t>对投标人的资格性检查：由招标人或招标代理机构根据本项目《竞投文件》的规定，对照《资格审</w:t>
      </w:r>
      <w:r>
        <w:rPr>
          <w:rFonts w:hint="eastAsia" w:ascii="宋体" w:hAnsi="宋体"/>
          <w:color w:val="auto"/>
          <w:sz w:val="24"/>
          <w:highlight w:val="none"/>
          <w:lang w:val="zh-CN"/>
        </w:rPr>
        <w:t>查文件》中</w:t>
      </w:r>
      <w:r>
        <w:rPr>
          <w:rFonts w:hint="eastAsia" w:ascii="宋体" w:hAnsi="宋体"/>
          <w:b/>
          <w:color w:val="auto"/>
          <w:sz w:val="24"/>
          <w:highlight w:val="none"/>
          <w:u w:val="single"/>
          <w:lang w:val="zh-CN"/>
        </w:rPr>
        <w:t>“资格性文件清单”</w:t>
      </w:r>
      <w:r>
        <w:rPr>
          <w:rFonts w:hint="eastAsia" w:ascii="宋体" w:hAnsi="宋体"/>
          <w:color w:val="auto"/>
          <w:sz w:val="24"/>
          <w:highlight w:val="none"/>
          <w:lang w:val="zh-CN"/>
        </w:rPr>
        <w:t>的内容和要求进行审查，以确定投标人是否符合竞投资格。通过资格性检查，可判定投标人的资格审查文件是否符合竞投文件的要求。对于上述审查内容，投标人必须响应，否则其资格审查文件作无效处理。</w:t>
      </w:r>
    </w:p>
    <w:p>
      <w:pPr>
        <w:numPr>
          <w:ilvl w:val="0"/>
          <w:numId w:val="23"/>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废标条件</w:t>
      </w:r>
    </w:p>
    <w:p>
      <w:pPr>
        <w:numPr>
          <w:ilvl w:val="0"/>
          <w:numId w:val="0"/>
        </w:numPr>
        <w:tabs>
          <w:tab w:val="left" w:pos="540"/>
        </w:tabs>
        <w:spacing w:line="374" w:lineRule="auto"/>
        <w:ind w:left="0" w:firstLine="0"/>
        <w:rPr>
          <w:color w:val="auto"/>
          <w:sz w:val="24"/>
          <w:highlight w:val="none"/>
          <w:lang w:val="en-GB"/>
        </w:rPr>
      </w:pPr>
      <w:r>
        <w:rPr>
          <w:rFonts w:hint="eastAsia"/>
          <w:color w:val="auto"/>
          <w:sz w:val="24"/>
          <w:highlight w:val="none"/>
          <w:lang w:val="en-GB"/>
        </w:rPr>
        <w:t>本项目</w:t>
      </w:r>
      <w:r>
        <w:rPr>
          <w:rFonts w:hint="eastAsia"/>
          <w:color w:val="auto"/>
          <w:sz w:val="24"/>
          <w:szCs w:val="20"/>
          <w:highlight w:val="none"/>
        </w:rPr>
        <w:t>出现</w:t>
      </w:r>
      <w:r>
        <w:rPr>
          <w:rFonts w:hint="eastAsia" w:ascii="宋体" w:hAnsi="宋体"/>
          <w:color w:val="auto"/>
          <w:sz w:val="24"/>
          <w:highlight w:val="none"/>
          <w:lang w:val="en-US" w:eastAsia="zh-CN"/>
        </w:rPr>
        <w:t>下列</w:t>
      </w:r>
      <w:r>
        <w:rPr>
          <w:rFonts w:hint="eastAsia"/>
          <w:color w:val="auto"/>
          <w:sz w:val="24"/>
          <w:szCs w:val="20"/>
          <w:highlight w:val="none"/>
        </w:rPr>
        <w:t>条件之一则对应定作废标：</w:t>
      </w:r>
    </w:p>
    <w:p>
      <w:pPr>
        <w:numPr>
          <w:ilvl w:val="0"/>
          <w:numId w:val="28"/>
        </w:numPr>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竞投</w:t>
      </w:r>
      <w:r>
        <w:rPr>
          <w:rFonts w:ascii="宋体" w:hAnsi="宋体"/>
          <w:color w:val="auto"/>
          <w:sz w:val="24"/>
          <w:highlight w:val="none"/>
          <w:lang w:val="en-GB"/>
        </w:rPr>
        <w:t>过程出现影响公平竞争的违法、违规行为</w:t>
      </w:r>
      <w:r>
        <w:rPr>
          <w:rFonts w:hint="eastAsia" w:ascii="宋体" w:hAnsi="宋体"/>
          <w:color w:val="auto"/>
          <w:sz w:val="24"/>
          <w:highlight w:val="none"/>
          <w:lang w:val="en-GB"/>
        </w:rPr>
        <w:t>。</w:t>
      </w:r>
    </w:p>
    <w:p>
      <w:pPr>
        <w:numPr>
          <w:ilvl w:val="0"/>
          <w:numId w:val="28"/>
        </w:numPr>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因重大变故，</w:t>
      </w:r>
      <w:r>
        <w:rPr>
          <w:rFonts w:hint="eastAsia" w:ascii="宋体" w:hAnsi="宋体"/>
          <w:color w:val="auto"/>
          <w:sz w:val="24"/>
          <w:highlight w:val="none"/>
          <w:lang w:val="en-GB"/>
        </w:rPr>
        <w:t>采购</w:t>
      </w:r>
      <w:r>
        <w:rPr>
          <w:rFonts w:ascii="宋体" w:hAnsi="宋体"/>
          <w:color w:val="auto"/>
          <w:sz w:val="24"/>
          <w:highlight w:val="none"/>
          <w:lang w:val="en-GB"/>
        </w:rPr>
        <w:t>任务取消的。</w:t>
      </w:r>
    </w:p>
    <w:p>
      <w:pPr>
        <w:numPr>
          <w:ilvl w:val="0"/>
          <w:numId w:val="28"/>
        </w:numPr>
        <w:spacing w:line="360" w:lineRule="auto"/>
        <w:ind w:left="993" w:hanging="709"/>
        <w:rPr>
          <w:highlight w:val="none"/>
          <w:lang w:val="en-GB"/>
        </w:rPr>
      </w:pPr>
      <w:r>
        <w:rPr>
          <w:rFonts w:hint="eastAsia" w:ascii="宋体" w:hAnsi="宋体" w:eastAsia="宋体" w:cs="宋体"/>
          <w:sz w:val="24"/>
          <w:szCs w:val="24"/>
          <w:highlight w:val="none"/>
          <w:lang w:val="en-US" w:eastAsia="zh-CN"/>
        </w:rPr>
        <w:t>有效投标人不足三家的；</w:t>
      </w:r>
    </w:p>
    <w:p>
      <w:pPr>
        <w:numPr>
          <w:ilvl w:val="0"/>
          <w:numId w:val="28"/>
        </w:numPr>
        <w:spacing w:line="360" w:lineRule="auto"/>
        <w:ind w:left="993" w:hanging="709"/>
        <w:rPr>
          <w:highlight w:val="none"/>
          <w:lang w:val="en-GB"/>
        </w:rPr>
      </w:pPr>
      <w:r>
        <w:rPr>
          <w:rFonts w:hint="eastAsia" w:ascii="宋体" w:hAnsi="宋体" w:eastAsia="宋体" w:cs="宋体"/>
          <w:sz w:val="24"/>
          <w:szCs w:val="24"/>
          <w:highlight w:val="none"/>
          <w:lang w:val="en-US" w:eastAsia="zh-CN"/>
        </w:rPr>
        <w:t>竞投过程无人报价或所有报价均低于最低限价的</w:t>
      </w:r>
    </w:p>
    <w:p>
      <w:pPr>
        <w:numPr>
          <w:ilvl w:val="0"/>
          <w:numId w:val="23"/>
        </w:numPr>
        <w:tabs>
          <w:tab w:val="left" w:pos="540"/>
          <w:tab w:val="left" w:pos="987"/>
        </w:tabs>
        <w:spacing w:before="120" w:beforeLines="50" w:line="360" w:lineRule="auto"/>
        <w:ind w:left="420" w:leftChars="0" w:hanging="420" w:firstLineChars="0"/>
        <w:rPr>
          <w:rFonts w:ascii="宋体"/>
          <w:b/>
          <w:color w:val="auto"/>
          <w:sz w:val="24"/>
          <w:highlight w:val="none"/>
          <w:lang w:val="zh-CN"/>
        </w:rPr>
      </w:pPr>
      <w:r>
        <w:rPr>
          <w:rFonts w:hint="eastAsia" w:ascii="宋体" w:hAnsi="宋体"/>
          <w:b/>
          <w:color w:val="auto"/>
          <w:sz w:val="24"/>
          <w:highlight w:val="none"/>
          <w:lang w:val="zh-CN"/>
        </w:rPr>
        <w:t>无效竞投</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18.1无效竞投行为的认定，投标人存在下列情况之一的，竞投无效：</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未按照</w:t>
      </w:r>
      <w:r>
        <w:rPr>
          <w:rFonts w:hint="eastAsia" w:ascii="宋体" w:hAnsi="宋体"/>
          <w:color w:val="auto"/>
          <w:sz w:val="24"/>
          <w:highlight w:val="none"/>
          <w:lang w:val="en-GB" w:eastAsia="zh-CN"/>
        </w:rPr>
        <w:t>竞投文件</w:t>
      </w:r>
      <w:r>
        <w:rPr>
          <w:rFonts w:ascii="宋体" w:hAnsi="宋体"/>
          <w:color w:val="auto"/>
          <w:sz w:val="24"/>
          <w:highlight w:val="none"/>
          <w:lang w:val="en-GB"/>
        </w:rPr>
        <w:t>的规定提交保证金的。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文件未按</w:t>
      </w:r>
      <w:r>
        <w:rPr>
          <w:rFonts w:hint="eastAsia" w:ascii="宋体" w:hAnsi="宋体"/>
          <w:color w:val="auto"/>
          <w:sz w:val="24"/>
          <w:highlight w:val="none"/>
          <w:lang w:val="en-GB" w:eastAsia="zh-CN"/>
        </w:rPr>
        <w:t>竞投文件</w:t>
      </w:r>
      <w:r>
        <w:rPr>
          <w:rFonts w:ascii="宋体" w:hAnsi="宋体"/>
          <w:color w:val="auto"/>
          <w:sz w:val="24"/>
          <w:highlight w:val="none"/>
          <w:lang w:val="en-GB"/>
        </w:rPr>
        <w:t>要求签署、盖章的。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不具备</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规定的资格要求的。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报价</w:t>
      </w:r>
      <w:r>
        <w:rPr>
          <w:rFonts w:hint="eastAsia" w:ascii="宋体" w:hAnsi="宋体"/>
          <w:color w:val="auto"/>
          <w:sz w:val="24"/>
          <w:highlight w:val="none"/>
          <w:lang w:val="en-GB" w:eastAsia="zh-CN"/>
        </w:rPr>
        <w:t>低于竞投文件</w:t>
      </w:r>
      <w:r>
        <w:rPr>
          <w:rFonts w:ascii="宋体" w:hAnsi="宋体"/>
          <w:color w:val="auto"/>
          <w:sz w:val="24"/>
          <w:highlight w:val="none"/>
          <w:lang w:val="en-GB"/>
        </w:rPr>
        <w:t>中规定的</w:t>
      </w:r>
      <w:r>
        <w:rPr>
          <w:rFonts w:hint="eastAsia" w:ascii="宋体" w:hAnsi="宋体"/>
          <w:color w:val="auto"/>
          <w:sz w:val="24"/>
          <w:highlight w:val="none"/>
          <w:lang w:val="en-US" w:eastAsia="zh-CN"/>
        </w:rPr>
        <w:t>底</w:t>
      </w:r>
      <w:r>
        <w:rPr>
          <w:rFonts w:ascii="宋体" w:hAnsi="宋体"/>
          <w:color w:val="auto"/>
          <w:sz w:val="24"/>
          <w:highlight w:val="none"/>
          <w:lang w:val="en-GB"/>
        </w:rPr>
        <w:t>价的。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hint="eastAsia" w:ascii="宋体" w:hAnsi="宋体"/>
          <w:color w:val="auto"/>
          <w:sz w:val="24"/>
          <w:highlight w:val="none"/>
          <w:lang w:val="en-GB" w:eastAsia="zh-CN"/>
        </w:rPr>
        <w:t>资格审查</w:t>
      </w:r>
      <w:r>
        <w:rPr>
          <w:rFonts w:ascii="宋体" w:hAnsi="宋体"/>
          <w:color w:val="auto"/>
          <w:sz w:val="24"/>
          <w:highlight w:val="none"/>
          <w:lang w:val="en-GB"/>
        </w:rPr>
        <w:t>文件含有</w:t>
      </w:r>
      <w:r>
        <w:rPr>
          <w:rFonts w:hint="eastAsia" w:ascii="宋体" w:hAnsi="宋体"/>
          <w:color w:val="auto"/>
          <w:sz w:val="24"/>
          <w:highlight w:val="none"/>
          <w:lang w:val="en-GB" w:eastAsia="zh-CN"/>
        </w:rPr>
        <w:t>招标人</w:t>
      </w:r>
      <w:r>
        <w:rPr>
          <w:rFonts w:ascii="宋体" w:hAnsi="宋体"/>
          <w:color w:val="auto"/>
          <w:sz w:val="24"/>
          <w:highlight w:val="none"/>
          <w:lang w:val="en-GB"/>
        </w:rPr>
        <w:t>不能接受的附加条件的。</w:t>
      </w:r>
    </w:p>
    <w:p>
      <w:pPr>
        <w:numPr>
          <w:ilvl w:val="0"/>
          <w:numId w:val="29"/>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法律、法规或</w:t>
      </w:r>
      <w:r>
        <w:rPr>
          <w:rFonts w:hint="eastAsia" w:ascii="宋体" w:hAnsi="宋体"/>
          <w:color w:val="auto"/>
          <w:sz w:val="24"/>
          <w:highlight w:val="none"/>
          <w:lang w:val="en-GB" w:eastAsia="zh-CN"/>
        </w:rPr>
        <w:t>竞投文件</w:t>
      </w:r>
      <w:r>
        <w:rPr>
          <w:rFonts w:ascii="宋体" w:hAnsi="宋体"/>
          <w:color w:val="auto"/>
          <w:sz w:val="24"/>
          <w:highlight w:val="none"/>
          <w:lang w:val="en-GB"/>
        </w:rPr>
        <w:t>规定的其他无效情形的。</w:t>
      </w:r>
    </w:p>
    <w:p>
      <w:pPr>
        <w:numPr>
          <w:ilvl w:val="0"/>
          <w:numId w:val="0"/>
        </w:numPr>
        <w:tabs>
          <w:tab w:val="left" w:pos="540"/>
        </w:tabs>
        <w:spacing w:line="374" w:lineRule="auto"/>
        <w:ind w:left="0" w:firstLine="0"/>
        <w:rPr>
          <w:rFonts w:hint="eastAsia" w:ascii="宋体" w:hAnsi="宋体"/>
          <w:color w:val="auto"/>
          <w:sz w:val="24"/>
          <w:highlight w:val="none"/>
          <w:lang w:val="en-GB" w:eastAsia="zh-CN"/>
        </w:rPr>
      </w:pPr>
      <w:r>
        <w:rPr>
          <w:rFonts w:hint="eastAsia" w:ascii="宋体" w:hAnsi="宋体"/>
          <w:color w:val="auto"/>
          <w:sz w:val="24"/>
          <w:highlight w:val="none"/>
          <w:lang w:val="en-US" w:eastAsia="zh-CN"/>
        </w:rPr>
        <w:t>18.2</w:t>
      </w:r>
      <w:r>
        <w:rPr>
          <w:rFonts w:hint="eastAsia" w:ascii="宋体" w:hAnsi="宋体"/>
          <w:color w:val="auto"/>
          <w:sz w:val="24"/>
          <w:highlight w:val="none"/>
          <w:lang w:val="en-GB" w:eastAsia="zh-CN"/>
        </w:rPr>
        <w:t>有下列情形之一的，视为投标人串通竞投，其竞投无效：</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文件由同一单位或者个人编制。</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委托同一单位或者个人办理</w:t>
      </w:r>
      <w:r>
        <w:rPr>
          <w:rFonts w:hint="eastAsia" w:ascii="宋体" w:hAnsi="宋体"/>
          <w:color w:val="auto"/>
          <w:sz w:val="24"/>
          <w:highlight w:val="none"/>
          <w:lang w:val="en-GB" w:eastAsia="zh-CN"/>
        </w:rPr>
        <w:t>竞投</w:t>
      </w:r>
      <w:r>
        <w:rPr>
          <w:rFonts w:ascii="宋体" w:hAnsi="宋体"/>
          <w:color w:val="auto"/>
          <w:sz w:val="24"/>
          <w:highlight w:val="none"/>
          <w:lang w:val="en-GB"/>
        </w:rPr>
        <w:t>事宜。</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文件载明的</w:t>
      </w:r>
      <w:r>
        <w:rPr>
          <w:rFonts w:hint="eastAsia" w:ascii="宋体" w:hAnsi="宋体"/>
          <w:color w:val="auto"/>
          <w:sz w:val="24"/>
          <w:highlight w:val="none"/>
          <w:lang w:val="en-GB" w:eastAsia="zh-CN"/>
        </w:rPr>
        <w:t>授权代理人</w:t>
      </w:r>
      <w:r>
        <w:rPr>
          <w:rFonts w:ascii="宋体" w:hAnsi="宋体"/>
          <w:color w:val="auto"/>
          <w:sz w:val="24"/>
          <w:highlight w:val="none"/>
          <w:lang w:val="en-GB"/>
        </w:rPr>
        <w:t>或者联系人员为同一人。</w:t>
      </w:r>
    </w:p>
    <w:p>
      <w:pPr>
        <w:numPr>
          <w:ilvl w:val="0"/>
          <w:numId w:val="30"/>
        </w:numPr>
        <w:tabs>
          <w:tab w:val="left" w:pos="17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资格审查</w:t>
      </w:r>
      <w:r>
        <w:rPr>
          <w:rFonts w:ascii="宋体" w:hAnsi="宋体"/>
          <w:color w:val="auto"/>
          <w:sz w:val="24"/>
          <w:highlight w:val="none"/>
          <w:lang w:val="en-GB"/>
        </w:rPr>
        <w:t>文件相互混装。</w:t>
      </w:r>
    </w:p>
    <w:p>
      <w:pPr>
        <w:numPr>
          <w:ilvl w:val="0"/>
          <w:numId w:val="30"/>
        </w:numPr>
        <w:tabs>
          <w:tab w:val="left" w:pos="420"/>
          <w:tab w:val="left" w:pos="720"/>
        </w:tabs>
        <w:spacing w:line="360" w:lineRule="auto"/>
        <w:ind w:left="993" w:hanging="709"/>
        <w:rPr>
          <w:rFonts w:ascii="宋体" w:hAnsi="宋体"/>
          <w:color w:val="auto"/>
          <w:sz w:val="24"/>
          <w:highlight w:val="none"/>
          <w:lang w:val="en-GB"/>
        </w:rPr>
      </w:pPr>
      <w:r>
        <w:rPr>
          <w:rFonts w:ascii="宋体" w:hAnsi="宋体"/>
          <w:color w:val="auto"/>
          <w:sz w:val="24"/>
          <w:highlight w:val="none"/>
          <w:lang w:val="en-GB"/>
        </w:rPr>
        <w:t>不同</w:t>
      </w:r>
      <w:r>
        <w:rPr>
          <w:rFonts w:hint="eastAsia" w:ascii="宋体" w:hAnsi="宋体"/>
          <w:color w:val="auto"/>
          <w:sz w:val="24"/>
          <w:highlight w:val="none"/>
          <w:lang w:val="en-GB" w:eastAsia="zh-CN"/>
        </w:rPr>
        <w:t>投标人</w:t>
      </w:r>
      <w:r>
        <w:rPr>
          <w:rFonts w:ascii="宋体" w:hAnsi="宋体"/>
          <w:color w:val="auto"/>
          <w:sz w:val="24"/>
          <w:highlight w:val="none"/>
          <w:lang w:val="en-GB"/>
        </w:rPr>
        <w:t>的</w:t>
      </w:r>
      <w:r>
        <w:rPr>
          <w:rFonts w:hint="eastAsia" w:ascii="宋体" w:hAnsi="宋体"/>
          <w:color w:val="auto"/>
          <w:sz w:val="24"/>
          <w:highlight w:val="none"/>
          <w:lang w:val="en-GB" w:eastAsia="zh-CN"/>
        </w:rPr>
        <w:t>竞投</w:t>
      </w:r>
      <w:r>
        <w:rPr>
          <w:rFonts w:ascii="宋体" w:hAnsi="宋体"/>
          <w:color w:val="auto"/>
          <w:sz w:val="24"/>
          <w:highlight w:val="none"/>
          <w:lang w:val="en-GB"/>
        </w:rPr>
        <w:t>保证金从同一单位或者个人的账户转出。</w:t>
      </w:r>
    </w:p>
    <w:p>
      <w:pPr>
        <w:tabs>
          <w:tab w:val="left" w:pos="420"/>
        </w:tabs>
        <w:autoSpaceDE w:val="0"/>
        <w:autoSpaceDN w:val="0"/>
        <w:adjustRightInd w:val="0"/>
        <w:snapToGrid w:val="0"/>
        <w:spacing w:line="360" w:lineRule="auto"/>
        <w:ind w:right="32"/>
        <w:rPr>
          <w:rFonts w:hint="eastAsia" w:ascii="宋体" w:hAnsi="宋体"/>
          <w:color w:val="auto"/>
          <w:sz w:val="24"/>
          <w:highlight w:val="none"/>
        </w:rPr>
      </w:pPr>
    </w:p>
    <w:p>
      <w:pPr>
        <w:spacing w:after="72" w:afterLines="30" w:line="336" w:lineRule="auto"/>
        <w:ind w:right="-178" w:rightChars="-85"/>
        <w:jc w:val="center"/>
        <w:outlineLvl w:val="1"/>
        <w:rPr>
          <w:rFonts w:hint="eastAsia" w:ascii="宋体" w:eastAsia="宋体"/>
          <w:b/>
          <w:color w:val="auto"/>
          <w:sz w:val="28"/>
          <w:szCs w:val="28"/>
          <w:highlight w:val="none"/>
          <w:lang w:eastAsia="zh-CN"/>
        </w:rPr>
      </w:pPr>
      <w:bookmarkStart w:id="65" w:name="_Toc29156"/>
      <w:bookmarkStart w:id="66" w:name="_Toc11501"/>
      <w:bookmarkStart w:id="67" w:name="_Toc334432594"/>
      <w:bookmarkStart w:id="68" w:name="_Toc28243"/>
      <w:bookmarkStart w:id="69" w:name="_Toc6827"/>
      <w:r>
        <w:rPr>
          <w:rFonts w:hint="eastAsia" w:ascii="宋体" w:hAnsi="宋体"/>
          <w:b/>
          <w:color w:val="auto"/>
          <w:sz w:val="28"/>
          <w:szCs w:val="28"/>
          <w:highlight w:val="none"/>
        </w:rPr>
        <w:t>六、</w:t>
      </w:r>
      <w:bookmarkEnd w:id="65"/>
      <w:bookmarkEnd w:id="66"/>
      <w:bookmarkEnd w:id="67"/>
      <w:bookmarkEnd w:id="68"/>
      <w:r>
        <w:rPr>
          <w:rFonts w:hint="eastAsia" w:ascii="宋体" w:hAnsi="宋体"/>
          <w:b/>
          <w:color w:val="auto"/>
          <w:sz w:val="28"/>
          <w:szCs w:val="28"/>
          <w:highlight w:val="none"/>
          <w:lang w:eastAsia="zh-CN"/>
        </w:rPr>
        <w:t>竞投方式</w:t>
      </w:r>
      <w:bookmarkEnd w:id="69"/>
    </w:p>
    <w:p>
      <w:pPr>
        <w:numPr>
          <w:ilvl w:val="0"/>
          <w:numId w:val="23"/>
        </w:numPr>
        <w:tabs>
          <w:tab w:val="left" w:pos="540"/>
        </w:tabs>
        <w:spacing w:line="360" w:lineRule="auto"/>
        <w:ind w:left="420" w:leftChars="0" w:hanging="420" w:firstLineChars="0"/>
        <w:rPr>
          <w:color w:val="auto"/>
          <w:sz w:val="24"/>
          <w:highlight w:val="none"/>
        </w:rPr>
      </w:pPr>
      <w:bookmarkStart w:id="70" w:name="_Toc119321139"/>
      <w:bookmarkStart w:id="71" w:name="_Toc374378411"/>
      <w:r>
        <w:rPr>
          <w:rFonts w:hint="eastAsia" w:hAnsi="宋体"/>
          <w:b/>
          <w:color w:val="auto"/>
          <w:sz w:val="24"/>
          <w:highlight w:val="none"/>
          <w:lang w:eastAsia="zh-CN"/>
        </w:rPr>
        <w:t>竞投</w:t>
      </w:r>
      <w:bookmarkEnd w:id="70"/>
      <w:bookmarkEnd w:id="71"/>
      <w:r>
        <w:rPr>
          <w:rFonts w:hint="eastAsia" w:hAnsi="宋体"/>
          <w:b/>
          <w:color w:val="auto"/>
          <w:sz w:val="24"/>
          <w:highlight w:val="none"/>
          <w:lang w:eastAsia="zh-CN"/>
        </w:rPr>
        <w:t>方式：</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19.1本次竞投会采取填写报价书和公布报价的方式进行。竞投人的报价书必须由法定代表人或授权代表填写，签名确认；报价书应密封，在密封袋上写明招标人名称，在密封处由法人或授权代表人签名。报价书一经递交，不得撤回或修改。</w:t>
      </w:r>
    </w:p>
    <w:p>
      <w:pPr>
        <w:numPr>
          <w:ilvl w:val="0"/>
          <w:numId w:val="0"/>
        </w:numPr>
        <w:tabs>
          <w:tab w:val="left" w:pos="540"/>
        </w:tabs>
        <w:spacing w:line="374" w:lineRule="auto"/>
        <w:ind w:left="0" w:firstLine="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19.2本项目采取一次性报价，所报价格不得低于本项目设定的最低限价。若报价金额低于设定的最低限价，则报价无效；若报价金额不低于本项目设定的最低限价，则采取价高者得的原则确定中标人。</w:t>
      </w:r>
      <w:r>
        <w:rPr>
          <w:rFonts w:hint="eastAsia" w:ascii="宋体" w:hAnsi="宋体"/>
          <w:b/>
          <w:bCs/>
          <w:color w:val="auto"/>
          <w:sz w:val="24"/>
          <w:highlight w:val="none"/>
          <w:lang w:val="en-US" w:eastAsia="zh-CN"/>
        </w:rPr>
        <w:t>若出现最高报价相同的，按提交报价书的先后顺序确定中标人（即最先提交报价书者为中标人）</w:t>
      </w:r>
      <w:r>
        <w:rPr>
          <w:rFonts w:hint="eastAsia" w:ascii="宋体" w:hAnsi="宋体"/>
          <w:color w:val="auto"/>
          <w:sz w:val="24"/>
          <w:highlight w:val="none"/>
          <w:lang w:val="en-US" w:eastAsia="zh-CN"/>
        </w:rPr>
        <w:t>。</w:t>
      </w: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br w:type="page"/>
      </w:r>
    </w:p>
    <w:p>
      <w:pPr>
        <w:pStyle w:val="2"/>
        <w:rPr>
          <w:rFonts w:hint="eastAsia"/>
          <w:color w:val="auto"/>
          <w:highlight w:val="none"/>
          <w:lang w:val="en-US" w:eastAsia="zh-CN"/>
        </w:rPr>
      </w:pPr>
    </w:p>
    <w:p>
      <w:pPr>
        <w:spacing w:after="120" w:afterLines="50" w:line="360" w:lineRule="auto"/>
        <w:jc w:val="center"/>
        <w:outlineLvl w:val="0"/>
        <w:rPr>
          <w:rFonts w:ascii="宋体"/>
          <w:b/>
          <w:color w:val="auto"/>
          <w:sz w:val="36"/>
          <w:szCs w:val="36"/>
          <w:highlight w:val="none"/>
          <w:lang w:val="zh-CN"/>
        </w:rPr>
      </w:pPr>
      <w:bookmarkStart w:id="72" w:name="_Toc27419"/>
      <w:bookmarkStart w:id="73" w:name="_Toc15468"/>
      <w:bookmarkStart w:id="74" w:name="_Toc30654"/>
      <w:bookmarkStart w:id="75" w:name="_Toc334432596"/>
      <w:bookmarkStart w:id="76" w:name="_Toc8823"/>
      <w:r>
        <w:rPr>
          <w:rFonts w:hint="eastAsia" w:ascii="宋体" w:hAnsi="宋体" w:eastAsia="宋体" w:cs="Times New Roman"/>
          <w:b/>
          <w:color w:val="auto"/>
          <w:kern w:val="2"/>
          <w:sz w:val="36"/>
          <w:szCs w:val="36"/>
          <w:highlight w:val="none"/>
          <w:lang w:val="en-US" w:eastAsia="zh-CN" w:bidi="ar-SA"/>
        </w:rPr>
        <w:t>第四部分合同书范本</w:t>
      </w:r>
      <w:bookmarkEnd w:id="72"/>
      <w:bookmarkEnd w:id="73"/>
      <w:bookmarkEnd w:id="74"/>
      <w:bookmarkEnd w:id="75"/>
      <w:bookmarkEnd w:id="76"/>
    </w:p>
    <w:p>
      <w:pPr>
        <w:spacing w:line="360" w:lineRule="auto"/>
        <w:ind w:left="46" w:leftChars="22"/>
        <w:rPr>
          <w:rFonts w:hAnsi="宋体"/>
          <w:color w:val="auto"/>
          <w:sz w:val="24"/>
          <w:szCs w:val="24"/>
          <w:highlight w:val="none"/>
        </w:rPr>
      </w:pPr>
      <w:r>
        <w:rPr>
          <w:rFonts w:hint="eastAsia" w:hAnsi="宋体"/>
          <w:bCs/>
          <w:color w:val="auto"/>
          <w:kern w:val="44"/>
          <w:sz w:val="24"/>
          <w:szCs w:val="24"/>
          <w:highlight w:val="none"/>
          <w:lang w:val="zh-CN"/>
        </w:rPr>
        <w:t>注：</w:t>
      </w:r>
      <w:r>
        <w:rPr>
          <w:rFonts w:hint="eastAsia" w:ascii="宋体" w:hAnsi="宋体"/>
          <w:color w:val="auto"/>
          <w:sz w:val="24"/>
          <w:szCs w:val="24"/>
          <w:highlight w:val="none"/>
        </w:rPr>
        <w:t>在不违背各方认可的文件内容前提下，对个别非实质性条款可由合同当事人协商修订，</w:t>
      </w:r>
      <w:r>
        <w:rPr>
          <w:rFonts w:hint="eastAsia" w:hAnsi="宋体"/>
          <w:bCs/>
          <w:color w:val="auto"/>
          <w:kern w:val="44"/>
          <w:sz w:val="24"/>
          <w:szCs w:val="24"/>
          <w:highlight w:val="none"/>
          <w:lang w:val="zh-CN"/>
        </w:rPr>
        <w:t>最终以甲、乙双方签订的合同为准。合同封面也可按甲乙双方意愿，自行编制修订。</w:t>
      </w:r>
    </w:p>
    <w:p>
      <w:pPr>
        <w:spacing w:line="360" w:lineRule="auto"/>
        <w:jc w:val="center"/>
        <w:rPr>
          <w:rFonts w:hAnsi="宋体"/>
          <w:color w:val="auto"/>
          <w:sz w:val="24"/>
          <w:szCs w:val="24"/>
          <w:highlight w:val="none"/>
        </w:rPr>
      </w:pPr>
    </w:p>
    <w:p>
      <w:pPr>
        <w:rPr>
          <w:color w:val="auto"/>
          <w:sz w:val="24"/>
          <w:highlight w:val="none"/>
        </w:rPr>
      </w:pPr>
    </w:p>
    <w:p>
      <w:pPr>
        <w:jc w:val="center"/>
        <w:rPr>
          <w:rFonts w:eastAsia="黑体"/>
          <w:color w:val="auto"/>
          <w:sz w:val="52"/>
          <w:highlight w:val="none"/>
        </w:rPr>
      </w:pPr>
    </w:p>
    <w:p>
      <w:pPr>
        <w:spacing w:line="776" w:lineRule="exact"/>
        <w:ind w:right="-453"/>
        <w:jc w:val="center"/>
        <w:rPr>
          <w:rFonts w:ascii="宋体"/>
          <w:color w:val="auto"/>
          <w:sz w:val="68"/>
          <w:highlight w:val="none"/>
        </w:rPr>
      </w:pPr>
      <w:r>
        <w:rPr>
          <w:rFonts w:ascii="宋体"/>
          <w:color w:val="auto"/>
          <w:sz w:val="68"/>
          <w:highlight w:val="none"/>
        </w:rPr>
        <w:br w:type="page"/>
      </w:r>
    </w:p>
    <w:p>
      <w:pPr>
        <w:spacing w:line="776" w:lineRule="exact"/>
        <w:ind w:right="-453"/>
        <w:jc w:val="center"/>
        <w:rPr>
          <w:rFonts w:ascii="宋体"/>
          <w:color w:val="auto"/>
          <w:sz w:val="68"/>
          <w:highlight w:val="none"/>
        </w:rPr>
      </w:pPr>
    </w:p>
    <w:p>
      <w:pPr>
        <w:spacing w:line="776" w:lineRule="exact"/>
        <w:ind w:right="-453"/>
        <w:jc w:val="center"/>
        <w:rPr>
          <w:rFonts w:hint="eastAsia" w:ascii="宋体" w:hAnsi="宋体" w:eastAsia="宋体"/>
          <w:color w:val="auto"/>
          <w:sz w:val="68"/>
          <w:highlight w:val="none"/>
          <w:lang w:eastAsia="zh-CN"/>
        </w:rPr>
      </w:pPr>
      <w:r>
        <w:rPr>
          <w:rFonts w:hint="eastAsia" w:ascii="宋体" w:hAnsi="宋体"/>
          <w:color w:val="auto"/>
          <w:sz w:val="68"/>
          <w:highlight w:val="none"/>
          <w:lang w:eastAsia="zh-CN"/>
        </w:rPr>
        <w:t>吉利上二村车辆停放管理服务</w:t>
      </w:r>
    </w:p>
    <w:p>
      <w:pPr>
        <w:spacing w:line="200" w:lineRule="exact"/>
        <w:rPr>
          <w:rFonts w:eastAsia="Times New Roman"/>
          <w:color w:val="auto"/>
          <w:highlight w:val="none"/>
        </w:rPr>
      </w:pPr>
    </w:p>
    <w:p>
      <w:pPr>
        <w:spacing w:line="347" w:lineRule="exact"/>
        <w:rPr>
          <w:rFonts w:eastAsia="Times New Roman"/>
          <w:color w:val="auto"/>
          <w:highlight w:val="none"/>
        </w:rPr>
      </w:pPr>
    </w:p>
    <w:p>
      <w:pPr>
        <w:spacing w:line="776" w:lineRule="exact"/>
        <w:ind w:right="-453"/>
        <w:jc w:val="center"/>
        <w:rPr>
          <w:rFonts w:ascii="宋体" w:hAnsi="宋体"/>
          <w:color w:val="auto"/>
          <w:sz w:val="68"/>
          <w:highlight w:val="none"/>
        </w:rPr>
      </w:pPr>
      <w:r>
        <w:rPr>
          <w:rFonts w:ascii="宋体" w:hAnsi="宋体"/>
          <w:color w:val="auto"/>
          <w:sz w:val="68"/>
          <w:highlight w:val="none"/>
        </w:rPr>
        <w:t>合同书</w:t>
      </w:r>
    </w:p>
    <w:p>
      <w:pPr>
        <w:spacing w:line="200" w:lineRule="exact"/>
        <w:rPr>
          <w:rFonts w:eastAsia="Times New Roman"/>
          <w:color w:val="auto"/>
          <w:highlight w:val="none"/>
        </w:rPr>
      </w:pPr>
    </w:p>
    <w:p>
      <w:pPr>
        <w:spacing w:line="360" w:lineRule="auto"/>
        <w:rPr>
          <w:rFonts w:eastAsia="Times New Roman"/>
          <w:color w:val="auto"/>
          <w:highlight w:val="none"/>
        </w:rPr>
      </w:pPr>
    </w:p>
    <w:p>
      <w:pPr>
        <w:spacing w:line="360" w:lineRule="auto"/>
        <w:rPr>
          <w:rFonts w:eastAsia="Times New Roman"/>
          <w:color w:val="auto"/>
          <w:sz w:val="24"/>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32" w:lineRule="exact"/>
        <w:rPr>
          <w:rFonts w:eastAsia="Times New Roman"/>
          <w:color w:val="auto"/>
          <w:highlight w:val="none"/>
        </w:rPr>
      </w:pPr>
    </w:p>
    <w:tbl>
      <w:tblPr>
        <w:tblStyle w:val="19"/>
        <w:tblW w:w="7682" w:type="dxa"/>
        <w:tblInd w:w="1040" w:type="dxa"/>
        <w:tblLayout w:type="fixed"/>
        <w:tblCellMar>
          <w:top w:w="0" w:type="dxa"/>
          <w:left w:w="0" w:type="dxa"/>
          <w:bottom w:w="0" w:type="dxa"/>
          <w:right w:w="0" w:type="dxa"/>
        </w:tblCellMar>
      </w:tblPr>
      <w:tblGrid>
        <w:gridCol w:w="1488"/>
        <w:gridCol w:w="6194"/>
      </w:tblGrid>
      <w:tr>
        <w:tblPrEx>
          <w:tblCellMar>
            <w:top w:w="0" w:type="dxa"/>
            <w:left w:w="0" w:type="dxa"/>
            <w:bottom w:w="0" w:type="dxa"/>
            <w:right w:w="0" w:type="dxa"/>
          </w:tblCellMar>
        </w:tblPrEx>
        <w:trPr>
          <w:trHeight w:val="575" w:hRule="atLeast"/>
        </w:trPr>
        <w:tc>
          <w:tcPr>
            <w:tcW w:w="1488" w:type="dxa"/>
            <w:noWrap w:val="0"/>
            <w:vAlign w:val="bottom"/>
          </w:tcPr>
          <w:p>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tc>
        <w:tc>
          <w:tcPr>
            <w:tcW w:w="6194" w:type="dxa"/>
            <w:tcBorders>
              <w:bottom w:val="single" w:color="auto" w:sz="4" w:space="0"/>
            </w:tcBorders>
            <w:noWrap w:val="0"/>
            <w:vAlign w:val="bottom"/>
          </w:tcPr>
          <w:p>
            <w:pPr>
              <w:spacing w:line="320" w:lineRule="exact"/>
              <w:jc w:val="center"/>
              <w:rPr>
                <w:rFonts w:hint="eastAsia" w:ascii="宋体" w:hAnsi="宋体" w:eastAsia="宋体" w:cs="宋体"/>
                <w:color w:val="auto"/>
                <w:w w:val="99"/>
                <w:sz w:val="32"/>
                <w:szCs w:val="32"/>
                <w:highlight w:val="none"/>
                <w:lang w:eastAsia="zh-CN"/>
              </w:rPr>
            </w:pPr>
            <w:r>
              <w:rPr>
                <w:rFonts w:hint="eastAsia" w:ascii="宋体" w:hAnsi="宋体" w:cs="宋体"/>
                <w:color w:val="auto"/>
                <w:w w:val="99"/>
                <w:sz w:val="32"/>
                <w:szCs w:val="32"/>
                <w:highlight w:val="none"/>
                <w:lang w:eastAsia="zh-CN"/>
              </w:rPr>
              <w:t>佛山市禅城区南庄镇吉利村上二经济合作社</w:t>
            </w:r>
          </w:p>
        </w:tc>
      </w:tr>
      <w:tr>
        <w:tblPrEx>
          <w:tblCellMar>
            <w:top w:w="0" w:type="dxa"/>
            <w:left w:w="0" w:type="dxa"/>
            <w:bottom w:w="0" w:type="dxa"/>
            <w:right w:w="0" w:type="dxa"/>
          </w:tblCellMar>
        </w:tblPrEx>
        <w:trPr>
          <w:trHeight w:val="726" w:hRule="atLeast"/>
        </w:trPr>
        <w:tc>
          <w:tcPr>
            <w:tcW w:w="1488" w:type="dxa"/>
            <w:noWrap w:val="0"/>
            <w:vAlign w:val="bottom"/>
          </w:tcPr>
          <w:p>
            <w:pPr>
              <w:spacing w:line="313"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tc>
        <w:tc>
          <w:tcPr>
            <w:tcW w:w="6194" w:type="dxa"/>
            <w:tcBorders>
              <w:top w:val="single" w:color="auto" w:sz="4" w:space="0"/>
              <w:bottom w:val="single" w:color="auto" w:sz="4" w:space="0"/>
            </w:tcBorders>
            <w:noWrap w:val="0"/>
            <w:vAlign w:val="bottom"/>
          </w:tcPr>
          <w:p>
            <w:pPr>
              <w:spacing w:line="313" w:lineRule="exact"/>
              <w:jc w:val="center"/>
              <w:rPr>
                <w:rFonts w:hint="eastAsia" w:ascii="宋体" w:hAnsi="宋体" w:eastAsia="宋体" w:cs="宋体"/>
                <w:color w:val="auto"/>
                <w:w w:val="99"/>
                <w:sz w:val="32"/>
                <w:szCs w:val="32"/>
                <w:highlight w:val="none"/>
              </w:rPr>
            </w:pPr>
            <w:r>
              <w:rPr>
                <w:rFonts w:hint="eastAsia" w:ascii="宋体" w:hAnsi="宋体" w:eastAsia="宋体" w:cs="宋体"/>
                <w:color w:val="auto"/>
                <w:w w:val="99"/>
                <w:sz w:val="32"/>
                <w:szCs w:val="32"/>
                <w:highlight w:val="none"/>
              </w:rPr>
              <w:t>（中标</w:t>
            </w:r>
            <w:r>
              <w:rPr>
                <w:rFonts w:hint="eastAsia" w:ascii="宋体" w:hAnsi="宋体" w:eastAsia="宋体" w:cs="宋体"/>
                <w:color w:val="auto"/>
                <w:w w:val="99"/>
                <w:sz w:val="32"/>
                <w:szCs w:val="32"/>
                <w:highlight w:val="none"/>
                <w:lang w:eastAsia="zh-CN"/>
              </w:rPr>
              <w:t>人</w:t>
            </w:r>
            <w:r>
              <w:rPr>
                <w:rFonts w:hint="eastAsia" w:ascii="宋体" w:hAnsi="宋体" w:eastAsia="宋体" w:cs="宋体"/>
                <w:color w:val="auto"/>
                <w:w w:val="99"/>
                <w:sz w:val="32"/>
                <w:szCs w:val="32"/>
                <w:highlight w:val="none"/>
              </w:rPr>
              <w:t>）</w:t>
            </w:r>
          </w:p>
        </w:tc>
      </w:tr>
      <w:tr>
        <w:tblPrEx>
          <w:tblCellMar>
            <w:top w:w="0" w:type="dxa"/>
            <w:left w:w="0" w:type="dxa"/>
            <w:bottom w:w="0" w:type="dxa"/>
            <w:right w:w="0" w:type="dxa"/>
          </w:tblCellMar>
        </w:tblPrEx>
        <w:trPr>
          <w:trHeight w:val="749" w:hRule="atLeast"/>
        </w:trPr>
        <w:tc>
          <w:tcPr>
            <w:tcW w:w="1488" w:type="dxa"/>
            <w:noWrap w:val="0"/>
            <w:vAlign w:val="bottom"/>
          </w:tcPr>
          <w:p>
            <w:pPr>
              <w:spacing w:line="316" w:lineRule="exact"/>
              <w:jc w:val="right"/>
              <w:rPr>
                <w:rFonts w:hint="eastAsia" w:ascii="宋体" w:hAnsi="宋体" w:eastAsia="宋体" w:cs="宋体"/>
                <w:color w:val="auto"/>
                <w:w w:val="98"/>
                <w:sz w:val="28"/>
                <w:szCs w:val="28"/>
                <w:highlight w:val="none"/>
              </w:rPr>
            </w:pPr>
            <w:r>
              <w:rPr>
                <w:rFonts w:hint="eastAsia" w:ascii="宋体" w:hAnsi="宋体" w:eastAsia="宋体" w:cs="宋体"/>
                <w:color w:val="auto"/>
                <w:w w:val="98"/>
                <w:sz w:val="28"/>
                <w:szCs w:val="28"/>
                <w:highlight w:val="none"/>
              </w:rPr>
              <w:t>签订日期：</w:t>
            </w:r>
          </w:p>
        </w:tc>
        <w:tc>
          <w:tcPr>
            <w:tcW w:w="6194" w:type="dxa"/>
            <w:tcBorders>
              <w:top w:val="single" w:color="auto" w:sz="4" w:space="0"/>
              <w:bottom w:val="single" w:color="auto" w:sz="8" w:space="0"/>
            </w:tcBorders>
            <w:noWrap w:val="0"/>
            <w:vAlign w:val="bottom"/>
          </w:tcPr>
          <w:p>
            <w:pPr>
              <w:spacing w:line="316" w:lineRule="exact"/>
              <w:ind w:left="25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tc>
      </w:tr>
    </w:tbl>
    <w:p>
      <w:pPr>
        <w:rPr>
          <w:rFonts w:eastAsia="Times New Roman"/>
          <w:color w:val="auto"/>
          <w:sz w:val="19"/>
          <w:highlight w:val="none"/>
        </w:rPr>
        <w:sectPr>
          <w:pgSz w:w="11850" w:h="16783"/>
          <w:pgMar w:top="1134" w:right="1134" w:bottom="1134" w:left="1417" w:header="567" w:footer="567" w:gutter="0"/>
          <w:pgBorders>
            <w:top w:val="none" w:sz="0" w:space="0"/>
            <w:left w:val="none" w:sz="0" w:space="0"/>
            <w:bottom w:val="none" w:sz="0" w:space="0"/>
            <w:right w:val="none" w:sz="0" w:space="0"/>
          </w:pgBorders>
          <w:pgNumType w:fmt="decimal"/>
          <w:cols w:space="0" w:num="1"/>
          <w:rtlGutter w:val="0"/>
          <w:docGrid w:linePitch="360" w:charSpace="0"/>
        </w:sect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00" w:lineRule="exact"/>
        <w:rPr>
          <w:rFonts w:eastAsia="Times New Roman"/>
          <w:color w:val="auto"/>
          <w:highlight w:val="none"/>
        </w:rPr>
      </w:pPr>
    </w:p>
    <w:p>
      <w:pPr>
        <w:spacing w:line="225" w:lineRule="exact"/>
        <w:rPr>
          <w:rFonts w:eastAsia="Times New Roman"/>
          <w:color w:val="auto"/>
          <w:highlight w:val="none"/>
        </w:rPr>
      </w:pPr>
    </w:p>
    <w:p>
      <w:pPr>
        <w:spacing w:line="0" w:lineRule="atLeast"/>
        <w:ind w:right="-473"/>
        <w:jc w:val="center"/>
        <w:rPr>
          <w:rFonts w:eastAsia="Times New Roman"/>
          <w:color w:val="auto"/>
          <w:sz w:val="18"/>
          <w:highlight w:val="none"/>
        </w:rPr>
        <w:sectPr>
          <w:type w:val="continuous"/>
          <w:pgSz w:w="11850" w:h="16783"/>
          <w:pgMar w:top="1134" w:right="1134" w:bottom="1134" w:left="1417" w:header="0" w:footer="0" w:gutter="0"/>
          <w:pgBorders>
            <w:top w:val="none" w:sz="0" w:space="0"/>
            <w:left w:val="none" w:sz="0" w:space="0"/>
            <w:bottom w:val="none" w:sz="0" w:space="0"/>
            <w:right w:val="none" w:sz="0" w:space="0"/>
          </w:pgBorders>
          <w:pgNumType w:fmt="decimal"/>
          <w:cols w:space="0" w:num="1"/>
          <w:rtlGutter w:val="0"/>
          <w:docGrid w:linePitch="360" w:charSpace="0"/>
        </w:sectPr>
      </w:pPr>
    </w:p>
    <w:p>
      <w:pPr>
        <w:pStyle w:val="34"/>
        <w:pageBreakBefore/>
        <w:spacing w:line="360" w:lineRule="auto"/>
        <w:jc w:val="center"/>
        <w:rPr>
          <w:b/>
          <w:color w:val="auto"/>
          <w:kern w:val="0"/>
          <w:sz w:val="44"/>
          <w:szCs w:val="44"/>
          <w:highlight w:val="none"/>
        </w:rPr>
      </w:pPr>
      <w:bookmarkStart w:id="77" w:name="page77"/>
      <w:bookmarkEnd w:id="77"/>
      <w:r>
        <w:rPr>
          <w:rFonts w:hint="eastAsia"/>
          <w:b/>
          <w:color w:val="auto"/>
          <w:kern w:val="0"/>
          <w:sz w:val="44"/>
          <w:szCs w:val="44"/>
          <w:highlight w:val="none"/>
        </w:rPr>
        <w:t>南庄镇农村采购项目合同书</w:t>
      </w:r>
    </w:p>
    <w:p>
      <w:pPr>
        <w:pStyle w:val="34"/>
        <w:spacing w:line="360" w:lineRule="auto"/>
        <w:rPr>
          <w:color w:val="auto"/>
          <w:szCs w:val="22"/>
          <w:highlight w:val="none"/>
        </w:rPr>
      </w:pPr>
    </w:p>
    <w:tbl>
      <w:tblPr>
        <w:tblStyle w:val="19"/>
        <w:tblW w:w="8580" w:type="dxa"/>
        <w:tblInd w:w="0" w:type="dxa"/>
        <w:tblLayout w:type="fixed"/>
        <w:tblCellMar>
          <w:top w:w="0" w:type="dxa"/>
          <w:left w:w="108" w:type="dxa"/>
          <w:bottom w:w="0" w:type="dxa"/>
          <w:right w:w="108" w:type="dxa"/>
        </w:tblCellMar>
      </w:tblPr>
      <w:tblGrid>
        <w:gridCol w:w="1470"/>
        <w:gridCol w:w="7110"/>
      </w:tblGrid>
      <w:tr>
        <w:tblPrEx>
          <w:tblCellMar>
            <w:top w:w="0" w:type="dxa"/>
            <w:left w:w="108" w:type="dxa"/>
            <w:bottom w:w="0" w:type="dxa"/>
            <w:right w:w="108" w:type="dxa"/>
          </w:tblCellMar>
        </w:tblPrEx>
        <w:trPr>
          <w:trHeight w:val="47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项目名称：</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吉利上二村车辆停放管理服务</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交易编号：</w:t>
            </w:r>
          </w:p>
        </w:tc>
        <w:tc>
          <w:tcPr>
            <w:tcW w:w="7110" w:type="dxa"/>
            <w:tcBorders>
              <w:top w:val="nil"/>
              <w:left w:val="nil"/>
              <w:bottom w:val="single" w:color="auto" w:sz="4" w:space="0"/>
              <w:right w:val="nil"/>
            </w:tcBorders>
            <w:noWrap w:val="0"/>
            <w:vAlign w:val="center"/>
          </w:tcPr>
          <w:p>
            <w:pPr>
              <w:pStyle w:val="34"/>
              <w:widowControl/>
              <w:spacing w:line="360" w:lineRule="auto"/>
              <w:jc w:val="both"/>
              <w:rPr>
                <w:rFonts w:hint="eastAsia" w:eastAsia="宋体"/>
                <w:color w:val="auto"/>
                <w:kern w:val="0"/>
                <w:sz w:val="24"/>
                <w:szCs w:val="24"/>
                <w:highlight w:val="none"/>
                <w:lang w:eastAsia="zh-CN"/>
              </w:rPr>
            </w:pPr>
            <w:r>
              <w:rPr>
                <w:rFonts w:hint="eastAsia" w:ascii="宋体" w:hAnsi="宋体"/>
                <w:color w:val="auto"/>
                <w:sz w:val="24"/>
                <w:szCs w:val="24"/>
                <w:highlight w:val="none"/>
                <w:lang w:eastAsia="zh-CN"/>
              </w:rPr>
              <w:t>GDZC-23JT234</w:t>
            </w:r>
          </w:p>
        </w:tc>
      </w:tr>
      <w:tr>
        <w:tblPrEx>
          <w:tblCellMar>
            <w:top w:w="0" w:type="dxa"/>
            <w:left w:w="108" w:type="dxa"/>
            <w:bottom w:w="0" w:type="dxa"/>
            <w:right w:w="108" w:type="dxa"/>
          </w:tblCellMar>
        </w:tblPrEx>
        <w:trPr>
          <w:trHeight w:val="480" w:hRule="atLeast"/>
        </w:trPr>
        <w:tc>
          <w:tcPr>
            <w:tcW w:w="1470" w:type="dxa"/>
            <w:noWrap w:val="0"/>
            <w:vAlign w:val="center"/>
          </w:tcPr>
          <w:p>
            <w:pPr>
              <w:pStyle w:val="34"/>
              <w:spacing w:line="360" w:lineRule="auto"/>
              <w:rPr>
                <w:b/>
                <w:color w:val="auto"/>
                <w:sz w:val="24"/>
                <w:szCs w:val="24"/>
                <w:highlight w:val="none"/>
              </w:rPr>
            </w:pPr>
            <w:r>
              <w:rPr>
                <w:rFonts w:hint="eastAsia"/>
                <w:b/>
                <w:color w:val="auto"/>
                <w:sz w:val="24"/>
                <w:szCs w:val="24"/>
                <w:highlight w:val="none"/>
              </w:rPr>
              <w:t>甲方：</w:t>
            </w:r>
          </w:p>
        </w:tc>
        <w:tc>
          <w:tcPr>
            <w:tcW w:w="7110" w:type="dxa"/>
            <w:tcBorders>
              <w:top w:val="single" w:color="auto" w:sz="4" w:space="0"/>
              <w:left w:val="nil"/>
              <w:bottom w:val="single" w:color="auto" w:sz="4" w:space="0"/>
              <w:right w:val="nil"/>
            </w:tcBorders>
            <w:noWrap w:val="0"/>
            <w:vAlign w:val="center"/>
          </w:tcPr>
          <w:p>
            <w:pPr>
              <w:pStyle w:val="35"/>
              <w:jc w:val="both"/>
              <w:rPr>
                <w:rFonts w:hint="eastAsia" w:eastAsia="宋体"/>
                <w:color w:val="auto"/>
                <w:sz w:val="24"/>
                <w:szCs w:val="24"/>
                <w:highlight w:val="none"/>
                <w:lang w:eastAsia="zh-CN"/>
              </w:rPr>
            </w:pPr>
            <w:r>
              <w:rPr>
                <w:rFonts w:hint="eastAsia"/>
                <w:color w:val="auto"/>
                <w:sz w:val="24"/>
                <w:szCs w:val="24"/>
                <w:highlight w:val="none"/>
                <w:lang w:eastAsia="zh-CN"/>
              </w:rPr>
              <w:t>佛山市禅城区南庄镇吉利村上二经济合作社</w:t>
            </w:r>
          </w:p>
        </w:tc>
      </w:tr>
      <w:tr>
        <w:tblPrEx>
          <w:tblCellMar>
            <w:top w:w="0" w:type="dxa"/>
            <w:left w:w="108" w:type="dxa"/>
            <w:bottom w:w="0" w:type="dxa"/>
            <w:right w:w="108" w:type="dxa"/>
          </w:tblCellMar>
        </w:tblPrEx>
        <w:trPr>
          <w:trHeight w:val="491" w:hRule="atLeast"/>
        </w:trPr>
        <w:tc>
          <w:tcPr>
            <w:tcW w:w="1470" w:type="dxa"/>
            <w:noWrap w:val="0"/>
            <w:vAlign w:val="center"/>
          </w:tcPr>
          <w:p>
            <w:pPr>
              <w:pStyle w:val="34"/>
              <w:spacing w:line="360" w:lineRule="auto"/>
              <w:rPr>
                <w:b/>
                <w:color w:val="auto"/>
                <w:sz w:val="24"/>
                <w:szCs w:val="24"/>
                <w:highlight w:val="none"/>
              </w:rPr>
            </w:pPr>
            <w:r>
              <w:rPr>
                <w:rFonts w:hint="eastAsia" w:ascii="宋体" w:hAnsi="宋体"/>
                <w:b/>
                <w:color w:val="auto"/>
                <w:sz w:val="24"/>
                <w:szCs w:val="24"/>
                <w:highlight w:val="none"/>
              </w:rPr>
              <w:t>乙方：</w:t>
            </w:r>
          </w:p>
        </w:tc>
        <w:tc>
          <w:tcPr>
            <w:tcW w:w="7110" w:type="dxa"/>
            <w:tcBorders>
              <w:top w:val="single" w:color="auto" w:sz="4" w:space="0"/>
              <w:left w:val="nil"/>
              <w:bottom w:val="single" w:color="auto" w:sz="4" w:space="0"/>
              <w:right w:val="nil"/>
            </w:tcBorders>
            <w:noWrap w:val="0"/>
            <w:vAlign w:val="center"/>
          </w:tcPr>
          <w:p>
            <w:pPr>
              <w:pStyle w:val="34"/>
              <w:spacing w:line="360" w:lineRule="auto"/>
              <w:jc w:val="both"/>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中标人</w:t>
            </w:r>
            <w:r>
              <w:rPr>
                <w:rFonts w:hint="eastAsia" w:ascii="宋体" w:hAnsi="宋体"/>
                <w:b/>
                <w:color w:val="auto"/>
                <w:sz w:val="24"/>
                <w:szCs w:val="24"/>
                <w:highlight w:val="none"/>
              </w:rPr>
              <w:t>）</w:t>
            </w:r>
          </w:p>
        </w:tc>
      </w:tr>
    </w:tbl>
    <w:p>
      <w:pPr>
        <w:pStyle w:val="34"/>
        <w:spacing w:line="360" w:lineRule="auto"/>
        <w:rPr>
          <w:color w:val="auto"/>
          <w:szCs w:val="22"/>
          <w:highlight w:val="none"/>
        </w:rPr>
      </w:pPr>
    </w:p>
    <w:p>
      <w:pPr>
        <w:pStyle w:val="36"/>
        <w:spacing w:line="360" w:lineRule="auto"/>
        <w:ind w:firstLine="420"/>
        <w:rPr>
          <w:color w:val="auto"/>
          <w:szCs w:val="21"/>
          <w:highlight w:val="none"/>
        </w:rPr>
      </w:pPr>
      <w:r>
        <w:rPr>
          <w:rFonts w:hint="eastAsia"/>
          <w:color w:val="auto"/>
          <w:sz w:val="24"/>
          <w:szCs w:val="24"/>
          <w:highlight w:val="none"/>
        </w:rPr>
        <w:t>根据《中华人民共和国民法典》、本项目采购文件的要求，</w:t>
      </w:r>
      <w:r>
        <w:rPr>
          <w:rFonts w:hint="eastAsia"/>
          <w:color w:val="auto"/>
          <w:kern w:val="28"/>
          <w:sz w:val="24"/>
          <w:szCs w:val="24"/>
          <w:highlight w:val="none"/>
        </w:rPr>
        <w:t>经双方协商，</w:t>
      </w:r>
      <w:r>
        <w:rPr>
          <w:rFonts w:hint="eastAsia"/>
          <w:color w:val="auto"/>
          <w:sz w:val="24"/>
          <w:szCs w:val="24"/>
          <w:highlight w:val="none"/>
        </w:rPr>
        <w:t>本着平等互利和诚实信用的原则，</w:t>
      </w:r>
      <w:r>
        <w:rPr>
          <w:rFonts w:hint="eastAsia"/>
          <w:color w:val="auto"/>
          <w:kern w:val="28"/>
          <w:sz w:val="24"/>
          <w:szCs w:val="24"/>
          <w:highlight w:val="none"/>
        </w:rPr>
        <w:t>一致同意签订本合同如下。</w:t>
      </w:r>
    </w:p>
    <w:p>
      <w:pPr>
        <w:pStyle w:val="35"/>
        <w:numPr>
          <w:ilvl w:val="0"/>
          <w:numId w:val="31"/>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bookmarkStart w:id="78" w:name="_Toc78604605"/>
      <w:r>
        <w:rPr>
          <w:rFonts w:hint="eastAsia" w:asciiTheme="minorEastAsia" w:hAnsiTheme="minorEastAsia" w:eastAsiaTheme="minorEastAsia" w:cstheme="minorEastAsia"/>
          <w:b/>
          <w:bCs/>
          <w:color w:val="auto"/>
          <w:sz w:val="24"/>
          <w:szCs w:val="24"/>
          <w:highlight w:val="none"/>
          <w:lang w:val="en-US" w:eastAsia="zh-CN"/>
        </w:rPr>
        <w:t>项目概况</w:t>
      </w:r>
    </w:p>
    <w:p>
      <w:pPr>
        <w:pStyle w:val="35"/>
        <w:numPr>
          <w:ilvl w:val="-1"/>
          <w:numId w:val="0"/>
        </w:numPr>
        <w:spacing w:before="240" w:beforeLines="100" w:after="120" w:afterLines="50" w:line="360" w:lineRule="auto"/>
        <w:ind w:left="0" w:leftChars="0" w:firstLine="480"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eastAsia="zh-CN"/>
        </w:rPr>
        <w:t>位于</w:t>
      </w:r>
      <w:r>
        <w:rPr>
          <w:rFonts w:hint="eastAsia" w:ascii="宋体" w:hAnsi="宋体" w:cs="宋体"/>
          <w:color w:val="auto"/>
          <w:sz w:val="24"/>
          <w:szCs w:val="24"/>
          <w:highlight w:val="none"/>
          <w:lang w:val="en-US" w:eastAsia="zh-CN"/>
        </w:rPr>
        <w:t>吉利上二村车辆停放管理服务</w:t>
      </w:r>
      <w:r>
        <w:rPr>
          <w:rFonts w:hint="eastAsia" w:ascii="宋体" w:hAnsi="宋体" w:eastAsia="宋体" w:cs="宋体"/>
          <w:color w:val="auto"/>
          <w:sz w:val="24"/>
          <w:szCs w:val="24"/>
          <w:highlight w:val="none"/>
          <w:lang w:val="en-US" w:eastAsia="zh-CN"/>
        </w:rPr>
        <w:t>工作委托给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经营管理，合同期限为</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须按</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价向</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支付费用</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乙方必须在中标通知书发出之日起15个工作日内完成本停车场在佛山市停车场管理系统登记备案。</w:t>
      </w:r>
    </w:p>
    <w:p>
      <w:pPr>
        <w:pStyle w:val="35"/>
        <w:numPr>
          <w:ilvl w:val="0"/>
          <w:numId w:val="31"/>
        </w:numPr>
        <w:spacing w:before="240" w:beforeLines="100" w:after="120" w:afterLines="50"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范围区域</w:t>
      </w:r>
    </w:p>
    <w:p>
      <w:pPr>
        <w:pStyle w:val="36"/>
        <w:spacing w:line="360" w:lineRule="auto"/>
        <w:ind w:firstLine="420"/>
        <w:rPr>
          <w:rFonts w:hint="default"/>
          <w:color w:val="auto"/>
          <w:sz w:val="24"/>
          <w:szCs w:val="24"/>
          <w:highlight w:val="none"/>
          <w:lang w:val="en-US" w:eastAsia="zh-CN"/>
        </w:rPr>
      </w:pPr>
      <w:r>
        <w:rPr>
          <w:rFonts w:hint="default"/>
          <w:color w:val="auto"/>
          <w:sz w:val="24"/>
          <w:szCs w:val="24"/>
          <w:highlight w:val="none"/>
          <w:lang w:val="en-US" w:eastAsia="zh-CN"/>
        </w:rPr>
        <w:t>上二村闸口内的停车范围（已有划线车位约50个，需由</w:t>
      </w:r>
      <w:r>
        <w:rPr>
          <w:rFonts w:hint="eastAsia"/>
          <w:color w:val="auto"/>
          <w:sz w:val="24"/>
          <w:szCs w:val="24"/>
          <w:highlight w:val="none"/>
          <w:lang w:val="en-US" w:eastAsia="zh-CN"/>
        </w:rPr>
        <w:t>乙方</w:t>
      </w:r>
      <w:r>
        <w:rPr>
          <w:rFonts w:hint="default"/>
          <w:color w:val="auto"/>
          <w:sz w:val="24"/>
          <w:szCs w:val="24"/>
          <w:highlight w:val="none"/>
          <w:lang w:val="en-US" w:eastAsia="zh-CN"/>
        </w:rPr>
        <w:t>划车位线约100个及各闸口网格线、识别区、消防通道路面标识字、标识牌等）；</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设施建设地点</w:t>
      </w:r>
    </w:p>
    <w:p>
      <w:pPr>
        <w:pStyle w:val="30"/>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eastAsia="zh-CN"/>
        </w:rPr>
        <w:t>上二村路口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上二村聚鹏美食</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上二村外工村路口</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上二村容树头（靠陶瓷城方向）</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上二村出陶瓷城路口</w:t>
      </w:r>
      <w:r>
        <w:rPr>
          <w:rFonts w:hint="eastAsia" w:ascii="宋体" w:hAnsi="宋体" w:eastAsia="宋体" w:cs="宋体"/>
          <w:b w:val="0"/>
          <w:bCs w:val="0"/>
          <w:color w:val="auto"/>
          <w:sz w:val="24"/>
          <w:szCs w:val="24"/>
          <w:highlight w:val="none"/>
          <w:lang w:eastAsia="zh-CN"/>
        </w:rPr>
        <w:t>出入口等</w:t>
      </w:r>
      <w:r>
        <w:rPr>
          <w:rFonts w:hint="eastAsia" w:ascii="宋体" w:hAnsi="宋体" w:cs="宋体"/>
          <w:b w:val="0"/>
          <w:bCs w:val="0"/>
          <w:color w:val="auto"/>
          <w:sz w:val="24"/>
          <w:szCs w:val="24"/>
          <w:highlight w:val="none"/>
          <w:lang w:val="en-US" w:eastAsia="zh-CN"/>
        </w:rPr>
        <w:t>共计</w:t>
      </w:r>
      <w:r>
        <w:rPr>
          <w:rFonts w:hint="eastAsia" w:ascii="宋体" w:hAnsi="宋体" w:eastAsia="宋体" w:cs="宋体"/>
          <w:b w:val="0"/>
          <w:bCs w:val="0"/>
          <w:color w:val="auto"/>
          <w:sz w:val="24"/>
          <w:szCs w:val="24"/>
          <w:highlight w:val="none"/>
          <w:lang w:eastAsia="zh-CN"/>
        </w:rPr>
        <w:t>5个车辆进出通道点位</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详见下图</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进行智能停车系统建设和管理；</w:t>
      </w:r>
    </w:p>
    <w:p>
      <w:pPr>
        <w:ind w:firstLine="1440" w:firstLineChars="6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点位一：                               点位二：</w:t>
      </w:r>
    </w:p>
    <w:p>
      <w:pPr>
        <w:pStyle w:val="30"/>
        <w:numPr>
          <w:ilvl w:val="0"/>
          <w:numId w:val="0"/>
        </w:numPr>
        <w:spacing w:line="360" w:lineRule="auto"/>
        <w:ind w:leftChars="-173" w:firstLine="720" w:firstLineChars="300"/>
        <w:jc w:val="both"/>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drawing>
          <wp:inline distT="0" distB="0" distL="114300" distR="114300">
            <wp:extent cx="1917065" cy="1426210"/>
            <wp:effectExtent l="0" t="0" r="6985" b="2540"/>
            <wp:docPr id="28" name="图片 28" descr="4f48aad7ebfeb60a4cdd6055319b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f48aad7ebfeb60a4cdd6055319b786"/>
                    <pic:cNvPicPr>
                      <a:picLocks noChangeAspect="1"/>
                    </pic:cNvPicPr>
                  </pic:nvPicPr>
                  <pic:blipFill>
                    <a:blip r:embed="rId9"/>
                    <a:stretch>
                      <a:fillRect/>
                    </a:stretch>
                  </pic:blipFill>
                  <pic:spPr>
                    <a:xfrm>
                      <a:off x="0" y="0"/>
                      <a:ext cx="1917065" cy="1426210"/>
                    </a:xfrm>
                    <a:prstGeom prst="rect">
                      <a:avLst/>
                    </a:prstGeom>
                  </pic:spPr>
                </pic:pic>
              </a:graphicData>
            </a:graphic>
          </wp:inline>
        </w:drawing>
      </w: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923415" cy="1440815"/>
            <wp:effectExtent l="0" t="0" r="635" b="6985"/>
            <wp:docPr id="14" name="图片 14" descr="eef1f7b6274b0f18b27ebdc3b77b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ef1f7b6274b0f18b27ebdc3b77b5cb"/>
                    <pic:cNvPicPr>
                      <a:picLocks noChangeAspect="1"/>
                    </pic:cNvPicPr>
                  </pic:nvPicPr>
                  <pic:blipFill>
                    <a:blip r:embed="rId10"/>
                    <a:stretch>
                      <a:fillRect/>
                    </a:stretch>
                  </pic:blipFill>
                  <pic:spPr>
                    <a:xfrm>
                      <a:off x="0" y="0"/>
                      <a:ext cx="1923415" cy="1440815"/>
                    </a:xfrm>
                    <a:prstGeom prst="rect">
                      <a:avLst/>
                    </a:prstGeom>
                  </pic:spPr>
                </pic:pic>
              </a:graphicData>
            </a:graphic>
          </wp:inline>
        </w:drawing>
      </w:r>
    </w:p>
    <w:p>
      <w:p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p>
    <w:p>
      <w:pPr>
        <w:pStyle w:val="30"/>
        <w:numPr>
          <w:ilvl w:val="0"/>
          <w:numId w:val="0"/>
        </w:numPr>
        <w:spacing w:line="360" w:lineRule="auto"/>
        <w:ind w:leftChars="-173" w:firstLine="1680" w:firstLineChars="7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点位三：                                点位四：</w:t>
      </w:r>
    </w:p>
    <w:p>
      <w:pPr>
        <w:pStyle w:val="30"/>
        <w:numPr>
          <w:ilvl w:val="0"/>
          <w:numId w:val="0"/>
        </w:numPr>
        <w:spacing w:line="360" w:lineRule="auto"/>
        <w:ind w:left="218" w:leftChars="104" w:firstLine="0" w:firstLineChars="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7050" cy="1347470"/>
            <wp:effectExtent l="0" t="0" r="12700" b="5080"/>
            <wp:docPr id="29" name="图片 29" descr="a0ab8fd633a0c3b6f90e472b575f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a0ab8fd633a0c3b6f90e472b575fa02"/>
                    <pic:cNvPicPr>
                      <a:picLocks noChangeAspect="1"/>
                    </pic:cNvPicPr>
                  </pic:nvPicPr>
                  <pic:blipFill>
                    <a:blip r:embed="rId11"/>
                    <a:stretch>
                      <a:fillRect/>
                    </a:stretch>
                  </pic:blipFill>
                  <pic:spPr>
                    <a:xfrm>
                      <a:off x="0" y="0"/>
                      <a:ext cx="1797050" cy="1347470"/>
                    </a:xfrm>
                    <a:prstGeom prst="rect">
                      <a:avLst/>
                    </a:prstGeom>
                  </pic:spPr>
                </pic:pic>
              </a:graphicData>
            </a:graphic>
          </wp:inline>
        </w:drawing>
      </w: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0700" cy="1342390"/>
            <wp:effectExtent l="0" t="0" r="0" b="10160"/>
            <wp:docPr id="30" name="图片 30" descr="edbac4ac2d839492574493146869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edbac4ac2d839492574493146869acc"/>
                    <pic:cNvPicPr>
                      <a:picLocks noChangeAspect="1"/>
                    </pic:cNvPicPr>
                  </pic:nvPicPr>
                  <pic:blipFill>
                    <a:blip r:embed="rId12"/>
                    <a:stretch>
                      <a:fillRect/>
                    </a:stretch>
                  </pic:blipFill>
                  <pic:spPr>
                    <a:xfrm>
                      <a:off x="0" y="0"/>
                      <a:ext cx="1790700" cy="1342390"/>
                    </a:xfrm>
                    <a:prstGeom prst="rect">
                      <a:avLst/>
                    </a:prstGeom>
                  </pic:spPr>
                </pic:pic>
              </a:graphicData>
            </a:graphic>
          </wp:inline>
        </w:drawing>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pPr>
        <w:pStyle w:val="30"/>
        <w:numPr>
          <w:ilvl w:val="0"/>
          <w:numId w:val="0"/>
        </w:numPr>
        <w:spacing w:line="360" w:lineRule="auto"/>
        <w:ind w:leftChars="-173" w:firstLine="1680" w:firstLineChars="7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点位五：</w:t>
      </w:r>
    </w:p>
    <w:p>
      <w:pPr>
        <w:pStyle w:val="30"/>
        <w:numPr>
          <w:ilvl w:val="0"/>
          <w:numId w:val="0"/>
        </w:numPr>
        <w:spacing w:line="360" w:lineRule="auto"/>
        <w:ind w:leftChars="-173"/>
        <w:jc w:val="left"/>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default" w:ascii="宋体" w:hAnsi="宋体" w:cs="宋体"/>
          <w:b w:val="0"/>
          <w:bCs w:val="0"/>
          <w:color w:val="auto"/>
          <w:sz w:val="24"/>
          <w:szCs w:val="24"/>
          <w:highlight w:val="none"/>
          <w:lang w:val="en-US" w:eastAsia="zh-CN"/>
        </w:rPr>
        <w:drawing>
          <wp:inline distT="0" distB="0" distL="114300" distR="114300">
            <wp:extent cx="1795780" cy="1346835"/>
            <wp:effectExtent l="0" t="0" r="13970" b="5715"/>
            <wp:docPr id="54" name="图片 54" descr="c71a4c05a99db0c8b8a4ee0e69a9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71a4c05a99db0c8b8a4ee0e69a917e"/>
                    <pic:cNvPicPr>
                      <a:picLocks noChangeAspect="1"/>
                    </pic:cNvPicPr>
                  </pic:nvPicPr>
                  <pic:blipFill>
                    <a:blip r:embed="rId13"/>
                    <a:stretch>
                      <a:fillRect/>
                    </a:stretch>
                  </pic:blipFill>
                  <pic:spPr>
                    <a:xfrm>
                      <a:off x="0" y="0"/>
                      <a:ext cx="1795780" cy="1346835"/>
                    </a:xfrm>
                    <a:prstGeom prst="rect">
                      <a:avLst/>
                    </a:prstGeom>
                  </pic:spPr>
                </pic:pic>
              </a:graphicData>
            </a:graphic>
          </wp:inline>
        </w:drawing>
      </w:r>
    </w:p>
    <w:bookmarkEnd w:id="78"/>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人员配置：需配备不少于3名人员在现场进行24小时管理</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设备和工程量清单</w:t>
      </w:r>
      <w:r>
        <w:rPr>
          <w:rFonts w:hint="eastAsia"/>
          <w:b/>
          <w:bCs/>
          <w:color w:val="auto"/>
          <w:sz w:val="24"/>
          <w:szCs w:val="24"/>
          <w:highlight w:val="none"/>
          <w:lang w:eastAsia="zh-CN"/>
        </w:rPr>
        <w:t>（详见附件）</w:t>
      </w:r>
    </w:p>
    <w:p>
      <w:pPr>
        <w:pStyle w:val="30"/>
        <w:numPr>
          <w:ilvl w:val="0"/>
          <w:numId w:val="0"/>
        </w:numPr>
        <w:tabs>
          <w:tab w:val="left" w:pos="2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智能停车系统设备采购、安装及维保费用总预算约为270000元内(大写:人民币贰拾柒万元整），其中智能停车系统设备采购、安装及车位、闸口网格线、识别区、消防通道路面标识字、标识牌画线费用约为205000元，5年的维保费用约为65000元，以乙方实际支出费用为准），智能停车系统设备采购、安装、画线及维保等一切费用已包含在合同价内由乙方负责，甲方不再另行支出</w:t>
      </w:r>
      <w:r>
        <w:rPr>
          <w:rFonts w:hint="eastAsia" w:ascii="宋体" w:hAnsi="宋体" w:eastAsia="宋体" w:cs="宋体"/>
          <w:b w:val="0"/>
          <w:bCs w:val="0"/>
          <w:color w:val="auto"/>
          <w:sz w:val="24"/>
          <w:szCs w:val="24"/>
          <w:highlight w:val="none"/>
          <w:lang w:val="en-US" w:eastAsia="zh-CN"/>
        </w:rPr>
        <w:t>。</w:t>
      </w:r>
    </w:p>
    <w:p>
      <w:pPr>
        <w:pStyle w:val="30"/>
        <w:numPr>
          <w:ilvl w:val="0"/>
          <w:numId w:val="0"/>
        </w:numPr>
        <w:tabs>
          <w:tab w:val="left" w:pos="220"/>
        </w:tabs>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量标准：清单中第一部分“硬件部分”设备参考品牌为艾科、捷顺或同等质量以上的品牌，且必须提供厂家授权书，质保期5年。乙方拟投入的设备清单（含品牌、型号等）须甲方确认后才能实施安装，否则视为乙方违约。</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rPr>
        <w:t>停泊位设置</w:t>
      </w:r>
    </w:p>
    <w:p>
      <w:pPr>
        <w:pStyle w:val="35"/>
        <w:numPr>
          <w:ilvl w:val="0"/>
          <w:numId w:val="0"/>
        </w:numPr>
        <w:spacing w:before="240" w:beforeLines="100" w:after="120" w:afterLines="50" w:line="360" w:lineRule="auto"/>
        <w:ind w:leftChars="0" w:firstLine="480" w:firstLineChars="200"/>
        <w:rPr>
          <w:b/>
          <w:bCs/>
          <w:color w:val="auto"/>
          <w:sz w:val="24"/>
          <w:szCs w:val="24"/>
          <w:highlight w:val="none"/>
        </w:rPr>
      </w:pPr>
      <w:r>
        <w:rPr>
          <w:rFonts w:hint="eastAsia" w:ascii="宋体" w:hAnsi="宋体" w:eastAsia="宋体" w:cs="宋体"/>
          <w:b w:val="0"/>
          <w:bCs w:val="0"/>
          <w:color w:val="auto"/>
          <w:sz w:val="24"/>
          <w:szCs w:val="24"/>
          <w:highlight w:val="none"/>
          <w:lang w:val="en-US" w:eastAsia="zh-CN"/>
        </w:rPr>
        <w:t>目前吉利</w:t>
      </w:r>
      <w:r>
        <w:rPr>
          <w:rFonts w:hint="eastAsia" w:ascii="宋体" w:hAnsi="宋体" w:cs="宋体"/>
          <w:b w:val="0"/>
          <w:bCs w:val="0"/>
          <w:color w:val="auto"/>
          <w:sz w:val="24"/>
          <w:szCs w:val="24"/>
          <w:highlight w:val="none"/>
          <w:lang w:val="en-US" w:eastAsia="zh-CN"/>
        </w:rPr>
        <w:t>上二村</w:t>
      </w:r>
      <w:r>
        <w:rPr>
          <w:rFonts w:hint="eastAsia" w:ascii="宋体" w:hAnsi="宋体" w:eastAsia="宋体" w:cs="宋体"/>
          <w:b w:val="0"/>
          <w:bCs w:val="0"/>
          <w:color w:val="auto"/>
          <w:sz w:val="24"/>
          <w:szCs w:val="24"/>
          <w:highlight w:val="none"/>
          <w:lang w:val="en-US" w:eastAsia="zh-CN"/>
        </w:rPr>
        <w:t>已有划线车位约</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val="en-US" w:eastAsia="zh-CN"/>
        </w:rPr>
        <w:t>个，需由中标方划车位线约100个及各闸口网格线、识别区、消防通道路面标识字、标识牌等</w:t>
      </w:r>
      <w:r>
        <w:rPr>
          <w:rFonts w:hint="eastAsia" w:ascii="宋体" w:hAnsi="宋体" w:cs="宋体"/>
          <w:b w:val="0"/>
          <w:bCs w:val="0"/>
          <w:color w:val="auto"/>
          <w:sz w:val="24"/>
          <w:szCs w:val="24"/>
          <w:highlight w:val="none"/>
          <w:lang w:val="en-US" w:eastAsia="zh-CN"/>
        </w:rPr>
        <w:t>，具体停泊车位的设置位置须经甲方确认才能划线，</w:t>
      </w:r>
      <w:r>
        <w:rPr>
          <w:rFonts w:hint="eastAsia" w:ascii="宋体" w:hAnsi="宋体" w:eastAsia="宋体" w:cs="宋体"/>
          <w:b w:val="0"/>
          <w:bCs w:val="0"/>
          <w:color w:val="auto"/>
          <w:sz w:val="24"/>
          <w:szCs w:val="24"/>
          <w:highlight w:val="none"/>
          <w:lang w:val="en-US" w:eastAsia="zh-CN"/>
        </w:rPr>
        <w:t>如需增加或减少车位，需提交可行性方案报</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审批后方可进行操作。</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停车收费要求</w:t>
      </w:r>
    </w:p>
    <w:p>
      <w:pPr>
        <w:pStyle w:val="30"/>
        <w:numPr>
          <w:ilvl w:val="0"/>
          <w:numId w:val="32"/>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val="en-US" w:eastAsia="zh-CN"/>
        </w:rPr>
        <w:t>为</w:t>
      </w:r>
      <w:r>
        <w:rPr>
          <w:rFonts w:hint="eastAsia" w:ascii="宋体" w:hAnsi="宋体" w:cs="宋体"/>
          <w:b w:val="0"/>
          <w:bCs w:val="0"/>
          <w:color w:val="auto"/>
          <w:sz w:val="24"/>
          <w:szCs w:val="24"/>
          <w:highlight w:val="none"/>
          <w:lang w:val="en-US" w:eastAsia="zh-CN"/>
        </w:rPr>
        <w:t>5年</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同</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签署车辆停放管理合同书，按照中标金额向</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缴纳车辆停放管理服务维护费。</w:t>
      </w:r>
      <w:r>
        <w:rPr>
          <w:rFonts w:hint="eastAsia" w:ascii="宋体" w:hAnsi="宋体" w:cs="宋体"/>
          <w:b w:val="0"/>
          <w:bCs w:val="0"/>
          <w:color w:val="auto"/>
          <w:sz w:val="24"/>
          <w:szCs w:val="24"/>
          <w:highlight w:val="none"/>
          <w:lang w:val="en-US" w:eastAsia="zh-CN"/>
        </w:rPr>
        <w:t>自第一年起，</w:t>
      </w:r>
      <w:r>
        <w:rPr>
          <w:rFonts w:hint="eastAsia" w:ascii="宋体" w:hAnsi="宋体" w:eastAsia="宋体" w:cs="宋体"/>
          <w:b w:val="0"/>
          <w:bCs w:val="0"/>
          <w:color w:val="auto"/>
          <w:sz w:val="24"/>
          <w:szCs w:val="24"/>
          <w:highlight w:val="none"/>
          <w:lang w:val="en-US" w:eastAsia="zh-CN"/>
        </w:rPr>
        <w:t>每两年为一个周期，每个周期内的年度管理费在上一个周期的基础上按8%固定递增</w:t>
      </w:r>
      <w:r>
        <w:rPr>
          <w:rFonts w:hint="eastAsia" w:ascii="宋体" w:hAnsi="宋体" w:cs="宋体"/>
          <w:color w:val="auto"/>
          <w:sz w:val="24"/>
          <w:highlight w:val="none"/>
          <w:lang w:val="en-US" w:eastAsia="zh-CN"/>
        </w:rPr>
        <w:t>（比如首年15万，第1-2年为第一个周期（第一个周期内的年度管理费均为15万），第3-4年为第二个周期，第二个周期（第3-4年）内的年度管理费是15万</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（100%+8%）=16.2万，第5年为第三个周期，第三个周期在第二个周期的基础上，增加8%，即16.2</w:t>
      </w:r>
      <w:r>
        <w:rPr>
          <w:rFonts w:hint="default" w:ascii="Arial" w:hAnsi="Arial" w:cs="Arial"/>
          <w:color w:val="auto"/>
          <w:sz w:val="24"/>
          <w:highlight w:val="none"/>
          <w:lang w:val="en-US" w:eastAsia="zh-CN"/>
        </w:rPr>
        <w:t>×</w:t>
      </w:r>
      <w:r>
        <w:rPr>
          <w:rFonts w:hint="eastAsia" w:ascii="宋体" w:hAnsi="宋体" w:cs="宋体"/>
          <w:color w:val="auto"/>
          <w:sz w:val="24"/>
          <w:highlight w:val="none"/>
          <w:lang w:val="en-US" w:eastAsia="zh-CN"/>
        </w:rPr>
        <w:t>（100%+8%）=17.496万）</w:t>
      </w:r>
      <w:r>
        <w:rPr>
          <w:rFonts w:hint="eastAsia" w:ascii="宋体" w:hAnsi="宋体" w:eastAsia="宋体" w:cs="宋体"/>
          <w:b w:val="0"/>
          <w:bCs w:val="0"/>
          <w:color w:val="auto"/>
          <w:sz w:val="24"/>
          <w:szCs w:val="24"/>
          <w:highlight w:val="none"/>
          <w:lang w:val="en-US" w:eastAsia="zh-CN"/>
        </w:rPr>
        <w:t>，每次缴纳的车辆停放管理服务维护费由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开具有效的租金收据给</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。停车费收取对象为临时停放车辆和外地月租车，按</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制定收费标准收取停车费。政府或下辖单位办公的车辆由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统一登记后送</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录入车牌免费。与</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存在合同关系的车辆免费。</w:t>
      </w:r>
    </w:p>
    <w:p>
      <w:pPr>
        <w:pStyle w:val="30"/>
        <w:numPr>
          <w:ilvl w:val="0"/>
          <w:numId w:val="32"/>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村民自有车辆进行实名登记。</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村民登记区域停车位必须是</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户籍村民，办理必须出示</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村民身份证、户口本等证明及属于本人的行驶证资料。如出现亲属关系的由</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出示相关证明方可办理，例如嫁入</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但户口未迁入等情况。村民出租屋租户车辆办理月租车位必须出示本人车辆相关证明，由出租屋屋主统一收集提供租户车牌信息，并登记出租屋屋主联系电话。</w:t>
      </w:r>
    </w:p>
    <w:p>
      <w:pPr>
        <w:pStyle w:val="30"/>
        <w:numPr>
          <w:ilvl w:val="0"/>
          <w:numId w:val="32"/>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停车位的安排：先满足</w:t>
      </w:r>
      <w:r>
        <w:rPr>
          <w:rFonts w:hint="eastAsia" w:ascii="宋体" w:hAnsi="宋体" w:cs="宋体"/>
          <w:b w:val="0"/>
          <w:bCs w:val="0"/>
          <w:color w:val="auto"/>
          <w:sz w:val="24"/>
          <w:szCs w:val="24"/>
          <w:highlight w:val="none"/>
          <w:lang w:val="en-US" w:eastAsia="zh-CN"/>
        </w:rPr>
        <w:t>吉利上二村</w:t>
      </w:r>
      <w:r>
        <w:rPr>
          <w:rFonts w:hint="eastAsia" w:ascii="宋体" w:hAnsi="宋体" w:eastAsia="宋体" w:cs="宋体"/>
          <w:b w:val="0"/>
          <w:bCs w:val="0"/>
          <w:color w:val="auto"/>
          <w:sz w:val="24"/>
          <w:szCs w:val="24"/>
          <w:highlight w:val="none"/>
          <w:lang w:val="en-US" w:eastAsia="zh-CN"/>
        </w:rPr>
        <w:t>村民车辆停放，</w:t>
      </w:r>
      <w:r>
        <w:rPr>
          <w:rFonts w:hint="eastAsia" w:ascii="宋体" w:hAnsi="宋体" w:cs="宋体"/>
          <w:b w:val="0"/>
          <w:bCs w:val="0"/>
          <w:color w:val="auto"/>
          <w:sz w:val="24"/>
          <w:szCs w:val="24"/>
          <w:highlight w:val="none"/>
          <w:lang w:val="en-US" w:eastAsia="zh-CN"/>
        </w:rPr>
        <w:t>其次为</w:t>
      </w:r>
      <w:r>
        <w:rPr>
          <w:rFonts w:hint="eastAsia" w:ascii="宋体" w:hAnsi="宋体" w:eastAsia="宋体" w:cs="宋体"/>
          <w:b w:val="0"/>
          <w:bCs w:val="0"/>
          <w:color w:val="auto"/>
          <w:sz w:val="24"/>
          <w:szCs w:val="24"/>
          <w:highlight w:val="none"/>
          <w:lang w:val="en-US" w:eastAsia="zh-CN"/>
        </w:rPr>
        <w:t>村集体物业租户车辆，最后再安排其他外来车辆停放。村集体物业租户车辆、其他外来车辆均为临停车辆，</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收取外来车辆停放场地占用费</w:t>
      </w:r>
      <w:r>
        <w:rPr>
          <w:rFonts w:hint="eastAsia" w:ascii="宋体" w:hAnsi="宋体" w:cs="宋体"/>
          <w:b w:val="0"/>
          <w:bCs w:val="0"/>
          <w:color w:val="auto"/>
          <w:sz w:val="24"/>
          <w:szCs w:val="24"/>
          <w:highlight w:val="none"/>
          <w:lang w:val="en-US" w:eastAsia="zh-CN"/>
        </w:rPr>
        <w:t>。</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临时停车收费标准：</w:t>
      </w:r>
      <w:r>
        <w:rPr>
          <w:rFonts w:hint="eastAsia" w:ascii="宋体" w:hAnsi="宋体" w:eastAsia="宋体" w:cs="宋体"/>
          <w:color w:val="auto"/>
          <w:kern w:val="0"/>
          <w:sz w:val="24"/>
          <w:szCs w:val="24"/>
          <w:highlight w:val="none"/>
          <w:lang w:val="en-US" w:eastAsia="zh-CN"/>
        </w:rPr>
        <w:t>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小车类：3小时内免费，超3小时后按5元计算，第4小时后每小时增3元（不足1小时的按1小时计算）,每天24小时内最高限价25元，停放超过24小时以上按上述标准累加收费；车辆缴费后，需在15分钟内离场，超时则重新计时收费。（免费停车时长如有调整，以甲方书面通知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（2）每辆车每天累计免费停车时长为3小时。</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月租类收费标准：</w:t>
      </w:r>
      <w:r>
        <w:rPr>
          <w:rFonts w:hint="eastAsia" w:ascii="宋体" w:hAnsi="宋体" w:eastAsia="宋体" w:cs="宋体"/>
          <w:color w:val="auto"/>
          <w:kern w:val="0"/>
          <w:sz w:val="24"/>
          <w:szCs w:val="24"/>
          <w:highlight w:val="none"/>
          <w:lang w:val="en-US" w:eastAsia="zh-CN"/>
        </w:rPr>
        <w:t>符合以下条件的车辆可办理月卡（按季度收取），月租办理最多可办理一年，村内外来车辆可按以下方案享有以下优惠。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小车：最高不超过170元/月/辆（一次性缴纳的按1年优惠2个月）。车位优先满足吉利上二村村民需求。</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重要节假日免收停车费，如春节（年二十八凌晨至正月初九凌晨）、清明节等节日免收费。</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内重要传统节日及村民生日、婚庆、弥月、丧事等亲友车辆需要在村内停放的，可向上二村队委报备，报备后车辆给予免费，并由车场管理处统一安排在临时停车位内停放。并由乙方提供二维码给办事村民专用，时间由村民自定，二维码有效期一般不超过一个星期，超期后二维码自动作废。</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户籍村民或非本村户籍嫁入本村的村民驾驶非本人名下的车辆时，需由本人及村队委和</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三方核实后，可报备登记视为临时户籍车辆，若发现该车辆不是自用，而是为他人谎报的，</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把该车辆列入黑名单，禁止该车进入本村。</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村民建房需要堆放建筑材料，按建房户数（一户）可免费提供3至4个车位，如超过5个车位，则当外来车临停收费。</w:t>
      </w:r>
    </w:p>
    <w:p>
      <w:pPr>
        <w:pStyle w:val="30"/>
        <w:numPr>
          <w:ilvl w:val="0"/>
          <w:numId w:val="32"/>
        </w:numPr>
        <w:spacing w:line="360" w:lineRule="auto"/>
        <w:ind w:firstLine="42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医院、公安、消防、供电、供水、政府部门等进村办事车辆及吉利村委会和吉利市政等车辆全天免费停车。</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负责投资安装各车道出入口智能车辆识别设备</w:t>
      </w:r>
      <w:r>
        <w:rPr>
          <w:rFonts w:hint="eastAsia" w:ascii="宋体" w:hAnsi="宋体" w:cs="宋体"/>
          <w:color w:val="auto"/>
          <w:sz w:val="24"/>
          <w:szCs w:val="24"/>
          <w:highlight w:val="none"/>
          <w:lang w:val="en-US" w:eastAsia="zh-CN"/>
        </w:rPr>
        <w:t>（按上述4.3设备和工程量清单）</w:t>
      </w:r>
      <w:r>
        <w:rPr>
          <w:rFonts w:hint="eastAsia" w:ascii="宋体" w:hAnsi="宋体" w:eastAsia="宋体" w:cs="宋体"/>
          <w:color w:val="auto"/>
          <w:sz w:val="24"/>
          <w:szCs w:val="24"/>
          <w:highlight w:val="none"/>
          <w:lang w:val="en-US" w:eastAsia="zh-CN"/>
        </w:rPr>
        <w:t>，各车道出入口必须加装1个以上监控设备，合同到期后，所有设备无偿归</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保证设备完好并无条件移交给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w:t>
      </w:r>
    </w:p>
    <w:p>
      <w:pPr>
        <w:pStyle w:val="30"/>
        <w:numPr>
          <w:ilvl w:val="0"/>
          <w:numId w:val="32"/>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办理临时停车收费业务，每次办理的停车收费期限不能超过12个月，且收费期限不能超过本合同的服务期，若合同服务期满后，</w:t>
      </w:r>
      <w:r>
        <w:rPr>
          <w:rFonts w:hint="eastAsia" w:ascii="宋体" w:hAnsi="宋体" w:eastAsia="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还有多收取的停车费用，多出部分</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必须退还给付款人后，</w:t>
      </w:r>
      <w:r>
        <w:rPr>
          <w:rFonts w:hint="eastAsia" w:ascii="宋体" w:hAnsi="宋体" w:cs="宋体"/>
          <w:color w:val="auto"/>
          <w:sz w:val="24"/>
          <w:szCs w:val="24"/>
          <w:highlight w:val="none"/>
          <w:lang w:val="en-US" w:eastAsia="zh-CN"/>
        </w:rPr>
        <w:t>甲方将本项目的履约保证金</w:t>
      </w:r>
      <w:r>
        <w:rPr>
          <w:rFonts w:hint="eastAsia" w:ascii="宋体" w:hAnsi="宋体" w:eastAsia="宋体" w:cs="宋体"/>
          <w:color w:val="auto"/>
          <w:sz w:val="24"/>
          <w:szCs w:val="24"/>
          <w:highlight w:val="none"/>
          <w:lang w:val="en-US" w:eastAsia="zh-CN"/>
        </w:rPr>
        <w:t>退给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w:t>
      </w:r>
    </w:p>
    <w:p>
      <w:pPr>
        <w:pStyle w:val="35"/>
        <w:numPr>
          <w:ilvl w:val="0"/>
          <w:numId w:val="31"/>
        </w:numPr>
        <w:spacing w:before="240" w:beforeLines="100" w:after="120" w:afterLines="50" w:line="360" w:lineRule="auto"/>
        <w:rPr>
          <w:b/>
          <w:bCs/>
          <w:color w:val="auto"/>
          <w:sz w:val="24"/>
          <w:szCs w:val="24"/>
          <w:highlight w:val="none"/>
        </w:rPr>
      </w:pPr>
      <w:r>
        <w:rPr>
          <w:rFonts w:hint="eastAsia"/>
          <w:b/>
          <w:bCs/>
          <w:color w:val="auto"/>
          <w:sz w:val="24"/>
          <w:szCs w:val="24"/>
          <w:highlight w:val="none"/>
          <w:lang w:eastAsia="zh-CN"/>
        </w:rPr>
        <w:t>停车管理要求</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禁止一切货车及有货箱的车辆停放（基建建设或临时施工除外），严禁装有易燃易爆等危险、化学物品的车辆进村及停放。</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必须登记好本村的车辆号牌，电话号码，停放地点，车位使用人，住址等，外地的车辆月租车也必须登记其号牌，电话号码等，而且必须停在按规定划好的车位上，外地月租车和临时车按划好的车位有序停放。</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必须与停车位使用人签订车位承诺责任书，对停车实行规范化管理。巡逻人员24小时巡逻车场并确保各停车位正常使用，督促所有车辆正确使用行车线和停车位，维持停车秩序，保证各车道、车场出入周围道路畅通。文明管理车场，不得以任何理由或形式向车主或司机索取任何利益或报酬。文明礼貌，用语规范，文明服务。在经营管理中如发生纠纷，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进行车辆停放管理工作，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为保证村容村貌和交通顺畅，对于个别车辆不遵守“村区内停放规定”同时不服从工作人员协调，屡教不改乱停乱放的车辆，由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拉入黑名单处理（写保证书确保以后不发生同类情况的可以放行，超过3次不允许进入本村区内停车），如有必要村委治安队可协助</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所有停放在消防通道的车辆进行拉入黑名单处理（写保证书确保以后不发生同类情况的可以放行，超过3次不允许进入本村区内停车）。</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占用车位、消防通道、行车行人通道的乱摆卖问题处理方法：派放和张贴宣传单张进行不间断推广，不准占用位置乱摆卖，发现有此情况的，进行发放警告通知单，限定时间撤离现场。警告通知后拒绝撤离现场的，拉入黑名单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通知执法相关部门协调进行处理。</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规范停车常见办法：积分制度，优惠取消，黑名单制度。</w:t>
      </w:r>
    </w:p>
    <w:p>
      <w:pPr>
        <w:pStyle w:val="30"/>
        <w:numPr>
          <w:ilvl w:val="0"/>
          <w:numId w:val="33"/>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系统需具备有智能巡检App，每次村内违停，巡检人员可以拍照上传到系统，前几次可以告知和劝解，如果3次以上违规停车，取消车主对应的停车优惠。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在设置停车收费规则时，可以公示优惠后的价格，一旦违规按照原价收费。多次劝告无效的可以拉入黑名单，限制出入时间，优惠月票的购买等。</w:t>
      </w:r>
    </w:p>
    <w:p>
      <w:pPr>
        <w:pStyle w:val="35"/>
        <w:numPr>
          <w:ilvl w:val="0"/>
          <w:numId w:val="31"/>
        </w:numPr>
        <w:spacing w:before="240" w:beforeLines="100" w:after="120" w:afterLines="50" w:line="360" w:lineRule="auto"/>
        <w:rPr>
          <w:rFonts w:hint="eastAsia"/>
          <w:b/>
          <w:bCs/>
          <w:color w:val="auto"/>
          <w:sz w:val="24"/>
          <w:szCs w:val="24"/>
          <w:highlight w:val="none"/>
          <w:lang w:eastAsia="zh-CN"/>
        </w:rPr>
      </w:pPr>
      <w:r>
        <w:rPr>
          <w:rFonts w:hint="eastAsia"/>
          <w:b/>
          <w:bCs/>
          <w:color w:val="auto"/>
          <w:sz w:val="24"/>
          <w:szCs w:val="24"/>
          <w:highlight w:val="none"/>
          <w:lang w:eastAsia="zh-CN"/>
        </w:rPr>
        <w:t>停车应急预案</w:t>
      </w:r>
    </w:p>
    <w:p>
      <w:pPr>
        <w:pStyle w:val="30"/>
        <w:numPr>
          <w:ilvl w:val="0"/>
          <w:numId w:val="34"/>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救援</w:t>
      </w:r>
      <w:r>
        <w:rPr>
          <w:rFonts w:hint="eastAsia" w:ascii="宋体" w:hAnsi="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val="en-US" w:eastAsia="zh-CN"/>
        </w:rPr>
        <w:t>，提前远程开闸放行。警车，消防车等车辆默认设置自动放行。特殊情况，人为远程放</w:t>
      </w:r>
      <w:r>
        <w:rPr>
          <w:rFonts w:hint="eastAsia" w:ascii="宋体" w:hAnsi="宋体" w:eastAsia="宋体" w:cs="宋体"/>
          <w:color w:val="auto"/>
          <w:sz w:val="24"/>
          <w:szCs w:val="24"/>
          <w:highlight w:val="none"/>
          <w:lang w:val="en-US" w:eastAsia="zh-CN"/>
        </w:rPr>
        <w:t>行。</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停车系统可以接入消防联动信号，一旦有消防信号，所有停车闸杆自动抬杆。</w:t>
      </w:r>
    </w:p>
    <w:p>
      <w:pPr>
        <w:pStyle w:val="30"/>
        <w:numPr>
          <w:ilvl w:val="0"/>
          <w:numId w:val="34"/>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水灾，爆炸等异常情况发生时，24小时远程监控中心都会及时发现，巡检人员就近前往人工处理。保证道路畅行。</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pPr>
        <w:pStyle w:val="30"/>
        <w:numPr>
          <w:ilvl w:val="0"/>
          <w:numId w:val="35"/>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必须在</w:t>
      </w:r>
      <w:r>
        <w:rPr>
          <w:rFonts w:hint="eastAsia" w:ascii="宋体" w:hAnsi="宋体" w:cs="宋体"/>
          <w:b w:val="0"/>
          <w:bCs w:val="0"/>
          <w:color w:val="auto"/>
          <w:sz w:val="24"/>
          <w:szCs w:val="24"/>
          <w:highlight w:val="none"/>
          <w:lang w:val="en-US" w:eastAsia="zh-CN"/>
        </w:rPr>
        <w:t>成交通知书</w:t>
      </w:r>
      <w:r>
        <w:rPr>
          <w:rFonts w:hint="eastAsia" w:ascii="宋体" w:hAnsi="宋体" w:eastAsia="宋体" w:cs="宋体"/>
          <w:b w:val="0"/>
          <w:bCs w:val="0"/>
          <w:color w:val="auto"/>
          <w:sz w:val="24"/>
          <w:szCs w:val="24"/>
          <w:highlight w:val="none"/>
          <w:lang w:val="en-US" w:eastAsia="zh-CN"/>
        </w:rPr>
        <w:t>发出之日起15个工作日内完成本停车场在佛山市停车场管理系统登记备案。</w:t>
      </w:r>
    </w:p>
    <w:p>
      <w:pPr>
        <w:pStyle w:val="30"/>
        <w:numPr>
          <w:ilvl w:val="0"/>
          <w:numId w:val="35"/>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另外</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需负责上二村内街灯的日常更换及维保工作。</w:t>
      </w:r>
    </w:p>
    <w:p>
      <w:pPr>
        <w:pStyle w:val="30"/>
        <w:numPr>
          <w:ilvl w:val="0"/>
          <w:numId w:val="35"/>
        </w:numPr>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须开放停车管理系统的权限给</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，以便</w:t>
      </w:r>
      <w:r>
        <w:rPr>
          <w:rFonts w:hint="eastAsia" w:ascii="宋体" w:hAnsi="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lang w:val="en-US" w:eastAsia="zh-CN"/>
        </w:rPr>
        <w:t>行使监督权利。</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考核标准和办法</w:t>
      </w:r>
    </w:p>
    <w:tbl>
      <w:tblPr>
        <w:tblStyle w:val="19"/>
        <w:tblW w:w="9389" w:type="dxa"/>
        <w:tblInd w:w="0" w:type="dxa"/>
        <w:shd w:val="clear" w:color="auto" w:fill="auto"/>
        <w:tblLayout w:type="fixed"/>
        <w:tblCellMar>
          <w:top w:w="0" w:type="dxa"/>
          <w:left w:w="10" w:type="dxa"/>
          <w:bottom w:w="0" w:type="dxa"/>
          <w:right w:w="10" w:type="dxa"/>
        </w:tblCellMar>
      </w:tblPr>
      <w:tblGrid>
        <w:gridCol w:w="643"/>
        <w:gridCol w:w="1373"/>
        <w:gridCol w:w="3437"/>
        <w:gridCol w:w="2715"/>
        <w:gridCol w:w="1221"/>
      </w:tblGrid>
      <w:tr>
        <w:tblPrEx>
          <w:shd w:val="clear" w:color="auto" w:fill="auto"/>
          <w:tblCellMar>
            <w:top w:w="0" w:type="dxa"/>
            <w:left w:w="10" w:type="dxa"/>
            <w:bottom w:w="0" w:type="dxa"/>
            <w:right w:w="10" w:type="dxa"/>
          </w:tblCellMar>
        </w:tblPrEx>
        <w:trPr>
          <w:trHeight w:val="562" w:hRule="exact"/>
        </w:trPr>
        <w:tc>
          <w:tcPr>
            <w:tcW w:w="20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lang w:val="en-US" w:eastAsia="zh-CN"/>
              </w:rPr>
              <w:t>考核</w:t>
            </w:r>
            <w:r>
              <w:rPr>
                <w:rFonts w:hint="eastAsia" w:ascii="宋体" w:hAnsi="宋体" w:eastAsia="宋体" w:cs="宋体"/>
                <w:color w:val="auto"/>
                <w:spacing w:val="0"/>
                <w:w w:val="100"/>
                <w:position w:val="0"/>
                <w:sz w:val="24"/>
                <w:szCs w:val="24"/>
                <w:highlight w:val="none"/>
              </w:rPr>
              <w:t>项目</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考核标准</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考核办法</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w w:val="100"/>
                <w:position w:val="0"/>
                <w:sz w:val="24"/>
                <w:szCs w:val="24"/>
                <w:highlight w:val="none"/>
              </w:rPr>
              <w:t>考核</w:t>
            </w:r>
            <w:r>
              <w:rPr>
                <w:rFonts w:hint="eastAsia" w:ascii="宋体" w:hAnsi="宋体" w:eastAsia="宋体" w:cs="宋体"/>
                <w:color w:val="auto"/>
                <w:spacing w:val="0"/>
                <w:w w:val="100"/>
                <w:position w:val="0"/>
                <w:sz w:val="24"/>
                <w:szCs w:val="24"/>
                <w:highlight w:val="none"/>
                <w:lang w:val="en-US" w:eastAsia="zh-CN"/>
              </w:rPr>
              <w:t>人员</w:t>
            </w:r>
          </w:p>
        </w:tc>
      </w:tr>
      <w:tr>
        <w:tblPrEx>
          <w:tblCellMar>
            <w:top w:w="0" w:type="dxa"/>
            <w:left w:w="10" w:type="dxa"/>
            <w:bottom w:w="0" w:type="dxa"/>
            <w:right w:w="10" w:type="dxa"/>
          </w:tblCellMar>
        </w:tblPrEx>
        <w:trPr>
          <w:trHeight w:val="1020"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从业人员要按时到岗、统一服装，</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文明礼貌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不符合要求的每项每人每次扣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12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村两委干部及相关工作人员</w:t>
            </w:r>
          </w:p>
        </w:tc>
      </w:tr>
      <w:tr>
        <w:tblPrEx>
          <w:tblCellMar>
            <w:top w:w="0" w:type="dxa"/>
            <w:left w:w="10" w:type="dxa"/>
            <w:bottom w:w="0" w:type="dxa"/>
            <w:right w:w="10" w:type="dxa"/>
          </w:tblCellMar>
        </w:tblPrEx>
        <w:trPr>
          <w:trHeight w:val="1219"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从业人员熟练</w:t>
            </w:r>
            <w:r>
              <w:rPr>
                <w:rFonts w:hint="eastAsia" w:ascii="宋体" w:hAnsi="宋体" w:eastAsia="宋体" w:cs="宋体"/>
                <w:color w:val="auto"/>
                <w:sz w:val="24"/>
                <w:szCs w:val="24"/>
                <w:highlight w:val="none"/>
                <w:lang w:val="en-US" w:eastAsia="zh-CN"/>
              </w:rPr>
              <w:t>掌握业务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如村民群众对停车管理有疑问，</w:t>
            </w:r>
            <w:r>
              <w:rPr>
                <w:rFonts w:hint="eastAsia" w:ascii="宋体" w:hAnsi="宋体" w:eastAsia="宋体" w:cs="宋体"/>
                <w:color w:val="auto"/>
                <w:sz w:val="24"/>
                <w:szCs w:val="24"/>
                <w:highlight w:val="none"/>
              </w:rPr>
              <w:t>能够耐心细致解答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避免产生矛盾</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不符合要求的每人每次扣1分。</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定期</w:t>
            </w:r>
            <w:r>
              <w:rPr>
                <w:rFonts w:hint="eastAsia" w:ascii="宋体" w:hAnsi="宋体" w:eastAsia="宋体" w:cs="宋体"/>
                <w:color w:val="auto"/>
                <w:sz w:val="24"/>
                <w:szCs w:val="24"/>
                <w:highlight w:val="none"/>
              </w:rPr>
              <w:t>对设备运行情况进行检查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若设备产生故障，必须在24小时内完成维修</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因设备问题造成拥堵或其他影响的</w:t>
            </w:r>
            <w:r>
              <w:rPr>
                <w:rFonts w:hint="eastAsia" w:ascii="宋体" w:hAnsi="宋体" w:eastAsia="宋体" w:cs="宋体"/>
                <w:color w:val="auto"/>
                <w:sz w:val="24"/>
                <w:szCs w:val="24"/>
                <w:highlight w:val="none"/>
              </w:rPr>
              <w:t>，每次扣1分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7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及停车场</w:t>
            </w:r>
            <w:r>
              <w:rPr>
                <w:rFonts w:hint="eastAsia" w:ascii="宋体" w:hAnsi="宋体" w:eastAsia="宋体" w:cs="宋体"/>
                <w:color w:val="auto"/>
                <w:sz w:val="24"/>
                <w:szCs w:val="24"/>
                <w:highlight w:val="none"/>
              </w:rPr>
              <w:t>设施标识完好。</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缺失一处</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en-US"/>
              </w:rPr>
              <w:t>0.5</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50"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案作规程</w:t>
            </w: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在车辆管理中不得扣押车辆停放者证件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val="en-US" w:eastAsia="zh-CN"/>
              </w:rPr>
              <w:t>等私人物品</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按与</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约定收费标准对停放车辆进行收费及开具有效发票。</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一次扣2分。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667"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在停车场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发生汽车车损</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事故</w:t>
            </w:r>
            <w:r>
              <w:rPr>
                <w:rFonts w:hint="eastAsia" w:ascii="宋体" w:hAnsi="宋体" w:eastAsia="宋体" w:cs="宋体"/>
                <w:color w:val="auto"/>
                <w:sz w:val="24"/>
                <w:szCs w:val="24"/>
                <w:highlight w:val="none"/>
                <w:lang w:val="en-US" w:eastAsia="zh-CN"/>
              </w:rPr>
              <w:t>等时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需主动</w:t>
            </w:r>
            <w:r>
              <w:rPr>
                <w:rFonts w:hint="eastAsia" w:ascii="宋体" w:hAnsi="宋体" w:eastAsia="宋体" w:cs="宋体"/>
                <w:color w:val="auto"/>
                <w:sz w:val="24"/>
                <w:szCs w:val="24"/>
                <w:highlight w:val="none"/>
              </w:rPr>
              <w:t>报警处</w:t>
            </w:r>
            <w:r>
              <w:rPr>
                <w:rFonts w:hint="eastAsia" w:ascii="宋体" w:hAnsi="宋体" w:eastAsia="宋体" w:cs="宋体"/>
                <w:color w:val="auto"/>
                <w:sz w:val="24"/>
                <w:szCs w:val="24"/>
                <w:highlight w:val="none"/>
                <w:lang w:val="en-US" w:eastAsia="zh-CN"/>
              </w:rPr>
              <w:t>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事故造成车辆</w:t>
            </w:r>
            <w:r>
              <w:rPr>
                <w:rFonts w:hint="eastAsia" w:ascii="宋体" w:hAnsi="宋体" w:eastAsia="宋体" w:cs="宋体"/>
                <w:color w:val="auto"/>
                <w:sz w:val="24"/>
                <w:szCs w:val="24"/>
                <w:highlight w:val="none"/>
              </w:rPr>
              <w:t>拥堵的，必须及时协调处理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分钟内</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疏通。</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违反一次</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931"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3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要切实履行防火安全、门前三包、</w:t>
            </w:r>
            <w:r>
              <w:rPr>
                <w:rFonts w:hint="eastAsia" w:ascii="宋体" w:hAnsi="宋体" w:eastAsia="宋体" w:cs="宋体"/>
                <w:color w:val="auto"/>
                <w:sz w:val="24"/>
                <w:szCs w:val="24"/>
                <w:highlight w:val="none"/>
                <w:lang w:val="en-US" w:eastAsia="zh-CN"/>
              </w:rPr>
              <w:t>治安安全等</w:t>
            </w:r>
            <w:r>
              <w:rPr>
                <w:rFonts w:hint="eastAsia" w:ascii="宋体" w:hAnsi="宋体" w:eastAsia="宋体" w:cs="宋体"/>
                <w:color w:val="auto"/>
                <w:sz w:val="24"/>
                <w:szCs w:val="24"/>
                <w:highlight w:val="none"/>
              </w:rPr>
              <w:t>义务。</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产生问题一次</w:t>
            </w:r>
            <w:r>
              <w:rPr>
                <w:rFonts w:hint="eastAsia" w:ascii="宋体" w:hAnsi="宋体" w:eastAsia="宋体" w:cs="宋体"/>
                <w:color w:val="auto"/>
                <w:sz w:val="24"/>
                <w:szCs w:val="24"/>
                <w:highlight w:val="none"/>
              </w:rPr>
              <w:t>扣1分。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43" w:hRule="exact"/>
        </w:trPr>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单项</w:t>
            </w:r>
          </w:p>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若因服</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lang w:val="en-US" w:eastAsia="zh-CN"/>
              </w:rPr>
              <w:t>问题产生</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且经核实为有效投诉的</w:t>
            </w:r>
            <w:r>
              <w:rPr>
                <w:rFonts w:hint="eastAsia" w:ascii="宋体" w:hAnsi="宋体" w:eastAsia="宋体" w:cs="宋体"/>
                <w:color w:val="auto"/>
                <w:sz w:val="24"/>
                <w:szCs w:val="24"/>
                <w:highlight w:val="none"/>
              </w:rPr>
              <w:t>。</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次扣3分。</w:t>
            </w:r>
          </w:p>
        </w:tc>
        <w:tc>
          <w:tcPr>
            <w:tcW w:w="12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2"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必须具备进行停车场管理运营及收费的资质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且办理相关许可证及备案手续，</w:t>
            </w:r>
            <w:r>
              <w:rPr>
                <w:rFonts w:hint="eastAsia" w:ascii="宋体" w:hAnsi="宋体" w:eastAsia="宋体" w:cs="宋体"/>
                <w:color w:val="auto"/>
                <w:sz w:val="24"/>
                <w:szCs w:val="24"/>
                <w:highlight w:val="none"/>
              </w:rPr>
              <w:t>按税收管理制度</w:t>
            </w:r>
            <w:r>
              <w:rPr>
                <w:rFonts w:hint="eastAsia" w:ascii="宋体" w:hAnsi="宋体" w:eastAsia="宋体" w:cs="宋体"/>
                <w:color w:val="auto"/>
                <w:sz w:val="24"/>
                <w:szCs w:val="24"/>
                <w:highlight w:val="none"/>
                <w:lang w:val="en-US" w:eastAsia="zh-CN"/>
              </w:rPr>
              <w:t>开具</w:t>
            </w:r>
            <w:r>
              <w:rPr>
                <w:rFonts w:hint="eastAsia" w:ascii="宋体" w:hAnsi="宋体" w:eastAsia="宋体" w:cs="宋体"/>
                <w:color w:val="auto"/>
                <w:sz w:val="24"/>
                <w:szCs w:val="24"/>
                <w:highlight w:val="none"/>
              </w:rPr>
              <w:t>发票。不得使用假票和涂改及与单位不相符的票</w:t>
            </w:r>
            <w:r>
              <w:rPr>
                <w:rFonts w:hint="eastAsia" w:ascii="宋体" w:hAnsi="宋体" w:eastAsia="宋体" w:cs="宋体"/>
                <w:color w:val="auto"/>
                <w:sz w:val="24"/>
                <w:szCs w:val="24"/>
                <w:highlight w:val="none"/>
                <w:lang w:val="en-US" w:eastAsia="zh-CN"/>
              </w:rPr>
              <w:t>证</w:t>
            </w:r>
            <w:r>
              <w:rPr>
                <w:rFonts w:hint="eastAsia" w:ascii="宋体" w:hAnsi="宋体" w:eastAsia="宋体" w:cs="宋体"/>
                <w:color w:val="auto"/>
                <w:sz w:val="24"/>
                <w:szCs w:val="24"/>
                <w:highlight w:val="none"/>
              </w:rPr>
              <w:t>，不得伪造有关证照和票据。</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发生</w:t>
            </w:r>
            <w:r>
              <w:rPr>
                <w:rFonts w:hint="eastAsia" w:ascii="宋体" w:hAnsi="宋体" w:eastAsia="宋体" w:cs="宋体"/>
                <w:color w:val="auto"/>
                <w:sz w:val="24"/>
                <w:szCs w:val="24"/>
                <w:highlight w:val="none"/>
              </w:rPr>
              <w:t>一次扣3分。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3"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因设备或管理原因</w:t>
            </w:r>
            <w:r>
              <w:rPr>
                <w:rFonts w:hint="eastAsia" w:ascii="宋体" w:hAnsi="宋体" w:eastAsia="宋体" w:cs="宋体"/>
                <w:color w:val="auto"/>
                <w:sz w:val="24"/>
                <w:szCs w:val="24"/>
                <w:highlight w:val="none"/>
              </w:rPr>
              <w:t>导致</w:t>
            </w:r>
            <w:r>
              <w:rPr>
                <w:rFonts w:hint="eastAsia" w:ascii="宋体" w:hAnsi="宋体" w:eastAsia="宋体" w:cs="宋体"/>
                <w:color w:val="auto"/>
                <w:sz w:val="24"/>
                <w:szCs w:val="24"/>
                <w:highlight w:val="none"/>
                <w:lang w:val="en-US" w:eastAsia="zh-CN"/>
              </w:rPr>
              <w:t>停放</w:t>
            </w:r>
            <w:r>
              <w:rPr>
                <w:rFonts w:hint="eastAsia" w:ascii="宋体" w:hAnsi="宋体" w:eastAsia="宋体" w:cs="宋体"/>
                <w:color w:val="auto"/>
                <w:sz w:val="24"/>
                <w:szCs w:val="24"/>
                <w:highlight w:val="none"/>
              </w:rPr>
              <w:t>车辆损坏</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5分钟内</w:t>
            </w:r>
            <w:r>
              <w:rPr>
                <w:rFonts w:hint="eastAsia" w:ascii="宋体" w:hAnsi="宋体" w:eastAsia="宋体" w:cs="宋体"/>
                <w:color w:val="auto"/>
                <w:sz w:val="24"/>
                <w:szCs w:val="24"/>
                <w:highlight w:val="none"/>
                <w:lang w:val="en-US" w:eastAsia="zh-CN"/>
              </w:rPr>
              <w:t>到场</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解。</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一次1分。</w:t>
            </w:r>
          </w:p>
        </w:tc>
        <w:tc>
          <w:tcPr>
            <w:tcW w:w="1221" w:type="dxa"/>
            <w:vMerge w:val="continue"/>
            <w:tcBorders>
              <w:left w:val="single" w:color="auto" w:sz="4" w:space="0"/>
              <w:right w:val="single" w:color="auto" w:sz="4" w:space="0"/>
            </w:tcBorders>
            <w:shd w:val="clear" w:color="auto" w:fill="auto"/>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375" w:hRule="exact"/>
        </w:trPr>
        <w:tc>
          <w:tcPr>
            <w:tcW w:w="6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p>
        </w:tc>
        <w:tc>
          <w:tcPr>
            <w:tcW w:w="48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若有建</w:t>
            </w:r>
            <w:r>
              <w:rPr>
                <w:rFonts w:hint="eastAsia" w:ascii="宋体" w:hAnsi="宋体" w:eastAsia="宋体" w:cs="宋体"/>
                <w:color w:val="auto"/>
                <w:sz w:val="24"/>
                <w:szCs w:val="24"/>
                <w:highlight w:val="none"/>
              </w:rPr>
              <w:t>筑</w:t>
            </w:r>
            <w:r>
              <w:rPr>
                <w:rFonts w:hint="eastAsia" w:ascii="宋体" w:hAnsi="宋体" w:eastAsia="宋体" w:cs="宋体"/>
                <w:color w:val="auto"/>
                <w:sz w:val="24"/>
                <w:szCs w:val="24"/>
                <w:highlight w:val="none"/>
                <w:lang w:val="en-US" w:eastAsia="zh-CN"/>
              </w:rPr>
              <w:t>杂物</w:t>
            </w:r>
            <w:r>
              <w:rPr>
                <w:rFonts w:hint="eastAsia" w:ascii="宋体" w:hAnsi="宋体" w:eastAsia="宋体" w:cs="宋体"/>
                <w:color w:val="auto"/>
                <w:sz w:val="24"/>
                <w:szCs w:val="24"/>
                <w:highlight w:val="none"/>
              </w:rPr>
              <w:t>、乱摆卖摊</w:t>
            </w:r>
            <w:r>
              <w:rPr>
                <w:rFonts w:hint="eastAsia" w:ascii="宋体" w:hAnsi="宋体" w:eastAsia="宋体" w:cs="宋体"/>
                <w:color w:val="auto"/>
                <w:sz w:val="24"/>
                <w:szCs w:val="24"/>
                <w:highlight w:val="none"/>
                <w:lang w:val="en-US" w:eastAsia="zh-CN"/>
              </w:rPr>
              <w:t>档等占用</w:t>
            </w:r>
            <w:r>
              <w:rPr>
                <w:rFonts w:hint="eastAsia" w:ascii="宋体" w:hAnsi="宋体" w:eastAsia="宋体" w:cs="宋体"/>
                <w:color w:val="auto"/>
                <w:sz w:val="24"/>
                <w:szCs w:val="24"/>
                <w:highlight w:val="none"/>
              </w:rPr>
              <w:t>停车位、消防通道、行车通道</w:t>
            </w:r>
            <w:r>
              <w:rPr>
                <w:rFonts w:hint="eastAsia" w:ascii="宋体" w:hAnsi="宋体" w:eastAsia="宋体" w:cs="宋体"/>
                <w:color w:val="auto"/>
                <w:sz w:val="24"/>
                <w:szCs w:val="24"/>
                <w:highlight w:val="none"/>
                <w:lang w:val="en-US" w:eastAsia="zh-CN"/>
              </w:rPr>
              <w:t>等情况的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需5分钟内到场处理；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3次以上</w:t>
            </w:r>
            <w:r>
              <w:rPr>
                <w:rFonts w:hint="eastAsia" w:ascii="宋体" w:hAnsi="宋体" w:eastAsia="宋体" w:cs="宋体"/>
                <w:color w:val="auto"/>
                <w:sz w:val="24"/>
                <w:szCs w:val="24"/>
                <w:highlight w:val="none"/>
              </w:rPr>
              <w:t>占用</w:t>
            </w:r>
            <w:r>
              <w:rPr>
                <w:rFonts w:hint="eastAsia" w:ascii="宋体" w:hAnsi="宋体" w:eastAsia="宋体" w:cs="宋体"/>
                <w:color w:val="auto"/>
                <w:sz w:val="24"/>
                <w:szCs w:val="24"/>
                <w:highlight w:val="none"/>
                <w:lang w:val="en-US" w:eastAsia="zh-CN"/>
              </w:rPr>
              <w:t>行车通道</w:t>
            </w:r>
            <w:r>
              <w:rPr>
                <w:rFonts w:hint="eastAsia" w:ascii="宋体" w:hAnsi="宋体" w:eastAsia="宋体" w:cs="宋体"/>
                <w:color w:val="auto"/>
                <w:sz w:val="24"/>
                <w:szCs w:val="24"/>
                <w:highlight w:val="none"/>
              </w:rPr>
              <w:t>、消防通道</w:t>
            </w:r>
            <w:r>
              <w:rPr>
                <w:rFonts w:hint="eastAsia" w:ascii="宋体" w:hAnsi="宋体" w:eastAsia="宋体" w:cs="宋体"/>
                <w:color w:val="auto"/>
                <w:sz w:val="24"/>
                <w:szCs w:val="24"/>
                <w:highlight w:val="none"/>
                <w:lang w:val="en-US" w:eastAsia="zh-CN"/>
              </w:rPr>
              <w:t>等的车辆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处理，</w:t>
            </w:r>
            <w:r>
              <w:rPr>
                <w:rFonts w:hint="eastAsia" w:ascii="宋体" w:hAnsi="宋体" w:eastAsia="宋体" w:cs="宋体"/>
                <w:color w:val="auto"/>
                <w:sz w:val="24"/>
                <w:szCs w:val="24"/>
                <w:highlight w:val="none"/>
              </w:rPr>
              <w:t>禁止</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车辆进入村内。</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未按要求处理</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扣</w:t>
            </w:r>
            <w:r>
              <w:rPr>
                <w:rFonts w:hint="eastAsia" w:ascii="宋体" w:hAnsi="宋体" w:eastAsia="宋体" w:cs="宋体"/>
                <w:color w:val="auto"/>
                <w:sz w:val="24"/>
                <w:szCs w:val="24"/>
                <w:highlight w:val="none"/>
              </w:rPr>
              <w:t>1分</w:t>
            </w:r>
          </w:p>
        </w:tc>
        <w:tc>
          <w:tcPr>
            <w:tcW w:w="1221" w:type="dxa"/>
            <w:vMerge w:val="continue"/>
            <w:tcBorders>
              <w:left w:val="single" w:color="auto" w:sz="4" w:space="0"/>
              <w:bottom w:val="single" w:color="auto" w:sz="4" w:space="0"/>
              <w:right w:val="single" w:color="auto" w:sz="4" w:space="0"/>
            </w:tcBorders>
            <w:shd w:val="clear" w:color="auto" w:fill="auto"/>
            <w:vAlign w:val="top"/>
          </w:tcPr>
          <w:p>
            <w:pPr>
              <w:widowControl w:val="0"/>
              <w:rPr>
                <w:rFonts w:hint="eastAsia" w:ascii="宋体" w:hAnsi="宋体" w:eastAsia="宋体" w:cs="宋体"/>
                <w:color w:val="auto"/>
                <w:sz w:val="24"/>
                <w:szCs w:val="24"/>
                <w:highlight w:val="none"/>
              </w:rPr>
            </w:pPr>
          </w:p>
        </w:tc>
      </w:tr>
    </w:tbl>
    <w:p>
      <w:pPr>
        <w:pStyle w:val="30"/>
        <w:numPr>
          <w:ilvl w:val="0"/>
          <w:numId w:val="0"/>
        </w:numPr>
        <w:spacing w:line="360" w:lineRule="auto"/>
        <w:ind w:left="415" w:leftChars="0" w:hanging="415" w:hangingChars="1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每季度考核一次，考核总分为100分，具体考核制度</w:t>
      </w:r>
      <w:r>
        <w:rPr>
          <w:rFonts w:hint="eastAsia" w:ascii="宋体" w:hAnsi="宋体" w:eastAsia="宋体" w:cs="宋体"/>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监管惩罚金额</w:t>
      </w:r>
      <w:r>
        <w:rPr>
          <w:rFonts w:hint="eastAsia" w:ascii="宋体" w:hAnsi="宋体" w:eastAsia="宋体" w:cs="宋体"/>
          <w:color w:val="auto"/>
          <w:sz w:val="24"/>
          <w:szCs w:val="24"/>
          <w:highlight w:val="none"/>
        </w:rPr>
        <w:t>如下:</w:t>
      </w:r>
    </w:p>
    <w:p>
      <w:pPr>
        <w:pStyle w:val="30"/>
        <w:numPr>
          <w:ilvl w:val="0"/>
          <w:numId w:val="36"/>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若合同签订之日起半年内出现一次考核得分低于80分的为不达标，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6"/>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若当年有2个或以上季度考核得分低于80分，</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可以单方解除本合同，并</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和不退回已交的服务费，且</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6"/>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依据双方约定事项进行日常管理：若因服务问题工作人员工作不积极而导致管理不善致道路因乱停放的现象多，产生堵塞而被村民投诉或拍照影相不符合停车要求的，且经由村干部核实为有效投诉的，将由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进行金额惩罚，惩罚金额200元或以上最终解释权归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w:t>
      </w:r>
    </w:p>
    <w:p>
      <w:pPr>
        <w:pStyle w:val="30"/>
        <w:numPr>
          <w:ilvl w:val="0"/>
          <w:numId w:val="36"/>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可对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进行约谈，要求加强巡查整改，如因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工作人员态度不好导致处事不公而引发纠纷案或投诉案多的，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在限期内整改并更换人员，如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限期拒不整改的，视为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根本违约，</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不予退还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和不退回已交的服务费，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投入建设安装的一切设施设备无偿归</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所有。</w:t>
      </w:r>
    </w:p>
    <w:p>
      <w:pPr>
        <w:pStyle w:val="30"/>
        <w:numPr>
          <w:ilvl w:val="0"/>
          <w:numId w:val="36"/>
        </w:numPr>
        <w:spacing w:line="360" w:lineRule="auto"/>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有权监督</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依据双方约定事项进行日常管理。</w:t>
      </w:r>
    </w:p>
    <w:p>
      <w:pPr>
        <w:pStyle w:val="35"/>
        <w:numPr>
          <w:ilvl w:val="0"/>
          <w:numId w:val="31"/>
        </w:numPr>
        <w:spacing w:before="240" w:beforeLines="100" w:after="120" w:afterLines="50" w:line="360" w:lineRule="auto"/>
        <w:rPr>
          <w:b/>
          <w:bCs/>
          <w:color w:val="auto"/>
          <w:sz w:val="24"/>
          <w:szCs w:val="24"/>
          <w:highlight w:val="none"/>
        </w:rPr>
      </w:pPr>
      <w:r>
        <w:rPr>
          <w:b/>
          <w:bCs/>
          <w:color w:val="auto"/>
          <w:sz w:val="24"/>
          <w:szCs w:val="24"/>
          <w:highlight w:val="none"/>
        </w:rPr>
        <w:t>关键合同条款一览表</w:t>
      </w:r>
    </w:p>
    <w:tbl>
      <w:tblPr>
        <w:tblStyle w:val="19"/>
        <w:tblW w:w="832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21"/>
        <w:gridCol w:w="1776"/>
        <w:gridCol w:w="582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序号</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商务条款</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center"/>
              <w:rPr>
                <w:color w:val="auto"/>
                <w:sz w:val="24"/>
                <w:szCs w:val="24"/>
                <w:highlight w:val="none"/>
              </w:rPr>
            </w:pPr>
            <w:r>
              <w:rPr>
                <w:rFonts w:ascii="宋体" w:hAnsi="宋体" w:cs="宋体"/>
                <w:color w:val="auto"/>
                <w:sz w:val="24"/>
                <w:szCs w:val="24"/>
                <w:highlight w:val="none"/>
              </w:rPr>
              <w:t>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18" w:hRule="atLeast"/>
        </w:trPr>
        <w:tc>
          <w:tcPr>
            <w:tcW w:w="721"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76" w:type="dxa"/>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合同金额（不含税，税费由乙方另行承担</w:t>
            </w:r>
            <w:r>
              <w:rPr>
                <w:rFonts w:hint="eastAsia" w:ascii="宋体" w:hAnsi="宋体" w:cs="宋体"/>
                <w:color w:val="auto"/>
                <w:sz w:val="24"/>
                <w:szCs w:val="24"/>
                <w:highlight w:val="none"/>
                <w:lang w:eastAsia="zh-CN"/>
              </w:rPr>
              <w:t>）</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年度管理费金额：</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eastAsia="zh-CN"/>
              </w:rPr>
              <w:t>；大写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2"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合同金额内容</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合同金额</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支付给</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费用。包括但不限于以下各项的支出费用由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另外自行承担：（1）工人工资、福利：人工费、劳工意外保险、工伤、医疗、</w:t>
            </w:r>
            <w:r>
              <w:rPr>
                <w:rFonts w:hint="eastAsia" w:asciiTheme="minorEastAsia" w:hAnsiTheme="minorEastAsia" w:eastAsiaTheme="minorEastAsia" w:cstheme="minorEastAsia"/>
                <w:color w:val="auto"/>
                <w:sz w:val="24"/>
                <w:szCs w:val="24"/>
                <w:highlight w:val="none"/>
                <w:lang w:eastAsia="zh-CN"/>
              </w:rPr>
              <w:t>失业</w:t>
            </w:r>
            <w:r>
              <w:rPr>
                <w:rFonts w:hint="eastAsia" w:asciiTheme="minorEastAsia" w:hAnsiTheme="minorEastAsia" w:eastAsiaTheme="minorEastAsia" w:cstheme="minorEastAsia"/>
                <w:color w:val="auto"/>
                <w:sz w:val="24"/>
                <w:szCs w:val="24"/>
                <w:highlight w:val="none"/>
              </w:rPr>
              <w:t>、养老保险、其他福利待遇、特殊人员体检费；（2）劳保用品、服装费：一切劳保用品、服装费用；（3）培训费：全体人员一切专业培训、办证费用；（4）员工的住宿及住宿费用；（5）项目运营、停车管理、软硬件投资建设和维护及服务等所发生的一切费用；（6）提供停车费全额含税发票；（7）合同实施过程中的应预见和不可预见费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8" w:hRule="atLeast"/>
        </w:trPr>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ind w:left="21" w:leftChars="10" w:right="21" w:rightChars="10" w:firstLine="0" w:firstLineChars="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5年，</w:t>
            </w:r>
            <w:r>
              <w:rPr>
                <w:rFonts w:hint="eastAsia" w:asciiTheme="minorEastAsia" w:hAnsiTheme="minorEastAsia" w:eastAsiaTheme="minorEastAsia" w:cstheme="minorEastAsia"/>
                <w:color w:val="auto"/>
                <w:sz w:val="24"/>
                <w:szCs w:val="24"/>
                <w:highlight w:val="none"/>
              </w:rPr>
              <w:t>合同期限</w:t>
            </w: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日止</w:t>
            </w:r>
            <w:r>
              <w:rPr>
                <w:rFonts w:hint="eastAsia" w:asciiTheme="minorEastAsia" w:hAnsiTheme="minorEastAsia" w:eastAsiaTheme="minorEastAsia" w:cstheme="minorEastAsia"/>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停车费收取方式</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按照本合同制定的车辆管理费收费标准，对进入甲方辖区内停放的外来车辆收取车辆管理维护</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费。</w:t>
            </w:r>
          </w:p>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在合同期内按季度向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Theme="minorEastAsia" w:hAnsiTheme="minorEastAsia" w:eastAsiaTheme="minorEastAsia" w:cstheme="minorEastAsia"/>
                <w:color w:val="auto"/>
                <w:sz w:val="24"/>
                <w:szCs w:val="24"/>
                <w:highlight w:val="none"/>
                <w:lang w:eastAsia="zh-CN"/>
              </w:rPr>
              <w:t>车辆停放管理服务维护费</w:t>
            </w:r>
            <w:r>
              <w:rPr>
                <w:rFonts w:hint="eastAsia" w:asciiTheme="minorEastAsia" w:hAnsiTheme="minorEastAsia" w:eastAsiaTheme="minorEastAsia" w:cstheme="minorEastAsia"/>
                <w:color w:val="auto"/>
                <w:sz w:val="24"/>
                <w:szCs w:val="24"/>
                <w:highlight w:val="none"/>
              </w:rPr>
              <w:t>：</w:t>
            </w:r>
          </w:p>
          <w:p>
            <w:pPr>
              <w:numPr>
                <w:ilvl w:val="0"/>
                <w:numId w:val="37"/>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按季度支付管理车辆维护服务费，</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须在合同签订之日起5天内向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支付</w:t>
            </w:r>
            <w:r>
              <w:rPr>
                <w:rFonts w:hint="eastAsia" w:ascii="宋体" w:hAnsi="宋体" w:eastAsia="宋体" w:cs="宋体"/>
                <w:color w:val="auto"/>
                <w:sz w:val="24"/>
                <w:szCs w:val="24"/>
                <w:highlight w:val="none"/>
              </w:rPr>
              <w:t>管理车辆维护服务费</w:t>
            </w:r>
            <w:r>
              <w:rPr>
                <w:rFonts w:hint="eastAsia" w:asciiTheme="minorEastAsia" w:hAnsiTheme="minorEastAsia" w:eastAsiaTheme="minorEastAsia" w:cstheme="minorEastAsia"/>
                <w:color w:val="auto"/>
                <w:sz w:val="24"/>
                <w:szCs w:val="24"/>
                <w:highlight w:val="none"/>
              </w:rPr>
              <w:t>；</w:t>
            </w:r>
          </w:p>
          <w:p>
            <w:pPr>
              <w:numPr>
                <w:ilvl w:val="0"/>
                <w:numId w:val="37"/>
              </w:numPr>
              <w:ind w:left="415" w:leftChars="0" w:hanging="415" w:hangingChars="173"/>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按先支付后管理使用原则，逾期15日未付清的视作根本性违约，</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有权单方解除本合同，</w:t>
            </w:r>
            <w:r>
              <w:rPr>
                <w:rFonts w:hint="eastAsia" w:ascii="宋体" w:hAnsi="宋体" w:cs="宋体"/>
                <w:color w:val="auto"/>
                <w:sz w:val="24"/>
                <w:szCs w:val="24"/>
                <w:highlight w:val="none"/>
                <w:lang w:eastAsia="zh-CN"/>
              </w:rPr>
              <w:t>不予退还乙方履约全部履约</w:t>
            </w:r>
            <w:r>
              <w:rPr>
                <w:rFonts w:hint="eastAsia" w:ascii="宋体" w:hAnsi="宋体" w:eastAsia="宋体" w:cs="宋体"/>
                <w:color w:val="auto"/>
                <w:sz w:val="24"/>
                <w:szCs w:val="24"/>
                <w:highlight w:val="none"/>
              </w:rPr>
              <w:t>保证金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投入建设安装的一切设施设备无偿归甲方所有。</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在收取服务费时只提供</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开具的收据，如需要开具发票，所产生的税费由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p>
            <w:pPr>
              <w:numPr>
                <w:ilvl w:val="0"/>
                <w:numId w:val="37"/>
              </w:numPr>
              <w:ind w:left="415" w:leftChars="0" w:hanging="415" w:hangingChars="173"/>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如租户需要开具发票以及所产生的税费也由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合同履约保证金</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21" w:leftChars="10" w:right="21" w:rightChars="10" w:firstLine="480"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万元。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通知书发出3个工作日内，应以银行转账的方式向</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交纳履约保证金。如</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无违约行为的，服务期结束后30日内，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将履约保证金全额无息退还给</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不按要求提交履约保证金的，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有权解除合同，取消</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的成交资格，</w:t>
            </w:r>
            <w:r>
              <w:rPr>
                <w:rFonts w:hint="eastAsia" w:asciiTheme="minorEastAsia" w:hAnsiTheme="minorEastAsia" w:eastAsiaTheme="minorEastAsia" w:cstheme="minorEastAsia"/>
                <w:color w:val="auto"/>
                <w:sz w:val="24"/>
                <w:szCs w:val="24"/>
                <w:highlight w:val="none"/>
                <w:lang w:eastAsia="zh-CN"/>
              </w:rPr>
              <w:t>竞投保证金</w:t>
            </w:r>
            <w:r>
              <w:rPr>
                <w:rFonts w:hint="eastAsia" w:asciiTheme="minorEastAsia" w:hAnsiTheme="minorEastAsia" w:eastAsiaTheme="minorEastAsia" w:cstheme="minorEastAsia"/>
                <w:color w:val="auto"/>
                <w:sz w:val="24"/>
                <w:szCs w:val="24"/>
                <w:highlight w:val="none"/>
              </w:rPr>
              <w:t>不予退还。</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2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7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25"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ind w:leftChars="0" w:firstLine="480" w:firstLineChars="20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合同期结束或由于其他原因导致合同终止安装的设施设备归</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所有，合同结束设施设备交付给</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时设施设备必须保证完整，状态完好，能正常使用，否则保证金不作退回。</w:t>
            </w:r>
          </w:p>
        </w:tc>
      </w:tr>
    </w:tbl>
    <w:p>
      <w:pPr>
        <w:pStyle w:val="35"/>
        <w:numPr>
          <w:ilvl w:val="0"/>
          <w:numId w:val="31"/>
        </w:numPr>
        <w:spacing w:before="240" w:beforeLines="100" w:after="120" w:afterLines="50" w:line="360" w:lineRule="auto"/>
        <w:rPr>
          <w:b/>
          <w:color w:val="auto"/>
          <w:sz w:val="24"/>
          <w:szCs w:val="24"/>
          <w:highlight w:val="none"/>
        </w:rPr>
      </w:pPr>
      <w:r>
        <w:rPr>
          <w:rFonts w:hint="eastAsia"/>
          <w:b/>
          <w:color w:val="auto"/>
          <w:sz w:val="24"/>
          <w:szCs w:val="24"/>
          <w:highlight w:val="none"/>
          <w:lang w:eastAsia="zh-CN"/>
        </w:rPr>
        <w:t>本项目</w:t>
      </w:r>
      <w:r>
        <w:rPr>
          <w:rFonts w:hint="eastAsia"/>
          <w:b/>
          <w:color w:val="auto"/>
          <w:sz w:val="24"/>
          <w:szCs w:val="24"/>
          <w:highlight w:val="none"/>
        </w:rPr>
        <w:t>验收要求</w:t>
      </w:r>
    </w:p>
    <w:p>
      <w:pPr>
        <w:pStyle w:val="35"/>
        <w:numPr>
          <w:ilvl w:val="1"/>
          <w:numId w:val="31"/>
        </w:numPr>
        <w:spacing w:before="240" w:beforeLines="100" w:after="120" w:afterLines="50" w:line="360" w:lineRule="auto"/>
        <w:ind w:left="624" w:leftChars="0" w:hanging="624" w:firstLineChars="0"/>
        <w:rPr>
          <w:color w:val="auto"/>
          <w:sz w:val="24"/>
          <w:szCs w:val="24"/>
          <w:highlight w:val="none"/>
        </w:rPr>
      </w:pPr>
      <w:r>
        <w:rPr>
          <w:rFonts w:hint="eastAsia"/>
          <w:color w:val="auto"/>
          <w:sz w:val="24"/>
          <w:szCs w:val="24"/>
          <w:highlight w:val="none"/>
        </w:rPr>
        <w:t>乙方须为验收提供必需的一切条件及相关费用。</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项目验收依次序对照执行标准</w:t>
      </w:r>
    </w:p>
    <w:p>
      <w:pPr>
        <w:pStyle w:val="30"/>
        <w:numPr>
          <w:ilvl w:val="0"/>
          <w:numId w:val="38"/>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符合中华人民共和国国家和履约地相关安全质量标准、行业技术规范标准、环保</w:t>
      </w:r>
      <w:r>
        <w:rPr>
          <w:rFonts w:hint="eastAsia" w:ascii="Times New Roman" w:hAnsi="Times New Roman" w:eastAsia="宋体" w:cs="Times New Roman"/>
          <w:color w:val="auto"/>
          <w:sz w:val="24"/>
          <w:szCs w:val="24"/>
          <w:highlight w:val="none"/>
        </w:rPr>
        <w:t>节能</w:t>
      </w:r>
      <w:r>
        <w:rPr>
          <w:rFonts w:hint="eastAsia"/>
          <w:color w:val="auto"/>
          <w:sz w:val="24"/>
          <w:szCs w:val="24"/>
          <w:highlight w:val="none"/>
        </w:rPr>
        <w:t>标准；</w:t>
      </w:r>
    </w:p>
    <w:p>
      <w:pPr>
        <w:pStyle w:val="30"/>
        <w:numPr>
          <w:ilvl w:val="0"/>
          <w:numId w:val="38"/>
        </w:numPr>
        <w:spacing w:line="360" w:lineRule="auto"/>
        <w:ind w:left="0" w:leftChars="0" w:firstLine="420" w:firstLineChars="0"/>
        <w:rPr>
          <w:rFonts w:hint="eastAsia"/>
          <w:color w:val="auto"/>
          <w:sz w:val="24"/>
          <w:szCs w:val="24"/>
          <w:highlight w:val="none"/>
        </w:rPr>
      </w:pPr>
      <w:r>
        <w:rPr>
          <w:rFonts w:hint="eastAsia"/>
          <w:color w:val="auto"/>
          <w:sz w:val="24"/>
          <w:szCs w:val="24"/>
          <w:highlight w:val="none"/>
        </w:rPr>
        <w:t>符合采购文件和响应承诺中各方共同认可的各项要求；</w:t>
      </w:r>
    </w:p>
    <w:p>
      <w:pPr>
        <w:pStyle w:val="30"/>
        <w:numPr>
          <w:ilvl w:val="0"/>
          <w:numId w:val="38"/>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上述各类标准与法规必须是有关官方机构最新发布的现行标准版本。</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甲方的权利和义务</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甲方有权向乙方提出采购项目服务的意见和建议。</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甲方有义务配合乙方做好各项日常管理工作，乙方应根据甲方建议制定有关管理制度和措施执行。甲方有权对乙方的管理方案进行检查及合理修改，共同优化管理工作。</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有权对乙方的日常管理工作进行监管检查，每季度进行一次全面考核评定，如乙方因管理不善或管理失误，给甲方造成严重负面影响或导致经济受损的，甲方有权单方面终止合同，并视乙方根本违约处理（不予退还</w:t>
      </w:r>
      <w:r>
        <w:rPr>
          <w:rFonts w:hint="eastAsia" w:ascii="Times New Roman" w:hAnsi="Times New Roman" w:eastAsia="宋体" w:cs="Times New Roman"/>
          <w:color w:val="auto"/>
          <w:sz w:val="24"/>
          <w:szCs w:val="24"/>
          <w:highlight w:val="none"/>
        </w:rPr>
        <w:t>乙方</w:t>
      </w:r>
      <w:r>
        <w:rPr>
          <w:rFonts w:hint="eastAsia" w:ascii="Times New Roman" w:hAnsi="Times New Roman" w:eastAsia="宋体" w:cs="Times New Roman"/>
          <w:color w:val="auto"/>
          <w:sz w:val="24"/>
          <w:szCs w:val="24"/>
          <w:highlight w:val="none"/>
          <w:lang w:eastAsia="zh-CN"/>
        </w:rPr>
        <w:t>履约</w:t>
      </w:r>
      <w:r>
        <w:rPr>
          <w:rFonts w:hint="eastAsia" w:ascii="Times New Roman" w:hAnsi="Times New Roman" w:eastAsia="宋体" w:cs="Times New Roman"/>
          <w:color w:val="auto"/>
          <w:sz w:val="24"/>
          <w:szCs w:val="24"/>
          <w:highlight w:val="none"/>
        </w:rPr>
        <w:t>保证金</w:t>
      </w:r>
      <w:r>
        <w:rPr>
          <w:rFonts w:hint="eastAsia" w:ascii="Times New Roman" w:hAnsi="Times New Roman" w:eastAsia="宋体" w:cs="Times New Roman"/>
          <w:color w:val="auto"/>
          <w:sz w:val="24"/>
          <w:szCs w:val="24"/>
          <w:highlight w:val="none"/>
          <w:lang w:eastAsia="zh-CN"/>
        </w:rPr>
        <w:t>和不退回已交的服务费，乙方投入建设安装的一切设施设备无偿归甲方所有，并赔偿甲方的经济损失）。</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甲方为确保其依法具有收取车辆管理费的资格及权利，已严格按照有关法律程序研究制定出相关的收费及管理的村规民约，并经党员及村民代表大会表决通过及予以公布后实施，以便于乙方按规定管理及收费。在收费过程中所产生的纠纷投诉，乙方应自行负责处理。重大事件甲方有义务协助处理。</w:t>
      </w:r>
    </w:p>
    <w:p>
      <w:pPr>
        <w:pStyle w:val="30"/>
        <w:numPr>
          <w:ilvl w:val="0"/>
          <w:numId w:val="39"/>
        </w:numPr>
        <w:spacing w:line="360" w:lineRule="auto"/>
        <w:ind w:left="0" w:leftChars="0" w:firstLine="42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甲方对本辖区内的所有土地拥有使用权，乙方如需规划增设停车位置时必经甲方同意。设置停车位置的土地，如遇甲方开发使用时，乙方无条件配合执行</w:t>
      </w:r>
      <w:r>
        <w:rPr>
          <w:rFonts w:hint="eastAsia" w:ascii="Times New Roman" w:hAnsi="Times New Roman" w:eastAsia="宋体" w:cs="Times New Roman"/>
          <w:color w:val="auto"/>
          <w:sz w:val="24"/>
          <w:szCs w:val="24"/>
          <w:highlight w:val="none"/>
        </w:rPr>
        <w:t>。</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乙方的权利和义务</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乙方要根据国家的有关法律、法规、政策及本合同的有关规定，在不违反本合同规定的基础上，自行制定有关规章制度车辆管理办法、实施细则等规定，乙方的管理工作不得影响甲方工作人员的日常正常工作。</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按照甲方制定的车辆管理收费标准进行收取车辆管理费。并提供优质的停车管理及道路交通管理服务，不得出现只收费不服务或多收费少服务的行为，如发现有，经指出不改的，视为乙方根本违约，甲方有权单方面解除合同，不予退还乙方履约保证金和不退回已交的服务费，乙方投入建设安装的一切设施设备无偿归甲方所有。</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日常管理工作能正常运作，乙方必须根据工作需要配置足够的工作人员（不少于3人）并办理好用工手续及购买意外保险。乙方员工不纳入甲方用工编制，不享受甲方员工的福利待遇，与甲方不成立劳动或劳务关系。乙方工作人员在合同期内所发生的安全事故、工伤及劳资纠纷等均由乙方负责，一切责任与甲方无关，如屡屡出现人手不足的现象，视为乙方根本违约，甲方有权单方面解除合同，不予退还乙方履约保证金和不退回已交的服务费，乙方投入建设安装的一切设施设备无偿归甲方所有。</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要严格督促工作人员做好辖区内的日常道路交通管理巡查工作，确保村内各道闸出入口及各大小村道时刻保持畅通无阻，不得出现有车辆因乱停放而导致阻塞交通的现象发生。如出现有阻塞现象应派人到现场及时处理，如出现有15分钟后还没有人处理的现象，甲方有权收取乙方每次人民币200元的违约金。</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工作人员上班时要着装统一，工作要吃苦耐劳，勤巡勤查，待人处事需热情服务，如出现有因工作人员礼貌不周或处事不公而导致发生纠纷案和投诉案的，乙方要自行及时设法处理，事后要自查自纠，吸取教训及时整改。合同期内出现三次投诉的，甲方有权解除本合同，并视乙方违约，不予退还乙方履约保证金以作为甲方的经济补偿。</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为了切实做好车辆的有序停放管理，乙方要适时对辖区内的停车位进行合理规划设置。将本地车位与外地临时车位进行区分管理，乙方应严格管理控制禁止外来车辆在本地车位上停放过夜。吉利上二村辖区内的村民住宅以外的车位均为共享车位，禁止私装地锁或摆设物品霸占，否则乙方有权没收处理。</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乙方在签订合同后，根据现时村内情况，对辖区内破旧车位重新划热熔线（破旧车位数待定），并完善所有道路标识、道路监控以及部分停车位设施。统一完善后，乙方也要对车位划线、道路标识、停车设施等定期检查及维护更新，对危险路段及停车场等做好交通标志指示牌的安装，以起到警示作用（如禁停牌、限速牌、限重牌、停车场标识、凸面广角镜等）。上述所产生的一切费用均由乙方承担。</w:t>
      </w:r>
    </w:p>
    <w:p>
      <w:pPr>
        <w:pStyle w:val="30"/>
        <w:numPr>
          <w:ilvl w:val="0"/>
          <w:numId w:val="40"/>
        </w:numPr>
        <w:spacing w:line="360" w:lineRule="auto"/>
        <w:ind w:left="0" w:leftChars="0" w:firstLine="42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平时需对所有设备进行维护、保养以确保其正常运行工作。在合同期内，乙方对车辆管理的设备维护更新或增设等费用均由乙方承担。合同期满后，乙方须要将所有设备（含新建和原有的硬件与软件）及各类管理档案资料等正常完好地无偿移交给甲方。如有损坏，甲方有权请人进行修复，但所产生费用均由乙方支付或从保证金处扣除。</w:t>
      </w:r>
    </w:p>
    <w:p>
      <w:pPr>
        <w:pStyle w:val="35"/>
        <w:numPr>
          <w:ilvl w:val="0"/>
          <w:numId w:val="31"/>
        </w:numPr>
        <w:spacing w:before="240" w:beforeLines="100" w:after="120" w:afterLines="50" w:line="360" w:lineRule="auto"/>
        <w:rPr>
          <w:rFonts w:hint="eastAsia"/>
          <w:b/>
          <w:color w:val="auto"/>
          <w:sz w:val="24"/>
          <w:szCs w:val="24"/>
          <w:highlight w:val="none"/>
        </w:rPr>
      </w:pPr>
      <w:r>
        <w:rPr>
          <w:rFonts w:hint="eastAsia"/>
          <w:b/>
          <w:color w:val="auto"/>
          <w:sz w:val="24"/>
          <w:szCs w:val="24"/>
          <w:highlight w:val="none"/>
        </w:rPr>
        <w:t>售后服务要求</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乙方售后服务机构名称及地址：</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联系人1：，联系电话：，手机：，传真：</w:t>
      </w:r>
    </w:p>
    <w:p>
      <w:pPr>
        <w:pStyle w:val="3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联系人2：，联系电话：，手机：，传真：</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乙方不能拆解分包，转包他人经营，更不能有包上包行为。若在经营过程中发现此情况，甲方有权</w:t>
      </w:r>
      <w:r>
        <w:rPr>
          <w:rFonts w:hint="eastAsia" w:ascii="宋体" w:hAnsi="宋体" w:cs="宋体"/>
          <w:color w:val="auto"/>
          <w:sz w:val="24"/>
          <w:szCs w:val="24"/>
          <w:highlight w:val="none"/>
          <w:lang w:eastAsia="zh-CN"/>
        </w:rPr>
        <w:t>不予退还</w:t>
      </w:r>
      <w:r>
        <w:rPr>
          <w:rFonts w:hint="eastAsia" w:ascii="宋体" w:hAnsi="宋体" w:eastAsia="宋体" w:cs="宋体"/>
          <w:color w:val="auto"/>
          <w:sz w:val="24"/>
          <w:szCs w:val="24"/>
          <w:highlight w:val="none"/>
        </w:rPr>
        <w:t>乙方履约保证金及管理设备，并依法追究相关责任人法律责任。乙方未按要求履行合同义务时，对逾期支付服务费的，从逾期之日起每日按合同总额的2‰比例向甲方支付违约金；逾期15日以上时，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，乙方投入建设安装的一切设施设备无偿归甲方所有，由此造成甲方的经济损失由乙方承担，违约金不足以弥补损失的，乙方应按全额赔偿。</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期内因违反本服务合同的约定，无法向甲方提供正常服务时，甲方有权要求乙方限期整改，并向乙方提交书面整改通知书，具体的整改时间届时按事故的大小在通知书内定明，如乙方逾期未能整改而造成甲方损失的，甲方将依照乙方的权利和义务确定乙方责任，依照本合同书约定由乙方承担相应的经济赔偿，如乙方概不履行责任时，视为乙方根本违约，甲方有权单方面解除合同，</w:t>
      </w:r>
      <w:r>
        <w:rPr>
          <w:rFonts w:hint="eastAsia" w:ascii="宋体" w:hAnsi="宋体" w:cs="宋体"/>
          <w:color w:val="auto"/>
          <w:sz w:val="24"/>
          <w:szCs w:val="24"/>
          <w:highlight w:val="none"/>
          <w:lang w:eastAsia="zh-CN"/>
        </w:rPr>
        <w:t>不予退还乙方履约保证金</w:t>
      </w:r>
      <w:r>
        <w:rPr>
          <w:rFonts w:hint="eastAsia" w:ascii="宋体" w:hAnsi="宋体" w:eastAsia="宋体" w:cs="宋体"/>
          <w:color w:val="auto"/>
          <w:sz w:val="24"/>
          <w:szCs w:val="24"/>
          <w:highlight w:val="none"/>
        </w:rPr>
        <w:t>和不退回已交的服务费，乙方投入建设安装的一切设施设备无偿归甲方所有。</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的原因致使乙方无法提供正常服务时，乙方有权要求甲方在一定期限内解决并向甲方提交限期解决通知书，解决时间届时按事故大小在整改通知书上定明，如属甲方责任，甲方应给予乙方合理经济赔偿。如遇不可抗力及双方认定的特殊情况双方可协商处理。</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经表决的方案范围内制定停车管理细则，管理细则需报甲方同意，并在停车场及公共地方进行公示。乙方与甲方严格执行合同规定，若在实际管理中有与以上条文冲突的情况，为更好地服务村民，在不改变大框架的情况下，经双方协商进行适当调整相关内容，调整的相关内容需经相关民主议事决定，做好相关记录，并在村内公示，经公示无异议后，双方另外签订补充协议。</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出租屋业主未交年度垃圾费的，其属下</w:t>
      </w:r>
      <w:r>
        <w:rPr>
          <w:rFonts w:hint="eastAsia" w:ascii="宋体" w:hAnsi="宋体" w:cs="宋体"/>
          <w:color w:val="auto"/>
          <w:sz w:val="24"/>
          <w:szCs w:val="24"/>
          <w:highlight w:val="none"/>
          <w:lang w:eastAsia="zh-CN"/>
        </w:rPr>
        <w:t>租赁</w:t>
      </w:r>
      <w:r>
        <w:rPr>
          <w:rFonts w:hint="eastAsia" w:ascii="宋体" w:hAnsi="宋体" w:eastAsia="宋体" w:cs="宋体"/>
          <w:color w:val="auto"/>
          <w:sz w:val="24"/>
          <w:szCs w:val="24"/>
          <w:highlight w:val="none"/>
        </w:rPr>
        <w:t>的租客的车辆不能录入登记。</w:t>
      </w:r>
    </w:p>
    <w:p>
      <w:pPr>
        <w:pStyle w:val="30"/>
        <w:numPr>
          <w:ilvl w:val="0"/>
          <w:numId w:val="41"/>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为缓解停车位压力，经甲方同意，乙方可充分利用村内指定的闲置地规划停车位，若日后甲方对该闲置地有发展规划需要，乙方需无条件配合。如本方案与相关法律法规有冲突的，则按照法律法规适当调整</w:t>
      </w:r>
      <w:r>
        <w:rPr>
          <w:rFonts w:hint="eastAsia" w:ascii="宋体" w:hAnsi="宋体" w:cs="宋体"/>
          <w:color w:val="auto"/>
          <w:sz w:val="24"/>
          <w:szCs w:val="24"/>
          <w:highlight w:val="none"/>
          <w:lang w:eastAsia="zh-CN"/>
        </w:rPr>
        <w:t>。</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提出异议的时间和方法</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甲方在服务期内如对服务质量有异议时，即向乙方提出书面异议。</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乙方在甲方提出书面异议之日起3天内负责处理并函复甲方处理情况，否则，即视为默认甲方提出的异议和处理意见。</w:t>
      </w:r>
    </w:p>
    <w:p>
      <w:pPr>
        <w:pStyle w:val="30"/>
        <w:numPr>
          <w:ilvl w:val="0"/>
          <w:numId w:val="42"/>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利用专业优势和信息不对称之便，以不道德的手段，故意隐瞒和掩盖自身缔约过失，违背投标承诺和未尽义务，损害了甲方的合法权益，甲方在任何时候均可追究乙方的违约责任并索取赔偿，且不受验收程序、质保期和合同时效的限制。</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争议的解决</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合同履行过程中发生的任何争议，如双方未能通过友好协商解决，应向甲方所在地的人民法院提起诉讼。</w:t>
      </w:r>
    </w:p>
    <w:p>
      <w:pPr>
        <w:pStyle w:val="30"/>
        <w:numPr>
          <w:ilvl w:val="0"/>
          <w:numId w:val="43"/>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法院审理期间，除提交法院审理的事项外，其它无争议的事项和条款仍应继续履行。</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税费</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与本合同相关的一切税费及不可预见费用均由乙方负担。</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合同生效</w:t>
      </w:r>
    </w:p>
    <w:p>
      <w:pPr>
        <w:pStyle w:val="35"/>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本合同自甲乙双方法定代表人或其授权代表签字并盖章之日起生效。</w:t>
      </w:r>
    </w:p>
    <w:p>
      <w:pPr>
        <w:pStyle w:val="35"/>
        <w:numPr>
          <w:ilvl w:val="0"/>
          <w:numId w:val="31"/>
        </w:numPr>
        <w:spacing w:before="240" w:beforeLines="100" w:after="120" w:afterLines="5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所有经一方或双方签署确认的文件（包括会议纪要、补充协议、往来信函）、采购文件、要约文件和响应承诺文件、合同附件及《</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》均为本合同不可分割的有效组成部分，具有法律效力和履约义务，其缔约生效日期为有效签署或盖章确认之日期。</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如一方地址、电话、传真号码有变更，应在变更当日内书面通知对方，否则，应承担相应责任。</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未经甲方书面同意，乙方不得擅自向第三方转让本合同任何义务。</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本合同一式份，甲方执份、乙方执份。</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本合同共计页A4纸张，缺页之合同为无效合同。</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本合同签约履约地点：广东省佛山市</w:t>
      </w:r>
      <w:r>
        <w:rPr>
          <w:rFonts w:hint="eastAsia" w:ascii="宋体" w:hAnsi="宋体" w:cs="宋体"/>
          <w:color w:val="auto"/>
          <w:sz w:val="24"/>
          <w:szCs w:val="24"/>
          <w:highlight w:val="none"/>
          <w:lang w:eastAsia="zh-CN"/>
        </w:rPr>
        <w:t>禅城区</w:t>
      </w:r>
      <w:r>
        <w:rPr>
          <w:rFonts w:hint="eastAsia" w:ascii="宋体" w:hAnsi="宋体" w:eastAsia="宋体" w:cs="宋体"/>
          <w:color w:val="auto"/>
          <w:sz w:val="24"/>
          <w:szCs w:val="24"/>
          <w:highlight w:val="none"/>
        </w:rPr>
        <w:t>。</w:t>
      </w:r>
    </w:p>
    <w:p>
      <w:pPr>
        <w:pStyle w:val="30"/>
        <w:numPr>
          <w:ilvl w:val="0"/>
          <w:numId w:val="4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双方均已对以上各条款及附件作充分了解，并明确理解由此而产生的相关权责。</w:t>
      </w:r>
    </w:p>
    <w:p>
      <w:pPr>
        <w:pStyle w:val="35"/>
        <w:spacing w:line="360" w:lineRule="auto"/>
        <w:rPr>
          <w:rFonts w:hint="eastAsia" w:eastAsia="宋体"/>
          <w:color w:val="auto"/>
          <w:sz w:val="24"/>
          <w:szCs w:val="24"/>
          <w:highlight w:val="none"/>
          <w:lang w:eastAsia="zh-CN"/>
        </w:rPr>
      </w:pPr>
    </w:p>
    <w:tbl>
      <w:tblPr>
        <w:tblStyle w:val="19"/>
        <w:tblW w:w="9360" w:type="dxa"/>
        <w:tblInd w:w="-72"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rPr>
          <w:trHeight w:val="2565" w:hRule="atLeast"/>
        </w:trPr>
        <w:tc>
          <w:tcPr>
            <w:tcW w:w="4680" w:type="dxa"/>
            <w:tcBorders>
              <w:top w:val="single" w:color="auto" w:sz="4" w:space="0"/>
              <w:left w:val="single" w:color="auto" w:sz="4" w:space="0"/>
              <w:bottom w:val="single" w:color="auto" w:sz="4" w:space="0"/>
              <w:right w:val="single" w:color="auto" w:sz="4" w:space="0"/>
            </w:tcBorders>
            <w:noWrap w:val="0"/>
            <w:vAlign w:val="top"/>
          </w:tcPr>
          <w:p>
            <w:pPr>
              <w:pStyle w:val="35"/>
              <w:spacing w:line="480" w:lineRule="auto"/>
              <w:rPr>
                <w:rFonts w:hint="eastAsia"/>
                <w:b/>
                <w:bCs/>
                <w:color w:val="auto"/>
                <w:sz w:val="24"/>
                <w:szCs w:val="24"/>
                <w:highlight w:val="none"/>
              </w:rPr>
            </w:pPr>
            <w:r>
              <w:rPr>
                <w:rFonts w:hint="eastAsia"/>
                <w:b/>
                <w:bCs/>
                <w:color w:val="auto"/>
                <w:sz w:val="24"/>
                <w:szCs w:val="24"/>
                <w:highlight w:val="none"/>
              </w:rPr>
              <w:t>甲方（盖章）：</w:t>
            </w:r>
          </w:p>
          <w:p>
            <w:pPr>
              <w:pStyle w:val="35"/>
              <w:spacing w:line="360" w:lineRule="auto"/>
              <w:rPr>
                <w:color w:val="auto"/>
                <w:sz w:val="24"/>
                <w:szCs w:val="24"/>
                <w:highlight w:val="none"/>
                <w:u w:val="dotted"/>
              </w:rPr>
            </w:pPr>
            <w:r>
              <w:rPr>
                <w:rFonts w:hint="eastAsia"/>
                <w:color w:val="auto"/>
                <w:sz w:val="24"/>
                <w:szCs w:val="24"/>
                <w:highlight w:val="none"/>
              </w:rPr>
              <w:t>代表：</w:t>
            </w:r>
            <w:r>
              <w:rPr>
                <w:color w:val="auto"/>
                <w:sz w:val="24"/>
                <w:szCs w:val="24"/>
                <w:highlight w:val="none"/>
              </w:rPr>
              <w:t> </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c>
          <w:tcPr>
            <w:tcW w:w="4680" w:type="dxa"/>
            <w:tcBorders>
              <w:top w:val="single" w:color="auto" w:sz="4" w:space="0"/>
              <w:left w:val="nil"/>
              <w:bottom w:val="single" w:color="auto" w:sz="4" w:space="0"/>
              <w:right w:val="single" w:color="auto" w:sz="4" w:space="0"/>
            </w:tcBorders>
            <w:noWrap w:val="0"/>
            <w:vAlign w:val="top"/>
          </w:tcPr>
          <w:p>
            <w:pPr>
              <w:pStyle w:val="35"/>
              <w:spacing w:line="480" w:lineRule="auto"/>
              <w:rPr>
                <w:b/>
                <w:bCs/>
                <w:color w:val="auto"/>
                <w:sz w:val="24"/>
                <w:szCs w:val="24"/>
                <w:highlight w:val="none"/>
              </w:rPr>
            </w:pPr>
            <w:r>
              <w:rPr>
                <w:rFonts w:hint="eastAsia"/>
                <w:b/>
                <w:bCs/>
                <w:color w:val="auto"/>
                <w:sz w:val="24"/>
                <w:szCs w:val="24"/>
                <w:highlight w:val="none"/>
              </w:rPr>
              <w:t>乙方（盖章）：</w:t>
            </w:r>
          </w:p>
          <w:p>
            <w:pPr>
              <w:pStyle w:val="35"/>
              <w:spacing w:line="360" w:lineRule="auto"/>
              <w:rPr>
                <w:rFonts w:hint="eastAsia" w:eastAsia="宋体"/>
                <w:color w:val="auto"/>
                <w:sz w:val="24"/>
                <w:szCs w:val="24"/>
                <w:highlight w:val="none"/>
                <w:u w:val="dotted"/>
                <w:lang w:eastAsia="zh-CN"/>
              </w:rPr>
            </w:pPr>
            <w:r>
              <w:rPr>
                <w:rFonts w:hint="eastAsia"/>
                <w:color w:val="auto"/>
                <w:sz w:val="24"/>
                <w:szCs w:val="24"/>
                <w:highlight w:val="none"/>
              </w:rPr>
              <w:t>代表：</w:t>
            </w:r>
          </w:p>
          <w:p>
            <w:pPr>
              <w:pStyle w:val="35"/>
              <w:rPr>
                <w:color w:val="auto"/>
                <w:sz w:val="24"/>
                <w:szCs w:val="24"/>
                <w:highlight w:val="none"/>
              </w:rPr>
            </w:pPr>
            <w:r>
              <w:rPr>
                <w:rFonts w:hint="eastAsia"/>
                <w:color w:val="auto"/>
                <w:sz w:val="24"/>
                <w:szCs w:val="24"/>
                <w:highlight w:val="none"/>
              </w:rPr>
              <w:t>地址：</w:t>
            </w:r>
          </w:p>
          <w:p>
            <w:pPr>
              <w:pStyle w:val="35"/>
              <w:rPr>
                <w:color w:val="auto"/>
                <w:sz w:val="24"/>
                <w:szCs w:val="24"/>
                <w:highlight w:val="none"/>
              </w:rPr>
            </w:pPr>
            <w:r>
              <w:rPr>
                <w:rFonts w:hint="eastAsia"/>
                <w:color w:val="auto"/>
                <w:sz w:val="24"/>
                <w:szCs w:val="24"/>
                <w:highlight w:val="none"/>
              </w:rPr>
              <w:t>电话：</w:t>
            </w:r>
          </w:p>
          <w:p>
            <w:pPr>
              <w:pStyle w:val="35"/>
              <w:rPr>
                <w:color w:val="auto"/>
                <w:sz w:val="24"/>
                <w:szCs w:val="24"/>
                <w:highlight w:val="none"/>
              </w:rPr>
            </w:pPr>
            <w:r>
              <w:rPr>
                <w:rFonts w:hint="eastAsia"/>
                <w:color w:val="auto"/>
                <w:sz w:val="24"/>
                <w:szCs w:val="24"/>
                <w:highlight w:val="none"/>
              </w:rPr>
              <w:t>传真：</w:t>
            </w:r>
          </w:p>
          <w:p>
            <w:pPr>
              <w:pStyle w:val="35"/>
              <w:spacing w:line="360" w:lineRule="auto"/>
              <w:rPr>
                <w:b/>
                <w:bCs/>
                <w:color w:val="auto"/>
                <w:sz w:val="24"/>
                <w:szCs w:val="24"/>
                <w:highlight w:val="none"/>
              </w:rPr>
            </w:pPr>
            <w:r>
              <w:rPr>
                <w:rFonts w:hint="eastAsia"/>
                <w:color w:val="auto"/>
                <w:sz w:val="24"/>
                <w:szCs w:val="24"/>
                <w:highlight w:val="none"/>
              </w:rPr>
              <w:t>日期：年月日</w:t>
            </w:r>
          </w:p>
        </w:tc>
      </w:tr>
      <w:tr>
        <w:tblPrEx>
          <w:tblCellMar>
            <w:top w:w="0" w:type="dxa"/>
            <w:left w:w="108" w:type="dxa"/>
            <w:bottom w:w="0" w:type="dxa"/>
            <w:right w:w="108" w:type="dxa"/>
          </w:tblCellMar>
        </w:tblPrEx>
        <w:trPr>
          <w:trHeight w:val="1695" w:hRule="atLeast"/>
        </w:trPr>
        <w:tc>
          <w:tcPr>
            <w:tcW w:w="9360" w:type="dxa"/>
            <w:gridSpan w:val="2"/>
            <w:tcBorders>
              <w:top w:val="single" w:color="auto" w:sz="4" w:space="0"/>
              <w:left w:val="single" w:color="auto" w:sz="4" w:space="0"/>
              <w:bottom w:val="single" w:color="auto" w:sz="4" w:space="0"/>
              <w:right w:val="single" w:color="auto" w:sz="4" w:space="0"/>
            </w:tcBorders>
            <w:noWrap w:val="0"/>
            <w:vAlign w:val="top"/>
          </w:tcPr>
          <w:p>
            <w:pPr>
              <w:pStyle w:val="35"/>
              <w:rPr>
                <w:color w:val="auto"/>
                <w:sz w:val="24"/>
                <w:szCs w:val="24"/>
                <w:highlight w:val="none"/>
              </w:rPr>
            </w:pPr>
          </w:p>
          <w:p>
            <w:pPr>
              <w:pStyle w:val="35"/>
              <w:rPr>
                <w:b/>
                <w:bCs/>
                <w:color w:val="auto"/>
                <w:sz w:val="24"/>
                <w:szCs w:val="24"/>
                <w:highlight w:val="none"/>
              </w:rPr>
            </w:pPr>
            <w:r>
              <w:rPr>
                <w:rFonts w:hint="eastAsia"/>
                <w:b/>
                <w:bCs/>
                <w:color w:val="auto"/>
                <w:sz w:val="24"/>
                <w:szCs w:val="24"/>
                <w:highlight w:val="none"/>
                <w:lang w:eastAsia="zh-CN"/>
              </w:rPr>
              <w:t>甲方收款</w:t>
            </w:r>
            <w:r>
              <w:rPr>
                <w:rFonts w:hint="eastAsia"/>
                <w:b/>
                <w:bCs/>
                <w:color w:val="auto"/>
                <w:sz w:val="24"/>
                <w:szCs w:val="24"/>
                <w:highlight w:val="none"/>
              </w:rPr>
              <w:t>专户为：</w:t>
            </w:r>
          </w:p>
          <w:p>
            <w:pPr>
              <w:pStyle w:val="35"/>
              <w:rPr>
                <w:color w:val="auto"/>
                <w:sz w:val="24"/>
                <w:szCs w:val="24"/>
                <w:highlight w:val="none"/>
              </w:rPr>
            </w:pPr>
          </w:p>
          <w:p>
            <w:pPr>
              <w:pStyle w:val="35"/>
              <w:rPr>
                <w:b/>
                <w:bCs/>
                <w:color w:val="auto"/>
                <w:sz w:val="24"/>
                <w:szCs w:val="24"/>
                <w:highlight w:val="none"/>
              </w:rPr>
            </w:pPr>
            <w:r>
              <w:rPr>
                <w:rFonts w:hint="eastAsia"/>
                <w:color w:val="auto"/>
                <w:sz w:val="24"/>
                <w:szCs w:val="24"/>
                <w:highlight w:val="none"/>
              </w:rPr>
              <w:t>开户名称：</w:t>
            </w:r>
          </w:p>
          <w:p>
            <w:pPr>
              <w:pStyle w:val="35"/>
              <w:rPr>
                <w:b/>
                <w:bCs/>
                <w:color w:val="auto"/>
                <w:sz w:val="24"/>
                <w:szCs w:val="24"/>
                <w:highlight w:val="none"/>
              </w:rPr>
            </w:pPr>
            <w:r>
              <w:rPr>
                <w:rFonts w:hint="eastAsia"/>
                <w:color w:val="auto"/>
                <w:sz w:val="24"/>
                <w:szCs w:val="24"/>
                <w:highlight w:val="none"/>
              </w:rPr>
              <w:t>银行</w:t>
            </w:r>
            <w:r>
              <w:rPr>
                <w:rFonts w:hint="eastAsia"/>
                <w:color w:val="auto"/>
                <w:sz w:val="24"/>
                <w:szCs w:val="24"/>
                <w:highlight w:val="none"/>
                <w:lang w:eastAsia="zh-CN"/>
              </w:rPr>
              <w:t>账号</w:t>
            </w:r>
            <w:r>
              <w:rPr>
                <w:rFonts w:hint="eastAsia"/>
                <w:color w:val="auto"/>
                <w:sz w:val="24"/>
                <w:szCs w:val="24"/>
                <w:highlight w:val="none"/>
              </w:rPr>
              <w:t>：</w:t>
            </w:r>
          </w:p>
          <w:p>
            <w:pPr>
              <w:pStyle w:val="35"/>
              <w:spacing w:line="360" w:lineRule="auto"/>
              <w:rPr>
                <w:b/>
                <w:bCs/>
                <w:color w:val="auto"/>
                <w:sz w:val="24"/>
                <w:szCs w:val="24"/>
                <w:highlight w:val="none"/>
              </w:rPr>
            </w:pPr>
            <w:r>
              <w:rPr>
                <w:rFonts w:hint="eastAsia"/>
                <w:color w:val="auto"/>
                <w:sz w:val="24"/>
                <w:szCs w:val="24"/>
                <w:highlight w:val="none"/>
              </w:rPr>
              <w:t>开</w:t>
            </w:r>
            <w:r>
              <w:rPr>
                <w:color w:val="auto"/>
                <w:sz w:val="24"/>
                <w:szCs w:val="24"/>
                <w:highlight w:val="none"/>
              </w:rPr>
              <w:t> </w:t>
            </w:r>
            <w:r>
              <w:rPr>
                <w:rFonts w:hint="eastAsia"/>
                <w:color w:val="auto"/>
                <w:sz w:val="24"/>
                <w:szCs w:val="24"/>
                <w:highlight w:val="none"/>
              </w:rPr>
              <w:t>户</w:t>
            </w:r>
            <w:r>
              <w:rPr>
                <w:color w:val="auto"/>
                <w:sz w:val="24"/>
                <w:szCs w:val="24"/>
                <w:highlight w:val="none"/>
              </w:rPr>
              <w:t> </w:t>
            </w:r>
            <w:r>
              <w:rPr>
                <w:rFonts w:hint="eastAsia"/>
                <w:color w:val="auto"/>
                <w:sz w:val="24"/>
                <w:szCs w:val="24"/>
                <w:highlight w:val="none"/>
              </w:rPr>
              <w:t>行：</w:t>
            </w:r>
          </w:p>
        </w:tc>
      </w:tr>
    </w:tbl>
    <w:p>
      <w:pPr>
        <w:spacing w:line="432" w:lineRule="auto"/>
        <w:rPr>
          <w:rFonts w:ascii="宋体" w:hAnsi="宋体"/>
          <w:color w:val="auto"/>
          <w:highlight w:val="none"/>
        </w:rPr>
      </w:pPr>
    </w:p>
    <w:p>
      <w:pPr>
        <w:rPr>
          <w:rFonts w:ascii="宋体" w:hAnsi="宋体"/>
          <w:color w:val="auto"/>
          <w:highlight w:val="none"/>
        </w:rPr>
      </w:pPr>
    </w:p>
    <w:p>
      <w:pPr>
        <w:spacing w:line="360" w:lineRule="auto"/>
        <w:rPr>
          <w:color w:val="auto"/>
          <w:sz w:val="24"/>
          <w:szCs w:val="24"/>
          <w:highlight w:val="none"/>
        </w:rPr>
      </w:pPr>
      <w:r>
        <w:rPr>
          <w:rFonts w:hint="eastAsia"/>
          <w:b/>
          <w:bCs/>
          <w:color w:val="auto"/>
          <w:sz w:val="24"/>
          <w:szCs w:val="24"/>
          <w:highlight w:val="none"/>
        </w:rPr>
        <w:t>合同附件清单</w:t>
      </w:r>
      <w:r>
        <w:rPr>
          <w:rFonts w:hint="eastAsia"/>
          <w:color w:val="auto"/>
          <w:sz w:val="24"/>
          <w:szCs w:val="24"/>
          <w:highlight w:val="none"/>
        </w:rPr>
        <w:t>（如有，附后；若没有，可删除此部分内容）：</w:t>
      </w:r>
    </w:p>
    <w:p>
      <w:pPr>
        <w:numPr>
          <w:ilvl w:val="0"/>
          <w:numId w:val="45"/>
        </w:numPr>
        <w:tabs>
          <w:tab w:val="left" w:pos="420"/>
        </w:tabs>
        <w:snapToGrid w:val="0"/>
        <w:spacing w:line="360" w:lineRule="auto"/>
        <w:ind w:left="425" w:leftChars="0" w:hanging="425" w:firstLineChars="0"/>
        <w:rPr>
          <w:rFonts w:ascii="宋体" w:hAnsi="宋体"/>
          <w:color w:val="auto"/>
          <w:sz w:val="24"/>
          <w:szCs w:val="24"/>
          <w:highlight w:val="none"/>
          <w:lang w:val="en-GB"/>
        </w:rPr>
      </w:pPr>
      <w:r>
        <w:rPr>
          <w:rFonts w:hint="eastAsia" w:ascii="宋体" w:hAnsi="宋体"/>
          <w:color w:val="auto"/>
          <w:sz w:val="24"/>
          <w:szCs w:val="24"/>
          <w:highlight w:val="none"/>
          <w:lang w:val="en-GB"/>
        </w:rPr>
        <w:t>本合同所有附件均在签订合同时编制，确立依据为</w:t>
      </w:r>
      <w:r>
        <w:rPr>
          <w:rFonts w:hint="eastAsia" w:ascii="宋体" w:hAnsi="宋体"/>
          <w:color w:val="auto"/>
          <w:sz w:val="24"/>
          <w:szCs w:val="24"/>
          <w:highlight w:val="none"/>
          <w:lang w:val="en-GB" w:eastAsia="zh-CN"/>
        </w:rPr>
        <w:t>竞投文件</w:t>
      </w:r>
      <w:r>
        <w:rPr>
          <w:rFonts w:hint="eastAsia" w:ascii="宋体" w:hAnsi="宋体"/>
          <w:color w:val="auto"/>
          <w:sz w:val="24"/>
          <w:szCs w:val="24"/>
          <w:highlight w:val="none"/>
          <w:lang w:val="en-GB"/>
        </w:rPr>
        <w:t>和乙方的</w:t>
      </w:r>
      <w:r>
        <w:rPr>
          <w:rFonts w:hint="eastAsia" w:ascii="宋体" w:hAnsi="宋体"/>
          <w:color w:val="auto"/>
          <w:sz w:val="24"/>
          <w:szCs w:val="24"/>
          <w:highlight w:val="none"/>
          <w:lang w:val="en-GB" w:eastAsia="zh-CN"/>
        </w:rPr>
        <w:t>资格审查</w:t>
      </w:r>
      <w:r>
        <w:rPr>
          <w:rFonts w:hint="eastAsia" w:ascii="宋体" w:hAnsi="宋体"/>
          <w:color w:val="auto"/>
          <w:sz w:val="24"/>
          <w:szCs w:val="24"/>
          <w:highlight w:val="none"/>
          <w:lang w:val="en-GB"/>
        </w:rPr>
        <w:t>文件及相关确认文件；合同附件内容由甲乙双方共同协商确定。</w:t>
      </w:r>
    </w:p>
    <w:p>
      <w:pPr>
        <w:numPr>
          <w:ilvl w:val="0"/>
          <w:numId w:val="45"/>
        </w:numPr>
        <w:tabs>
          <w:tab w:val="left" w:pos="420"/>
        </w:tabs>
        <w:snapToGrid w:val="0"/>
        <w:spacing w:line="360" w:lineRule="auto"/>
        <w:ind w:left="425" w:leftChars="0" w:hanging="425" w:firstLineChars="0"/>
        <w:rPr>
          <w:rFonts w:hint="eastAsia" w:ascii="宋体" w:hAnsi="宋体"/>
          <w:color w:val="auto"/>
          <w:sz w:val="24"/>
          <w:szCs w:val="24"/>
          <w:highlight w:val="none"/>
          <w:lang w:val="en-GB"/>
        </w:rPr>
      </w:pPr>
      <w:r>
        <w:rPr>
          <w:rFonts w:hint="eastAsia" w:ascii="宋体" w:hAnsi="宋体"/>
          <w:color w:val="auto"/>
          <w:sz w:val="24"/>
          <w:szCs w:val="24"/>
          <w:highlight w:val="none"/>
          <w:lang w:val="en-GB"/>
        </w:rPr>
        <w:t>项目重要内容（如：经甲方审核的项目实施方案、项目标的主要内容、乙方提供的参与本项目实施的项目负责人和其他技术人员名单、项目组人员的职称证书和资格证书、项目组人员的联系方式、需求变更说明、培训方案等）可作为附件。</w:t>
      </w:r>
      <w:bookmarkStart w:id="79" w:name="_Toc13502"/>
      <w:bookmarkStart w:id="80" w:name="_Toc13130"/>
      <w:bookmarkStart w:id="81" w:name="_Toc334432597"/>
      <w:bookmarkStart w:id="82" w:name="_Toc15627"/>
    </w:p>
    <w:p>
      <w:pPr>
        <w:rPr>
          <w:rFonts w:hint="eastAsia" w:ascii="宋体" w:hAnsi="宋体"/>
          <w:color w:val="auto"/>
          <w:sz w:val="24"/>
          <w:szCs w:val="24"/>
          <w:highlight w:val="none"/>
          <w:lang w:val="en-GB"/>
        </w:rPr>
      </w:pPr>
      <w:r>
        <w:rPr>
          <w:rFonts w:hint="eastAsia" w:ascii="宋体" w:hAnsi="宋体"/>
          <w:color w:val="auto"/>
          <w:sz w:val="24"/>
          <w:szCs w:val="24"/>
          <w:highlight w:val="none"/>
          <w:lang w:val="en-GB"/>
        </w:rPr>
        <w:br w:type="page"/>
      </w:r>
    </w:p>
    <w:p>
      <w:pPr>
        <w:pStyle w:val="2"/>
        <w:rPr>
          <w:rFonts w:hint="eastAsia"/>
          <w:color w:val="auto"/>
          <w:highlight w:val="none"/>
          <w:lang w:val="en-GB"/>
        </w:rPr>
      </w:pPr>
    </w:p>
    <w:p>
      <w:pPr>
        <w:spacing w:after="120" w:afterLines="50" w:line="360" w:lineRule="auto"/>
        <w:jc w:val="center"/>
        <w:outlineLvl w:val="0"/>
        <w:rPr>
          <w:rFonts w:hint="eastAsia" w:ascii="宋体" w:hAnsi="宋体" w:eastAsia="宋体" w:cs="Times New Roman"/>
          <w:b/>
          <w:color w:val="auto"/>
          <w:kern w:val="2"/>
          <w:sz w:val="36"/>
          <w:szCs w:val="36"/>
          <w:highlight w:val="none"/>
          <w:lang w:val="en-US" w:eastAsia="zh-CN" w:bidi="ar-SA"/>
        </w:rPr>
      </w:pPr>
      <w:bookmarkStart w:id="83" w:name="_Toc27266"/>
      <w:r>
        <w:rPr>
          <w:rFonts w:hint="eastAsia" w:ascii="宋体" w:hAnsi="宋体" w:eastAsia="宋体" w:cs="Times New Roman"/>
          <w:b/>
          <w:color w:val="auto"/>
          <w:kern w:val="2"/>
          <w:sz w:val="36"/>
          <w:szCs w:val="36"/>
          <w:highlight w:val="none"/>
          <w:lang w:val="en-US" w:eastAsia="zh-CN" w:bidi="ar-SA"/>
        </w:rPr>
        <w:t>第五部分资格审查文件格式</w:t>
      </w:r>
      <w:bookmarkEnd w:id="79"/>
      <w:bookmarkEnd w:id="80"/>
      <w:bookmarkEnd w:id="81"/>
      <w:bookmarkEnd w:id="82"/>
      <w:bookmarkEnd w:id="83"/>
    </w:p>
    <w:p>
      <w:pPr>
        <w:widowControl/>
        <w:jc w:val="left"/>
        <w:rPr>
          <w:color w:val="auto"/>
          <w:highlight w:val="none"/>
        </w:rPr>
      </w:pPr>
    </w:p>
    <w:p>
      <w:pPr>
        <w:spacing w:line="360" w:lineRule="auto"/>
        <w:jc w:val="center"/>
        <w:rPr>
          <w:b/>
          <w:color w:val="auto"/>
          <w:sz w:val="32"/>
          <w:szCs w:val="32"/>
          <w:highlight w:val="none"/>
        </w:rPr>
      </w:pPr>
      <w:r>
        <w:rPr>
          <w:rFonts w:hint="eastAsia"/>
          <w:b/>
          <w:color w:val="auto"/>
          <w:sz w:val="32"/>
          <w:szCs w:val="32"/>
          <w:highlight w:val="none"/>
          <w:lang w:eastAsia="zh-CN"/>
        </w:rPr>
        <w:t>资格审查</w:t>
      </w:r>
      <w:r>
        <w:rPr>
          <w:rFonts w:hint="eastAsia"/>
          <w:b/>
          <w:color w:val="auto"/>
          <w:sz w:val="32"/>
          <w:szCs w:val="32"/>
          <w:highlight w:val="none"/>
        </w:rPr>
        <w:t>文件封面及目录部分</w:t>
      </w:r>
    </w:p>
    <w:p>
      <w:pPr>
        <w:spacing w:line="312" w:lineRule="auto"/>
        <w:ind w:firstLine="275" w:firstLineChars="98"/>
        <w:rPr>
          <w:b/>
          <w:color w:val="auto"/>
          <w:sz w:val="28"/>
          <w:szCs w:val="28"/>
          <w:highlight w:val="none"/>
        </w:rPr>
      </w:pPr>
    </w:p>
    <w:p>
      <w:pPr>
        <w:numPr>
          <w:ilvl w:val="0"/>
          <w:numId w:val="46"/>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投标人</w:t>
      </w:r>
      <w:r>
        <w:rPr>
          <w:rFonts w:hint="eastAsia"/>
          <w:b/>
          <w:color w:val="auto"/>
          <w:sz w:val="28"/>
          <w:szCs w:val="28"/>
          <w:highlight w:val="none"/>
        </w:rPr>
        <w:t>应按本《</w:t>
      </w:r>
      <w:r>
        <w:rPr>
          <w:rFonts w:hint="eastAsia"/>
          <w:b/>
          <w:color w:val="auto"/>
          <w:sz w:val="28"/>
          <w:szCs w:val="28"/>
          <w:highlight w:val="none"/>
          <w:lang w:eastAsia="zh-CN"/>
        </w:rPr>
        <w:t>竞投文件</w:t>
      </w:r>
      <w:r>
        <w:rPr>
          <w:rFonts w:hint="eastAsia"/>
          <w:b/>
          <w:color w:val="auto"/>
          <w:sz w:val="28"/>
          <w:szCs w:val="28"/>
          <w:highlight w:val="none"/>
        </w:rPr>
        <w:t>》要求，自行设计和编制</w:t>
      </w:r>
      <w:r>
        <w:rPr>
          <w:rFonts w:hint="eastAsia"/>
          <w:b/>
          <w:color w:val="auto"/>
          <w:sz w:val="28"/>
          <w:szCs w:val="28"/>
          <w:highlight w:val="none"/>
          <w:lang w:eastAsia="zh-CN"/>
        </w:rPr>
        <w:t>资格审查</w:t>
      </w:r>
      <w:r>
        <w:rPr>
          <w:rFonts w:hint="eastAsia"/>
          <w:b/>
          <w:color w:val="auto"/>
          <w:sz w:val="28"/>
          <w:szCs w:val="28"/>
          <w:highlight w:val="none"/>
        </w:rPr>
        <w:t>文件的封面和目录部分。</w:t>
      </w:r>
    </w:p>
    <w:p>
      <w:pPr>
        <w:numPr>
          <w:ilvl w:val="0"/>
          <w:numId w:val="46"/>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文件封面上须包含但不限于以下内容：</w:t>
      </w:r>
    </w:p>
    <w:p>
      <w:pPr>
        <w:numPr>
          <w:ilvl w:val="0"/>
          <w:numId w:val="47"/>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项目名称；</w:t>
      </w:r>
    </w:p>
    <w:p>
      <w:pPr>
        <w:numPr>
          <w:ilvl w:val="0"/>
          <w:numId w:val="47"/>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名称；</w:t>
      </w:r>
    </w:p>
    <w:p>
      <w:pPr>
        <w:numPr>
          <w:ilvl w:val="0"/>
          <w:numId w:val="47"/>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负责人或</w:t>
      </w:r>
      <w:r>
        <w:rPr>
          <w:rFonts w:hint="eastAsia" w:ascii="宋体" w:hAnsi="宋体"/>
          <w:color w:val="auto"/>
          <w:sz w:val="24"/>
          <w:highlight w:val="none"/>
          <w:lang w:val="en-GB"/>
        </w:rPr>
        <w:t>授权代表姓名及联系电话（含传真号码）；</w:t>
      </w:r>
    </w:p>
    <w:p>
      <w:pPr>
        <w:numPr>
          <w:ilvl w:val="0"/>
          <w:numId w:val="47"/>
        </w:numPr>
        <w:tabs>
          <w:tab w:val="left" w:pos="1440"/>
        </w:tabs>
        <w:spacing w:line="480" w:lineRule="auto"/>
        <w:ind w:left="454" w:leftChars="0" w:hanging="34" w:firstLineChars="0"/>
        <w:rPr>
          <w:rFonts w:ascii="宋体"/>
          <w:color w:val="auto"/>
          <w:sz w:val="24"/>
          <w:highlight w:val="none"/>
          <w:lang w:val="en-GB"/>
        </w:rPr>
      </w:pPr>
      <w:r>
        <w:rPr>
          <w:rFonts w:hint="eastAsia" w:ascii="宋体" w:hAnsi="宋体"/>
          <w:color w:val="auto"/>
          <w:sz w:val="24"/>
          <w:highlight w:val="none"/>
          <w:lang w:val="en-GB"/>
        </w:rPr>
        <w:t>注明“正本”或“副本”字样。</w:t>
      </w:r>
    </w:p>
    <w:p>
      <w:pPr>
        <w:numPr>
          <w:ilvl w:val="0"/>
          <w:numId w:val="46"/>
        </w:numPr>
        <w:tabs>
          <w:tab w:val="left" w:pos="720"/>
        </w:tabs>
        <w:spacing w:line="480" w:lineRule="auto"/>
        <w:ind w:left="720" w:leftChars="0" w:hanging="540" w:firstLineChars="0"/>
        <w:rPr>
          <w:color w:val="auto"/>
          <w:highlight w:val="none"/>
        </w:rPr>
      </w:pPr>
      <w:r>
        <w:rPr>
          <w:rFonts w:hint="eastAsia"/>
          <w:b/>
          <w:color w:val="auto"/>
          <w:sz w:val="28"/>
          <w:szCs w:val="28"/>
          <w:highlight w:val="none"/>
          <w:lang w:eastAsia="zh-CN"/>
        </w:rPr>
        <w:t>资格审查</w:t>
      </w:r>
      <w:r>
        <w:rPr>
          <w:rFonts w:hint="eastAsia"/>
          <w:b/>
          <w:color w:val="auto"/>
          <w:sz w:val="28"/>
          <w:szCs w:val="28"/>
          <w:highlight w:val="none"/>
        </w:rPr>
        <w:t>文件必须编制目录，且目录必须清晰、准确，与</w:t>
      </w:r>
      <w:r>
        <w:rPr>
          <w:rFonts w:hint="eastAsia"/>
          <w:b/>
          <w:color w:val="auto"/>
          <w:sz w:val="28"/>
          <w:szCs w:val="28"/>
          <w:highlight w:val="none"/>
          <w:lang w:eastAsia="zh-CN"/>
        </w:rPr>
        <w:t>资格审查</w:t>
      </w:r>
      <w:r>
        <w:rPr>
          <w:rFonts w:hint="eastAsia"/>
          <w:b/>
          <w:color w:val="auto"/>
          <w:sz w:val="28"/>
          <w:szCs w:val="28"/>
          <w:highlight w:val="none"/>
        </w:rPr>
        <w:t>文件中的每页所加注的页码相对应。</w:t>
      </w:r>
    </w:p>
    <w:p>
      <w:pPr>
        <w:numPr>
          <w:ilvl w:val="0"/>
          <w:numId w:val="46"/>
        </w:numPr>
        <w:tabs>
          <w:tab w:val="left" w:pos="720"/>
        </w:tabs>
        <w:spacing w:line="480" w:lineRule="auto"/>
        <w:ind w:left="720" w:leftChars="0" w:hanging="540" w:firstLineChars="0"/>
        <w:rPr>
          <w:b/>
          <w:color w:val="auto"/>
          <w:sz w:val="28"/>
          <w:szCs w:val="28"/>
          <w:highlight w:val="none"/>
        </w:rPr>
      </w:pPr>
      <w:r>
        <w:rPr>
          <w:rFonts w:hint="eastAsia"/>
          <w:b/>
          <w:color w:val="auto"/>
          <w:sz w:val="28"/>
          <w:szCs w:val="28"/>
          <w:highlight w:val="none"/>
          <w:lang w:eastAsia="zh-CN"/>
        </w:rPr>
        <w:t>资格审查</w:t>
      </w:r>
      <w:r>
        <w:rPr>
          <w:rFonts w:hint="eastAsia"/>
          <w:b/>
          <w:color w:val="auto"/>
          <w:sz w:val="28"/>
          <w:szCs w:val="28"/>
          <w:highlight w:val="none"/>
        </w:rPr>
        <w:t>文件【正本】和【副本】的封面须加盖</w:t>
      </w:r>
      <w:r>
        <w:rPr>
          <w:rFonts w:hint="eastAsia"/>
          <w:b/>
          <w:color w:val="auto"/>
          <w:sz w:val="28"/>
          <w:szCs w:val="28"/>
          <w:highlight w:val="none"/>
          <w:lang w:eastAsia="zh-CN"/>
        </w:rPr>
        <w:t>投标人</w:t>
      </w:r>
      <w:r>
        <w:rPr>
          <w:rFonts w:hint="eastAsia"/>
          <w:b/>
          <w:color w:val="auto"/>
          <w:sz w:val="28"/>
          <w:szCs w:val="28"/>
          <w:highlight w:val="none"/>
        </w:rPr>
        <w:t>公章。</w:t>
      </w:r>
    </w:p>
    <w:p>
      <w:pPr>
        <w:spacing w:line="480" w:lineRule="auto"/>
        <w:ind w:left="180"/>
        <w:rPr>
          <w:color w:val="auto"/>
          <w:highlight w:val="none"/>
        </w:rPr>
      </w:pPr>
    </w:p>
    <w:p>
      <w:pPr>
        <w:spacing w:line="312" w:lineRule="auto"/>
        <w:ind w:firstLine="600" w:firstLineChars="250"/>
        <w:rPr>
          <w:color w:val="auto"/>
          <w:sz w:val="24"/>
          <w:highlight w:val="none"/>
        </w:rPr>
      </w:pPr>
    </w:p>
    <w:p>
      <w:pPr>
        <w:spacing w:line="312" w:lineRule="auto"/>
        <w:ind w:firstLine="600" w:firstLineChars="250"/>
        <w:rPr>
          <w:color w:val="auto"/>
          <w:sz w:val="24"/>
          <w:highlight w:val="none"/>
        </w:rPr>
      </w:pPr>
    </w:p>
    <w:p>
      <w:pPr>
        <w:spacing w:line="360" w:lineRule="auto"/>
        <w:ind w:left="551" w:hanging="551" w:hangingChars="196"/>
        <w:rPr>
          <w:rFonts w:ascii="宋体"/>
          <w:b/>
          <w:bCs/>
          <w:color w:val="auto"/>
          <w:sz w:val="28"/>
          <w:szCs w:val="28"/>
          <w:highlight w:val="none"/>
        </w:rPr>
      </w:pPr>
      <w:r>
        <w:rPr>
          <w:rFonts w:hint="eastAsia" w:ascii="宋体" w:hAnsi="宋体"/>
          <w:b/>
          <w:bCs/>
          <w:color w:val="auto"/>
          <w:sz w:val="28"/>
          <w:szCs w:val="28"/>
          <w:highlight w:val="none"/>
        </w:rPr>
        <w:t>注：</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应按本部分的格式内容进行排版和编制《</w:t>
      </w:r>
      <w:r>
        <w:rPr>
          <w:rFonts w:hint="eastAsia" w:ascii="宋体" w:hAnsi="宋体"/>
          <w:b/>
          <w:bCs/>
          <w:color w:val="auto"/>
          <w:sz w:val="28"/>
          <w:szCs w:val="28"/>
          <w:highlight w:val="none"/>
          <w:lang w:eastAsia="zh-CN"/>
        </w:rPr>
        <w:t>资格审查</w:t>
      </w:r>
      <w:r>
        <w:rPr>
          <w:rFonts w:hint="eastAsia" w:ascii="宋体" w:hAnsi="宋体"/>
          <w:b/>
          <w:bCs/>
          <w:color w:val="auto"/>
          <w:sz w:val="28"/>
          <w:szCs w:val="28"/>
          <w:highlight w:val="none"/>
        </w:rPr>
        <w:t>文件》，如属于格式外的，或本部分未提供具体格式的，</w:t>
      </w:r>
      <w:r>
        <w:rPr>
          <w:rFonts w:hint="eastAsia" w:ascii="宋体" w:hAnsi="宋体"/>
          <w:b/>
          <w:bCs/>
          <w:color w:val="auto"/>
          <w:sz w:val="28"/>
          <w:szCs w:val="28"/>
          <w:highlight w:val="none"/>
          <w:lang w:eastAsia="zh-CN"/>
        </w:rPr>
        <w:t>投标人</w:t>
      </w:r>
      <w:r>
        <w:rPr>
          <w:rFonts w:hint="eastAsia" w:ascii="宋体" w:hAnsi="宋体"/>
          <w:b/>
          <w:bCs/>
          <w:color w:val="auto"/>
          <w:sz w:val="28"/>
          <w:szCs w:val="28"/>
          <w:highlight w:val="none"/>
        </w:rPr>
        <w:t>可根据</w:t>
      </w:r>
      <w:r>
        <w:rPr>
          <w:rFonts w:hint="eastAsia" w:ascii="宋体" w:hAnsi="宋体"/>
          <w:b/>
          <w:bCs/>
          <w:color w:val="auto"/>
          <w:sz w:val="28"/>
          <w:szCs w:val="28"/>
          <w:highlight w:val="none"/>
          <w:lang w:eastAsia="zh-CN"/>
        </w:rPr>
        <w:t>竞投</w:t>
      </w:r>
      <w:r>
        <w:rPr>
          <w:rFonts w:hint="eastAsia" w:ascii="宋体" w:hAnsi="宋体"/>
          <w:b/>
          <w:bCs/>
          <w:color w:val="auto"/>
          <w:sz w:val="28"/>
          <w:szCs w:val="28"/>
          <w:highlight w:val="none"/>
        </w:rPr>
        <w:t>方案或内容，针对评审子项要求，自行拟定具体格式和设计排版。</w:t>
      </w:r>
    </w:p>
    <w:p>
      <w:pPr>
        <w:spacing w:line="360" w:lineRule="auto"/>
        <w:ind w:left="551" w:hanging="551" w:hangingChars="196"/>
        <w:jc w:val="center"/>
        <w:outlineLvl w:val="1"/>
        <w:rPr>
          <w:rFonts w:ascii="宋体"/>
          <w:b/>
          <w:color w:val="auto"/>
          <w:sz w:val="36"/>
          <w:szCs w:val="36"/>
          <w:highlight w:val="none"/>
        </w:rPr>
      </w:pPr>
      <w:r>
        <w:rPr>
          <w:rFonts w:ascii="宋体"/>
          <w:b/>
          <w:bCs/>
          <w:color w:val="auto"/>
          <w:sz w:val="28"/>
          <w:szCs w:val="28"/>
          <w:highlight w:val="none"/>
        </w:rPr>
        <w:br w:type="page"/>
      </w:r>
      <w:bookmarkStart w:id="84" w:name="_Toc10343"/>
      <w:bookmarkStart w:id="85" w:name="_Toc29336"/>
      <w:bookmarkStart w:id="86" w:name="_Toc334432598"/>
      <w:bookmarkStart w:id="87" w:name="_Toc30381"/>
      <w:bookmarkStart w:id="88" w:name="_Toc24041"/>
      <w:bookmarkStart w:id="89" w:name="_Toc31603"/>
      <w:bookmarkStart w:id="90" w:name="_Toc1019"/>
      <w:bookmarkStart w:id="91" w:name="_Toc28252"/>
      <w:r>
        <w:rPr>
          <w:rFonts w:hint="eastAsia" w:ascii="宋体" w:hAnsi="宋体"/>
          <w:b/>
          <w:bCs/>
          <w:color w:val="auto"/>
          <w:sz w:val="36"/>
          <w:szCs w:val="36"/>
          <w:highlight w:val="none"/>
        </w:rPr>
        <w:t>资格性文件</w:t>
      </w:r>
      <w:bookmarkEnd w:id="84"/>
      <w:bookmarkEnd w:id="85"/>
      <w:bookmarkEnd w:id="86"/>
      <w:bookmarkEnd w:id="87"/>
      <w:bookmarkEnd w:id="88"/>
      <w:bookmarkEnd w:id="89"/>
      <w:bookmarkEnd w:id="90"/>
      <w:bookmarkEnd w:id="91"/>
      <w:bookmarkStart w:id="92" w:name="OLE_LINK1"/>
    </w:p>
    <w:p>
      <w:pPr>
        <w:snapToGrid w:val="0"/>
        <w:spacing w:line="300" w:lineRule="auto"/>
        <w:jc w:val="center"/>
        <w:rPr>
          <w:rFonts w:ascii="宋体"/>
          <w:b/>
          <w:color w:val="auto"/>
          <w:sz w:val="32"/>
          <w:szCs w:val="32"/>
          <w:highlight w:val="none"/>
        </w:rPr>
      </w:pPr>
      <w:r>
        <w:rPr>
          <w:rFonts w:hint="eastAsia" w:ascii="宋体" w:hAnsi="宋体"/>
          <w:b/>
          <w:color w:val="auto"/>
          <w:sz w:val="32"/>
          <w:szCs w:val="32"/>
          <w:highlight w:val="none"/>
        </w:rPr>
        <w:t>资格性文件清单</w:t>
      </w:r>
    </w:p>
    <w:tbl>
      <w:tblPr>
        <w:tblStyle w:val="19"/>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4"/>
        <w:gridCol w:w="4898"/>
        <w:gridCol w:w="871"/>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9" w:hRule="atLeast"/>
          <w:jc w:val="center"/>
        </w:trPr>
        <w:tc>
          <w:tcPr>
            <w:tcW w:w="675" w:type="dxa"/>
            <w:shd w:val="clear" w:color="auto" w:fill="F3F3F3"/>
            <w:noWrap w:val="0"/>
            <w:vAlign w:val="center"/>
          </w:tcPr>
          <w:p>
            <w:pPr>
              <w:ind w:left="-10" w:leftChars="-40" w:right="-99" w:rightChars="-47" w:hanging="74" w:hangingChars="35"/>
              <w:jc w:val="center"/>
              <w:rPr>
                <w:rFonts w:ascii="宋体"/>
                <w:b/>
                <w:bCs/>
                <w:color w:val="auto"/>
                <w:szCs w:val="21"/>
                <w:highlight w:val="none"/>
              </w:rPr>
            </w:pPr>
            <w:r>
              <w:rPr>
                <w:rFonts w:hint="eastAsia" w:ascii="宋体" w:hAnsi="宋体"/>
                <w:b/>
                <w:bCs/>
                <w:color w:val="auto"/>
                <w:szCs w:val="21"/>
                <w:highlight w:val="none"/>
              </w:rPr>
              <w:t>序号</w:t>
            </w:r>
          </w:p>
        </w:tc>
        <w:tc>
          <w:tcPr>
            <w:tcW w:w="2204" w:type="dxa"/>
            <w:tcBorders>
              <w:righ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文件名称</w:t>
            </w:r>
          </w:p>
        </w:tc>
        <w:tc>
          <w:tcPr>
            <w:tcW w:w="4898" w:type="dxa"/>
            <w:tcBorders>
              <w:left w:val="single" w:color="auto" w:sz="4" w:space="0"/>
            </w:tcBorders>
            <w:shd w:val="clear" w:color="auto" w:fill="F3F3F3"/>
            <w:noWrap w:val="0"/>
            <w:vAlign w:val="center"/>
          </w:tcPr>
          <w:p>
            <w:pPr>
              <w:pStyle w:val="26"/>
              <w:keepNext w:val="0"/>
              <w:adjustRightInd/>
              <w:spacing w:before="0" w:after="0" w:line="240" w:lineRule="auto"/>
              <w:ind w:firstLine="422"/>
              <w:textAlignment w:val="auto"/>
              <w:rPr>
                <w:rFonts w:ascii="宋体"/>
                <w:b/>
                <w:bCs/>
                <w:color w:val="auto"/>
                <w:spacing w:val="0"/>
                <w:kern w:val="2"/>
                <w:sz w:val="21"/>
                <w:szCs w:val="21"/>
                <w:highlight w:val="none"/>
              </w:rPr>
            </w:pPr>
            <w:r>
              <w:rPr>
                <w:rFonts w:hint="eastAsia" w:ascii="宋体" w:hAnsi="宋体"/>
                <w:b/>
                <w:bCs/>
                <w:color w:val="auto"/>
                <w:spacing w:val="0"/>
                <w:kern w:val="2"/>
                <w:sz w:val="21"/>
                <w:szCs w:val="21"/>
                <w:highlight w:val="none"/>
              </w:rPr>
              <w:t>文件内容要求</w:t>
            </w:r>
          </w:p>
        </w:tc>
        <w:tc>
          <w:tcPr>
            <w:tcW w:w="871"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数量</w:t>
            </w:r>
          </w:p>
        </w:tc>
        <w:tc>
          <w:tcPr>
            <w:tcW w:w="1147" w:type="dxa"/>
            <w:shd w:val="clear" w:color="auto" w:fill="F3F3F3"/>
            <w:noWrap w:val="0"/>
            <w:vAlign w:val="center"/>
          </w:tcPr>
          <w:p>
            <w:pPr>
              <w:jc w:val="center"/>
              <w:rPr>
                <w:rFonts w:ascii="宋体"/>
                <w:b/>
                <w:bCs/>
                <w:color w:val="auto"/>
                <w:szCs w:val="21"/>
                <w:highlight w:val="none"/>
              </w:rPr>
            </w:pPr>
            <w:r>
              <w:rPr>
                <w:rFonts w:hint="eastAsia" w:ascii="宋体" w:hAnsi="宋体"/>
                <w:b/>
                <w:bCs/>
                <w:color w:val="auto"/>
                <w:szCs w:val="21"/>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1.1</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w:t>
            </w:r>
            <w:r>
              <w:rPr>
                <w:rFonts w:hint="eastAsia" w:ascii="宋体" w:hAnsi="宋体"/>
                <w:color w:val="auto"/>
                <w:sz w:val="24"/>
                <w:szCs w:val="24"/>
                <w:highlight w:val="none"/>
              </w:rPr>
              <w:t>负责人资格证明书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1.2</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法定代表人授权书</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675" w:type="dxa"/>
            <w:noWrap w:val="0"/>
            <w:vAlign w:val="center"/>
          </w:tcPr>
          <w:p>
            <w:pPr>
              <w:rPr>
                <w:rFonts w:ascii="宋体"/>
                <w:color w:val="auto"/>
                <w:szCs w:val="21"/>
                <w:highlight w:val="none"/>
              </w:rPr>
            </w:pPr>
            <w:r>
              <w:rPr>
                <w:rFonts w:ascii="宋体" w:hAnsi="宋体"/>
                <w:color w:val="auto"/>
                <w:szCs w:val="21"/>
                <w:highlight w:val="none"/>
              </w:rPr>
              <w:t>1.3</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竞投</w:t>
            </w:r>
            <w:r>
              <w:rPr>
                <w:rFonts w:hint="eastAsia" w:ascii="宋体" w:hAnsi="宋体"/>
                <w:color w:val="auto"/>
                <w:sz w:val="24"/>
                <w:szCs w:val="24"/>
                <w:highlight w:val="none"/>
              </w:rPr>
              <w:t>承诺函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restart"/>
            <w:noWrap w:val="0"/>
            <w:vAlign w:val="center"/>
          </w:tcPr>
          <w:p>
            <w:pPr>
              <w:tabs>
                <w:tab w:val="left" w:pos="180"/>
              </w:tabs>
              <w:rPr>
                <w:rFonts w:ascii="宋体"/>
                <w:color w:val="auto"/>
                <w:szCs w:val="21"/>
                <w:highlight w:val="none"/>
              </w:rPr>
            </w:pPr>
            <w:r>
              <w:rPr>
                <w:rFonts w:ascii="宋体" w:hAnsi="宋体"/>
                <w:color w:val="auto"/>
                <w:szCs w:val="21"/>
                <w:highlight w:val="none"/>
              </w:rPr>
              <w:t>1.4</w:t>
            </w:r>
          </w:p>
        </w:tc>
        <w:tc>
          <w:tcPr>
            <w:tcW w:w="2204" w:type="dxa"/>
            <w:tcBorders>
              <w:righ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投标人资格声明函</w:t>
            </w:r>
          </w:p>
        </w:tc>
        <w:tc>
          <w:tcPr>
            <w:tcW w:w="4898" w:type="dxa"/>
            <w:tcBorders>
              <w:left w:val="single" w:color="auto" w:sz="4" w:space="0"/>
            </w:tcBorders>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按对应格式文件签署、盖章</w:t>
            </w:r>
          </w:p>
        </w:tc>
        <w:tc>
          <w:tcPr>
            <w:tcW w:w="871" w:type="dxa"/>
            <w:noWrap w:val="0"/>
            <w:vAlign w:val="center"/>
          </w:tcPr>
          <w:p>
            <w:pPr>
              <w:jc w:val="center"/>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atLeast"/>
          <w:jc w:val="center"/>
        </w:trPr>
        <w:tc>
          <w:tcPr>
            <w:tcW w:w="675" w:type="dxa"/>
            <w:vMerge w:val="continue"/>
            <w:noWrap w:val="0"/>
            <w:vAlign w:val="center"/>
          </w:tcPr>
          <w:p>
            <w:pPr>
              <w:tabs>
                <w:tab w:val="left" w:pos="180"/>
              </w:tabs>
              <w:rPr>
                <w:rFonts w:ascii="宋体" w:hAnsi="宋体"/>
                <w:color w:val="auto"/>
                <w:szCs w:val="21"/>
                <w:highlight w:val="none"/>
              </w:rPr>
            </w:pPr>
          </w:p>
        </w:tc>
        <w:tc>
          <w:tcPr>
            <w:tcW w:w="2204" w:type="dxa"/>
            <w:tcBorders>
              <w:righ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投标人资格声明函附件资料</w:t>
            </w:r>
          </w:p>
        </w:tc>
        <w:tc>
          <w:tcPr>
            <w:tcW w:w="4898" w:type="dxa"/>
            <w:tcBorders>
              <w:left w:val="single" w:color="auto"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1.营业执照副本复印件</w:t>
            </w:r>
          </w:p>
          <w:p>
            <w:pPr>
              <w:jc w:val="center"/>
              <w:rPr>
                <w:rFonts w:ascii="宋体"/>
                <w:color w:val="auto"/>
                <w:sz w:val="24"/>
                <w:szCs w:val="24"/>
                <w:highlight w:val="none"/>
              </w:rPr>
            </w:pPr>
            <w:r>
              <w:rPr>
                <w:rFonts w:hint="eastAsia" w:ascii="宋体" w:hAnsi="宋体"/>
                <w:color w:val="auto"/>
                <w:sz w:val="24"/>
                <w:szCs w:val="24"/>
                <w:highlight w:val="none"/>
              </w:rPr>
              <w:t>2.相关信用证明文件</w:t>
            </w:r>
          </w:p>
        </w:tc>
        <w:tc>
          <w:tcPr>
            <w:tcW w:w="871"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各</w:t>
            </w:r>
            <w:r>
              <w:rPr>
                <w:rFonts w:hint="eastAsia" w:ascii="宋体" w:hAnsi="宋体"/>
                <w:color w:val="auto"/>
                <w:sz w:val="24"/>
                <w:szCs w:val="24"/>
                <w:highlight w:val="none"/>
                <w:lang w:val="en-US" w:eastAsia="zh-CN"/>
              </w:rPr>
              <w:t>1份</w:t>
            </w:r>
          </w:p>
        </w:tc>
        <w:tc>
          <w:tcPr>
            <w:tcW w:w="1147" w:type="dxa"/>
            <w:noWrap w:val="0"/>
            <w:vAlign w:val="center"/>
          </w:tcPr>
          <w:p>
            <w:pPr>
              <w:jc w:val="center"/>
              <w:rPr>
                <w:rFonts w:ascii="宋体"/>
                <w:color w:val="auto"/>
                <w:sz w:val="24"/>
                <w:szCs w:val="24"/>
                <w:highlight w:val="none"/>
              </w:rPr>
            </w:pPr>
            <w:r>
              <w:rPr>
                <w:rFonts w:hint="eastAsia" w:ascii="宋体" w:hAnsi="宋体"/>
                <w:color w:val="auto"/>
                <w:sz w:val="24"/>
                <w:szCs w:val="24"/>
                <w:highlight w:val="none"/>
                <w:lang w:eastAsia="zh-CN"/>
              </w:rPr>
              <w:t>复印件</w:t>
            </w:r>
          </w:p>
        </w:tc>
      </w:tr>
    </w:tbl>
    <w:p>
      <w:pPr>
        <w:pStyle w:val="8"/>
        <w:spacing w:afterLines="50" w:line="360" w:lineRule="auto"/>
        <w:rPr>
          <w:b/>
          <w:bCs/>
          <w:color w:val="auto"/>
          <w:sz w:val="24"/>
          <w:szCs w:val="24"/>
          <w:highlight w:val="none"/>
        </w:rPr>
      </w:pPr>
      <w:r>
        <w:rPr>
          <w:rFonts w:hint="eastAsia"/>
          <w:b/>
          <w:bCs/>
          <w:color w:val="auto"/>
          <w:sz w:val="24"/>
          <w:szCs w:val="24"/>
          <w:highlight w:val="none"/>
        </w:rPr>
        <w:t>特别提示与要求！</w:t>
      </w:r>
    </w:p>
    <w:p>
      <w:pPr>
        <w:snapToGrid w:val="0"/>
        <w:rPr>
          <w:rFonts w:ascii="宋体"/>
          <w:b/>
          <w:color w:val="auto"/>
          <w:sz w:val="44"/>
          <w:szCs w:val="44"/>
          <w:highlight w:val="none"/>
        </w:rPr>
      </w:pPr>
      <w:r>
        <w:rPr>
          <w:rFonts w:hint="eastAsia"/>
          <w:b/>
          <w:bCs/>
          <w:color w:val="auto"/>
          <w:sz w:val="24"/>
          <w:highlight w:val="none"/>
        </w:rPr>
        <w:t>以上材料将作为</w:t>
      </w:r>
      <w:r>
        <w:rPr>
          <w:rFonts w:hint="eastAsia"/>
          <w:b/>
          <w:bCs/>
          <w:color w:val="auto"/>
          <w:sz w:val="24"/>
          <w:highlight w:val="none"/>
          <w:lang w:eastAsia="zh-CN"/>
        </w:rPr>
        <w:t>投标人</w:t>
      </w:r>
      <w:r>
        <w:rPr>
          <w:rFonts w:hint="eastAsia"/>
          <w:b/>
          <w:bCs/>
          <w:color w:val="auto"/>
          <w:sz w:val="24"/>
          <w:highlight w:val="none"/>
        </w:rPr>
        <w:t>合格性和有效性审核的重要内容之一，</w:t>
      </w:r>
      <w:r>
        <w:rPr>
          <w:rFonts w:hint="eastAsia"/>
          <w:b/>
          <w:bCs/>
          <w:color w:val="auto"/>
          <w:sz w:val="24"/>
          <w:highlight w:val="none"/>
          <w:lang w:eastAsia="zh-CN"/>
        </w:rPr>
        <w:t>投标人</w:t>
      </w:r>
      <w:r>
        <w:rPr>
          <w:rFonts w:hint="eastAsia"/>
          <w:b/>
          <w:bCs/>
          <w:color w:val="auto"/>
          <w:sz w:val="24"/>
          <w:highlight w:val="none"/>
        </w:rPr>
        <w:t>必须严格按照其内容及序列要求在</w:t>
      </w:r>
      <w:r>
        <w:rPr>
          <w:rFonts w:hint="eastAsia"/>
          <w:b/>
          <w:bCs/>
          <w:color w:val="auto"/>
          <w:sz w:val="24"/>
          <w:highlight w:val="none"/>
          <w:lang w:eastAsia="zh-CN"/>
        </w:rPr>
        <w:t>竞投</w:t>
      </w:r>
      <w:r>
        <w:rPr>
          <w:rFonts w:hint="eastAsia"/>
          <w:b/>
          <w:bCs/>
          <w:color w:val="auto"/>
          <w:sz w:val="24"/>
          <w:highlight w:val="none"/>
        </w:rPr>
        <w:t>文件中对应如实提供，对缺漏和不符合项将会直接导致</w:t>
      </w:r>
      <w:r>
        <w:rPr>
          <w:rFonts w:hint="eastAsia"/>
          <w:b/>
          <w:bCs/>
          <w:color w:val="auto"/>
          <w:sz w:val="24"/>
          <w:highlight w:val="none"/>
          <w:lang w:eastAsia="zh-CN"/>
        </w:rPr>
        <w:t>资格审查不合格</w:t>
      </w:r>
      <w:r>
        <w:rPr>
          <w:rFonts w:hint="eastAsia"/>
          <w:b/>
          <w:bCs/>
          <w:color w:val="auto"/>
          <w:sz w:val="24"/>
          <w:highlight w:val="none"/>
        </w:rPr>
        <w:t>！</w:t>
      </w:r>
      <w:bookmarkEnd w:id="92"/>
    </w:p>
    <w:p>
      <w:pPr>
        <w:spacing w:after="240" w:afterLines="100" w:line="360" w:lineRule="auto"/>
        <w:jc w:val="center"/>
        <w:outlineLvl w:val="2"/>
        <w:rPr>
          <w:rFonts w:hint="eastAsia" w:ascii="宋体" w:eastAsia="宋体"/>
          <w:b/>
          <w:color w:val="auto"/>
          <w:sz w:val="36"/>
          <w:szCs w:val="36"/>
          <w:highlight w:val="none"/>
          <w:lang w:eastAsia="zh-CN"/>
        </w:rPr>
      </w:pPr>
      <w:bookmarkStart w:id="93" w:name="_Toc7238"/>
      <w:bookmarkStart w:id="94" w:name="_Toc17147"/>
      <w:bookmarkStart w:id="95" w:name="_Toc17611"/>
      <w:r>
        <w:rPr>
          <w:rFonts w:ascii="宋体" w:hAnsi="宋体"/>
          <w:b/>
          <w:color w:val="auto"/>
          <w:sz w:val="36"/>
          <w:szCs w:val="36"/>
          <w:highlight w:val="none"/>
        </w:rPr>
        <w:br w:type="page"/>
      </w:r>
      <w:bookmarkStart w:id="96" w:name="_Toc23930"/>
      <w:bookmarkStart w:id="97" w:name="_Toc14894"/>
      <w:bookmarkStart w:id="98" w:name="_Toc13229"/>
      <w:bookmarkStart w:id="99" w:name="_Toc29297"/>
      <w:bookmarkStart w:id="100" w:name="_Toc17471"/>
      <w:r>
        <w:rPr>
          <w:rFonts w:ascii="宋体" w:hAnsi="宋体"/>
          <w:b/>
          <w:color w:val="auto"/>
          <w:sz w:val="36"/>
          <w:szCs w:val="36"/>
          <w:highlight w:val="none"/>
        </w:rPr>
        <w:t>1.1</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负责人资格证明书</w:t>
      </w:r>
      <w:bookmarkEnd w:id="93"/>
      <w:bookmarkEnd w:id="94"/>
      <w:bookmarkEnd w:id="95"/>
      <w:bookmarkEnd w:id="96"/>
      <w:bookmarkEnd w:id="97"/>
      <w:bookmarkEnd w:id="98"/>
      <w:bookmarkEnd w:id="99"/>
      <w:bookmarkEnd w:id="100"/>
    </w:p>
    <w:p>
      <w:pPr>
        <w:spacing w:line="480" w:lineRule="exact"/>
        <w:rPr>
          <w:rFonts w:hint="eastAsia" w:ascii="宋体" w:eastAsia="宋体"/>
          <w:b/>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佛山市禅城区南庄镇吉利村上二经济合作社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rPr>
          <w:rFonts w:ascii="宋体"/>
          <w:color w:val="auto"/>
          <w:sz w:val="24"/>
          <w:highlight w:val="none"/>
        </w:rPr>
      </w:pPr>
    </w:p>
    <w:p>
      <w:pPr>
        <w:spacing w:line="440" w:lineRule="exact"/>
        <w:ind w:firstLine="240" w:firstLineChars="100"/>
        <w:rPr>
          <w:rFonts w:ascii="宋体"/>
          <w:color w:val="auto"/>
          <w:sz w:val="24"/>
          <w:highlight w:val="none"/>
        </w:rPr>
      </w:pPr>
      <w:r>
        <w:rPr>
          <w:rFonts w:hint="eastAsia" w:ascii="宋体" w:hAnsi="宋体"/>
          <w:color w:val="auto"/>
          <w:sz w:val="24"/>
          <w:highlight w:val="none"/>
        </w:rPr>
        <w:t>同志，现任我单位职务，为</w:t>
      </w:r>
      <w:r>
        <w:rPr>
          <w:rFonts w:hint="eastAsia" w:ascii="宋体" w:hAnsi="宋体"/>
          <w:color w:val="auto"/>
          <w:sz w:val="24"/>
          <w:highlight w:val="none"/>
          <w:u w:val="single"/>
        </w:rPr>
        <w:t>（</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负责人），特此证明。</w:t>
      </w:r>
    </w:p>
    <w:p>
      <w:pPr>
        <w:spacing w:line="440" w:lineRule="exact"/>
        <w:ind w:firstLine="240" w:firstLineChars="100"/>
        <w:rPr>
          <w:rFonts w:hint="eastAsia" w:ascii="宋体" w:eastAsia="宋体"/>
          <w:color w:val="auto"/>
          <w:sz w:val="24"/>
          <w:highlight w:val="none"/>
          <w:lang w:eastAsia="zh-CN"/>
        </w:rPr>
      </w:pPr>
      <w:r>
        <w:rPr>
          <w:rFonts w:hint="eastAsia" w:ascii="宋体" w:hAnsi="宋体"/>
          <w:color w:val="auto"/>
          <w:sz w:val="24"/>
          <w:highlight w:val="none"/>
        </w:rPr>
        <w:t>签发日期：</w:t>
      </w:r>
      <w:r>
        <w:rPr>
          <w:rFonts w:hint="eastAsia" w:ascii="宋体" w:hAnsi="宋体"/>
          <w:color w:val="auto"/>
          <w:sz w:val="24"/>
          <w:highlight w:val="none"/>
          <w:lang w:eastAsia="zh-CN"/>
        </w:rPr>
        <w:t>2024</w:t>
      </w:r>
      <w:r>
        <w:rPr>
          <w:rFonts w:hint="eastAsia" w:ascii="宋体" w:hAnsi="宋体"/>
          <w:color w:val="auto"/>
          <w:sz w:val="24"/>
          <w:highlight w:val="none"/>
        </w:rPr>
        <w:t>年月日</w:t>
      </w:r>
    </w:p>
    <w:p>
      <w:pPr>
        <w:spacing w:line="440" w:lineRule="exact"/>
        <w:ind w:firstLine="240" w:firstLineChars="100"/>
        <w:rPr>
          <w:rFonts w:asci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lang w:val="zh-CN"/>
        </w:rPr>
        <w:t>加盖投标人公章</w:t>
      </w:r>
      <w:r>
        <w:rPr>
          <w:rFonts w:hint="eastAsia" w:ascii="宋体" w:hAnsi="宋体"/>
          <w:color w:val="auto"/>
          <w:sz w:val="24"/>
          <w:highlight w:val="none"/>
        </w:rPr>
        <w:t>）</w:t>
      </w:r>
    </w:p>
    <w:p>
      <w:pPr>
        <w:spacing w:line="440" w:lineRule="exact"/>
        <w:ind w:firstLine="240" w:firstLineChars="100"/>
        <w:rPr>
          <w:rFonts w:ascii="宋体"/>
          <w:color w:val="auto"/>
          <w:sz w:val="24"/>
          <w:highlight w:val="none"/>
        </w:rPr>
      </w:pPr>
    </w:p>
    <w:p>
      <w:pPr>
        <w:spacing w:line="440" w:lineRule="exact"/>
        <w:ind w:firstLine="240" w:firstLineChars="100"/>
        <w:rPr>
          <w:rFonts w:ascii="宋体"/>
          <w:color w:val="auto"/>
          <w:sz w:val="24"/>
          <w:highlight w:val="none"/>
          <w:u w:val="single"/>
        </w:rPr>
      </w:pPr>
      <w:r>
        <w:rPr>
          <w:rFonts w:hint="eastAsia" w:ascii="宋体" w:hAnsi="宋体"/>
          <w:color w:val="auto"/>
          <w:sz w:val="24"/>
          <w:highlight w:val="none"/>
        </w:rPr>
        <w:t>附：法定代表人</w:t>
      </w:r>
      <w:r>
        <w:rPr>
          <w:rFonts w:ascii="宋体" w:hAnsi="宋体"/>
          <w:color w:val="auto"/>
          <w:sz w:val="24"/>
          <w:highlight w:val="none"/>
        </w:rPr>
        <w:t>/</w:t>
      </w:r>
      <w:r>
        <w:rPr>
          <w:rFonts w:hint="eastAsia" w:ascii="宋体" w:hAnsi="宋体"/>
          <w:color w:val="auto"/>
          <w:sz w:val="24"/>
          <w:highlight w:val="none"/>
        </w:rPr>
        <w:t>负责人性别：年龄：</w:t>
      </w:r>
    </w:p>
    <w:p>
      <w:pPr>
        <w:spacing w:line="440" w:lineRule="exact"/>
        <w:ind w:firstLine="720" w:firstLineChars="300"/>
        <w:rPr>
          <w:rFonts w:ascii="宋体"/>
          <w:color w:val="auto"/>
          <w:sz w:val="24"/>
          <w:highlight w:val="none"/>
          <w:u w:val="single"/>
        </w:rPr>
      </w:pPr>
      <w:r>
        <w:rPr>
          <w:rFonts w:hint="eastAsia" w:ascii="宋体" w:hAnsi="宋体"/>
          <w:color w:val="auto"/>
          <w:sz w:val="24"/>
          <w:highlight w:val="none"/>
        </w:rPr>
        <w:t>身份证号码：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联系电话：</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营业执照号码：</w:t>
      </w:r>
    </w:p>
    <w:p>
      <w:pPr>
        <w:spacing w:line="440" w:lineRule="exact"/>
        <w:ind w:firstLine="720" w:firstLineChars="300"/>
        <w:rPr>
          <w:rFonts w:ascii="宋体"/>
          <w:color w:val="auto"/>
          <w:sz w:val="24"/>
          <w:highlight w:val="none"/>
        </w:rPr>
      </w:pPr>
      <w:r>
        <w:rPr>
          <w:rFonts w:hint="eastAsia" w:ascii="宋体" w:hAnsi="宋体"/>
          <w:color w:val="auto"/>
          <w:sz w:val="24"/>
          <w:highlight w:val="none"/>
        </w:rPr>
        <w:t>单位性质：</w:t>
      </w:r>
    </w:p>
    <w:p>
      <w:pPr>
        <w:spacing w:line="440" w:lineRule="exact"/>
        <w:ind w:firstLine="720" w:firstLineChars="300"/>
        <w:rPr>
          <w:rFonts w:ascii="宋体"/>
          <w:color w:val="auto"/>
          <w:sz w:val="24"/>
          <w:highlight w:val="none"/>
        </w:rPr>
      </w:pPr>
      <w:r>
        <w:rPr>
          <w:rFonts w:hint="eastAsia"/>
          <w:color w:val="auto"/>
          <w:sz w:val="24"/>
          <w:highlight w:val="none"/>
        </w:rPr>
        <w:t>成立时间：</w:t>
      </w:r>
    </w:p>
    <w:p>
      <w:pPr>
        <w:spacing w:line="440" w:lineRule="exact"/>
        <w:rPr>
          <w:rFonts w:ascii="宋体"/>
          <w:color w:val="auto"/>
          <w:sz w:val="24"/>
          <w:highlight w:val="none"/>
        </w:rPr>
      </w:pPr>
    </w:p>
    <w:p>
      <w:pPr>
        <w:spacing w:line="440" w:lineRule="exact"/>
        <w:ind w:left="960" w:hanging="960" w:hangingChars="400"/>
        <w:rPr>
          <w:rFonts w:asci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1.</w:t>
      </w:r>
      <w:r>
        <w:rPr>
          <w:rFonts w:hint="eastAsia" w:ascii="宋体" w:hAnsi="宋体"/>
          <w:color w:val="auto"/>
          <w:sz w:val="24"/>
          <w:highlight w:val="none"/>
        </w:rPr>
        <w:t>法定代表人</w:t>
      </w:r>
      <w:r>
        <w:rPr>
          <w:rFonts w:ascii="宋体" w:hAnsi="宋体"/>
          <w:color w:val="auto"/>
          <w:sz w:val="24"/>
          <w:highlight w:val="none"/>
        </w:rPr>
        <w:t>/</w:t>
      </w:r>
      <w:r>
        <w:rPr>
          <w:rFonts w:hint="eastAsia" w:ascii="宋体" w:hAnsi="宋体"/>
          <w:color w:val="auto"/>
          <w:sz w:val="24"/>
          <w:highlight w:val="none"/>
        </w:rPr>
        <w:t>负责人为企业事业单位、国家机关、社会团体的主要行政负责人。</w:t>
      </w:r>
    </w:p>
    <w:p>
      <w:pPr>
        <w:spacing w:line="440" w:lineRule="exac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内容必须填写真实、清楚、涂改无效，不得转让、买卖。</w:t>
      </w:r>
    </w:p>
    <w:p>
      <w:pPr>
        <w:spacing w:line="440" w:lineRule="exact"/>
        <w:ind w:firstLine="720" w:firstLineChars="300"/>
        <w:rPr>
          <w:rFonts w:ascii="宋体"/>
          <w:b/>
          <w:color w:val="auto"/>
          <w:sz w:val="24"/>
          <w:highlight w:val="none"/>
        </w:rPr>
      </w:pPr>
      <w:r>
        <w:rPr>
          <w:rFonts w:ascii="宋体" w:hAnsi="宋体"/>
          <w:color w:val="auto"/>
          <w:sz w:val="24"/>
          <w:highlight w:val="none"/>
        </w:rPr>
        <w:t>3.</w:t>
      </w:r>
      <w:r>
        <w:rPr>
          <w:rFonts w:hint="eastAsia" w:ascii="宋体" w:hAnsi="宋体"/>
          <w:color w:val="auto"/>
          <w:sz w:val="24"/>
          <w:highlight w:val="none"/>
        </w:rPr>
        <w:t>将此证明书提交对方作为合同附件</w:t>
      </w:r>
      <w:r>
        <w:rPr>
          <w:rFonts w:hint="eastAsia" w:ascii="宋体" w:hAnsi="宋体"/>
          <w:b/>
          <w:color w:val="auto"/>
          <w:sz w:val="24"/>
          <w:highlight w:val="none"/>
        </w:rPr>
        <w:t>。</w:t>
      </w:r>
    </w:p>
    <w:p>
      <w:pPr>
        <w:rPr>
          <w:rFonts w:ascii="宋体"/>
          <w:color w:val="auto"/>
          <w:sz w:val="24"/>
          <w:highlight w:val="none"/>
        </w:rPr>
      </w:pPr>
    </w:p>
    <w:p>
      <w:pPr>
        <w:rPr>
          <w:rFonts w:ascii="宋体"/>
          <w:color w:val="auto"/>
          <w:sz w:val="24"/>
          <w:highlight w:val="none"/>
        </w:rPr>
      </w:pPr>
    </w:p>
    <w:p>
      <w:pPr>
        <w:spacing w:after="120" w:afterLines="50"/>
        <w:ind w:left="3" w:leftChars="-85" w:hanging="181" w:hangingChars="75"/>
        <w:rPr>
          <w:rFonts w:ascii="宋体"/>
          <w:b/>
          <w:color w:val="auto"/>
          <w:sz w:val="24"/>
          <w:highlight w:val="none"/>
        </w:rPr>
      </w:pPr>
      <w:r>
        <w:rPr>
          <w:rFonts w:hint="eastAsia" w:ascii="宋体" w:hAnsi="宋体"/>
          <w:b/>
          <w:color w:val="auto"/>
          <w:sz w:val="24"/>
          <w:highlight w:val="none"/>
        </w:rPr>
        <w:t>附：法定代表人</w:t>
      </w:r>
      <w:r>
        <w:rPr>
          <w:rFonts w:ascii="宋体" w:hAnsi="宋体"/>
          <w:b/>
          <w:color w:val="auto"/>
          <w:sz w:val="24"/>
          <w:highlight w:val="none"/>
        </w:rPr>
        <w:t>/</w:t>
      </w:r>
      <w:r>
        <w:rPr>
          <w:rFonts w:hint="eastAsia" w:ascii="宋体" w:hAnsi="宋体"/>
          <w:b/>
          <w:color w:val="auto"/>
          <w:sz w:val="24"/>
          <w:highlight w:val="none"/>
        </w:rPr>
        <w:t>负责人的身份证复印件：</w:t>
      </w:r>
    </w:p>
    <w:tbl>
      <w:tblPr>
        <w:tblStyle w:val="1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Ansi="宋体"/>
                <w:color w:val="auto"/>
                <w:sz w:val="24"/>
                <w:highlight w:val="none"/>
              </w:rPr>
            </w:pPr>
            <w:r>
              <w:rPr>
                <w:rFonts w:hint="eastAsia" w:hAnsi="宋体"/>
                <w:color w:val="auto"/>
                <w:sz w:val="24"/>
                <w:highlight w:val="none"/>
              </w:rPr>
              <w:t>粘贴法定代表人</w:t>
            </w:r>
            <w:r>
              <w:rPr>
                <w:rFonts w:ascii="宋体" w:hAnsi="宋体"/>
                <w:color w:val="auto"/>
                <w:sz w:val="24"/>
                <w:highlight w:val="none"/>
              </w:rPr>
              <w:t>/</w:t>
            </w:r>
            <w:r>
              <w:rPr>
                <w:rFonts w:hint="eastAsia" w:ascii="宋体" w:hAnsi="宋体"/>
                <w:color w:val="auto"/>
                <w:sz w:val="24"/>
                <w:highlight w:val="none"/>
              </w:rPr>
              <w:t>负责人</w:t>
            </w:r>
            <w:r>
              <w:rPr>
                <w:rFonts w:hint="eastAsia" w:hAnsi="宋体"/>
                <w:color w:val="auto"/>
                <w:sz w:val="24"/>
                <w:highlight w:val="none"/>
              </w:rPr>
              <w:t>身份证复印件</w:t>
            </w:r>
            <w:r>
              <w:rPr>
                <w:rFonts w:hint="eastAsia" w:hAnsi="宋体"/>
                <w:b/>
                <w:color w:val="auto"/>
                <w:sz w:val="24"/>
                <w:highlight w:val="none"/>
              </w:rPr>
              <w:t>或</w:t>
            </w:r>
            <w:r>
              <w:rPr>
                <w:rFonts w:hint="eastAsia" w:hAnsi="宋体"/>
                <w:color w:val="auto"/>
                <w:sz w:val="24"/>
                <w:highlight w:val="none"/>
              </w:rPr>
              <w:t>直接扫描到此张纸上。</w:t>
            </w:r>
          </w:p>
          <w:p>
            <w:pPr>
              <w:spacing w:line="360" w:lineRule="auto"/>
              <w:jc w:val="center"/>
              <w:rPr>
                <w:rFonts w:ascii="宋体"/>
                <w:b/>
                <w:color w:val="auto"/>
                <w:sz w:val="24"/>
                <w:highlight w:val="none"/>
              </w:rPr>
            </w:pPr>
            <w:r>
              <w:rPr>
                <w:rFonts w:hint="eastAsia" w:hAnsi="宋体"/>
                <w:color w:val="auto"/>
                <w:sz w:val="24"/>
                <w:highlight w:val="none"/>
              </w:rPr>
              <w:t>注：若页面不够位置的，可另行附页，但须紧接此页</w:t>
            </w:r>
          </w:p>
        </w:tc>
      </w:tr>
    </w:tbl>
    <w:p>
      <w:pPr>
        <w:rPr>
          <w:rFonts w:ascii="宋体"/>
          <w:b/>
          <w:color w:val="auto"/>
          <w:sz w:val="24"/>
          <w:highlight w:val="none"/>
        </w:rPr>
      </w:pPr>
    </w:p>
    <w:p>
      <w:pPr>
        <w:ind w:left="472" w:hanging="472" w:hangingChars="196"/>
        <w:rPr>
          <w:rFonts w:ascii="宋体"/>
          <w:b/>
          <w:color w:val="auto"/>
          <w:sz w:val="24"/>
          <w:highlight w:val="none"/>
        </w:rPr>
      </w:pPr>
      <w:r>
        <w:rPr>
          <w:rFonts w:hint="eastAsia" w:ascii="宋体" w:hAnsi="宋体"/>
          <w:b/>
          <w:color w:val="auto"/>
          <w:sz w:val="24"/>
          <w:highlight w:val="none"/>
        </w:rPr>
        <w:t>注：法定代表人</w:t>
      </w:r>
      <w:r>
        <w:rPr>
          <w:rFonts w:ascii="宋体" w:hAnsi="宋体"/>
          <w:b/>
          <w:color w:val="auto"/>
          <w:sz w:val="24"/>
          <w:highlight w:val="none"/>
        </w:rPr>
        <w:t>/</w:t>
      </w:r>
      <w:r>
        <w:rPr>
          <w:rFonts w:hint="eastAsia" w:ascii="宋体" w:hAnsi="宋体"/>
          <w:b/>
          <w:color w:val="auto"/>
          <w:sz w:val="24"/>
          <w:highlight w:val="none"/>
        </w:rPr>
        <w:t>负责人或授权代表人在递交</w:t>
      </w:r>
      <w:r>
        <w:rPr>
          <w:rFonts w:hint="eastAsia" w:ascii="宋体" w:hAnsi="宋体"/>
          <w:b/>
          <w:color w:val="auto"/>
          <w:sz w:val="24"/>
          <w:highlight w:val="none"/>
          <w:lang w:eastAsia="zh-CN"/>
        </w:rPr>
        <w:t>竞投</w:t>
      </w:r>
      <w:r>
        <w:rPr>
          <w:rFonts w:hint="eastAsia" w:ascii="宋体" w:hAnsi="宋体"/>
          <w:b/>
          <w:color w:val="auto"/>
          <w:sz w:val="24"/>
          <w:highlight w:val="none"/>
        </w:rPr>
        <w:t>文件时，须向</w:t>
      </w:r>
      <w:r>
        <w:rPr>
          <w:rFonts w:hint="eastAsia" w:ascii="宋体" w:hAnsi="宋体"/>
          <w:b/>
          <w:color w:val="auto"/>
          <w:sz w:val="24"/>
          <w:highlight w:val="none"/>
          <w:lang w:eastAsia="zh-CN"/>
        </w:rPr>
        <w:t>招标代理机构</w:t>
      </w:r>
      <w:r>
        <w:rPr>
          <w:rFonts w:hint="eastAsia" w:ascii="宋体" w:hAnsi="宋体"/>
          <w:b/>
          <w:color w:val="auto"/>
          <w:sz w:val="24"/>
          <w:highlight w:val="none"/>
        </w:rPr>
        <w:t>人员出示此份证明书的</w:t>
      </w:r>
      <w:r>
        <w:rPr>
          <w:rFonts w:hint="eastAsia" w:ascii="宋体" w:hAnsi="宋体"/>
          <w:b/>
          <w:color w:val="auto"/>
          <w:sz w:val="24"/>
          <w:highlight w:val="none"/>
          <w:u w:val="single"/>
        </w:rPr>
        <w:t>原件</w:t>
      </w:r>
      <w:r>
        <w:rPr>
          <w:rFonts w:hint="eastAsia" w:ascii="宋体" w:hAnsi="宋体"/>
          <w:b/>
          <w:color w:val="auto"/>
          <w:sz w:val="24"/>
          <w:highlight w:val="none"/>
        </w:rPr>
        <w:t>，否则，</w:t>
      </w:r>
      <w:r>
        <w:rPr>
          <w:rFonts w:hint="eastAsia" w:ascii="宋体" w:hAnsi="宋体"/>
          <w:b/>
          <w:color w:val="auto"/>
          <w:sz w:val="24"/>
          <w:highlight w:val="none"/>
          <w:lang w:eastAsia="zh-CN"/>
        </w:rPr>
        <w:t>招标代理机构</w:t>
      </w:r>
      <w:r>
        <w:rPr>
          <w:rFonts w:hint="eastAsia" w:ascii="宋体" w:hAnsi="宋体"/>
          <w:b/>
          <w:color w:val="auto"/>
          <w:sz w:val="24"/>
          <w:highlight w:val="none"/>
        </w:rPr>
        <w:t>将有权拒收其</w:t>
      </w:r>
      <w:r>
        <w:rPr>
          <w:rFonts w:hint="eastAsia" w:ascii="宋体" w:hAnsi="宋体"/>
          <w:b/>
          <w:color w:val="auto"/>
          <w:sz w:val="24"/>
          <w:highlight w:val="none"/>
          <w:lang w:eastAsia="zh-CN"/>
        </w:rPr>
        <w:t>资格审查</w:t>
      </w:r>
      <w:r>
        <w:rPr>
          <w:rFonts w:hint="eastAsia" w:ascii="宋体" w:hAnsi="宋体"/>
          <w:b/>
          <w:color w:val="auto"/>
          <w:sz w:val="24"/>
          <w:highlight w:val="none"/>
        </w:rPr>
        <w:t>文件。</w:t>
      </w:r>
    </w:p>
    <w:p>
      <w:pPr>
        <w:rPr>
          <w:rFonts w:ascii="宋体"/>
          <w:b/>
          <w:color w:val="auto"/>
          <w:szCs w:val="21"/>
          <w:highlight w:val="none"/>
        </w:rPr>
      </w:pPr>
      <w:r>
        <w:rPr>
          <w:color w:val="auto"/>
          <w:sz w:val="24"/>
          <w:highlight w:val="none"/>
        </w:rPr>
        <w:br w:type="page"/>
      </w:r>
    </w:p>
    <w:p>
      <w:pPr>
        <w:spacing w:after="120" w:afterLines="50" w:line="360" w:lineRule="auto"/>
        <w:jc w:val="center"/>
        <w:outlineLvl w:val="2"/>
        <w:rPr>
          <w:rFonts w:hint="eastAsia" w:ascii="宋体" w:eastAsia="宋体"/>
          <w:b/>
          <w:color w:val="auto"/>
          <w:sz w:val="36"/>
          <w:szCs w:val="36"/>
          <w:highlight w:val="none"/>
          <w:lang w:eastAsia="zh-CN"/>
        </w:rPr>
      </w:pPr>
      <w:bookmarkStart w:id="101" w:name="_Toc31129"/>
      <w:bookmarkStart w:id="102" w:name="_Toc18905"/>
      <w:bookmarkStart w:id="103" w:name="_Toc1989"/>
      <w:bookmarkStart w:id="104" w:name="_Toc19126"/>
      <w:bookmarkStart w:id="105" w:name="_Toc13271"/>
      <w:bookmarkStart w:id="106" w:name="_Toc7452"/>
      <w:bookmarkStart w:id="107" w:name="_Toc3208"/>
      <w:bookmarkStart w:id="108" w:name="_Toc28451"/>
      <w:r>
        <w:rPr>
          <w:rFonts w:ascii="宋体" w:hAnsi="宋体"/>
          <w:b/>
          <w:color w:val="auto"/>
          <w:sz w:val="36"/>
          <w:szCs w:val="36"/>
          <w:highlight w:val="none"/>
        </w:rPr>
        <w:t>1.2</w:t>
      </w:r>
      <w:r>
        <w:rPr>
          <w:rFonts w:hint="eastAsia" w:ascii="宋体" w:hAnsi="宋体"/>
          <w:b/>
          <w:color w:val="auto"/>
          <w:sz w:val="36"/>
          <w:szCs w:val="36"/>
          <w:highlight w:val="none"/>
        </w:rPr>
        <w:t>法定代表人</w:t>
      </w:r>
      <w:r>
        <w:rPr>
          <w:rFonts w:ascii="宋体" w:hAnsi="宋体"/>
          <w:b/>
          <w:color w:val="auto"/>
          <w:sz w:val="36"/>
          <w:szCs w:val="36"/>
          <w:highlight w:val="none"/>
        </w:rPr>
        <w:t>/</w:t>
      </w:r>
      <w:r>
        <w:rPr>
          <w:rFonts w:hint="eastAsia" w:ascii="宋体" w:hAnsi="宋体"/>
          <w:b/>
          <w:color w:val="auto"/>
          <w:sz w:val="36"/>
          <w:szCs w:val="36"/>
          <w:highlight w:val="none"/>
        </w:rPr>
        <w:t>负责人授权书</w:t>
      </w:r>
      <w:bookmarkEnd w:id="101"/>
      <w:bookmarkEnd w:id="102"/>
      <w:bookmarkEnd w:id="103"/>
      <w:bookmarkEnd w:id="104"/>
      <w:bookmarkEnd w:id="105"/>
      <w:bookmarkEnd w:id="106"/>
      <w:bookmarkEnd w:id="107"/>
      <w:bookmarkEnd w:id="108"/>
    </w:p>
    <w:p>
      <w:pPr>
        <w:spacing w:after="120" w:afterLines="50" w:line="360" w:lineRule="auto"/>
        <w:rPr>
          <w:rFonts w:hint="eastAsia" w:ascii="宋体" w:eastAsia="宋体"/>
          <w:color w:val="auto"/>
          <w:sz w:val="24"/>
          <w:highlight w:val="none"/>
          <w:lang w:eastAsia="zh-CN"/>
        </w:rPr>
      </w:pPr>
      <w:r>
        <w:rPr>
          <w:rFonts w:hint="eastAsia" w:ascii="宋体" w:hAnsi="宋体"/>
          <w:b/>
          <w:color w:val="auto"/>
          <w:sz w:val="24"/>
          <w:highlight w:val="none"/>
        </w:rPr>
        <w:t>致：</w:t>
      </w:r>
      <w:r>
        <w:rPr>
          <w:rFonts w:hint="eastAsia" w:ascii="宋体" w:hAnsi="宋体"/>
          <w:b/>
          <w:color w:val="auto"/>
          <w:sz w:val="24"/>
          <w:highlight w:val="none"/>
          <w:lang w:eastAsia="zh-CN"/>
        </w:rPr>
        <w:t>佛山市禅城区南庄镇吉利村上二经济合作社</w:t>
      </w:r>
      <w:r>
        <w:rPr>
          <w:rFonts w:hint="eastAsia" w:ascii="宋体" w:hAnsi="宋体"/>
          <w:b/>
          <w:color w:val="auto"/>
          <w:sz w:val="24"/>
          <w:highlight w:val="none"/>
        </w:rPr>
        <w:t>、</w:t>
      </w:r>
      <w:r>
        <w:rPr>
          <w:rFonts w:hint="eastAsia" w:ascii="宋体" w:hAnsi="宋体"/>
          <w:b/>
          <w:color w:val="auto"/>
          <w:sz w:val="24"/>
          <w:highlight w:val="none"/>
          <w:lang w:eastAsia="zh-CN"/>
        </w:rPr>
        <w:t>广东中采招标有限公司</w:t>
      </w:r>
    </w:p>
    <w:p>
      <w:pPr>
        <w:spacing w:line="324" w:lineRule="auto"/>
        <w:ind w:firstLine="480" w:firstLineChars="200"/>
        <w:rPr>
          <w:rFonts w:ascii="宋体"/>
          <w:color w:val="auto"/>
          <w:sz w:val="24"/>
          <w:highlight w:val="none"/>
          <w:lang w:val="en-GB"/>
        </w:rPr>
      </w:pPr>
      <w:r>
        <w:rPr>
          <w:rFonts w:hint="eastAsia" w:ascii="宋体" w:hAnsi="宋体"/>
          <w:color w:val="auto"/>
          <w:sz w:val="24"/>
          <w:highlight w:val="none"/>
          <w:lang w:val="en-GB"/>
        </w:rPr>
        <w:t>我单位特授权委任以下之现职员工，作为我方于本项目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的唯一</w:t>
      </w:r>
      <w:r>
        <w:rPr>
          <w:rFonts w:hint="eastAsia" w:ascii="宋体" w:hAnsi="宋体" w:cs="宋体"/>
          <w:color w:val="auto"/>
          <w:sz w:val="24"/>
          <w:highlight w:val="none"/>
          <w:lang w:val="en-GB"/>
        </w:rPr>
        <w:t>全权代表</w:t>
      </w:r>
      <w:r>
        <w:rPr>
          <w:rFonts w:hint="eastAsia" w:ascii="宋体" w:hAnsi="宋体"/>
          <w:color w:val="auto"/>
          <w:sz w:val="24"/>
          <w:highlight w:val="none"/>
          <w:lang w:val="en-GB"/>
        </w:rPr>
        <w:t>，亲自出席参与贵方承办的项目</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，对该代表人所提供、签署的一切文书均视为符合我方的合法利益和真实意愿，我方愿为其</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行为承担全部责任。</w:t>
      </w:r>
    </w:p>
    <w:p>
      <w:pPr>
        <w:spacing w:line="324" w:lineRule="auto"/>
        <w:ind w:left="1727" w:leftChars="251" w:hanging="1200" w:hangingChars="500"/>
        <w:jc w:val="left"/>
        <w:rPr>
          <w:rFonts w:hint="eastAsia" w:ascii="宋体" w:eastAsia="宋体"/>
          <w:color w:val="auto"/>
          <w:sz w:val="24"/>
          <w:highlight w:val="none"/>
          <w:lang w:val="en-GB" w:eastAsia="zh-CN"/>
        </w:rPr>
      </w:pPr>
      <w:r>
        <w:rPr>
          <w:rFonts w:hint="eastAsia" w:ascii="宋体" w:hAnsi="宋体"/>
          <w:color w:val="auto"/>
          <w:sz w:val="24"/>
          <w:highlight w:val="none"/>
        </w:rPr>
        <w:t>项目名称：</w:t>
      </w:r>
      <w:r>
        <w:rPr>
          <w:rFonts w:hint="eastAsia" w:ascii="宋体" w:hAnsi="宋体"/>
          <w:color w:val="auto"/>
          <w:sz w:val="24"/>
          <w:highlight w:val="none"/>
          <w:lang w:val="en-GB" w:eastAsia="zh-CN"/>
        </w:rPr>
        <w:t>吉利上二村车辆停放管理服务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（印刷体）</w:t>
      </w:r>
      <w:r>
        <w:rPr>
          <w:rFonts w:hint="eastAsia" w:ascii="宋体" w:hAnsi="宋体"/>
          <w:color w:val="auto"/>
          <w:sz w:val="24"/>
          <w:highlight w:val="none"/>
        </w:rPr>
        <w:t>，身份证号码：；</w:t>
      </w:r>
    </w:p>
    <w:p>
      <w:pPr>
        <w:spacing w:line="324" w:lineRule="auto"/>
        <w:ind w:firstLine="480" w:firstLineChars="200"/>
        <w:jc w:val="left"/>
        <w:rPr>
          <w:color w:val="auto"/>
          <w:highlight w:val="none"/>
        </w:rPr>
      </w:pPr>
      <w:r>
        <w:rPr>
          <w:rFonts w:hint="eastAsia" w:ascii="宋体" w:hAnsi="宋体"/>
          <w:color w:val="auto"/>
          <w:sz w:val="24"/>
          <w:highlight w:val="none"/>
        </w:rPr>
        <w:t>委任授权代表姓名：</w:t>
      </w:r>
      <w:r>
        <w:rPr>
          <w:rFonts w:hint="eastAsia" w:ascii="宋体" w:hAnsi="宋体"/>
          <w:color w:val="auto"/>
          <w:sz w:val="24"/>
          <w:highlight w:val="none"/>
          <w:u w:val="single"/>
        </w:rPr>
        <w:t>（亲笔签名）</w:t>
      </w:r>
      <w:r>
        <w:rPr>
          <w:rFonts w:hint="eastAsia" w:ascii="宋体" w:hAnsi="宋体"/>
          <w:color w:val="auto"/>
          <w:sz w:val="24"/>
          <w:highlight w:val="none"/>
        </w:rPr>
        <w:t>；</w:t>
      </w:r>
    </w:p>
    <w:p>
      <w:pPr>
        <w:spacing w:line="324"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rPr>
        <w:t>联系电话（手机）：，现职务：；</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授权权限：全权代表本单位参与上述项目的</w:t>
      </w:r>
      <w:r>
        <w:rPr>
          <w:rFonts w:hint="eastAsia" w:ascii="宋体" w:hAnsi="宋体"/>
          <w:color w:val="auto"/>
          <w:sz w:val="24"/>
          <w:highlight w:val="none"/>
          <w:lang w:eastAsia="zh-CN"/>
        </w:rPr>
        <w:t>竞投</w:t>
      </w:r>
      <w:r>
        <w:rPr>
          <w:rFonts w:hint="eastAsia" w:ascii="宋体" w:hAnsi="宋体"/>
          <w:color w:val="auto"/>
          <w:sz w:val="24"/>
          <w:highlight w:val="none"/>
        </w:rPr>
        <w:t>、</w:t>
      </w:r>
      <w:r>
        <w:rPr>
          <w:rFonts w:hint="eastAsia" w:ascii="宋体" w:hAnsi="宋体" w:cs="宋体"/>
          <w:color w:val="auto"/>
          <w:sz w:val="24"/>
          <w:highlight w:val="none"/>
          <w:lang w:val="en-GB"/>
        </w:rPr>
        <w:t>递交</w:t>
      </w:r>
      <w:r>
        <w:rPr>
          <w:rFonts w:hint="eastAsia" w:ascii="宋体" w:hAnsi="宋体" w:cs="宋体"/>
          <w:color w:val="auto"/>
          <w:sz w:val="24"/>
          <w:highlight w:val="none"/>
          <w:lang w:val="en-GB" w:eastAsia="zh-CN"/>
        </w:rPr>
        <w:t>资格审查</w:t>
      </w:r>
      <w:r>
        <w:rPr>
          <w:rFonts w:hint="eastAsia" w:ascii="宋体" w:hAnsi="宋体" w:cs="宋体"/>
          <w:color w:val="auto"/>
          <w:sz w:val="24"/>
          <w:highlight w:val="none"/>
          <w:lang w:val="en-GB"/>
        </w:rPr>
        <w:t>文件、出席</w:t>
      </w:r>
      <w:r>
        <w:rPr>
          <w:rFonts w:hint="eastAsia" w:ascii="宋体" w:hAnsi="宋体" w:cs="宋体"/>
          <w:color w:val="auto"/>
          <w:sz w:val="24"/>
          <w:highlight w:val="none"/>
          <w:lang w:val="en-GB" w:eastAsia="zh-CN"/>
        </w:rPr>
        <w:t>竞投会</w:t>
      </w:r>
      <w:r>
        <w:rPr>
          <w:rFonts w:hint="eastAsia" w:ascii="宋体" w:hAnsi="宋体" w:cs="宋体"/>
          <w:color w:val="auto"/>
          <w:sz w:val="24"/>
          <w:highlight w:val="none"/>
          <w:lang w:val="en-GB"/>
        </w:rPr>
        <w:t>全程、</w:t>
      </w:r>
      <w:r>
        <w:rPr>
          <w:rFonts w:hint="eastAsia" w:ascii="宋体" w:hAnsi="宋体" w:cs="宋体"/>
          <w:color w:val="auto"/>
          <w:sz w:val="24"/>
          <w:highlight w:val="none"/>
          <w:lang w:val="en-GB" w:eastAsia="zh-CN"/>
        </w:rPr>
        <w:t>现场应价</w:t>
      </w:r>
      <w:r>
        <w:rPr>
          <w:rFonts w:hint="eastAsia" w:ascii="宋体" w:hAnsi="宋体" w:cs="宋体"/>
          <w:color w:val="auto"/>
          <w:sz w:val="24"/>
          <w:highlight w:val="none"/>
          <w:lang w:val="en-GB"/>
        </w:rPr>
        <w:t>；按照采</w:t>
      </w:r>
      <w:r>
        <w:rPr>
          <w:rFonts w:hint="eastAsia" w:ascii="宋体" w:hAnsi="宋体" w:cs="宋体"/>
          <w:color w:val="auto"/>
          <w:sz w:val="24"/>
          <w:highlight w:val="none"/>
          <w:lang w:val="en-GB" w:eastAsia="zh-CN"/>
        </w:rPr>
        <w:t>招标人</w:t>
      </w:r>
      <w:r>
        <w:rPr>
          <w:rFonts w:hint="eastAsia" w:ascii="宋体" w:hAnsi="宋体" w:cs="宋体"/>
          <w:color w:val="auto"/>
          <w:sz w:val="24"/>
          <w:highlight w:val="none"/>
          <w:lang w:val="en-GB"/>
        </w:rPr>
        <w:t>的要求现场处理</w:t>
      </w:r>
      <w:r>
        <w:rPr>
          <w:rFonts w:hint="eastAsia" w:ascii="宋体" w:hAnsi="宋体" w:cs="宋体"/>
          <w:color w:val="auto"/>
          <w:sz w:val="24"/>
          <w:highlight w:val="none"/>
          <w:lang w:val="en-GB" w:eastAsia="zh-CN"/>
        </w:rPr>
        <w:t>竞投</w:t>
      </w:r>
      <w:r>
        <w:rPr>
          <w:rFonts w:hint="eastAsia" w:ascii="宋体" w:hAnsi="宋体" w:cs="宋体"/>
          <w:color w:val="auto"/>
          <w:sz w:val="24"/>
          <w:highlight w:val="none"/>
          <w:lang w:val="en-GB"/>
        </w:rPr>
        <w:t>相关事宜；</w:t>
      </w:r>
      <w:r>
        <w:rPr>
          <w:rFonts w:hint="eastAsia" w:ascii="宋体" w:hAnsi="宋体"/>
          <w:color w:val="auto"/>
          <w:sz w:val="24"/>
          <w:highlight w:val="none"/>
        </w:rPr>
        <w:t>负责提供与签署确认一切文书资料，以及向贵方递交的任何补充承诺。</w:t>
      </w:r>
    </w:p>
    <w:p>
      <w:pPr>
        <w:spacing w:line="324" w:lineRule="auto"/>
        <w:ind w:firstLine="480" w:firstLineChars="200"/>
        <w:jc w:val="left"/>
        <w:rPr>
          <w:rFonts w:ascii="宋体"/>
          <w:color w:val="auto"/>
          <w:sz w:val="24"/>
          <w:highlight w:val="none"/>
        </w:rPr>
      </w:pPr>
      <w:r>
        <w:rPr>
          <w:rFonts w:hint="eastAsia" w:ascii="宋体" w:hAnsi="宋体"/>
          <w:color w:val="auto"/>
          <w:sz w:val="24"/>
          <w:highlight w:val="none"/>
        </w:rPr>
        <w:t>有效期限：与本项目</w:t>
      </w:r>
      <w:r>
        <w:rPr>
          <w:rFonts w:hint="eastAsia" w:ascii="宋体" w:hAnsi="宋体"/>
          <w:color w:val="auto"/>
          <w:sz w:val="24"/>
          <w:highlight w:val="none"/>
          <w:lang w:eastAsia="zh-CN"/>
        </w:rPr>
        <w:t>竞投文件</w:t>
      </w:r>
      <w:r>
        <w:rPr>
          <w:rFonts w:hint="eastAsia" w:ascii="宋体" w:hAnsi="宋体"/>
          <w:color w:val="auto"/>
          <w:sz w:val="24"/>
          <w:highlight w:val="none"/>
        </w:rPr>
        <w:t>要求的</w:t>
      </w:r>
      <w:r>
        <w:rPr>
          <w:rFonts w:hint="eastAsia" w:ascii="宋体" w:hAnsi="宋体"/>
          <w:color w:val="auto"/>
          <w:sz w:val="24"/>
          <w:highlight w:val="none"/>
          <w:lang w:eastAsia="zh-CN"/>
        </w:rPr>
        <w:t>投标有效期</w:t>
      </w:r>
      <w:r>
        <w:rPr>
          <w:rFonts w:hint="eastAsia" w:ascii="宋体" w:hAnsi="宋体"/>
          <w:color w:val="auto"/>
          <w:sz w:val="24"/>
          <w:highlight w:val="none"/>
        </w:rPr>
        <w:t>相同，自本单位盖章之日起生效。</w:t>
      </w:r>
    </w:p>
    <w:p>
      <w:pPr>
        <w:spacing w:after="120" w:afterLines="50" w:line="324" w:lineRule="auto"/>
        <w:ind w:firstLine="480" w:firstLineChars="200"/>
        <w:jc w:val="left"/>
        <w:rPr>
          <w:rFonts w:ascii="宋体"/>
          <w:color w:val="auto"/>
          <w:sz w:val="24"/>
          <w:highlight w:val="none"/>
        </w:rPr>
      </w:pPr>
      <w:r>
        <w:rPr>
          <w:rFonts w:hint="eastAsia" w:ascii="宋体" w:hAnsi="宋体"/>
          <w:color w:val="auto"/>
          <w:sz w:val="24"/>
          <w:highlight w:val="none"/>
        </w:rPr>
        <w:t>特此授权证明。</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名称：</w:t>
      </w:r>
      <w:r>
        <w:rPr>
          <w:rFonts w:hint="eastAsia" w:ascii="黑体" w:eastAsia="黑体"/>
          <w:color w:val="auto"/>
          <w:sz w:val="24"/>
          <w:highlight w:val="none"/>
          <w:u w:val="dotted"/>
          <w:lang w:val="en-GB"/>
        </w:rPr>
        <w:t>（全称）</w:t>
      </w:r>
      <w:r>
        <w:rPr>
          <w:rFonts w:hint="eastAsia" w:ascii="黑体" w:eastAsia="黑体"/>
          <w:color w:val="auto"/>
          <w:sz w:val="24"/>
          <w:highlight w:val="none"/>
          <w:lang w:val="en-GB"/>
        </w:rPr>
        <w:t>（加盖</w:t>
      </w:r>
      <w:r>
        <w:rPr>
          <w:rFonts w:hint="eastAsia" w:ascii="黑体" w:eastAsia="黑体"/>
          <w:color w:val="auto"/>
          <w:sz w:val="24"/>
          <w:highlight w:val="none"/>
          <w:lang w:val="en-GB" w:eastAsia="zh-CN"/>
        </w:rPr>
        <w:t>投标人</w:t>
      </w:r>
      <w:r>
        <w:rPr>
          <w:rFonts w:hint="eastAsia" w:ascii="黑体" w:eastAsia="黑体"/>
          <w:color w:val="auto"/>
          <w:sz w:val="24"/>
          <w:highlight w:val="none"/>
          <w:lang w:val="en-GB"/>
        </w:rPr>
        <w:t>公章）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法定代表人（或负责人）：（亲笔签名或签章）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委任授权代表：（亲笔签名或签章）</w:t>
      </w:r>
    </w:p>
    <w:p>
      <w:pPr>
        <w:spacing w:line="336" w:lineRule="auto"/>
        <w:ind w:firstLine="480" w:firstLineChars="200"/>
        <w:rPr>
          <w:rFonts w:ascii="黑体" w:eastAsia="黑体"/>
          <w:color w:val="auto"/>
          <w:sz w:val="24"/>
          <w:highlight w:val="none"/>
          <w:lang w:val="en-GB"/>
        </w:rPr>
      </w:pPr>
      <w:r>
        <w:rPr>
          <w:rFonts w:hint="eastAsia" w:ascii="黑体" w:eastAsia="黑体"/>
          <w:color w:val="auto"/>
          <w:sz w:val="24"/>
          <w:highlight w:val="none"/>
          <w:lang w:val="en-GB"/>
        </w:rPr>
        <w:t>生效日期：</w:t>
      </w:r>
      <w:r>
        <w:rPr>
          <w:rFonts w:hint="eastAsia" w:ascii="黑体" w:eastAsia="黑体"/>
          <w:color w:val="auto"/>
          <w:sz w:val="24"/>
          <w:highlight w:val="none"/>
          <w:lang w:val="en-GB" w:eastAsia="zh-CN"/>
        </w:rPr>
        <w:t>2024</w:t>
      </w:r>
      <w:r>
        <w:rPr>
          <w:rFonts w:hint="eastAsia" w:ascii="黑体" w:eastAsia="黑体"/>
          <w:color w:val="auto"/>
          <w:sz w:val="24"/>
          <w:highlight w:val="none"/>
          <w:lang w:val="en-GB"/>
        </w:rPr>
        <w:t>年</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月</w:t>
      </w:r>
      <w:r>
        <w:rPr>
          <w:rFonts w:hint="eastAsia" w:ascii="黑体" w:eastAsia="黑体"/>
          <w:color w:val="auto"/>
          <w:sz w:val="24"/>
          <w:highlight w:val="none"/>
          <w:lang w:val="en-US" w:eastAsia="zh-CN"/>
        </w:rPr>
        <w:t xml:space="preserve">  </w:t>
      </w:r>
      <w:r>
        <w:rPr>
          <w:rFonts w:hint="eastAsia" w:ascii="黑体" w:eastAsia="黑体"/>
          <w:color w:val="auto"/>
          <w:sz w:val="24"/>
          <w:highlight w:val="none"/>
          <w:lang w:val="en-GB"/>
        </w:rPr>
        <w:t>日。</w:t>
      </w:r>
    </w:p>
    <w:p>
      <w:pPr>
        <w:spacing w:line="264" w:lineRule="auto"/>
        <w:ind w:left="420" w:leftChars="200" w:right="363" w:rightChars="173"/>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说明：</w:t>
      </w:r>
    </w:p>
    <w:p>
      <w:pPr>
        <w:spacing w:line="264" w:lineRule="auto"/>
        <w:ind w:left="780" w:leftChars="200" w:right="363" w:rightChars="173"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1、</w:t>
      </w:r>
      <w:r>
        <w:rPr>
          <w:rFonts w:hint="eastAsia" w:asciiTheme="minorEastAsia" w:hAnsiTheme="minorEastAsia" w:eastAsiaTheme="minorEastAsia" w:cstheme="minorEastAsia"/>
          <w:color w:val="auto"/>
          <w:sz w:val="24"/>
          <w:szCs w:val="24"/>
          <w:highlight w:val="none"/>
          <w:u w:val="single"/>
          <w:lang w:val="en-GB"/>
        </w:rPr>
        <w:t>法定代表人</w:t>
      </w:r>
      <w:r>
        <w:rPr>
          <w:rFonts w:hint="eastAsia" w:asciiTheme="minorEastAsia" w:hAnsiTheme="minorEastAsia" w:eastAsiaTheme="minorEastAsia" w:cstheme="minorEastAsia"/>
          <w:color w:val="auto"/>
          <w:sz w:val="24"/>
          <w:szCs w:val="24"/>
          <w:highlight w:val="none"/>
          <w:u w:val="single"/>
        </w:rPr>
        <w:t>/负责人</w:t>
      </w:r>
      <w:r>
        <w:rPr>
          <w:rFonts w:hint="eastAsia" w:asciiTheme="minorEastAsia" w:hAnsiTheme="minorEastAsia" w:eastAsiaTheme="minorEastAsia" w:cstheme="minorEastAsia"/>
          <w:color w:val="auto"/>
          <w:sz w:val="24"/>
          <w:szCs w:val="24"/>
          <w:highlight w:val="none"/>
          <w:u w:val="single"/>
          <w:lang w:val="en-GB"/>
        </w:rPr>
        <w:t>或授权代表人在递交</w:t>
      </w:r>
      <w:r>
        <w:rPr>
          <w:rFonts w:hint="eastAsia" w:asciiTheme="minorEastAsia" w:hAnsiTheme="minorEastAsia" w:eastAsiaTheme="minorEastAsia" w:cstheme="minorEastAsia"/>
          <w:color w:val="auto"/>
          <w:sz w:val="24"/>
          <w:szCs w:val="24"/>
          <w:highlight w:val="none"/>
          <w:u w:val="single"/>
          <w:lang w:val="en-GB" w:eastAsia="zh-CN"/>
        </w:rPr>
        <w:t>竞投</w:t>
      </w:r>
      <w:r>
        <w:rPr>
          <w:rFonts w:hint="eastAsia" w:asciiTheme="minorEastAsia" w:hAnsiTheme="minorEastAsia" w:eastAsiaTheme="minorEastAsia" w:cstheme="minorEastAsia"/>
          <w:color w:val="auto"/>
          <w:sz w:val="24"/>
          <w:szCs w:val="24"/>
          <w:highlight w:val="none"/>
          <w:u w:val="single"/>
          <w:lang w:val="en-GB"/>
        </w:rPr>
        <w:t>文件时，须向</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人员出示此份证明书的原件，否则，</w:t>
      </w:r>
      <w:r>
        <w:rPr>
          <w:rFonts w:hint="eastAsia" w:asciiTheme="minorEastAsia" w:hAnsiTheme="minorEastAsia" w:eastAsiaTheme="minorEastAsia" w:cstheme="minorEastAsia"/>
          <w:color w:val="auto"/>
          <w:sz w:val="24"/>
          <w:szCs w:val="24"/>
          <w:highlight w:val="none"/>
          <w:u w:val="single"/>
          <w:lang w:val="en-GB" w:eastAsia="zh-CN"/>
        </w:rPr>
        <w:t>招标代理机构</w:t>
      </w:r>
      <w:r>
        <w:rPr>
          <w:rFonts w:hint="eastAsia" w:asciiTheme="minorEastAsia" w:hAnsiTheme="minorEastAsia" w:eastAsiaTheme="minorEastAsia" w:cstheme="minorEastAsia"/>
          <w:color w:val="auto"/>
          <w:sz w:val="24"/>
          <w:szCs w:val="24"/>
          <w:highlight w:val="none"/>
          <w:u w:val="single"/>
          <w:lang w:val="en-GB"/>
        </w:rPr>
        <w:t>将</w:t>
      </w:r>
      <w:r>
        <w:rPr>
          <w:rFonts w:hint="eastAsia" w:asciiTheme="minorEastAsia" w:hAnsiTheme="minorEastAsia" w:eastAsiaTheme="minorEastAsia" w:cstheme="minorEastAsia"/>
          <w:color w:val="auto"/>
          <w:sz w:val="24"/>
          <w:szCs w:val="24"/>
          <w:highlight w:val="none"/>
          <w:u w:val="single"/>
        </w:rPr>
        <w:t>有权</w:t>
      </w:r>
      <w:r>
        <w:rPr>
          <w:rFonts w:hint="eastAsia" w:asciiTheme="minorEastAsia" w:hAnsiTheme="minorEastAsia" w:eastAsiaTheme="minorEastAsia" w:cstheme="minorEastAsia"/>
          <w:color w:val="auto"/>
          <w:sz w:val="24"/>
          <w:szCs w:val="24"/>
          <w:highlight w:val="none"/>
          <w:u w:val="single"/>
          <w:lang w:val="en-GB"/>
        </w:rPr>
        <w:t>拒收其</w:t>
      </w:r>
      <w:r>
        <w:rPr>
          <w:rFonts w:hint="eastAsia" w:asciiTheme="minorEastAsia" w:hAnsiTheme="minorEastAsia" w:eastAsiaTheme="minorEastAsia" w:cstheme="minorEastAsia"/>
          <w:color w:val="auto"/>
          <w:sz w:val="24"/>
          <w:szCs w:val="24"/>
          <w:highlight w:val="none"/>
          <w:u w:val="single"/>
          <w:lang w:val="en-GB" w:eastAsia="zh-CN"/>
        </w:rPr>
        <w:t>资格审查</w:t>
      </w:r>
      <w:r>
        <w:rPr>
          <w:rFonts w:hint="eastAsia" w:asciiTheme="minorEastAsia" w:hAnsiTheme="minorEastAsia" w:eastAsiaTheme="minorEastAsia" w:cstheme="minorEastAsia"/>
          <w:color w:val="auto"/>
          <w:sz w:val="24"/>
          <w:szCs w:val="24"/>
          <w:highlight w:val="none"/>
          <w:u w:val="single"/>
          <w:lang w:val="en-GB"/>
        </w:rPr>
        <w:t>文件。</w:t>
      </w:r>
    </w:p>
    <w:p>
      <w:pPr>
        <w:spacing w:line="264" w:lineRule="auto"/>
        <w:ind w:left="780" w:leftChars="200" w:hanging="360" w:hangingChars="150"/>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2、本授权书内容不得擅自删改。如法定代表人（或负责人）亲临现场参与</w:t>
      </w:r>
      <w:r>
        <w:rPr>
          <w:rFonts w:hint="eastAsia" w:asciiTheme="minorEastAsia" w:hAnsiTheme="minorEastAsia" w:eastAsiaTheme="minorEastAsia" w:cstheme="minorEastAsia"/>
          <w:color w:val="auto"/>
          <w:sz w:val="24"/>
          <w:szCs w:val="24"/>
          <w:highlight w:val="none"/>
          <w:lang w:val="en-GB" w:eastAsia="zh-CN"/>
        </w:rPr>
        <w:t>竞投</w:t>
      </w:r>
      <w:r>
        <w:rPr>
          <w:rFonts w:hint="eastAsia" w:asciiTheme="minorEastAsia" w:hAnsiTheme="minorEastAsia" w:eastAsiaTheme="minorEastAsia" w:cstheme="minorEastAsia"/>
          <w:color w:val="auto"/>
          <w:sz w:val="24"/>
          <w:szCs w:val="24"/>
          <w:highlight w:val="none"/>
          <w:lang w:val="en-GB"/>
        </w:rPr>
        <w:t>、决策、签字的，则不需此函。</w:t>
      </w:r>
    </w:p>
    <w:p>
      <w:pPr>
        <w:rPr>
          <w:b/>
          <w:color w:val="auto"/>
          <w:highlight w:val="none"/>
          <w:lang w:val="en-GB"/>
        </w:rPr>
      </w:pPr>
      <w:r>
        <w:rPr>
          <w:rFonts w:hint="eastAsia"/>
          <w:b/>
          <w:color w:val="auto"/>
          <w:highlight w:val="none"/>
          <w:lang w:val="en-GB"/>
        </w:rPr>
        <w:t>附：被授权人的身份证复印件：</w:t>
      </w:r>
    </w:p>
    <w:tbl>
      <w:tblPr>
        <w:tblStyle w:val="1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Ansi="宋体"/>
                <w:color w:val="auto"/>
                <w:sz w:val="24"/>
                <w:highlight w:val="none"/>
              </w:rPr>
            </w:pPr>
            <w:r>
              <w:rPr>
                <w:rFonts w:hint="eastAsia" w:hAnsi="宋体"/>
                <w:color w:val="auto"/>
                <w:sz w:val="24"/>
                <w:highlight w:val="none"/>
              </w:rPr>
              <w:t>此处粘贴授权代表（被授权人）的身份证复印件（双面）</w:t>
            </w:r>
          </w:p>
          <w:p>
            <w:pPr>
              <w:spacing w:line="300" w:lineRule="auto"/>
              <w:jc w:val="center"/>
              <w:rPr>
                <w:rFonts w:hAnsi="宋体"/>
                <w:color w:val="auto"/>
                <w:sz w:val="24"/>
                <w:highlight w:val="none"/>
              </w:rPr>
            </w:pPr>
            <w:r>
              <w:rPr>
                <w:rFonts w:hint="eastAsia" w:hAnsi="宋体"/>
                <w:color w:val="auto"/>
                <w:sz w:val="24"/>
                <w:highlight w:val="none"/>
              </w:rPr>
              <w:t>或直接扫描到此张纸上</w:t>
            </w:r>
          </w:p>
          <w:p>
            <w:pPr>
              <w:spacing w:line="300" w:lineRule="auto"/>
              <w:jc w:val="center"/>
              <w:rPr>
                <w:rFonts w:ascii="宋体"/>
                <w:color w:val="auto"/>
                <w:sz w:val="24"/>
                <w:highlight w:val="none"/>
              </w:rPr>
            </w:pPr>
            <w:r>
              <w:rPr>
                <w:rFonts w:hint="eastAsia" w:hAnsi="宋体"/>
                <w:color w:val="auto"/>
                <w:sz w:val="24"/>
                <w:highlight w:val="none"/>
              </w:rPr>
              <w:t>注：若页面不够位置的，可另行附页，但须紧接此页。</w:t>
            </w:r>
          </w:p>
        </w:tc>
      </w:tr>
    </w:tbl>
    <w:p>
      <w:pPr>
        <w:pStyle w:val="8"/>
        <w:spacing w:after="0" w:line="240" w:lineRule="exact"/>
        <w:ind w:firstLine="480" w:firstLineChars="200"/>
        <w:rPr>
          <w:color w:val="auto"/>
          <w:sz w:val="24"/>
          <w:szCs w:val="24"/>
          <w:highlight w:val="none"/>
        </w:rPr>
      </w:pPr>
      <w:r>
        <w:rPr>
          <w:color w:val="auto"/>
          <w:sz w:val="24"/>
          <w:szCs w:val="24"/>
          <w:highlight w:val="none"/>
        </w:rPr>
        <w:br w:type="page"/>
      </w:r>
    </w:p>
    <w:p>
      <w:pPr>
        <w:spacing w:after="120" w:afterLines="50" w:line="240" w:lineRule="auto"/>
        <w:jc w:val="center"/>
        <w:outlineLvl w:val="2"/>
        <w:rPr>
          <w:rFonts w:hint="eastAsia" w:ascii="宋体" w:hAnsi="宋体"/>
          <w:b/>
          <w:color w:val="auto"/>
          <w:sz w:val="36"/>
          <w:szCs w:val="36"/>
          <w:highlight w:val="none"/>
        </w:rPr>
      </w:pPr>
      <w:bookmarkStart w:id="109" w:name="_Toc22881"/>
      <w:bookmarkStart w:id="110" w:name="_Toc13163"/>
      <w:bookmarkStart w:id="111" w:name="_Toc19084"/>
      <w:bookmarkStart w:id="112" w:name="_Toc31397"/>
      <w:bookmarkStart w:id="113" w:name="_Toc16930"/>
      <w:bookmarkStart w:id="114" w:name="_Toc71"/>
      <w:bookmarkStart w:id="115" w:name="_Toc10658"/>
      <w:bookmarkStart w:id="116" w:name="_Toc16371"/>
      <w:r>
        <w:rPr>
          <w:rFonts w:ascii="宋体" w:hAnsi="宋体"/>
          <w:b/>
          <w:color w:val="auto"/>
          <w:sz w:val="36"/>
          <w:szCs w:val="36"/>
          <w:highlight w:val="none"/>
        </w:rPr>
        <w:t>1.3</w:t>
      </w:r>
      <w:r>
        <w:rPr>
          <w:rFonts w:hint="eastAsia" w:ascii="宋体" w:hAnsi="宋体"/>
          <w:b/>
          <w:color w:val="auto"/>
          <w:sz w:val="36"/>
          <w:szCs w:val="36"/>
          <w:highlight w:val="none"/>
          <w:lang w:eastAsia="zh-CN"/>
        </w:rPr>
        <w:t>竞投</w:t>
      </w:r>
      <w:r>
        <w:rPr>
          <w:rFonts w:hint="eastAsia" w:ascii="宋体" w:hAnsi="宋体"/>
          <w:b/>
          <w:color w:val="auto"/>
          <w:sz w:val="36"/>
          <w:szCs w:val="36"/>
          <w:highlight w:val="none"/>
        </w:rPr>
        <w:t>承诺函</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autoSpaceDE/>
        <w:autoSpaceDN/>
        <w:bidi w:val="0"/>
        <w:adjustRightInd/>
        <w:snapToGrid/>
        <w:spacing w:after="72" w:afterLines="3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cs="宋体"/>
          <w:b/>
          <w:color w:val="auto"/>
          <w:sz w:val="24"/>
          <w:szCs w:val="24"/>
          <w:highlight w:val="none"/>
          <w:lang w:eastAsia="zh-CN"/>
        </w:rPr>
        <w:t>佛山市禅城区南庄镇吉利村上二经济合作社</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广东中采招标有限公司</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》的要求，通过委任的全权代表，向贵方递交密封册装的全套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文件参与下列项目的</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，现为我方的一切</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行为作</w:t>
      </w:r>
      <w:r>
        <w:rPr>
          <w:rFonts w:hint="eastAsia" w:ascii="宋体" w:hAnsi="宋体" w:eastAsia="宋体" w:cs="宋体"/>
          <w:bCs/>
          <w:color w:val="auto"/>
          <w:sz w:val="24"/>
          <w:szCs w:val="24"/>
          <w:highlight w:val="none"/>
        </w:rPr>
        <w:t>郑重承诺及声明如下：</w:t>
      </w:r>
    </w:p>
    <w:p>
      <w:pPr>
        <w:keepNext w:val="0"/>
        <w:keepLines w:val="0"/>
        <w:pageBreakBefore w:val="0"/>
        <w:numPr>
          <w:ilvl w:val="0"/>
          <w:numId w:val="48"/>
        </w:numPr>
        <w:tabs>
          <w:tab w:val="clear" w:pos="420"/>
        </w:tabs>
        <w:kinsoku/>
        <w:wordWrap/>
        <w:overflowPunct/>
        <w:topLinePunct w:val="0"/>
        <w:autoSpaceDE/>
        <w:autoSpaceDN/>
        <w:bidi w:val="0"/>
        <w:adjustRightInd/>
        <w:snapToGrid/>
        <w:spacing w:line="44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吉利上二村车辆停放管理服务</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项目名称  \* MERGEFORMAT </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采购编号  \* MERGEFORMAT </w:instrText>
      </w:r>
      <w:r>
        <w:rPr>
          <w:rFonts w:hint="eastAsia" w:ascii="宋体" w:hAnsi="宋体" w:eastAsia="宋体" w:cs="宋体"/>
          <w:color w:val="auto"/>
          <w:sz w:val="24"/>
          <w:szCs w:val="24"/>
          <w:highlight w:val="none"/>
        </w:rPr>
        <w:fldChar w:fldCharType="end"/>
      </w:r>
    </w:p>
    <w:p>
      <w:pPr>
        <w:keepNext w:val="0"/>
        <w:keepLines w:val="0"/>
        <w:pageBreakBefore w:val="0"/>
        <w:numPr>
          <w:ilvl w:val="0"/>
          <w:numId w:val="48"/>
        </w:numPr>
        <w:tabs>
          <w:tab w:val="left" w:pos="900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我方已认真阅读了全部</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及其相关文件，完全清楚理解其内容要求及规约，对文件的合理性、公正性和程序安排均没有任何异议、质疑和误解之处。</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本资格审查文件</w:t>
      </w:r>
      <w:r>
        <w:rPr>
          <w:rFonts w:hint="eastAsia" w:ascii="宋体" w:hAnsi="宋体" w:eastAsia="宋体" w:cs="宋体"/>
          <w:color w:val="auto"/>
          <w:sz w:val="24"/>
          <w:szCs w:val="24"/>
          <w:highlight w:val="none"/>
          <w:lang w:val="en-GB"/>
        </w:rPr>
        <w:t>自递交</w:t>
      </w:r>
      <w:r>
        <w:rPr>
          <w:rFonts w:hint="eastAsia" w:ascii="宋体" w:hAnsi="宋体" w:eastAsia="宋体" w:cs="宋体"/>
          <w:color w:val="auto"/>
          <w:sz w:val="24"/>
          <w:szCs w:val="24"/>
          <w:highlight w:val="none"/>
          <w:lang w:val="en-GB" w:eastAsia="zh-CN"/>
        </w:rPr>
        <w:t>竞投</w:t>
      </w:r>
      <w:r>
        <w:rPr>
          <w:rFonts w:hint="eastAsia" w:ascii="宋体" w:hAnsi="宋体" w:eastAsia="宋体" w:cs="宋体"/>
          <w:color w:val="auto"/>
          <w:sz w:val="24"/>
          <w:szCs w:val="24"/>
          <w:highlight w:val="none"/>
          <w:lang w:val="en-GB"/>
        </w:rPr>
        <w:t>文件之日起具有不少于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GB"/>
        </w:rPr>
        <w:t>天</w:t>
      </w:r>
      <w:r>
        <w:rPr>
          <w:rFonts w:hint="eastAsia" w:ascii="宋体" w:hAnsi="宋体" w:eastAsia="宋体" w:cs="宋体"/>
          <w:color w:val="auto"/>
          <w:sz w:val="24"/>
          <w:szCs w:val="24"/>
          <w:highlight w:val="none"/>
          <w:lang w:val="en-GB"/>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GB"/>
        </w:rPr>
        <w:t>有效期</w:t>
      </w:r>
      <w:r>
        <w:rPr>
          <w:rFonts w:hint="eastAsia" w:ascii="宋体" w:hAnsi="宋体" w:eastAsia="宋体" w:cs="宋体"/>
          <w:color w:val="auto"/>
          <w:sz w:val="24"/>
          <w:szCs w:val="24"/>
          <w:highlight w:val="none"/>
        </w:rPr>
        <w:t>，若我方获中标资格，</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有效期则相应延长至项目最终验收合格之日，不论在任何时候，定将按贵方的要求在规定时间内如实提供一切补充材料。</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清楚并同意</w:t>
      </w:r>
      <w:r>
        <w:rPr>
          <w:rFonts w:hint="eastAsia" w:ascii="宋体" w:hAnsi="宋体"/>
          <w:color w:val="auto"/>
          <w:sz w:val="24"/>
          <w:szCs w:val="24"/>
          <w:highlight w:val="none"/>
          <w:lang w:val="en-US" w:eastAsia="zh-CN"/>
        </w:rPr>
        <w:t>本项目竞投文件所述的所有带★条款要求。</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完全服从和尊重</w:t>
      </w:r>
      <w:r>
        <w:rPr>
          <w:rFonts w:hint="eastAsia" w:ascii="宋体" w:hAnsi="宋体" w:eastAsia="宋体" w:cs="宋体"/>
          <w:color w:val="auto"/>
          <w:sz w:val="24"/>
          <w:szCs w:val="24"/>
          <w:highlight w:val="none"/>
          <w:lang w:eastAsia="zh-CN"/>
        </w:rPr>
        <w:t>招标人和招标代理机构</w:t>
      </w:r>
      <w:r>
        <w:rPr>
          <w:rFonts w:hint="eastAsia" w:ascii="宋体" w:hAnsi="宋体" w:eastAsia="宋体" w:cs="宋体"/>
          <w:color w:val="auto"/>
          <w:sz w:val="24"/>
          <w:szCs w:val="24"/>
          <w:highlight w:val="none"/>
        </w:rPr>
        <w:t>所作的评审结果，同时清楚理解到</w:t>
      </w:r>
      <w:r>
        <w:rPr>
          <w:rFonts w:hint="eastAsia" w:ascii="宋体" w:hAnsi="宋体" w:eastAsia="宋体" w:cs="宋体"/>
          <w:color w:val="auto"/>
          <w:sz w:val="24"/>
          <w:szCs w:val="24"/>
          <w:highlight w:val="none"/>
          <w:lang w:eastAsia="zh-CN"/>
        </w:rPr>
        <w:t>必须通过资格审查方可参与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竞投，通过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竞投，竞投</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决定中标资格的唯一依据。</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的要求认真履行中标人应尽的义务，若我方行为不当而损害了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的合法权益，我方愿在任何时候无条件承担相应的缔约过失责任和经济赔偿。</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具备独立法人资格，营业执照在有效期内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提供营业执照副本复印件</w:t>
      </w:r>
      <w:r>
        <w:rPr>
          <w:rFonts w:hint="eastAsia" w:ascii="宋体" w:hAnsi="宋体" w:eastAsia="宋体" w:cs="宋体"/>
          <w:color w:val="auto"/>
          <w:sz w:val="24"/>
          <w:szCs w:val="24"/>
          <w:highlight w:val="none"/>
        </w:rPr>
        <w:t>以便核查。</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具有竞投文件所要求的全部资格</w:t>
      </w:r>
      <w:r>
        <w:rPr>
          <w:rFonts w:hint="eastAsia" w:ascii="宋体" w:hAnsi="宋体" w:eastAsia="宋体" w:cs="宋体"/>
          <w:color w:val="auto"/>
          <w:sz w:val="24"/>
          <w:szCs w:val="24"/>
          <w:highlight w:val="none"/>
        </w:rPr>
        <w:t>，可随时向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提交相关证明材料，以便核查。</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我方在参与本次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活动中，不曾以任何不正当的手段影响、串通、排斥有关当事人或谋取、施予非法利益，如有行为不当，愿独自承担此行为所造成的后果和法律责任。</w:t>
      </w:r>
    </w:p>
    <w:p>
      <w:pPr>
        <w:keepNext w:val="0"/>
        <w:keepLines w:val="0"/>
        <w:pageBreakBefore w:val="0"/>
        <w:numPr>
          <w:ilvl w:val="0"/>
          <w:numId w:val="48"/>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竞投文件</w:t>
      </w:r>
      <w:r>
        <w:rPr>
          <w:rFonts w:hint="eastAsia" w:ascii="宋体" w:hAnsi="宋体" w:eastAsia="宋体" w:cs="宋体"/>
          <w:color w:val="auto"/>
          <w:sz w:val="24"/>
          <w:szCs w:val="24"/>
          <w:highlight w:val="none"/>
        </w:rPr>
        <w:t>规定向贵方缴纳</w:t>
      </w:r>
      <w:r>
        <w:rPr>
          <w:rFonts w:hint="eastAsia" w:ascii="宋体" w:hAnsi="宋体" w:eastAsia="宋体" w:cs="宋体"/>
          <w:color w:val="auto"/>
          <w:sz w:val="24"/>
          <w:szCs w:val="24"/>
          <w:highlight w:val="none"/>
          <w:lang w:eastAsia="zh-CN"/>
        </w:rPr>
        <w:t>招标代理费和评估费</w:t>
      </w:r>
      <w:r>
        <w:rPr>
          <w:rFonts w:hint="eastAsia" w:ascii="宋体" w:hAnsi="宋体" w:cs="宋体"/>
          <w:color w:val="auto"/>
          <w:sz w:val="24"/>
          <w:szCs w:val="24"/>
          <w:highlight w:val="none"/>
          <w:lang w:eastAsia="zh-CN"/>
        </w:rPr>
        <w:t>（如有）</w:t>
      </w:r>
      <w:r>
        <w:rPr>
          <w:rFonts w:hint="eastAsia" w:ascii="宋体" w:hAnsi="宋体" w:eastAsia="宋体" w:cs="宋体"/>
          <w:color w:val="auto"/>
          <w:sz w:val="24"/>
          <w:szCs w:val="24"/>
          <w:highlight w:val="none"/>
        </w:rPr>
        <w:t>，并按《</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》的要求，如期签订合同并履行其一切责任和义务。</w:t>
      </w:r>
    </w:p>
    <w:p>
      <w:pPr>
        <w:keepNext w:val="0"/>
        <w:keepLines w:val="0"/>
        <w:pageBreakBefore w:val="0"/>
        <w:numPr>
          <w:ilvl w:val="0"/>
          <w:numId w:val="48"/>
        </w:numPr>
        <w:tabs>
          <w:tab w:val="left" w:pos="72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我方不存在</w:t>
      </w:r>
      <w:r>
        <w:rPr>
          <w:rFonts w:hint="eastAsia" w:ascii="宋体" w:hAnsi="宋体" w:cs="宋体"/>
          <w:color w:val="auto"/>
          <w:sz w:val="24"/>
          <w:highlight w:val="none"/>
        </w:rPr>
        <w:t>单位负责人为同一人或者存在控股、管理关系的不同单位参加</w:t>
      </w:r>
      <w:r>
        <w:rPr>
          <w:rFonts w:hint="eastAsia" w:ascii="宋体" w:hAnsi="宋体" w:cs="宋体"/>
          <w:color w:val="auto"/>
          <w:sz w:val="24"/>
          <w:highlight w:val="none"/>
          <w:lang w:eastAsia="zh-CN"/>
        </w:rPr>
        <w:t>本</w:t>
      </w:r>
      <w:r>
        <w:rPr>
          <w:rFonts w:hint="eastAsia" w:ascii="宋体" w:hAnsi="宋体" w:cs="宋体"/>
          <w:color w:val="auto"/>
          <w:sz w:val="24"/>
          <w:highlight w:val="none"/>
        </w:rPr>
        <w:t>项目投标</w:t>
      </w:r>
      <w:r>
        <w:rPr>
          <w:rFonts w:hint="eastAsia" w:ascii="宋体" w:hAnsi="宋体" w:cs="宋体"/>
          <w:color w:val="auto"/>
          <w:sz w:val="24"/>
          <w:highlight w:val="none"/>
          <w:lang w:eastAsia="zh-CN"/>
        </w:rPr>
        <w:t>的情况</w:t>
      </w:r>
      <w:r>
        <w:rPr>
          <w:rFonts w:hint="eastAsia" w:ascii="宋体" w:hAnsi="宋体" w:cs="宋体"/>
          <w:color w:val="auto"/>
          <w:sz w:val="24"/>
          <w:highlight w:val="none"/>
        </w:rPr>
        <w:t>；</w:t>
      </w:r>
    </w:p>
    <w:p>
      <w:pPr>
        <w:keepNext w:val="0"/>
        <w:keepLines w:val="0"/>
        <w:pageBreakBefore w:val="0"/>
        <w:numPr>
          <w:ilvl w:val="0"/>
          <w:numId w:val="48"/>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本承诺函效力及范围均涵盖我方整套</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rPr>
        <w:t>文件和一切补充文件。</w:t>
      </w:r>
    </w:p>
    <w:p>
      <w:pPr>
        <w:pStyle w:val="2"/>
        <w:rPr>
          <w:rFonts w:hint="eastAsia"/>
          <w:color w:val="auto"/>
          <w:highlight w:val="none"/>
          <w:lang w:val="en-GB"/>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名称：</w:t>
      </w:r>
      <w:r>
        <w:rPr>
          <w:rFonts w:hint="eastAsia" w:ascii="宋体" w:hAnsi="宋体" w:eastAsia="宋体" w:cs="宋体"/>
          <w:color w:val="auto"/>
          <w:sz w:val="24"/>
          <w:szCs w:val="24"/>
          <w:highlight w:val="none"/>
          <w:u w:val="dotted"/>
          <w:lang w:val="en-GB"/>
        </w:rPr>
        <w:t>（全称）</w:t>
      </w:r>
      <w:r>
        <w:rPr>
          <w:rFonts w:hint="eastAsia" w:ascii="宋体" w:hAnsi="宋体" w:eastAsia="宋体" w:cs="宋体"/>
          <w:color w:val="auto"/>
          <w:sz w:val="24"/>
          <w:szCs w:val="24"/>
          <w:highlight w:val="none"/>
          <w:lang w:val="en-GB"/>
        </w:rPr>
        <w:t>（加盖</w:t>
      </w:r>
      <w:r>
        <w:rPr>
          <w:rFonts w:hint="eastAsia" w:ascii="宋体" w:hAnsi="宋体" w:cs="宋体"/>
          <w:color w:val="auto"/>
          <w:sz w:val="24"/>
          <w:szCs w:val="24"/>
          <w:highlight w:val="none"/>
          <w:lang w:val="en-GB" w:eastAsia="zh-CN"/>
        </w:rPr>
        <w:t>投标人</w:t>
      </w:r>
      <w:r>
        <w:rPr>
          <w:rFonts w:hint="eastAsia" w:ascii="宋体" w:hAnsi="宋体" w:eastAsia="宋体" w:cs="宋体"/>
          <w:color w:val="auto"/>
          <w:sz w:val="24"/>
          <w:szCs w:val="24"/>
          <w:highlight w:val="none"/>
          <w:lang w:val="en-GB"/>
        </w:rPr>
        <w:t>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GB"/>
        </w:rPr>
        <w:t>（或授权代表）：（亲笔签名或签章）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420" w:right="363" w:rightChars="173" w:hanging="480" w:hangingChars="200"/>
        <w:textAlignment w:val="auto"/>
        <w:rPr>
          <w:rFonts w:hint="eastAsia" w:ascii="宋体" w:hAnsi="宋体" w:eastAsia="宋体" w:cs="宋体"/>
          <w:color w:val="auto"/>
          <w:sz w:val="24"/>
          <w:szCs w:val="24"/>
          <w:highlight w:val="none"/>
          <w:lang w:val="en-GB"/>
        </w:rPr>
      </w:pPr>
      <w:bookmarkStart w:id="117" w:name="_投标承诺函"/>
      <w:bookmarkEnd w:id="117"/>
      <w:bookmarkStart w:id="118" w:name="_法人代表授权书"/>
      <w:bookmarkEnd w:id="118"/>
      <w:r>
        <w:rPr>
          <w:rFonts w:hint="eastAsia" w:ascii="宋体" w:hAnsi="宋体" w:eastAsia="宋体" w:cs="宋体"/>
          <w:color w:val="auto"/>
          <w:sz w:val="24"/>
          <w:szCs w:val="24"/>
          <w:highlight w:val="none"/>
          <w:lang w:val="en-GB"/>
        </w:rPr>
        <w:t>说明：本承诺函内容不得擅自删改。</w:t>
      </w:r>
    </w:p>
    <w:p>
      <w:pPr>
        <w:spacing w:after="0" w:afterLines="0" w:line="240" w:lineRule="auto"/>
        <w:ind w:left="0" w:leftChars="0" w:right="363" w:rightChars="173"/>
        <w:jc w:val="center"/>
        <w:outlineLvl w:val="9"/>
        <w:rPr>
          <w:rFonts w:ascii="宋体"/>
          <w:b/>
          <w:color w:val="auto"/>
          <w:szCs w:val="21"/>
          <w:highlight w:val="none"/>
        </w:rPr>
      </w:pPr>
      <w:r>
        <w:rPr>
          <w:rFonts w:ascii="宋体"/>
          <w:b/>
          <w:color w:val="auto"/>
          <w:szCs w:val="21"/>
          <w:highlight w:val="none"/>
        </w:rPr>
        <w:br w:type="page"/>
      </w:r>
      <w:bookmarkStart w:id="119" w:name="_Toc4427"/>
      <w:bookmarkStart w:id="120" w:name="_Toc23201"/>
      <w:bookmarkStart w:id="121" w:name="_Toc31961"/>
      <w:bookmarkStart w:id="122" w:name="_Toc19853"/>
      <w:bookmarkStart w:id="123" w:name="_Toc15939"/>
      <w:bookmarkStart w:id="124" w:name="_Toc13623"/>
      <w:bookmarkStart w:id="125" w:name="_Toc13584"/>
    </w:p>
    <w:p>
      <w:pPr>
        <w:spacing w:after="0" w:afterLines="0" w:line="240" w:lineRule="auto"/>
        <w:ind w:left="0" w:leftChars="0" w:right="363" w:rightChars="173"/>
        <w:jc w:val="center"/>
        <w:outlineLvl w:val="9"/>
        <w:rPr>
          <w:rFonts w:ascii="宋体"/>
          <w:b/>
          <w:color w:val="auto"/>
          <w:szCs w:val="21"/>
          <w:highlight w:val="none"/>
        </w:rPr>
      </w:pPr>
    </w:p>
    <w:p>
      <w:pPr>
        <w:spacing w:after="0" w:afterLines="0" w:line="240" w:lineRule="auto"/>
        <w:ind w:left="0" w:leftChars="0" w:right="363" w:rightChars="173"/>
        <w:jc w:val="center"/>
        <w:outlineLvl w:val="9"/>
        <w:rPr>
          <w:rFonts w:hint="eastAsia" w:ascii="宋体" w:hAnsi="宋体"/>
          <w:b/>
          <w:color w:val="auto"/>
          <w:sz w:val="36"/>
          <w:szCs w:val="36"/>
          <w:highlight w:val="none"/>
        </w:rPr>
      </w:pPr>
      <w:r>
        <w:rPr>
          <w:rFonts w:ascii="宋体" w:hAnsi="宋体"/>
          <w:b/>
          <w:color w:val="auto"/>
          <w:sz w:val="36"/>
          <w:szCs w:val="36"/>
          <w:highlight w:val="none"/>
        </w:rPr>
        <w:t>1.</w:t>
      </w:r>
      <w:r>
        <w:rPr>
          <w:rFonts w:hint="eastAsia" w:ascii="宋体" w:hAnsi="宋体"/>
          <w:b/>
          <w:color w:val="auto"/>
          <w:sz w:val="36"/>
          <w:szCs w:val="36"/>
          <w:highlight w:val="none"/>
          <w:lang w:val="en-US" w:eastAsia="zh-CN"/>
        </w:rPr>
        <w:t>4</w:t>
      </w:r>
      <w:r>
        <w:rPr>
          <w:rFonts w:hint="eastAsia" w:ascii="宋体" w:hAnsi="宋体"/>
          <w:b/>
          <w:color w:val="auto"/>
          <w:sz w:val="36"/>
          <w:szCs w:val="36"/>
          <w:highlight w:val="none"/>
        </w:rPr>
        <w:t>资格声明函</w:t>
      </w:r>
      <w:bookmarkEnd w:id="119"/>
      <w:bookmarkEnd w:id="120"/>
      <w:bookmarkEnd w:id="121"/>
      <w:bookmarkEnd w:id="122"/>
      <w:bookmarkEnd w:id="123"/>
      <w:bookmarkEnd w:id="124"/>
      <w:bookmarkEnd w:id="125"/>
    </w:p>
    <w:p>
      <w:pPr>
        <w:pStyle w:val="6"/>
        <w:rPr>
          <w:rFonts w:hint="eastAsia" w:ascii="宋体" w:hAnsi="宋体"/>
          <w:b/>
          <w:color w:val="auto"/>
          <w:sz w:val="36"/>
          <w:szCs w:val="36"/>
          <w:highlight w:val="none"/>
        </w:rPr>
      </w:pPr>
    </w:p>
    <w:p>
      <w:pPr>
        <w:rPr>
          <w:color w:val="auto"/>
          <w:highlight w:val="none"/>
        </w:rPr>
      </w:pPr>
    </w:p>
    <w:p>
      <w:pPr>
        <w:spacing w:line="360" w:lineRule="auto"/>
        <w:rPr>
          <w:rFonts w:hint="eastAsia" w:ascii="宋体" w:eastAsia="宋体"/>
          <w:b/>
          <w:bCs/>
          <w:color w:val="auto"/>
          <w:sz w:val="24"/>
          <w:szCs w:val="24"/>
          <w:highlight w:val="none"/>
          <w:lang w:eastAsia="zh-CN"/>
        </w:rPr>
      </w:pPr>
      <w:r>
        <w:rPr>
          <w:rFonts w:hint="eastAsia" w:ascii="宋体" w:hAnsi="宋体"/>
          <w:b/>
          <w:bCs/>
          <w:color w:val="auto"/>
          <w:sz w:val="24"/>
          <w:szCs w:val="24"/>
          <w:highlight w:val="none"/>
        </w:rPr>
        <w:t>致：</w:t>
      </w:r>
      <w:r>
        <w:rPr>
          <w:rFonts w:hint="eastAsia" w:ascii="宋体" w:hAnsi="宋体"/>
          <w:b/>
          <w:bCs/>
          <w:color w:val="auto"/>
          <w:sz w:val="24"/>
          <w:szCs w:val="24"/>
          <w:highlight w:val="none"/>
          <w:lang w:eastAsia="zh-CN"/>
        </w:rPr>
        <w:t>佛山市禅城区南庄镇吉利村上二经济合作社</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广东中采招标有限公司</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我公司承诺具备</w:t>
      </w:r>
      <w:r>
        <w:rPr>
          <w:rFonts w:hint="eastAsia" w:ascii="宋体" w:hAnsi="宋体" w:eastAsia="宋体"/>
          <w:color w:val="auto"/>
          <w:sz w:val="24"/>
          <w:szCs w:val="24"/>
          <w:highlight w:val="none"/>
          <w:lang w:eastAsia="zh-CN"/>
        </w:rPr>
        <w:t>竞投文件所要求的资格</w:t>
      </w:r>
      <w:r>
        <w:rPr>
          <w:rFonts w:hint="eastAsia" w:ascii="宋体" w:hAnsi="宋体" w:eastAsia="宋体"/>
          <w:color w:val="auto"/>
          <w:sz w:val="24"/>
          <w:szCs w:val="24"/>
          <w:highlight w:val="none"/>
        </w:rPr>
        <w:t>条件。</w:t>
      </w:r>
    </w:p>
    <w:p>
      <w:pPr>
        <w:pStyle w:val="39"/>
        <w:numPr>
          <w:ilvl w:val="0"/>
          <w:numId w:val="49"/>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具有独立法人资格，营业执照处于有效期内</w:t>
      </w:r>
      <w:r>
        <w:rPr>
          <w:rFonts w:hint="eastAsia" w:ascii="宋体" w:hAnsi="宋体" w:eastAsia="宋体"/>
          <w:color w:val="auto"/>
          <w:sz w:val="24"/>
          <w:szCs w:val="24"/>
          <w:highlight w:val="none"/>
          <w:lang w:val="en-US" w:eastAsia="zh-CN"/>
        </w:rPr>
        <w:t>。</w:t>
      </w:r>
    </w:p>
    <w:p>
      <w:pPr>
        <w:pStyle w:val="39"/>
        <w:numPr>
          <w:ilvl w:val="0"/>
          <w:numId w:val="49"/>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本项目不接受联合体竞投。</w:t>
      </w:r>
    </w:p>
    <w:p>
      <w:pPr>
        <w:pStyle w:val="39"/>
        <w:numPr>
          <w:ilvl w:val="0"/>
          <w:numId w:val="49"/>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满足本项目竞投文件所述的所有带★条款要求。</w:t>
      </w:r>
    </w:p>
    <w:p>
      <w:pPr>
        <w:pStyle w:val="39"/>
        <w:numPr>
          <w:ilvl w:val="0"/>
          <w:numId w:val="49"/>
        </w:numPr>
        <w:spacing w:line="360" w:lineRule="auto"/>
        <w:ind w:left="425" w:leftChars="0" w:hanging="5"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法律、行政法规规定的其他条件。</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(1)单位负责人为同一人或者存在直接控股、管理关系的不同投标人，不得同时参加本项目竞投；</w:t>
      </w:r>
    </w:p>
    <w:p>
      <w:pPr>
        <w:pStyle w:val="39"/>
        <w:spacing w:line="360" w:lineRule="auto"/>
        <w:ind w:firstLine="600" w:firstLineChars="25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投标单位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注：提供的加盖公章的相关文件复印件请附后。</w:t>
      </w: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法定代表人/负责人（或授权代表）：（亲笔签字或签章）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名称：（加盖</w:t>
      </w: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公章）</w:t>
      </w:r>
    </w:p>
    <w:p>
      <w:pPr>
        <w:pStyle w:val="39"/>
        <w:spacing w:line="360" w:lineRule="auto"/>
        <w:ind w:firstLine="600" w:firstLineChars="2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color w:val="auto"/>
          <w:sz w:val="24"/>
          <w:szCs w:val="24"/>
          <w:highlight w:val="none"/>
          <w:lang w:eastAsia="zh-CN"/>
        </w:rPr>
        <w:t>2024</w:t>
      </w:r>
      <w:r>
        <w:rPr>
          <w:rFonts w:hint="eastAsia" w:ascii="宋体" w:hAnsi="宋体" w:eastAsia="宋体"/>
          <w:color w:val="auto"/>
          <w:sz w:val="24"/>
          <w:szCs w:val="24"/>
          <w:highlight w:val="none"/>
        </w:rPr>
        <w:t>年月日</w:t>
      </w:r>
    </w:p>
    <w:p>
      <w:pPr>
        <w:spacing w:line="360" w:lineRule="auto"/>
        <w:ind w:left="420" w:leftChars="200"/>
        <w:rPr>
          <w:rFonts w:ascii="宋体"/>
          <w:color w:val="auto"/>
          <w:sz w:val="28"/>
          <w:szCs w:val="28"/>
          <w:highlight w:val="none"/>
        </w:rPr>
      </w:pPr>
    </w:p>
    <w:p>
      <w:pPr>
        <w:jc w:val="center"/>
        <w:rPr>
          <w:rFonts w:hint="eastAsia" w:ascii="宋体" w:hAnsi="宋体"/>
          <w:b/>
          <w:color w:val="auto"/>
          <w:sz w:val="36"/>
          <w:szCs w:val="36"/>
          <w:highlight w:val="none"/>
          <w:lang w:eastAsia="zh-CN"/>
        </w:rPr>
      </w:pPr>
      <w:bookmarkStart w:id="126" w:name="_Toc2432"/>
      <w:bookmarkEnd w:id="126"/>
      <w:bookmarkStart w:id="127" w:name="_Toc1349"/>
      <w:bookmarkStart w:id="128" w:name="_Toc14120"/>
      <w:r>
        <w:rPr>
          <w:rFonts w:hint="eastAsia" w:ascii="宋体" w:hAnsi="宋体"/>
          <w:b/>
          <w:color w:val="auto"/>
          <w:sz w:val="36"/>
          <w:szCs w:val="36"/>
          <w:highlight w:val="none"/>
          <w:lang w:eastAsia="zh-CN"/>
        </w:rPr>
        <w:t>资格声明函附件资料</w:t>
      </w:r>
    </w:p>
    <w:p>
      <w:pPr>
        <w:pStyle w:val="6"/>
        <w:rPr>
          <w:rFonts w:hint="eastAsia"/>
          <w:color w:val="auto"/>
          <w:highlight w:val="none"/>
          <w:lang w:eastAsia="zh-CN"/>
        </w:rPr>
      </w:pPr>
    </w:p>
    <w:p>
      <w:pPr>
        <w:pStyle w:val="39"/>
        <w:numPr>
          <w:ilvl w:val="0"/>
          <w:numId w:val="50"/>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营业执照副本复印件</w:t>
      </w:r>
    </w:p>
    <w:p>
      <w:pPr>
        <w:pStyle w:val="39"/>
        <w:numPr>
          <w:ilvl w:val="0"/>
          <w:numId w:val="50"/>
        </w:numPr>
        <w:spacing w:line="360" w:lineRule="auto"/>
        <w:ind w:left="425" w:leftChars="0" w:hanging="425" w:firstLineChars="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相关</w:t>
      </w:r>
      <w:r>
        <w:rPr>
          <w:rFonts w:hint="eastAsia" w:ascii="宋体" w:hAnsi="宋体"/>
          <w:color w:val="auto"/>
          <w:szCs w:val="21"/>
          <w:highlight w:val="none"/>
          <w:lang w:eastAsia="zh-CN"/>
        </w:rPr>
        <w:t>信用</w:t>
      </w:r>
      <w:r>
        <w:rPr>
          <w:rFonts w:hint="eastAsia" w:ascii="宋体" w:hAnsi="宋体" w:eastAsia="宋体"/>
          <w:color w:val="auto"/>
          <w:szCs w:val="21"/>
          <w:highlight w:val="none"/>
          <w:lang w:eastAsia="zh-CN"/>
        </w:rPr>
        <w:t>证明文件：</w:t>
      </w:r>
      <w:bookmarkStart w:id="129" w:name="_Toc27093"/>
    </w:p>
    <w:p>
      <w:pPr>
        <w:jc w:val="left"/>
        <w:outlineLvl w:val="2"/>
        <w:rPr>
          <w:rFonts w:hint="eastAsia"/>
          <w:color w:val="auto"/>
          <w:highlight w:val="none"/>
          <w:lang w:eastAsia="zh-CN"/>
        </w:rPr>
      </w:pPr>
    </w:p>
    <w:p>
      <w:pPr>
        <w:rPr>
          <w:rFonts w:hint="eastAsia"/>
          <w:color w:val="auto"/>
          <w:sz w:val="36"/>
          <w:szCs w:val="36"/>
          <w:highlight w:val="none"/>
        </w:rPr>
      </w:pPr>
      <w:bookmarkStart w:id="130" w:name="_Toc13824"/>
      <w:r>
        <w:rPr>
          <w:rFonts w:hint="eastAsia"/>
          <w:color w:val="auto"/>
          <w:sz w:val="36"/>
          <w:szCs w:val="36"/>
          <w:highlight w:val="none"/>
        </w:rPr>
        <w:br w:type="page"/>
      </w:r>
    </w:p>
    <w:p>
      <w:pPr>
        <w:jc w:val="center"/>
        <w:outlineLvl w:val="2"/>
        <w:rPr>
          <w:color w:val="auto"/>
          <w:sz w:val="36"/>
          <w:szCs w:val="36"/>
          <w:highlight w:val="none"/>
        </w:rPr>
      </w:pPr>
      <w:r>
        <w:rPr>
          <w:rFonts w:hint="eastAsia"/>
          <w:color w:val="auto"/>
          <w:sz w:val="36"/>
          <w:szCs w:val="36"/>
          <w:highlight w:val="none"/>
        </w:rPr>
        <w:t>网上信用记录证明</w:t>
      </w:r>
      <w:bookmarkEnd w:id="129"/>
      <w:bookmarkEnd w:id="130"/>
    </w:p>
    <w:p>
      <w:pPr>
        <w:pStyle w:val="38"/>
        <w:numPr>
          <w:ilvl w:val="0"/>
          <w:numId w:val="51"/>
        </w:numPr>
        <w:spacing w:line="360" w:lineRule="auto"/>
        <w:ind w:left="425" w:leftChars="0" w:hanging="425" w:firstLineChars="0"/>
        <w:rPr>
          <w:rFonts w:ascii="宋体" w:hAnsi="宋体"/>
          <w:color w:val="auto"/>
          <w:szCs w:val="21"/>
          <w:highlight w:val="none"/>
        </w:rPr>
      </w:pPr>
      <w:r>
        <w:rPr>
          <w:rFonts w:ascii="宋体" w:hAnsi="宋体"/>
          <w:color w:val="auto"/>
          <w:szCs w:val="21"/>
          <w:highlight w:val="none"/>
        </w:rPr>
        <w:t>“信用中国”网站（www.creditchina.gov.cn）中企业信用信息</w:t>
      </w:r>
      <w:r>
        <w:rPr>
          <w:rFonts w:hint="eastAsia" w:ascii="宋体" w:hAnsi="宋体"/>
          <w:color w:val="auto"/>
          <w:szCs w:val="21"/>
          <w:highlight w:val="none"/>
        </w:rPr>
        <w:t>查询结果；</w:t>
      </w:r>
    </w:p>
    <w:p>
      <w:pPr>
        <w:pStyle w:val="39"/>
        <w:spacing w:line="360" w:lineRule="auto"/>
        <w:ind w:firstLine="482" w:firstLineChars="200"/>
        <w:rPr>
          <w:rFonts w:ascii="宋体" w:hAnsi="宋体"/>
          <w:b/>
          <w:color w:val="auto"/>
          <w:szCs w:val="21"/>
          <w:highlight w:val="none"/>
        </w:rPr>
      </w:pPr>
      <w:r>
        <w:rPr>
          <w:rFonts w:hint="eastAsia" w:ascii="宋体" w:hAnsi="宋体"/>
          <w:b/>
          <w:color w:val="auto"/>
          <w:szCs w:val="21"/>
          <w:highlight w:val="none"/>
        </w:rPr>
        <w:t>要求：</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“信用中国”</w:t>
      </w:r>
      <w:r>
        <w:rPr>
          <w:rFonts w:hint="eastAsia" w:ascii="宋体" w:hAnsi="宋体"/>
          <w:color w:val="auto"/>
          <w:szCs w:val="21"/>
          <w:highlight w:val="none"/>
        </w:rPr>
        <w:t>官网网站的查询时间不能早于本项目采购公告发布之日。</w:t>
      </w:r>
    </w:p>
    <w:p>
      <w:pPr>
        <w:pStyle w:val="39"/>
        <w:spacing w:line="360" w:lineRule="auto"/>
        <w:ind w:firstLine="600" w:firstLineChars="25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“信用中国”</w:t>
      </w:r>
      <w:r>
        <w:rPr>
          <w:rFonts w:hint="eastAsia" w:ascii="宋体" w:hAnsi="宋体"/>
          <w:color w:val="auto"/>
          <w:szCs w:val="21"/>
          <w:highlight w:val="none"/>
        </w:rPr>
        <w:t>网站查询结果可提供网页打印件或截图，或下载打印信用报告。相关资料须体现</w:t>
      </w:r>
      <w:r>
        <w:rPr>
          <w:rFonts w:hint="eastAsia" w:ascii="宋体" w:hAnsi="宋体"/>
          <w:color w:val="auto"/>
          <w:szCs w:val="21"/>
          <w:highlight w:val="none"/>
          <w:lang w:eastAsia="zh-CN"/>
        </w:rPr>
        <w:t>投标人</w:t>
      </w:r>
      <w:r>
        <w:rPr>
          <w:rFonts w:hint="eastAsia" w:ascii="宋体" w:hAnsi="宋体"/>
          <w:color w:val="auto"/>
          <w:szCs w:val="21"/>
          <w:highlight w:val="none"/>
        </w:rPr>
        <w:t>全称、查询网址和查询结果，查询界面须能体现“基础信息、行政许可、行政处罚、守信激励、失信惩戒、重点关注、资质资格、风险提示、其他”，或直接下载打印信用报告。</w:t>
      </w:r>
    </w:p>
    <w:p>
      <w:pPr>
        <w:pStyle w:val="39"/>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）查询结果如显示无</w:t>
      </w:r>
      <w:r>
        <w:rPr>
          <w:rFonts w:hint="eastAsia" w:ascii="宋体" w:hAnsi="宋体"/>
          <w:color w:val="auto"/>
          <w:szCs w:val="21"/>
          <w:highlight w:val="none"/>
          <w:lang w:eastAsia="zh-CN"/>
        </w:rPr>
        <w:t>投标人</w:t>
      </w:r>
      <w:r>
        <w:rPr>
          <w:rFonts w:hint="eastAsia" w:ascii="宋体" w:hAnsi="宋体"/>
          <w:color w:val="auto"/>
          <w:szCs w:val="21"/>
          <w:highlight w:val="none"/>
        </w:rPr>
        <w:t>信息或没有该企业相关记录的，亦须按照上述要求打印网页或截图。</w:t>
      </w:r>
    </w:p>
    <w:p>
      <w:pPr>
        <w:pStyle w:val="39"/>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）查询页面显示的关键内容见下图标注指引。</w:t>
      </w:r>
    </w:p>
    <w:p>
      <w:pPr>
        <w:pStyle w:val="39"/>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pPr>
        <w:pStyle w:val="39"/>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1.上述资格性证明文件属性是打印件的，应将打印件加盖公章；文件属性为截图的，直接复制粘贴在后打印加盖公章。</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w:t>
      </w: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须如实提供网上信用记录证明，</w:t>
      </w:r>
      <w:r>
        <w:rPr>
          <w:rFonts w:hint="eastAsia" w:asciiTheme="minorEastAsia" w:hAnsiTheme="minorEastAsia" w:eastAsiaTheme="minorEastAsia" w:cstheme="minorEastAsia"/>
          <w:b/>
          <w:color w:val="auto"/>
          <w:highlight w:val="none"/>
          <w:lang w:eastAsia="zh-CN"/>
        </w:rPr>
        <w:t>招标人</w:t>
      </w:r>
      <w:r>
        <w:rPr>
          <w:rFonts w:hint="eastAsia" w:asciiTheme="minorEastAsia" w:hAnsiTheme="minorEastAsia" w:eastAsiaTheme="minorEastAsia" w:cstheme="minorEastAsia"/>
          <w:b/>
          <w:color w:val="auto"/>
          <w:highlight w:val="none"/>
        </w:rPr>
        <w:t>将在资格审查时对其真实性和有效性进行审查、验证，如有造假或情况不一致，将导致投标无效！</w:t>
      </w:r>
    </w:p>
    <w:p>
      <w:pPr>
        <w:pStyle w:val="40"/>
        <w:tabs>
          <w:tab w:val="left" w:pos="510"/>
        </w:tabs>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3.信用中国官方网站地址：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
          <w:color w:val="auto"/>
          <w:highlight w:val="none"/>
        </w:rPr>
        <w:t>https://www.creditchina.gov.cn/</w:t>
      </w:r>
      <w:r>
        <w:rPr>
          <w:rFonts w:hint="eastAsia" w:asciiTheme="minorEastAsia" w:hAnsiTheme="minorEastAsia" w:eastAsiaTheme="minorEastAsia" w:cstheme="minorEastAsia"/>
          <w:b/>
          <w:color w:val="auto"/>
          <w:highlight w:val="none"/>
        </w:rPr>
        <w:fldChar w:fldCharType="end"/>
      </w:r>
    </w:p>
    <w:p>
      <w:pPr>
        <w:pStyle w:val="40"/>
        <w:tabs>
          <w:tab w:val="left" w:pos="510"/>
        </w:tabs>
        <w:spacing w:line="360" w:lineRule="auto"/>
        <w:rPr>
          <w:b/>
          <w:color w:val="auto"/>
          <w:highlight w:val="none"/>
        </w:rPr>
      </w:pPr>
    </w:p>
    <w:p>
      <w:pPr>
        <w:pStyle w:val="40"/>
        <w:tabs>
          <w:tab w:val="left" w:pos="510"/>
        </w:tabs>
        <w:spacing w:line="360" w:lineRule="auto"/>
        <w:rPr>
          <w:b/>
          <w:color w:val="auto"/>
          <w:highlight w:val="none"/>
        </w:rPr>
      </w:pPr>
      <w:r>
        <w:rPr>
          <w:rFonts w:hint="eastAsia"/>
          <w:b/>
          <w:color w:val="auto"/>
          <w:highlight w:val="none"/>
        </w:rPr>
        <w:t>网站界面参考图：</w:t>
      </w:r>
    </w:p>
    <w:p>
      <w:pPr>
        <w:pStyle w:val="40"/>
        <w:tabs>
          <w:tab w:val="left" w:pos="510"/>
        </w:tabs>
        <w:spacing w:line="360" w:lineRule="auto"/>
        <w:rPr>
          <w:b/>
          <w:color w:val="auto"/>
          <w:highlight w:val="none"/>
        </w:rPr>
      </w:pPr>
      <w:r>
        <w:rPr>
          <w:color w:val="auto"/>
          <w:highlight w:val="none"/>
        </w:rPr>
        <w:drawing>
          <wp:inline distT="0" distB="0" distL="114300" distR="114300">
            <wp:extent cx="6091555" cy="3405505"/>
            <wp:effectExtent l="0" t="0" r="4445" b="4445"/>
            <wp:docPr id="15" name="图片 3"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说明: 说明: C:\Users\yu\Documents\Tencent Files\56133984\Image\Group\F{N78Z(C5%)2S$MR8(NEC[Q.jpg"/>
                    <pic:cNvPicPr>
                      <a:picLocks noChangeAspect="1"/>
                    </pic:cNvPicPr>
                  </pic:nvPicPr>
                  <pic:blipFill>
                    <a:blip r:embed="rId16"/>
                    <a:stretch>
                      <a:fillRect/>
                    </a:stretch>
                  </pic:blipFill>
                  <pic:spPr>
                    <a:xfrm>
                      <a:off x="0" y="0"/>
                      <a:ext cx="6091555" cy="3405505"/>
                    </a:xfrm>
                    <a:prstGeom prst="rect">
                      <a:avLst/>
                    </a:prstGeom>
                    <a:noFill/>
                    <a:ln w="9525">
                      <a:noFill/>
                    </a:ln>
                    <a:effectLst/>
                  </pic:spPr>
                </pic:pic>
              </a:graphicData>
            </a:graphic>
          </wp:inline>
        </w:drawing>
      </w:r>
    </w:p>
    <w:p>
      <w:pPr>
        <w:jc w:val="center"/>
        <w:outlineLvl w:val="2"/>
        <w:rPr>
          <w:rFonts w:hint="eastAsia"/>
          <w:color w:val="auto"/>
          <w:highlight w:val="none"/>
        </w:rPr>
      </w:pPr>
      <w:bookmarkStart w:id="131" w:name="_Toc26331"/>
      <w:r>
        <w:rPr>
          <w:rFonts w:hint="eastAsia"/>
          <w:color w:val="auto"/>
          <w:highlight w:val="none"/>
        </w:rPr>
        <w:br w:type="page"/>
      </w:r>
      <w:bookmarkEnd w:id="127"/>
      <w:bookmarkEnd w:id="128"/>
      <w:bookmarkEnd w:id="131"/>
      <w:bookmarkStart w:id="132" w:name="_Toc334432603"/>
    </w:p>
    <w:p>
      <w:pPr>
        <w:jc w:val="center"/>
        <w:outlineLvl w:val="2"/>
        <w:rPr>
          <w:rFonts w:hint="eastAsia"/>
          <w:color w:val="auto"/>
          <w:highlight w:val="none"/>
        </w:rPr>
      </w:pPr>
    </w:p>
    <w:p>
      <w:pPr>
        <w:jc w:val="center"/>
        <w:outlineLvl w:val="2"/>
        <w:rPr>
          <w:rFonts w:hint="eastAsia"/>
          <w:color w:val="auto"/>
          <w:highlight w:val="none"/>
        </w:rPr>
      </w:pPr>
    </w:p>
    <w:p>
      <w:pPr>
        <w:jc w:val="center"/>
        <w:outlineLvl w:val="2"/>
        <w:rPr>
          <w:rFonts w:hint="eastAsia" w:ascii="宋体" w:hAnsi="宋体"/>
          <w:b/>
          <w:color w:val="auto"/>
          <w:sz w:val="32"/>
          <w:szCs w:val="32"/>
          <w:highlight w:val="none"/>
        </w:rPr>
      </w:pPr>
      <w:bookmarkStart w:id="133" w:name="_Toc20260"/>
      <w:r>
        <w:rPr>
          <w:rFonts w:hint="eastAsia" w:ascii="宋体" w:hAnsi="宋体" w:eastAsia="宋体" w:cs="Times New Roman"/>
          <w:b/>
          <w:color w:val="auto"/>
          <w:sz w:val="32"/>
          <w:szCs w:val="32"/>
          <w:highlight w:val="none"/>
          <w:lang w:val="en-US" w:eastAsia="zh-CN"/>
        </w:rPr>
        <w:t>1.5</w:t>
      </w:r>
      <w:r>
        <w:rPr>
          <w:rFonts w:hint="eastAsia" w:ascii="宋体" w:hAnsi="宋体" w:eastAsia="宋体"/>
          <w:b/>
          <w:color w:val="auto"/>
          <w:sz w:val="32"/>
          <w:szCs w:val="32"/>
          <w:highlight w:val="none"/>
          <w:lang w:eastAsia="zh-CN"/>
        </w:rPr>
        <w:t>竞投</w:t>
      </w:r>
      <w:r>
        <w:rPr>
          <w:rFonts w:hint="eastAsia" w:ascii="宋体" w:hAnsi="宋体"/>
          <w:b/>
          <w:color w:val="auto"/>
          <w:sz w:val="32"/>
          <w:szCs w:val="32"/>
          <w:highlight w:val="none"/>
        </w:rPr>
        <w:t>保证金</w:t>
      </w:r>
      <w:bookmarkEnd w:id="133"/>
    </w:p>
    <w:p>
      <w:pPr>
        <w:pStyle w:val="6"/>
        <w:rPr>
          <w:rFonts w:hint="eastAsia" w:ascii="宋体" w:hAnsi="宋体"/>
          <w:b/>
          <w:color w:val="auto"/>
          <w:sz w:val="24"/>
          <w:szCs w:val="24"/>
          <w:highlight w:val="none"/>
        </w:rPr>
      </w:pPr>
    </w:p>
    <w:p>
      <w:pPr>
        <w:rPr>
          <w:color w:val="auto"/>
          <w:sz w:val="24"/>
          <w:szCs w:val="24"/>
          <w:highlight w:val="none"/>
        </w:rPr>
      </w:pPr>
    </w:p>
    <w:p>
      <w:pPr>
        <w:spacing w:line="360" w:lineRule="auto"/>
        <w:rPr>
          <w:rFonts w:hint="eastAsia" w:ascii="宋体" w:eastAsia="宋体"/>
          <w:color w:val="auto"/>
          <w:sz w:val="24"/>
          <w:szCs w:val="24"/>
          <w:highlight w:val="none"/>
          <w:lang w:eastAsia="zh-CN"/>
        </w:rPr>
      </w:pPr>
      <w:r>
        <w:rPr>
          <w:rFonts w:hint="eastAsia" w:ascii="宋体" w:hAnsi="宋体"/>
          <w:color w:val="auto"/>
          <w:sz w:val="24"/>
          <w:szCs w:val="24"/>
          <w:highlight w:val="none"/>
        </w:rPr>
        <w:t>附：</w:t>
      </w:r>
    </w:p>
    <w:tbl>
      <w:tblPr>
        <w:tblStyle w:val="1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9570" w:type="dxa"/>
            <w:noWrap w:val="0"/>
            <w:vAlign w:val="top"/>
          </w:tcPr>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jc w:val="center"/>
              <w:rPr>
                <w:rFonts w:hint="default" w:ascii="宋体" w:eastAsia="宋体"/>
                <w:color w:val="auto"/>
                <w:sz w:val="24"/>
                <w:szCs w:val="24"/>
                <w:highlight w:val="none"/>
                <w:lang w:val="en-US" w:eastAsia="zh-CN"/>
              </w:rPr>
            </w:pPr>
            <w:r>
              <w:rPr>
                <w:rFonts w:hint="eastAsia" w:ascii="宋体" w:hAnsi="宋体"/>
                <w:color w:val="auto"/>
                <w:sz w:val="24"/>
                <w:szCs w:val="24"/>
                <w:highlight w:val="none"/>
                <w:lang w:eastAsia="zh-CN"/>
              </w:rPr>
              <w:t>竞投保证金转账凭证复印件</w:t>
            </w:r>
            <w:r>
              <w:rPr>
                <w:rFonts w:hint="eastAsia" w:ascii="宋体" w:hAnsi="宋体"/>
                <w:color w:val="auto"/>
                <w:sz w:val="24"/>
                <w:szCs w:val="24"/>
                <w:highlight w:val="none"/>
                <w:lang w:val="en-US" w:eastAsia="zh-CN"/>
              </w:rPr>
              <w:t>/扫描件</w:t>
            </w:r>
          </w:p>
        </w:tc>
      </w:tr>
    </w:tbl>
    <w:p>
      <w:pPr>
        <w:pStyle w:val="6"/>
        <w:ind w:firstLine="400"/>
        <w:rPr>
          <w:color w:val="auto"/>
          <w:highlight w:val="none"/>
        </w:rPr>
      </w:pPr>
    </w:p>
    <w:p>
      <w:pPr>
        <w:rPr>
          <w:color w:val="auto"/>
          <w:highlight w:val="none"/>
        </w:rPr>
      </w:pPr>
    </w:p>
    <w:p>
      <w:pPr>
        <w:rPr>
          <w:b/>
          <w:color w:val="auto"/>
          <w:highlight w:val="none"/>
        </w:rPr>
      </w:pPr>
    </w:p>
    <w:p>
      <w:pPr>
        <w:jc w:val="center"/>
        <w:rPr>
          <w:b/>
          <w:bCs/>
          <w:color w:val="auto"/>
          <w:sz w:val="22"/>
          <w:szCs w:val="28"/>
          <w:highlight w:val="none"/>
        </w:rPr>
      </w:pPr>
    </w:p>
    <w:p>
      <w:pPr>
        <w:jc w:val="center"/>
        <w:rPr>
          <w:b/>
          <w:bCs/>
          <w:color w:val="auto"/>
          <w:sz w:val="28"/>
          <w:szCs w:val="28"/>
          <w:highlight w:val="none"/>
        </w:rPr>
      </w:pPr>
      <w:r>
        <w:rPr>
          <w:rFonts w:hint="eastAsia"/>
          <w:b/>
          <w:bCs/>
          <w:color w:val="auto"/>
          <w:sz w:val="28"/>
          <w:szCs w:val="28"/>
          <w:highlight w:val="none"/>
        </w:rPr>
        <w:t>退</w:t>
      </w:r>
      <w:r>
        <w:rPr>
          <w:rFonts w:hint="eastAsia"/>
          <w:b/>
          <w:bCs/>
          <w:color w:val="auto"/>
          <w:sz w:val="28"/>
          <w:szCs w:val="28"/>
          <w:highlight w:val="none"/>
          <w:lang w:eastAsia="zh-CN"/>
        </w:rPr>
        <w:t>竞投保证金</w:t>
      </w:r>
      <w:r>
        <w:rPr>
          <w:rFonts w:hint="eastAsia"/>
          <w:b/>
          <w:bCs/>
          <w:color w:val="auto"/>
          <w:sz w:val="28"/>
          <w:szCs w:val="28"/>
          <w:highlight w:val="none"/>
        </w:rPr>
        <w:t>说明</w:t>
      </w:r>
    </w:p>
    <w:p>
      <w:pPr>
        <w:jc w:val="center"/>
        <w:rPr>
          <w:b/>
          <w:bCs/>
          <w:color w:val="auto"/>
          <w:sz w:val="22"/>
          <w:szCs w:val="28"/>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我方为</w:t>
      </w:r>
      <w:r>
        <w:rPr>
          <w:rFonts w:hint="eastAsia" w:ascii="宋体" w:hAnsi="宋体" w:cs="宋体"/>
          <w:color w:val="auto"/>
          <w:sz w:val="24"/>
          <w:szCs w:val="24"/>
          <w:highlight w:val="none"/>
          <w:lang w:eastAsia="zh-CN"/>
        </w:rPr>
        <w:t>吉利上二村车辆停放管理服务</w:t>
      </w:r>
      <w:r>
        <w:rPr>
          <w:rFonts w:hint="eastAsia" w:ascii="宋体" w:hAnsi="宋体" w:eastAsia="宋体" w:cs="宋体"/>
          <w:color w:val="auto"/>
          <w:sz w:val="24"/>
          <w:szCs w:val="24"/>
          <w:highlight w:val="none"/>
          <w:lang w:eastAsia="zh-CN"/>
        </w:rPr>
        <w:t>竞投</w:t>
      </w:r>
      <w:r>
        <w:rPr>
          <w:rFonts w:hint="eastAsia" w:ascii="宋体" w:hAnsi="宋体" w:eastAsia="宋体" w:cs="宋体"/>
          <w:color w:val="auto"/>
          <w:sz w:val="24"/>
          <w:szCs w:val="24"/>
          <w:highlight w:val="none"/>
        </w:rPr>
        <w:t>所提交的</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，请贵司退还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时按以下账号划款：</w:t>
      </w:r>
    </w:p>
    <w:tbl>
      <w:tblPr>
        <w:tblStyle w:val="19"/>
        <w:tblW w:w="95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029"/>
        <w:gridCol w:w="1100"/>
        <w:gridCol w:w="2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收款人地址</w:t>
            </w:r>
          </w:p>
        </w:tc>
        <w:tc>
          <w:tcPr>
            <w:tcW w:w="7174" w:type="dxa"/>
            <w:gridSpan w:val="3"/>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开户银行（具体到XX银行XX支行）</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9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029" w:type="dxa"/>
            <w:tcBorders>
              <w:tl2br w:val="nil"/>
              <w:tr2bl w:val="nil"/>
            </w:tcBorders>
            <w:noWrap w:val="0"/>
            <w:vAlign w:val="top"/>
          </w:tcPr>
          <w:p>
            <w:pPr>
              <w:rPr>
                <w:rFonts w:hint="eastAsia" w:ascii="宋体" w:hAnsi="宋体" w:eastAsia="宋体" w:cs="宋体"/>
                <w:color w:val="auto"/>
                <w:sz w:val="24"/>
                <w:szCs w:val="24"/>
                <w:highlight w:val="none"/>
              </w:rPr>
            </w:pPr>
          </w:p>
        </w:tc>
        <w:tc>
          <w:tcPr>
            <w:tcW w:w="1100" w:type="dxa"/>
            <w:tcBorders>
              <w:tl2br w:val="nil"/>
              <w:tr2bl w:val="nil"/>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5" w:type="dxa"/>
            <w:tcBorders>
              <w:tl2br w:val="nil"/>
              <w:tr2bl w:val="nil"/>
            </w:tcBorders>
            <w:noWrap w:val="0"/>
            <w:vAlign w:val="top"/>
          </w:tcPr>
          <w:p>
            <w:pPr>
              <w:rPr>
                <w:rFonts w:hint="eastAsia" w:ascii="宋体" w:hAnsi="宋体" w:eastAsia="宋体" w:cs="宋体"/>
                <w:color w:val="auto"/>
                <w:sz w:val="24"/>
                <w:szCs w:val="24"/>
                <w:highlight w:val="none"/>
              </w:rPr>
            </w:pPr>
          </w:p>
        </w:tc>
      </w:tr>
    </w:tbl>
    <w:p>
      <w:pPr>
        <w:spacing w:line="360" w:lineRule="auto"/>
        <w:jc w:val="center"/>
        <w:outlineLvl w:val="2"/>
        <w:rPr>
          <w:rFonts w:hint="eastAsia" w:ascii="宋体" w:hAnsi="宋体" w:eastAsia="宋体" w:cs="宋体"/>
          <w:color w:val="auto"/>
          <w:sz w:val="24"/>
          <w:szCs w:val="24"/>
          <w:highlight w:val="none"/>
        </w:rPr>
      </w:pPr>
      <w:bookmarkStart w:id="134" w:name="_Toc4845"/>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代理机构按规定允许退还</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时，将按其提供的“退</w:t>
      </w:r>
      <w:r>
        <w:rPr>
          <w:rFonts w:hint="eastAsia" w:ascii="宋体" w:hAnsi="宋体" w:cs="宋体"/>
          <w:color w:val="auto"/>
          <w:sz w:val="24"/>
          <w:szCs w:val="24"/>
          <w:highlight w:val="none"/>
          <w:lang w:eastAsia="zh-CN"/>
        </w:rPr>
        <w:t>竞投保证金</w:t>
      </w:r>
      <w:r>
        <w:rPr>
          <w:rFonts w:hint="eastAsia" w:ascii="宋体" w:hAnsi="宋体" w:eastAsia="宋体" w:cs="宋体"/>
          <w:color w:val="auto"/>
          <w:sz w:val="24"/>
          <w:szCs w:val="24"/>
          <w:highlight w:val="none"/>
        </w:rPr>
        <w:t>说明”退</w:t>
      </w:r>
      <w:bookmarkEnd w:id="134"/>
    </w:p>
    <w:p>
      <w:pPr>
        <w:spacing w:line="360" w:lineRule="auto"/>
        <w:jc w:val="both"/>
        <w:outlineLvl w:val="2"/>
        <w:rPr>
          <w:rFonts w:hint="eastAsia"/>
          <w:color w:val="auto"/>
          <w:highlight w:val="none"/>
        </w:rPr>
      </w:pPr>
      <w:bookmarkStart w:id="135" w:name="_Toc18967"/>
      <w:r>
        <w:rPr>
          <w:rFonts w:hint="eastAsia" w:ascii="宋体" w:hAnsi="宋体" w:eastAsia="宋体" w:cs="宋体"/>
          <w:color w:val="auto"/>
          <w:sz w:val="24"/>
          <w:szCs w:val="24"/>
          <w:highlight w:val="none"/>
        </w:rPr>
        <w:t>还</w:t>
      </w:r>
      <w:r>
        <w:rPr>
          <w:rFonts w:hint="eastAsia" w:ascii="宋体" w:hAnsi="宋体" w:cs="宋体"/>
          <w:color w:val="auto"/>
          <w:sz w:val="24"/>
          <w:szCs w:val="24"/>
          <w:highlight w:val="none"/>
          <w:lang w:eastAsia="zh-CN"/>
        </w:rPr>
        <w:t>竞投保证金</w:t>
      </w:r>
      <w:r>
        <w:rPr>
          <w:rFonts w:hint="eastAsia" w:ascii="宋体" w:hAnsi="宋体"/>
          <w:color w:val="auto"/>
          <w:highlight w:val="none"/>
        </w:rPr>
        <w:t>。</w:t>
      </w:r>
      <w:r>
        <w:rPr>
          <w:rFonts w:ascii="宋体"/>
          <w:color w:val="auto"/>
          <w:highlight w:val="none"/>
        </w:rPr>
        <w:br w:type="page"/>
      </w:r>
      <w:bookmarkEnd w:id="135"/>
    </w:p>
    <w:p>
      <w:pPr>
        <w:spacing w:line="360" w:lineRule="auto"/>
        <w:jc w:val="center"/>
        <w:outlineLvl w:val="2"/>
        <w:rPr>
          <w:rFonts w:ascii="宋体"/>
          <w:b/>
          <w:color w:val="auto"/>
          <w:sz w:val="32"/>
          <w:szCs w:val="32"/>
          <w:highlight w:val="none"/>
        </w:rPr>
      </w:pPr>
      <w:bookmarkStart w:id="136" w:name="_Toc29623"/>
      <w:r>
        <w:rPr>
          <w:rFonts w:hint="eastAsia" w:ascii="宋体" w:hAnsi="宋体" w:eastAsia="宋体" w:cs="Times New Roman"/>
          <w:b/>
          <w:color w:val="auto"/>
          <w:spacing w:val="0"/>
          <w:sz w:val="32"/>
          <w:szCs w:val="32"/>
          <w:highlight w:val="none"/>
          <w:lang w:val="en-US" w:eastAsia="zh-CN"/>
        </w:rPr>
        <w:t>1.</w:t>
      </w:r>
      <w:bookmarkEnd w:id="132"/>
      <w:bookmarkStart w:id="137" w:name="_Toc28989"/>
      <w:bookmarkStart w:id="138" w:name="_Toc27101"/>
      <w:bookmarkStart w:id="139" w:name="_Toc6596"/>
      <w:bookmarkStart w:id="140" w:name="_Toc22028"/>
      <w:bookmarkStart w:id="141" w:name="_Toc7712"/>
      <w:bookmarkStart w:id="142" w:name="_Toc11487"/>
      <w:bookmarkStart w:id="143" w:name="_Toc13491"/>
      <w:r>
        <w:rPr>
          <w:rFonts w:hint="eastAsia" w:ascii="宋体" w:hAnsi="宋体" w:eastAsia="宋体" w:cs="Times New Roman"/>
          <w:b/>
          <w:color w:val="auto"/>
          <w:spacing w:val="0"/>
          <w:sz w:val="32"/>
          <w:szCs w:val="32"/>
          <w:highlight w:val="none"/>
          <w:lang w:val="en-US" w:eastAsia="zh-CN"/>
        </w:rPr>
        <w:t>6</w:t>
      </w:r>
      <w:r>
        <w:rPr>
          <w:rFonts w:hint="eastAsia" w:ascii="宋体" w:hAnsi="宋体"/>
          <w:b/>
          <w:color w:val="auto"/>
          <w:sz w:val="32"/>
          <w:szCs w:val="32"/>
          <w:highlight w:val="none"/>
        </w:rPr>
        <w:t>其他文件资料及说明</w:t>
      </w:r>
      <w:bookmarkEnd w:id="136"/>
      <w:bookmarkEnd w:id="137"/>
      <w:bookmarkEnd w:id="138"/>
      <w:bookmarkEnd w:id="139"/>
      <w:bookmarkEnd w:id="140"/>
      <w:bookmarkEnd w:id="141"/>
      <w:bookmarkEnd w:id="142"/>
      <w:bookmarkEnd w:id="143"/>
    </w:p>
    <w:p>
      <w:pPr>
        <w:spacing w:line="360" w:lineRule="auto"/>
        <w:rPr>
          <w:rFonts w:ascii="宋体"/>
          <w:color w:val="auto"/>
          <w:sz w:val="24"/>
          <w:highlight w:val="none"/>
        </w:rPr>
      </w:pPr>
    </w:p>
    <w:p>
      <w:pPr>
        <w:spacing w:line="480" w:lineRule="auto"/>
        <w:ind w:firstLine="720" w:firstLineChars="240"/>
        <w:rPr>
          <w:rFonts w:hint="eastAsia" w:ascii="宋体" w:hAnsi="宋体"/>
          <w:color w:val="auto"/>
          <w:sz w:val="30"/>
          <w:szCs w:val="30"/>
          <w:highlight w:val="none"/>
        </w:rPr>
      </w:pPr>
      <w:r>
        <w:rPr>
          <w:rFonts w:hint="eastAsia" w:ascii="宋体" w:hAnsi="宋体"/>
          <w:color w:val="auto"/>
          <w:sz w:val="30"/>
          <w:szCs w:val="30"/>
          <w:highlight w:val="none"/>
        </w:rPr>
        <w:t>本节内容为</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认为有必要提供的其他文件材料，因此所提交的内容和编制格式等均不受任何限制，一切递交情况由</w:t>
      </w:r>
      <w:r>
        <w:rPr>
          <w:rFonts w:hint="eastAsia" w:ascii="宋体" w:hAnsi="宋体"/>
          <w:color w:val="auto"/>
          <w:sz w:val="30"/>
          <w:szCs w:val="30"/>
          <w:highlight w:val="none"/>
          <w:lang w:eastAsia="zh-CN"/>
        </w:rPr>
        <w:t>投标人</w:t>
      </w:r>
      <w:r>
        <w:rPr>
          <w:rFonts w:hint="eastAsia" w:ascii="宋体" w:hAnsi="宋体"/>
          <w:color w:val="auto"/>
          <w:sz w:val="30"/>
          <w:szCs w:val="30"/>
          <w:highlight w:val="none"/>
        </w:rPr>
        <w:t>自行决定和设计排版。</w:t>
      </w:r>
    </w:p>
    <w:p>
      <w:pPr>
        <w:pStyle w:val="6"/>
        <w:rPr>
          <w:rFonts w:hint="eastAsia" w:ascii="宋体" w:hAnsi="宋体"/>
          <w:color w:val="auto"/>
          <w:sz w:val="30"/>
          <w:szCs w:val="30"/>
          <w:highlight w:val="none"/>
        </w:rPr>
      </w:pPr>
    </w:p>
    <w:p>
      <w:pPr>
        <w:rPr>
          <w:color w:val="auto"/>
          <w:highlight w:val="none"/>
        </w:rPr>
      </w:pPr>
    </w:p>
    <w:p>
      <w:pPr>
        <w:snapToGrid w:val="0"/>
        <w:spacing w:line="480" w:lineRule="auto"/>
        <w:rPr>
          <w:rFonts w:ascii="宋体"/>
          <w:color w:val="auto"/>
          <w:sz w:val="24"/>
          <w:highlight w:val="none"/>
        </w:rPr>
      </w:pPr>
    </w:p>
    <w:p>
      <w:pPr>
        <w:snapToGrid w:val="0"/>
        <w:rPr>
          <w:rFonts w:ascii="宋体"/>
          <w:color w:val="auto"/>
          <w:sz w:val="18"/>
          <w:szCs w:val="18"/>
          <w:highlight w:val="none"/>
        </w:rPr>
      </w:pPr>
      <w:r>
        <w:rPr>
          <w:rFonts w:ascii="宋体"/>
          <w:color w:val="auto"/>
          <w:sz w:val="24"/>
          <w:highlight w:val="none"/>
        </w:rPr>
        <w:br w:type="page"/>
      </w:r>
    </w:p>
    <w:p>
      <w:pPr>
        <w:spacing w:line="360" w:lineRule="auto"/>
        <w:jc w:val="center"/>
        <w:outlineLvl w:val="2"/>
        <w:rPr>
          <w:rFonts w:ascii="宋体"/>
          <w:b/>
          <w:bCs/>
          <w:color w:val="auto"/>
          <w:sz w:val="44"/>
          <w:szCs w:val="44"/>
          <w:highlight w:val="none"/>
        </w:rPr>
      </w:pPr>
      <w:bookmarkStart w:id="144" w:name="_Toc49329276"/>
      <w:bookmarkStart w:id="145" w:name="_Toc334432604"/>
      <w:bookmarkStart w:id="146" w:name="_Toc16582"/>
      <w:bookmarkStart w:id="147" w:name="_Toc17774"/>
      <w:bookmarkStart w:id="148" w:name="_Toc7194"/>
      <w:bookmarkStart w:id="149" w:name="_Toc13202"/>
      <w:bookmarkStart w:id="150" w:name="_Toc30561"/>
      <w:bookmarkStart w:id="151" w:name="_Toc17925"/>
      <w:bookmarkStart w:id="152" w:name="_Toc374378439"/>
      <w:bookmarkStart w:id="153" w:name="_Toc22689"/>
      <w:r>
        <w:rPr>
          <w:rFonts w:hint="eastAsia" w:ascii="宋体" w:hAnsi="宋体"/>
          <w:b/>
          <w:bCs/>
          <w:color w:val="auto"/>
          <w:sz w:val="44"/>
          <w:szCs w:val="44"/>
          <w:highlight w:val="none"/>
        </w:rPr>
        <w:t>文件包装袋</w:t>
      </w:r>
      <w:bookmarkEnd w:id="144"/>
      <w:r>
        <w:rPr>
          <w:rFonts w:hint="eastAsia" w:ascii="宋体" w:hAnsi="宋体"/>
          <w:b/>
          <w:bCs/>
          <w:color w:val="auto"/>
          <w:sz w:val="44"/>
          <w:szCs w:val="44"/>
          <w:highlight w:val="none"/>
        </w:rPr>
        <w:t>封面标贴格式</w:t>
      </w:r>
      <w:bookmarkEnd w:id="145"/>
      <w:bookmarkEnd w:id="146"/>
      <w:bookmarkEnd w:id="147"/>
      <w:bookmarkEnd w:id="148"/>
      <w:bookmarkEnd w:id="149"/>
      <w:bookmarkEnd w:id="150"/>
      <w:bookmarkEnd w:id="151"/>
      <w:bookmarkEnd w:id="152"/>
      <w:bookmarkEnd w:id="153"/>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ascii="宋体"/>
                <w:color w:val="auto"/>
                <w:sz w:val="18"/>
                <w:szCs w:val="18"/>
                <w:highlight w:val="none"/>
              </w:rPr>
            </w:pPr>
          </w:p>
          <w:p>
            <w:pPr>
              <w:jc w:val="center"/>
              <w:rPr>
                <w:rFonts w:ascii="宋体"/>
                <w:b/>
                <w:color w:val="auto"/>
                <w:sz w:val="48"/>
                <w:szCs w:val="48"/>
                <w:highlight w:val="none"/>
              </w:rPr>
            </w:pPr>
          </w:p>
          <w:p>
            <w:pPr>
              <w:jc w:val="center"/>
              <w:rPr>
                <w:rFonts w:ascii="宋体"/>
                <w:b/>
                <w:bCs/>
                <w:color w:val="auto"/>
                <w:sz w:val="24"/>
                <w:highlight w:val="none"/>
              </w:rPr>
            </w:pPr>
          </w:p>
          <w:p>
            <w:pPr>
              <w:jc w:val="center"/>
              <w:rPr>
                <w:rFonts w:ascii="宋体"/>
                <w:b/>
                <w:bCs/>
                <w:color w:val="auto"/>
                <w:sz w:val="24"/>
                <w:highlight w:val="none"/>
                <w:lang w:val="en-GB"/>
              </w:rPr>
            </w:pPr>
          </w:p>
          <w:p>
            <w:pPr>
              <w:jc w:val="center"/>
              <w:rPr>
                <w:rFonts w:ascii="宋体"/>
                <w:b/>
                <w:bCs/>
                <w:color w:val="auto"/>
                <w:sz w:val="24"/>
                <w:highlight w:val="none"/>
                <w:lang w:val="en-GB"/>
              </w:rPr>
            </w:pPr>
          </w:p>
          <w:p>
            <w:pPr>
              <w:spacing w:line="360" w:lineRule="auto"/>
              <w:jc w:val="center"/>
              <w:rPr>
                <w:rFonts w:ascii="宋体"/>
                <w:b/>
                <w:bCs/>
                <w:color w:val="auto"/>
                <w:sz w:val="72"/>
                <w:szCs w:val="72"/>
                <w:highlight w:val="none"/>
              </w:rPr>
            </w:pPr>
            <w:r>
              <w:rPr>
                <w:rFonts w:hint="eastAsia" w:ascii="宋体" w:hAnsi="宋体"/>
                <w:b/>
                <w:bCs/>
                <w:color w:val="auto"/>
                <w:sz w:val="72"/>
                <w:szCs w:val="72"/>
                <w:highlight w:val="none"/>
                <w:lang w:eastAsia="zh-CN"/>
              </w:rPr>
              <w:t>资格审查</w:t>
            </w:r>
            <w:r>
              <w:rPr>
                <w:rFonts w:hint="eastAsia" w:ascii="宋体" w:hAnsi="宋体"/>
                <w:b/>
                <w:bCs/>
                <w:color w:val="auto"/>
                <w:sz w:val="72"/>
                <w:szCs w:val="72"/>
                <w:highlight w:val="none"/>
              </w:rPr>
              <w:t>文件</w:t>
            </w:r>
          </w:p>
          <w:p>
            <w:pPr>
              <w:jc w:val="center"/>
              <w:rPr>
                <w:rFonts w:ascii="宋体"/>
                <w:b/>
                <w:bCs/>
                <w:color w:val="auto"/>
                <w:sz w:val="24"/>
                <w:highlight w:val="none"/>
                <w:lang w:val="en-GB"/>
              </w:rPr>
            </w:pPr>
          </w:p>
          <w:p>
            <w:pPr>
              <w:spacing w:line="300" w:lineRule="auto"/>
              <w:jc w:val="center"/>
              <w:rPr>
                <w:rFonts w:ascii="宋体"/>
                <w:color w:val="auto"/>
                <w:sz w:val="24"/>
                <w:highlight w:val="none"/>
              </w:rPr>
            </w:pPr>
            <w:r>
              <w:rPr>
                <w:rFonts w:hint="eastAsia" w:ascii="宋体" w:hAnsi="宋体"/>
                <w:bCs/>
                <w:color w:val="auto"/>
                <w:sz w:val="24"/>
                <w:highlight w:val="none"/>
                <w:lang w:val="en-GB"/>
              </w:rPr>
              <w:t>密封内容：</w:t>
            </w:r>
            <w:r>
              <w:rPr>
                <w:rFonts w:hint="eastAsia" w:ascii="宋体" w:hAnsi="宋体"/>
                <w:color w:val="auto"/>
                <w:sz w:val="24"/>
                <w:highlight w:val="none"/>
                <w:lang w:eastAsia="zh-CN"/>
              </w:rPr>
              <w:t>资格审查</w:t>
            </w:r>
            <w:r>
              <w:rPr>
                <w:rFonts w:hint="eastAsia" w:ascii="宋体" w:hAnsi="宋体"/>
                <w:color w:val="auto"/>
                <w:sz w:val="24"/>
                <w:highlight w:val="none"/>
              </w:rPr>
              <w:t>文件（□正本</w:t>
            </w:r>
            <w:r>
              <w:rPr>
                <w:rFonts w:ascii="宋体" w:hAnsi="宋体"/>
                <w:color w:val="auto"/>
                <w:sz w:val="24"/>
                <w:highlight w:val="none"/>
              </w:rPr>
              <w:t>/</w:t>
            </w:r>
            <w:r>
              <w:rPr>
                <w:rFonts w:hint="eastAsia" w:ascii="宋体" w:hAnsi="宋体"/>
                <w:color w:val="auto"/>
                <w:sz w:val="24"/>
                <w:highlight w:val="none"/>
              </w:rPr>
              <w:t>□副本</w:t>
            </w:r>
            <w:r>
              <w:rPr>
                <w:rFonts w:ascii="宋体" w:hAnsi="宋体"/>
                <w:color w:val="auto"/>
                <w:sz w:val="24"/>
                <w:highlight w:val="none"/>
              </w:rPr>
              <w:t>/</w:t>
            </w:r>
            <w:r>
              <w:rPr>
                <w:rFonts w:hint="eastAsia" w:ascii="宋体" w:hAnsi="宋体"/>
                <w:color w:val="auto"/>
                <w:sz w:val="24"/>
                <w:highlight w:val="none"/>
              </w:rPr>
              <w:t>□电子光盘）</w:t>
            </w:r>
          </w:p>
          <w:p>
            <w:pPr>
              <w:spacing w:line="360" w:lineRule="auto"/>
              <w:jc w:val="center"/>
              <w:rPr>
                <w:rFonts w:ascii="宋体"/>
                <w:b/>
                <w:color w:val="auto"/>
                <w:szCs w:val="21"/>
                <w:highlight w:val="none"/>
                <w:lang w:val="en-GB"/>
              </w:rPr>
            </w:pPr>
            <w:r>
              <w:rPr>
                <w:rFonts w:hint="eastAsia" w:ascii="宋体" w:hAnsi="宋体"/>
                <w:b/>
                <w:color w:val="auto"/>
                <w:szCs w:val="21"/>
                <w:highlight w:val="none"/>
                <w:lang w:eastAsia="zh-CN"/>
              </w:rPr>
              <w:t>投标人</w:t>
            </w:r>
            <w:r>
              <w:rPr>
                <w:rFonts w:hint="eastAsia" w:ascii="宋体" w:hAnsi="宋体"/>
                <w:b/>
                <w:color w:val="auto"/>
                <w:szCs w:val="21"/>
                <w:highlight w:val="none"/>
                <w:lang w:val="en-GB"/>
              </w:rPr>
              <w:t>于密封前自行对上述资料的密封情况进行自查，并于相应“□”处中打“√”</w:t>
            </w:r>
          </w:p>
          <w:p>
            <w:pPr>
              <w:ind w:firstLine="2474" w:firstLineChars="1027"/>
              <w:rPr>
                <w:rFonts w:ascii="宋体"/>
                <w:b/>
                <w:color w:val="auto"/>
                <w:sz w:val="24"/>
                <w:szCs w:val="36"/>
                <w:highlight w:val="none"/>
                <w:lang w:val="en-GB"/>
              </w:rPr>
            </w:pPr>
          </w:p>
          <w:p>
            <w:pPr>
              <w:spacing w:line="360" w:lineRule="auto"/>
              <w:ind w:right="145" w:rightChars="69"/>
              <w:jc w:val="center"/>
              <w:rPr>
                <w:rFonts w:hint="eastAsia" w:ascii="宋体" w:eastAsia="宋体"/>
                <w:b/>
                <w:color w:val="auto"/>
                <w:sz w:val="24"/>
                <w:highlight w:val="none"/>
                <w:lang w:val="en-GB" w:eastAsia="zh-CN"/>
              </w:rPr>
            </w:pPr>
            <w:r>
              <w:rPr>
                <w:rFonts w:hint="eastAsia" w:ascii="宋体" w:hAnsi="宋体"/>
                <w:b/>
                <w:bCs/>
                <w:color w:val="auto"/>
                <w:sz w:val="24"/>
                <w:highlight w:val="none"/>
              </w:rPr>
              <w:t>项目名称</w:t>
            </w:r>
            <w:r>
              <w:rPr>
                <w:rFonts w:hint="eastAsia" w:ascii="宋体" w:hAnsi="宋体"/>
                <w:b/>
                <w:color w:val="auto"/>
                <w:sz w:val="24"/>
                <w:highlight w:val="none"/>
                <w:lang w:val="en-GB"/>
              </w:rPr>
              <w:t>：</w:t>
            </w:r>
            <w:r>
              <w:rPr>
                <w:rFonts w:hint="eastAsia" w:ascii="宋体" w:hAnsi="宋体"/>
                <w:b/>
                <w:color w:val="auto"/>
                <w:sz w:val="24"/>
                <w:highlight w:val="none"/>
                <w:lang w:val="en-GB" w:eastAsia="zh-CN"/>
              </w:rPr>
              <w:t>吉利上二村车辆停放管理服务</w:t>
            </w: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ind w:firstLine="1079" w:firstLineChars="448"/>
              <w:rPr>
                <w:b/>
                <w:bCs/>
                <w:color w:val="auto"/>
                <w:sz w:val="24"/>
                <w:highlight w:val="none"/>
              </w:rPr>
            </w:pPr>
          </w:p>
          <w:p>
            <w:pPr>
              <w:spacing w:line="360" w:lineRule="auto"/>
              <w:jc w:val="center"/>
              <w:rPr>
                <w:rFonts w:ascii="宋体"/>
                <w:bCs/>
                <w:color w:val="auto"/>
                <w:sz w:val="24"/>
                <w:highlight w:val="none"/>
              </w:rPr>
            </w:pPr>
            <w:r>
              <w:rPr>
                <w:rFonts w:hint="eastAsia"/>
                <w:bCs/>
                <w:color w:val="auto"/>
                <w:sz w:val="28"/>
                <w:highlight w:val="none"/>
                <w:lang w:eastAsia="zh-CN"/>
              </w:rPr>
              <w:t>投标人</w:t>
            </w:r>
            <w:r>
              <w:rPr>
                <w:rFonts w:hint="eastAsia"/>
                <w:bCs/>
                <w:color w:val="auto"/>
                <w:sz w:val="28"/>
                <w:highlight w:val="none"/>
              </w:rPr>
              <w:t>：</w:t>
            </w:r>
            <w:r>
              <w:rPr>
                <w:rFonts w:ascii="宋体" w:hAnsi="宋体"/>
                <w:bCs/>
                <w:color w:val="auto"/>
                <w:sz w:val="28"/>
                <w:highlight w:val="none"/>
              </w:rPr>
              <w:t>(</w:t>
            </w:r>
            <w:r>
              <w:rPr>
                <w:rFonts w:hint="eastAsia" w:ascii="宋体" w:hAnsi="宋体"/>
                <w:bCs/>
                <w:color w:val="auto"/>
                <w:sz w:val="28"/>
                <w:highlight w:val="none"/>
              </w:rPr>
              <w:t>加盖公章</w:t>
            </w:r>
            <w:r>
              <w:rPr>
                <w:rFonts w:ascii="宋体" w:hAnsi="宋体"/>
                <w:bCs/>
                <w:color w:val="auto"/>
                <w:sz w:val="28"/>
                <w:highlight w:val="none"/>
              </w:rPr>
              <w:t>)</w:t>
            </w:r>
          </w:p>
          <w:p>
            <w:pPr>
              <w:jc w:val="center"/>
              <w:rPr>
                <w:rFonts w:ascii="宋体"/>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00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firstLine="1400" w:firstLineChars="500"/>
              <w:rPr>
                <w:rFonts w:hint="eastAsia" w:ascii="宋体" w:eastAsia="宋体"/>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2"/>
        </w:numPr>
        <w:spacing w:before="120" w:beforeLines="50" w:line="360" w:lineRule="auto"/>
        <w:ind w:left="601"/>
        <w:rPr>
          <w:rFonts w:hint="eastAsia" w:ascii="宋体" w:hAnsi="宋体" w:eastAsia="宋体" w:cs="宋体"/>
          <w:b/>
          <w:bCs/>
          <w:color w:val="auto"/>
          <w:sz w:val="24"/>
          <w:highlight w:val="none"/>
          <w:lang w:val="en-GB"/>
        </w:rPr>
      </w:pPr>
      <w:r>
        <w:rPr>
          <w:rFonts w:hint="eastAsia" w:ascii="宋体" w:hAnsi="宋体" w:eastAsia="宋体" w:cs="宋体"/>
          <w:b/>
          <w:bCs/>
          <w:color w:val="auto"/>
          <w:sz w:val="24"/>
          <w:highlight w:val="none"/>
          <w:lang w:val="en-GB"/>
        </w:rPr>
        <w:t>重要提示：</w:t>
      </w:r>
    </w:p>
    <w:p>
      <w:pPr>
        <w:numPr>
          <w:ilvl w:val="0"/>
          <w:numId w:val="53"/>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eastAsia="zh-CN"/>
        </w:rPr>
        <w:t>资格审查</w:t>
      </w:r>
      <w:r>
        <w:rPr>
          <w:rFonts w:hint="eastAsia" w:ascii="宋体" w:hAnsi="宋体" w:eastAsia="宋体" w:cs="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3"/>
        </w:numPr>
        <w:tabs>
          <w:tab w:val="left" w:pos="900"/>
          <w:tab w:val="clear" w:pos="780"/>
        </w:tabs>
        <w:spacing w:line="360" w:lineRule="auto"/>
        <w:ind w:left="538" w:leftChars="256"/>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密封各文件资料时，应</w:t>
      </w:r>
      <w:r>
        <w:rPr>
          <w:rFonts w:hint="eastAsia" w:ascii="宋体" w:hAnsi="宋体" w:eastAsia="宋体" w:cs="宋体"/>
          <w:color w:val="auto"/>
          <w:sz w:val="24"/>
          <w:highlight w:val="none"/>
          <w:u w:val="single"/>
          <w:lang w:val="en-GB"/>
        </w:rPr>
        <w:t>在密封包装的封口</w:t>
      </w:r>
      <w:r>
        <w:rPr>
          <w:rFonts w:hint="eastAsia" w:ascii="宋体" w:hAnsi="宋体" w:eastAsia="宋体" w:cs="宋体"/>
          <w:color w:val="auto"/>
          <w:sz w:val="24"/>
          <w:highlight w:val="none"/>
          <w:lang w:val="en-GB"/>
        </w:rPr>
        <w:t>处加盖</w:t>
      </w:r>
      <w:r>
        <w:rPr>
          <w:rFonts w:hint="eastAsia" w:ascii="宋体" w:hAnsi="宋体" w:cs="宋体"/>
          <w:color w:val="auto"/>
          <w:sz w:val="24"/>
          <w:highlight w:val="none"/>
          <w:lang w:val="en-GB" w:eastAsia="zh-CN"/>
        </w:rPr>
        <w:t>投标人</w:t>
      </w:r>
      <w:r>
        <w:rPr>
          <w:rFonts w:hint="eastAsia" w:ascii="宋体" w:hAnsi="宋体" w:eastAsia="宋体" w:cs="宋体"/>
          <w:color w:val="auto"/>
          <w:sz w:val="24"/>
          <w:highlight w:val="none"/>
          <w:lang w:val="en-GB"/>
        </w:rPr>
        <w:t>公章。</w:t>
      </w:r>
    </w:p>
    <w:p>
      <w:pPr>
        <w:numPr>
          <w:ilvl w:val="0"/>
          <w:numId w:val="53"/>
        </w:numPr>
        <w:tabs>
          <w:tab w:val="left" w:pos="900"/>
          <w:tab w:val="clear" w:pos="780"/>
        </w:tabs>
        <w:spacing w:line="360" w:lineRule="auto"/>
        <w:ind w:left="601" w:leftChars="257" w:hanging="61"/>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因交通或有不便，递交</w:t>
      </w:r>
      <w:r>
        <w:rPr>
          <w:rFonts w:hint="eastAsia" w:ascii="宋体" w:hAnsi="宋体" w:eastAsia="宋体" w:cs="宋体"/>
          <w:color w:val="auto"/>
          <w:sz w:val="24"/>
          <w:highlight w:val="none"/>
          <w:lang w:val="en-GB" w:eastAsia="zh-CN"/>
        </w:rPr>
        <w:t>竞投</w:t>
      </w:r>
      <w:r>
        <w:rPr>
          <w:rFonts w:hint="eastAsia" w:ascii="宋体" w:hAnsi="宋体" w:eastAsia="宋体" w:cs="宋体"/>
          <w:color w:val="auto"/>
          <w:sz w:val="24"/>
          <w:highlight w:val="none"/>
          <w:lang w:val="en-GB"/>
        </w:rPr>
        <w:t>文件时务请</w:t>
      </w:r>
      <w:r>
        <w:rPr>
          <w:rFonts w:hint="eastAsia" w:ascii="宋体" w:hAnsi="宋体" w:eastAsia="宋体" w:cs="宋体"/>
          <w:b/>
          <w:color w:val="auto"/>
          <w:sz w:val="24"/>
          <w:highlight w:val="none"/>
          <w:u w:val="single"/>
          <w:lang w:val="en-GB"/>
        </w:rPr>
        <w:t>提早到达</w:t>
      </w:r>
      <w:r>
        <w:rPr>
          <w:rFonts w:hint="eastAsia" w:ascii="宋体" w:hAnsi="宋体" w:eastAsia="宋体" w:cs="宋体"/>
          <w:color w:val="auto"/>
          <w:sz w:val="24"/>
          <w:highlight w:val="none"/>
          <w:lang w:val="en-GB"/>
        </w:rPr>
        <w:t>！</w:t>
      </w:r>
    </w:p>
    <w:p>
      <w:pPr>
        <w:pStyle w:val="6"/>
        <w:rPr>
          <w:rFonts w:hint="eastAsia" w:ascii="宋体" w:hAnsi="宋体"/>
          <w:color w:val="auto"/>
          <w:sz w:val="24"/>
          <w:highlight w:val="none"/>
          <w:lang w:val="en-GB"/>
        </w:rPr>
      </w:pPr>
    </w:p>
    <w:p>
      <w:pPr>
        <w:rPr>
          <w:rFonts w:hint="eastAsia" w:ascii="宋体" w:hAnsi="宋体"/>
          <w:color w:val="auto"/>
          <w:sz w:val="24"/>
          <w:highlight w:val="none"/>
          <w:lang w:val="en-GB"/>
        </w:rPr>
      </w:pPr>
    </w:p>
    <w:p>
      <w:pPr>
        <w:pStyle w:val="6"/>
        <w:rPr>
          <w:rFonts w:hint="eastAsia" w:ascii="宋体" w:hAnsi="宋体"/>
          <w:color w:val="auto"/>
          <w:sz w:val="24"/>
          <w:highlight w:val="none"/>
          <w:lang w:val="en-GB"/>
        </w:rPr>
        <w:sectPr>
          <w:headerReference r:id="rId6" w:type="default"/>
          <w:footerReference r:id="rId7" w:type="default"/>
          <w:pgSz w:w="11850" w:h="16783"/>
          <w:pgMar w:top="1134" w:right="773" w:bottom="1134" w:left="99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rPr>
          <w:rFonts w:hint="eastAsia" w:asciiTheme="minorEastAsia" w:hAnsiTheme="minorEastAsia" w:eastAsiaTheme="minorEastAsia" w:cstheme="minorEastAsia"/>
          <w:color w:val="auto"/>
          <w:highlight w:val="none"/>
          <w:lang w:val="en-GB"/>
        </w:rPr>
      </w:pPr>
    </w:p>
    <w:p>
      <w:pPr>
        <w:pStyle w:val="41"/>
        <w:jc w:val="center"/>
        <w:outlineLvl w:val="1"/>
        <w:rPr>
          <w:rFonts w:hint="eastAsia" w:asciiTheme="minorEastAsia" w:hAnsiTheme="minorEastAsia" w:eastAsiaTheme="minorEastAsia" w:cstheme="minorEastAsia"/>
          <w:color w:val="auto"/>
          <w:highlight w:val="none"/>
          <w:lang w:eastAsia="zh-CN"/>
        </w:rPr>
      </w:pPr>
      <w:bookmarkStart w:id="154" w:name="_Toc28855"/>
      <w:r>
        <w:rPr>
          <w:rFonts w:hint="eastAsia" w:asciiTheme="minorEastAsia" w:hAnsiTheme="minorEastAsia" w:eastAsiaTheme="minorEastAsia" w:cstheme="minorEastAsia"/>
          <w:color w:val="auto"/>
          <w:highlight w:val="none"/>
          <w:lang w:eastAsia="zh-CN"/>
        </w:rPr>
        <w:t>报价书</w:t>
      </w:r>
      <w:bookmarkEnd w:id="154"/>
    </w:p>
    <w:p>
      <w:pPr>
        <w:pStyle w:val="42"/>
        <w:tabs>
          <w:tab w:val="left" w:pos="5460"/>
        </w:tabs>
        <w:spacing w:line="360" w:lineRule="auto"/>
        <w:jc w:val="left"/>
        <w:rPr>
          <w:rFonts w:hint="eastAsia" w:asciiTheme="minorEastAsia" w:hAnsiTheme="minorEastAsia" w:eastAsiaTheme="minorEastAsia" w:cstheme="minorEastAsia"/>
          <w:bCs/>
          <w:color w:val="auto"/>
          <w:highlight w:val="none"/>
          <w:lang w:val="en-US" w:eastAsia="zh-CN"/>
        </w:rPr>
      </w:pPr>
    </w:p>
    <w:p>
      <w:pPr>
        <w:pStyle w:val="42"/>
        <w:tabs>
          <w:tab w:val="left" w:pos="5460"/>
        </w:tabs>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项目名称：吉利上二村车辆停放管理服务</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交易编号：GDZC-23JT234</w:t>
      </w:r>
    </w:p>
    <w:p>
      <w:pPr>
        <w:pStyle w:val="42"/>
        <w:tabs>
          <w:tab w:val="left" w:pos="5460"/>
        </w:tabs>
        <w:spacing w:line="360" w:lineRule="auto"/>
        <w:jc w:val="left"/>
        <w:rPr>
          <w:rFonts w:hint="eastAsia" w:asciiTheme="minorEastAsia" w:hAnsiTheme="minorEastAsia" w:eastAsiaTheme="minorEastAsia" w:cstheme="minorEastAsia"/>
          <w:color w:val="auto"/>
          <w:sz w:val="24"/>
          <w:szCs w:val="24"/>
          <w:highlight w:val="none"/>
          <w:lang w:val="en-US" w:eastAsia="zh-CN"/>
        </w:rPr>
      </w:pPr>
    </w:p>
    <w:p>
      <w:pPr>
        <w:pStyle w:val="42"/>
        <w:tabs>
          <w:tab w:val="left" w:pos="5460"/>
        </w:tabs>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DOCVARIABLE  采购编号  \* MERGEFORMAT </w:instrText>
      </w:r>
      <w:r>
        <w:rPr>
          <w:rFonts w:hint="eastAsia" w:asciiTheme="minorEastAsia" w:hAnsiTheme="minorEastAsia" w:eastAsiaTheme="minorEastAsia" w:cstheme="minorEastAsia"/>
          <w:color w:val="auto"/>
          <w:sz w:val="24"/>
          <w:szCs w:val="24"/>
          <w:highlight w:val="none"/>
          <w:lang w:val="en-US" w:eastAsia="zh-CN"/>
        </w:rPr>
        <w:fldChar w:fldCharType="end"/>
      </w:r>
    </w:p>
    <w:tbl>
      <w:tblPr>
        <w:tblStyle w:val="19"/>
        <w:tblW w:w="85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5"/>
        <w:gridCol w:w="2188"/>
        <w:gridCol w:w="2700"/>
        <w:gridCol w:w="2010"/>
        <w:gridCol w:w="1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bookmarkStart w:id="155" w:name="EB508be0ed3e2c4bca83ef604bb8ace262"/>
            <w:r>
              <w:rPr>
                <w:rFonts w:hint="eastAsia" w:asciiTheme="minorEastAsia" w:hAnsiTheme="minorEastAsia" w:eastAsiaTheme="minorEastAsia" w:cstheme="minorEastAsia"/>
                <w:color w:val="auto"/>
                <w:kern w:val="0"/>
                <w:sz w:val="24"/>
                <w:szCs w:val="24"/>
                <w:highlight w:val="none"/>
                <w:lang w:bidi="ar"/>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采购项目名称</w:t>
            </w:r>
            <w:r>
              <w:rPr>
                <w:rFonts w:hint="eastAsia" w:asciiTheme="minorEastAsia" w:hAnsiTheme="minorEastAsia" w:eastAsiaTheme="minorEastAsia" w:cstheme="minorEastAsia"/>
                <w:b/>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bidi="ar"/>
              </w:rPr>
              <w:t>采购包名称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投</w:t>
            </w:r>
            <w:r>
              <w:rPr>
                <w:rFonts w:hint="eastAsia" w:asciiTheme="minorEastAsia" w:hAnsiTheme="minorEastAsia" w:eastAsiaTheme="minorEastAsia" w:cstheme="minorEastAsia"/>
                <w:color w:val="auto"/>
                <w:kern w:val="0"/>
                <w:sz w:val="24"/>
                <w:szCs w:val="24"/>
                <w:highlight w:val="none"/>
                <w:lang w:bidi="ar"/>
              </w:rPr>
              <w:t>标报价（元</w:t>
            </w:r>
            <w:r>
              <w:rPr>
                <w:rFonts w:hint="eastAsia" w:asciiTheme="minorEastAsia" w:hAnsiTheme="minorEastAsia" w:eastAsiaTheme="minorEastAsia" w:cstheme="minorEastAsia"/>
                <w:color w:val="auto"/>
                <w:kern w:val="0"/>
                <w:sz w:val="24"/>
                <w:szCs w:val="24"/>
                <w:highlight w:val="none"/>
                <w:lang w:val="en-US" w:eastAsia="zh-CN" w:bidi="ar"/>
              </w:rPr>
              <w:t>/年</w:t>
            </w:r>
            <w:r>
              <w:rPr>
                <w:rFonts w:hint="eastAsia" w:asciiTheme="minorEastAsia" w:hAnsiTheme="minorEastAsia" w:eastAsiaTheme="minorEastAsia" w:cstheme="minorEastAsia"/>
                <w:color w:val="auto"/>
                <w:kern w:val="0"/>
                <w:sz w:val="24"/>
                <w:szCs w:val="24"/>
                <w:highlight w:val="none"/>
                <w:lang w:bidi="ar"/>
              </w:rPr>
              <w:t>）</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bidi="ar"/>
              </w:rPr>
              <w:t>服务期</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88"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吉利上二村车辆停放管理服务</w:t>
            </w:r>
          </w:p>
        </w:tc>
        <w:tc>
          <w:tcPr>
            <w:tcW w:w="2700" w:type="dxa"/>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2010"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服务期：5年，具体起止日期以合同约定为准。</w:t>
            </w:r>
          </w:p>
        </w:tc>
        <w:tc>
          <w:tcPr>
            <w:tcW w:w="1027" w:type="dxa"/>
            <w:noWrap w:val="0"/>
            <w:vAlign w:val="center"/>
          </w:tcPr>
          <w:p>
            <w:pPr>
              <w:rPr>
                <w:rFonts w:hint="eastAsia" w:asciiTheme="minorEastAsia" w:hAnsiTheme="minorEastAsia" w:eastAsiaTheme="minorEastAsia" w:cstheme="minorEastAsia"/>
                <w:color w:val="auto"/>
                <w:sz w:val="24"/>
                <w:szCs w:val="24"/>
                <w:highlight w:val="none"/>
              </w:rPr>
            </w:pPr>
          </w:p>
        </w:tc>
      </w:tr>
    </w:tbl>
    <w:p>
      <w:pPr>
        <w:widowControl/>
        <w:jc w:val="left"/>
        <w:rPr>
          <w:rFonts w:hint="eastAsia" w:asciiTheme="minorEastAsia" w:hAnsiTheme="minorEastAsia" w:eastAsiaTheme="minorEastAsia" w:cstheme="minorEastAsia"/>
          <w:color w:val="auto"/>
          <w:sz w:val="24"/>
          <w:szCs w:val="24"/>
          <w:highlight w:val="none"/>
        </w:rPr>
      </w:pPr>
    </w:p>
    <w:p>
      <w:pPr>
        <w:pStyle w:val="42"/>
        <w:rPr>
          <w:rFonts w:hint="eastAsia" w:asciiTheme="minorEastAsia" w:hAnsiTheme="minorEastAsia" w:eastAsiaTheme="minorEastAsia" w:cstheme="minorEastAsia"/>
          <w:color w:val="auto"/>
          <w:sz w:val="24"/>
          <w:szCs w:val="24"/>
          <w:highlight w:val="none"/>
          <w:lang w:val="en-US" w:eastAsia="zh-CN"/>
        </w:rPr>
      </w:pPr>
    </w:p>
    <w:p>
      <w:pPr>
        <w:pStyle w:val="42"/>
        <w:rPr>
          <w:rFonts w:hint="eastAsia" w:asciiTheme="minorEastAsia" w:hAnsiTheme="minorEastAsia" w:eastAsiaTheme="minorEastAsia" w:cstheme="minorEastAsia"/>
          <w:color w:val="auto"/>
          <w:sz w:val="24"/>
          <w:szCs w:val="24"/>
          <w:highlight w:val="none"/>
          <w:lang w:val="en-US" w:eastAsia="zh-CN"/>
        </w:rPr>
      </w:pPr>
    </w:p>
    <w:bookmarkEnd w:id="155"/>
    <w:p>
      <w:pPr>
        <w:pStyle w:val="42"/>
        <w:rPr>
          <w:rFonts w:hint="eastAsia" w:asciiTheme="minorEastAsia" w:hAnsiTheme="minorEastAsia" w:eastAsiaTheme="minorEastAsia" w:cstheme="minorEastAsia"/>
          <w:color w:val="auto"/>
          <w:sz w:val="24"/>
          <w:szCs w:val="24"/>
          <w:highlight w:val="none"/>
          <w:lang w:val="en-US" w:eastAsia="zh-CN"/>
        </w:rPr>
      </w:pPr>
    </w:p>
    <w:p>
      <w:pPr>
        <w:pStyle w:val="43"/>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填表要求：</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投标文件差异修正准则详见招标文件。</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以上投标报价须满足“第二部分项目内容”的商务要求中“报价要求”的内容和要求。</w:t>
      </w:r>
    </w:p>
    <w:p>
      <w:pPr>
        <w:pStyle w:val="43"/>
        <w:numPr>
          <w:ilvl w:val="0"/>
          <w:numId w:val="54"/>
        </w:num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t>开标内容与投标文件对应内容必须一致，否则，以开标公布的内容为准。</w:t>
      </w:r>
    </w:p>
    <w:p>
      <w:pPr>
        <w:pStyle w:val="43"/>
        <w:numPr>
          <w:ilvl w:val="0"/>
          <w:numId w:val="54"/>
        </w:num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GB" w:eastAsia="zh-CN"/>
        </w:rPr>
        <w:t>本表未按招标文件要求签名盖章将作无效投标处理。</w:t>
      </w:r>
    </w:p>
    <w:p>
      <w:pPr>
        <w:pStyle w:val="43"/>
        <w:spacing w:line="480" w:lineRule="auto"/>
        <w:rPr>
          <w:rFonts w:hint="eastAsia" w:asciiTheme="minorEastAsia" w:hAnsiTheme="minorEastAsia" w:eastAsiaTheme="minorEastAsia" w:cstheme="minorEastAsia"/>
          <w:b/>
          <w:color w:val="auto"/>
          <w:sz w:val="24"/>
          <w:szCs w:val="24"/>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p>
    <w:p>
      <w:pPr>
        <w:pStyle w:val="43"/>
        <w:spacing w:line="480" w:lineRule="auto"/>
        <w:rPr>
          <w:rFonts w:hint="eastAsia" w:asciiTheme="minorEastAsia" w:hAnsiTheme="minorEastAsia" w:eastAsiaTheme="minorEastAsia" w:cstheme="minorEastAsia"/>
          <w:b/>
          <w:color w:val="auto"/>
          <w:highlight w:val="none"/>
          <w:lang w:val="en-GB" w:eastAsia="zh-CN"/>
        </w:rPr>
      </w:pPr>
      <w:r>
        <w:rPr>
          <w:rFonts w:hint="eastAsia" w:asciiTheme="minorEastAsia" w:hAnsiTheme="minorEastAsia" w:eastAsiaTheme="minorEastAsia" w:cstheme="minorEastAsia"/>
          <w:b/>
          <w:color w:val="auto"/>
          <w:highlight w:val="none"/>
          <w:lang w:val="en-GB" w:eastAsia="zh-CN"/>
        </w:rPr>
        <w:t>投标人名称：</w:t>
      </w:r>
      <w:r>
        <w:rPr>
          <w:rFonts w:hint="eastAsia" w:asciiTheme="minorEastAsia" w:hAnsiTheme="minorEastAsia" w:eastAsiaTheme="minorEastAsia" w:cstheme="minorEastAsia"/>
          <w:b/>
          <w:color w:val="auto"/>
          <w:highlight w:val="none"/>
          <w:u w:val="single"/>
          <w:lang w:val="en-GB" w:eastAsia="zh-CN"/>
        </w:rPr>
        <w:t>（全称）</w:t>
      </w:r>
      <w:r>
        <w:rPr>
          <w:rFonts w:hint="eastAsia" w:asciiTheme="minorEastAsia" w:hAnsiTheme="minorEastAsia" w:eastAsiaTheme="minorEastAsia" w:cstheme="minorEastAsia"/>
          <w:b/>
          <w:color w:val="auto"/>
          <w:highlight w:val="none"/>
          <w:lang w:val="en-GB" w:eastAsia="zh-CN"/>
        </w:rPr>
        <w:t>（单位公章）</w:t>
      </w:r>
    </w:p>
    <w:p>
      <w:pPr>
        <w:pStyle w:val="43"/>
        <w:spacing w:line="360" w:lineRule="auto"/>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日期：年月日</w:t>
      </w:r>
    </w:p>
    <w:p>
      <w:pPr>
        <w:pStyle w:val="44"/>
        <w:outlineLvl w:val="1"/>
        <w:rPr>
          <w:rFonts w:hint="eastAsia" w:asciiTheme="minorEastAsia" w:hAnsiTheme="minorEastAsia" w:eastAsiaTheme="minorEastAsia" w:cstheme="minorEastAsia"/>
          <w:color w:val="auto"/>
          <w:highlight w:val="none"/>
        </w:rPr>
      </w:pPr>
    </w:p>
    <w:p>
      <w:pPr>
        <w:pStyle w:val="44"/>
        <w:outlineLvl w:val="1"/>
        <w:rPr>
          <w:rFonts w:hint="eastAsia" w:asciiTheme="minorEastAsia" w:hAnsiTheme="minorEastAsia" w:eastAsiaTheme="minorEastAsia" w:cstheme="minorEastAsia"/>
          <w:color w:val="auto"/>
          <w:highlight w:val="none"/>
        </w:rPr>
      </w:pPr>
    </w:p>
    <w:p>
      <w:pPr>
        <w:pStyle w:val="45"/>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6"/>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报价清单明细表</w:t>
      </w:r>
    </w:p>
    <w:p>
      <w:pPr>
        <w:pStyle w:val="46"/>
        <w:spacing w:line="360" w:lineRule="auto"/>
        <w:jc w:val="center"/>
        <w:rPr>
          <w:rFonts w:hint="eastAsia" w:asciiTheme="minorEastAsia" w:hAnsiTheme="minorEastAsia" w:eastAsiaTheme="minorEastAsia" w:cstheme="minorEastAsia"/>
          <w:b/>
          <w:color w:val="auto"/>
          <w:sz w:val="32"/>
          <w:szCs w:val="32"/>
          <w:highlight w:val="none"/>
        </w:rPr>
      </w:pPr>
    </w:p>
    <w:p>
      <w:pPr>
        <w:pStyle w:val="46"/>
        <w:tabs>
          <w:tab w:val="left" w:pos="9300"/>
        </w:tabs>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吉利上二村车辆停放管理服务</w:t>
      </w:r>
      <w:r>
        <w:rPr>
          <w:rFonts w:hint="eastAsia" w:asciiTheme="minorEastAsia" w:hAnsiTheme="minorEastAsia" w:eastAsiaTheme="minorEastAsia" w:cstheme="minorEastAsia"/>
          <w:bCs/>
          <w:color w:val="auto"/>
          <w:sz w:val="24"/>
          <w:szCs w:val="24"/>
          <w:highlight w:val="none"/>
        </w:rPr>
        <w:t>-</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项目名称  \* MERGEFORMAT </w:instrTex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交易编号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GDZC-23JT234</w:t>
      </w: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p>
    <w:p>
      <w:pPr>
        <w:widowControl/>
        <w:jc w:val="left"/>
        <w:rPr>
          <w:rFonts w:hint="eastAsia" w:asciiTheme="minorEastAsia" w:hAnsiTheme="minorEastAsia" w:eastAsiaTheme="minorEastAsia" w:cstheme="minorEastAsia"/>
          <w:color w:val="auto"/>
          <w:sz w:val="24"/>
          <w:szCs w:val="24"/>
          <w:highlight w:val="none"/>
        </w:rPr>
      </w:pPr>
    </w:p>
    <w:p>
      <w:pPr>
        <w:pStyle w:val="46"/>
        <w:tabs>
          <w:tab w:val="left" w:pos="930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DOCVARIABLE  采购编号  \* MERGEFORMAT </w:instrText>
      </w:r>
      <w:r>
        <w:rPr>
          <w:rFonts w:hint="eastAsia" w:asciiTheme="minorEastAsia" w:hAnsiTheme="minorEastAsia" w:eastAsiaTheme="minorEastAsia" w:cstheme="minorEastAsia"/>
          <w:bCs/>
          <w:color w:val="auto"/>
          <w:sz w:val="24"/>
          <w:szCs w:val="24"/>
          <w:highlight w:val="none"/>
        </w:rPr>
        <w:fldChar w:fldCharType="end"/>
      </w:r>
    </w:p>
    <w:p>
      <w:pPr>
        <w:pStyle w:val="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填表要求：</w:t>
      </w:r>
    </w:p>
    <w:p>
      <w:pPr>
        <w:pStyle w:val="48"/>
        <w:numPr>
          <w:ilvl w:val="0"/>
          <w:numId w:val="55"/>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eastAsia="zh-CN"/>
        </w:rPr>
        <w:t>格式自拟</w:t>
      </w:r>
      <w:r>
        <w:rPr>
          <w:rFonts w:hint="eastAsia" w:asciiTheme="minorEastAsia" w:hAnsiTheme="minorEastAsia" w:eastAsiaTheme="minorEastAsia" w:cstheme="minorEastAsia"/>
          <w:color w:val="auto"/>
          <w:sz w:val="24"/>
          <w:szCs w:val="24"/>
          <w:highlight w:val="none"/>
        </w:rPr>
        <w:t>。</w:t>
      </w:r>
    </w:p>
    <w:p>
      <w:pPr>
        <w:pStyle w:val="48"/>
        <w:numPr>
          <w:ilvl w:val="0"/>
          <w:numId w:val="55"/>
        </w:numPr>
        <w:spacing w:line="360" w:lineRule="auto"/>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以上内容必须与技术方案中所介绍的内容、《开标一览表》一致相符。</w:t>
      </w:r>
    </w:p>
    <w:p>
      <w:pPr>
        <w:pStyle w:val="49"/>
        <w:ind w:firstLine="420"/>
        <w:rPr>
          <w:rFonts w:hint="eastAsia" w:asciiTheme="minorEastAsia" w:hAnsiTheme="minorEastAsia" w:eastAsiaTheme="minorEastAsia" w:cstheme="minorEastAsia"/>
          <w:color w:val="auto"/>
          <w:sz w:val="24"/>
          <w:szCs w:val="24"/>
          <w:highlight w:val="none"/>
          <w:lang w:val="en-GB" w:eastAsia="zh-CN"/>
        </w:rPr>
      </w:pPr>
    </w:p>
    <w:p>
      <w:pPr>
        <w:pStyle w:val="49"/>
        <w:rPr>
          <w:rFonts w:hint="eastAsia" w:asciiTheme="minorEastAsia" w:hAnsiTheme="minorEastAsia" w:eastAsiaTheme="minorEastAsia" w:cstheme="minorEastAsia"/>
          <w:color w:val="auto"/>
          <w:sz w:val="24"/>
          <w:szCs w:val="24"/>
          <w:highlight w:val="none"/>
          <w:lang w:val="en-GB"/>
        </w:rPr>
      </w:pPr>
    </w:p>
    <w:p>
      <w:pPr>
        <w:pStyle w:val="49"/>
        <w:rPr>
          <w:rFonts w:hint="eastAsia" w:asciiTheme="minorEastAsia" w:hAnsiTheme="minorEastAsia" w:eastAsiaTheme="minorEastAsia" w:cstheme="minorEastAsia"/>
          <w:color w:val="auto"/>
          <w:sz w:val="24"/>
          <w:szCs w:val="24"/>
          <w:highlight w:val="none"/>
          <w:lang w:val="en-GB"/>
        </w:rPr>
      </w:pPr>
    </w:p>
    <w:p>
      <w:pPr>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eastAsia="zh-CN"/>
        </w:rPr>
        <w:t>投标人</w:t>
      </w:r>
      <w:r>
        <w:rPr>
          <w:rFonts w:hint="eastAsia" w:asciiTheme="minorEastAsia" w:hAnsiTheme="minorEastAsia" w:eastAsiaTheme="minorEastAsia" w:cstheme="minorEastAsia"/>
          <w:color w:val="auto"/>
          <w:sz w:val="24"/>
          <w:szCs w:val="24"/>
          <w:highlight w:val="none"/>
          <w:lang w:val="en-GB"/>
        </w:rPr>
        <w:t>名称：</w:t>
      </w:r>
      <w:r>
        <w:rPr>
          <w:rFonts w:hint="eastAsia" w:asciiTheme="minorEastAsia" w:hAnsiTheme="minorEastAsia" w:eastAsiaTheme="minorEastAsia" w:cstheme="minorEastAsia"/>
          <w:color w:val="auto"/>
          <w:sz w:val="24"/>
          <w:szCs w:val="24"/>
          <w:highlight w:val="none"/>
          <w:u w:val="single"/>
          <w:lang w:val="en-GB"/>
        </w:rPr>
        <w:t>（全称）</w:t>
      </w:r>
      <w:r>
        <w:rPr>
          <w:rFonts w:hint="eastAsia" w:asciiTheme="minorEastAsia" w:hAnsiTheme="minorEastAsia" w:eastAsiaTheme="minorEastAsia" w:cstheme="minorEastAsia"/>
          <w:color w:val="auto"/>
          <w:sz w:val="24"/>
          <w:szCs w:val="24"/>
          <w:highlight w:val="none"/>
          <w:lang w:val="en-GB"/>
        </w:rPr>
        <w:t>（单位公章）</w:t>
      </w:r>
    </w:p>
    <w:p>
      <w:pPr>
        <w:pStyle w:val="18"/>
        <w:rPr>
          <w:rFonts w:hint="eastAsia" w:asciiTheme="minorEastAsia" w:hAnsiTheme="minorEastAsia" w:eastAsiaTheme="minorEastAsia" w:cstheme="minorEastAsia"/>
          <w:color w:val="auto"/>
          <w:highlight w:val="none"/>
          <w:lang w:val="en-GB"/>
        </w:rPr>
      </w:pPr>
    </w:p>
    <w:p>
      <w:pPr>
        <w:pStyle w:val="18"/>
        <w:rPr>
          <w:rFonts w:hint="eastAsia" w:asciiTheme="minorEastAsia" w:hAnsiTheme="minorEastAsia" w:eastAsiaTheme="minorEastAsia" w:cstheme="minorEastAsia"/>
          <w:color w:val="auto"/>
          <w:highlight w:val="none"/>
          <w:lang w:val="en-GB"/>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outlineLvl w:val="2"/>
        <w:rPr>
          <w:rFonts w:hint="eastAsia" w:asciiTheme="minorEastAsia" w:hAnsiTheme="minorEastAsia" w:eastAsiaTheme="minorEastAsia" w:cstheme="minorEastAsia"/>
          <w:b/>
          <w:bCs/>
          <w:color w:val="auto"/>
          <w:sz w:val="44"/>
          <w:szCs w:val="44"/>
          <w:highlight w:val="none"/>
        </w:rPr>
      </w:pPr>
      <w:bookmarkStart w:id="156" w:name="_Toc10492"/>
      <w:r>
        <w:rPr>
          <w:rFonts w:hint="eastAsia" w:asciiTheme="minorEastAsia" w:hAnsiTheme="minorEastAsia" w:eastAsiaTheme="minorEastAsia" w:cstheme="minorEastAsia"/>
          <w:b/>
          <w:bCs/>
          <w:color w:val="auto"/>
          <w:sz w:val="44"/>
          <w:szCs w:val="44"/>
          <w:highlight w:val="none"/>
        </w:rPr>
        <w:t>文件包装袋封面标贴格式</w:t>
      </w:r>
      <w:bookmarkEnd w:id="156"/>
    </w:p>
    <w:tbl>
      <w:tblPr>
        <w:tblStyle w:val="19"/>
        <w:tblW w:w="9329" w:type="dxa"/>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9085" w:hRule="atLeast"/>
          <w:jc w:val="center"/>
        </w:trPr>
        <w:tc>
          <w:tcPr>
            <w:tcW w:w="9329" w:type="dxa"/>
            <w:shd w:val="clear" w:color="auto" w:fill="FFFFFF"/>
            <w:noWrap w:val="0"/>
            <w:vAlign w:val="top"/>
          </w:tcPr>
          <w:p>
            <w:pPr>
              <w:rPr>
                <w:rFonts w:hint="eastAsia" w:asciiTheme="minorEastAsia" w:hAnsiTheme="minorEastAsia" w:eastAsiaTheme="minorEastAsia" w:cstheme="minorEastAsia"/>
                <w:color w:val="auto"/>
                <w:sz w:val="18"/>
                <w:szCs w:val="18"/>
                <w:highlight w:val="none"/>
              </w:rPr>
            </w:pPr>
          </w:p>
          <w:p>
            <w:pPr>
              <w:jc w:val="center"/>
              <w:rPr>
                <w:rFonts w:hint="eastAsia" w:asciiTheme="minorEastAsia" w:hAnsiTheme="minorEastAsia" w:eastAsiaTheme="minorEastAsia" w:cstheme="minorEastAsia"/>
                <w:b/>
                <w:color w:val="auto"/>
                <w:sz w:val="48"/>
                <w:szCs w:val="48"/>
                <w:highlight w:val="none"/>
              </w:rPr>
            </w:pPr>
          </w:p>
          <w:p>
            <w:pPr>
              <w:jc w:val="center"/>
              <w:rPr>
                <w:rFonts w:hint="eastAsia" w:asciiTheme="minorEastAsia" w:hAnsiTheme="minorEastAsia" w:eastAsiaTheme="minorEastAsia" w:cstheme="minorEastAsia"/>
                <w:b/>
                <w:bCs/>
                <w:color w:val="auto"/>
                <w:sz w:val="24"/>
                <w:highlight w:val="none"/>
              </w:rPr>
            </w:pPr>
          </w:p>
          <w:p>
            <w:pPr>
              <w:jc w:val="center"/>
              <w:rPr>
                <w:rFonts w:hint="eastAsia" w:asciiTheme="minorEastAsia" w:hAnsiTheme="minorEastAsia" w:eastAsiaTheme="minorEastAsia" w:cstheme="minorEastAsia"/>
                <w:b/>
                <w:bCs/>
                <w:color w:val="auto"/>
                <w:sz w:val="24"/>
                <w:highlight w:val="none"/>
                <w:lang w:val="en-GB"/>
              </w:rPr>
            </w:pPr>
          </w:p>
          <w:p>
            <w:pPr>
              <w:jc w:val="center"/>
              <w:rPr>
                <w:rFonts w:hint="eastAsia" w:asciiTheme="minorEastAsia" w:hAnsiTheme="minorEastAsia" w:eastAsiaTheme="minorEastAsia" w:cstheme="minorEastAsia"/>
                <w:b/>
                <w:bCs/>
                <w:color w:val="auto"/>
                <w:sz w:val="24"/>
                <w:highlight w:val="none"/>
                <w:lang w:val="en-GB"/>
              </w:rPr>
            </w:pPr>
          </w:p>
          <w:p>
            <w:pPr>
              <w:spacing w:line="36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lang w:eastAsia="zh-CN"/>
              </w:rPr>
              <w:t>报价</w:t>
            </w:r>
            <w:r>
              <w:rPr>
                <w:rFonts w:hint="eastAsia" w:asciiTheme="minorEastAsia" w:hAnsiTheme="minorEastAsia" w:eastAsiaTheme="minorEastAsia" w:cstheme="minorEastAsia"/>
                <w:b/>
                <w:bCs/>
                <w:color w:val="auto"/>
                <w:sz w:val="72"/>
                <w:szCs w:val="72"/>
                <w:highlight w:val="none"/>
              </w:rPr>
              <w:t>文件</w:t>
            </w:r>
          </w:p>
          <w:p>
            <w:pPr>
              <w:jc w:val="center"/>
              <w:rPr>
                <w:rFonts w:hint="eastAsia" w:asciiTheme="minorEastAsia" w:hAnsiTheme="minorEastAsia" w:eastAsiaTheme="minorEastAsia" w:cstheme="minorEastAsia"/>
                <w:b/>
                <w:bCs/>
                <w:color w:val="auto"/>
                <w:sz w:val="24"/>
                <w:highlight w:val="none"/>
                <w:lang w:val="en-GB"/>
              </w:rPr>
            </w:pPr>
          </w:p>
          <w:p>
            <w:pPr>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GB"/>
              </w:rPr>
              <w:t>密封内容：</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文件（□正本/□副本/□电子光盘）</w:t>
            </w:r>
          </w:p>
          <w:p>
            <w:pPr>
              <w:spacing w:line="360" w:lineRule="auto"/>
              <w:jc w:val="center"/>
              <w:rPr>
                <w:rFonts w:hint="eastAsia" w:asciiTheme="minorEastAsia" w:hAnsiTheme="minorEastAsia" w:eastAsiaTheme="minorEastAsia" w:cstheme="minorEastAsia"/>
                <w:b/>
                <w:color w:val="auto"/>
                <w:szCs w:val="21"/>
                <w:highlight w:val="none"/>
                <w:lang w:val="en-GB"/>
              </w:rPr>
            </w:pP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lang w:val="en-GB"/>
              </w:rPr>
              <w:t>于密封前自行对上述资料的密封情况进行自查，并于相应“□”处中打“√”</w:t>
            </w:r>
          </w:p>
          <w:p>
            <w:pPr>
              <w:ind w:firstLine="2474" w:firstLineChars="1027"/>
              <w:rPr>
                <w:rFonts w:hint="eastAsia" w:asciiTheme="minorEastAsia" w:hAnsiTheme="minorEastAsia" w:eastAsiaTheme="minorEastAsia" w:cstheme="minorEastAsia"/>
                <w:b/>
                <w:color w:val="auto"/>
                <w:sz w:val="24"/>
                <w:szCs w:val="36"/>
                <w:highlight w:val="none"/>
                <w:lang w:val="en-GB"/>
              </w:rPr>
            </w:pPr>
          </w:p>
          <w:p>
            <w:pPr>
              <w:spacing w:line="360" w:lineRule="auto"/>
              <w:ind w:right="145" w:rightChars="69"/>
              <w:jc w:val="center"/>
              <w:rPr>
                <w:rFonts w:hint="eastAsia" w:asciiTheme="minorEastAsia" w:hAnsiTheme="minorEastAsia" w:eastAsiaTheme="minorEastAsia" w:cstheme="minorEastAsia"/>
                <w:b/>
                <w:color w:val="auto"/>
                <w:sz w:val="24"/>
                <w:highlight w:val="none"/>
                <w:lang w:val="en-GB" w:eastAsia="zh-CN"/>
              </w:rPr>
            </w:pPr>
            <w:r>
              <w:rPr>
                <w:rFonts w:hint="eastAsia" w:asciiTheme="minorEastAsia" w:hAnsiTheme="minorEastAsia" w:eastAsiaTheme="minorEastAsia" w:cstheme="minorEastAsia"/>
                <w:b/>
                <w:bCs/>
                <w:color w:val="auto"/>
                <w:sz w:val="24"/>
                <w:highlight w:val="none"/>
              </w:rPr>
              <w:t>项目名称</w:t>
            </w:r>
            <w:r>
              <w:rPr>
                <w:rFonts w:hint="eastAsia" w:asciiTheme="minorEastAsia" w:hAnsiTheme="minorEastAsia" w:eastAsiaTheme="minorEastAsia" w:cstheme="minorEastAsia"/>
                <w:b/>
                <w:color w:val="auto"/>
                <w:sz w:val="24"/>
                <w:highlight w:val="none"/>
                <w:lang w:val="en-GB"/>
              </w:rPr>
              <w:t>：</w:t>
            </w:r>
            <w:r>
              <w:rPr>
                <w:rFonts w:hint="eastAsia" w:asciiTheme="minorEastAsia" w:hAnsiTheme="minorEastAsia" w:eastAsiaTheme="minorEastAsia" w:cstheme="minorEastAsia"/>
                <w:b/>
                <w:color w:val="auto"/>
                <w:sz w:val="24"/>
                <w:highlight w:val="none"/>
                <w:lang w:val="en-GB" w:eastAsia="zh-CN"/>
              </w:rPr>
              <w:t>吉利上二村车辆停放管理服务</w:t>
            </w: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ind w:firstLine="1079" w:firstLineChars="448"/>
              <w:rPr>
                <w:rFonts w:hint="eastAsia" w:asciiTheme="minorEastAsia" w:hAnsiTheme="minorEastAsia" w:eastAsiaTheme="minorEastAsia" w:cstheme="minorEastAsia"/>
                <w:b/>
                <w:bCs/>
                <w:color w:val="auto"/>
                <w:sz w:val="24"/>
                <w:highlight w:val="none"/>
              </w:rPr>
            </w:pPr>
          </w:p>
          <w:p>
            <w:pPr>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8"/>
                <w:highlight w:val="none"/>
                <w:lang w:eastAsia="zh-CN"/>
              </w:rPr>
              <w:t>投标人</w:t>
            </w:r>
            <w:r>
              <w:rPr>
                <w:rFonts w:hint="eastAsia" w:asciiTheme="minorEastAsia" w:hAnsiTheme="minorEastAsia" w:eastAsiaTheme="minorEastAsia" w:cstheme="minorEastAsia"/>
                <w:bCs/>
                <w:color w:val="auto"/>
                <w:sz w:val="28"/>
                <w:highlight w:val="none"/>
              </w:rPr>
              <w:t>：(加盖公章)</w:t>
            </w:r>
          </w:p>
          <w:p>
            <w:pPr>
              <w:jc w:val="center"/>
              <w:rPr>
                <w:rFonts w:hint="eastAsia" w:asciiTheme="minorEastAsia" w:hAnsiTheme="minorEastAsia" w:eastAsiaTheme="minorEastAsia" w:cstheme="minorEastAsia"/>
                <w:bCs/>
                <w:color w:val="auto"/>
                <w:sz w:val="28"/>
                <w:szCs w:val="28"/>
                <w:highlight w:val="none"/>
              </w:rPr>
            </w:pPr>
          </w:p>
          <w:p>
            <w:pPr>
              <w:spacing w:after="120" w:afterLines="50"/>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在</w:t>
            </w:r>
            <w:r>
              <w:rPr>
                <w:rFonts w:hint="eastAsia" w:asciiTheme="minorEastAsia" w:hAnsiTheme="minorEastAsia" w:eastAsiaTheme="minorEastAsia" w:cstheme="minorEastAsia"/>
                <w:bCs/>
                <w:color w:val="auto"/>
                <w:sz w:val="28"/>
                <w:szCs w:val="28"/>
                <w:highlight w:val="none"/>
                <w:lang w:eastAsia="zh-CN"/>
              </w:rPr>
              <w:t>2024</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val="en-US" w:eastAsia="zh-CN"/>
              </w:rPr>
              <w:t>8</w:t>
            </w:r>
            <w:r>
              <w:rPr>
                <w:rFonts w:hint="eastAsia" w:asciiTheme="minorEastAsia" w:hAnsiTheme="minorEastAsia" w:eastAsiaTheme="minorEastAsia" w:cstheme="minorEastAsia"/>
                <w:bCs/>
                <w:color w:val="auto"/>
                <w:sz w:val="28"/>
                <w:szCs w:val="28"/>
                <w:highlight w:val="none"/>
              </w:rPr>
              <w:t>日</w:t>
            </w:r>
            <w:r>
              <w:rPr>
                <w:rFonts w:hint="eastAsia" w:asciiTheme="minorEastAsia" w:hAnsiTheme="minorEastAsia" w:eastAsiaTheme="minorEastAsia" w:cstheme="minorEastAsia"/>
                <w:bCs/>
                <w:color w:val="auto"/>
                <w:sz w:val="28"/>
                <w:szCs w:val="28"/>
                <w:highlight w:val="none"/>
                <w:lang w:eastAsia="zh-CN"/>
              </w:rPr>
              <w:t>上</w:t>
            </w:r>
            <w:r>
              <w:rPr>
                <w:rFonts w:hint="eastAsia" w:asciiTheme="minorEastAsia" w:hAnsiTheme="minorEastAsia" w:eastAsiaTheme="minorEastAsia" w:cstheme="minorEastAsia"/>
                <w:bCs/>
                <w:color w:val="auto"/>
                <w:sz w:val="28"/>
                <w:szCs w:val="28"/>
                <w:highlight w:val="none"/>
              </w:rPr>
              <w:t>午</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00</w:t>
            </w:r>
            <w:r>
              <w:rPr>
                <w:rFonts w:hint="eastAsia" w:asciiTheme="minorEastAsia" w:hAnsiTheme="minorEastAsia" w:eastAsiaTheme="minorEastAsia" w:cstheme="minorEastAsia"/>
                <w:bCs/>
                <w:color w:val="auto"/>
                <w:sz w:val="28"/>
                <w:szCs w:val="28"/>
                <w:highlight w:val="none"/>
              </w:rPr>
              <w:t>之前不得启封</w:t>
            </w:r>
          </w:p>
          <w:p>
            <w:pPr>
              <w:ind w:firstLine="2800" w:firstLineChars="1000"/>
              <w:rPr>
                <w:rFonts w:hint="eastAsia" w:asciiTheme="minorEastAsia" w:hAnsiTheme="minorEastAsia" w:eastAsiaTheme="minorEastAsia" w:cstheme="minorEastAsia"/>
                <w:bCs/>
                <w:color w:val="auto"/>
                <w:sz w:val="28"/>
                <w:szCs w:val="28"/>
                <w:highlight w:val="none"/>
              </w:rPr>
            </w:pPr>
          </w:p>
          <w:p>
            <w:pPr>
              <w:ind w:left="420" w:leftChars="200" w:firstLine="0" w:firstLineChars="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Cs/>
                <w:color w:val="auto"/>
                <w:sz w:val="28"/>
                <w:szCs w:val="28"/>
                <w:highlight w:val="none"/>
              </w:rPr>
              <w:t>递交地点：佛山市禅城区南庄镇紫洞南路106号南庄商业广场A1座四楼南庄镇公共资源交易所开标室</w:t>
            </w:r>
          </w:p>
        </w:tc>
      </w:tr>
    </w:tbl>
    <w:p>
      <w:pPr>
        <w:spacing w:before="120" w:beforeLines="50" w:line="360" w:lineRule="auto"/>
        <w:ind w:left="181"/>
        <w:rPr>
          <w:rFonts w:ascii="宋体"/>
          <w:b/>
          <w:bCs/>
          <w:color w:val="auto"/>
          <w:sz w:val="24"/>
          <w:highlight w:val="none"/>
          <w:lang w:val="en-GB"/>
        </w:rPr>
      </w:pPr>
    </w:p>
    <w:p>
      <w:pPr>
        <w:numPr>
          <w:ilvl w:val="0"/>
          <w:numId w:val="52"/>
        </w:numPr>
        <w:spacing w:before="120" w:beforeLines="50" w:line="360" w:lineRule="auto"/>
        <w:ind w:left="601"/>
        <w:rPr>
          <w:rFonts w:ascii="宋体"/>
          <w:b/>
          <w:bCs/>
          <w:color w:val="auto"/>
          <w:sz w:val="24"/>
          <w:highlight w:val="none"/>
          <w:lang w:val="en-GB"/>
        </w:rPr>
      </w:pPr>
      <w:r>
        <w:rPr>
          <w:rFonts w:hint="eastAsia" w:ascii="宋体" w:hAnsi="宋体"/>
          <w:b/>
          <w:bCs/>
          <w:color w:val="auto"/>
          <w:sz w:val="24"/>
          <w:highlight w:val="none"/>
          <w:lang w:val="en-GB"/>
        </w:rPr>
        <w:t>重要提示：</w:t>
      </w:r>
    </w:p>
    <w:p>
      <w:pPr>
        <w:numPr>
          <w:ilvl w:val="0"/>
          <w:numId w:val="56"/>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eastAsia="zh-CN"/>
        </w:rPr>
        <w:t>报价</w:t>
      </w:r>
      <w:r>
        <w:rPr>
          <w:rFonts w:hint="eastAsia" w:ascii="宋体" w:hAnsi="宋体"/>
          <w:color w:val="auto"/>
          <w:sz w:val="24"/>
          <w:highlight w:val="none"/>
          <w:lang w:val="en-GB"/>
        </w:rPr>
        <w:t>文件的正本、副本、电子光盘，均应密封在同一密封包中。若上述资料确实无法密封在同一密封包中，则可按实际情况分开密封，但须在密封包装上标明密封内容。</w:t>
      </w:r>
    </w:p>
    <w:p>
      <w:pPr>
        <w:numPr>
          <w:ilvl w:val="0"/>
          <w:numId w:val="56"/>
        </w:numPr>
        <w:tabs>
          <w:tab w:val="left" w:pos="900"/>
          <w:tab w:val="clear" w:pos="780"/>
        </w:tabs>
        <w:spacing w:line="300" w:lineRule="auto"/>
        <w:ind w:left="538" w:leftChars="256"/>
        <w:rPr>
          <w:color w:val="auto"/>
          <w:sz w:val="24"/>
          <w:highlight w:val="none"/>
          <w:lang w:val="en-GB"/>
        </w:rPr>
      </w:pPr>
      <w:r>
        <w:rPr>
          <w:rFonts w:hint="eastAsia" w:ascii="宋体" w:hAnsi="宋体"/>
          <w:color w:val="auto"/>
          <w:sz w:val="24"/>
          <w:highlight w:val="none"/>
          <w:lang w:val="en-GB"/>
        </w:rPr>
        <w:t>密封各文件资料时，应</w:t>
      </w:r>
      <w:r>
        <w:rPr>
          <w:rFonts w:hint="eastAsia" w:ascii="宋体" w:hAnsi="宋体"/>
          <w:color w:val="auto"/>
          <w:sz w:val="24"/>
          <w:highlight w:val="none"/>
          <w:u w:val="single"/>
          <w:lang w:val="en-GB"/>
        </w:rPr>
        <w:t>在密封包装的封口</w:t>
      </w:r>
      <w:r>
        <w:rPr>
          <w:rFonts w:hint="eastAsia" w:ascii="宋体" w:hAnsi="宋体"/>
          <w:color w:val="auto"/>
          <w:sz w:val="24"/>
          <w:highlight w:val="none"/>
          <w:lang w:val="en-GB"/>
        </w:rPr>
        <w:t>处加盖</w:t>
      </w:r>
      <w:r>
        <w:rPr>
          <w:rFonts w:hint="eastAsia" w:ascii="宋体" w:hAnsi="宋体"/>
          <w:color w:val="auto"/>
          <w:sz w:val="24"/>
          <w:highlight w:val="none"/>
          <w:lang w:val="en-GB" w:eastAsia="zh-CN"/>
        </w:rPr>
        <w:t>投标人</w:t>
      </w:r>
      <w:r>
        <w:rPr>
          <w:rFonts w:hint="eastAsia" w:ascii="宋体" w:hAnsi="宋体"/>
          <w:color w:val="auto"/>
          <w:sz w:val="24"/>
          <w:highlight w:val="none"/>
          <w:lang w:val="en-GB"/>
        </w:rPr>
        <w:t>公章。</w:t>
      </w:r>
    </w:p>
    <w:p>
      <w:pPr>
        <w:numPr>
          <w:ilvl w:val="0"/>
          <w:numId w:val="56"/>
        </w:numPr>
        <w:tabs>
          <w:tab w:val="left" w:pos="900"/>
          <w:tab w:val="clear" w:pos="780"/>
        </w:tabs>
        <w:spacing w:line="300" w:lineRule="auto"/>
        <w:ind w:left="538" w:leftChars="256"/>
        <w:rPr>
          <w:color w:val="auto"/>
          <w:highlight w:val="none"/>
        </w:rPr>
      </w:pPr>
      <w:r>
        <w:rPr>
          <w:rFonts w:hint="eastAsia" w:ascii="宋体" w:hAnsi="宋体"/>
          <w:color w:val="auto"/>
          <w:sz w:val="24"/>
          <w:highlight w:val="none"/>
          <w:lang w:val="en-GB"/>
        </w:rPr>
        <w:t>因交通或有不便，递交</w:t>
      </w:r>
      <w:r>
        <w:rPr>
          <w:rFonts w:hint="eastAsia" w:ascii="宋体" w:hAnsi="宋体"/>
          <w:color w:val="auto"/>
          <w:sz w:val="24"/>
          <w:highlight w:val="none"/>
          <w:lang w:val="en-GB" w:eastAsia="zh-CN"/>
        </w:rPr>
        <w:t>竞投</w:t>
      </w:r>
      <w:r>
        <w:rPr>
          <w:rFonts w:hint="eastAsia" w:ascii="宋体" w:hAnsi="宋体"/>
          <w:color w:val="auto"/>
          <w:sz w:val="24"/>
          <w:highlight w:val="none"/>
          <w:lang w:val="en-GB"/>
        </w:rPr>
        <w:t>文件时务请</w:t>
      </w:r>
      <w:r>
        <w:rPr>
          <w:rFonts w:hint="eastAsia" w:ascii="宋体" w:hAnsi="宋体"/>
          <w:b/>
          <w:color w:val="auto"/>
          <w:sz w:val="24"/>
          <w:highlight w:val="none"/>
          <w:u w:val="single"/>
          <w:lang w:val="en-GB"/>
        </w:rPr>
        <w:t>提早到达</w:t>
      </w:r>
    </w:p>
    <w:bookmarkEnd w:id="157"/>
    <w:sectPr>
      <w:pgSz w:w="11850" w:h="16783"/>
      <w:pgMar w:top="1134" w:right="1134" w:bottom="1134" w:left="1417" w:header="573" w:footer="58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640"/>
        <w:tab w:val="clear" w:pos="8306"/>
      </w:tabs>
      <w:ind w:right="-176" w:rightChars="-84"/>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spacing w:val="-18"/>
        <w:w w:val="9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22B1"/>
    <w:multiLevelType w:val="singleLevel"/>
    <w:tmpl w:val="86F222B1"/>
    <w:lvl w:ilvl="0" w:tentative="0">
      <w:start w:val="1"/>
      <w:numFmt w:val="decimal"/>
      <w:lvlText w:val="%1."/>
      <w:lvlJc w:val="left"/>
      <w:pPr>
        <w:ind w:left="425" w:hanging="425"/>
      </w:pPr>
      <w:rPr>
        <w:rFonts w:hint="default"/>
      </w:rPr>
    </w:lvl>
  </w:abstractNum>
  <w:abstractNum w:abstractNumId="1">
    <w:nsid w:val="898CF67A"/>
    <w:multiLevelType w:val="singleLevel"/>
    <w:tmpl w:val="898CF67A"/>
    <w:lvl w:ilvl="0" w:tentative="0">
      <w:start w:val="1"/>
      <w:numFmt w:val="chineseCounting"/>
      <w:suff w:val="nothing"/>
      <w:lvlText w:val="（%1）"/>
      <w:lvlJc w:val="left"/>
      <w:pPr>
        <w:ind w:left="0" w:firstLine="420"/>
      </w:pPr>
      <w:rPr>
        <w:rFonts w:hint="eastAsia"/>
      </w:rPr>
    </w:lvl>
  </w:abstractNum>
  <w:abstractNum w:abstractNumId="2">
    <w:nsid w:val="8EDE5DE2"/>
    <w:multiLevelType w:val="multilevel"/>
    <w:tmpl w:val="8EDE5DE2"/>
    <w:lvl w:ilvl="0" w:tentative="0">
      <w:start w:val="1"/>
      <w:numFmt w:val="decimal"/>
      <w:suff w:val="space"/>
      <w:lvlText w:val="%1."/>
      <w:lvlJc w:val="left"/>
      <w:pPr>
        <w:ind w:left="420" w:hanging="420"/>
      </w:pPr>
      <w:rPr>
        <w:rFonts w:hint="default" w:ascii="宋体" w:hAnsi="宋体" w:eastAsia="宋体" w:cstheme="minorEastAsia"/>
        <w:b/>
      </w:rPr>
    </w:lvl>
    <w:lvl w:ilvl="1" w:tentative="0">
      <w:start w:val="1"/>
      <w:numFmt w:val="decimal"/>
      <w:lvlText w:val="25.%2."/>
      <w:lvlJc w:val="left"/>
      <w:pPr>
        <w:tabs>
          <w:tab w:val="left" w:pos="840"/>
        </w:tabs>
        <w:ind w:left="840" w:hanging="420"/>
      </w:pPr>
      <w:rPr>
        <w:rFonts w:hint="default" w:ascii="Times New Roman" w:hAnsi="Times New Roman" w:cs="Times New Roman"/>
        <w:b w:val="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8F9F341B"/>
    <w:multiLevelType w:val="singleLevel"/>
    <w:tmpl w:val="8F9F341B"/>
    <w:lvl w:ilvl="0" w:tentative="0">
      <w:start w:val="1"/>
      <w:numFmt w:val="chineseCounting"/>
      <w:suff w:val="nothing"/>
      <w:lvlText w:val="%1、"/>
      <w:lvlJc w:val="left"/>
      <w:pPr>
        <w:ind w:left="0" w:firstLine="420"/>
      </w:pPr>
      <w:rPr>
        <w:rFonts w:hint="eastAsia"/>
      </w:rPr>
    </w:lvl>
  </w:abstractNum>
  <w:abstractNum w:abstractNumId="4">
    <w:nsid w:val="9027ED67"/>
    <w:multiLevelType w:val="singleLevel"/>
    <w:tmpl w:val="9027ED67"/>
    <w:lvl w:ilvl="0" w:tentative="0">
      <w:start w:val="1"/>
      <w:numFmt w:val="chineseCounting"/>
      <w:suff w:val="nothing"/>
      <w:lvlText w:val="（%1）"/>
      <w:lvlJc w:val="left"/>
      <w:pPr>
        <w:ind w:left="0" w:firstLine="420"/>
      </w:pPr>
      <w:rPr>
        <w:rFonts w:hint="eastAsia"/>
      </w:rPr>
    </w:lvl>
  </w:abstractNum>
  <w:abstractNum w:abstractNumId="5">
    <w:nsid w:val="94A90165"/>
    <w:multiLevelType w:val="multilevel"/>
    <w:tmpl w:val="94A90165"/>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94F15F58"/>
    <w:multiLevelType w:val="singleLevel"/>
    <w:tmpl w:val="94F15F58"/>
    <w:lvl w:ilvl="0" w:tentative="0">
      <w:start w:val="1"/>
      <w:numFmt w:val="chineseCounting"/>
      <w:suff w:val="nothing"/>
      <w:lvlText w:val="（%1）"/>
      <w:lvlJc w:val="left"/>
      <w:pPr>
        <w:ind w:left="0" w:firstLine="420"/>
      </w:pPr>
      <w:rPr>
        <w:rFonts w:hint="eastAsia"/>
      </w:rPr>
    </w:lvl>
  </w:abstractNum>
  <w:abstractNum w:abstractNumId="7">
    <w:nsid w:val="96C4E0D9"/>
    <w:multiLevelType w:val="singleLevel"/>
    <w:tmpl w:val="96C4E0D9"/>
    <w:lvl w:ilvl="0" w:tentative="0">
      <w:start w:val="1"/>
      <w:numFmt w:val="decimal"/>
      <w:lvlText w:val="%1."/>
      <w:lvlJc w:val="left"/>
      <w:pPr>
        <w:ind w:left="425" w:hanging="425"/>
      </w:pPr>
      <w:rPr>
        <w:rFonts w:hint="default"/>
      </w:rPr>
    </w:lvl>
  </w:abstractNum>
  <w:abstractNum w:abstractNumId="8">
    <w:nsid w:val="A48A9E99"/>
    <w:multiLevelType w:val="singleLevel"/>
    <w:tmpl w:val="A48A9E99"/>
    <w:lvl w:ilvl="0" w:tentative="0">
      <w:start w:val="1"/>
      <w:numFmt w:val="chineseCounting"/>
      <w:suff w:val="nothing"/>
      <w:lvlText w:val="（%1）"/>
      <w:lvlJc w:val="left"/>
      <w:pPr>
        <w:ind w:left="0" w:firstLine="420"/>
      </w:pPr>
      <w:rPr>
        <w:rFonts w:hint="eastAsia"/>
      </w:rPr>
    </w:lvl>
  </w:abstractNum>
  <w:abstractNum w:abstractNumId="9">
    <w:nsid w:val="A86C22B1"/>
    <w:multiLevelType w:val="singleLevel"/>
    <w:tmpl w:val="A86C22B1"/>
    <w:lvl w:ilvl="0" w:tentative="0">
      <w:start w:val="1"/>
      <w:numFmt w:val="decimal"/>
      <w:lvlText w:val="(%1)"/>
      <w:lvlJc w:val="left"/>
      <w:pPr>
        <w:ind w:left="425" w:hanging="425"/>
      </w:pPr>
      <w:rPr>
        <w:rFonts w:hint="default"/>
      </w:rPr>
    </w:lvl>
  </w:abstractNum>
  <w:abstractNum w:abstractNumId="10">
    <w:nsid w:val="C070D1B6"/>
    <w:multiLevelType w:val="singleLevel"/>
    <w:tmpl w:val="C070D1B6"/>
    <w:lvl w:ilvl="0" w:tentative="0">
      <w:start w:val="1"/>
      <w:numFmt w:val="chineseCounting"/>
      <w:suff w:val="nothing"/>
      <w:lvlText w:val="（%1）"/>
      <w:lvlJc w:val="left"/>
      <w:pPr>
        <w:ind w:left="0" w:firstLine="420"/>
      </w:pPr>
      <w:rPr>
        <w:rFonts w:hint="eastAsia"/>
      </w:rPr>
    </w:lvl>
  </w:abstractNum>
  <w:abstractNum w:abstractNumId="11">
    <w:nsid w:val="C6D8EF7A"/>
    <w:multiLevelType w:val="singleLevel"/>
    <w:tmpl w:val="C6D8EF7A"/>
    <w:lvl w:ilvl="0" w:tentative="0">
      <w:start w:val="1"/>
      <w:numFmt w:val="decimal"/>
      <w:lvlText w:val="%1."/>
      <w:lvlJc w:val="left"/>
      <w:pPr>
        <w:ind w:left="425" w:hanging="425"/>
      </w:pPr>
      <w:rPr>
        <w:rFonts w:hint="default"/>
      </w:rPr>
    </w:lvl>
  </w:abstractNum>
  <w:abstractNum w:abstractNumId="12">
    <w:nsid w:val="C806676E"/>
    <w:multiLevelType w:val="singleLevel"/>
    <w:tmpl w:val="C806676E"/>
    <w:lvl w:ilvl="0" w:tentative="0">
      <w:start w:val="1"/>
      <w:numFmt w:val="decimal"/>
      <w:lvlText w:val="%1."/>
      <w:lvlJc w:val="left"/>
      <w:pPr>
        <w:ind w:left="425" w:hanging="425"/>
      </w:pPr>
      <w:rPr>
        <w:rFonts w:hint="default"/>
      </w:rPr>
    </w:lvl>
  </w:abstractNum>
  <w:abstractNum w:abstractNumId="13">
    <w:nsid w:val="D7D93451"/>
    <w:multiLevelType w:val="singleLevel"/>
    <w:tmpl w:val="D7D93451"/>
    <w:lvl w:ilvl="0" w:tentative="0">
      <w:start w:val="1"/>
      <w:numFmt w:val="chineseCounting"/>
      <w:suff w:val="nothing"/>
      <w:lvlText w:val="（%1）"/>
      <w:lvlJc w:val="left"/>
      <w:pPr>
        <w:ind w:left="0" w:firstLine="420"/>
      </w:pPr>
      <w:rPr>
        <w:rFonts w:hint="eastAsia"/>
      </w:rPr>
    </w:lvl>
  </w:abstractNum>
  <w:abstractNum w:abstractNumId="14">
    <w:nsid w:val="D835A01B"/>
    <w:multiLevelType w:val="multilevel"/>
    <w:tmpl w:val="D835A01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15">
    <w:nsid w:val="DDAAD069"/>
    <w:multiLevelType w:val="singleLevel"/>
    <w:tmpl w:val="DDAAD069"/>
    <w:lvl w:ilvl="0" w:tentative="0">
      <w:start w:val="1"/>
      <w:numFmt w:val="chineseCounting"/>
      <w:suff w:val="nothing"/>
      <w:lvlText w:val="（%1）"/>
      <w:lvlJc w:val="left"/>
      <w:pPr>
        <w:ind w:left="0" w:firstLine="420"/>
      </w:pPr>
      <w:rPr>
        <w:rFonts w:hint="eastAsia"/>
      </w:rPr>
    </w:lvl>
  </w:abstractNum>
  <w:abstractNum w:abstractNumId="16">
    <w:nsid w:val="E2730C15"/>
    <w:multiLevelType w:val="singleLevel"/>
    <w:tmpl w:val="E2730C15"/>
    <w:lvl w:ilvl="0" w:tentative="0">
      <w:start w:val="1"/>
      <w:numFmt w:val="decimal"/>
      <w:lvlText w:val="%1."/>
      <w:lvlJc w:val="left"/>
      <w:pPr>
        <w:ind w:left="425" w:hanging="425"/>
      </w:pPr>
      <w:rPr>
        <w:rFonts w:hint="default"/>
      </w:rPr>
    </w:lvl>
  </w:abstractNum>
  <w:abstractNum w:abstractNumId="17">
    <w:nsid w:val="E273CBF1"/>
    <w:multiLevelType w:val="singleLevel"/>
    <w:tmpl w:val="E273CBF1"/>
    <w:lvl w:ilvl="0" w:tentative="0">
      <w:start w:val="1"/>
      <w:numFmt w:val="decimal"/>
      <w:lvlText w:val="%1."/>
      <w:lvlJc w:val="left"/>
      <w:pPr>
        <w:ind w:left="425" w:hanging="425"/>
      </w:pPr>
      <w:rPr>
        <w:rFonts w:hint="default"/>
      </w:rPr>
    </w:lvl>
  </w:abstractNum>
  <w:abstractNum w:abstractNumId="18">
    <w:nsid w:val="EF208E0F"/>
    <w:multiLevelType w:val="singleLevel"/>
    <w:tmpl w:val="EF208E0F"/>
    <w:lvl w:ilvl="0" w:tentative="0">
      <w:start w:val="1"/>
      <w:numFmt w:val="decimal"/>
      <w:lvlText w:val="%1."/>
      <w:lvlJc w:val="left"/>
      <w:pPr>
        <w:ind w:left="425" w:hanging="425"/>
      </w:pPr>
      <w:rPr>
        <w:rFonts w:hint="default"/>
      </w:rPr>
    </w:lvl>
  </w:abstractNum>
  <w:abstractNum w:abstractNumId="19">
    <w:nsid w:val="F5A2EAA6"/>
    <w:multiLevelType w:val="singleLevel"/>
    <w:tmpl w:val="F5A2EAA6"/>
    <w:lvl w:ilvl="0" w:tentative="0">
      <w:start w:val="1"/>
      <w:numFmt w:val="chineseCounting"/>
      <w:suff w:val="nothing"/>
      <w:lvlText w:val="（%1）"/>
      <w:lvlJc w:val="left"/>
      <w:pPr>
        <w:ind w:left="0" w:firstLine="420"/>
      </w:pPr>
      <w:rPr>
        <w:rFonts w:hint="eastAsia"/>
      </w:rPr>
    </w:lvl>
  </w:abstractNum>
  <w:abstractNum w:abstractNumId="20">
    <w:nsid w:val="FE9A5839"/>
    <w:multiLevelType w:val="singleLevel"/>
    <w:tmpl w:val="FE9A5839"/>
    <w:lvl w:ilvl="0" w:tentative="0">
      <w:start w:val="1"/>
      <w:numFmt w:val="decimal"/>
      <w:lvlText w:val="%1."/>
      <w:lvlJc w:val="left"/>
      <w:pPr>
        <w:ind w:left="425" w:hanging="425"/>
      </w:pPr>
      <w:rPr>
        <w:rFonts w:hint="default"/>
      </w:rPr>
    </w:lvl>
  </w:abstractNum>
  <w:abstractNum w:abstractNumId="21">
    <w:nsid w:val="0000000B"/>
    <w:multiLevelType w:val="multilevel"/>
    <w:tmpl w:val="0000000B"/>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22">
    <w:nsid w:val="00000016"/>
    <w:multiLevelType w:val="multilevel"/>
    <w:tmpl w:val="00000016"/>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0000001D"/>
    <w:multiLevelType w:val="multilevel"/>
    <w:tmpl w:val="0000001D"/>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4">
    <w:nsid w:val="00000022"/>
    <w:multiLevelType w:val="multilevel"/>
    <w:tmpl w:val="00000022"/>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25">
    <w:nsid w:val="00000023"/>
    <w:multiLevelType w:val="multilevel"/>
    <w:tmpl w:val="00000023"/>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0000003A"/>
    <w:multiLevelType w:val="multilevel"/>
    <w:tmpl w:val="0000003A"/>
    <w:lvl w:ilvl="0" w:tentative="0">
      <w:start w:val="1"/>
      <w:numFmt w:val="decimal"/>
      <w:lvlText w:val="16.%1"/>
      <w:lvlJc w:val="left"/>
      <w:pPr>
        <w:tabs>
          <w:tab w:val="left" w:pos="840"/>
        </w:tabs>
        <w:ind w:left="840" w:hanging="420"/>
      </w:pPr>
      <w:rPr>
        <w:rFonts w:hint="default" w:ascii="Times New Roman" w:hAnsi="Times New Roman" w:cs="Times New Roman"/>
        <w:b w:val="0"/>
      </w:rPr>
    </w:lvl>
    <w:lvl w:ilvl="1" w:tentative="0">
      <w:start w:val="1"/>
      <w:numFmt w:val="decimal"/>
      <w:lvlText w:val="%2)"/>
      <w:lvlJc w:val="left"/>
      <w:pPr>
        <w:tabs>
          <w:tab w:val="left" w:pos="840"/>
        </w:tabs>
        <w:ind w:left="840" w:hanging="420"/>
      </w:pPr>
      <w:rPr>
        <w:rFonts w:hint="eastAsia" w:cs="Times New Roman"/>
        <w:b w:val="0"/>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00000041"/>
    <w:multiLevelType w:val="multilevel"/>
    <w:tmpl w:val="00000041"/>
    <w:lvl w:ilvl="0" w:tentative="0">
      <w:start w:val="1"/>
      <w:numFmt w:val="bullet"/>
      <w:lvlText w:val=""/>
      <w:lvlJc w:val="left"/>
      <w:pPr>
        <w:tabs>
          <w:tab w:val="left" w:pos="598"/>
        </w:tabs>
        <w:ind w:left="598" w:hanging="420"/>
      </w:pPr>
      <w:rPr>
        <w:rFonts w:hint="default" w:ascii="Wingdings" w:hAnsi="Wingdings"/>
      </w:rPr>
    </w:lvl>
    <w:lvl w:ilvl="1" w:tentative="0">
      <w:start w:val="1"/>
      <w:numFmt w:val="decimal"/>
      <w:lvlText w:val="%2."/>
      <w:lvlJc w:val="left"/>
      <w:pPr>
        <w:tabs>
          <w:tab w:val="left" w:pos="1018"/>
        </w:tabs>
        <w:ind w:left="1018" w:hanging="420"/>
      </w:pPr>
      <w:rPr>
        <w:rFonts w:hint="default" w:cs="Times New Roman"/>
      </w:rPr>
    </w:lvl>
    <w:lvl w:ilvl="2" w:tentative="0">
      <w:start w:val="1"/>
      <w:numFmt w:val="bullet"/>
      <w:lvlText w:val=""/>
      <w:lvlJc w:val="left"/>
      <w:pPr>
        <w:tabs>
          <w:tab w:val="left" w:pos="1438"/>
        </w:tabs>
        <w:ind w:left="1438" w:hanging="420"/>
      </w:pPr>
      <w:rPr>
        <w:rFonts w:hint="default" w:ascii="Wingdings" w:hAnsi="Wingdings"/>
      </w:rPr>
    </w:lvl>
    <w:lvl w:ilvl="3" w:tentative="0">
      <w:start w:val="1"/>
      <w:numFmt w:val="bullet"/>
      <w:lvlText w:val=""/>
      <w:lvlJc w:val="left"/>
      <w:pPr>
        <w:tabs>
          <w:tab w:val="left" w:pos="1858"/>
        </w:tabs>
        <w:ind w:left="1858" w:hanging="420"/>
      </w:pPr>
      <w:rPr>
        <w:rFonts w:hint="default" w:ascii="Wingdings" w:hAnsi="Wingdings"/>
      </w:rPr>
    </w:lvl>
    <w:lvl w:ilvl="4" w:tentative="0">
      <w:start w:val="1"/>
      <w:numFmt w:val="bullet"/>
      <w:lvlText w:val=""/>
      <w:lvlJc w:val="left"/>
      <w:pPr>
        <w:tabs>
          <w:tab w:val="left" w:pos="2278"/>
        </w:tabs>
        <w:ind w:left="2278" w:hanging="420"/>
      </w:pPr>
      <w:rPr>
        <w:rFonts w:hint="default" w:ascii="Wingdings" w:hAnsi="Wingdings"/>
      </w:rPr>
    </w:lvl>
    <w:lvl w:ilvl="5" w:tentative="0">
      <w:start w:val="1"/>
      <w:numFmt w:val="bullet"/>
      <w:lvlText w:val=""/>
      <w:lvlJc w:val="left"/>
      <w:pPr>
        <w:tabs>
          <w:tab w:val="left" w:pos="2698"/>
        </w:tabs>
        <w:ind w:left="2698" w:hanging="420"/>
      </w:pPr>
      <w:rPr>
        <w:rFonts w:hint="default" w:ascii="Wingdings" w:hAnsi="Wingdings"/>
      </w:rPr>
    </w:lvl>
    <w:lvl w:ilvl="6" w:tentative="0">
      <w:start w:val="1"/>
      <w:numFmt w:val="bullet"/>
      <w:lvlText w:val=""/>
      <w:lvlJc w:val="left"/>
      <w:pPr>
        <w:tabs>
          <w:tab w:val="left" w:pos="3118"/>
        </w:tabs>
        <w:ind w:left="3118" w:hanging="420"/>
      </w:pPr>
      <w:rPr>
        <w:rFonts w:hint="default" w:ascii="Wingdings" w:hAnsi="Wingdings"/>
      </w:rPr>
    </w:lvl>
    <w:lvl w:ilvl="7" w:tentative="0">
      <w:start w:val="1"/>
      <w:numFmt w:val="bullet"/>
      <w:lvlText w:val=""/>
      <w:lvlJc w:val="left"/>
      <w:pPr>
        <w:tabs>
          <w:tab w:val="left" w:pos="3538"/>
        </w:tabs>
        <w:ind w:left="3538" w:hanging="420"/>
      </w:pPr>
      <w:rPr>
        <w:rFonts w:hint="default" w:ascii="Wingdings" w:hAnsi="Wingdings"/>
      </w:rPr>
    </w:lvl>
    <w:lvl w:ilvl="8" w:tentative="0">
      <w:start w:val="1"/>
      <w:numFmt w:val="bullet"/>
      <w:lvlText w:val=""/>
      <w:lvlJc w:val="left"/>
      <w:pPr>
        <w:tabs>
          <w:tab w:val="left" w:pos="3958"/>
        </w:tabs>
        <w:ind w:left="3958" w:hanging="420"/>
      </w:pPr>
      <w:rPr>
        <w:rFonts w:hint="default" w:ascii="Wingdings" w:hAnsi="Wingdings"/>
      </w:rPr>
    </w:lvl>
  </w:abstractNum>
  <w:abstractNum w:abstractNumId="28">
    <w:nsid w:val="00000043"/>
    <w:multiLevelType w:val="multilevel"/>
    <w:tmpl w:val="00000043"/>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5"/>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9">
    <w:nsid w:val="08C84316"/>
    <w:multiLevelType w:val="singleLevel"/>
    <w:tmpl w:val="08C84316"/>
    <w:lvl w:ilvl="0" w:tentative="0">
      <w:start w:val="1"/>
      <w:numFmt w:val="decimal"/>
      <w:suff w:val="space"/>
      <w:lvlText w:val="%1)"/>
      <w:lvlJc w:val="left"/>
      <w:pPr>
        <w:ind w:left="425" w:hanging="425"/>
      </w:pPr>
      <w:rPr>
        <w:rFonts w:hint="default" w:ascii="宋体" w:hAnsi="宋体" w:eastAsia="宋体" w:cs="宋体"/>
      </w:rPr>
    </w:lvl>
  </w:abstractNum>
  <w:abstractNum w:abstractNumId="30">
    <w:nsid w:val="12F1127D"/>
    <w:multiLevelType w:val="singleLevel"/>
    <w:tmpl w:val="12F1127D"/>
    <w:lvl w:ilvl="0" w:tentative="0">
      <w:start w:val="1"/>
      <w:numFmt w:val="decimal"/>
      <w:suff w:val="space"/>
      <w:lvlText w:val="%1."/>
      <w:lvlJc w:val="left"/>
      <w:pPr>
        <w:ind w:left="454" w:leftChars="0" w:hanging="454" w:firstLineChars="0"/>
      </w:pPr>
      <w:rPr>
        <w:rFonts w:hint="default"/>
      </w:rPr>
    </w:lvl>
  </w:abstractNum>
  <w:abstractNum w:abstractNumId="31">
    <w:nsid w:val="15A7C4FD"/>
    <w:multiLevelType w:val="singleLevel"/>
    <w:tmpl w:val="15A7C4FD"/>
    <w:lvl w:ilvl="0" w:tentative="0">
      <w:start w:val="1"/>
      <w:numFmt w:val="decimal"/>
      <w:lvlText w:val="%1."/>
      <w:lvlJc w:val="left"/>
      <w:pPr>
        <w:ind w:left="425" w:hanging="425"/>
      </w:pPr>
      <w:rPr>
        <w:rFonts w:hint="default"/>
      </w:rPr>
    </w:lvl>
  </w:abstractNum>
  <w:abstractNum w:abstractNumId="32">
    <w:nsid w:val="1F8196E8"/>
    <w:multiLevelType w:val="singleLevel"/>
    <w:tmpl w:val="1F8196E8"/>
    <w:lvl w:ilvl="0" w:tentative="0">
      <w:start w:val="1"/>
      <w:numFmt w:val="decimal"/>
      <w:lvlText w:val="(%1)"/>
      <w:lvlJc w:val="left"/>
      <w:pPr>
        <w:ind w:left="425" w:hanging="425"/>
      </w:pPr>
      <w:rPr>
        <w:rFonts w:hint="default"/>
      </w:rPr>
    </w:lvl>
  </w:abstractNum>
  <w:abstractNum w:abstractNumId="33">
    <w:nsid w:val="2056F178"/>
    <w:multiLevelType w:val="multilevel"/>
    <w:tmpl w:val="2056F178"/>
    <w:lvl w:ilvl="0" w:tentative="0">
      <w:start w:val="1"/>
      <w:numFmt w:val="decimal"/>
      <w:suff w:val="space"/>
      <w:lvlText w:val="%1."/>
      <w:lvlJc w:val="left"/>
      <w:pPr>
        <w:ind w:left="624" w:hanging="624"/>
      </w:pPr>
      <w:rPr>
        <w:rFonts w:hint="default" w:ascii="宋体" w:hAnsi="宋体" w:eastAsia="宋体" w:cs="宋体"/>
        <w:b/>
        <w:i w:val="0"/>
      </w:rPr>
    </w:lvl>
    <w:lvl w:ilvl="1" w:tentative="0">
      <w:start w:val="1"/>
      <w:numFmt w:val="decimal"/>
      <w:suff w:val="space"/>
      <w:lvlText w:val="%1.%2"/>
      <w:lvlJc w:val="left"/>
      <w:pPr>
        <w:ind w:left="624" w:hanging="624"/>
      </w:pPr>
      <w:rPr>
        <w:rFonts w:hint="default" w:ascii="宋体" w:hAnsi="宋体" w:eastAsia="宋体" w:cs="宋体"/>
        <w:b w:val="0"/>
        <w:bCs w:val="0"/>
        <w:i w:val="0"/>
        <w:color w:val="auto"/>
        <w:sz w:val="24"/>
        <w:szCs w:val="24"/>
      </w:rPr>
    </w:lvl>
    <w:lvl w:ilvl="2" w:tentative="0">
      <w:start w:val="1"/>
      <w:numFmt w:val="decimal"/>
      <w:suff w:val="space"/>
      <w:lvlText w:val="%1.%2.%3."/>
      <w:lvlJc w:val="left"/>
      <w:pPr>
        <w:ind w:left="709" w:hanging="709"/>
      </w:pPr>
      <w:rPr>
        <w:rFonts w:hint="default" w:ascii="宋体" w:hAnsi="宋体" w:eastAsia="宋体" w:cs="宋体"/>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2767BC46"/>
    <w:multiLevelType w:val="singleLevel"/>
    <w:tmpl w:val="2767BC46"/>
    <w:lvl w:ilvl="0" w:tentative="0">
      <w:start w:val="1"/>
      <w:numFmt w:val="decimal"/>
      <w:lvlText w:val="(%1)"/>
      <w:lvlJc w:val="left"/>
      <w:pPr>
        <w:ind w:left="425" w:hanging="425"/>
      </w:pPr>
      <w:rPr>
        <w:rFonts w:hint="default"/>
      </w:rPr>
    </w:lvl>
  </w:abstractNum>
  <w:abstractNum w:abstractNumId="35">
    <w:nsid w:val="2AF33EBD"/>
    <w:multiLevelType w:val="multilevel"/>
    <w:tmpl w:val="2AF33EBD"/>
    <w:lvl w:ilvl="0" w:tentative="0">
      <w:start w:val="1"/>
      <w:numFmt w:val="decimal"/>
      <w:lvlText w:val="（%1）"/>
      <w:lvlJc w:val="left"/>
      <w:pPr>
        <w:tabs>
          <w:tab w:val="left" w:pos="652"/>
        </w:tabs>
        <w:ind w:left="1106" w:hanging="680"/>
      </w:pPr>
      <w:rPr>
        <w:rFonts w:hint="eastAsia"/>
      </w:rPr>
    </w:lvl>
    <w:lvl w:ilvl="1" w:tentative="0">
      <w:start w:val="1"/>
      <w:numFmt w:val="lowerLetter"/>
      <w:lvlText w:val="%2)"/>
      <w:lvlJc w:val="left"/>
      <w:pPr>
        <w:tabs>
          <w:tab w:val="left" w:pos="415"/>
        </w:tabs>
        <w:ind w:left="415" w:hanging="420"/>
      </w:pPr>
    </w:lvl>
    <w:lvl w:ilvl="2" w:tentative="0">
      <w:start w:val="1"/>
      <w:numFmt w:val="lowerRoman"/>
      <w:lvlText w:val="%3."/>
      <w:lvlJc w:val="right"/>
      <w:pPr>
        <w:tabs>
          <w:tab w:val="left" w:pos="835"/>
        </w:tabs>
        <w:ind w:left="835" w:hanging="420"/>
      </w:pPr>
    </w:lvl>
    <w:lvl w:ilvl="3" w:tentative="0">
      <w:start w:val="1"/>
      <w:numFmt w:val="decimal"/>
      <w:lvlText w:val="%4."/>
      <w:lvlJc w:val="left"/>
      <w:pPr>
        <w:tabs>
          <w:tab w:val="left" w:pos="1255"/>
        </w:tabs>
        <w:ind w:left="1255" w:hanging="420"/>
      </w:pPr>
    </w:lvl>
    <w:lvl w:ilvl="4" w:tentative="0">
      <w:start w:val="1"/>
      <w:numFmt w:val="lowerLetter"/>
      <w:lvlText w:val="%5)"/>
      <w:lvlJc w:val="left"/>
      <w:pPr>
        <w:tabs>
          <w:tab w:val="left" w:pos="1675"/>
        </w:tabs>
        <w:ind w:left="1675" w:hanging="420"/>
      </w:pPr>
    </w:lvl>
    <w:lvl w:ilvl="5" w:tentative="0">
      <w:start w:val="1"/>
      <w:numFmt w:val="lowerRoman"/>
      <w:lvlText w:val="%6."/>
      <w:lvlJc w:val="right"/>
      <w:pPr>
        <w:tabs>
          <w:tab w:val="left" w:pos="2095"/>
        </w:tabs>
        <w:ind w:left="2095" w:hanging="420"/>
      </w:pPr>
    </w:lvl>
    <w:lvl w:ilvl="6" w:tentative="0">
      <w:start w:val="1"/>
      <w:numFmt w:val="decimal"/>
      <w:lvlText w:val="%7."/>
      <w:lvlJc w:val="left"/>
      <w:pPr>
        <w:tabs>
          <w:tab w:val="left" w:pos="2515"/>
        </w:tabs>
        <w:ind w:left="2515" w:hanging="420"/>
      </w:pPr>
    </w:lvl>
    <w:lvl w:ilvl="7" w:tentative="0">
      <w:start w:val="1"/>
      <w:numFmt w:val="lowerLetter"/>
      <w:lvlText w:val="%8)"/>
      <w:lvlJc w:val="left"/>
      <w:pPr>
        <w:tabs>
          <w:tab w:val="left" w:pos="2935"/>
        </w:tabs>
        <w:ind w:left="2935" w:hanging="420"/>
      </w:pPr>
    </w:lvl>
    <w:lvl w:ilvl="8" w:tentative="0">
      <w:start w:val="1"/>
      <w:numFmt w:val="lowerRoman"/>
      <w:lvlText w:val="%9."/>
      <w:lvlJc w:val="right"/>
      <w:pPr>
        <w:tabs>
          <w:tab w:val="left" w:pos="3355"/>
        </w:tabs>
        <w:ind w:left="3355" w:hanging="420"/>
      </w:pPr>
    </w:lvl>
  </w:abstractNum>
  <w:abstractNum w:abstractNumId="36">
    <w:nsid w:val="324DD2EE"/>
    <w:multiLevelType w:val="singleLevel"/>
    <w:tmpl w:val="324DD2EE"/>
    <w:lvl w:ilvl="0" w:tentative="0">
      <w:start w:val="1"/>
      <w:numFmt w:val="decimal"/>
      <w:lvlText w:val="%1."/>
      <w:lvlJc w:val="left"/>
      <w:pPr>
        <w:ind w:left="425" w:hanging="425"/>
      </w:pPr>
      <w:rPr>
        <w:rFonts w:hint="default"/>
      </w:rPr>
    </w:lvl>
  </w:abstractNum>
  <w:abstractNum w:abstractNumId="37">
    <w:nsid w:val="45D53754"/>
    <w:multiLevelType w:val="singleLevel"/>
    <w:tmpl w:val="45D53754"/>
    <w:lvl w:ilvl="0" w:tentative="0">
      <w:start w:val="1"/>
      <w:numFmt w:val="decimal"/>
      <w:lvlText w:val="%1."/>
      <w:lvlJc w:val="left"/>
      <w:pPr>
        <w:ind w:left="425" w:hanging="425"/>
      </w:pPr>
      <w:rPr>
        <w:rFonts w:hint="default"/>
      </w:rPr>
    </w:lvl>
  </w:abstractNum>
  <w:abstractNum w:abstractNumId="38">
    <w:nsid w:val="464CD398"/>
    <w:multiLevelType w:val="singleLevel"/>
    <w:tmpl w:val="464CD398"/>
    <w:lvl w:ilvl="0" w:tentative="0">
      <w:start w:val="1"/>
      <w:numFmt w:val="decimal"/>
      <w:lvlText w:val="%1."/>
      <w:lvlJc w:val="left"/>
      <w:pPr>
        <w:ind w:left="425" w:hanging="425"/>
      </w:pPr>
      <w:rPr>
        <w:rFonts w:hint="default"/>
      </w:rPr>
    </w:lvl>
  </w:abstractNum>
  <w:abstractNum w:abstractNumId="39">
    <w:nsid w:val="4D83CE11"/>
    <w:multiLevelType w:val="singleLevel"/>
    <w:tmpl w:val="4D83CE11"/>
    <w:lvl w:ilvl="0" w:tentative="0">
      <w:start w:val="1"/>
      <w:numFmt w:val="chineseCounting"/>
      <w:suff w:val="nothing"/>
      <w:lvlText w:val="（%1）"/>
      <w:lvlJc w:val="left"/>
      <w:pPr>
        <w:ind w:left="0" w:firstLine="420"/>
      </w:pPr>
      <w:rPr>
        <w:rFonts w:hint="eastAsia"/>
      </w:rPr>
    </w:lvl>
  </w:abstractNum>
  <w:abstractNum w:abstractNumId="40">
    <w:nsid w:val="516CD22D"/>
    <w:multiLevelType w:val="singleLevel"/>
    <w:tmpl w:val="516CD22D"/>
    <w:lvl w:ilvl="0" w:tentative="0">
      <w:start w:val="1"/>
      <w:numFmt w:val="decimal"/>
      <w:lvlText w:val="%1."/>
      <w:lvlJc w:val="left"/>
      <w:pPr>
        <w:ind w:left="425" w:hanging="425"/>
      </w:pPr>
      <w:rPr>
        <w:rFonts w:hint="default"/>
      </w:rPr>
    </w:lvl>
  </w:abstractNum>
  <w:abstractNum w:abstractNumId="41">
    <w:nsid w:val="55ADAA3D"/>
    <w:multiLevelType w:val="singleLevel"/>
    <w:tmpl w:val="55ADAA3D"/>
    <w:lvl w:ilvl="0" w:tentative="0">
      <w:start w:val="1"/>
      <w:numFmt w:val="decimal"/>
      <w:lvlText w:val="%1."/>
      <w:lvlJc w:val="left"/>
      <w:pPr>
        <w:ind w:left="425" w:hanging="425"/>
      </w:pPr>
      <w:rPr>
        <w:rFonts w:hint="default"/>
      </w:rPr>
    </w:lvl>
  </w:abstractNum>
  <w:abstractNum w:abstractNumId="42">
    <w:nsid w:val="5B991B26"/>
    <w:multiLevelType w:val="singleLevel"/>
    <w:tmpl w:val="5B991B26"/>
    <w:lvl w:ilvl="0" w:tentative="0">
      <w:start w:val="1"/>
      <w:numFmt w:val="decimal"/>
      <w:lvlText w:val="%1."/>
      <w:lvlJc w:val="left"/>
      <w:pPr>
        <w:ind w:left="425" w:hanging="425"/>
      </w:pPr>
      <w:rPr>
        <w:rFonts w:hint="default"/>
      </w:rPr>
    </w:lvl>
  </w:abstractNum>
  <w:abstractNum w:abstractNumId="43">
    <w:nsid w:val="5E036EA0"/>
    <w:multiLevelType w:val="singleLevel"/>
    <w:tmpl w:val="5E036EA0"/>
    <w:lvl w:ilvl="0" w:tentative="0">
      <w:start w:val="1"/>
      <w:numFmt w:val="decimal"/>
      <w:lvlText w:val="%1."/>
      <w:lvlJc w:val="left"/>
      <w:pPr>
        <w:ind w:left="425" w:hanging="425"/>
      </w:pPr>
      <w:rPr>
        <w:rFonts w:hint="default"/>
      </w:rPr>
    </w:lvl>
  </w:abstractNum>
  <w:abstractNum w:abstractNumId="44">
    <w:nsid w:val="5E92D89C"/>
    <w:multiLevelType w:val="multilevel"/>
    <w:tmpl w:val="5E92D89C"/>
    <w:lvl w:ilvl="0" w:tentative="0">
      <w:start w:val="1"/>
      <w:numFmt w:val="decimal"/>
      <w:lvlText w:val="%1."/>
      <w:lvlJc w:val="left"/>
      <w:pPr>
        <w:tabs>
          <w:tab w:val="left" w:pos="780"/>
        </w:tabs>
        <w:ind w:left="780" w:hanging="360"/>
      </w:pPr>
      <w:rPr>
        <w:rFonts w:hint="default" w:ascii="宋体" w:hAnsi="宋体" w:eastAsia="宋体" w:cs="宋体"/>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45">
    <w:nsid w:val="5EBEEADD"/>
    <w:multiLevelType w:val="singleLevel"/>
    <w:tmpl w:val="5EBEEADD"/>
    <w:lvl w:ilvl="0" w:tentative="0">
      <w:start w:val="1"/>
      <w:numFmt w:val="chineseCounting"/>
      <w:suff w:val="nothing"/>
      <w:lvlText w:val="（%1）"/>
      <w:lvlJc w:val="left"/>
      <w:pPr>
        <w:ind w:left="0" w:firstLine="420"/>
      </w:pPr>
      <w:rPr>
        <w:rFonts w:hint="eastAsia"/>
      </w:rPr>
    </w:lvl>
  </w:abstractNum>
  <w:abstractNum w:abstractNumId="46">
    <w:nsid w:val="671857F2"/>
    <w:multiLevelType w:val="singleLevel"/>
    <w:tmpl w:val="671857F2"/>
    <w:lvl w:ilvl="0" w:tentative="0">
      <w:start w:val="1"/>
      <w:numFmt w:val="decimal"/>
      <w:lvlText w:val="%1."/>
      <w:lvlJc w:val="left"/>
      <w:pPr>
        <w:ind w:left="425" w:hanging="425"/>
      </w:pPr>
      <w:rPr>
        <w:rFonts w:hint="default"/>
      </w:rPr>
    </w:lvl>
  </w:abstractNum>
  <w:abstractNum w:abstractNumId="47">
    <w:nsid w:val="6B470B6A"/>
    <w:multiLevelType w:val="singleLevel"/>
    <w:tmpl w:val="6B470B6A"/>
    <w:lvl w:ilvl="0" w:tentative="0">
      <w:start w:val="1"/>
      <w:numFmt w:val="chineseCounting"/>
      <w:suff w:val="nothing"/>
      <w:lvlText w:val="（%1）"/>
      <w:lvlJc w:val="left"/>
      <w:pPr>
        <w:ind w:left="0" w:firstLine="420"/>
      </w:pPr>
      <w:rPr>
        <w:rFonts w:hint="eastAsia"/>
      </w:rPr>
    </w:lvl>
  </w:abstractNum>
  <w:abstractNum w:abstractNumId="48">
    <w:nsid w:val="6B4FEF5D"/>
    <w:multiLevelType w:val="singleLevel"/>
    <w:tmpl w:val="6B4FEF5D"/>
    <w:lvl w:ilvl="0" w:tentative="0">
      <w:start w:val="1"/>
      <w:numFmt w:val="chineseCounting"/>
      <w:suff w:val="nothing"/>
      <w:lvlText w:val="（%1）"/>
      <w:lvlJc w:val="left"/>
      <w:pPr>
        <w:ind w:left="0" w:firstLine="420"/>
      </w:pPr>
      <w:rPr>
        <w:rFonts w:hint="eastAsia"/>
      </w:rPr>
    </w:lvl>
  </w:abstractNum>
  <w:abstractNum w:abstractNumId="49">
    <w:nsid w:val="743442DA"/>
    <w:multiLevelType w:val="singleLevel"/>
    <w:tmpl w:val="743442DA"/>
    <w:lvl w:ilvl="0" w:tentative="0">
      <w:start w:val="1"/>
      <w:numFmt w:val="decimal"/>
      <w:lvlText w:val="%1."/>
      <w:lvlJc w:val="left"/>
      <w:pPr>
        <w:ind w:left="425" w:hanging="425"/>
      </w:pPr>
      <w:rPr>
        <w:rFonts w:hint="default"/>
      </w:rPr>
    </w:lvl>
  </w:abstractNum>
  <w:abstractNum w:abstractNumId="50">
    <w:nsid w:val="7BE0831C"/>
    <w:multiLevelType w:val="singleLevel"/>
    <w:tmpl w:val="7BE0831C"/>
    <w:lvl w:ilvl="0" w:tentative="0">
      <w:start w:val="1"/>
      <w:numFmt w:val="chineseCounting"/>
      <w:suff w:val="nothing"/>
      <w:lvlText w:val="%1、"/>
      <w:lvlJc w:val="left"/>
      <w:pPr>
        <w:ind w:left="0" w:firstLine="420"/>
      </w:pPr>
      <w:rPr>
        <w:rFonts w:hint="eastAsia"/>
      </w:rPr>
    </w:lvl>
  </w:abstractNum>
  <w:abstractNum w:abstractNumId="51">
    <w:nsid w:val="7CABA109"/>
    <w:multiLevelType w:val="singleLevel"/>
    <w:tmpl w:val="7CABA109"/>
    <w:lvl w:ilvl="0" w:tentative="0">
      <w:start w:val="2"/>
      <w:numFmt w:val="chineseCounting"/>
      <w:suff w:val="nothing"/>
      <w:lvlText w:val="%1、"/>
      <w:lvlJc w:val="left"/>
      <w:pPr>
        <w:ind w:left="0" w:firstLine="420"/>
      </w:pPr>
      <w:rPr>
        <w:rFonts w:hint="eastAsia"/>
      </w:rPr>
    </w:lvl>
  </w:abstractNum>
  <w:abstractNum w:abstractNumId="52">
    <w:nsid w:val="7D207E09"/>
    <w:multiLevelType w:val="multilevel"/>
    <w:tmpl w:val="7D207E09"/>
    <w:lvl w:ilvl="0" w:tentative="0">
      <w:start w:val="1"/>
      <w:numFmt w:val="decimal"/>
      <w:lvlText w:val="%1."/>
      <w:lvlJc w:val="left"/>
      <w:pPr>
        <w:tabs>
          <w:tab w:val="left" w:pos="624"/>
        </w:tabs>
        <w:ind w:left="624" w:hanging="624"/>
      </w:pPr>
      <w:rPr>
        <w:rFonts w:hint="default" w:ascii="宋体" w:hAnsi="宋体" w:eastAsia="宋体" w:cs="宋体"/>
        <w:b/>
        <w:i w:val="0"/>
      </w:rPr>
    </w:lvl>
    <w:lvl w:ilvl="1" w:tentative="0">
      <w:start w:val="1"/>
      <w:numFmt w:val="decimal"/>
      <w:lvlText w:val="%1.%2"/>
      <w:lvlJc w:val="left"/>
      <w:pPr>
        <w:tabs>
          <w:tab w:val="left" w:pos="624"/>
        </w:tabs>
        <w:ind w:left="624" w:hanging="624"/>
      </w:pPr>
      <w:rPr>
        <w:rFonts w:hint="default" w:ascii="宋体" w:hAnsi="宋体" w:eastAsia="宋体" w:cs="宋体"/>
        <w:b w:val="0"/>
        <w:i w:val="0"/>
        <w:sz w:val="24"/>
        <w:szCs w:val="24"/>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7D207E14"/>
    <w:multiLevelType w:val="multilevel"/>
    <w:tmpl w:val="7D207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D207E2D"/>
    <w:multiLevelType w:val="multilevel"/>
    <w:tmpl w:val="7D207E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D662F0F"/>
    <w:multiLevelType w:val="singleLevel"/>
    <w:tmpl w:val="7D662F0F"/>
    <w:lvl w:ilvl="0" w:tentative="0">
      <w:start w:val="1"/>
      <w:numFmt w:val="decimal"/>
      <w:lvlText w:val="%1."/>
      <w:lvlJc w:val="left"/>
      <w:pPr>
        <w:ind w:left="425" w:hanging="425"/>
      </w:pPr>
      <w:rPr>
        <w:rFonts w:hint="default"/>
      </w:rPr>
    </w:lvl>
  </w:abstractNum>
  <w:num w:numId="1">
    <w:abstractNumId w:val="23"/>
  </w:num>
  <w:num w:numId="2">
    <w:abstractNumId w:val="50"/>
  </w:num>
  <w:num w:numId="3">
    <w:abstractNumId w:val="20"/>
  </w:num>
  <w:num w:numId="4">
    <w:abstractNumId w:val="51"/>
  </w:num>
  <w:num w:numId="5">
    <w:abstractNumId w:val="41"/>
  </w:num>
  <w:num w:numId="6">
    <w:abstractNumId w:val="34"/>
  </w:num>
  <w:num w:numId="7">
    <w:abstractNumId w:val="12"/>
  </w:num>
  <w:num w:numId="8">
    <w:abstractNumId w:val="37"/>
  </w:num>
  <w:num w:numId="9">
    <w:abstractNumId w:val="18"/>
  </w:num>
  <w:num w:numId="10">
    <w:abstractNumId w:val="55"/>
  </w:num>
  <w:num w:numId="11">
    <w:abstractNumId w:val="9"/>
  </w:num>
  <w:num w:numId="12">
    <w:abstractNumId w:val="33"/>
  </w:num>
  <w:num w:numId="13">
    <w:abstractNumId w:val="5"/>
  </w:num>
  <w:num w:numId="14">
    <w:abstractNumId w:val="38"/>
  </w:num>
  <w:num w:numId="15">
    <w:abstractNumId w:val="42"/>
  </w:num>
  <w:num w:numId="16">
    <w:abstractNumId w:val="25"/>
  </w:num>
  <w:num w:numId="17">
    <w:abstractNumId w:val="17"/>
  </w:num>
  <w:num w:numId="18">
    <w:abstractNumId w:val="7"/>
  </w:num>
  <w:num w:numId="19">
    <w:abstractNumId w:val="43"/>
  </w:num>
  <w:num w:numId="20">
    <w:abstractNumId w:val="49"/>
  </w:num>
  <w:num w:numId="21">
    <w:abstractNumId w:val="31"/>
  </w:num>
  <w:num w:numId="22">
    <w:abstractNumId w:val="16"/>
  </w:num>
  <w:num w:numId="23">
    <w:abstractNumId w:val="2"/>
  </w:num>
  <w:num w:numId="24">
    <w:abstractNumId w:val="32"/>
  </w:num>
  <w:num w:numId="25">
    <w:abstractNumId w:val="29"/>
  </w:num>
  <w:num w:numId="26">
    <w:abstractNumId w:val="22"/>
  </w:num>
  <w:num w:numId="27">
    <w:abstractNumId w:val="26"/>
  </w:num>
  <w:num w:numId="28">
    <w:abstractNumId w:val="21"/>
  </w:num>
  <w:num w:numId="29">
    <w:abstractNumId w:val="35"/>
  </w:num>
  <w:num w:numId="30">
    <w:abstractNumId w:val="14"/>
  </w:num>
  <w:num w:numId="31">
    <w:abstractNumId w:val="52"/>
  </w:num>
  <w:num w:numId="32">
    <w:abstractNumId w:val="13"/>
  </w:num>
  <w:num w:numId="33">
    <w:abstractNumId w:val="19"/>
  </w:num>
  <w:num w:numId="34">
    <w:abstractNumId w:val="39"/>
  </w:num>
  <w:num w:numId="35">
    <w:abstractNumId w:val="6"/>
  </w:num>
  <w:num w:numId="36">
    <w:abstractNumId w:val="10"/>
  </w:num>
  <w:num w:numId="37">
    <w:abstractNumId w:val="40"/>
  </w:num>
  <w:num w:numId="38">
    <w:abstractNumId w:val="48"/>
  </w:num>
  <w:num w:numId="39">
    <w:abstractNumId w:val="8"/>
  </w:num>
  <w:num w:numId="40">
    <w:abstractNumId w:val="45"/>
  </w:num>
  <w:num w:numId="41">
    <w:abstractNumId w:val="47"/>
  </w:num>
  <w:num w:numId="42">
    <w:abstractNumId w:val="4"/>
  </w:num>
  <w:num w:numId="43">
    <w:abstractNumId w:val="1"/>
  </w:num>
  <w:num w:numId="44">
    <w:abstractNumId w:val="15"/>
  </w:num>
  <w:num w:numId="45">
    <w:abstractNumId w:val="36"/>
  </w:num>
  <w:num w:numId="46">
    <w:abstractNumId w:val="3"/>
  </w:num>
  <w:num w:numId="47">
    <w:abstractNumId w:val="30"/>
  </w:num>
  <w:num w:numId="48">
    <w:abstractNumId w:val="28"/>
  </w:num>
  <w:num w:numId="49">
    <w:abstractNumId w:val="0"/>
  </w:num>
  <w:num w:numId="50">
    <w:abstractNumId w:val="11"/>
  </w:num>
  <w:num w:numId="51">
    <w:abstractNumId w:val="46"/>
  </w:num>
  <w:num w:numId="52">
    <w:abstractNumId w:val="27"/>
  </w:num>
  <w:num w:numId="53">
    <w:abstractNumId w:val="24"/>
  </w:num>
  <w:num w:numId="54">
    <w:abstractNumId w:val="53"/>
  </w:num>
  <w:num w:numId="55">
    <w:abstractNumId w:val="54"/>
  </w:num>
  <w:num w:numId="5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11E72552"/>
    <w:rsid w:val="006B43D9"/>
    <w:rsid w:val="00AE65C6"/>
    <w:rsid w:val="00EC3250"/>
    <w:rsid w:val="00ED3CE4"/>
    <w:rsid w:val="015843AC"/>
    <w:rsid w:val="01921AA3"/>
    <w:rsid w:val="02414958"/>
    <w:rsid w:val="025A5C68"/>
    <w:rsid w:val="0305345B"/>
    <w:rsid w:val="03A21007"/>
    <w:rsid w:val="03B37031"/>
    <w:rsid w:val="03F37758"/>
    <w:rsid w:val="04423799"/>
    <w:rsid w:val="05D13AC9"/>
    <w:rsid w:val="05DD2118"/>
    <w:rsid w:val="066C559F"/>
    <w:rsid w:val="06BD229F"/>
    <w:rsid w:val="06DC0977"/>
    <w:rsid w:val="071224BF"/>
    <w:rsid w:val="074C7075"/>
    <w:rsid w:val="078D7EC3"/>
    <w:rsid w:val="07D000B4"/>
    <w:rsid w:val="07EC2E3C"/>
    <w:rsid w:val="084E7652"/>
    <w:rsid w:val="08523894"/>
    <w:rsid w:val="08C86C66"/>
    <w:rsid w:val="08C90A87"/>
    <w:rsid w:val="08FC6826"/>
    <w:rsid w:val="09453F67"/>
    <w:rsid w:val="094C1CE0"/>
    <w:rsid w:val="098F7F23"/>
    <w:rsid w:val="0A587545"/>
    <w:rsid w:val="0A627034"/>
    <w:rsid w:val="0A6833CF"/>
    <w:rsid w:val="0B4D45A7"/>
    <w:rsid w:val="0B595C8F"/>
    <w:rsid w:val="0BD339A2"/>
    <w:rsid w:val="0C2268BC"/>
    <w:rsid w:val="0CA21D1B"/>
    <w:rsid w:val="0CEF1490"/>
    <w:rsid w:val="0D9D3660"/>
    <w:rsid w:val="0E0E7A2B"/>
    <w:rsid w:val="0E7F0ABA"/>
    <w:rsid w:val="0EF85E12"/>
    <w:rsid w:val="0F4611B0"/>
    <w:rsid w:val="0F9C6EF5"/>
    <w:rsid w:val="0FEF6374"/>
    <w:rsid w:val="106A6FF4"/>
    <w:rsid w:val="10EF163D"/>
    <w:rsid w:val="11710867"/>
    <w:rsid w:val="11B511EB"/>
    <w:rsid w:val="11C47376"/>
    <w:rsid w:val="11E72552"/>
    <w:rsid w:val="127B43F7"/>
    <w:rsid w:val="12D21FC6"/>
    <w:rsid w:val="12FA450A"/>
    <w:rsid w:val="13107E1F"/>
    <w:rsid w:val="13153225"/>
    <w:rsid w:val="144E09DA"/>
    <w:rsid w:val="14506500"/>
    <w:rsid w:val="147449FF"/>
    <w:rsid w:val="14AB4DE7"/>
    <w:rsid w:val="14C40BA3"/>
    <w:rsid w:val="14DD05D4"/>
    <w:rsid w:val="14EC6AE9"/>
    <w:rsid w:val="14F05D28"/>
    <w:rsid w:val="15B12FCF"/>
    <w:rsid w:val="161A6DC6"/>
    <w:rsid w:val="16C10B69"/>
    <w:rsid w:val="17563E2E"/>
    <w:rsid w:val="17795D6E"/>
    <w:rsid w:val="177B7D38"/>
    <w:rsid w:val="18552E42"/>
    <w:rsid w:val="185F2A28"/>
    <w:rsid w:val="1860735B"/>
    <w:rsid w:val="19550115"/>
    <w:rsid w:val="19755B64"/>
    <w:rsid w:val="19AE7E3F"/>
    <w:rsid w:val="19E85173"/>
    <w:rsid w:val="1AB6261D"/>
    <w:rsid w:val="1AC71EA6"/>
    <w:rsid w:val="1AF81D29"/>
    <w:rsid w:val="1AFC2ED4"/>
    <w:rsid w:val="1AFF1443"/>
    <w:rsid w:val="1B016238"/>
    <w:rsid w:val="1C8F0461"/>
    <w:rsid w:val="1D3D1785"/>
    <w:rsid w:val="1DC414DB"/>
    <w:rsid w:val="1E62755C"/>
    <w:rsid w:val="1E71299B"/>
    <w:rsid w:val="1E731769"/>
    <w:rsid w:val="1E823209"/>
    <w:rsid w:val="1EB12BED"/>
    <w:rsid w:val="1EC14360"/>
    <w:rsid w:val="1ECC21F6"/>
    <w:rsid w:val="1F6B74E6"/>
    <w:rsid w:val="1F8F25D3"/>
    <w:rsid w:val="1FE6720D"/>
    <w:rsid w:val="201A4329"/>
    <w:rsid w:val="20803D07"/>
    <w:rsid w:val="20CE518C"/>
    <w:rsid w:val="20D52267"/>
    <w:rsid w:val="20F75C67"/>
    <w:rsid w:val="212213DB"/>
    <w:rsid w:val="214F1B3C"/>
    <w:rsid w:val="229B4DEB"/>
    <w:rsid w:val="22E870F2"/>
    <w:rsid w:val="232079E6"/>
    <w:rsid w:val="23353491"/>
    <w:rsid w:val="235E2C87"/>
    <w:rsid w:val="23C0442C"/>
    <w:rsid w:val="25532579"/>
    <w:rsid w:val="267E5EAB"/>
    <w:rsid w:val="26F42199"/>
    <w:rsid w:val="276808A7"/>
    <w:rsid w:val="276E3AFD"/>
    <w:rsid w:val="28384C03"/>
    <w:rsid w:val="28487BD0"/>
    <w:rsid w:val="28C7618E"/>
    <w:rsid w:val="28D8007D"/>
    <w:rsid w:val="2913457E"/>
    <w:rsid w:val="29CD2B92"/>
    <w:rsid w:val="2A000270"/>
    <w:rsid w:val="2AA01437"/>
    <w:rsid w:val="2AD10FC0"/>
    <w:rsid w:val="2B035C23"/>
    <w:rsid w:val="2B73700C"/>
    <w:rsid w:val="2B8C6B3F"/>
    <w:rsid w:val="2BA70CA4"/>
    <w:rsid w:val="2BF21021"/>
    <w:rsid w:val="2C1F074F"/>
    <w:rsid w:val="2C321CD1"/>
    <w:rsid w:val="2C3B3233"/>
    <w:rsid w:val="2C411435"/>
    <w:rsid w:val="2CCD4D91"/>
    <w:rsid w:val="2D340315"/>
    <w:rsid w:val="2D8A564D"/>
    <w:rsid w:val="2DDE3BAC"/>
    <w:rsid w:val="2DF40F32"/>
    <w:rsid w:val="2E2760CC"/>
    <w:rsid w:val="2E344345"/>
    <w:rsid w:val="2F086852"/>
    <w:rsid w:val="2F5065EE"/>
    <w:rsid w:val="2F9961B4"/>
    <w:rsid w:val="2FDA6C3E"/>
    <w:rsid w:val="30D815BD"/>
    <w:rsid w:val="313D7A21"/>
    <w:rsid w:val="313E0256"/>
    <w:rsid w:val="31A1312E"/>
    <w:rsid w:val="31E6583E"/>
    <w:rsid w:val="33243B49"/>
    <w:rsid w:val="333C57B1"/>
    <w:rsid w:val="33E54CB2"/>
    <w:rsid w:val="34635034"/>
    <w:rsid w:val="34AF5971"/>
    <w:rsid w:val="34F15947"/>
    <w:rsid w:val="35233328"/>
    <w:rsid w:val="357D7760"/>
    <w:rsid w:val="35845BB2"/>
    <w:rsid w:val="359350A8"/>
    <w:rsid w:val="35B16516"/>
    <w:rsid w:val="36272220"/>
    <w:rsid w:val="38593326"/>
    <w:rsid w:val="38AE18BD"/>
    <w:rsid w:val="38BC22B3"/>
    <w:rsid w:val="38CF3F5A"/>
    <w:rsid w:val="38EA217A"/>
    <w:rsid w:val="38FF3EEB"/>
    <w:rsid w:val="39671A73"/>
    <w:rsid w:val="39A532FE"/>
    <w:rsid w:val="39CB0253"/>
    <w:rsid w:val="3A0948D8"/>
    <w:rsid w:val="3A2C5DDB"/>
    <w:rsid w:val="3AD332D3"/>
    <w:rsid w:val="3AFA7F9B"/>
    <w:rsid w:val="3B5B5607"/>
    <w:rsid w:val="3C3A33FB"/>
    <w:rsid w:val="3DA45043"/>
    <w:rsid w:val="3DE17041"/>
    <w:rsid w:val="3E495CDD"/>
    <w:rsid w:val="3FB1195F"/>
    <w:rsid w:val="3FC65D6C"/>
    <w:rsid w:val="3FC75019"/>
    <w:rsid w:val="3FFF47B3"/>
    <w:rsid w:val="400C6ED0"/>
    <w:rsid w:val="405D57D3"/>
    <w:rsid w:val="40AD4F36"/>
    <w:rsid w:val="40CD665F"/>
    <w:rsid w:val="40CF6725"/>
    <w:rsid w:val="40F63E08"/>
    <w:rsid w:val="4199411A"/>
    <w:rsid w:val="41AF35A9"/>
    <w:rsid w:val="422F28D9"/>
    <w:rsid w:val="424010B3"/>
    <w:rsid w:val="43036368"/>
    <w:rsid w:val="438B1580"/>
    <w:rsid w:val="439972F7"/>
    <w:rsid w:val="43BB6C43"/>
    <w:rsid w:val="442454D0"/>
    <w:rsid w:val="45634D66"/>
    <w:rsid w:val="45B64921"/>
    <w:rsid w:val="463B1E29"/>
    <w:rsid w:val="47BB4A40"/>
    <w:rsid w:val="47E12E91"/>
    <w:rsid w:val="480C61BA"/>
    <w:rsid w:val="48CD1D17"/>
    <w:rsid w:val="49541530"/>
    <w:rsid w:val="49C262A2"/>
    <w:rsid w:val="49D337FD"/>
    <w:rsid w:val="49F96E81"/>
    <w:rsid w:val="4A1573B8"/>
    <w:rsid w:val="4B341CCE"/>
    <w:rsid w:val="4B3814C1"/>
    <w:rsid w:val="4B8464B4"/>
    <w:rsid w:val="4B980FFD"/>
    <w:rsid w:val="4C407627"/>
    <w:rsid w:val="4DB82445"/>
    <w:rsid w:val="4E1619F8"/>
    <w:rsid w:val="4E1F1629"/>
    <w:rsid w:val="4E3751B8"/>
    <w:rsid w:val="4E9407BC"/>
    <w:rsid w:val="4EB64BD7"/>
    <w:rsid w:val="4EC51196"/>
    <w:rsid w:val="4EC52981"/>
    <w:rsid w:val="4F467383"/>
    <w:rsid w:val="4F7E3822"/>
    <w:rsid w:val="4F870321"/>
    <w:rsid w:val="50B5705D"/>
    <w:rsid w:val="51B8087A"/>
    <w:rsid w:val="520018B5"/>
    <w:rsid w:val="52191360"/>
    <w:rsid w:val="523D5DD0"/>
    <w:rsid w:val="532349C0"/>
    <w:rsid w:val="53731601"/>
    <w:rsid w:val="53774AC0"/>
    <w:rsid w:val="53811B3A"/>
    <w:rsid w:val="53ED725D"/>
    <w:rsid w:val="540705B0"/>
    <w:rsid w:val="54763165"/>
    <w:rsid w:val="54AC78C8"/>
    <w:rsid w:val="54AD6A7C"/>
    <w:rsid w:val="54DF4D95"/>
    <w:rsid w:val="55E22B38"/>
    <w:rsid w:val="55FB3FEE"/>
    <w:rsid w:val="573963A5"/>
    <w:rsid w:val="57697F72"/>
    <w:rsid w:val="576C677A"/>
    <w:rsid w:val="577D22B9"/>
    <w:rsid w:val="57886286"/>
    <w:rsid w:val="57D10DA1"/>
    <w:rsid w:val="5826529A"/>
    <w:rsid w:val="58F93D32"/>
    <w:rsid w:val="5906675A"/>
    <w:rsid w:val="59C4289D"/>
    <w:rsid w:val="59DB5C30"/>
    <w:rsid w:val="5A2F35C8"/>
    <w:rsid w:val="5A7E6940"/>
    <w:rsid w:val="5A81078E"/>
    <w:rsid w:val="5AA817C4"/>
    <w:rsid w:val="5AFE6240"/>
    <w:rsid w:val="5B0867BA"/>
    <w:rsid w:val="5B0942E0"/>
    <w:rsid w:val="5B1868E7"/>
    <w:rsid w:val="5BD92403"/>
    <w:rsid w:val="5C56525A"/>
    <w:rsid w:val="5CFA4828"/>
    <w:rsid w:val="5CFD7E74"/>
    <w:rsid w:val="5D4E5740"/>
    <w:rsid w:val="5D5277DD"/>
    <w:rsid w:val="5DD13A6C"/>
    <w:rsid w:val="5DFB2606"/>
    <w:rsid w:val="5E065686"/>
    <w:rsid w:val="5E4C7B6F"/>
    <w:rsid w:val="5E850647"/>
    <w:rsid w:val="5E9422A5"/>
    <w:rsid w:val="5E984194"/>
    <w:rsid w:val="5EB42BD6"/>
    <w:rsid w:val="5F6B37BB"/>
    <w:rsid w:val="5FB17821"/>
    <w:rsid w:val="5FEB22F5"/>
    <w:rsid w:val="6091419F"/>
    <w:rsid w:val="60963B2E"/>
    <w:rsid w:val="609B00E6"/>
    <w:rsid w:val="6223037D"/>
    <w:rsid w:val="624913A5"/>
    <w:rsid w:val="62E07E5B"/>
    <w:rsid w:val="63A60F6F"/>
    <w:rsid w:val="63C90AB0"/>
    <w:rsid w:val="642503DD"/>
    <w:rsid w:val="64E22594"/>
    <w:rsid w:val="64E35BA2"/>
    <w:rsid w:val="653417D4"/>
    <w:rsid w:val="65BF660F"/>
    <w:rsid w:val="663D0E6A"/>
    <w:rsid w:val="66474579"/>
    <w:rsid w:val="669F2D91"/>
    <w:rsid w:val="66CB4B3F"/>
    <w:rsid w:val="67892A30"/>
    <w:rsid w:val="67ED3FAD"/>
    <w:rsid w:val="685C5429"/>
    <w:rsid w:val="68FC264B"/>
    <w:rsid w:val="6A0F2939"/>
    <w:rsid w:val="6A247652"/>
    <w:rsid w:val="6A890F99"/>
    <w:rsid w:val="6AD20049"/>
    <w:rsid w:val="6B060B84"/>
    <w:rsid w:val="6B5567E2"/>
    <w:rsid w:val="6B7639AE"/>
    <w:rsid w:val="6B9E2823"/>
    <w:rsid w:val="6BC07E6B"/>
    <w:rsid w:val="6BD91AAD"/>
    <w:rsid w:val="6BFF1513"/>
    <w:rsid w:val="6C206903"/>
    <w:rsid w:val="6C845220"/>
    <w:rsid w:val="6C9A2A2E"/>
    <w:rsid w:val="6CA67BE1"/>
    <w:rsid w:val="6CB35813"/>
    <w:rsid w:val="6CB56076"/>
    <w:rsid w:val="6DB75E64"/>
    <w:rsid w:val="6EE606DE"/>
    <w:rsid w:val="6F3864FC"/>
    <w:rsid w:val="6F5D497B"/>
    <w:rsid w:val="6F9D176F"/>
    <w:rsid w:val="702B2A5E"/>
    <w:rsid w:val="70BF3967"/>
    <w:rsid w:val="72651420"/>
    <w:rsid w:val="743D6361"/>
    <w:rsid w:val="74601C18"/>
    <w:rsid w:val="748F58E9"/>
    <w:rsid w:val="759A5549"/>
    <w:rsid w:val="75B644B6"/>
    <w:rsid w:val="75F62549"/>
    <w:rsid w:val="75FC4D15"/>
    <w:rsid w:val="7604134D"/>
    <w:rsid w:val="764C4872"/>
    <w:rsid w:val="77525111"/>
    <w:rsid w:val="77694926"/>
    <w:rsid w:val="77813724"/>
    <w:rsid w:val="78623556"/>
    <w:rsid w:val="78770683"/>
    <w:rsid w:val="787C15C3"/>
    <w:rsid w:val="787C3EEC"/>
    <w:rsid w:val="794D45CF"/>
    <w:rsid w:val="79AD4310"/>
    <w:rsid w:val="7B215454"/>
    <w:rsid w:val="7B354F51"/>
    <w:rsid w:val="7BDE442C"/>
    <w:rsid w:val="7BF546E1"/>
    <w:rsid w:val="7C6929D9"/>
    <w:rsid w:val="7CC145C3"/>
    <w:rsid w:val="7E0C40B3"/>
    <w:rsid w:val="7E4E00D8"/>
    <w:rsid w:val="7E760E2D"/>
    <w:rsid w:val="7EDE145C"/>
    <w:rsid w:val="7EEF00F3"/>
    <w:rsid w:val="7F572FBC"/>
    <w:rsid w:val="7FBE636E"/>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kern w:val="44"/>
      <w:sz w:val="44"/>
      <w:szCs w:val="44"/>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autoRedefine/>
    <w:qFormat/>
    <w:uiPriority w:val="0"/>
    <w:pPr>
      <w:keepNext/>
      <w:keepLines/>
      <w:spacing w:before="260" w:after="260" w:line="412"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Normal Indent"/>
    <w:basedOn w:val="1"/>
    <w:next w:val="1"/>
    <w:autoRedefine/>
    <w:qFormat/>
    <w:uiPriority w:val="0"/>
    <w:pPr>
      <w:widowControl/>
      <w:ind w:firstLine="420" w:firstLineChars="200"/>
      <w:jc w:val="left"/>
    </w:pPr>
    <w:rPr>
      <w:kern w:val="0"/>
      <w:sz w:val="20"/>
      <w:szCs w:val="20"/>
    </w:rPr>
  </w:style>
  <w:style w:type="paragraph" w:styleId="7">
    <w:name w:val="annotation text"/>
    <w:basedOn w:val="1"/>
    <w:autoRedefine/>
    <w:unhideWhenUsed/>
    <w:qFormat/>
    <w:uiPriority w:val="99"/>
    <w:pPr>
      <w:jc w:val="left"/>
    </w:pPr>
    <w:rPr>
      <w:rFonts w:ascii="Times New Roman" w:hAnsi="Times New Roman"/>
      <w:szCs w:val="24"/>
    </w:rPr>
  </w:style>
  <w:style w:type="paragraph" w:styleId="8">
    <w:name w:val="Body Text 3"/>
    <w:basedOn w:val="1"/>
    <w:autoRedefine/>
    <w:qFormat/>
    <w:uiPriority w:val="0"/>
    <w:pPr>
      <w:spacing w:after="120"/>
    </w:pPr>
    <w:rPr>
      <w:sz w:val="16"/>
      <w:szCs w:val="16"/>
    </w:rPr>
  </w:style>
  <w:style w:type="paragraph" w:styleId="9">
    <w:name w:val="Body Text Indent"/>
    <w:basedOn w:val="1"/>
    <w:next w:val="10"/>
    <w:autoRedefine/>
    <w:unhideWhenUsed/>
    <w:qFormat/>
    <w:uiPriority w:val="0"/>
    <w:pPr>
      <w:spacing w:after="120"/>
      <w:ind w:left="42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
    <w:autoRedefine/>
    <w:qFormat/>
    <w:uiPriority w:val="0"/>
    <w:rPr>
      <w:rFonts w:ascii="宋体" w:hAnsi="Courier New"/>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jc w:val="left"/>
    </w:pPr>
    <w:rPr>
      <w:b/>
      <w:bCs/>
      <w:caps/>
      <w:sz w:val="20"/>
      <w:szCs w:val="20"/>
    </w:rPr>
  </w:style>
  <w:style w:type="paragraph" w:styleId="16">
    <w:name w:val="toc 2"/>
    <w:basedOn w:val="1"/>
    <w:next w:val="1"/>
    <w:autoRedefine/>
    <w:qFormat/>
    <w:uiPriority w:val="0"/>
    <w:pPr>
      <w:ind w:left="420" w:leftChars="200"/>
    </w:pPr>
  </w:style>
  <w:style w:type="paragraph" w:styleId="17">
    <w:name w:val="Body Text First Indent"/>
    <w:basedOn w:val="1"/>
    <w:autoRedefine/>
    <w:qFormat/>
    <w:uiPriority w:val="0"/>
    <w:pPr>
      <w:tabs>
        <w:tab w:val="left" w:pos="420"/>
        <w:tab w:val="left" w:pos="720"/>
      </w:tabs>
      <w:ind w:firstLine="560" w:firstLineChars="200"/>
      <w:jc w:val="left"/>
    </w:pPr>
    <w:rPr>
      <w:rFonts w:ascii="Arial" w:hAnsi="Arial"/>
    </w:rPr>
  </w:style>
  <w:style w:type="paragraph" w:styleId="18">
    <w:name w:val="Body Text First Indent 2"/>
    <w:basedOn w:val="9"/>
    <w:autoRedefine/>
    <w:unhideWhenUsed/>
    <w:qFormat/>
    <w:uiPriority w:val="99"/>
    <w:pPr>
      <w:ind w:firstLine="420"/>
    </w:pPr>
    <w:rPr>
      <w:rFonts w:ascii="Times New Roman" w:hAnsi="Times New Roman"/>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autoRedefine/>
    <w:qFormat/>
    <w:uiPriority w:val="0"/>
    <w:rPr>
      <w:rFonts w:cs="Times New Roman"/>
      <w:color w:val="0000FF"/>
      <w:u w:val="single"/>
    </w:rPr>
  </w:style>
  <w:style w:type="paragraph" w:styleId="24">
    <w:name w:val="List Paragraph"/>
    <w:basedOn w:val="1"/>
    <w:autoRedefine/>
    <w:qFormat/>
    <w:uiPriority w:val="34"/>
    <w:pPr>
      <w:ind w:firstLine="420" w:firstLineChars="200"/>
    </w:p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图"/>
    <w:basedOn w:val="1"/>
    <w:autoRedefine/>
    <w:qFormat/>
    <w:uiPriority w:val="0"/>
    <w:pPr>
      <w:keepNext/>
      <w:adjustRightInd w:val="0"/>
      <w:spacing w:before="60" w:after="60" w:line="300" w:lineRule="auto"/>
      <w:jc w:val="center"/>
      <w:textAlignment w:val="center"/>
    </w:pPr>
    <w:rPr>
      <w:spacing w:val="20"/>
      <w:kern w:val="0"/>
      <w:sz w:val="24"/>
      <w:szCs w:val="20"/>
    </w:rPr>
  </w:style>
  <w:style w:type="paragraph" w:customStyle="1" w:styleId="27">
    <w:name w:val="正文_39_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要点_1"/>
    <w:autoRedefine/>
    <w:qFormat/>
    <w:uiPriority w:val="22"/>
    <w:rPr>
      <w:b/>
      <w:bCs/>
    </w:rPr>
  </w:style>
  <w:style w:type="paragraph" w:customStyle="1" w:styleId="29">
    <w:name w:val="正文_4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8"/>
    <w:autoRedefine/>
    <w:qFormat/>
    <w:uiPriority w:val="0"/>
    <w:pPr>
      <w:widowControl w:val="0"/>
      <w:jc w:val="both"/>
    </w:pPr>
    <w:rPr>
      <w:rFonts w:ascii="Times New Roman" w:hAnsi="Times New Roman" w:eastAsia="宋体" w:cs="Times New Roman"/>
      <w:kern w:val="2"/>
      <w:sz w:val="21"/>
      <w:szCs w:val="24"/>
      <w:lang w:bidi="ar-SA"/>
    </w:rPr>
  </w:style>
  <w:style w:type="character" w:customStyle="1" w:styleId="31">
    <w:name w:val="font21"/>
    <w:basedOn w:val="21"/>
    <w:autoRedefine/>
    <w:qFormat/>
    <w:uiPriority w:val="0"/>
    <w:rPr>
      <w:rFonts w:hint="eastAsia" w:ascii="宋体" w:hAnsi="宋体" w:eastAsia="宋体" w:cs="宋体"/>
      <w:color w:val="000000"/>
      <w:sz w:val="22"/>
      <w:szCs w:val="22"/>
      <w:u w:val="none"/>
    </w:rPr>
  </w:style>
  <w:style w:type="character" w:customStyle="1" w:styleId="32">
    <w:name w:val="font01"/>
    <w:basedOn w:val="21"/>
    <w:autoRedefine/>
    <w:qFormat/>
    <w:uiPriority w:val="0"/>
    <w:rPr>
      <w:rFonts w:ascii="Tahoma" w:hAnsi="Tahoma" w:eastAsia="Tahoma" w:cs="Tahoma"/>
      <w:color w:val="000000"/>
      <w:sz w:val="22"/>
      <w:szCs w:val="22"/>
      <w:u w:val="none"/>
    </w:rPr>
  </w:style>
  <w:style w:type="paragraph" w:customStyle="1" w:styleId="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5_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_4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4_8"/>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Intense Reference"/>
    <w:autoRedefine/>
    <w:qFormat/>
    <w:uiPriority w:val="32"/>
    <w:rPr>
      <w:b/>
      <w:bCs/>
      <w:smallCaps/>
      <w:color w:val="5B9BD5"/>
      <w:spacing w:val="5"/>
    </w:rPr>
  </w:style>
  <w:style w:type="paragraph" w:customStyle="1" w:styleId="38">
    <w:name w:val="正文_3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9">
    <w:name w:val="正文_8_1_0"/>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0">
    <w:name w:val="正文_8_1"/>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1">
    <w:name w:val="Normal_0_3"/>
    <w:autoRedefine/>
    <w:qFormat/>
    <w:uiPriority w:val="0"/>
    <w:rPr>
      <w:rFonts w:ascii="黑体" w:hAnsi="黑体" w:eastAsia="黑体" w:cs="Times New Roman"/>
      <w:b/>
      <w:sz w:val="32"/>
      <w:szCs w:val="24"/>
      <w:lang w:bidi="ar-SA"/>
    </w:rPr>
  </w:style>
  <w:style w:type="paragraph" w:customStyle="1" w:styleId="42">
    <w:name w:val="Normal_1_4"/>
    <w:autoRedefine/>
    <w:qFormat/>
    <w:uiPriority w:val="0"/>
    <w:pPr>
      <w:widowControl w:val="0"/>
      <w:jc w:val="both"/>
    </w:pPr>
    <w:rPr>
      <w:rFonts w:ascii="Times New Roman" w:hAnsi="Times New Roman" w:eastAsia="宋体" w:cs="Times New Roman"/>
      <w:kern w:val="2"/>
      <w:sz w:val="21"/>
      <w:szCs w:val="22"/>
      <w:lang w:bidi="ar-SA"/>
    </w:rPr>
  </w:style>
  <w:style w:type="paragraph" w:customStyle="1" w:styleId="43">
    <w:name w:val="正文_25_1"/>
    <w:autoRedefine/>
    <w:qFormat/>
    <w:uiPriority w:val="0"/>
    <w:pPr>
      <w:widowControl w:val="0"/>
      <w:jc w:val="both"/>
    </w:pPr>
    <w:rPr>
      <w:rFonts w:ascii="Times New Roman" w:hAnsi="Times New Roman" w:eastAsia="宋体" w:cs="Times New Roman"/>
      <w:color w:val="0000FF"/>
      <w:kern w:val="2"/>
      <w:sz w:val="24"/>
      <w:szCs w:val="24"/>
      <w:lang w:bidi="ar-SA"/>
    </w:rPr>
  </w:style>
  <w:style w:type="paragraph" w:customStyle="1" w:styleId="44">
    <w:name w:val="Normal_2_1"/>
    <w:autoRedefine/>
    <w:qFormat/>
    <w:uiPriority w:val="0"/>
    <w:rPr>
      <w:rFonts w:ascii="黑体" w:hAnsi="黑体" w:eastAsia="黑体" w:cs="Times New Roman"/>
      <w:b/>
      <w:sz w:val="32"/>
      <w:szCs w:val="24"/>
      <w:lang w:bidi="ar-SA"/>
    </w:rPr>
  </w:style>
  <w:style w:type="paragraph" w:customStyle="1" w:styleId="45">
    <w:name w:val="Normal_25_0"/>
    <w:autoRedefine/>
    <w:qFormat/>
    <w:uiPriority w:val="0"/>
    <w:rPr>
      <w:rFonts w:ascii="黑体" w:hAnsi="黑体" w:eastAsia="黑体" w:cs="Times New Roman"/>
      <w:b/>
      <w:sz w:val="32"/>
      <w:szCs w:val="24"/>
      <w:lang w:bidi="ar-SA"/>
    </w:rPr>
  </w:style>
  <w:style w:type="paragraph" w:customStyle="1" w:styleId="46">
    <w:name w:val="正文_22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6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22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31_1"/>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0">
    <w:name w:val="NormalIndent"/>
    <w:basedOn w:val="1"/>
    <w:autoRedefine/>
    <w:qFormat/>
    <w:uiPriority w:val="0"/>
    <w:pPr>
      <w:ind w:firstLine="200" w:firstLineChars="200"/>
      <w:jc w:val="both"/>
    </w:pPr>
    <w:rPr>
      <w:rFonts w:eastAsia="等线"/>
      <w:kern w:val="2"/>
      <w:szCs w:val="21"/>
    </w:rPr>
  </w:style>
  <w:style w:type="paragraph" w:customStyle="1" w:styleId="51">
    <w:name w:val="Other|1"/>
    <w:basedOn w:val="1"/>
    <w:autoRedefine/>
    <w:qFormat/>
    <w:uiPriority w:val="0"/>
    <w:pPr>
      <w:widowControl w:val="0"/>
      <w:shd w:val="clear" w:color="auto" w:fill="auto"/>
      <w:spacing w:line="312" w:lineRule="exact"/>
    </w:pPr>
    <w:rPr>
      <w:rFonts w:ascii="宋体" w:hAnsi="宋体" w:eastAsia="宋体" w:cs="宋体"/>
      <w:sz w:val="20"/>
      <w:szCs w:val="20"/>
      <w:u w:val="none"/>
      <w:shd w:val="clear" w:color="auto" w:fill="auto"/>
      <w:lang w:val="zh-TW" w:eastAsia="zh-TW" w:bidi="zh-TW"/>
    </w:rPr>
  </w:style>
  <w:style w:type="paragraph" w:customStyle="1" w:styleId="52">
    <w:name w:val="Plain Text1"/>
    <w:basedOn w:val="1"/>
    <w:autoRedefine/>
    <w:qFormat/>
    <w:uiPriority w:val="0"/>
    <w:rPr>
      <w:rFonts w:ascii="宋体" w:hAnsi="Courier New" w:cs="Courier New"/>
      <w:szCs w:val="21"/>
    </w:rPr>
  </w:style>
  <w:style w:type="paragraph" w:customStyle="1" w:styleId="53">
    <w:name w:val="Default"/>
    <w:basedOn w:val="54"/>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正文_2"/>
    <w:next w:val="5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Plain Text2"/>
    <w:basedOn w:val="56"/>
    <w:autoRedefine/>
    <w:qFormat/>
    <w:uiPriority w:val="0"/>
    <w:rPr>
      <w:rFonts w:ascii="宋体" w:hAnsi="Courier New" w:cs="Courier New"/>
      <w:szCs w:val="21"/>
    </w:rPr>
  </w:style>
  <w:style w:type="paragraph" w:customStyle="1" w:styleId="56">
    <w:name w:val="正文_1_0_0"/>
    <w:basedOn w:val="57"/>
    <w:next w:val="55"/>
    <w:autoRedefine/>
    <w:qFormat/>
    <w:uiPriority w:val="0"/>
  </w:style>
  <w:style w:type="paragraph" w:customStyle="1" w:styleId="57">
    <w:name w:val="正文_1_0"/>
    <w:basedOn w:val="58"/>
    <w:next w:val="55"/>
    <w:autoRedefine/>
    <w:qFormat/>
    <w:uiPriority w:val="0"/>
    <w:rPr>
      <w:rFonts w:cs="Times New Roman"/>
      <w:szCs w:val="22"/>
    </w:rPr>
  </w:style>
  <w:style w:type="paragraph" w:customStyle="1" w:styleId="58">
    <w:name w:val="正文_1"/>
    <w:next w:val="5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37009</Words>
  <Characters>39308</Characters>
  <Lines>0</Lines>
  <Paragraphs>0</Paragraphs>
  <TotalTime>2</TotalTime>
  <ScaleCrop>false</ScaleCrop>
  <LinksUpToDate>false</LinksUpToDate>
  <CharactersWithSpaces>39388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2023-01-18T01:31:00Z</dcterms:created>
  <dc:creator>康上华</dc:creator>
  <cp:lastModifiedBy>招标代理-审</cp:lastModifiedBy>
  <dcterms:modified xsi:type="dcterms:W3CDTF">2024-02-01T06:13:25Z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2B6F8F371A664FC98456B7E5FE5E92BB_13</vt:lpwstr>
  </property>
</Properties>
</file>