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auto"/>
          <w:sz w:val="48"/>
          <w:szCs w:val="48"/>
          <w:highlight w:val="none"/>
        </w:rPr>
      </w:pPr>
      <w:bookmarkStart w:id="154" w:name="_GoBack"/>
    </w:p>
    <w:p>
      <w:pPr>
        <w:tabs>
          <w:tab w:val="left" w:pos="2880"/>
        </w:tabs>
        <w:spacing w:line="1600" w:lineRule="atLeast"/>
        <w:ind w:firstLine="1440" w:firstLineChars="200"/>
        <w:jc w:val="both"/>
        <w:rPr>
          <w:color w:val="auto"/>
          <w:sz w:val="72"/>
          <w:highlight w:val="none"/>
        </w:rPr>
      </w:pPr>
      <w:r>
        <w:rPr>
          <w:rFonts w:hint="eastAsia"/>
          <w:color w:val="auto"/>
          <w:sz w:val="72"/>
          <w:highlight w:val="none"/>
        </w:rPr>
        <w:t>南庄镇农村采购项目</w:t>
      </w:r>
    </w:p>
    <w:p>
      <w:pPr>
        <w:tabs>
          <w:tab w:val="left" w:pos="420"/>
          <w:tab w:val="left" w:pos="6660"/>
        </w:tabs>
        <w:spacing w:line="1600" w:lineRule="atLeast"/>
        <w:jc w:val="center"/>
        <w:rPr>
          <w:color w:val="auto"/>
          <w:sz w:val="72"/>
          <w:highlight w:val="none"/>
        </w:rPr>
      </w:pPr>
      <w:r>
        <w:rPr>
          <w:rFonts w:hint="eastAsia"/>
          <w:color w:val="auto"/>
          <w:sz w:val="72"/>
          <w:highlight w:val="none"/>
        </w:rPr>
        <w:t>公开竞投文件</w:t>
      </w:r>
    </w:p>
    <w:p>
      <w:pPr>
        <w:ind w:firstLine="210" w:firstLineChars="100"/>
        <w:jc w:val="center"/>
        <w:rPr>
          <w:rFonts w:hint="eastAsia"/>
          <w:color w:val="auto"/>
          <w:highlight w:val="none"/>
        </w:rPr>
      </w:pPr>
    </w:p>
    <w:p>
      <w:pPr>
        <w:ind w:firstLine="210" w:firstLineChars="100"/>
        <w:rPr>
          <w:rFonts w:hint="eastAsia"/>
          <w:color w:val="auto"/>
          <w:highlight w:val="none"/>
        </w:rPr>
      </w:pPr>
    </w:p>
    <w:p>
      <w:pPr>
        <w:ind w:firstLine="210" w:firstLineChars="100"/>
        <w:rPr>
          <w:rFonts w:hint="eastAsia"/>
          <w:color w:val="auto"/>
          <w:highlight w:val="none"/>
        </w:rPr>
      </w:pPr>
    </w:p>
    <w:p>
      <w:pPr>
        <w:ind w:firstLine="210" w:firstLineChars="100"/>
        <w:rPr>
          <w:rFonts w:hint="eastAsia"/>
          <w:color w:val="auto"/>
          <w:highlight w:val="none"/>
        </w:rPr>
      </w:pPr>
    </w:p>
    <w:p>
      <w:pPr>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rPr>
          <w:rFonts w:hint="eastAsia"/>
          <w:color w:val="auto"/>
          <w:highlight w:val="none"/>
        </w:rPr>
      </w:pPr>
    </w:p>
    <w:p>
      <w:pPr>
        <w:ind w:firstLine="280" w:firstLineChars="100"/>
        <w:rPr>
          <w:rFonts w:hint="eastAsia"/>
          <w:color w:val="auto"/>
          <w:sz w:val="28"/>
          <w:szCs w:val="28"/>
          <w:highlight w:val="none"/>
        </w:rPr>
      </w:pPr>
    </w:p>
    <w:p>
      <w:pPr>
        <w:spacing w:line="500" w:lineRule="exact"/>
        <w:ind w:left="2674" w:leftChars="603" w:hanging="1408" w:hangingChars="501"/>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项目名称：</w:t>
      </w:r>
      <w:r>
        <w:rPr>
          <w:rFonts w:hint="eastAsia" w:ascii="宋体" w:hAnsi="宋体" w:cs="宋体"/>
          <w:b/>
          <w:bCs/>
          <w:color w:val="auto"/>
          <w:sz w:val="28"/>
          <w:szCs w:val="28"/>
          <w:highlight w:val="none"/>
          <w:lang w:eastAsia="zh-CN"/>
        </w:rPr>
        <w:t>吉利竹甫村车辆停放管理服务</w:t>
      </w:r>
    </w:p>
    <w:p>
      <w:pPr>
        <w:spacing w:line="500" w:lineRule="exact"/>
        <w:ind w:left="2674" w:leftChars="603" w:hanging="1408" w:hangingChars="501"/>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GDZC-23JJ135</w:t>
      </w:r>
    </w:p>
    <w:p>
      <w:pPr>
        <w:spacing w:line="500" w:lineRule="exact"/>
        <w:jc w:val="center"/>
        <w:rPr>
          <w:rFonts w:hint="eastAsia"/>
          <w:b/>
          <w:bCs/>
          <w:color w:val="auto"/>
          <w:sz w:val="24"/>
          <w:highlight w:val="none"/>
        </w:rPr>
      </w:pPr>
    </w:p>
    <w:p>
      <w:pPr>
        <w:spacing w:line="500" w:lineRule="exact"/>
        <w:jc w:val="center"/>
        <w:rPr>
          <w:rFonts w:hint="eastAsia"/>
          <w:b/>
          <w:bCs/>
          <w:color w:val="auto"/>
          <w:sz w:val="24"/>
          <w:highlight w:val="none"/>
        </w:rPr>
      </w:pPr>
    </w:p>
    <w:p>
      <w:pPr>
        <w:pStyle w:val="6"/>
        <w:rPr>
          <w:rFonts w:hint="eastAsia"/>
          <w:b/>
          <w:bCs/>
          <w:color w:val="auto"/>
          <w:sz w:val="24"/>
          <w:highlight w:val="none"/>
        </w:rPr>
      </w:pPr>
    </w:p>
    <w:p>
      <w:pPr>
        <w:pStyle w:val="6"/>
        <w:rPr>
          <w:rFonts w:hint="eastAsia"/>
          <w:b/>
          <w:bCs/>
          <w:color w:val="auto"/>
          <w:sz w:val="24"/>
          <w:highlight w:val="none"/>
        </w:rPr>
      </w:pPr>
    </w:p>
    <w:p>
      <w:pPr>
        <w:ind w:firstLine="1265" w:firstLineChars="450"/>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eastAsia="zh-CN"/>
        </w:rPr>
        <w:t>招标人</w:t>
      </w:r>
      <w:r>
        <w:rPr>
          <w:rFonts w:hint="eastAsia" w:ascii="宋体" w:hAnsi="宋体"/>
          <w:b/>
          <w:color w:val="auto"/>
          <w:sz w:val="28"/>
          <w:szCs w:val="28"/>
          <w:highlight w:val="none"/>
        </w:rPr>
        <w:t>：</w:t>
      </w:r>
      <w:r>
        <w:rPr>
          <w:rFonts w:hint="eastAsia" w:ascii="宋体" w:hAnsi="宋体" w:cs="宋体"/>
          <w:b/>
          <w:bCs/>
          <w:color w:val="auto"/>
          <w:sz w:val="28"/>
          <w:szCs w:val="28"/>
          <w:highlight w:val="none"/>
          <w:lang w:eastAsia="zh-CN"/>
        </w:rPr>
        <w:t>佛山市禅城区南庄镇吉利村竹甫经济合作社</w:t>
      </w:r>
    </w:p>
    <w:p>
      <w:pPr>
        <w:rPr>
          <w:rFonts w:hint="eastAsia" w:ascii="宋体" w:hAnsi="宋体"/>
          <w:b/>
          <w:color w:val="auto"/>
          <w:sz w:val="28"/>
          <w:szCs w:val="28"/>
          <w:highlight w:val="none"/>
        </w:rPr>
      </w:pPr>
    </w:p>
    <w:p>
      <w:pPr>
        <w:ind w:firstLine="1265" w:firstLineChars="450"/>
        <w:rPr>
          <w:rFonts w:hint="eastAsia" w:ascii="宋体" w:hAnsi="宋体"/>
          <w:b/>
          <w:color w:val="auto"/>
          <w:sz w:val="28"/>
          <w:szCs w:val="28"/>
          <w:highlight w:val="none"/>
        </w:rPr>
      </w:pPr>
      <w:r>
        <w:rPr>
          <w:rFonts w:hint="eastAsia" w:ascii="宋体" w:hAnsi="宋体"/>
          <w:b/>
          <w:color w:val="auto"/>
          <w:sz w:val="28"/>
          <w:szCs w:val="28"/>
          <w:highlight w:val="none"/>
          <w:lang w:eastAsia="zh-CN"/>
        </w:rPr>
        <w:t>招标代理机构</w:t>
      </w:r>
      <w:r>
        <w:rPr>
          <w:rFonts w:hint="eastAsia" w:ascii="宋体" w:hAnsi="宋体"/>
          <w:b/>
          <w:color w:val="auto"/>
          <w:sz w:val="28"/>
          <w:szCs w:val="28"/>
          <w:highlight w:val="none"/>
        </w:rPr>
        <w:t>：广东中采招标有限公司</w:t>
      </w:r>
    </w:p>
    <w:p>
      <w:pPr>
        <w:rPr>
          <w:rFonts w:hint="eastAsia" w:ascii="宋体" w:hAnsi="宋体"/>
          <w:b/>
          <w:color w:val="auto"/>
          <w:sz w:val="28"/>
          <w:szCs w:val="28"/>
          <w:highlight w:val="none"/>
        </w:rPr>
      </w:pPr>
    </w:p>
    <w:p>
      <w:pPr>
        <w:spacing w:line="360" w:lineRule="auto"/>
        <w:jc w:val="center"/>
        <w:rPr>
          <w:rFonts w:hint="eastAsia" w:eastAsia="隶书"/>
          <w:b/>
          <w:bCs/>
          <w:color w:val="auto"/>
          <w:sz w:val="36"/>
          <w:highlight w:val="none"/>
        </w:rPr>
      </w:pPr>
    </w:p>
    <w:p>
      <w:pPr>
        <w:pStyle w:val="6"/>
        <w:rPr>
          <w:rFonts w:hint="eastAsia"/>
          <w:color w:val="auto"/>
          <w:highlight w:val="none"/>
        </w:rPr>
      </w:pPr>
    </w:p>
    <w:p>
      <w:pPr>
        <w:spacing w:line="360" w:lineRule="auto"/>
        <w:jc w:val="center"/>
        <w:rPr>
          <w:rFonts w:hint="eastAsia" w:eastAsia="隶书"/>
          <w:b/>
          <w:bCs/>
          <w:color w:val="auto"/>
          <w:sz w:val="36"/>
          <w:highlight w:val="none"/>
        </w:rPr>
      </w:pPr>
    </w:p>
    <w:p>
      <w:pPr>
        <w:spacing w:line="312" w:lineRule="auto"/>
        <w:jc w:val="center"/>
        <w:rPr>
          <w:rFonts w:hint="eastAsia" w:ascii="黑体" w:hAnsi="宋体" w:eastAsia="黑体"/>
          <w:b/>
          <w:bCs/>
          <w:color w:val="auto"/>
          <w:sz w:val="28"/>
          <w:highlight w:val="none"/>
        </w:rPr>
      </w:pPr>
      <w:r>
        <w:rPr>
          <w:rFonts w:hint="eastAsia" w:ascii="黑体" w:hAnsi="宋体" w:eastAsia="黑体"/>
          <w:b/>
          <w:bCs/>
          <w:color w:val="auto"/>
          <w:sz w:val="28"/>
          <w:highlight w:val="none"/>
        </w:rPr>
        <w:t>发布日期：</w:t>
      </w:r>
      <w:r>
        <w:rPr>
          <w:rFonts w:hint="eastAsia" w:ascii="黑体" w:hAnsi="宋体" w:eastAsia="黑体"/>
          <w:b/>
          <w:bCs/>
          <w:color w:val="auto"/>
          <w:sz w:val="28"/>
          <w:highlight w:val="none"/>
          <w:lang w:eastAsia="zh-CN"/>
        </w:rPr>
        <w:t>二〇二</w:t>
      </w:r>
      <w:r>
        <w:rPr>
          <w:rFonts w:hint="eastAsia" w:ascii="黑体" w:hAnsi="宋体" w:eastAsia="黑体"/>
          <w:b/>
          <w:bCs/>
          <w:color w:val="auto"/>
          <w:sz w:val="28"/>
          <w:highlight w:val="none"/>
          <w:lang w:val="en-US" w:eastAsia="zh-CN"/>
        </w:rPr>
        <w:t>四</w:t>
      </w:r>
      <w:r>
        <w:rPr>
          <w:rFonts w:hint="eastAsia" w:ascii="黑体" w:hAnsi="宋体" w:eastAsia="黑体"/>
          <w:b/>
          <w:bCs/>
          <w:color w:val="auto"/>
          <w:sz w:val="28"/>
          <w:highlight w:val="none"/>
        </w:rPr>
        <w:t>年</w:t>
      </w:r>
      <w:r>
        <w:rPr>
          <w:rFonts w:hint="eastAsia" w:ascii="黑体" w:hAnsi="宋体" w:eastAsia="黑体"/>
          <w:b/>
          <w:bCs/>
          <w:color w:val="auto"/>
          <w:sz w:val="28"/>
          <w:highlight w:val="none"/>
          <w:lang w:val="en-US" w:eastAsia="zh-CN"/>
        </w:rPr>
        <w:t>一</w:t>
      </w:r>
      <w:r>
        <w:rPr>
          <w:rFonts w:hint="eastAsia" w:ascii="黑体" w:hAnsi="宋体" w:eastAsia="黑体"/>
          <w:b/>
          <w:bCs/>
          <w:color w:val="auto"/>
          <w:sz w:val="28"/>
          <w:highlight w:val="none"/>
        </w:rPr>
        <w:t>月</w:t>
      </w:r>
    </w:p>
    <w:p>
      <w:pPr>
        <w:rPr>
          <w:rFonts w:hint="eastAsia" w:eastAsia="隶书"/>
          <w:b/>
          <w:bCs/>
          <w:color w:val="auto"/>
          <w:sz w:val="32"/>
          <w:szCs w:val="32"/>
          <w:highlight w:val="none"/>
          <w:lang w:val="en-US" w:eastAsia="zh-CN"/>
        </w:rPr>
      </w:pPr>
    </w:p>
    <w:p>
      <w:pPr>
        <w:pStyle w:val="6"/>
        <w:rPr>
          <w:rFonts w:hint="eastAsia" w:eastAsia="隶书"/>
          <w:b/>
          <w:bCs/>
          <w:color w:val="auto"/>
          <w:sz w:val="32"/>
          <w:szCs w:val="32"/>
          <w:highlight w:val="none"/>
          <w:lang w:val="en-US" w:eastAsia="zh-CN"/>
        </w:rPr>
      </w:pPr>
    </w:p>
    <w:p>
      <w:pPr>
        <w:rPr>
          <w:rFonts w:hint="eastAsia" w:eastAsia="隶书"/>
          <w:b/>
          <w:bCs/>
          <w:color w:val="auto"/>
          <w:sz w:val="32"/>
          <w:szCs w:val="32"/>
          <w:highlight w:val="none"/>
          <w:lang w:val="en-US" w:eastAsia="zh-CN"/>
        </w:rPr>
      </w:pPr>
    </w:p>
    <w:p>
      <w:pPr>
        <w:pStyle w:val="6"/>
        <w:rPr>
          <w:rFonts w:hint="eastAsia" w:eastAsia="隶书"/>
          <w:b/>
          <w:bCs/>
          <w:color w:val="auto"/>
          <w:sz w:val="32"/>
          <w:szCs w:val="32"/>
          <w:highlight w:val="none"/>
          <w:lang w:val="en-US" w:eastAsia="zh-CN"/>
        </w:rPr>
      </w:pPr>
    </w:p>
    <w:p>
      <w:pPr>
        <w:rPr>
          <w:rFonts w:hint="eastAsia" w:eastAsia="隶书"/>
          <w:b/>
          <w:bCs/>
          <w:color w:val="auto"/>
          <w:sz w:val="32"/>
          <w:szCs w:val="32"/>
          <w:highlight w:val="none"/>
          <w:lang w:val="en-US" w:eastAsia="zh-CN"/>
        </w:rPr>
      </w:pPr>
    </w:p>
    <w:p>
      <w:pPr>
        <w:pStyle w:val="6"/>
        <w:rPr>
          <w:rFonts w:hint="eastAsia" w:eastAsia="隶书"/>
          <w:b/>
          <w:bCs/>
          <w:color w:val="auto"/>
          <w:sz w:val="32"/>
          <w:szCs w:val="32"/>
          <w:highlight w:val="none"/>
          <w:lang w:val="en-US" w:eastAsia="zh-CN"/>
        </w:rPr>
      </w:pPr>
    </w:p>
    <w:p>
      <w:pPr>
        <w:spacing w:before="240" w:beforeLines="100"/>
        <w:jc w:val="center"/>
        <w:rPr>
          <w:rFonts w:hint="eastAsia" w:ascii="宋体" w:hAnsi="宋体"/>
          <w:b/>
          <w:color w:val="auto"/>
          <w:sz w:val="48"/>
          <w:szCs w:val="48"/>
          <w:highlight w:val="none"/>
        </w:rPr>
        <w:sectPr>
          <w:headerReference r:id="rId3" w:type="default"/>
          <w:pgSz w:w="11850" w:h="16783"/>
          <w:pgMar w:top="1134" w:right="1134" w:bottom="1134" w:left="1417" w:header="573" w:footer="584" w:gutter="0"/>
          <w:pgBorders>
            <w:top w:val="none" w:sz="0" w:space="0"/>
            <w:left w:val="none" w:sz="0" w:space="0"/>
            <w:bottom w:val="none" w:sz="0" w:space="0"/>
            <w:right w:val="none" w:sz="0" w:space="0"/>
          </w:pgBorders>
          <w:cols w:space="0" w:num="1"/>
          <w:rtlGutter w:val="0"/>
          <w:docGrid w:linePitch="0" w:charSpace="0"/>
        </w:sectPr>
      </w:pPr>
    </w:p>
    <w:p>
      <w:pPr>
        <w:spacing w:before="240" w:beforeLines="100"/>
        <w:jc w:val="center"/>
        <w:rPr>
          <w:rFonts w:ascii="宋体"/>
          <w:b/>
          <w:color w:val="auto"/>
          <w:sz w:val="48"/>
          <w:szCs w:val="48"/>
          <w:highlight w:val="none"/>
        </w:rPr>
      </w:pPr>
      <w:r>
        <w:rPr>
          <w:rFonts w:hint="eastAsia" w:ascii="宋体" w:hAnsi="宋体"/>
          <w:b/>
          <w:color w:val="auto"/>
          <w:sz w:val="48"/>
          <w:szCs w:val="48"/>
          <w:highlight w:val="none"/>
        </w:rPr>
        <w:t>目录</w:t>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bookmarkStart w:id="0" w:name="_Toc334432586"/>
      <w:r>
        <w:rPr>
          <w:rFonts w:hint="eastAsia" w:asciiTheme="minorEastAsia" w:hAnsiTheme="minorEastAsia" w:eastAsiaTheme="minorEastAsia" w:cstheme="minorEastAsia"/>
          <w:b w:val="0"/>
          <w:bCs w:val="0"/>
          <w:color w:val="auto"/>
          <w:sz w:val="22"/>
          <w:szCs w:val="22"/>
          <w:highlight w:val="none"/>
        </w:rPr>
        <w:fldChar w:fldCharType="begin"/>
      </w:r>
      <w:r>
        <w:rPr>
          <w:rFonts w:hint="eastAsia" w:asciiTheme="minorEastAsia" w:hAnsiTheme="minorEastAsia" w:eastAsiaTheme="minorEastAsia" w:cstheme="minorEastAsia"/>
          <w:b w:val="0"/>
          <w:bCs w:val="0"/>
          <w:color w:val="auto"/>
          <w:sz w:val="22"/>
          <w:szCs w:val="22"/>
          <w:highlight w:val="none"/>
        </w:rPr>
        <w:instrText xml:space="preserve">TOC \o "1-3" \h \u </w:instrText>
      </w:r>
      <w:r>
        <w:rPr>
          <w:rFonts w:hint="eastAsia" w:asciiTheme="minorEastAsia" w:hAnsiTheme="minorEastAsia" w:eastAsiaTheme="minorEastAsia" w:cstheme="minorEastAsia"/>
          <w:b w:val="0"/>
          <w:bCs w:val="0"/>
          <w:color w:val="auto"/>
          <w:sz w:val="22"/>
          <w:szCs w:val="22"/>
          <w:highlight w:val="none"/>
        </w:rPr>
        <w:fldChar w:fldCharType="separate"/>
      </w: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_Toc4354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第一部分</w:t>
      </w:r>
      <w:r>
        <w:rPr>
          <w:rFonts w:hint="eastAsia" w:asciiTheme="majorEastAsia" w:hAnsiTheme="majorEastAsia" w:eastAsiaTheme="majorEastAsia" w:cstheme="majorEastAsia"/>
          <w:color w:val="auto"/>
          <w:sz w:val="24"/>
          <w:szCs w:val="24"/>
          <w:highlight w:val="none"/>
          <w:lang w:eastAsia="zh-CN"/>
        </w:rPr>
        <w:t>竞投公告</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_Toc4354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_Toc21591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lang w:val="en-US" w:eastAsia="zh-CN"/>
        </w:rPr>
        <w:t>第二部分</w:t>
      </w:r>
      <w:r>
        <w:rPr>
          <w:rFonts w:hint="eastAsia" w:asciiTheme="majorEastAsia" w:hAnsiTheme="majorEastAsia" w:eastAsiaTheme="majorEastAsia" w:cstheme="majorEastAsia"/>
          <w:color w:val="auto"/>
          <w:sz w:val="24"/>
          <w:szCs w:val="24"/>
          <w:highlight w:val="none"/>
        </w:rPr>
        <w:t>项目内容</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_Toc21591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5</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_Toc5219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lang w:val="en-US" w:eastAsia="zh-CN"/>
        </w:rPr>
        <w:t>第三部分投标人须知</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bCs w:val="0"/>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lang w:val="en-US" w:eastAsia="zh-CN"/>
        </w:rPr>
        <w:t>6</w:t>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_Toc30654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kern w:val="2"/>
          <w:sz w:val="24"/>
          <w:szCs w:val="24"/>
          <w:highlight w:val="none"/>
          <w:lang w:val="en-US" w:eastAsia="zh-CN" w:bidi="ar-SA"/>
        </w:rPr>
        <w:t>第四部分合同书范本</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_Toc30654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30</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_Toc27266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kern w:val="2"/>
          <w:sz w:val="24"/>
          <w:szCs w:val="24"/>
          <w:highlight w:val="none"/>
          <w:lang w:val="en-US" w:eastAsia="zh-CN" w:bidi="ar-SA"/>
        </w:rPr>
        <w:t>第五部分资格审查文件格式</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_Toc27266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44</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1"/>
        <w:tabs>
          <w:tab w:val="right" w:leader="dot" w:pos="9299"/>
        </w:tabs>
        <w:rPr>
          <w:color w:val="auto"/>
          <w:highlight w:val="none"/>
        </w:rPr>
      </w:pPr>
    </w:p>
    <w:p>
      <w:pPr>
        <w:pStyle w:val="15"/>
        <w:tabs>
          <w:tab w:val="right" w:leader="dot" w:pos="9349"/>
        </w:tabs>
        <w:spacing w:line="360" w:lineRule="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Cs w:val="0"/>
          <w:color w:val="auto"/>
          <w:szCs w:val="22"/>
          <w:highlight w:val="none"/>
        </w:rPr>
        <w:fldChar w:fldCharType="end"/>
      </w:r>
    </w:p>
    <w:p>
      <w:pPr>
        <w:pStyle w:val="12"/>
        <w:rPr>
          <w:color w:val="auto"/>
          <w:highlight w:val="none"/>
        </w:rPr>
      </w:pPr>
    </w:p>
    <w:p>
      <w:pPr>
        <w:spacing w:after="120" w:afterLines="50" w:line="360" w:lineRule="auto"/>
        <w:jc w:val="center"/>
        <w:outlineLvl w:val="0"/>
        <w:rPr>
          <w:rFonts w:hint="eastAsia" w:ascii="宋体" w:hAnsi="宋体"/>
          <w:b/>
          <w:color w:val="auto"/>
          <w:sz w:val="36"/>
          <w:szCs w:val="36"/>
          <w:highlight w:val="none"/>
        </w:rPr>
        <w:sectPr>
          <w:footerReference r:id="rId4" w:type="default"/>
          <w:pgSz w:w="11850" w:h="16783"/>
          <w:pgMar w:top="1134" w:right="1134" w:bottom="1134" w:left="1417" w:header="573" w:footer="584" w:gutter="0"/>
          <w:pgBorders>
            <w:top w:val="none" w:sz="0" w:space="0"/>
            <w:left w:val="none" w:sz="0" w:space="0"/>
            <w:bottom w:val="none" w:sz="0" w:space="0"/>
            <w:right w:val="none" w:sz="0" w:space="0"/>
          </w:pgBorders>
          <w:pgNumType w:fmt="decimal" w:start="1"/>
          <w:cols w:space="0" w:num="1"/>
          <w:rtlGutter w:val="0"/>
          <w:docGrid w:linePitch="0" w:charSpace="0"/>
        </w:sectPr>
      </w:pPr>
      <w:bookmarkStart w:id="1" w:name="_Toc7029"/>
      <w:bookmarkStart w:id="2" w:name="_Toc7755"/>
      <w:bookmarkStart w:id="3" w:name="_Toc13131"/>
    </w:p>
    <w:p>
      <w:pPr>
        <w:spacing w:after="120" w:afterLines="50" w:line="360" w:lineRule="auto"/>
        <w:jc w:val="center"/>
        <w:outlineLvl w:val="0"/>
        <w:rPr>
          <w:rFonts w:hint="eastAsia" w:ascii="宋体" w:eastAsia="宋体"/>
          <w:b/>
          <w:color w:val="auto"/>
          <w:sz w:val="36"/>
          <w:szCs w:val="36"/>
          <w:highlight w:val="none"/>
          <w:lang w:eastAsia="zh-CN"/>
        </w:rPr>
      </w:pPr>
      <w:bookmarkStart w:id="4" w:name="_Toc4354"/>
      <w:r>
        <w:rPr>
          <w:rFonts w:hint="eastAsia" w:ascii="宋体" w:hAnsi="宋体"/>
          <w:b/>
          <w:color w:val="auto"/>
          <w:sz w:val="36"/>
          <w:szCs w:val="36"/>
          <w:highlight w:val="none"/>
        </w:rPr>
        <w:t>第一部分</w:t>
      </w:r>
      <w:bookmarkEnd w:id="0"/>
      <w:bookmarkEnd w:id="1"/>
      <w:bookmarkEnd w:id="2"/>
      <w:bookmarkEnd w:id="3"/>
      <w:r>
        <w:rPr>
          <w:rFonts w:hint="eastAsia" w:ascii="宋体" w:hAnsi="宋体"/>
          <w:b/>
          <w:color w:val="auto"/>
          <w:sz w:val="36"/>
          <w:szCs w:val="36"/>
          <w:highlight w:val="none"/>
          <w:lang w:eastAsia="zh-CN"/>
        </w:rPr>
        <w:t>竞投公告</w:t>
      </w:r>
      <w:bookmarkEnd w:id="4"/>
    </w:p>
    <w:p>
      <w:pPr>
        <w:autoSpaceDN w:val="0"/>
        <w:spacing w:line="360" w:lineRule="auto"/>
        <w:ind w:firstLine="180"/>
        <w:jc w:val="center"/>
        <w:rPr>
          <w:rFonts w:ascii="宋体" w:hAnsi="宋体"/>
          <w:b/>
          <w:bCs/>
          <w:color w:val="auto"/>
          <w:sz w:val="24"/>
          <w:highlight w:val="none"/>
        </w:rPr>
      </w:pPr>
      <w:r>
        <w:rPr>
          <w:rFonts w:hint="eastAsia" w:ascii="宋体" w:hAnsi="宋体"/>
          <w:b/>
          <w:bCs/>
          <w:color w:val="auto"/>
          <w:sz w:val="24"/>
          <w:highlight w:val="none"/>
        </w:rPr>
        <w:t>项目概况</w:t>
      </w:r>
    </w:p>
    <w:p>
      <w:pPr>
        <w:autoSpaceDN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u w:val="single"/>
          <w:lang w:eastAsia="zh-CN"/>
        </w:rPr>
        <w:t>佛山市禅城区南庄镇吉利村竹甫经济合作社拟对吉利竹甫村停车停放进行管理，通过公开竞投确定中标人负责对吉利竹甫村车辆停放进行管理，</w:t>
      </w:r>
      <w:r>
        <w:rPr>
          <w:rFonts w:hint="eastAsia" w:ascii="宋体" w:hAnsi="宋体"/>
          <w:color w:val="auto"/>
          <w:sz w:val="24"/>
          <w:highlight w:val="none"/>
        </w:rPr>
        <w:t>潜在</w:t>
      </w:r>
      <w:r>
        <w:rPr>
          <w:rFonts w:hint="eastAsia" w:ascii="宋体" w:hAnsi="宋体"/>
          <w:color w:val="auto"/>
          <w:sz w:val="24"/>
          <w:highlight w:val="none"/>
          <w:lang w:eastAsia="zh-CN"/>
        </w:rPr>
        <w:t>投标人</w:t>
      </w:r>
      <w:r>
        <w:rPr>
          <w:rFonts w:hint="eastAsia" w:ascii="宋体" w:hAnsi="宋体"/>
          <w:color w:val="auto"/>
          <w:sz w:val="24"/>
          <w:highlight w:val="none"/>
        </w:rPr>
        <w:t>应在</w:t>
      </w:r>
      <w:r>
        <w:rPr>
          <w:rFonts w:hint="eastAsia" w:ascii="宋体" w:hAnsi="宋体" w:cs="宋体"/>
          <w:color w:val="auto"/>
          <w:sz w:val="24"/>
          <w:highlight w:val="none"/>
          <w:lang w:eastAsia="zh-CN"/>
        </w:rPr>
        <w:t>竞投</w:t>
      </w:r>
      <w:r>
        <w:rPr>
          <w:rFonts w:hint="eastAsia" w:ascii="宋体" w:hAnsi="宋体" w:cs="宋体"/>
          <w:color w:val="auto"/>
          <w:sz w:val="24"/>
          <w:highlight w:val="none"/>
        </w:rPr>
        <w:t>截止时间前登录佛山市公共资源交易中心禅城分中心网下载</w:t>
      </w:r>
      <w:r>
        <w:rPr>
          <w:rFonts w:hint="eastAsia" w:ascii="宋体" w:hAnsi="宋体"/>
          <w:color w:val="auto"/>
          <w:sz w:val="24"/>
          <w:highlight w:val="none"/>
          <w:u w:val="single"/>
          <w:lang w:eastAsia="zh-CN"/>
        </w:rPr>
        <w:t>吉利竹甫村车辆停放管理服务公开竞投</w:t>
      </w:r>
      <w:r>
        <w:rPr>
          <w:rFonts w:hint="eastAsia" w:ascii="宋体" w:hAnsi="宋体" w:cs="宋体"/>
          <w:color w:val="auto"/>
          <w:sz w:val="24"/>
          <w:highlight w:val="none"/>
        </w:rPr>
        <w:t>文件</w:t>
      </w:r>
      <w:r>
        <w:rPr>
          <w:rFonts w:hint="eastAsia" w:ascii="宋体" w:hAnsi="宋体"/>
          <w:color w:val="auto"/>
          <w:sz w:val="24"/>
          <w:highlight w:val="none"/>
        </w:rPr>
        <w:t>，并于202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u w:val="none"/>
          <w:lang w:val="en-US" w:eastAsia="zh-CN"/>
        </w:rPr>
        <w:t>月8日9</w:t>
      </w:r>
      <w:r>
        <w:rPr>
          <w:rFonts w:hint="eastAsia" w:ascii="宋体" w:hAnsi="宋体"/>
          <w:color w:val="auto"/>
          <w:sz w:val="24"/>
          <w:highlight w:val="none"/>
          <w:u w:val="none"/>
        </w:rPr>
        <w:t>点</w:t>
      </w:r>
      <w:r>
        <w:rPr>
          <w:rFonts w:hint="eastAsia" w:ascii="宋体" w:hAnsi="宋体"/>
          <w:color w:val="auto"/>
          <w:sz w:val="24"/>
          <w:highlight w:val="none"/>
          <w:u w:val="none"/>
          <w:lang w:val="en-US" w:eastAsia="zh-CN"/>
        </w:rPr>
        <w:t>00</w:t>
      </w:r>
      <w:r>
        <w:rPr>
          <w:rFonts w:hint="eastAsia" w:ascii="宋体" w:hAnsi="宋体"/>
          <w:color w:val="auto"/>
          <w:sz w:val="24"/>
          <w:highlight w:val="none"/>
          <w:u w:val="none"/>
        </w:rPr>
        <w:t>分</w:t>
      </w:r>
      <w:r>
        <w:rPr>
          <w:rFonts w:hint="eastAsia" w:ascii="宋体" w:hAnsi="宋体"/>
          <w:color w:val="auto"/>
          <w:sz w:val="24"/>
          <w:highlight w:val="none"/>
        </w:rPr>
        <w:t>（北京时间）前递交</w:t>
      </w:r>
      <w:r>
        <w:rPr>
          <w:rFonts w:hint="eastAsia" w:ascii="宋体" w:hAnsi="宋体"/>
          <w:color w:val="auto"/>
          <w:sz w:val="24"/>
          <w:highlight w:val="none"/>
          <w:lang w:eastAsia="zh-CN"/>
        </w:rPr>
        <w:t>资格审查</w:t>
      </w:r>
      <w:r>
        <w:rPr>
          <w:rFonts w:hint="eastAsia" w:ascii="宋体" w:hAnsi="宋体"/>
          <w:color w:val="auto"/>
          <w:sz w:val="24"/>
          <w:highlight w:val="none"/>
        </w:rPr>
        <w:t>文件</w:t>
      </w:r>
      <w:r>
        <w:rPr>
          <w:rFonts w:hint="eastAsia" w:ascii="宋体" w:hAnsi="宋体"/>
          <w:color w:val="auto"/>
          <w:sz w:val="24"/>
          <w:highlight w:val="none"/>
          <w:lang w:eastAsia="zh-CN"/>
        </w:rPr>
        <w:t>，经资格审查合格后参加竞投</w:t>
      </w:r>
      <w:r>
        <w:rPr>
          <w:rFonts w:hint="eastAsia" w:ascii="宋体" w:hAnsi="宋体"/>
          <w:color w:val="auto"/>
          <w:sz w:val="24"/>
          <w:highlight w:val="none"/>
        </w:rPr>
        <w:t>。</w:t>
      </w:r>
    </w:p>
    <w:p>
      <w:pPr>
        <w:numPr>
          <w:ilvl w:val="0"/>
          <w:numId w:val="2"/>
        </w:numPr>
        <w:tabs>
          <w:tab w:val="left" w:pos="426"/>
        </w:tabs>
        <w:autoSpaceDE w:val="0"/>
        <w:autoSpaceDN w:val="0"/>
        <w:adjustRightInd w:val="0"/>
        <w:snapToGrid w:val="0"/>
        <w:spacing w:line="360" w:lineRule="auto"/>
        <w:ind w:left="0" w:leftChars="0" w:firstLine="0" w:firstLineChars="0"/>
        <w:rPr>
          <w:rFonts w:ascii="宋体" w:hAnsi="宋体" w:cs="宋体"/>
          <w:b/>
          <w:bCs/>
          <w:color w:val="auto"/>
          <w:sz w:val="24"/>
          <w:highlight w:val="none"/>
        </w:rPr>
      </w:pPr>
      <w:r>
        <w:rPr>
          <w:rFonts w:hint="eastAsia" w:ascii="宋体" w:hAnsi="宋体" w:cs="宋体"/>
          <w:b/>
          <w:bCs/>
          <w:color w:val="auto"/>
          <w:sz w:val="24"/>
          <w:highlight w:val="none"/>
        </w:rPr>
        <w:t>项目基本情况</w:t>
      </w:r>
    </w:p>
    <w:p>
      <w:pPr>
        <w:autoSpaceDN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吉利竹甫村车辆停放管理服务</w:t>
      </w:r>
    </w:p>
    <w:p>
      <w:pPr>
        <w:autoSpaceDN w:val="0"/>
        <w:spacing w:line="360" w:lineRule="auto"/>
        <w:ind w:firstLine="480" w:firstLineChars="200"/>
        <w:jc w:val="left"/>
        <w:rPr>
          <w:color w:val="auto"/>
          <w:highlight w:val="none"/>
        </w:rPr>
      </w:pPr>
      <w:r>
        <w:rPr>
          <w:rFonts w:hint="eastAsia" w:ascii="宋体" w:hAnsi="宋体"/>
          <w:color w:val="auto"/>
          <w:sz w:val="24"/>
          <w:highlight w:val="none"/>
        </w:rPr>
        <w:t>最低限价：</w:t>
      </w:r>
      <w:r>
        <w:rPr>
          <w:rFonts w:hint="eastAsia" w:ascii="宋体" w:hAnsi="宋体"/>
          <w:color w:val="auto"/>
          <w:sz w:val="24"/>
          <w:highlight w:val="none"/>
          <w:lang w:val="en-US" w:eastAsia="zh-CN"/>
        </w:rPr>
        <w:t>150,000.00元/年，由中标人向招标人支付。</w:t>
      </w:r>
    </w:p>
    <w:p>
      <w:pPr>
        <w:autoSpaceDN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eastAsia="zh-CN"/>
        </w:rPr>
        <w:t>项目</w:t>
      </w:r>
      <w:r>
        <w:rPr>
          <w:rFonts w:hint="eastAsia" w:ascii="宋体" w:hAnsi="宋体"/>
          <w:color w:val="auto"/>
          <w:sz w:val="24"/>
          <w:highlight w:val="none"/>
        </w:rPr>
        <w:t>需求</w:t>
      </w:r>
      <w:r>
        <w:rPr>
          <w:rFonts w:hint="eastAsia" w:ascii="宋体" w:hAnsi="宋体" w:cs="宋体"/>
          <w:color w:val="auto"/>
          <w:sz w:val="24"/>
          <w:highlight w:val="none"/>
        </w:rPr>
        <w:t>（包括但不限于标的名称、数量、简要技术需求或服务要求等）</w:t>
      </w:r>
      <w:r>
        <w:rPr>
          <w:rFonts w:hint="eastAsia" w:ascii="宋体" w:hAnsi="宋体"/>
          <w:color w:val="auto"/>
          <w:sz w:val="24"/>
          <w:highlight w:val="none"/>
        </w:rPr>
        <w:t>：</w:t>
      </w:r>
    </w:p>
    <w:p>
      <w:pPr>
        <w:numPr>
          <w:ilvl w:val="0"/>
          <w:numId w:val="3"/>
        </w:numPr>
        <w:autoSpaceDN w:val="0"/>
        <w:spacing w:line="360" w:lineRule="auto"/>
        <w:ind w:left="425" w:leftChars="0" w:hanging="5"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标的名称：</w:t>
      </w:r>
      <w:r>
        <w:rPr>
          <w:rFonts w:hint="eastAsia" w:ascii="宋体" w:hAnsi="宋体"/>
          <w:color w:val="auto"/>
          <w:sz w:val="24"/>
          <w:highlight w:val="none"/>
          <w:lang w:eastAsia="zh-CN"/>
        </w:rPr>
        <w:t>吉利竹甫村车辆停放管理服务</w:t>
      </w:r>
    </w:p>
    <w:p>
      <w:pPr>
        <w:numPr>
          <w:ilvl w:val="0"/>
          <w:numId w:val="3"/>
        </w:numPr>
        <w:autoSpaceDN w:val="0"/>
        <w:spacing w:line="360" w:lineRule="auto"/>
        <w:ind w:left="425" w:leftChars="0" w:hanging="5" w:firstLineChars="0"/>
        <w:jc w:val="left"/>
        <w:rPr>
          <w:rFonts w:hint="eastAsia" w:ascii="宋体" w:hAnsi="宋体"/>
          <w:color w:val="auto"/>
          <w:sz w:val="24"/>
          <w:highlight w:val="none"/>
        </w:rPr>
      </w:pPr>
      <w:r>
        <w:rPr>
          <w:rFonts w:hint="eastAsia" w:ascii="宋体" w:hAnsi="宋体"/>
          <w:color w:val="auto"/>
          <w:sz w:val="24"/>
          <w:highlight w:val="none"/>
        </w:rPr>
        <w:t>数量：1项</w:t>
      </w:r>
    </w:p>
    <w:p>
      <w:pPr>
        <w:numPr>
          <w:ilvl w:val="0"/>
          <w:numId w:val="3"/>
        </w:numPr>
        <w:tabs>
          <w:tab w:val="left" w:pos="426"/>
        </w:tabs>
        <w:autoSpaceDE w:val="0"/>
        <w:autoSpaceDN w:val="0"/>
        <w:adjustRightInd w:val="0"/>
        <w:snapToGrid w:val="0"/>
        <w:spacing w:line="360" w:lineRule="auto"/>
        <w:ind w:left="425" w:leftChars="0" w:hanging="5" w:firstLineChars="0"/>
        <w:rPr>
          <w:rFonts w:hint="eastAsia" w:ascii="宋体" w:hAnsi="宋体" w:cs="宋体"/>
          <w:color w:val="auto"/>
          <w:sz w:val="24"/>
          <w:highlight w:val="none"/>
        </w:rPr>
      </w:pPr>
      <w:r>
        <w:rPr>
          <w:rFonts w:hint="eastAsia" w:ascii="宋体" w:hAnsi="宋体" w:cs="宋体"/>
          <w:color w:val="auto"/>
          <w:sz w:val="24"/>
          <w:highlight w:val="none"/>
        </w:rPr>
        <w:t>简要技术需求或服务要求：</w:t>
      </w:r>
    </w:p>
    <w:tbl>
      <w:tblPr>
        <w:tblStyle w:val="19"/>
        <w:tblW w:w="95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1350"/>
        <w:gridCol w:w="5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16" w:type="dxa"/>
            <w:tcBorders>
              <w:tl2br w:val="nil"/>
              <w:tr2bl w:val="nil"/>
            </w:tcBorders>
            <w:noWrap w:val="0"/>
            <w:vAlign w:val="center"/>
          </w:tcPr>
          <w:p>
            <w:pPr>
              <w:pStyle w:val="17"/>
              <w:ind w:firstLine="0" w:firstLineChars="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采购内容</w:t>
            </w:r>
          </w:p>
        </w:tc>
        <w:tc>
          <w:tcPr>
            <w:tcW w:w="1350" w:type="dxa"/>
            <w:tcBorders>
              <w:tl2br w:val="nil"/>
              <w:tr2bl w:val="nil"/>
            </w:tcBorders>
            <w:noWrap w:val="0"/>
            <w:vAlign w:val="center"/>
          </w:tcPr>
          <w:p>
            <w:pPr>
              <w:pStyle w:val="17"/>
              <w:ind w:firstLine="0" w:firstLineChars="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数量</w:t>
            </w:r>
          </w:p>
        </w:tc>
        <w:tc>
          <w:tcPr>
            <w:tcW w:w="5639" w:type="dxa"/>
            <w:tcBorders>
              <w:tl2br w:val="nil"/>
              <w:tr2bl w:val="nil"/>
            </w:tcBorders>
            <w:noWrap w:val="0"/>
            <w:vAlign w:val="center"/>
          </w:tcPr>
          <w:p>
            <w:pPr>
              <w:pStyle w:val="17"/>
              <w:ind w:firstLine="0" w:firstLineChars="0"/>
              <w:jc w:val="cente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t>最低限价</w:t>
            </w:r>
            <w:r>
              <w:rPr>
                <w:rFonts w:hint="eastAsia" w:asciiTheme="minorEastAsia" w:hAnsiTheme="minorEastAsia" w:eastAsiaTheme="minorEastAsia" w:cstheme="minorEastAsia"/>
                <w:b/>
                <w:bCs/>
                <w:color w:val="auto"/>
                <w:sz w:val="24"/>
                <w:highlight w:val="none"/>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2516" w:type="dxa"/>
            <w:tcBorders>
              <w:tl2br w:val="nil"/>
              <w:tr2bl w:val="nil"/>
            </w:tcBorders>
            <w:noWrap w:val="0"/>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吉利竹甫村车辆停放管理服务</w:t>
            </w:r>
          </w:p>
        </w:tc>
        <w:tc>
          <w:tcPr>
            <w:tcW w:w="1350" w:type="dxa"/>
            <w:tcBorders>
              <w:tl2br w:val="nil"/>
              <w:tr2bl w:val="nil"/>
            </w:tcBorders>
            <w:noWrap w:val="0"/>
            <w:vAlign w:val="center"/>
          </w:tcPr>
          <w:p>
            <w:pPr>
              <w:spacing w:after="72" w:afterLines="3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1项</w:t>
            </w:r>
          </w:p>
        </w:tc>
        <w:tc>
          <w:tcPr>
            <w:tcW w:w="5639" w:type="dxa"/>
            <w:tcBorders>
              <w:tl2br w:val="nil"/>
              <w:tr2bl w:val="nil"/>
            </w:tcBorders>
            <w:noWrap w:val="0"/>
            <w:vAlign w:val="center"/>
          </w:tcPr>
          <w:p>
            <w:pPr>
              <w:pStyle w:val="3"/>
              <w:spacing w:before="0" w:after="0" w:line="240" w:lineRule="auto"/>
              <w:jc w:val="center"/>
              <w:rPr>
                <w:rFonts w:hint="eastAsia" w:asciiTheme="minorEastAsia" w:hAnsiTheme="minorEastAsia" w:eastAsiaTheme="minorEastAsia" w:cstheme="minorEastAsia"/>
                <w:color w:val="auto"/>
                <w:sz w:val="24"/>
                <w:szCs w:val="24"/>
                <w:highlight w:val="none"/>
                <w:lang w:val="en-US" w:eastAsia="zh-CN"/>
              </w:rPr>
            </w:pPr>
            <w:bookmarkStart w:id="5" w:name="_Toc2683"/>
            <w:r>
              <w:rPr>
                <w:rFonts w:hint="eastAsia" w:asciiTheme="minorEastAsia" w:hAnsiTheme="minorEastAsia" w:eastAsiaTheme="minorEastAsia" w:cstheme="minorEastAsia"/>
                <w:color w:val="auto"/>
                <w:sz w:val="24"/>
                <w:szCs w:val="24"/>
                <w:highlight w:val="none"/>
                <w:lang w:val="en-US" w:eastAsia="zh-CN"/>
              </w:rPr>
              <w:t>150,000.00元/年。</w:t>
            </w:r>
            <w:bookmarkEnd w:id="5"/>
          </w:p>
          <w:p>
            <w:pPr>
              <w:pStyle w:val="3"/>
              <w:spacing w:before="0" w:after="0" w:line="240" w:lineRule="auto"/>
              <w:rPr>
                <w:rFonts w:hint="eastAsia" w:asciiTheme="minorEastAsia" w:hAnsiTheme="minorEastAsia" w:eastAsiaTheme="minorEastAsia" w:cstheme="minorEastAsia"/>
                <w:color w:val="auto"/>
                <w:sz w:val="24"/>
                <w:szCs w:val="24"/>
                <w:highlight w:val="none"/>
              </w:rPr>
            </w:pPr>
            <w:bookmarkStart w:id="6" w:name="_Toc22804"/>
            <w:bookmarkStart w:id="7" w:name="_Toc31748"/>
            <w:r>
              <w:rPr>
                <w:rFonts w:hint="eastAsia" w:asciiTheme="minorEastAsia" w:hAnsiTheme="minorEastAsia" w:eastAsiaTheme="minorEastAsia" w:cstheme="minorEastAsia"/>
                <w:color w:val="auto"/>
                <w:sz w:val="24"/>
                <w:szCs w:val="24"/>
                <w:highlight w:val="none"/>
              </w:rPr>
              <w:t>说明：</w:t>
            </w:r>
            <w:bookmarkEnd w:id="6"/>
            <w:bookmarkEnd w:id="7"/>
          </w:p>
          <w:p>
            <w:pPr>
              <w:pStyle w:val="3"/>
              <w:spacing w:before="0" w:after="0" w:line="240" w:lineRule="auto"/>
              <w:rPr>
                <w:rFonts w:hint="eastAsia" w:asciiTheme="minorEastAsia" w:hAnsiTheme="minorEastAsia" w:eastAsiaTheme="minorEastAsia" w:cstheme="minorEastAsia"/>
                <w:b/>
                <w:bCs/>
                <w:color w:val="auto"/>
                <w:sz w:val="24"/>
                <w:szCs w:val="24"/>
                <w:highlight w:val="none"/>
              </w:rPr>
            </w:pPr>
            <w:bookmarkStart w:id="8" w:name="_Toc13636"/>
            <w:bookmarkStart w:id="9" w:name="_Toc24175"/>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招标人</w:t>
            </w:r>
            <w:r>
              <w:rPr>
                <w:rFonts w:hint="eastAsia" w:asciiTheme="minorEastAsia" w:hAnsiTheme="minorEastAsia" w:eastAsiaTheme="minorEastAsia" w:cstheme="minorEastAsia"/>
                <w:b/>
                <w:bCs/>
                <w:color w:val="auto"/>
                <w:sz w:val="24"/>
                <w:szCs w:val="24"/>
                <w:highlight w:val="none"/>
              </w:rPr>
              <w:t>将</w:t>
            </w:r>
            <w:r>
              <w:rPr>
                <w:rFonts w:hint="eastAsia" w:asciiTheme="minorEastAsia" w:hAnsiTheme="minorEastAsia" w:eastAsiaTheme="minorEastAsia" w:cstheme="minorEastAsia"/>
                <w:b/>
                <w:bCs/>
                <w:color w:val="auto"/>
                <w:sz w:val="24"/>
                <w:szCs w:val="24"/>
                <w:highlight w:val="none"/>
                <w:lang w:eastAsia="zh-CN"/>
              </w:rPr>
              <w:t>吉利竹甫村车辆停放管理</w:t>
            </w:r>
            <w:r>
              <w:rPr>
                <w:rFonts w:hint="eastAsia" w:asciiTheme="minorEastAsia" w:hAnsiTheme="minorEastAsia" w:eastAsiaTheme="minorEastAsia" w:cstheme="minorEastAsia"/>
                <w:b/>
                <w:bCs/>
                <w:color w:val="auto"/>
                <w:sz w:val="24"/>
                <w:szCs w:val="24"/>
                <w:highlight w:val="none"/>
              </w:rPr>
              <w:t>交由中标人进行</w:t>
            </w:r>
            <w:r>
              <w:rPr>
                <w:rFonts w:hint="eastAsia" w:asciiTheme="minorEastAsia" w:hAnsiTheme="minorEastAsia" w:eastAsiaTheme="minorEastAsia" w:cstheme="minorEastAsia"/>
                <w:b/>
                <w:bCs/>
                <w:color w:val="auto"/>
                <w:sz w:val="24"/>
                <w:szCs w:val="24"/>
                <w:highlight w:val="none"/>
                <w:lang w:eastAsia="zh-CN"/>
              </w:rPr>
              <w:t>管理</w:t>
            </w:r>
            <w:r>
              <w:rPr>
                <w:rFonts w:hint="eastAsia" w:asciiTheme="minorEastAsia" w:hAnsiTheme="minorEastAsia" w:eastAsiaTheme="minorEastAsia" w:cstheme="minorEastAsia"/>
                <w:b/>
                <w:bCs/>
                <w:color w:val="auto"/>
                <w:sz w:val="24"/>
                <w:szCs w:val="24"/>
                <w:highlight w:val="none"/>
              </w:rPr>
              <w:t>，中标人按中标价向</w:t>
            </w:r>
            <w:r>
              <w:rPr>
                <w:rFonts w:hint="eastAsia" w:asciiTheme="minorEastAsia" w:hAnsiTheme="minorEastAsia" w:eastAsiaTheme="minorEastAsia" w:cstheme="minorEastAsia"/>
                <w:b/>
                <w:bCs/>
                <w:color w:val="auto"/>
                <w:sz w:val="24"/>
                <w:szCs w:val="24"/>
                <w:highlight w:val="none"/>
                <w:lang w:eastAsia="zh-CN"/>
              </w:rPr>
              <w:t>招标人</w:t>
            </w:r>
            <w:r>
              <w:rPr>
                <w:rFonts w:hint="eastAsia" w:asciiTheme="minorEastAsia" w:hAnsiTheme="minorEastAsia" w:eastAsiaTheme="minorEastAsia" w:cstheme="minorEastAsia"/>
                <w:b/>
                <w:bCs/>
                <w:color w:val="auto"/>
                <w:sz w:val="24"/>
                <w:szCs w:val="24"/>
                <w:highlight w:val="none"/>
              </w:rPr>
              <w:t>支付相关</w:t>
            </w:r>
            <w:r>
              <w:rPr>
                <w:rFonts w:hint="eastAsia" w:asciiTheme="minorEastAsia" w:hAnsiTheme="minorEastAsia" w:eastAsiaTheme="minorEastAsia" w:cstheme="minorEastAsia"/>
                <w:b/>
                <w:bCs/>
                <w:color w:val="auto"/>
                <w:sz w:val="24"/>
                <w:szCs w:val="24"/>
                <w:highlight w:val="none"/>
                <w:lang w:eastAsia="zh-CN"/>
              </w:rPr>
              <w:t>费用</w:t>
            </w:r>
            <w:r>
              <w:rPr>
                <w:rFonts w:hint="eastAsia" w:asciiTheme="minorEastAsia" w:hAnsiTheme="minorEastAsia" w:eastAsiaTheme="minorEastAsia" w:cstheme="minorEastAsia"/>
                <w:b/>
                <w:bCs/>
                <w:color w:val="auto"/>
                <w:sz w:val="24"/>
                <w:szCs w:val="24"/>
                <w:highlight w:val="none"/>
              </w:rPr>
              <w:t>；</w:t>
            </w:r>
            <w:bookmarkEnd w:id="8"/>
            <w:bookmarkEnd w:id="9"/>
          </w:p>
          <w:p>
            <w:pPr>
              <w:pStyle w:val="12"/>
              <w:rPr>
                <w:rFonts w:hint="eastAsia" w:asciiTheme="minorEastAsia" w:hAnsiTheme="minorEastAsia" w:eastAsiaTheme="minorEastAsia" w:cstheme="minorEastAsia"/>
                <w:b/>
                <w:bCs/>
                <w:color w:val="auto"/>
                <w:sz w:val="24"/>
                <w:szCs w:val="24"/>
                <w:highlight w:val="none"/>
              </w:rPr>
            </w:pPr>
            <w:bookmarkStart w:id="10" w:name="_Toc22463"/>
            <w:r>
              <w:rPr>
                <w:rFonts w:hint="eastAsia" w:asciiTheme="minorEastAsia" w:hAnsiTheme="minorEastAsia" w:eastAsiaTheme="minorEastAsia" w:cstheme="minorEastAsia"/>
                <w:b/>
                <w:bCs/>
                <w:color w:val="auto"/>
                <w:sz w:val="24"/>
                <w:szCs w:val="24"/>
                <w:highlight w:val="none"/>
              </w:rPr>
              <w:t>2.中标人按</w:t>
            </w:r>
            <w:r>
              <w:rPr>
                <w:rFonts w:hint="eastAsia" w:asciiTheme="minorEastAsia" w:hAnsiTheme="minorEastAsia" w:eastAsiaTheme="minorEastAsia" w:cstheme="minorEastAsia"/>
                <w:b/>
                <w:bCs/>
                <w:color w:val="auto"/>
                <w:sz w:val="24"/>
                <w:szCs w:val="24"/>
                <w:highlight w:val="none"/>
                <w:lang w:eastAsia="zh-CN"/>
              </w:rPr>
              <w:t>招标人</w:t>
            </w:r>
            <w:r>
              <w:rPr>
                <w:rFonts w:hint="eastAsia" w:asciiTheme="minorEastAsia" w:hAnsiTheme="minorEastAsia" w:eastAsiaTheme="minorEastAsia" w:cstheme="minorEastAsia"/>
                <w:b/>
                <w:bCs/>
                <w:color w:val="auto"/>
                <w:sz w:val="24"/>
                <w:szCs w:val="24"/>
                <w:highlight w:val="none"/>
              </w:rPr>
              <w:t>的要求进行</w:t>
            </w:r>
            <w:r>
              <w:rPr>
                <w:rFonts w:hint="eastAsia" w:asciiTheme="minorEastAsia" w:hAnsiTheme="minorEastAsia" w:eastAsiaTheme="minorEastAsia" w:cstheme="minorEastAsia"/>
                <w:b/>
                <w:bCs/>
                <w:color w:val="auto"/>
                <w:sz w:val="24"/>
                <w:szCs w:val="24"/>
                <w:highlight w:val="none"/>
                <w:lang w:eastAsia="zh-CN"/>
              </w:rPr>
              <w:t>管理</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严格按照市、区、相关文件要求进行备案、收费、管理</w:t>
            </w:r>
            <w:bookmarkEnd w:id="10"/>
            <w:r>
              <w:rPr>
                <w:rFonts w:hint="eastAsia" w:asciiTheme="minorEastAsia" w:hAnsiTheme="minorEastAsia" w:eastAsiaTheme="minorEastAsia" w:cstheme="minorEastAsia"/>
                <w:b/>
                <w:bCs/>
                <w:color w:val="auto"/>
                <w:sz w:val="24"/>
                <w:szCs w:val="24"/>
                <w:highlight w:val="none"/>
              </w:rPr>
              <w:t>。</w:t>
            </w:r>
          </w:p>
          <w:p>
            <w:pPr>
              <w:pStyle w:val="1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.中标人必须在中标通知书发出之日起15个工作日内完成本停车场在佛山市停车场管理系统登记备案</w:t>
            </w:r>
            <w:r>
              <w:rPr>
                <w:rFonts w:hint="eastAsia" w:asciiTheme="minorEastAsia" w:hAnsiTheme="minorEastAsia" w:eastAsiaTheme="minorEastAsia" w:cstheme="minorEastAsia"/>
                <w:b/>
                <w:bCs/>
                <w:color w:val="auto"/>
                <w:sz w:val="24"/>
                <w:szCs w:val="24"/>
                <w:highlight w:val="none"/>
                <w:lang w:eastAsia="zh-CN"/>
              </w:rPr>
              <w:t>。</w:t>
            </w:r>
          </w:p>
        </w:tc>
      </w:tr>
    </w:tbl>
    <w:p>
      <w:pPr>
        <w:numPr>
          <w:ilvl w:val="0"/>
          <w:numId w:val="3"/>
        </w:numPr>
        <w:autoSpaceDN w:val="0"/>
        <w:spacing w:line="360" w:lineRule="auto"/>
        <w:ind w:left="425" w:leftChars="0" w:hanging="5" w:firstLineChars="0"/>
        <w:jc w:val="left"/>
        <w:rPr>
          <w:rFonts w:hint="eastAsia" w:ascii="宋体" w:hAnsi="宋体" w:cs="宋体"/>
          <w:color w:val="auto"/>
          <w:sz w:val="24"/>
          <w:highlight w:val="none"/>
        </w:rPr>
      </w:pPr>
      <w:r>
        <w:rPr>
          <w:rFonts w:hint="eastAsia" w:ascii="宋体" w:hAnsi="宋体"/>
          <w:color w:val="auto"/>
          <w:sz w:val="24"/>
          <w:highlight w:val="none"/>
          <w:lang w:eastAsia="zh-CN"/>
        </w:rPr>
        <w:t>服务期</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5年，</w:t>
      </w:r>
      <w:r>
        <w:rPr>
          <w:rFonts w:hint="eastAsia" w:ascii="宋体" w:hAnsi="宋体" w:cs="仿宋_GB2312"/>
          <w:color w:val="auto"/>
          <w:sz w:val="24"/>
          <w:highlight w:val="none"/>
          <w:lang w:eastAsia="zh-CN"/>
        </w:rPr>
        <w:t>具体起止日期以合同约定为准</w:t>
      </w:r>
      <w:r>
        <w:rPr>
          <w:rFonts w:hint="eastAsia" w:ascii="宋体" w:hAnsi="宋体" w:cs="仿宋_GB2312"/>
          <w:color w:val="auto"/>
          <w:sz w:val="24"/>
          <w:highlight w:val="none"/>
        </w:rPr>
        <w:t>。</w:t>
      </w:r>
    </w:p>
    <w:p>
      <w:pPr>
        <w:numPr>
          <w:ilvl w:val="0"/>
          <w:numId w:val="4"/>
        </w:numPr>
        <w:autoSpaceDE w:val="0"/>
        <w:autoSpaceDN w:val="0"/>
        <w:adjustRightInd w:val="0"/>
        <w:snapToGrid w:val="0"/>
        <w:spacing w:line="360" w:lineRule="auto"/>
        <w:ind w:left="0" w:leftChars="0" w:firstLine="0" w:firstLineChars="0"/>
        <w:rPr>
          <w:rFonts w:hint="eastAsia" w:ascii="宋体" w:hAnsi="宋体" w:cs="宋体"/>
          <w:color w:val="auto"/>
          <w:sz w:val="24"/>
          <w:highlight w:val="none"/>
        </w:rPr>
      </w:pPr>
      <w:r>
        <w:rPr>
          <w:rFonts w:hint="eastAsia" w:ascii="宋体" w:hAnsi="宋体" w:cs="宋体"/>
          <w:b/>
          <w:bCs/>
          <w:color w:val="auto"/>
          <w:sz w:val="24"/>
          <w:highlight w:val="none"/>
        </w:rPr>
        <w:t>申请人的资格</w:t>
      </w:r>
      <w:r>
        <w:rPr>
          <w:rFonts w:hint="eastAsia" w:ascii="宋体" w:hAnsi="宋体" w:eastAsia="宋体" w:cs="宋体"/>
          <w:b/>
          <w:bCs/>
          <w:color w:val="auto"/>
          <w:sz w:val="24"/>
          <w:highlight w:val="none"/>
        </w:rPr>
        <w:t>要求</w:t>
      </w:r>
    </w:p>
    <w:p>
      <w:pPr>
        <w:numPr>
          <w:ilvl w:val="0"/>
          <w:numId w:val="5"/>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val="en-US" w:eastAsia="zh-CN"/>
        </w:rPr>
        <w:t>须具有独立法人资格，营业执照处于有效期内。</w:t>
      </w:r>
    </w:p>
    <w:p>
      <w:pPr>
        <w:numPr>
          <w:ilvl w:val="0"/>
          <w:numId w:val="5"/>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本项目不接受联合体竞投。</w:t>
      </w:r>
    </w:p>
    <w:p>
      <w:pPr>
        <w:numPr>
          <w:ilvl w:val="0"/>
          <w:numId w:val="5"/>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法律、行政法规规定的其他条件。</w:t>
      </w:r>
    </w:p>
    <w:p>
      <w:pPr>
        <w:numPr>
          <w:ilvl w:val="0"/>
          <w:numId w:val="6"/>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单位负责人为同一人或者存在直接控股、管理关系的不同投标人，不得同时参加本项目竞投；</w:t>
      </w:r>
    </w:p>
    <w:p>
      <w:pPr>
        <w:numPr>
          <w:ilvl w:val="0"/>
          <w:numId w:val="6"/>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numPr>
          <w:ilvl w:val="0"/>
          <w:numId w:val="4"/>
        </w:numPr>
        <w:autoSpaceDE w:val="0"/>
        <w:autoSpaceDN w:val="0"/>
        <w:adjustRightInd w:val="0"/>
        <w:snapToGrid w:val="0"/>
        <w:spacing w:line="360" w:lineRule="auto"/>
        <w:ind w:left="0" w:leftChars="0" w:firstLine="0" w:firstLineChars="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获取</w:t>
      </w:r>
      <w:r>
        <w:rPr>
          <w:rFonts w:hint="eastAsia" w:ascii="宋体" w:hAnsi="宋体" w:cs="宋体"/>
          <w:b/>
          <w:bCs/>
          <w:color w:val="auto"/>
          <w:sz w:val="24"/>
          <w:highlight w:val="none"/>
          <w:lang w:eastAsia="zh-CN"/>
        </w:rPr>
        <w:t>竞投文件</w:t>
      </w:r>
    </w:p>
    <w:p>
      <w:pPr>
        <w:numPr>
          <w:ilvl w:val="0"/>
          <w:numId w:val="7"/>
        </w:numPr>
        <w:autoSpaceDN w:val="0"/>
        <w:spacing w:line="360" w:lineRule="auto"/>
        <w:ind w:left="425" w:leftChars="0" w:hanging="5" w:firstLineChars="0"/>
        <w:jc w:val="left"/>
        <w:rPr>
          <w:rFonts w:hint="eastAsia" w:ascii="宋体" w:hAnsi="宋体" w:cs="宋体"/>
          <w:color w:val="auto"/>
          <w:sz w:val="24"/>
          <w:highlight w:val="none"/>
        </w:rPr>
      </w:pPr>
      <w:r>
        <w:rPr>
          <w:rFonts w:hint="eastAsia" w:ascii="宋体" w:hAnsi="宋体" w:cs="宋体"/>
          <w:color w:val="auto"/>
          <w:sz w:val="24"/>
          <w:highlight w:val="none"/>
        </w:rPr>
        <w:t>凡有意参加</w:t>
      </w:r>
      <w:r>
        <w:rPr>
          <w:rFonts w:hint="eastAsia" w:ascii="宋体" w:hAnsi="宋体" w:cs="宋体"/>
          <w:color w:val="auto"/>
          <w:sz w:val="24"/>
          <w:highlight w:val="none"/>
          <w:lang w:eastAsia="zh-CN"/>
        </w:rPr>
        <w:t>竞投</w:t>
      </w:r>
      <w:r>
        <w:rPr>
          <w:rFonts w:hint="eastAsia" w:ascii="宋体" w:hAnsi="宋体" w:cs="宋体"/>
          <w:color w:val="auto"/>
          <w:sz w:val="24"/>
          <w:highlight w:val="none"/>
        </w:rPr>
        <w:t>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，可于</w:t>
      </w: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1</w:t>
      </w:r>
      <w:r>
        <w:rPr>
          <w:rFonts w:hint="eastAsia" w:ascii="宋体" w:hAnsi="宋体"/>
          <w:color w:val="auto"/>
          <w:sz w:val="24"/>
          <w:highlight w:val="none"/>
          <w:u w:val="none"/>
          <w:lang w:val="en-US" w:eastAsia="zh-CN"/>
        </w:rPr>
        <w:t>月31日</w:t>
      </w:r>
      <w:r>
        <w:rPr>
          <w:rFonts w:hint="eastAsia" w:ascii="宋体" w:hAnsi="宋体" w:cs="宋体"/>
          <w:color w:val="auto"/>
          <w:sz w:val="24"/>
          <w:highlight w:val="none"/>
        </w:rPr>
        <w:t>至</w:t>
      </w:r>
      <w:r>
        <w:rPr>
          <w:rFonts w:hint="eastAsia" w:ascii="宋体" w:hAnsi="宋体" w:cs="宋体"/>
          <w:color w:val="auto"/>
          <w:sz w:val="24"/>
          <w:highlight w:val="none"/>
          <w:lang w:eastAsia="zh-CN"/>
        </w:rPr>
        <w:t>竞投</w:t>
      </w:r>
      <w:r>
        <w:rPr>
          <w:rFonts w:hint="eastAsia" w:ascii="宋体" w:hAnsi="宋体" w:cs="宋体"/>
          <w:color w:val="auto"/>
          <w:sz w:val="24"/>
          <w:highlight w:val="none"/>
        </w:rPr>
        <w:t>截止时间前登录佛山市禅城区南庄镇人民政府网（http://www.chancheng.gov.cn/nanzhuang/）</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佛山市公共资源交易中心禅城分中心网（http://ccggzy.chancheng.gov.cn/）</w:t>
      </w:r>
      <w:r>
        <w:rPr>
          <w:rFonts w:hint="eastAsia" w:ascii="宋体" w:hAnsi="宋体" w:cs="宋体"/>
          <w:color w:val="auto"/>
          <w:sz w:val="24"/>
          <w:highlight w:val="none"/>
          <w:lang w:eastAsia="zh-CN"/>
        </w:rPr>
        <w:t>、招标代理机构网站（http://www.gdzczb.com/）</w:t>
      </w:r>
      <w:r>
        <w:rPr>
          <w:rFonts w:hint="eastAsia" w:ascii="宋体" w:hAnsi="宋体" w:cs="宋体"/>
          <w:color w:val="auto"/>
          <w:sz w:val="24"/>
          <w:highlight w:val="none"/>
        </w:rPr>
        <w:t>。下载</w:t>
      </w:r>
      <w:r>
        <w:rPr>
          <w:rFonts w:hint="eastAsia" w:ascii="宋体" w:hAnsi="宋体" w:cs="宋体"/>
          <w:color w:val="auto"/>
          <w:sz w:val="24"/>
          <w:highlight w:val="none"/>
          <w:lang w:eastAsia="zh-CN"/>
        </w:rPr>
        <w:t>竞投文件</w:t>
      </w:r>
      <w:r>
        <w:rPr>
          <w:rFonts w:hint="eastAsia" w:ascii="宋体" w:hAnsi="宋体" w:cs="宋体"/>
          <w:color w:val="auto"/>
          <w:sz w:val="24"/>
          <w:highlight w:val="none"/>
        </w:rPr>
        <w:t>等资料。</w:t>
      </w:r>
    </w:p>
    <w:p>
      <w:pPr>
        <w:numPr>
          <w:ilvl w:val="0"/>
          <w:numId w:val="7"/>
        </w:numPr>
        <w:autoSpaceDN w:val="0"/>
        <w:spacing w:line="360" w:lineRule="auto"/>
        <w:ind w:left="425" w:leftChars="0" w:hanging="5" w:firstLineChars="0"/>
        <w:jc w:val="left"/>
        <w:rPr>
          <w:rFonts w:hint="eastAsia" w:ascii="宋体" w:hAnsi="宋体" w:cs="宋体"/>
          <w:color w:val="auto"/>
          <w:sz w:val="24"/>
          <w:highlight w:val="none"/>
        </w:rPr>
      </w:pPr>
      <w:r>
        <w:rPr>
          <w:rFonts w:hint="eastAsia" w:ascii="宋体" w:hAnsi="宋体" w:cs="宋体"/>
          <w:color w:val="auto"/>
          <w:sz w:val="24"/>
          <w:highlight w:val="none"/>
          <w:lang w:eastAsia="zh-CN"/>
        </w:rPr>
        <w:t>竞投文件</w:t>
      </w:r>
      <w:r>
        <w:rPr>
          <w:rFonts w:hint="eastAsia" w:ascii="宋体" w:hAnsi="宋体" w:cs="宋体"/>
          <w:color w:val="auto"/>
          <w:sz w:val="24"/>
          <w:highlight w:val="none"/>
        </w:rPr>
        <w:t>一经在佛山市公共资源交易中心禅城分中心网发布，视作已发放给所有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应及时下载电子版</w:t>
      </w:r>
      <w:r>
        <w:rPr>
          <w:rFonts w:hint="eastAsia" w:ascii="宋体" w:hAnsi="宋体" w:cs="宋体"/>
          <w:color w:val="auto"/>
          <w:sz w:val="24"/>
          <w:highlight w:val="none"/>
          <w:lang w:eastAsia="zh-CN"/>
        </w:rPr>
        <w:t>竞投文件</w:t>
      </w:r>
      <w:r>
        <w:rPr>
          <w:rFonts w:hint="eastAsia" w:ascii="宋体" w:hAnsi="宋体" w:cs="宋体"/>
          <w:color w:val="auto"/>
          <w:sz w:val="24"/>
          <w:highlight w:val="none"/>
        </w:rPr>
        <w:t>。否则所造成的一切后果由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自负。</w:t>
      </w:r>
      <w:r>
        <w:rPr>
          <w:rFonts w:hint="eastAsia" w:ascii="宋体" w:hAnsi="宋体" w:cs="宋体"/>
          <w:color w:val="auto"/>
          <w:sz w:val="24"/>
          <w:highlight w:val="none"/>
          <w:lang w:eastAsia="zh-CN"/>
        </w:rPr>
        <w:t>竞投文件</w:t>
      </w:r>
      <w:r>
        <w:rPr>
          <w:rFonts w:hint="eastAsia" w:ascii="宋体" w:hAnsi="宋体" w:cs="宋体"/>
          <w:color w:val="auto"/>
          <w:sz w:val="24"/>
          <w:highlight w:val="none"/>
        </w:rPr>
        <w:t>每套售价</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00元（人民币），在开标当天收取，售后不退。</w:t>
      </w:r>
    </w:p>
    <w:p>
      <w:pPr>
        <w:numPr>
          <w:ilvl w:val="0"/>
          <w:numId w:val="4"/>
        </w:numPr>
        <w:autoSpaceDE w:val="0"/>
        <w:autoSpaceDN w:val="0"/>
        <w:adjustRightInd w:val="0"/>
        <w:snapToGrid w:val="0"/>
        <w:spacing w:line="360" w:lineRule="auto"/>
        <w:ind w:left="0" w:leftChars="0" w:firstLine="0" w:firstLineChars="0"/>
        <w:rPr>
          <w:rFonts w:hint="eastAsia" w:ascii="宋体" w:hAnsi="宋体" w:cs="宋体"/>
          <w:b/>
          <w:bCs/>
          <w:color w:val="auto"/>
          <w:sz w:val="24"/>
          <w:highlight w:val="none"/>
        </w:rPr>
      </w:pPr>
      <w:r>
        <w:rPr>
          <w:rFonts w:hint="eastAsia" w:ascii="宋体" w:hAnsi="宋体" w:cs="宋体"/>
          <w:b/>
          <w:bCs/>
          <w:color w:val="auto"/>
          <w:sz w:val="24"/>
          <w:highlight w:val="none"/>
        </w:rPr>
        <w:t>提交</w:t>
      </w:r>
      <w:r>
        <w:rPr>
          <w:rFonts w:hint="eastAsia" w:ascii="宋体" w:hAnsi="宋体" w:cs="宋体"/>
          <w:b/>
          <w:bCs/>
          <w:color w:val="auto"/>
          <w:sz w:val="24"/>
          <w:highlight w:val="none"/>
          <w:lang w:eastAsia="zh-CN"/>
        </w:rPr>
        <w:t>资格审查</w:t>
      </w:r>
      <w:r>
        <w:rPr>
          <w:rFonts w:hint="eastAsia" w:ascii="宋体" w:hAnsi="宋体" w:cs="宋体"/>
          <w:b/>
          <w:bCs/>
          <w:color w:val="auto"/>
          <w:sz w:val="24"/>
          <w:highlight w:val="none"/>
        </w:rPr>
        <w:t>文件截止时间、开标时间和地点</w:t>
      </w:r>
    </w:p>
    <w:p>
      <w:pPr>
        <w:numPr>
          <w:ilvl w:val="0"/>
          <w:numId w:val="8"/>
        </w:numPr>
        <w:autoSpaceDN w:val="0"/>
        <w:spacing w:line="360" w:lineRule="auto"/>
        <w:ind w:left="425" w:leftChars="0" w:hanging="5" w:firstLineChars="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资格审查</w:t>
      </w:r>
      <w:r>
        <w:rPr>
          <w:rFonts w:hint="eastAsia" w:ascii="宋体" w:hAnsi="宋体"/>
          <w:color w:val="auto"/>
          <w:sz w:val="24"/>
          <w:highlight w:val="none"/>
          <w:lang w:eastAsia="zh-CN"/>
        </w:rPr>
        <w:t>文件递交</w:t>
      </w:r>
      <w:r>
        <w:rPr>
          <w:rFonts w:hint="eastAsia" w:ascii="宋体" w:hAnsi="宋体"/>
          <w:color w:val="auto"/>
          <w:sz w:val="24"/>
          <w:highlight w:val="none"/>
        </w:rPr>
        <w:t>截止时间：202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u w:val="none"/>
          <w:lang w:val="en-US" w:eastAsia="zh-CN"/>
        </w:rPr>
        <w:t>月8日</w:t>
      </w:r>
      <w:r>
        <w:rPr>
          <w:rFonts w:hint="eastAsia" w:ascii="宋体" w:hAnsi="宋体"/>
          <w:color w:val="auto"/>
          <w:sz w:val="24"/>
          <w:highlight w:val="none"/>
          <w:lang w:val="en-US" w:eastAsia="zh-CN"/>
        </w:rPr>
        <w:t>9</w:t>
      </w:r>
      <w:r>
        <w:rPr>
          <w:rFonts w:hint="eastAsia" w:ascii="宋体" w:hAnsi="宋体" w:cs="宋体"/>
          <w:color w:val="auto"/>
          <w:sz w:val="24"/>
          <w:highlight w:val="none"/>
        </w:rPr>
        <w:t>点</w:t>
      </w:r>
      <w:r>
        <w:rPr>
          <w:rFonts w:hint="eastAsia" w:ascii="宋体" w:hAnsi="宋体"/>
          <w:color w:val="auto"/>
          <w:sz w:val="24"/>
          <w:highlight w:val="none"/>
          <w:lang w:val="en-US" w:eastAsia="zh-CN"/>
        </w:rPr>
        <w:t>00</w:t>
      </w:r>
      <w:r>
        <w:rPr>
          <w:rFonts w:hint="eastAsia" w:ascii="宋体" w:hAnsi="宋体" w:cs="宋体"/>
          <w:color w:val="auto"/>
          <w:sz w:val="24"/>
          <w:highlight w:val="none"/>
        </w:rPr>
        <w:t>分（北京时间）</w:t>
      </w:r>
      <w:r>
        <w:rPr>
          <w:rFonts w:hint="eastAsia" w:ascii="宋体" w:hAnsi="宋体" w:cs="宋体"/>
          <w:color w:val="auto"/>
          <w:sz w:val="24"/>
          <w:highlight w:val="none"/>
          <w:lang w:val="en-US" w:eastAsia="zh-CN"/>
        </w:rPr>
        <w:t>。</w:t>
      </w:r>
    </w:p>
    <w:p>
      <w:pPr>
        <w:numPr>
          <w:ilvl w:val="0"/>
          <w:numId w:val="8"/>
        </w:numPr>
        <w:autoSpaceDN w:val="0"/>
        <w:spacing w:line="360" w:lineRule="auto"/>
        <w:ind w:left="425" w:leftChars="0" w:hanging="5" w:firstLineChars="0"/>
        <w:jc w:val="left"/>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资格</w:t>
      </w:r>
      <w:r>
        <w:rPr>
          <w:rFonts w:hint="eastAsia" w:ascii="宋体" w:hAnsi="宋体" w:cs="宋体"/>
          <w:color w:val="auto"/>
          <w:sz w:val="24"/>
          <w:highlight w:val="none"/>
          <w:lang w:eastAsia="zh-CN"/>
        </w:rPr>
        <w:t>审查</w:t>
      </w:r>
      <w:r>
        <w:rPr>
          <w:rFonts w:hint="eastAsia" w:ascii="宋体" w:hAnsi="宋体"/>
          <w:color w:val="auto"/>
          <w:sz w:val="24"/>
          <w:highlight w:val="none"/>
        </w:rPr>
        <w:t>时间：202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u w:val="none"/>
          <w:lang w:val="en-US" w:eastAsia="zh-CN"/>
        </w:rPr>
        <w:t>月8日</w:t>
      </w:r>
      <w:r>
        <w:rPr>
          <w:rFonts w:hint="eastAsia" w:ascii="宋体" w:hAnsi="宋体"/>
          <w:color w:val="auto"/>
          <w:sz w:val="24"/>
          <w:highlight w:val="none"/>
          <w:lang w:val="en-US" w:eastAsia="zh-CN"/>
        </w:rPr>
        <w:t>9</w:t>
      </w:r>
      <w:r>
        <w:rPr>
          <w:rFonts w:hint="eastAsia" w:ascii="宋体" w:hAnsi="宋体"/>
          <w:color w:val="auto"/>
          <w:sz w:val="24"/>
          <w:highlight w:val="none"/>
        </w:rPr>
        <w:t>点</w:t>
      </w:r>
      <w:r>
        <w:rPr>
          <w:rFonts w:hint="eastAsia" w:ascii="宋体" w:hAnsi="宋体"/>
          <w:color w:val="auto"/>
          <w:sz w:val="24"/>
          <w:highlight w:val="none"/>
          <w:lang w:val="en-US" w:eastAsia="zh-CN"/>
        </w:rPr>
        <w:t>00</w:t>
      </w:r>
      <w:r>
        <w:rPr>
          <w:rFonts w:hint="eastAsia" w:ascii="宋体" w:hAnsi="宋体"/>
          <w:color w:val="auto"/>
          <w:sz w:val="24"/>
          <w:highlight w:val="none"/>
        </w:rPr>
        <w:t>分（北京时间）</w:t>
      </w:r>
      <w:r>
        <w:rPr>
          <w:rFonts w:hint="eastAsia" w:ascii="宋体" w:hAnsi="宋体"/>
          <w:color w:val="auto"/>
          <w:sz w:val="24"/>
          <w:highlight w:val="none"/>
          <w:lang w:eastAsia="zh-CN"/>
        </w:rPr>
        <w:t>（</w:t>
      </w:r>
      <w:r>
        <w:rPr>
          <w:rFonts w:hint="eastAsia" w:ascii="宋体" w:hAnsi="宋体" w:cs="宋体"/>
          <w:color w:val="auto"/>
          <w:sz w:val="24"/>
          <w:highlight w:val="none"/>
          <w:lang w:eastAsia="zh-CN"/>
        </w:rPr>
        <w:t>资格审查</w:t>
      </w:r>
      <w:r>
        <w:rPr>
          <w:rFonts w:hint="eastAsia" w:ascii="宋体" w:hAnsi="宋体"/>
          <w:color w:val="auto"/>
          <w:sz w:val="24"/>
          <w:highlight w:val="none"/>
        </w:rPr>
        <w:t>文件递交截止</w:t>
      </w:r>
      <w:r>
        <w:rPr>
          <w:rFonts w:hint="eastAsia" w:ascii="宋体" w:hAnsi="宋体"/>
          <w:color w:val="auto"/>
          <w:sz w:val="24"/>
          <w:highlight w:val="none"/>
          <w:lang w:eastAsia="zh-CN"/>
        </w:rPr>
        <w:t>后马上进行资格审查）。</w:t>
      </w:r>
    </w:p>
    <w:p>
      <w:pPr>
        <w:numPr>
          <w:ilvl w:val="0"/>
          <w:numId w:val="8"/>
        </w:numPr>
        <w:autoSpaceDN w:val="0"/>
        <w:spacing w:line="360" w:lineRule="auto"/>
        <w:ind w:left="425" w:leftChars="0" w:hanging="5" w:firstLineChars="0"/>
        <w:jc w:val="left"/>
        <w:rPr>
          <w:rFonts w:hint="eastAsia" w:ascii="宋体" w:hAnsi="宋体"/>
          <w:color w:val="auto"/>
          <w:sz w:val="24"/>
          <w:highlight w:val="none"/>
        </w:rPr>
      </w:pPr>
      <w:r>
        <w:rPr>
          <w:rFonts w:hint="eastAsia" w:ascii="宋体" w:hAnsi="宋体"/>
          <w:color w:val="auto"/>
          <w:sz w:val="24"/>
          <w:highlight w:val="none"/>
          <w:lang w:eastAsia="zh-CN"/>
        </w:rPr>
        <w:t>竞投地点</w:t>
      </w:r>
      <w:r>
        <w:rPr>
          <w:rFonts w:hint="eastAsia" w:ascii="宋体" w:hAnsi="宋体"/>
          <w:color w:val="auto"/>
          <w:sz w:val="24"/>
          <w:highlight w:val="none"/>
        </w:rPr>
        <w:t>：佛山市禅城区南庄镇紫洞南路106号南庄商业广场A1座四楼南庄镇公共资源交易所开标室（接受</w:t>
      </w:r>
      <w:r>
        <w:rPr>
          <w:rFonts w:hint="eastAsia" w:ascii="宋体" w:hAnsi="宋体"/>
          <w:color w:val="auto"/>
          <w:sz w:val="24"/>
          <w:highlight w:val="none"/>
          <w:lang w:eastAsia="zh-CN"/>
        </w:rPr>
        <w:t>竞投</w:t>
      </w:r>
      <w:r>
        <w:rPr>
          <w:rFonts w:hint="eastAsia" w:ascii="宋体" w:hAnsi="宋体"/>
          <w:color w:val="auto"/>
          <w:sz w:val="24"/>
          <w:highlight w:val="none"/>
        </w:rPr>
        <w:t>文件时间：202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u w:val="none"/>
          <w:lang w:val="en-US" w:eastAsia="zh-CN"/>
        </w:rPr>
        <w:t>月8日</w:t>
      </w:r>
      <w:r>
        <w:rPr>
          <w:rFonts w:hint="eastAsia" w:ascii="宋体" w:hAnsi="宋体"/>
          <w:color w:val="auto"/>
          <w:sz w:val="24"/>
          <w:highlight w:val="none"/>
          <w:lang w:val="en-US" w:eastAsia="zh-CN"/>
        </w:rPr>
        <w:t>8</w:t>
      </w:r>
      <w:r>
        <w:rPr>
          <w:rFonts w:hint="eastAsia" w:ascii="宋体" w:hAnsi="宋体"/>
          <w:color w:val="auto"/>
          <w:sz w:val="24"/>
          <w:highlight w:val="none"/>
        </w:rPr>
        <w:t>时</w:t>
      </w:r>
      <w:r>
        <w:rPr>
          <w:rFonts w:hint="eastAsia" w:ascii="宋体" w:hAnsi="宋体"/>
          <w:color w:val="auto"/>
          <w:sz w:val="24"/>
          <w:highlight w:val="none"/>
          <w:lang w:val="en-US" w:eastAsia="zh-CN"/>
        </w:rPr>
        <w:t>30</w:t>
      </w:r>
      <w:r>
        <w:rPr>
          <w:rFonts w:hint="eastAsia" w:ascii="宋体" w:hAnsi="宋体"/>
          <w:color w:val="auto"/>
          <w:sz w:val="24"/>
          <w:highlight w:val="none"/>
        </w:rPr>
        <w:t>分至202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u w:val="none"/>
          <w:lang w:val="en-US" w:eastAsia="zh-CN"/>
        </w:rPr>
        <w:t>月8日</w:t>
      </w:r>
      <w:r>
        <w:rPr>
          <w:rFonts w:hint="eastAsia" w:ascii="宋体" w:hAnsi="宋体"/>
          <w:color w:val="auto"/>
          <w:sz w:val="24"/>
          <w:highlight w:val="none"/>
          <w:lang w:val="en-US" w:eastAsia="zh-CN"/>
        </w:rPr>
        <w:t>9</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w:t>
      </w:r>
      <w:r>
        <w:rPr>
          <w:rFonts w:hint="eastAsia" w:ascii="宋体" w:hAnsi="宋体" w:cs="仿宋_GB2312"/>
          <w:color w:val="auto"/>
          <w:kern w:val="0"/>
          <w:sz w:val="24"/>
          <w:highlight w:val="none"/>
        </w:rPr>
        <w:t>逾期送达或未送达指定地点的</w:t>
      </w:r>
      <w:r>
        <w:rPr>
          <w:rFonts w:hint="eastAsia" w:ascii="宋体" w:hAnsi="宋体" w:cs="仿宋_GB2312"/>
          <w:color w:val="auto"/>
          <w:kern w:val="0"/>
          <w:sz w:val="24"/>
          <w:highlight w:val="none"/>
          <w:lang w:eastAsia="zh-CN"/>
        </w:rPr>
        <w:t>竞投</w:t>
      </w:r>
      <w:r>
        <w:rPr>
          <w:rFonts w:hint="eastAsia" w:ascii="宋体" w:hAnsi="宋体" w:cs="仿宋_GB2312"/>
          <w:color w:val="auto"/>
          <w:kern w:val="0"/>
          <w:sz w:val="24"/>
          <w:highlight w:val="none"/>
        </w:rPr>
        <w:t>文件，招标人将不予受理</w:t>
      </w:r>
      <w:r>
        <w:rPr>
          <w:rFonts w:hint="eastAsia" w:ascii="宋体" w:hAnsi="宋体"/>
          <w:color w:val="auto"/>
          <w:sz w:val="24"/>
          <w:highlight w:val="none"/>
        </w:rPr>
        <w:t>）。</w:t>
      </w:r>
    </w:p>
    <w:p>
      <w:pPr>
        <w:numPr>
          <w:ilvl w:val="0"/>
          <w:numId w:val="4"/>
        </w:numPr>
        <w:autoSpaceDE w:val="0"/>
        <w:autoSpaceDN w:val="0"/>
        <w:adjustRightInd w:val="0"/>
        <w:snapToGrid w:val="0"/>
        <w:spacing w:line="360" w:lineRule="auto"/>
        <w:ind w:left="0" w:leftChars="0" w:firstLine="0" w:firstLineChars="0"/>
        <w:rPr>
          <w:rFonts w:ascii="宋体" w:hAnsi="宋体" w:cs="宋体"/>
          <w:b/>
          <w:bCs/>
          <w:color w:val="auto"/>
          <w:sz w:val="24"/>
          <w:highlight w:val="none"/>
        </w:rPr>
      </w:pPr>
      <w:r>
        <w:rPr>
          <w:rFonts w:hint="eastAsia" w:ascii="宋体" w:hAnsi="宋体" w:cs="宋体"/>
          <w:b/>
          <w:bCs/>
          <w:color w:val="auto"/>
          <w:sz w:val="24"/>
          <w:highlight w:val="none"/>
        </w:rPr>
        <w:t>公告期限</w:t>
      </w:r>
    </w:p>
    <w:p>
      <w:pPr>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pPr>
        <w:numPr>
          <w:ilvl w:val="0"/>
          <w:numId w:val="4"/>
        </w:numPr>
        <w:autoSpaceDE w:val="0"/>
        <w:autoSpaceDN w:val="0"/>
        <w:adjustRightInd w:val="0"/>
        <w:snapToGrid w:val="0"/>
        <w:spacing w:line="360" w:lineRule="auto"/>
        <w:ind w:left="0" w:leftChars="0" w:firstLine="0" w:firstLineChars="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eastAsia="zh-CN"/>
        </w:rPr>
        <w:t>竞投方式：采用一次性报价的暗标方式，价高者得的原则确定中标人，</w:t>
      </w:r>
      <w:r>
        <w:rPr>
          <w:rFonts w:hint="eastAsia" w:ascii="宋体" w:hAnsi="宋体" w:eastAsia="宋体" w:cs="宋体"/>
          <w:b/>
          <w:bCs/>
          <w:color w:val="auto"/>
          <w:kern w:val="2"/>
          <w:sz w:val="24"/>
          <w:szCs w:val="24"/>
          <w:highlight w:val="none"/>
          <w:lang w:val="en-US" w:eastAsia="zh-CN"/>
        </w:rPr>
        <w:t>当有效投标人不足三家时，重新组织</w:t>
      </w:r>
      <w:r>
        <w:rPr>
          <w:rFonts w:hint="eastAsia" w:ascii="宋体" w:hAnsi="宋体" w:cs="宋体"/>
          <w:b/>
          <w:bCs/>
          <w:color w:val="auto"/>
          <w:kern w:val="2"/>
          <w:sz w:val="24"/>
          <w:szCs w:val="24"/>
          <w:highlight w:val="none"/>
          <w:lang w:val="en-US" w:eastAsia="zh-CN"/>
        </w:rPr>
        <w:t>竞投</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所报价格为</w:t>
      </w:r>
      <w:r>
        <w:rPr>
          <w:rFonts w:hint="eastAsia" w:ascii="宋体" w:hAnsi="宋体" w:cs="宋体"/>
          <w:b/>
          <w:bCs/>
          <w:color w:val="auto"/>
          <w:sz w:val="24"/>
          <w:highlight w:val="none"/>
          <w:lang w:eastAsia="zh-CN"/>
        </w:rPr>
        <w:t>向招标人支付管理费用</w:t>
      </w:r>
      <w:r>
        <w:rPr>
          <w:rFonts w:hint="eastAsia" w:ascii="宋体" w:hAnsi="宋体" w:cs="宋体"/>
          <w:b/>
          <w:bCs/>
          <w:color w:val="auto"/>
          <w:sz w:val="24"/>
          <w:highlight w:val="none"/>
          <w:lang w:val="en-US" w:eastAsia="zh-CN"/>
        </w:rPr>
        <w:t>。</w:t>
      </w:r>
    </w:p>
    <w:p>
      <w:pPr>
        <w:numPr>
          <w:ilvl w:val="0"/>
          <w:numId w:val="4"/>
        </w:numPr>
        <w:autoSpaceDE w:val="0"/>
        <w:autoSpaceDN w:val="0"/>
        <w:adjustRightInd w:val="0"/>
        <w:snapToGrid w:val="0"/>
        <w:spacing w:line="360" w:lineRule="auto"/>
        <w:ind w:left="0" w:leftChars="0" w:firstLine="0" w:firstLineChars="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对本次招标提出询问，请按以下方式联系</w:t>
      </w:r>
    </w:p>
    <w:p>
      <w:pPr>
        <w:numPr>
          <w:ilvl w:val="0"/>
          <w:numId w:val="9"/>
        </w:numPr>
        <w:autoSpaceDN w:val="0"/>
        <w:adjustRightInd/>
        <w:snapToGrid/>
        <w:spacing w:line="360" w:lineRule="auto"/>
        <w:ind w:left="425" w:hanging="5"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信息</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名称：</w:t>
      </w:r>
      <w:r>
        <w:rPr>
          <w:rFonts w:hint="eastAsia" w:ascii="宋体" w:hAnsi="宋体"/>
          <w:color w:val="auto"/>
          <w:sz w:val="24"/>
          <w:szCs w:val="24"/>
          <w:highlight w:val="none"/>
          <w:lang w:eastAsia="zh-CN"/>
        </w:rPr>
        <w:t>佛山市禅城区南庄镇吉利村竹甫经济合作社</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地址：佛山市禅城区南庄镇</w:t>
      </w:r>
      <w:r>
        <w:rPr>
          <w:rFonts w:hint="eastAsia" w:ascii="宋体" w:hAnsi="宋体"/>
          <w:color w:val="auto"/>
          <w:sz w:val="24"/>
          <w:szCs w:val="24"/>
          <w:highlight w:val="none"/>
          <w:lang w:val="en-US" w:eastAsia="zh-CN"/>
        </w:rPr>
        <w:t>吉利村</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w:t>
      </w:r>
      <w:r>
        <w:rPr>
          <w:rFonts w:hint="eastAsia" w:ascii="宋体" w:hAnsi="宋体"/>
          <w:color w:val="auto"/>
          <w:sz w:val="24"/>
          <w:szCs w:val="24"/>
          <w:highlight w:val="none"/>
          <w:lang w:eastAsia="zh-CN"/>
        </w:rPr>
        <w:t>人</w:t>
      </w:r>
      <w:r>
        <w:rPr>
          <w:rFonts w:hint="eastAsia" w:ascii="宋体" w:hAnsi="宋体"/>
          <w:color w:val="auto"/>
          <w:sz w:val="24"/>
          <w:szCs w:val="24"/>
          <w:highlight w:val="none"/>
        </w:rPr>
        <w:t>：</w:t>
      </w:r>
      <w:r>
        <w:rPr>
          <w:rFonts w:hint="eastAsia"/>
          <w:color w:val="auto"/>
          <w:highlight w:val="none"/>
        </w:rPr>
        <w:t>关先生</w:t>
      </w:r>
    </w:p>
    <w:p>
      <w:pPr>
        <w:spacing w:line="360" w:lineRule="auto"/>
        <w:ind w:firstLine="480" w:firstLineChars="200"/>
        <w:outlineLvl w:val="9"/>
        <w:rPr>
          <w:rFonts w:hint="default" w:ascii="宋体" w:hAnsi="宋体" w:eastAsia="宋体"/>
          <w:color w:val="auto"/>
          <w:sz w:val="24"/>
          <w:szCs w:val="24"/>
          <w:highlight w:val="none"/>
          <w:lang w:val="en-US" w:eastAsia="zh-CN"/>
        </w:rPr>
      </w:pPr>
      <w:bookmarkStart w:id="11" w:name="_Toc24077"/>
      <w:r>
        <w:rPr>
          <w:rFonts w:hint="eastAsia" w:ascii="宋体" w:hAnsi="宋体"/>
          <w:color w:val="auto"/>
          <w:sz w:val="24"/>
          <w:szCs w:val="24"/>
          <w:highlight w:val="none"/>
        </w:rPr>
        <w:t>联系方式：</w:t>
      </w:r>
      <w:bookmarkEnd w:id="11"/>
      <w:r>
        <w:rPr>
          <w:rFonts w:hint="eastAsia" w:ascii="宋体" w:hAnsi="宋体"/>
          <w:color w:val="auto"/>
          <w:sz w:val="24"/>
          <w:szCs w:val="24"/>
          <w:highlight w:val="none"/>
          <w:lang w:val="en-US" w:eastAsia="zh-CN"/>
        </w:rPr>
        <w:t>0757-85398026</w:t>
      </w:r>
    </w:p>
    <w:p>
      <w:pPr>
        <w:numPr>
          <w:ilvl w:val="0"/>
          <w:numId w:val="9"/>
        </w:numPr>
        <w:autoSpaceDN w:val="0"/>
        <w:adjustRightInd/>
        <w:snapToGrid/>
        <w:spacing w:line="360" w:lineRule="auto"/>
        <w:ind w:left="425" w:hanging="5" w:firstLineChars="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招标代理机构</w:t>
      </w:r>
      <w:r>
        <w:rPr>
          <w:rFonts w:hint="eastAsia" w:ascii="宋体" w:hAnsi="宋体"/>
          <w:color w:val="auto"/>
          <w:sz w:val="24"/>
          <w:szCs w:val="24"/>
          <w:highlight w:val="none"/>
        </w:rPr>
        <w:t>信息</w:t>
      </w:r>
    </w:p>
    <w:p>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名称：</w:t>
      </w:r>
      <w:r>
        <w:rPr>
          <w:rFonts w:hint="eastAsia" w:ascii="宋体" w:hAnsi="宋体"/>
          <w:color w:val="auto"/>
          <w:sz w:val="24"/>
          <w:szCs w:val="24"/>
          <w:highlight w:val="none"/>
          <w:lang w:eastAsia="zh-CN"/>
        </w:rPr>
        <w:t>广东中采招标有限公司</w:t>
      </w:r>
    </w:p>
    <w:p>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地址：</w:t>
      </w:r>
      <w:r>
        <w:rPr>
          <w:rFonts w:hint="eastAsia" w:ascii="宋体" w:hAnsi="宋体"/>
          <w:color w:val="auto"/>
          <w:sz w:val="24"/>
          <w:szCs w:val="24"/>
          <w:highlight w:val="none"/>
          <w:lang w:eastAsia="zh-CN"/>
        </w:rPr>
        <w:t>佛山市禅城区文华北路223号之一栋5层525、526、527单元</w:t>
      </w:r>
    </w:p>
    <w:p>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联系方式：</w:t>
      </w:r>
      <w:r>
        <w:rPr>
          <w:rFonts w:hint="eastAsia" w:ascii="宋体" w:hAnsi="宋体"/>
          <w:color w:val="auto"/>
          <w:sz w:val="24"/>
          <w:szCs w:val="24"/>
          <w:highlight w:val="none"/>
          <w:lang w:val="en-US" w:eastAsia="zh-CN"/>
        </w:rPr>
        <w:t>0757-81993027</w:t>
      </w:r>
    </w:p>
    <w:p>
      <w:pPr>
        <w:numPr>
          <w:ilvl w:val="0"/>
          <w:numId w:val="9"/>
        </w:numPr>
        <w:autoSpaceDN w:val="0"/>
        <w:adjustRightInd/>
        <w:snapToGrid/>
        <w:spacing w:line="360" w:lineRule="auto"/>
        <w:ind w:left="425" w:hanging="5" w:firstLineChars="0"/>
        <w:jc w:val="left"/>
        <w:rPr>
          <w:rFonts w:hint="eastAsia" w:ascii="宋体" w:hAnsi="宋体"/>
          <w:color w:val="auto"/>
          <w:sz w:val="24"/>
          <w:szCs w:val="24"/>
          <w:highlight w:val="none"/>
        </w:rPr>
      </w:pPr>
      <w:r>
        <w:rPr>
          <w:rFonts w:hint="eastAsia" w:ascii="宋体" w:hAnsi="宋体"/>
          <w:color w:val="auto"/>
          <w:sz w:val="24"/>
          <w:szCs w:val="24"/>
          <w:highlight w:val="none"/>
        </w:rPr>
        <w:t>项目联系方式</w:t>
      </w:r>
    </w:p>
    <w:p>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项目联系人：</w:t>
      </w:r>
      <w:r>
        <w:rPr>
          <w:rFonts w:hint="eastAsia" w:ascii="宋体" w:hAnsi="宋体"/>
          <w:color w:val="auto"/>
          <w:sz w:val="24"/>
          <w:szCs w:val="24"/>
          <w:highlight w:val="none"/>
          <w:lang w:val="en-US" w:eastAsia="zh-CN"/>
        </w:rPr>
        <w:t>夏</w:t>
      </w:r>
      <w:r>
        <w:rPr>
          <w:rFonts w:hint="eastAsia" w:ascii="宋体" w:hAnsi="宋体"/>
          <w:color w:val="auto"/>
          <w:sz w:val="24"/>
          <w:szCs w:val="24"/>
          <w:highlight w:val="none"/>
        </w:rPr>
        <w:t>先生</w:t>
      </w:r>
    </w:p>
    <w:p>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联系方式：</w:t>
      </w:r>
      <w:r>
        <w:rPr>
          <w:rFonts w:hint="eastAsia" w:ascii="宋体" w:hAnsi="宋体"/>
          <w:color w:val="auto"/>
          <w:sz w:val="24"/>
          <w:szCs w:val="24"/>
          <w:highlight w:val="none"/>
          <w:lang w:val="en-US" w:eastAsia="zh-CN"/>
        </w:rPr>
        <w:t>0757-81993027</w:t>
      </w:r>
    </w:p>
    <w:p>
      <w:pPr>
        <w:spacing w:line="360" w:lineRule="auto"/>
        <w:ind w:firstLine="480" w:firstLineChars="200"/>
        <w:jc w:val="left"/>
        <w:rPr>
          <w:rFonts w:hint="eastAsia" w:ascii="宋体" w:eastAsia="宋体"/>
          <w:color w:val="auto"/>
          <w:sz w:val="24"/>
          <w:highlight w:val="none"/>
          <w:lang w:eastAsia="zh-CN"/>
        </w:rPr>
      </w:pPr>
    </w:p>
    <w:p>
      <w:pPr>
        <w:spacing w:after="72" w:afterLines="30" w:line="360" w:lineRule="auto"/>
        <w:ind w:firstLine="540" w:firstLineChars="225"/>
        <w:jc w:val="right"/>
        <w:rPr>
          <w:rFonts w:hint="eastAsia" w:ascii="宋体" w:eastAsia="宋体"/>
          <w:color w:val="auto"/>
          <w:sz w:val="24"/>
          <w:highlight w:val="none"/>
          <w:lang w:eastAsia="zh-CN"/>
        </w:rPr>
      </w:pPr>
      <w:r>
        <w:rPr>
          <w:rFonts w:hint="eastAsia" w:ascii="宋体" w:hAnsi="宋体"/>
          <w:color w:val="auto"/>
          <w:sz w:val="24"/>
          <w:highlight w:val="none"/>
          <w:lang w:eastAsia="zh-CN"/>
        </w:rPr>
        <w:t>广东中采招标有限公司</w:t>
      </w:r>
    </w:p>
    <w:p>
      <w:pPr>
        <w:spacing w:after="72" w:afterLines="30" w:line="360" w:lineRule="auto"/>
        <w:ind w:firstLine="540" w:firstLineChars="225"/>
        <w:jc w:val="right"/>
        <w:rPr>
          <w:rFonts w:hint="eastAsia" w:ascii="宋体" w:hAnsi="宋体"/>
          <w:color w:val="auto"/>
          <w:sz w:val="24"/>
          <w:highlight w:val="none"/>
          <w:u w:val="none"/>
        </w:rPr>
      </w:pP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1</w:t>
      </w:r>
      <w:r>
        <w:rPr>
          <w:rFonts w:hint="eastAsia" w:ascii="宋体" w:hAnsi="宋体"/>
          <w:color w:val="auto"/>
          <w:sz w:val="24"/>
          <w:highlight w:val="none"/>
          <w:u w:val="none"/>
        </w:rPr>
        <w:t>月</w:t>
      </w:r>
      <w:r>
        <w:rPr>
          <w:rFonts w:hint="eastAsia" w:ascii="宋体" w:hAnsi="宋体"/>
          <w:color w:val="auto"/>
          <w:sz w:val="24"/>
          <w:highlight w:val="none"/>
          <w:u w:val="none"/>
          <w:lang w:val="en-US" w:eastAsia="zh-CN"/>
        </w:rPr>
        <w:t>31</w:t>
      </w:r>
      <w:r>
        <w:rPr>
          <w:rFonts w:hint="eastAsia" w:ascii="宋体" w:hAnsi="宋体"/>
          <w:color w:val="auto"/>
          <w:sz w:val="24"/>
          <w:highlight w:val="none"/>
          <w:u w:val="none"/>
        </w:rPr>
        <w:t>日</w:t>
      </w:r>
      <w:bookmarkStart w:id="12" w:name="_Toc334432587"/>
    </w:p>
    <w:p>
      <w:pPr>
        <w:rPr>
          <w:rFonts w:hint="eastAsia" w:ascii="宋体" w:hAnsi="宋体"/>
          <w:color w:val="auto"/>
          <w:sz w:val="24"/>
          <w:highlight w:val="none"/>
          <w:u w:val="none"/>
        </w:rPr>
      </w:pPr>
      <w:r>
        <w:rPr>
          <w:rFonts w:hint="eastAsia" w:ascii="宋体" w:hAnsi="宋体"/>
          <w:color w:val="auto"/>
          <w:sz w:val="24"/>
          <w:highlight w:val="none"/>
          <w:u w:val="none"/>
        </w:rPr>
        <w:br w:type="page"/>
      </w:r>
    </w:p>
    <w:p>
      <w:pPr>
        <w:pStyle w:val="2"/>
        <w:rPr>
          <w:color w:val="auto"/>
          <w:highlight w:val="none"/>
        </w:rPr>
        <w:sectPr>
          <w:footerReference r:id="rId5" w:type="default"/>
          <w:pgSz w:w="11850" w:h="16783"/>
          <w:pgMar w:top="1134" w:right="1134" w:bottom="1134" w:left="1417" w:header="573" w:footer="584" w:gutter="0"/>
          <w:pgBorders>
            <w:top w:val="none" w:sz="0" w:space="0"/>
            <w:left w:val="none" w:sz="0" w:space="0"/>
            <w:bottom w:val="none" w:sz="0" w:space="0"/>
            <w:right w:val="none" w:sz="0" w:space="0"/>
          </w:pgBorders>
          <w:pgNumType w:fmt="decimal"/>
          <w:cols w:space="0" w:num="1"/>
          <w:rtlGutter w:val="0"/>
          <w:docGrid w:linePitch="0" w:charSpace="0"/>
        </w:sectPr>
      </w:pPr>
    </w:p>
    <w:p>
      <w:pPr>
        <w:spacing w:after="120" w:afterLines="50" w:line="360" w:lineRule="auto"/>
        <w:jc w:val="center"/>
        <w:outlineLvl w:val="0"/>
        <w:rPr>
          <w:rFonts w:hint="eastAsia" w:ascii="宋体" w:hAnsi="宋体"/>
          <w:b/>
          <w:color w:val="auto"/>
          <w:sz w:val="36"/>
          <w:szCs w:val="36"/>
          <w:highlight w:val="none"/>
        </w:rPr>
      </w:pPr>
      <w:bookmarkStart w:id="13" w:name="_Toc19575"/>
      <w:bookmarkStart w:id="14" w:name="_Toc21591"/>
      <w:bookmarkStart w:id="15" w:name="_Toc24772"/>
      <w:bookmarkStart w:id="16" w:name="_Toc7214"/>
      <w:r>
        <w:rPr>
          <w:rFonts w:hint="eastAsia" w:ascii="宋体" w:hAnsi="宋体"/>
          <w:b/>
          <w:color w:val="auto"/>
          <w:sz w:val="36"/>
          <w:szCs w:val="36"/>
          <w:highlight w:val="none"/>
          <w:lang w:val="en-US" w:eastAsia="zh-CN"/>
        </w:rPr>
        <w:t>第二部分</w:t>
      </w:r>
      <w:r>
        <w:rPr>
          <w:rFonts w:hint="eastAsia" w:ascii="宋体" w:hAnsi="宋体"/>
          <w:b/>
          <w:color w:val="auto"/>
          <w:sz w:val="36"/>
          <w:szCs w:val="36"/>
          <w:highlight w:val="none"/>
        </w:rPr>
        <w:t>项目内容</w:t>
      </w:r>
      <w:bookmarkEnd w:id="12"/>
      <w:bookmarkEnd w:id="13"/>
      <w:bookmarkEnd w:id="14"/>
      <w:bookmarkEnd w:id="15"/>
      <w:bookmarkEnd w:id="16"/>
      <w:bookmarkStart w:id="17" w:name="_Toc13772"/>
      <w:bookmarkEnd w:id="17"/>
      <w:bookmarkStart w:id="18" w:name="_Toc11502"/>
      <w:bookmarkStart w:id="19" w:name="_Toc31874"/>
      <w:bookmarkStart w:id="20" w:name="_Toc9845"/>
    </w:p>
    <w:p>
      <w:pPr>
        <w:pStyle w:val="6"/>
        <w:rPr>
          <w:color w:val="auto"/>
          <w:highlight w:val="none"/>
        </w:rPr>
      </w:pPr>
    </w:p>
    <w:p>
      <w:pPr>
        <w:widowControl/>
        <w:numPr>
          <w:ilvl w:val="0"/>
          <w:numId w:val="0"/>
        </w:numPr>
        <w:spacing w:line="360" w:lineRule="auto"/>
        <w:jc w:val="center"/>
        <w:outlineLvl w:val="0"/>
        <w:rPr>
          <w:b/>
          <w:color w:val="auto"/>
          <w:sz w:val="32"/>
          <w:highlight w:val="none"/>
        </w:rPr>
      </w:pPr>
      <w:bookmarkStart w:id="21" w:name="_Toc5219"/>
      <w:r>
        <w:rPr>
          <w:rFonts w:hint="eastAsia"/>
          <w:b/>
          <w:color w:val="auto"/>
          <w:sz w:val="32"/>
          <w:highlight w:val="none"/>
        </w:rPr>
        <w:t>一、</w:t>
      </w:r>
      <w:r>
        <w:rPr>
          <w:rFonts w:hint="eastAsia"/>
          <w:b/>
          <w:color w:val="auto"/>
          <w:sz w:val="32"/>
          <w:highlight w:val="none"/>
          <w:lang w:eastAsia="zh-CN"/>
        </w:rPr>
        <w:t>投标</w:t>
      </w:r>
      <w:r>
        <w:rPr>
          <w:rFonts w:hint="eastAsia"/>
          <w:b/>
          <w:color w:val="auto"/>
          <w:sz w:val="32"/>
          <w:highlight w:val="none"/>
        </w:rPr>
        <w:t>人资格要求</w:t>
      </w:r>
      <w:bookmarkEnd w:id="18"/>
      <w:bookmarkEnd w:id="19"/>
      <w:bookmarkEnd w:id="20"/>
      <w:bookmarkEnd w:id="21"/>
    </w:p>
    <w:p>
      <w:pPr>
        <w:numPr>
          <w:ilvl w:val="0"/>
          <w:numId w:val="10"/>
        </w:numPr>
        <w:autoSpaceDN w:val="0"/>
        <w:spacing w:line="360" w:lineRule="auto"/>
        <w:ind w:left="425" w:leftChars="0" w:hanging="5" w:firstLineChars="0"/>
        <w:jc w:val="left"/>
        <w:rPr>
          <w:rFonts w:hint="eastAsia" w:ascii="宋体" w:hAnsi="宋体"/>
          <w:color w:val="auto"/>
          <w:sz w:val="24"/>
          <w:highlight w:val="none"/>
          <w:lang w:eastAsia="zh-CN"/>
        </w:rPr>
      </w:pPr>
      <w:bookmarkStart w:id="22" w:name="_Toc18342"/>
      <w:bookmarkStart w:id="23" w:name="_Toc22464"/>
      <w:bookmarkStart w:id="24" w:name="_Toc9938"/>
      <w:r>
        <w:rPr>
          <w:rFonts w:hint="eastAsia" w:ascii="宋体" w:hAnsi="宋体"/>
          <w:color w:val="auto"/>
          <w:sz w:val="24"/>
          <w:highlight w:val="none"/>
          <w:lang w:val="en-US" w:eastAsia="zh-CN"/>
        </w:rPr>
        <w:t>须具有独立法人资格，营业执照处于有效期内；</w:t>
      </w:r>
    </w:p>
    <w:p>
      <w:pPr>
        <w:numPr>
          <w:ilvl w:val="0"/>
          <w:numId w:val="10"/>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本项目不接受联合体竞投。</w:t>
      </w:r>
    </w:p>
    <w:p>
      <w:pPr>
        <w:numPr>
          <w:ilvl w:val="0"/>
          <w:numId w:val="10"/>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法律、行政法规规定的其他条件。</w:t>
      </w:r>
    </w:p>
    <w:p>
      <w:pPr>
        <w:numPr>
          <w:ilvl w:val="0"/>
          <w:numId w:val="11"/>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单位负责人为同一人或者存在直接控股、管理关系的不同投标人，不得同时参加本项目竞投；</w:t>
      </w:r>
    </w:p>
    <w:p>
      <w:pPr>
        <w:numPr>
          <w:ilvl w:val="0"/>
          <w:numId w:val="11"/>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spacing w:line="460" w:lineRule="exact"/>
        <w:jc w:val="both"/>
        <w:outlineLvl w:val="1"/>
        <w:rPr>
          <w:rFonts w:hint="eastAsia"/>
          <w:b/>
          <w:color w:val="auto"/>
          <w:sz w:val="32"/>
          <w:highlight w:val="none"/>
        </w:rPr>
      </w:pPr>
    </w:p>
    <w:p>
      <w:pPr>
        <w:spacing w:line="460" w:lineRule="exact"/>
        <w:jc w:val="center"/>
        <w:outlineLvl w:val="1"/>
        <w:rPr>
          <w:rFonts w:hint="eastAsia"/>
          <w:b/>
          <w:color w:val="auto"/>
          <w:sz w:val="32"/>
          <w:highlight w:val="none"/>
        </w:rPr>
      </w:pPr>
    </w:p>
    <w:p>
      <w:pPr>
        <w:pStyle w:val="6"/>
        <w:rPr>
          <w:rFonts w:hint="eastAsia"/>
          <w:b/>
          <w:color w:val="auto"/>
          <w:sz w:val="32"/>
          <w:highlight w:val="none"/>
        </w:rPr>
      </w:pPr>
    </w:p>
    <w:p>
      <w:pPr>
        <w:rPr>
          <w:rFonts w:hint="eastAsia"/>
          <w:b/>
          <w:color w:val="auto"/>
          <w:sz w:val="32"/>
          <w:highlight w:val="none"/>
        </w:rPr>
      </w:pPr>
    </w:p>
    <w:p>
      <w:pPr>
        <w:pStyle w:val="6"/>
        <w:rPr>
          <w:rFonts w:hint="eastAsia"/>
          <w:b/>
          <w:color w:val="auto"/>
          <w:sz w:val="32"/>
          <w:highlight w:val="none"/>
        </w:rPr>
      </w:pPr>
    </w:p>
    <w:p>
      <w:pPr>
        <w:rPr>
          <w:rFonts w:hint="eastAsia"/>
          <w:b/>
          <w:color w:val="auto"/>
          <w:sz w:val="32"/>
          <w:highlight w:val="none"/>
        </w:rPr>
        <w:sectPr>
          <w:pgSz w:w="11850" w:h="16783"/>
          <w:pgMar w:top="1134" w:right="1134" w:bottom="1134" w:left="1417" w:header="0" w:footer="0" w:gutter="0"/>
          <w:pgBorders>
            <w:top w:val="none" w:sz="0" w:space="0"/>
            <w:left w:val="none" w:sz="0" w:space="0"/>
            <w:bottom w:val="none" w:sz="0" w:space="0"/>
            <w:right w:val="none" w:sz="0" w:space="0"/>
          </w:pgBorders>
          <w:pgNumType w:fmt="decimal"/>
          <w:cols w:space="0" w:num="1"/>
          <w:rtlGutter w:val="0"/>
          <w:docGrid w:linePitch="360" w:charSpace="0"/>
        </w:sectPr>
      </w:pPr>
    </w:p>
    <w:p>
      <w:pPr>
        <w:spacing w:line="460" w:lineRule="exact"/>
        <w:jc w:val="center"/>
        <w:outlineLvl w:val="1"/>
        <w:rPr>
          <w:b/>
          <w:color w:val="auto"/>
          <w:sz w:val="32"/>
          <w:highlight w:val="none"/>
        </w:rPr>
      </w:pPr>
      <w:bookmarkStart w:id="25" w:name="_Toc5091"/>
      <w:r>
        <w:rPr>
          <w:rFonts w:hint="eastAsia"/>
          <w:b/>
          <w:color w:val="auto"/>
          <w:sz w:val="32"/>
          <w:highlight w:val="none"/>
          <w:lang w:eastAsia="zh-CN"/>
        </w:rPr>
        <w:t>二</w:t>
      </w:r>
      <w:r>
        <w:rPr>
          <w:rFonts w:hint="eastAsia"/>
          <w:b/>
          <w:color w:val="auto"/>
          <w:sz w:val="32"/>
          <w:highlight w:val="none"/>
        </w:rPr>
        <w:t>、项目技术要求</w:t>
      </w:r>
      <w:bookmarkEnd w:id="22"/>
      <w:bookmarkEnd w:id="23"/>
      <w:bookmarkEnd w:id="24"/>
      <w:bookmarkEnd w:id="25"/>
    </w:p>
    <w:p>
      <w:pPr>
        <w:pStyle w:val="30"/>
        <w:numPr>
          <w:ilvl w:val="0"/>
          <w:numId w:val="12"/>
        </w:numPr>
        <w:spacing w:before="240" w:beforeLines="100" w:after="120" w:afterLines="50" w:line="360" w:lineRule="auto"/>
        <w:ind w:left="624" w:leftChars="0" w:hanging="624" w:firstLineChars="0"/>
        <w:rPr>
          <w:rFonts w:hint="eastAsia" w:ascii="宋体" w:hAnsi="宋体" w:eastAsia="宋体" w:cs="宋体"/>
          <w:b/>
          <w:color w:val="auto"/>
          <w:sz w:val="24"/>
          <w:highlight w:val="none"/>
        </w:rPr>
      </w:pPr>
      <w:bookmarkStart w:id="26" w:name="_Toc334432588"/>
      <w:bookmarkStart w:id="27" w:name="_Toc17678"/>
      <w:bookmarkStart w:id="28" w:name="_Toc32011"/>
      <w:bookmarkStart w:id="29" w:name="_Toc24252"/>
      <w:r>
        <w:rPr>
          <w:rFonts w:hint="eastAsia" w:ascii="宋体" w:hAnsi="宋体" w:eastAsia="宋体" w:cs="宋体"/>
          <w:b/>
          <w:color w:val="auto"/>
          <w:sz w:val="24"/>
          <w:highlight w:val="none"/>
        </w:rPr>
        <w:t>项目背景</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根据现行法律法规，招标人将</w:t>
      </w:r>
      <w:r>
        <w:rPr>
          <w:rFonts w:hint="eastAsia" w:ascii="宋体" w:hAnsi="宋体" w:eastAsia="宋体" w:cs="宋体"/>
          <w:color w:val="auto"/>
          <w:sz w:val="24"/>
          <w:szCs w:val="24"/>
          <w:highlight w:val="none"/>
          <w:lang w:eastAsia="zh-CN"/>
        </w:rPr>
        <w:t>位于</w:t>
      </w:r>
      <w:r>
        <w:rPr>
          <w:rFonts w:hint="eastAsia" w:ascii="宋体" w:hAnsi="宋体" w:cs="宋体"/>
          <w:color w:val="auto"/>
          <w:sz w:val="24"/>
          <w:szCs w:val="24"/>
          <w:highlight w:val="none"/>
          <w:lang w:val="en-US" w:eastAsia="zh-CN"/>
        </w:rPr>
        <w:t>吉利竹甫村车辆停放管理服务</w:t>
      </w:r>
      <w:r>
        <w:rPr>
          <w:rFonts w:hint="eastAsia" w:ascii="宋体" w:hAnsi="宋体" w:eastAsia="宋体" w:cs="宋体"/>
          <w:color w:val="auto"/>
          <w:sz w:val="24"/>
          <w:szCs w:val="24"/>
          <w:highlight w:val="none"/>
          <w:lang w:val="en-US" w:eastAsia="zh-CN"/>
        </w:rPr>
        <w:t>工作委托给中标人经营管理，合同期限为</w:t>
      </w:r>
      <w:r>
        <w:rPr>
          <w:rFonts w:hint="eastAsia" w:ascii="宋体" w:hAnsi="宋体" w:cs="宋体"/>
          <w:color w:val="auto"/>
          <w:sz w:val="24"/>
          <w:szCs w:val="24"/>
          <w:highlight w:val="none"/>
          <w:lang w:val="en-US" w:eastAsia="zh-CN"/>
        </w:rPr>
        <w:t>5年</w:t>
      </w:r>
      <w:r>
        <w:rPr>
          <w:rFonts w:hint="eastAsia" w:ascii="宋体" w:hAnsi="宋体" w:eastAsia="宋体" w:cs="宋体"/>
          <w:color w:val="auto"/>
          <w:sz w:val="24"/>
          <w:szCs w:val="24"/>
          <w:highlight w:val="none"/>
          <w:lang w:val="en-US" w:eastAsia="zh-CN"/>
        </w:rPr>
        <w:t>，中标人须按中标价向招标人支付费用。</w:t>
      </w:r>
    </w:p>
    <w:p>
      <w:pPr>
        <w:pStyle w:val="30"/>
        <w:numPr>
          <w:ilvl w:val="0"/>
          <w:numId w:val="12"/>
        </w:numPr>
        <w:spacing w:line="360" w:lineRule="auto"/>
        <w:ind w:left="417" w:leftChars="0" w:hanging="417" w:hangingChars="17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项目概况</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为解决</w:t>
      </w:r>
      <w:r>
        <w:rPr>
          <w:rFonts w:hint="eastAsia" w:ascii="宋体" w:hAnsi="宋体" w:cs="宋体"/>
          <w:color w:val="auto"/>
          <w:sz w:val="24"/>
          <w:szCs w:val="24"/>
          <w:highlight w:val="none"/>
          <w:lang w:eastAsia="zh-CN"/>
        </w:rPr>
        <w:t>吉利竹甫村</w:t>
      </w:r>
      <w:r>
        <w:rPr>
          <w:rFonts w:hint="eastAsia" w:ascii="宋体" w:hAnsi="宋体" w:eastAsia="宋体" w:cs="宋体"/>
          <w:color w:val="auto"/>
          <w:sz w:val="24"/>
          <w:szCs w:val="24"/>
          <w:highlight w:val="none"/>
        </w:rPr>
        <w:t>停车需求矛盾和车辆乱停乱放的问题，构建简约高效的停车治理体系，提升精细化停车管理水平，响应《佛山市人民政府办公室关于规范村（社区）停车管理的指导意见》文件精神，现</w:t>
      </w:r>
      <w:r>
        <w:rPr>
          <w:rFonts w:hint="eastAsia" w:ascii="宋体" w:hAnsi="宋体" w:eastAsia="宋体" w:cs="宋体"/>
          <w:color w:val="auto"/>
          <w:sz w:val="24"/>
          <w:szCs w:val="24"/>
          <w:highlight w:val="none"/>
          <w:lang w:eastAsia="zh-CN"/>
        </w:rPr>
        <w:t>吉利</w:t>
      </w:r>
      <w:r>
        <w:rPr>
          <w:rFonts w:hint="eastAsia" w:ascii="宋体" w:hAnsi="宋体" w:cs="宋体"/>
          <w:color w:val="auto"/>
          <w:sz w:val="24"/>
          <w:szCs w:val="24"/>
          <w:highlight w:val="none"/>
          <w:lang w:eastAsia="zh-CN"/>
        </w:rPr>
        <w:t>竹甫村</w:t>
      </w:r>
      <w:r>
        <w:rPr>
          <w:rFonts w:hint="eastAsia" w:ascii="宋体" w:hAnsi="宋体" w:eastAsia="宋体" w:cs="宋体"/>
          <w:color w:val="auto"/>
          <w:sz w:val="24"/>
          <w:szCs w:val="24"/>
          <w:highlight w:val="none"/>
        </w:rPr>
        <w:t>规划引入第三方停车管理公司进行投资建设及运营管理，拟定以下智能监控和停车场管理方案：</w:t>
      </w:r>
    </w:p>
    <w:p>
      <w:pPr>
        <w:pStyle w:val="30"/>
        <w:numPr>
          <w:ilvl w:val="0"/>
          <w:numId w:val="12"/>
        </w:numPr>
        <w:spacing w:line="360" w:lineRule="auto"/>
        <w:ind w:left="417" w:leftChars="0" w:hanging="417" w:hangingChars="17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项目内容</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eastAsia="zh-CN"/>
        </w:rPr>
        <w:t>范围</w:t>
      </w:r>
      <w:r>
        <w:rPr>
          <w:rFonts w:hint="eastAsia" w:ascii="宋体" w:hAnsi="宋体" w:eastAsia="宋体" w:cs="宋体"/>
          <w:b w:val="0"/>
          <w:bCs w:val="0"/>
          <w:color w:val="auto"/>
          <w:sz w:val="24"/>
          <w:szCs w:val="24"/>
          <w:highlight w:val="none"/>
          <w:lang w:eastAsia="zh-CN"/>
        </w:rPr>
        <w:t>区域：竹甫村闸口内的停车范围（已有划线车位约200个）</w:t>
      </w:r>
      <w:r>
        <w:rPr>
          <w:rFonts w:hint="eastAsia" w:ascii="宋体" w:hAnsi="宋体" w:cs="宋体"/>
          <w:b w:val="0"/>
          <w:bCs w:val="0"/>
          <w:color w:val="auto"/>
          <w:sz w:val="24"/>
          <w:szCs w:val="24"/>
          <w:highlight w:val="none"/>
          <w:lang w:eastAsia="zh-CN"/>
        </w:rPr>
        <w:t>。</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设施建设地点：</w:t>
      </w:r>
      <w:r>
        <w:rPr>
          <w:rFonts w:hint="eastAsia" w:ascii="宋体" w:hAnsi="宋体" w:eastAsia="宋体" w:cs="宋体"/>
          <w:color w:val="auto"/>
          <w:sz w:val="24"/>
          <w:szCs w:val="24"/>
          <w:highlight w:val="none"/>
          <w:lang w:val="en-US" w:eastAsia="zh-CN"/>
        </w:rPr>
        <w:t>在</w:t>
      </w:r>
      <w:r>
        <w:rPr>
          <w:rFonts w:hint="eastAsia" w:ascii="宋体" w:hAnsi="宋体" w:cs="宋体"/>
          <w:color w:val="auto"/>
          <w:sz w:val="24"/>
          <w:szCs w:val="24"/>
          <w:highlight w:val="none"/>
          <w:lang w:val="en-US" w:eastAsia="zh-CN"/>
        </w:rPr>
        <w:t>竹甫村口、竹甫庙旁、竹甫宝盛行旁、竹甫酒厂</w:t>
      </w:r>
      <w:r>
        <w:rPr>
          <w:rFonts w:hint="eastAsia" w:ascii="宋体" w:hAnsi="宋体" w:eastAsia="宋体" w:cs="宋体"/>
          <w:color w:val="auto"/>
          <w:sz w:val="24"/>
          <w:szCs w:val="24"/>
          <w:highlight w:val="none"/>
          <w:lang w:val="en-US" w:eastAsia="zh-CN"/>
        </w:rPr>
        <w:t>等</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个车辆进出通道点位。</w:t>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点位一：</w:t>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drawing>
          <wp:inline distT="0" distB="0" distL="114300" distR="114300">
            <wp:extent cx="3905885" cy="2929255"/>
            <wp:effectExtent l="0" t="0" r="18415" b="4445"/>
            <wp:docPr id="2" name="图片 2" descr="703f212ee5d7872d39a866ac9c6c3db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03f212ee5d7872d39a866ac9c6c3db2_"/>
                    <pic:cNvPicPr>
                      <a:picLocks noChangeAspect="1"/>
                    </pic:cNvPicPr>
                  </pic:nvPicPr>
                  <pic:blipFill>
                    <a:blip r:embed="rId9"/>
                    <a:stretch>
                      <a:fillRect/>
                    </a:stretch>
                  </pic:blipFill>
                  <pic:spPr>
                    <a:xfrm>
                      <a:off x="0" y="0"/>
                      <a:ext cx="3905885" cy="2929255"/>
                    </a:xfrm>
                    <a:prstGeom prst="rect">
                      <a:avLst/>
                    </a:prstGeom>
                  </pic:spPr>
                </pic:pic>
              </a:graphicData>
            </a:graphic>
          </wp:inline>
        </w:drawing>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点位二：</w:t>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drawing>
          <wp:inline distT="0" distB="0" distL="114300" distR="114300">
            <wp:extent cx="3785235" cy="2838450"/>
            <wp:effectExtent l="0" t="0" r="5715" b="0"/>
            <wp:docPr id="5" name="图片 5" descr="d880c392b202214a21c284c49ae15a1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880c392b202214a21c284c49ae15a1e_"/>
                    <pic:cNvPicPr>
                      <a:picLocks noChangeAspect="1"/>
                    </pic:cNvPicPr>
                  </pic:nvPicPr>
                  <pic:blipFill>
                    <a:blip r:embed="rId10"/>
                    <a:stretch>
                      <a:fillRect/>
                    </a:stretch>
                  </pic:blipFill>
                  <pic:spPr>
                    <a:xfrm>
                      <a:off x="0" y="0"/>
                      <a:ext cx="3785235" cy="2838450"/>
                    </a:xfrm>
                    <a:prstGeom prst="rect">
                      <a:avLst/>
                    </a:prstGeom>
                  </pic:spPr>
                </pic:pic>
              </a:graphicData>
            </a:graphic>
          </wp:inline>
        </w:drawing>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点位三：</w:t>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drawing>
          <wp:inline distT="0" distB="0" distL="114300" distR="114300">
            <wp:extent cx="3759835" cy="2820035"/>
            <wp:effectExtent l="0" t="0" r="12065" b="18415"/>
            <wp:docPr id="6" name="图片 6" descr="9881d18e312ea7d077952f8a231f8b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881d18e312ea7d077952f8a231f8b27_"/>
                    <pic:cNvPicPr>
                      <a:picLocks noChangeAspect="1"/>
                    </pic:cNvPicPr>
                  </pic:nvPicPr>
                  <pic:blipFill>
                    <a:blip r:embed="rId11"/>
                    <a:stretch>
                      <a:fillRect/>
                    </a:stretch>
                  </pic:blipFill>
                  <pic:spPr>
                    <a:xfrm>
                      <a:off x="0" y="0"/>
                      <a:ext cx="3759835" cy="2820035"/>
                    </a:xfrm>
                    <a:prstGeom prst="rect">
                      <a:avLst/>
                    </a:prstGeom>
                  </pic:spPr>
                </pic:pic>
              </a:graphicData>
            </a:graphic>
          </wp:inline>
        </w:drawing>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点位四：</w:t>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drawing>
          <wp:inline distT="0" distB="0" distL="114300" distR="114300">
            <wp:extent cx="3578225" cy="2683510"/>
            <wp:effectExtent l="0" t="0" r="3175" b="2540"/>
            <wp:docPr id="7" name="图片 7" descr="51cc62903fe163b6e351932adec3ee8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1cc62903fe163b6e351932adec3ee89_"/>
                    <pic:cNvPicPr>
                      <a:picLocks noChangeAspect="1"/>
                    </pic:cNvPicPr>
                  </pic:nvPicPr>
                  <pic:blipFill>
                    <a:blip r:embed="rId12"/>
                    <a:stretch>
                      <a:fillRect/>
                    </a:stretch>
                  </pic:blipFill>
                  <pic:spPr>
                    <a:xfrm>
                      <a:off x="0" y="0"/>
                      <a:ext cx="3578225" cy="2683510"/>
                    </a:xfrm>
                    <a:prstGeom prst="rect">
                      <a:avLst/>
                    </a:prstGeom>
                  </pic:spPr>
                </pic:pic>
              </a:graphicData>
            </a:graphic>
          </wp:inline>
        </w:drawing>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人员配置：需配备不少于3名人员在现场进行24小时管理。</w:t>
      </w:r>
    </w:p>
    <w:p>
      <w:pPr>
        <w:pStyle w:val="30"/>
        <w:numPr>
          <w:ilvl w:val="1"/>
          <w:numId w:val="12"/>
        </w:numPr>
        <w:spacing w:line="360" w:lineRule="auto"/>
        <w:ind w:left="415" w:leftChars="0" w:hanging="415" w:hangingChars="173"/>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设备和工程量清单</w:t>
      </w:r>
    </w:p>
    <w:tbl>
      <w:tblPr>
        <w:tblStyle w:val="19"/>
        <w:tblW w:w="9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1876"/>
        <w:gridCol w:w="639"/>
        <w:gridCol w:w="490"/>
        <w:gridCol w:w="2535"/>
        <w:gridCol w:w="3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92"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竹圃村停车场设备清单（8个车道）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92"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1、入口设备 （4个车道）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序号</w:t>
            </w:r>
          </w:p>
        </w:tc>
        <w:tc>
          <w:tcPr>
            <w:tcW w:w="191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名称</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数量</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单位</w:t>
            </w:r>
          </w:p>
        </w:tc>
        <w:tc>
          <w:tcPr>
            <w:tcW w:w="2560"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配置情况</w:t>
            </w:r>
          </w:p>
        </w:tc>
        <w:tc>
          <w:tcPr>
            <w:tcW w:w="3393" w:type="dxa"/>
            <w:tcBorders>
              <w:top w:val="single" w:color="000000" w:sz="8" w:space="0"/>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数字道闸</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直杆道闸，直流无刷，开闸时间1.5-6S可调，金色机身、含空开、含1个单路车检器，可配1.5—4米直杆（最快开闸速度随杆长变化）</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69215</wp:posOffset>
                  </wp:positionH>
                  <wp:positionV relativeFrom="paragraph">
                    <wp:posOffset>258445</wp:posOffset>
                  </wp:positionV>
                  <wp:extent cx="2085340" cy="1804035"/>
                  <wp:effectExtent l="0" t="0" r="10160" b="5715"/>
                  <wp:wrapNone/>
                  <wp:docPr id="45" name="图片_21"/>
                  <wp:cNvGraphicFramePr/>
                  <a:graphic xmlns:a="http://schemas.openxmlformats.org/drawingml/2006/main">
                    <a:graphicData uri="http://schemas.openxmlformats.org/drawingml/2006/picture">
                      <pic:pic xmlns:pic="http://schemas.openxmlformats.org/drawingml/2006/picture">
                        <pic:nvPicPr>
                          <pic:cNvPr id="45" name="图片_21"/>
                          <pic:cNvPicPr/>
                        </pic:nvPicPr>
                        <pic:blipFill>
                          <a:blip r:embed="rId13"/>
                          <a:stretch>
                            <a:fillRect/>
                          </a:stretch>
                        </pic:blipFill>
                        <pic:spPr>
                          <a:xfrm>
                            <a:off x="0" y="0"/>
                            <a:ext cx="2085340" cy="18040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地感处理器</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含底座</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PMS控制机</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LED显示屏</w:t>
            </w:r>
          </w:p>
        </w:tc>
        <w:tc>
          <w:tcPr>
            <w:tcW w:w="3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灰色</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一体化机箱</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地感触发/视频流触发</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CS高清手动变焦镜头</w:t>
            </w:r>
            <w:r>
              <w:rPr>
                <w:rFonts w:hint="eastAsia" w:ascii="微软雅黑" w:hAnsi="微软雅黑" w:eastAsia="微软雅黑" w:cs="微软雅黑"/>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2.7-13.5mm-F1.4</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06" w:type="dxa"/>
            <w:gridSpan w:val="4"/>
            <w:tcBorders>
              <w:top w:val="single" w:color="000000" w:sz="4" w:space="0"/>
              <w:left w:val="single" w:color="000000" w:sz="8" w:space="0"/>
              <w:bottom w:val="single" w:color="000000" w:sz="8"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入口设备 小计</w:t>
            </w:r>
          </w:p>
        </w:tc>
        <w:tc>
          <w:tcPr>
            <w:tcW w:w="5953" w:type="dxa"/>
            <w:gridSpan w:val="2"/>
            <w:tcBorders>
              <w:top w:val="single" w:color="000000" w:sz="4" w:space="0"/>
              <w:left w:val="single" w:color="000000" w:sz="4" w:space="0"/>
              <w:bottom w:val="single" w:color="000000" w:sz="8" w:space="0"/>
              <w:right w:val="single" w:color="000000" w:sz="4" w:space="0"/>
            </w:tcBorders>
            <w:shd w:val="clear" w:color="auto" w:fill="C0C0C0"/>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92"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2、出口设备  （4个车道）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序号</w:t>
            </w:r>
          </w:p>
        </w:tc>
        <w:tc>
          <w:tcPr>
            <w:tcW w:w="191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名称</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数量</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单位</w:t>
            </w:r>
          </w:p>
        </w:tc>
        <w:tc>
          <w:tcPr>
            <w:tcW w:w="2560"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配置情况</w:t>
            </w:r>
          </w:p>
        </w:tc>
        <w:tc>
          <w:tcPr>
            <w:tcW w:w="3393" w:type="dxa"/>
            <w:tcBorders>
              <w:top w:val="single" w:color="000000" w:sz="8" w:space="0"/>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数字道闸</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直杆道闸，直流无刷，开闸时间1.5-6S可调，金色机身、含空开、含1个单路车检器，可配1.5—4米直杆（最快开闸速度随杆长变化）</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263525</wp:posOffset>
                  </wp:positionH>
                  <wp:positionV relativeFrom="paragraph">
                    <wp:posOffset>135890</wp:posOffset>
                  </wp:positionV>
                  <wp:extent cx="1753870" cy="1992630"/>
                  <wp:effectExtent l="0" t="0" r="17780" b="6985"/>
                  <wp:wrapNone/>
                  <wp:docPr id="43" name="图片_2"/>
                  <wp:cNvGraphicFramePr/>
                  <a:graphic xmlns:a="http://schemas.openxmlformats.org/drawingml/2006/main">
                    <a:graphicData uri="http://schemas.openxmlformats.org/drawingml/2006/picture">
                      <pic:pic xmlns:pic="http://schemas.openxmlformats.org/drawingml/2006/picture">
                        <pic:nvPicPr>
                          <pic:cNvPr id="43" name="图片_2"/>
                          <pic:cNvPicPr/>
                        </pic:nvPicPr>
                        <pic:blipFill>
                          <a:blip r:embed="rId14"/>
                          <a:stretch>
                            <a:fillRect/>
                          </a:stretch>
                        </pic:blipFill>
                        <pic:spPr>
                          <a:xfrm>
                            <a:off x="0" y="0"/>
                            <a:ext cx="1753870" cy="19926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地感处理器</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含底座</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PMS控制机</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LED显示屏</w:t>
            </w:r>
          </w:p>
        </w:tc>
        <w:tc>
          <w:tcPr>
            <w:tcW w:w="3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灰色</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一体化机箱</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地感触发/视频流触发</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CS高清手动变焦镜头</w:t>
            </w:r>
            <w:r>
              <w:rPr>
                <w:rFonts w:hint="eastAsia" w:ascii="微软雅黑" w:hAnsi="微软雅黑" w:eastAsia="微软雅黑" w:cs="微软雅黑"/>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3.3-10.5mm-F1.4</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06" w:type="dxa"/>
            <w:gridSpan w:val="4"/>
            <w:tcBorders>
              <w:top w:val="single" w:color="000000" w:sz="4" w:space="0"/>
              <w:left w:val="single" w:color="000000" w:sz="8" w:space="0"/>
              <w:bottom w:val="single" w:color="000000" w:sz="8"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出口设备 小计</w:t>
            </w:r>
          </w:p>
        </w:tc>
        <w:tc>
          <w:tcPr>
            <w:tcW w:w="5953" w:type="dxa"/>
            <w:gridSpan w:val="2"/>
            <w:tcBorders>
              <w:top w:val="single" w:color="000000" w:sz="4" w:space="0"/>
              <w:left w:val="single" w:color="000000" w:sz="4" w:space="0"/>
              <w:bottom w:val="single" w:color="000000" w:sz="8" w:space="0"/>
              <w:right w:val="single" w:color="000000" w:sz="4" w:space="0"/>
            </w:tcBorders>
            <w:shd w:val="clear" w:color="auto" w:fill="C0C0C0"/>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92"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3、双路设别配置包（3个车道配置附枪）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序号</w:t>
            </w:r>
          </w:p>
        </w:tc>
        <w:tc>
          <w:tcPr>
            <w:tcW w:w="191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名称</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数量</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单位</w:t>
            </w:r>
          </w:p>
        </w:tc>
        <w:tc>
          <w:tcPr>
            <w:tcW w:w="2560"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配置情况</w:t>
            </w:r>
          </w:p>
        </w:tc>
        <w:tc>
          <w:tcPr>
            <w:tcW w:w="3393" w:type="dxa"/>
            <w:tcBorders>
              <w:top w:val="single" w:color="000000" w:sz="8" w:space="0"/>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高清枪型网</w:t>
            </w:r>
            <w:r>
              <w:rPr>
                <w:rFonts w:hint="eastAsia" w:ascii="微软雅黑" w:hAnsi="微软雅黑" w:eastAsia="微软雅黑" w:cs="微软雅黑"/>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络摄像机</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变焦</w:t>
            </w:r>
          </w:p>
        </w:tc>
        <w:tc>
          <w:tcPr>
            <w:tcW w:w="3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分体式辅助摄像机，</w:t>
            </w:r>
            <w:r>
              <w:rPr>
                <w:rFonts w:hint="eastAsia" w:ascii="微软雅黑" w:hAnsi="微软雅黑" w:eastAsia="微软雅黑" w:cs="微软雅黑"/>
                <w:b/>
                <w:bCs/>
                <w:i w:val="0"/>
                <w:iCs w:val="0"/>
                <w:color w:val="auto"/>
                <w:kern w:val="0"/>
                <w:sz w:val="20"/>
                <w:szCs w:val="20"/>
                <w:highlight w:val="none"/>
                <w:u w:val="none"/>
                <w:lang w:val="en-US" w:eastAsia="zh-CN" w:bidi="ar"/>
              </w:rPr>
              <w:t>总共8个车道，方案设计3个车道配置附枪，5个车道可无需配置附枪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摄像机立柱组件</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摄像机立柱配件包</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摄像机联接组件</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摄像机抱箍支架组件</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6</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补光灯</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06" w:type="dxa"/>
            <w:gridSpan w:val="4"/>
            <w:tcBorders>
              <w:top w:val="single" w:color="000000" w:sz="4" w:space="0"/>
              <w:left w:val="single" w:color="000000" w:sz="8" w:space="0"/>
              <w:bottom w:val="nil"/>
              <w:right w:val="single" w:color="000000" w:sz="4" w:space="0"/>
            </w:tcBorders>
            <w:shd w:val="clear" w:color="auto" w:fill="C0C0C0"/>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双路识别配置 小计</w:t>
            </w:r>
          </w:p>
        </w:tc>
        <w:tc>
          <w:tcPr>
            <w:tcW w:w="5953" w:type="dxa"/>
            <w:gridSpan w:val="2"/>
            <w:tcBorders>
              <w:top w:val="single" w:color="000000" w:sz="4" w:space="0"/>
              <w:left w:val="single" w:color="000000" w:sz="4" w:space="0"/>
              <w:bottom w:val="nil"/>
              <w:right w:val="single" w:color="000000" w:sz="4" w:space="0"/>
            </w:tcBorders>
            <w:shd w:val="clear" w:color="auto" w:fill="C0C0C0"/>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9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42" name="Shape4"/>
                  <wp:cNvGraphicFramePr/>
                  <a:graphic xmlns:a="http://schemas.openxmlformats.org/drawingml/2006/main">
                    <a:graphicData uri="http://schemas.openxmlformats.org/drawingml/2006/picture">
                      <pic:pic xmlns:pic="http://schemas.openxmlformats.org/drawingml/2006/picture">
                        <pic:nvPicPr>
                          <pic:cNvPr id="42" name="Shape4"/>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44" name="Shape5"/>
                  <wp:cNvGraphicFramePr/>
                  <a:graphic xmlns:a="http://schemas.openxmlformats.org/drawingml/2006/main">
                    <a:graphicData uri="http://schemas.openxmlformats.org/drawingml/2006/picture">
                      <pic:pic xmlns:pic="http://schemas.openxmlformats.org/drawingml/2006/picture">
                        <pic:nvPicPr>
                          <pic:cNvPr id="44" name="Shape5"/>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38" name="Shape3"/>
                  <wp:cNvGraphicFramePr/>
                  <a:graphic xmlns:a="http://schemas.openxmlformats.org/drawingml/2006/main">
                    <a:graphicData uri="http://schemas.openxmlformats.org/drawingml/2006/picture">
                      <pic:pic xmlns:pic="http://schemas.openxmlformats.org/drawingml/2006/picture">
                        <pic:nvPicPr>
                          <pic:cNvPr id="38" name="Shape3"/>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39" name="Shape6"/>
                  <wp:cNvGraphicFramePr/>
                  <a:graphic xmlns:a="http://schemas.openxmlformats.org/drawingml/2006/main">
                    <a:graphicData uri="http://schemas.openxmlformats.org/drawingml/2006/picture">
                      <pic:pic xmlns:pic="http://schemas.openxmlformats.org/drawingml/2006/picture">
                        <pic:nvPicPr>
                          <pic:cNvPr id="39" name="Shape6"/>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lang w:val="en-US" w:eastAsia="zh-CN" w:bidi="ar"/>
              </w:rPr>
              <w:t>一、以上为艾科提供的硬件设备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06" w:type="dxa"/>
            <w:gridSpan w:val="4"/>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1+2+3（合计）</w:t>
            </w:r>
          </w:p>
        </w:tc>
        <w:tc>
          <w:tcPr>
            <w:tcW w:w="5953" w:type="dxa"/>
            <w:gridSpan w:val="2"/>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92"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37" name="Shape3_SpCnt_1"/>
                  <wp:cNvGraphicFramePr/>
                  <a:graphic xmlns:a="http://schemas.openxmlformats.org/drawingml/2006/main">
                    <a:graphicData uri="http://schemas.openxmlformats.org/drawingml/2006/picture">
                      <pic:pic xmlns:pic="http://schemas.openxmlformats.org/drawingml/2006/picture">
                        <pic:nvPicPr>
                          <pic:cNvPr id="37" name="Shape3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40" name="Shape6_SpCnt_1"/>
                  <wp:cNvGraphicFramePr/>
                  <a:graphic xmlns:a="http://schemas.openxmlformats.org/drawingml/2006/main">
                    <a:graphicData uri="http://schemas.openxmlformats.org/drawingml/2006/picture">
                      <pic:pic xmlns:pic="http://schemas.openxmlformats.org/drawingml/2006/picture">
                        <pic:nvPicPr>
                          <pic:cNvPr id="40" name="Shape6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30" name="Shape5_SpCnt_1"/>
                  <wp:cNvGraphicFramePr/>
                  <a:graphic xmlns:a="http://schemas.openxmlformats.org/drawingml/2006/main">
                    <a:graphicData uri="http://schemas.openxmlformats.org/drawingml/2006/picture">
                      <pic:pic xmlns:pic="http://schemas.openxmlformats.org/drawingml/2006/picture">
                        <pic:nvPicPr>
                          <pic:cNvPr id="30" name="Shape5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0</wp:posOffset>
                  </wp:positionV>
                  <wp:extent cx="152400" cy="9525"/>
                  <wp:effectExtent l="0" t="0" r="0" b="0"/>
                  <wp:wrapNone/>
                  <wp:docPr id="28" name="Shape4_SpCnt_1"/>
                  <wp:cNvGraphicFramePr/>
                  <a:graphic xmlns:a="http://schemas.openxmlformats.org/drawingml/2006/main">
                    <a:graphicData uri="http://schemas.openxmlformats.org/drawingml/2006/picture">
                      <pic:pic xmlns:pic="http://schemas.openxmlformats.org/drawingml/2006/picture">
                        <pic:nvPicPr>
                          <pic:cNvPr id="28" name="Shape4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b/>
                <w:bCs/>
                <w:i w:val="0"/>
                <w:iCs w:val="0"/>
                <w:color w:val="auto"/>
                <w:kern w:val="0"/>
                <w:sz w:val="18"/>
                <w:szCs w:val="18"/>
                <w:highlight w:val="none"/>
                <w:u w:val="none"/>
                <w:lang w:val="en-US" w:eastAsia="zh-CN" w:bidi="ar"/>
              </w:rPr>
              <w:t>二、停车场管理系统、电脑、网络及相关配件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8" w:space="0"/>
              <w:left w:val="single" w:color="000000" w:sz="8"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序号</w:t>
            </w:r>
          </w:p>
        </w:tc>
        <w:tc>
          <w:tcPr>
            <w:tcW w:w="1913"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名称</w:t>
            </w:r>
          </w:p>
        </w:tc>
        <w:tc>
          <w:tcPr>
            <w:tcW w:w="493"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数量</w:t>
            </w:r>
          </w:p>
        </w:tc>
        <w:tc>
          <w:tcPr>
            <w:tcW w:w="493"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单位</w:t>
            </w:r>
          </w:p>
        </w:tc>
        <w:tc>
          <w:tcPr>
            <w:tcW w:w="2560"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配置情况</w:t>
            </w:r>
          </w:p>
        </w:tc>
        <w:tc>
          <w:tcPr>
            <w:tcW w:w="3393" w:type="dxa"/>
            <w:tcBorders>
              <w:top w:val="single" w:color="000000" w:sz="8" w:space="0"/>
              <w:left w:val="single" w:color="000000" w:sz="4" w:space="0"/>
              <w:bottom w:val="nil"/>
              <w:right w:val="single" w:color="000000" w:sz="8"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工作站电脑</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含显示器和鼠标键盘套件</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kern w:val="0"/>
                <w:sz w:val="22"/>
                <w:szCs w:val="22"/>
                <w:highlight w:val="none"/>
                <w:u w:val="none"/>
                <w:lang w:val="en-US" w:eastAsia="zh-CN" w:bidi="ar"/>
              </w:rPr>
              <w:t>招标人自备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停车管理平台</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套</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千兆交换机</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台</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16口全千兆交换机</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电源插座</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8</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10A-250V</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减速坡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48</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减速带中间部分，黄黑组合，一个组合长度500mm</w:t>
            </w:r>
          </w:p>
        </w:tc>
        <w:tc>
          <w:tcPr>
            <w:tcW w:w="3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减速坡端头</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8</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减速带一端，黄色</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减速坡端头</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8</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减速带一端，黑色</w:t>
            </w: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06" w:type="dxa"/>
            <w:gridSpan w:val="4"/>
            <w:tcBorders>
              <w:top w:val="nil"/>
              <w:left w:val="single" w:color="000000" w:sz="8" w:space="0"/>
              <w:bottom w:val="single" w:color="000000" w:sz="8"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电脑、网络及相关配件 小计</w:t>
            </w:r>
          </w:p>
        </w:tc>
        <w:tc>
          <w:tcPr>
            <w:tcW w:w="5953" w:type="dxa"/>
            <w:gridSpan w:val="2"/>
            <w:tcBorders>
              <w:top w:val="nil"/>
              <w:left w:val="single" w:color="000000" w:sz="4" w:space="0"/>
              <w:bottom w:val="single" w:color="000000" w:sz="8" w:space="0"/>
              <w:right w:val="single" w:color="000000" w:sz="4" w:space="0"/>
            </w:tcBorders>
            <w:shd w:val="clear" w:color="auto" w:fill="C0C0C0"/>
            <w:vAlign w:val="center"/>
          </w:tcPr>
          <w:p>
            <w:pPr>
              <w:jc w:val="center"/>
              <w:rPr>
                <w:rFonts w:hint="eastAsia" w:ascii="微软雅黑" w:hAnsi="微软雅黑" w:eastAsia="微软雅黑" w:cs="微软雅黑"/>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92"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三、施工材料、工程费和调试费等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序号</w:t>
            </w:r>
          </w:p>
        </w:tc>
        <w:tc>
          <w:tcPr>
            <w:tcW w:w="191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名称</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数量</w:t>
            </w:r>
          </w:p>
        </w:tc>
        <w:tc>
          <w:tcPr>
            <w:tcW w:w="493"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单位</w:t>
            </w:r>
          </w:p>
        </w:tc>
        <w:tc>
          <w:tcPr>
            <w:tcW w:w="2560"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配置情况</w:t>
            </w:r>
          </w:p>
        </w:tc>
        <w:tc>
          <w:tcPr>
            <w:tcW w:w="3393" w:type="dxa"/>
            <w:tcBorders>
              <w:top w:val="single" w:color="000000" w:sz="8" w:space="0"/>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施工材料</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米</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道闸控制</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2</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500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米</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设备供电</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300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根</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2.8米一根</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500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米</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超五类非屏蔽网线</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5</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打磨片、管码、胶塞等</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拆装设备</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安装新设备</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7</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土建施工</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5000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米</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8</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含所有开沟、切割地感、综合布管布线等施工。</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9</w:t>
            </w: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安全岛部分工作量(含刷油漆或贴瓷砖)/以实际工程预算核算为准</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系统调试</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套</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按停车场套数计算/以实际工程预算核算为准</w:t>
            </w:r>
          </w:p>
        </w:tc>
        <w:tc>
          <w:tcPr>
            <w:tcW w:w="33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11</w:t>
            </w:r>
          </w:p>
        </w:tc>
        <w:tc>
          <w:tcPr>
            <w:tcW w:w="19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41" name="Shape8"/>
                  <wp:cNvGraphicFramePr/>
                  <a:graphic xmlns:a="http://schemas.openxmlformats.org/drawingml/2006/main">
                    <a:graphicData uri="http://schemas.openxmlformats.org/drawingml/2006/picture">
                      <pic:pic xmlns:pic="http://schemas.openxmlformats.org/drawingml/2006/picture">
                        <pic:nvPicPr>
                          <pic:cNvPr id="41" name="Shape8"/>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31" name="Shape9"/>
                  <wp:cNvGraphicFramePr/>
                  <a:graphic xmlns:a="http://schemas.openxmlformats.org/drawingml/2006/main">
                    <a:graphicData uri="http://schemas.openxmlformats.org/drawingml/2006/picture">
                      <pic:pic xmlns:pic="http://schemas.openxmlformats.org/drawingml/2006/picture">
                        <pic:nvPicPr>
                          <pic:cNvPr id="31" name="Shape9"/>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29" name="Shape9_SpCnt_1"/>
                  <wp:cNvGraphicFramePr/>
                  <a:graphic xmlns:a="http://schemas.openxmlformats.org/drawingml/2006/main">
                    <a:graphicData uri="http://schemas.openxmlformats.org/drawingml/2006/picture">
                      <pic:pic xmlns:pic="http://schemas.openxmlformats.org/drawingml/2006/picture">
                        <pic:nvPicPr>
                          <pic:cNvPr id="29" name="Shape9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32" name="Shape10"/>
                  <wp:cNvGraphicFramePr/>
                  <a:graphic xmlns:a="http://schemas.openxmlformats.org/drawingml/2006/main">
                    <a:graphicData uri="http://schemas.openxmlformats.org/drawingml/2006/picture">
                      <pic:pic xmlns:pic="http://schemas.openxmlformats.org/drawingml/2006/picture">
                        <pic:nvPicPr>
                          <pic:cNvPr id="32" name="Shape10"/>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33" name="Shape10_SpCnt_1"/>
                  <wp:cNvGraphicFramePr/>
                  <a:graphic xmlns:a="http://schemas.openxmlformats.org/drawingml/2006/main">
                    <a:graphicData uri="http://schemas.openxmlformats.org/drawingml/2006/picture">
                      <pic:pic xmlns:pic="http://schemas.openxmlformats.org/drawingml/2006/picture">
                        <pic:nvPicPr>
                          <pic:cNvPr id="33" name="Shape10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34" name="Shape8_SpCnt_1"/>
                  <wp:cNvGraphicFramePr/>
                  <a:graphic xmlns:a="http://schemas.openxmlformats.org/drawingml/2006/main">
                    <a:graphicData uri="http://schemas.openxmlformats.org/drawingml/2006/picture">
                      <pic:pic xmlns:pic="http://schemas.openxmlformats.org/drawingml/2006/picture">
                        <pic:nvPicPr>
                          <pic:cNvPr id="34" name="Shape8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35" name="Shape7"/>
                  <wp:cNvGraphicFramePr/>
                  <a:graphic xmlns:a="http://schemas.openxmlformats.org/drawingml/2006/main">
                    <a:graphicData uri="http://schemas.openxmlformats.org/drawingml/2006/picture">
                      <pic:pic xmlns:pic="http://schemas.openxmlformats.org/drawingml/2006/picture">
                        <pic:nvPicPr>
                          <pic:cNvPr id="35" name="Shape7"/>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36" name="Shape7_SpCnt_1"/>
                  <wp:cNvGraphicFramePr/>
                  <a:graphic xmlns:a="http://schemas.openxmlformats.org/drawingml/2006/main">
                    <a:graphicData uri="http://schemas.openxmlformats.org/drawingml/2006/picture">
                      <pic:pic xmlns:pic="http://schemas.openxmlformats.org/drawingml/2006/picture">
                        <pic:nvPicPr>
                          <pic:cNvPr id="36" name="Shape7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18"/>
                <w:szCs w:val="18"/>
                <w:highlight w:val="none"/>
                <w:u w:val="none"/>
                <w:lang w:val="en-US" w:eastAsia="zh-CN" w:bidi="ar"/>
              </w:rPr>
              <w:t>运输费用</w:t>
            </w:r>
          </w:p>
        </w:tc>
        <w:tc>
          <w:tcPr>
            <w:tcW w:w="4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c>
          <w:tcPr>
            <w:tcW w:w="4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趟</w:t>
            </w:r>
          </w:p>
        </w:tc>
        <w:tc>
          <w:tcPr>
            <w:tcW w:w="25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区域不同、收费不同</w:t>
            </w:r>
          </w:p>
        </w:tc>
        <w:tc>
          <w:tcPr>
            <w:tcW w:w="3393"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监控系统</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4</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支</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含硬盘、刻录机、显示器</w:t>
            </w:r>
          </w:p>
        </w:tc>
        <w:tc>
          <w:tcPr>
            <w:tcW w:w="3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auto"/>
                <w:sz w:val="18"/>
                <w:szCs w:val="18"/>
                <w:highlight w:val="none"/>
                <w:u w:val="none"/>
              </w:rPr>
            </w:pPr>
          </w:p>
        </w:tc>
      </w:tr>
    </w:tbl>
    <w:p>
      <w:pPr>
        <w:pStyle w:val="30"/>
        <w:numPr>
          <w:ilvl w:val="0"/>
          <w:numId w:val="0"/>
        </w:numPr>
        <w:tabs>
          <w:tab w:val="left" w:pos="220"/>
        </w:tabs>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备注：（1）智能停车系统设备采购、安装及维保费用总预算约为 290000.00元内(大写:人民币贰拾玖万元整），其中智能停车系统设备采购及安装费用约为210,000.00元(大写:人民币贰拾壹万元整），5年的维保费用约为80,000.00元(大写:人民币捌万元整），以中标人实际支出费用为准。智能停车系统设备采购、安装及维保等一切费用已包含在中标价内由中标人负责，招标人不再另行支出</w:t>
      </w:r>
      <w:r>
        <w:rPr>
          <w:rFonts w:hint="eastAsia" w:ascii="宋体" w:hAnsi="宋体" w:eastAsia="宋体" w:cs="宋体"/>
          <w:b w:val="0"/>
          <w:bCs w:val="0"/>
          <w:color w:val="auto"/>
          <w:sz w:val="24"/>
          <w:szCs w:val="24"/>
          <w:highlight w:val="none"/>
          <w:lang w:val="en-US" w:eastAsia="zh-CN"/>
        </w:rPr>
        <w:t>。</w:t>
      </w:r>
    </w:p>
    <w:p>
      <w:pPr>
        <w:pStyle w:val="30"/>
        <w:numPr>
          <w:ilvl w:val="0"/>
          <w:numId w:val="0"/>
        </w:numPr>
        <w:spacing w:line="360" w:lineRule="auto"/>
        <w:ind w:left="415" w:leftChars="0" w:hanging="415" w:hangingChars="173"/>
        <w:jc w:val="left"/>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（2）质量标准：清单中第一部分“硬件部分”设备</w:t>
      </w:r>
      <w:r>
        <w:rPr>
          <w:rFonts w:hint="eastAsia" w:ascii="宋体" w:hAnsi="宋体" w:eastAsia="宋体" w:cs="宋体"/>
          <w:color w:val="auto"/>
          <w:kern w:val="0"/>
          <w:sz w:val="26"/>
          <w:szCs w:val="26"/>
          <w:highlight w:val="none"/>
          <w:lang w:val="en-US" w:eastAsia="zh-CN"/>
        </w:rPr>
        <w:t>参考品牌为艾科、捷顺、启功或同等质量以上的品牌</w:t>
      </w:r>
      <w:r>
        <w:rPr>
          <w:rFonts w:hint="eastAsia" w:ascii="宋体" w:hAnsi="宋体" w:cs="宋体"/>
          <w:b w:val="0"/>
          <w:bCs w:val="0"/>
          <w:color w:val="auto"/>
          <w:sz w:val="24"/>
          <w:szCs w:val="24"/>
          <w:highlight w:val="none"/>
          <w:lang w:val="en-US" w:eastAsia="zh-CN"/>
        </w:rPr>
        <w:t>，且必须提供厂家授权书，质保期5年。中标人拟投入的设备清单（含品牌、型号等）须招标人确认后才能实施安装，否则视为中标人违约。</w:t>
      </w:r>
    </w:p>
    <w:p>
      <w:pPr>
        <w:pStyle w:val="30"/>
        <w:numPr>
          <w:ilvl w:val="0"/>
          <w:numId w:val="12"/>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highlight w:val="none"/>
          <w:lang w:val="en-US" w:eastAsia="zh-CN"/>
        </w:rPr>
        <w:t>停</w:t>
      </w:r>
      <w:r>
        <w:rPr>
          <w:rFonts w:hint="eastAsia" w:ascii="宋体" w:hAnsi="宋体" w:eastAsia="宋体" w:cs="宋体"/>
          <w:b/>
          <w:bCs/>
          <w:color w:val="auto"/>
          <w:sz w:val="24"/>
          <w:szCs w:val="24"/>
          <w:highlight w:val="none"/>
          <w:lang w:val="en-US" w:eastAsia="zh-CN"/>
        </w:rPr>
        <w:t>泊位设置</w:t>
      </w:r>
    </w:p>
    <w:p>
      <w:pPr>
        <w:pStyle w:val="30"/>
        <w:numPr>
          <w:ilvl w:val="0"/>
          <w:numId w:val="0"/>
        </w:numPr>
        <w:tabs>
          <w:tab w:val="left" w:pos="220"/>
        </w:tabs>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目前吉利</w:t>
      </w:r>
      <w:r>
        <w:rPr>
          <w:rFonts w:hint="eastAsia" w:ascii="宋体" w:hAnsi="宋体" w:cs="宋体"/>
          <w:b w:val="0"/>
          <w:bCs w:val="0"/>
          <w:color w:val="auto"/>
          <w:sz w:val="24"/>
          <w:szCs w:val="24"/>
          <w:highlight w:val="none"/>
          <w:lang w:val="en-US" w:eastAsia="zh-CN"/>
        </w:rPr>
        <w:t>竹甫村</w:t>
      </w:r>
      <w:r>
        <w:rPr>
          <w:rFonts w:hint="eastAsia" w:ascii="宋体" w:hAnsi="宋体" w:eastAsia="宋体" w:cs="宋体"/>
          <w:b w:val="0"/>
          <w:bCs w:val="0"/>
          <w:color w:val="auto"/>
          <w:sz w:val="24"/>
          <w:szCs w:val="24"/>
          <w:highlight w:val="none"/>
          <w:lang w:val="en-US" w:eastAsia="zh-CN"/>
        </w:rPr>
        <w:t>已有划线车位约</w:t>
      </w:r>
      <w:r>
        <w:rPr>
          <w:rFonts w:hint="eastAsia" w:ascii="宋体" w:hAnsi="宋体" w:cs="宋体"/>
          <w:b w:val="0"/>
          <w:bCs w:val="0"/>
          <w:color w:val="auto"/>
          <w:sz w:val="24"/>
          <w:szCs w:val="24"/>
          <w:highlight w:val="none"/>
          <w:lang w:val="en-US" w:eastAsia="zh-CN"/>
        </w:rPr>
        <w:t>200</w:t>
      </w:r>
      <w:r>
        <w:rPr>
          <w:rFonts w:hint="eastAsia" w:ascii="宋体" w:hAnsi="宋体" w:eastAsia="宋体" w:cs="宋体"/>
          <w:b w:val="0"/>
          <w:bCs w:val="0"/>
          <w:color w:val="auto"/>
          <w:sz w:val="24"/>
          <w:szCs w:val="24"/>
          <w:highlight w:val="none"/>
          <w:lang w:val="en-US" w:eastAsia="zh-CN"/>
        </w:rPr>
        <w:t>个，中标人需按照</w:t>
      </w:r>
      <w:r>
        <w:rPr>
          <w:rFonts w:hint="eastAsia" w:ascii="宋体" w:hAnsi="宋体" w:cs="宋体"/>
          <w:b w:val="0"/>
          <w:bCs w:val="0"/>
          <w:color w:val="auto"/>
          <w:sz w:val="24"/>
          <w:szCs w:val="24"/>
          <w:highlight w:val="none"/>
          <w:lang w:val="en-US" w:eastAsia="zh-CN"/>
        </w:rPr>
        <w:t>招标人要求</w:t>
      </w:r>
      <w:r>
        <w:rPr>
          <w:rFonts w:hint="eastAsia" w:ascii="宋体" w:hAnsi="宋体" w:eastAsia="宋体" w:cs="宋体"/>
          <w:b w:val="0"/>
          <w:bCs w:val="0"/>
          <w:color w:val="auto"/>
          <w:sz w:val="24"/>
          <w:szCs w:val="24"/>
          <w:highlight w:val="none"/>
          <w:lang w:val="en-US" w:eastAsia="zh-CN"/>
        </w:rPr>
        <w:t>设置合理的泊位进行管理，如需增加或减少车位，需提交可行性方案报招标人审批后方可进行操作。</w:t>
      </w:r>
      <w:r>
        <w:rPr>
          <w:rFonts w:hint="eastAsia" w:ascii="宋体" w:hAnsi="宋体" w:eastAsia="宋体" w:cs="宋体"/>
          <w:b w:val="0"/>
          <w:bCs w:val="0"/>
          <w:color w:val="auto"/>
          <w:sz w:val="24"/>
          <w:szCs w:val="24"/>
          <w:highlight w:val="none"/>
          <w:lang w:val="en-US" w:eastAsia="zh-CN"/>
        </w:rPr>
        <w:br w:type="textWrapping"/>
      </w:r>
    </w:p>
    <w:p>
      <w:pPr>
        <w:pStyle w:val="30"/>
        <w:numPr>
          <w:ilvl w:val="0"/>
          <w:numId w:val="12"/>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运营管理</w:t>
      </w:r>
    </w:p>
    <w:p>
      <w:pPr>
        <w:pStyle w:val="6"/>
        <w:ind w:left="415" w:leftChars="0" w:hanging="415" w:hangingChars="173"/>
        <w:rPr>
          <w:rFonts w:hint="eastAsia" w:ascii="宋体" w:hAnsi="宋体" w:eastAsia="宋体" w:cs="宋体"/>
          <w:color w:val="auto"/>
          <w:sz w:val="24"/>
          <w:szCs w:val="24"/>
          <w:highlight w:val="none"/>
        </w:rPr>
      </w:pPr>
    </w:p>
    <w:p>
      <w:pPr>
        <w:pStyle w:val="30"/>
        <w:numPr>
          <w:ilvl w:val="1"/>
          <w:numId w:val="12"/>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停车收费方案</w:t>
      </w:r>
    </w:p>
    <w:p>
      <w:pPr>
        <w:pStyle w:val="30"/>
        <w:numPr>
          <w:ilvl w:val="2"/>
          <w:numId w:val="12"/>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w:t>
      </w:r>
      <w:r>
        <w:rPr>
          <w:rFonts w:hint="eastAsia" w:ascii="宋体" w:hAnsi="宋体" w:eastAsia="宋体" w:cs="宋体"/>
          <w:b w:val="0"/>
          <w:bCs w:val="0"/>
          <w:color w:val="auto"/>
          <w:sz w:val="24"/>
          <w:szCs w:val="24"/>
          <w:highlight w:val="none"/>
          <w:lang w:val="en-US" w:eastAsia="zh-CN"/>
        </w:rPr>
        <w:t>为</w:t>
      </w:r>
      <w:r>
        <w:rPr>
          <w:rFonts w:hint="eastAsia" w:ascii="宋体" w:hAnsi="宋体" w:cs="宋体"/>
          <w:b w:val="0"/>
          <w:bCs w:val="0"/>
          <w:color w:val="auto"/>
          <w:sz w:val="24"/>
          <w:szCs w:val="24"/>
          <w:highlight w:val="none"/>
          <w:lang w:val="en-US" w:eastAsia="zh-CN"/>
        </w:rPr>
        <w:t>5年</w:t>
      </w:r>
      <w:r>
        <w:rPr>
          <w:rFonts w:hint="eastAsia" w:ascii="宋体" w:hAnsi="宋体" w:eastAsia="宋体" w:cs="宋体"/>
          <w:b w:val="0"/>
          <w:bCs w:val="0"/>
          <w:color w:val="auto"/>
          <w:sz w:val="24"/>
          <w:szCs w:val="24"/>
          <w:highlight w:val="none"/>
          <w:lang w:val="en-US" w:eastAsia="zh-CN"/>
        </w:rPr>
        <w:t>，中标人同</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签署车辆停放管理合同书，按照中标金额向</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缴纳车辆停放管理服务维护费。</w:t>
      </w:r>
      <w:r>
        <w:rPr>
          <w:rFonts w:hint="eastAsia" w:ascii="宋体" w:hAnsi="宋体" w:cs="宋体"/>
          <w:b w:val="0"/>
          <w:bCs w:val="0"/>
          <w:color w:val="auto"/>
          <w:sz w:val="24"/>
          <w:szCs w:val="24"/>
          <w:highlight w:val="none"/>
          <w:lang w:val="en-US" w:eastAsia="zh-CN"/>
        </w:rPr>
        <w:t>自第一年起，每两年为一个周期，每个周期内的年度管理费在上一个周期的基础上按首年管理费的8%固定递增</w:t>
      </w:r>
      <w:r>
        <w:rPr>
          <w:rFonts w:hint="eastAsia" w:ascii="宋体" w:hAnsi="宋体" w:cs="宋体"/>
          <w:color w:val="auto"/>
          <w:sz w:val="24"/>
          <w:highlight w:val="none"/>
          <w:lang w:val="en-US" w:eastAsia="zh-CN"/>
        </w:rPr>
        <w:t>（比如首年25万，第1-2年为第一个周期（第一个周期内的年度管理费均为25万），第3-4年为第二个周期，第二个周期（第3-4年）内的年度管理费是25万</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（100%+8%）=27万，第5年为第三个周期，第三个周期在第二个周期的基础上，增加8%，即27</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（100%+8%）=29.16万）</w:t>
      </w:r>
      <w:r>
        <w:rPr>
          <w:rFonts w:hint="eastAsia" w:ascii="宋体" w:hAnsi="宋体" w:eastAsia="宋体" w:cs="宋体"/>
          <w:b w:val="0"/>
          <w:bCs w:val="0"/>
          <w:color w:val="auto"/>
          <w:sz w:val="24"/>
          <w:szCs w:val="24"/>
          <w:highlight w:val="none"/>
          <w:lang w:val="en-US" w:eastAsia="zh-CN"/>
        </w:rPr>
        <w:t>，每次缴纳的车辆停放管理服务维护费由</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开具有效的租金收据给中标人。停车费收取对象为临时停放车辆和外地月租车，按</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制定收费标准收取停车费。政府或下辖单位办公的车辆由</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统一登记后送中标人录入车牌免费。与</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存在合同关系的车辆免费。</w:t>
      </w:r>
    </w:p>
    <w:p>
      <w:pPr>
        <w:pStyle w:val="30"/>
        <w:numPr>
          <w:ilvl w:val="2"/>
          <w:numId w:val="12"/>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吉利竹甫村</w:t>
      </w:r>
      <w:r>
        <w:rPr>
          <w:rFonts w:hint="eastAsia" w:ascii="宋体" w:hAnsi="宋体" w:eastAsia="宋体" w:cs="宋体"/>
          <w:b w:val="0"/>
          <w:bCs w:val="0"/>
          <w:color w:val="auto"/>
          <w:sz w:val="24"/>
          <w:szCs w:val="24"/>
          <w:highlight w:val="none"/>
          <w:lang w:val="en-US" w:eastAsia="zh-CN"/>
        </w:rPr>
        <w:t>村民自有车辆进行实名登记。</w:t>
      </w:r>
      <w:r>
        <w:rPr>
          <w:rFonts w:hint="eastAsia" w:ascii="宋体" w:hAnsi="宋体" w:cs="宋体"/>
          <w:b w:val="0"/>
          <w:bCs w:val="0"/>
          <w:color w:val="auto"/>
          <w:sz w:val="24"/>
          <w:szCs w:val="24"/>
          <w:highlight w:val="none"/>
          <w:lang w:val="en-US" w:eastAsia="zh-CN"/>
        </w:rPr>
        <w:t>吉利竹甫村</w:t>
      </w:r>
      <w:r>
        <w:rPr>
          <w:rFonts w:hint="eastAsia" w:ascii="宋体" w:hAnsi="宋体" w:eastAsia="宋体" w:cs="宋体"/>
          <w:b w:val="0"/>
          <w:bCs w:val="0"/>
          <w:color w:val="auto"/>
          <w:sz w:val="24"/>
          <w:szCs w:val="24"/>
          <w:highlight w:val="none"/>
          <w:lang w:val="en-US" w:eastAsia="zh-CN"/>
        </w:rPr>
        <w:t>村民登记区域停车位必须是</w:t>
      </w:r>
      <w:r>
        <w:rPr>
          <w:rFonts w:hint="eastAsia" w:ascii="宋体" w:hAnsi="宋体" w:cs="宋体"/>
          <w:b w:val="0"/>
          <w:bCs w:val="0"/>
          <w:color w:val="auto"/>
          <w:sz w:val="24"/>
          <w:szCs w:val="24"/>
          <w:highlight w:val="none"/>
          <w:lang w:val="en-US" w:eastAsia="zh-CN"/>
        </w:rPr>
        <w:t>吉利竹甫村</w:t>
      </w:r>
      <w:r>
        <w:rPr>
          <w:rFonts w:hint="eastAsia" w:ascii="宋体" w:hAnsi="宋体" w:eastAsia="宋体" w:cs="宋体"/>
          <w:b w:val="0"/>
          <w:bCs w:val="0"/>
          <w:color w:val="auto"/>
          <w:sz w:val="24"/>
          <w:szCs w:val="24"/>
          <w:highlight w:val="none"/>
          <w:lang w:val="en-US" w:eastAsia="zh-CN"/>
        </w:rPr>
        <w:t>户籍村民，办理必须出示</w:t>
      </w:r>
      <w:r>
        <w:rPr>
          <w:rFonts w:hint="eastAsia" w:ascii="宋体" w:hAnsi="宋体" w:cs="宋体"/>
          <w:b w:val="0"/>
          <w:bCs w:val="0"/>
          <w:color w:val="auto"/>
          <w:sz w:val="24"/>
          <w:szCs w:val="24"/>
          <w:highlight w:val="none"/>
          <w:lang w:val="en-US" w:eastAsia="zh-CN"/>
        </w:rPr>
        <w:t>吉利竹甫村</w:t>
      </w:r>
      <w:r>
        <w:rPr>
          <w:rFonts w:hint="eastAsia" w:ascii="宋体" w:hAnsi="宋体" w:eastAsia="宋体" w:cs="宋体"/>
          <w:b w:val="0"/>
          <w:bCs w:val="0"/>
          <w:color w:val="auto"/>
          <w:sz w:val="24"/>
          <w:szCs w:val="24"/>
          <w:highlight w:val="none"/>
          <w:lang w:val="en-US" w:eastAsia="zh-CN"/>
        </w:rPr>
        <w:t>村民身份证、户口本等证明及属于本人的行驶证资料。如出现亲属关系的由</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出示相关证明方可办理，例如嫁入</w:t>
      </w:r>
      <w:r>
        <w:rPr>
          <w:rFonts w:hint="eastAsia" w:ascii="宋体" w:hAnsi="宋体" w:cs="宋体"/>
          <w:b w:val="0"/>
          <w:bCs w:val="0"/>
          <w:color w:val="auto"/>
          <w:sz w:val="24"/>
          <w:szCs w:val="24"/>
          <w:highlight w:val="none"/>
          <w:lang w:val="en-US" w:eastAsia="zh-CN"/>
        </w:rPr>
        <w:t>吉利竹甫村</w:t>
      </w:r>
      <w:r>
        <w:rPr>
          <w:rFonts w:hint="eastAsia" w:ascii="宋体" w:hAnsi="宋体" w:eastAsia="宋体" w:cs="宋体"/>
          <w:b w:val="0"/>
          <w:bCs w:val="0"/>
          <w:color w:val="auto"/>
          <w:sz w:val="24"/>
          <w:szCs w:val="24"/>
          <w:highlight w:val="none"/>
          <w:lang w:val="en-US" w:eastAsia="zh-CN"/>
        </w:rPr>
        <w:t>但户口未迁入等情况。村民出租屋租户车辆办理月租车位必须出示本人车辆相关证明，由出租屋屋主统一收集提供租户车牌信息，并登记出租屋屋主联系电话。</w:t>
      </w:r>
    </w:p>
    <w:p>
      <w:pPr>
        <w:pStyle w:val="30"/>
        <w:numPr>
          <w:ilvl w:val="2"/>
          <w:numId w:val="12"/>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停车位的安排：先满足</w:t>
      </w:r>
      <w:r>
        <w:rPr>
          <w:rFonts w:hint="eastAsia" w:ascii="宋体" w:hAnsi="宋体" w:cs="宋体"/>
          <w:b w:val="0"/>
          <w:bCs w:val="0"/>
          <w:color w:val="auto"/>
          <w:sz w:val="24"/>
          <w:szCs w:val="24"/>
          <w:highlight w:val="none"/>
          <w:lang w:val="en-US" w:eastAsia="zh-CN"/>
        </w:rPr>
        <w:t>吉利竹甫村</w:t>
      </w:r>
      <w:r>
        <w:rPr>
          <w:rFonts w:hint="eastAsia" w:ascii="宋体" w:hAnsi="宋体" w:eastAsia="宋体" w:cs="宋体"/>
          <w:b w:val="0"/>
          <w:bCs w:val="0"/>
          <w:color w:val="auto"/>
          <w:sz w:val="24"/>
          <w:szCs w:val="24"/>
          <w:highlight w:val="none"/>
          <w:lang w:val="en-US" w:eastAsia="zh-CN"/>
        </w:rPr>
        <w:t>村民车辆停放，然后到村集体物业租户车辆停放，最后再安排其他外来车辆停放。村集体物业租户车辆、其他外来车辆均为临停车辆，中标人收取外来车辆停放场地占用费，</w:t>
      </w:r>
      <w:r>
        <w:rPr>
          <w:rFonts w:hint="eastAsia" w:ascii="宋体" w:hAnsi="宋体" w:cs="宋体"/>
          <w:b w:val="0"/>
          <w:bCs w:val="0"/>
          <w:color w:val="auto"/>
          <w:sz w:val="24"/>
          <w:szCs w:val="24"/>
          <w:highlight w:val="none"/>
          <w:lang w:val="en-US" w:eastAsia="zh-CN"/>
        </w:rPr>
        <w:t>其中</w:t>
      </w:r>
      <w:r>
        <w:rPr>
          <w:rFonts w:hint="eastAsia" w:ascii="宋体" w:hAnsi="宋体" w:cs="宋体"/>
          <w:color w:val="auto"/>
          <w:sz w:val="24"/>
          <w:highlight w:val="none"/>
          <w:lang w:val="en-US" w:eastAsia="zh-CN"/>
        </w:rPr>
        <w:t>属村集体物业世外陶源工作的车辆，在每日7时00分至19时00分免费停放，其他时段可收费；属村集体物业村口修车档，给予2辆车的名额全天免费停放；属村集体物业羽毛球馆的车辆停放在羽毛球馆的停车场可免费，但该车辆不得停放在外面，否则进行收费；村集体物业的经营单位的车辆信息经甲方确认后，乙方须无条件接受。</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临时停车收费标准：</w:t>
      </w:r>
    </w:p>
    <w:p>
      <w:pPr>
        <w:pStyle w:val="30"/>
        <w:numPr>
          <w:ilvl w:val="-1"/>
          <w:numId w:val="0"/>
        </w:num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小车类：</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小时内免费，</w:t>
      </w:r>
      <w:r>
        <w:rPr>
          <w:rFonts w:hint="default" w:ascii="宋体" w:hAnsi="宋体" w:cs="宋体"/>
          <w:color w:val="auto"/>
          <w:sz w:val="24"/>
          <w:highlight w:val="none"/>
          <w:lang w:val="en-US" w:eastAsia="zh-CN"/>
        </w:rPr>
        <w:t>超1小时后按5元计算，第二小时后每小时增3元（不足1小时的按1小时计算）</w:t>
      </w:r>
      <w:r>
        <w:rPr>
          <w:rFonts w:hint="eastAsia" w:ascii="宋体" w:hAnsi="宋体" w:eastAsia="宋体" w:cs="宋体"/>
          <w:color w:val="auto"/>
          <w:sz w:val="24"/>
          <w:szCs w:val="24"/>
          <w:highlight w:val="none"/>
          <w:lang w:val="en-US" w:eastAsia="zh-CN"/>
        </w:rPr>
        <w:t>）,每天24小时内最高限价20元，停放超过24小时以上按上述标准累加收费；车辆缴费后，需在15分钟内离场，超时则重新计时收费。</w:t>
      </w:r>
      <w:r>
        <w:rPr>
          <w:rFonts w:hint="eastAsia" w:ascii="宋体" w:hAnsi="宋体" w:cs="宋体"/>
          <w:color w:val="auto"/>
          <w:sz w:val="24"/>
          <w:highlight w:val="none"/>
          <w:lang w:val="en-US" w:eastAsia="zh-CN"/>
        </w:rPr>
        <w:t>（免费停车时长如有调整，以招标人书面通知为准）</w:t>
      </w:r>
    </w:p>
    <w:p>
      <w:pPr>
        <w:pStyle w:val="30"/>
        <w:numPr>
          <w:ilvl w:val="-1"/>
          <w:numId w:val="0"/>
        </w:num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每辆车每天累计免费停车时长为</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小时。</w:t>
      </w:r>
    </w:p>
    <w:p>
      <w:pPr>
        <w:pStyle w:val="30"/>
        <w:numPr>
          <w:ilvl w:val="2"/>
          <w:numId w:val="12"/>
        </w:numPr>
        <w:spacing w:line="360" w:lineRule="auto"/>
        <w:ind w:left="-5"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月租类收费标准：符合以下条件的车辆可办理月卡（按季度收取），月租办理最多可办理一年，</w:t>
      </w:r>
      <w:r>
        <w:rPr>
          <w:rFonts w:hint="eastAsia" w:ascii="宋体" w:hAnsi="宋体" w:eastAsia="宋体" w:cs="宋体"/>
          <w:color w:val="auto"/>
          <w:sz w:val="24"/>
          <w:highlight w:val="none"/>
          <w:lang w:val="en-US" w:eastAsia="zh-CN"/>
        </w:rPr>
        <w:t>村内外来车辆可按以下方案享有以下优惠</w:t>
      </w:r>
      <w:r>
        <w:rPr>
          <w:rFonts w:hint="eastAsia" w:ascii="宋体" w:hAnsi="宋体" w:eastAsia="宋体" w:cs="宋体"/>
          <w:color w:val="auto"/>
          <w:sz w:val="24"/>
          <w:szCs w:val="24"/>
          <w:highlight w:val="none"/>
          <w:lang w:val="en-US" w:eastAsia="zh-CN"/>
        </w:rPr>
        <w:t>：小车：最高不超过1</w:t>
      </w:r>
      <w:r>
        <w:rPr>
          <w:rFonts w:hint="eastAsia" w:ascii="宋体" w:hAnsi="宋体" w:eastAsia="宋体" w:cs="宋体"/>
          <w:color w:val="auto"/>
          <w:sz w:val="24"/>
          <w:szCs w:val="24"/>
          <w:highlight w:val="none"/>
          <w:u w:val="none"/>
          <w:lang w:val="en-US" w:eastAsia="zh-CN"/>
        </w:rPr>
        <w:t>50</w:t>
      </w:r>
      <w:r>
        <w:rPr>
          <w:rFonts w:hint="eastAsia" w:ascii="宋体" w:hAnsi="宋体" w:eastAsia="宋体" w:cs="宋体"/>
          <w:color w:val="auto"/>
          <w:sz w:val="24"/>
          <w:szCs w:val="24"/>
          <w:highlight w:val="none"/>
          <w:lang w:val="en-US" w:eastAsia="zh-CN"/>
        </w:rPr>
        <w:t>元/月/辆（一次性缴纳的按1年优惠2个月）。车位优先满足吉利竹甫村村民需求。</w:t>
      </w:r>
    </w:p>
    <w:p>
      <w:pPr>
        <w:pStyle w:val="30"/>
        <w:widowControl/>
        <w:numPr>
          <w:ilvl w:val="-1"/>
          <w:numId w:val="0"/>
        </w:numPr>
        <w:spacing w:line="360" w:lineRule="auto"/>
        <w:ind w:left="-363" w:leftChars="-173"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注：逾期未办月/卡的车辆系统自动按临时停车收费标准收费</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重要节假日免收停车费，如春节（年二十八凌晨至正月初九凌晨）、清明节等节日免收费。</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村重要传统节日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村民生日、婚庆、弥月、丧事等亲友车辆需要在村内停放的，须在事项进行前向</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报备，报备后给予免费，并由车场管理处统一安排在临时停车位内停放。并由中标人提供二维码给办事村民专用，时间由村民所定，一般不超过一个星期，超期后二维码自动作废。</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户籍村民或非</w:t>
      </w:r>
      <w:r>
        <w:rPr>
          <w:rFonts w:hint="eastAsia" w:ascii="宋体" w:hAnsi="宋体" w:cs="宋体"/>
          <w:color w:val="auto"/>
          <w:sz w:val="24"/>
          <w:szCs w:val="24"/>
          <w:highlight w:val="none"/>
          <w:lang w:val="en-US" w:eastAsia="zh-CN"/>
        </w:rPr>
        <w:t>吉利竹甫村</w:t>
      </w:r>
      <w:r>
        <w:rPr>
          <w:rFonts w:hint="eastAsia" w:ascii="宋体" w:hAnsi="宋体" w:eastAsia="宋体" w:cs="宋体"/>
          <w:color w:val="auto"/>
          <w:sz w:val="24"/>
          <w:szCs w:val="24"/>
          <w:highlight w:val="none"/>
          <w:lang w:val="en-US" w:eastAsia="zh-CN"/>
        </w:rPr>
        <w:t>户籍嫁入</w:t>
      </w:r>
      <w:r>
        <w:rPr>
          <w:rFonts w:hint="eastAsia" w:ascii="宋体" w:hAnsi="宋体" w:cs="宋体"/>
          <w:color w:val="auto"/>
          <w:sz w:val="24"/>
          <w:szCs w:val="24"/>
          <w:highlight w:val="none"/>
          <w:lang w:val="en-US" w:eastAsia="zh-CN"/>
        </w:rPr>
        <w:t>吉利竹甫村</w:t>
      </w:r>
      <w:r>
        <w:rPr>
          <w:rFonts w:hint="eastAsia" w:ascii="宋体" w:hAnsi="宋体" w:eastAsia="宋体" w:cs="宋体"/>
          <w:color w:val="auto"/>
          <w:sz w:val="24"/>
          <w:szCs w:val="24"/>
          <w:highlight w:val="none"/>
          <w:lang w:val="en-US" w:eastAsia="zh-CN"/>
        </w:rPr>
        <w:t>的村民驾驶非本人名下的车辆时，需提供相关证明材料由</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村干部和中标人核实后，可报备登记视为临时户籍车辆，若登记</w:t>
      </w:r>
      <w:r>
        <w:rPr>
          <w:rFonts w:hint="eastAsia" w:ascii="宋体" w:hAnsi="宋体" w:cs="宋体"/>
          <w:color w:val="auto"/>
          <w:sz w:val="24"/>
          <w:szCs w:val="24"/>
          <w:highlight w:val="none"/>
          <w:lang w:val="en-US" w:eastAsia="zh-CN"/>
        </w:rPr>
        <w:t>吉利竹甫村</w:t>
      </w:r>
      <w:r>
        <w:rPr>
          <w:rFonts w:hint="eastAsia" w:ascii="宋体" w:hAnsi="宋体" w:eastAsia="宋体" w:cs="宋体"/>
          <w:color w:val="auto"/>
          <w:sz w:val="24"/>
          <w:szCs w:val="24"/>
          <w:highlight w:val="none"/>
          <w:lang w:val="en-US" w:eastAsia="zh-CN"/>
        </w:rPr>
        <w:t>非户籍村民的车辆停放在户籍村民自家车库可免费，但该车辆不得在外面过夜，如每月有发现3次以上，则取消免费处理。</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村民建房需要堆放建筑材料，按建房户数（一户）免费提供3至4个车位，如超过5个车位，则当外来车临停收费。</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院、银行、幼儿园、学校（校巴全天免费停放）吉利村委会和吉利市政等车辆0点—24点全天免费，政府工作人员来村里面办事，中标人提供一个二维码在村委会前台，让办事工作人员扫码后免费通行，村委会工作人员全天免费停车。</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中标人负责投资安装各车道出入口智能车辆识别设备</w:t>
      </w:r>
      <w:r>
        <w:rPr>
          <w:rFonts w:hint="eastAsia" w:ascii="宋体" w:hAnsi="宋体" w:cs="宋体"/>
          <w:color w:val="auto"/>
          <w:sz w:val="24"/>
          <w:szCs w:val="24"/>
          <w:highlight w:val="none"/>
          <w:lang w:val="en-US" w:eastAsia="zh-CN"/>
        </w:rPr>
        <w:t>（按上述4.3设备和工程量清单）</w:t>
      </w:r>
      <w:r>
        <w:rPr>
          <w:rFonts w:hint="eastAsia" w:ascii="宋体" w:hAnsi="宋体" w:eastAsia="宋体" w:cs="宋体"/>
          <w:color w:val="auto"/>
          <w:sz w:val="24"/>
          <w:szCs w:val="24"/>
          <w:highlight w:val="none"/>
          <w:lang w:val="en-US" w:eastAsia="zh-CN"/>
        </w:rPr>
        <w:t>，各车道出入口必须加装1个以上监控设备，合同到期后，所有设备无偿归</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所有，中标人保证设备完好并无条件移交给</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中标人办理临时停车收费业务，每次办理的停车收费期限不能超过12个月，且收费期限不能超过本合同的服务期，若合同服务期满后，中标人还有多收取的停车费用，多出部分中标人必须退还给付款人后，</w:t>
      </w:r>
      <w:r>
        <w:rPr>
          <w:rFonts w:hint="eastAsia" w:ascii="宋体" w:hAnsi="宋体" w:cs="宋体"/>
          <w:color w:val="auto"/>
          <w:sz w:val="24"/>
          <w:szCs w:val="24"/>
          <w:highlight w:val="none"/>
          <w:lang w:val="en-US" w:eastAsia="zh-CN"/>
        </w:rPr>
        <w:t>招标人将本项目的履约保证金</w:t>
      </w:r>
      <w:r>
        <w:rPr>
          <w:rFonts w:hint="eastAsia" w:ascii="宋体" w:hAnsi="宋体" w:eastAsia="宋体" w:cs="宋体"/>
          <w:color w:val="auto"/>
          <w:sz w:val="24"/>
          <w:szCs w:val="24"/>
          <w:highlight w:val="none"/>
          <w:lang w:val="en-US" w:eastAsia="zh-CN"/>
        </w:rPr>
        <w:t>退给中标人。</w:t>
      </w:r>
    </w:p>
    <w:p>
      <w:pPr>
        <w:pStyle w:val="30"/>
        <w:numPr>
          <w:ilvl w:val="1"/>
          <w:numId w:val="12"/>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停车管理要求</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禁止一切货车及有货箱的车辆停放（基建建设或临时施工除外），严禁装有易燃易爆等危险、化学物品的车辆进村及停放。</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必须登记好</w:t>
      </w:r>
      <w:r>
        <w:rPr>
          <w:rFonts w:hint="eastAsia" w:ascii="宋体" w:hAnsi="宋体" w:cs="宋体"/>
          <w:color w:val="auto"/>
          <w:sz w:val="24"/>
          <w:szCs w:val="24"/>
          <w:highlight w:val="none"/>
          <w:lang w:eastAsia="zh-CN"/>
        </w:rPr>
        <w:t>吉利竹甫村</w:t>
      </w:r>
      <w:r>
        <w:rPr>
          <w:rFonts w:hint="eastAsia" w:ascii="宋体" w:hAnsi="宋体" w:eastAsia="宋体" w:cs="宋体"/>
          <w:color w:val="auto"/>
          <w:sz w:val="24"/>
          <w:szCs w:val="24"/>
          <w:highlight w:val="none"/>
        </w:rPr>
        <w:t>的车辆号牌，电话号码，停放地点，车位使用人，住址等，外地的车辆月租车也必须登记其号牌，电话号码等，而且必须停在按规定划好的车位上，外地月租车和临时车按划好的车位有序停放</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必须与停车位使用人签订车位承诺责任书，对停车实行规范化管理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巡逻人员24小时巡逻车场并确保各停车位正常使用，督促所有车辆正确使用行车线和停车位，维持停车秩序，保证各车道、车场出入周围道路畅通。文明管理车场，不得以任何理由或形式向车主或司机索取任何利益或报酬。文明礼貌，用语规范，文明服务。在经营管理中如发生纠纷，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自行处理。</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进行车辆停放管理工作，中标人为保证村容村貌和交通顺畅，对于个别车辆不遵守“村区内停放规定”同时不服从工作人员协调，屡教不改乱停乱放的车辆，由中标人拉入黑名单处理（写保证书确保以后不发生同类情况的可以放行，超过3次不允许进入</w:t>
      </w:r>
      <w:r>
        <w:rPr>
          <w:rFonts w:hint="eastAsia" w:ascii="宋体" w:hAnsi="宋体" w:cs="宋体"/>
          <w:color w:val="auto"/>
          <w:sz w:val="24"/>
          <w:szCs w:val="24"/>
          <w:highlight w:val="none"/>
          <w:lang w:val="en-US" w:eastAsia="zh-CN"/>
        </w:rPr>
        <w:t>吉利竹甫村</w:t>
      </w:r>
      <w:r>
        <w:rPr>
          <w:rFonts w:hint="eastAsia" w:ascii="宋体" w:hAnsi="宋体" w:eastAsia="宋体" w:cs="宋体"/>
          <w:color w:val="auto"/>
          <w:sz w:val="24"/>
          <w:szCs w:val="24"/>
          <w:highlight w:val="none"/>
          <w:lang w:val="en-US" w:eastAsia="zh-CN"/>
        </w:rPr>
        <w:t>区内停车），如有必要村委治安队可协助中标人处理。</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所有停放在消防通道的车辆进行拉入黑名单处理（写保证书确保以后不发生同类情况的可以放行，超过3次不允许进入</w:t>
      </w:r>
      <w:r>
        <w:rPr>
          <w:rFonts w:hint="eastAsia" w:ascii="宋体" w:hAnsi="宋体" w:cs="宋体"/>
          <w:color w:val="auto"/>
          <w:sz w:val="24"/>
          <w:szCs w:val="24"/>
          <w:highlight w:val="none"/>
          <w:lang w:val="en-US" w:eastAsia="zh-CN"/>
        </w:rPr>
        <w:t>吉利竹甫村</w:t>
      </w:r>
      <w:r>
        <w:rPr>
          <w:rFonts w:hint="eastAsia" w:ascii="宋体" w:hAnsi="宋体" w:eastAsia="宋体" w:cs="宋体"/>
          <w:color w:val="auto"/>
          <w:sz w:val="24"/>
          <w:szCs w:val="24"/>
          <w:highlight w:val="none"/>
          <w:lang w:val="en-US" w:eastAsia="zh-CN"/>
        </w:rPr>
        <w:t>区内停车）。</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占用车位、消防通道、行车行人通道的乱摆卖问题处理方法：派放和张贴宣传单张进行不间断推广，不准占用位置乱摆卖，发现有此情况的，进行发放警告通知单，限定时间撤离现场。警告通知后拒绝撤离现场的，拉入黑名单或中标人通知执法相关部门协调进行处理。</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规范停车常见的手段有：积分制度，优惠取消，黑名单制度。</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系统需具备有智能巡检App，每次村内违停，巡检人员可以拍照上传到系统，前</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次可以告知和劝解，如果3次以上违规停车，取消车主对应的停车优惠。中标人在设置停车收费规则时，可以公示优惠后的价格，一旦违规按照原价收费。多次劝告无效的可以拉入黑名单，限制出入时间，优惠月票的购买等。</w:t>
      </w:r>
    </w:p>
    <w:p>
      <w:pPr>
        <w:pStyle w:val="30"/>
        <w:numPr>
          <w:ilvl w:val="0"/>
          <w:numId w:val="12"/>
        </w:numPr>
        <w:spacing w:line="360" w:lineRule="auto"/>
        <w:ind w:left="417" w:leftChars="0" w:hanging="417" w:hangingChars="17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停车应急预案</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救援</w:t>
      </w:r>
      <w:r>
        <w:rPr>
          <w:rFonts w:hint="eastAsia" w:ascii="宋体" w:hAnsi="宋体" w:cs="宋体"/>
          <w:b w:val="0"/>
          <w:bCs w:val="0"/>
          <w:color w:val="auto"/>
          <w:sz w:val="24"/>
          <w:szCs w:val="24"/>
          <w:highlight w:val="none"/>
          <w:lang w:val="en-US" w:eastAsia="zh-CN"/>
        </w:rPr>
        <w:t>车辆</w:t>
      </w:r>
      <w:r>
        <w:rPr>
          <w:rFonts w:hint="eastAsia" w:ascii="宋体" w:hAnsi="宋体" w:eastAsia="宋体" w:cs="宋体"/>
          <w:b w:val="0"/>
          <w:bCs w:val="0"/>
          <w:color w:val="auto"/>
          <w:sz w:val="24"/>
          <w:szCs w:val="24"/>
          <w:highlight w:val="none"/>
          <w:lang w:val="en-US" w:eastAsia="zh-CN"/>
        </w:rPr>
        <w:t>，提前远程开闸放行。警车，消防车等车辆默认设置自动放行。特殊情况，人为远程放</w:t>
      </w:r>
      <w:r>
        <w:rPr>
          <w:rFonts w:hint="eastAsia" w:ascii="宋体" w:hAnsi="宋体" w:eastAsia="宋体" w:cs="宋体"/>
          <w:color w:val="auto"/>
          <w:sz w:val="24"/>
          <w:szCs w:val="24"/>
          <w:highlight w:val="none"/>
          <w:lang w:val="en-US" w:eastAsia="zh-CN"/>
        </w:rPr>
        <w:t>行。</w:t>
      </w:r>
    </w:p>
    <w:p>
      <w:pPr>
        <w:pStyle w:val="30"/>
        <w:numPr>
          <w:ilvl w:val="1"/>
          <w:numId w:val="12"/>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停车系统可以接入消防联动信号，一旦有消防信号，所有停车闸杆自动抬杆。</w:t>
      </w:r>
    </w:p>
    <w:p>
      <w:pPr>
        <w:pStyle w:val="30"/>
        <w:numPr>
          <w:ilvl w:val="1"/>
          <w:numId w:val="12"/>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水灾，爆炸等异常情况发生时，24小时远程监控中心都会及时发现，巡检人员就近前往人工处理。保证道路畅行。</w:t>
      </w:r>
    </w:p>
    <w:p>
      <w:pPr>
        <w:pStyle w:val="30"/>
        <w:numPr>
          <w:ilvl w:val="0"/>
          <w:numId w:val="12"/>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考核标准和办法</w:t>
      </w:r>
    </w:p>
    <w:tbl>
      <w:tblPr>
        <w:tblStyle w:val="19"/>
        <w:tblW w:w="9389" w:type="dxa"/>
        <w:tblInd w:w="0" w:type="dxa"/>
        <w:shd w:val="clear" w:color="auto" w:fill="auto"/>
        <w:tblLayout w:type="fixed"/>
        <w:tblCellMar>
          <w:top w:w="0" w:type="dxa"/>
          <w:left w:w="10" w:type="dxa"/>
          <w:bottom w:w="0" w:type="dxa"/>
          <w:right w:w="10" w:type="dxa"/>
        </w:tblCellMar>
      </w:tblPr>
      <w:tblGrid>
        <w:gridCol w:w="643"/>
        <w:gridCol w:w="1373"/>
        <w:gridCol w:w="3437"/>
        <w:gridCol w:w="2715"/>
        <w:gridCol w:w="1221"/>
      </w:tblGrid>
      <w:tr>
        <w:tblPrEx>
          <w:shd w:val="clear" w:color="auto" w:fill="auto"/>
          <w:tblCellMar>
            <w:top w:w="0" w:type="dxa"/>
            <w:left w:w="10" w:type="dxa"/>
            <w:bottom w:w="0" w:type="dxa"/>
            <w:right w:w="10" w:type="dxa"/>
          </w:tblCellMar>
        </w:tblPrEx>
        <w:trPr>
          <w:trHeight w:val="562" w:hRule="exact"/>
        </w:trPr>
        <w:tc>
          <w:tcPr>
            <w:tcW w:w="2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lang w:val="en-US" w:eastAsia="zh-CN"/>
              </w:rPr>
              <w:t>考核</w:t>
            </w:r>
            <w:r>
              <w:rPr>
                <w:rFonts w:hint="eastAsia" w:ascii="宋体" w:hAnsi="宋体" w:eastAsia="宋体" w:cs="宋体"/>
                <w:color w:val="auto"/>
                <w:spacing w:val="0"/>
                <w:w w:val="100"/>
                <w:position w:val="0"/>
                <w:sz w:val="24"/>
                <w:szCs w:val="24"/>
                <w:highlight w:val="none"/>
              </w:rPr>
              <w:t>项目</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考核标准</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考核办法</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w w:val="100"/>
                <w:position w:val="0"/>
                <w:sz w:val="24"/>
                <w:szCs w:val="24"/>
                <w:highlight w:val="none"/>
              </w:rPr>
              <w:t>考核</w:t>
            </w:r>
            <w:r>
              <w:rPr>
                <w:rFonts w:hint="eastAsia" w:ascii="宋体" w:hAnsi="宋体" w:eastAsia="宋体" w:cs="宋体"/>
                <w:color w:val="auto"/>
                <w:spacing w:val="0"/>
                <w:w w:val="100"/>
                <w:position w:val="0"/>
                <w:sz w:val="24"/>
                <w:szCs w:val="24"/>
                <w:highlight w:val="none"/>
                <w:lang w:val="en-US" w:eastAsia="zh-CN"/>
              </w:rPr>
              <w:t>人员</w:t>
            </w:r>
          </w:p>
        </w:tc>
      </w:tr>
      <w:tr>
        <w:tblPrEx>
          <w:tblCellMar>
            <w:top w:w="0" w:type="dxa"/>
            <w:left w:w="10" w:type="dxa"/>
            <w:bottom w:w="0" w:type="dxa"/>
            <w:right w:w="10" w:type="dxa"/>
          </w:tblCellMar>
        </w:tblPrEx>
        <w:trPr>
          <w:trHeight w:val="1020"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质量</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人员资质</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从业人员要按时到岗、统一服装，</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文明礼貌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不符合要求的每项每人每次扣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12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招标人村两委干部及相关工作人员</w:t>
            </w:r>
          </w:p>
        </w:tc>
      </w:tr>
      <w:tr>
        <w:tblPrEx>
          <w:tblCellMar>
            <w:top w:w="0" w:type="dxa"/>
            <w:left w:w="10" w:type="dxa"/>
            <w:bottom w:w="0" w:type="dxa"/>
            <w:right w:w="10" w:type="dxa"/>
          </w:tblCellMar>
        </w:tblPrEx>
        <w:trPr>
          <w:trHeight w:val="1219"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从业人员熟练</w:t>
            </w:r>
            <w:r>
              <w:rPr>
                <w:rFonts w:hint="eastAsia" w:ascii="宋体" w:hAnsi="宋体" w:eastAsia="宋体" w:cs="宋体"/>
                <w:color w:val="auto"/>
                <w:sz w:val="24"/>
                <w:szCs w:val="24"/>
                <w:highlight w:val="none"/>
                <w:lang w:val="en-US" w:eastAsia="zh-CN"/>
              </w:rPr>
              <w:t>掌握业务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如村民群众对停车管理有疑问，</w:t>
            </w:r>
            <w:r>
              <w:rPr>
                <w:rFonts w:hint="eastAsia" w:ascii="宋体" w:hAnsi="宋体" w:eastAsia="宋体" w:cs="宋体"/>
                <w:color w:val="auto"/>
                <w:sz w:val="24"/>
                <w:szCs w:val="24"/>
                <w:highlight w:val="none"/>
              </w:rPr>
              <w:t>能够耐心细致解答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避免产生矛盾</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不符合要求的每人每次扣1分。</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设备管理</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定期</w:t>
            </w:r>
            <w:r>
              <w:rPr>
                <w:rFonts w:hint="eastAsia" w:ascii="宋体" w:hAnsi="宋体" w:eastAsia="宋体" w:cs="宋体"/>
                <w:color w:val="auto"/>
                <w:sz w:val="24"/>
                <w:szCs w:val="24"/>
                <w:highlight w:val="none"/>
              </w:rPr>
              <w:t>对设备运行情况进行检查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若设备产生故障，必须在24小时内完成维修</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因设备问题造成拥堵或其他影响的</w:t>
            </w:r>
            <w:r>
              <w:rPr>
                <w:rFonts w:hint="eastAsia" w:ascii="宋体" w:hAnsi="宋体" w:eastAsia="宋体" w:cs="宋体"/>
                <w:color w:val="auto"/>
                <w:sz w:val="24"/>
                <w:szCs w:val="24"/>
                <w:highlight w:val="none"/>
              </w:rPr>
              <w:t>，每次扣1分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7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交通</w:t>
            </w:r>
            <w:r>
              <w:rPr>
                <w:rFonts w:hint="eastAsia" w:ascii="宋体" w:hAnsi="宋体" w:eastAsia="宋体" w:cs="宋体"/>
                <w:color w:val="auto"/>
                <w:sz w:val="24"/>
                <w:szCs w:val="24"/>
                <w:highlight w:val="none"/>
                <w:lang w:val="en-US" w:eastAsia="zh-CN"/>
              </w:rPr>
              <w:t>及停车场</w:t>
            </w:r>
            <w:r>
              <w:rPr>
                <w:rFonts w:hint="eastAsia" w:ascii="宋体" w:hAnsi="宋体" w:eastAsia="宋体" w:cs="宋体"/>
                <w:color w:val="auto"/>
                <w:sz w:val="24"/>
                <w:szCs w:val="24"/>
                <w:highlight w:val="none"/>
              </w:rPr>
              <w:t>设施标识完好。</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缺失一处</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en-US"/>
              </w:rPr>
              <w:t>0.5</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50"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案作规程</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在车辆管理中不得扣押车辆停放者证件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财物</w:t>
            </w:r>
            <w:r>
              <w:rPr>
                <w:rFonts w:hint="eastAsia" w:ascii="宋体" w:hAnsi="宋体" w:eastAsia="宋体" w:cs="宋体"/>
                <w:color w:val="auto"/>
                <w:sz w:val="24"/>
                <w:szCs w:val="24"/>
                <w:highlight w:val="none"/>
                <w:lang w:val="en-US" w:eastAsia="zh-CN"/>
              </w:rPr>
              <w:t>等私人物品</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按与招标人约定收费标准对停放车辆进行收费及开具有效发票。</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667"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在停车场</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发生汽车车损</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事故</w:t>
            </w:r>
            <w:r>
              <w:rPr>
                <w:rFonts w:hint="eastAsia" w:ascii="宋体" w:hAnsi="宋体" w:eastAsia="宋体" w:cs="宋体"/>
                <w:color w:val="auto"/>
                <w:sz w:val="24"/>
                <w:szCs w:val="24"/>
                <w:highlight w:val="none"/>
                <w:lang w:val="en-US" w:eastAsia="zh-CN"/>
              </w:rPr>
              <w:t>等时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需主动</w:t>
            </w:r>
            <w:r>
              <w:rPr>
                <w:rFonts w:hint="eastAsia" w:ascii="宋体" w:hAnsi="宋体" w:eastAsia="宋体" w:cs="宋体"/>
                <w:color w:val="auto"/>
                <w:sz w:val="24"/>
                <w:szCs w:val="24"/>
                <w:highlight w:val="none"/>
              </w:rPr>
              <w:t>报警处</w:t>
            </w:r>
            <w:r>
              <w:rPr>
                <w:rFonts w:hint="eastAsia" w:ascii="宋体" w:hAnsi="宋体" w:eastAsia="宋体" w:cs="宋体"/>
                <w:color w:val="auto"/>
                <w:sz w:val="24"/>
                <w:szCs w:val="24"/>
                <w:highlight w:val="none"/>
                <w:lang w:val="en-US" w:eastAsia="zh-CN"/>
              </w:rPr>
              <w:t>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事故造成车辆</w:t>
            </w:r>
            <w:r>
              <w:rPr>
                <w:rFonts w:hint="eastAsia" w:ascii="宋体" w:hAnsi="宋体" w:eastAsia="宋体" w:cs="宋体"/>
                <w:color w:val="auto"/>
                <w:sz w:val="24"/>
                <w:szCs w:val="24"/>
                <w:highlight w:val="none"/>
              </w:rPr>
              <w:t>拥堵的，必须及时协调处理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分钟内</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疏通。</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违反一次</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3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要切实履行防火安全、门前三包、</w:t>
            </w:r>
            <w:r>
              <w:rPr>
                <w:rFonts w:hint="eastAsia" w:ascii="宋体" w:hAnsi="宋体" w:eastAsia="宋体" w:cs="宋体"/>
                <w:color w:val="auto"/>
                <w:sz w:val="24"/>
                <w:szCs w:val="24"/>
                <w:highlight w:val="none"/>
                <w:lang w:val="en-US" w:eastAsia="zh-CN"/>
              </w:rPr>
              <w:t>治安安全等</w:t>
            </w:r>
            <w:r>
              <w:rPr>
                <w:rFonts w:hint="eastAsia" w:ascii="宋体" w:hAnsi="宋体" w:eastAsia="宋体" w:cs="宋体"/>
                <w:color w:val="auto"/>
                <w:sz w:val="24"/>
                <w:szCs w:val="24"/>
                <w:highlight w:val="none"/>
              </w:rPr>
              <w:t>义务。</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产生问题一次</w:t>
            </w:r>
            <w:r>
              <w:rPr>
                <w:rFonts w:hint="eastAsia" w:ascii="宋体" w:hAnsi="宋体" w:eastAsia="宋体" w:cs="宋体"/>
                <w:color w:val="auto"/>
                <w:sz w:val="24"/>
                <w:szCs w:val="24"/>
                <w:highlight w:val="none"/>
              </w:rPr>
              <w:t>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单项</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w:t>
            </w: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若因服</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lang w:val="en-US" w:eastAsia="zh-CN"/>
              </w:rPr>
              <w:t>问题产生</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且经核实为有效投诉的</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rPr>
              <w:t>次扣3分。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412"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必须具备进行停车场管理运营及收费的资质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且办理相关许可证及备案手续，</w:t>
            </w:r>
            <w:r>
              <w:rPr>
                <w:rFonts w:hint="eastAsia" w:ascii="宋体" w:hAnsi="宋体" w:eastAsia="宋体" w:cs="宋体"/>
                <w:color w:val="auto"/>
                <w:sz w:val="24"/>
                <w:szCs w:val="24"/>
                <w:highlight w:val="none"/>
              </w:rPr>
              <w:t>按税收管理制度</w:t>
            </w:r>
            <w:r>
              <w:rPr>
                <w:rFonts w:hint="eastAsia" w:ascii="宋体" w:hAnsi="宋体" w:eastAsia="宋体" w:cs="宋体"/>
                <w:color w:val="auto"/>
                <w:sz w:val="24"/>
                <w:szCs w:val="24"/>
                <w:highlight w:val="none"/>
                <w:lang w:val="en-US" w:eastAsia="zh-CN"/>
              </w:rPr>
              <w:t>开具</w:t>
            </w:r>
            <w:r>
              <w:rPr>
                <w:rFonts w:hint="eastAsia" w:ascii="宋体" w:hAnsi="宋体" w:eastAsia="宋体" w:cs="宋体"/>
                <w:color w:val="auto"/>
                <w:sz w:val="24"/>
                <w:szCs w:val="24"/>
                <w:highlight w:val="none"/>
              </w:rPr>
              <w:t>发票。不得使用假票和涂改及与单位不相符的票</w:t>
            </w:r>
            <w:r>
              <w:rPr>
                <w:rFonts w:hint="eastAsia" w:ascii="宋体" w:hAnsi="宋体" w:eastAsia="宋体" w:cs="宋体"/>
                <w:color w:val="auto"/>
                <w:sz w:val="24"/>
                <w:szCs w:val="24"/>
                <w:highlight w:val="none"/>
                <w:lang w:val="en-US" w:eastAsia="zh-CN"/>
              </w:rPr>
              <w:t>证</w:t>
            </w:r>
            <w:r>
              <w:rPr>
                <w:rFonts w:hint="eastAsia" w:ascii="宋体" w:hAnsi="宋体" w:eastAsia="宋体" w:cs="宋体"/>
                <w:color w:val="auto"/>
                <w:sz w:val="24"/>
                <w:szCs w:val="24"/>
                <w:highlight w:val="none"/>
              </w:rPr>
              <w:t>，不得伪造有关证照和票据。</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一次扣3分。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因设备或管理原因</w:t>
            </w:r>
            <w:r>
              <w:rPr>
                <w:rFonts w:hint="eastAsia" w:ascii="宋体" w:hAnsi="宋体" w:eastAsia="宋体" w:cs="宋体"/>
                <w:color w:val="auto"/>
                <w:sz w:val="24"/>
                <w:szCs w:val="24"/>
                <w:highlight w:val="none"/>
              </w:rPr>
              <w:t>导致</w:t>
            </w:r>
            <w:r>
              <w:rPr>
                <w:rFonts w:hint="eastAsia" w:ascii="宋体" w:hAnsi="宋体" w:eastAsia="宋体" w:cs="宋体"/>
                <w:color w:val="auto"/>
                <w:sz w:val="24"/>
                <w:szCs w:val="24"/>
                <w:highlight w:val="none"/>
                <w:lang w:val="en-US" w:eastAsia="zh-CN"/>
              </w:rPr>
              <w:t>停放</w:t>
            </w:r>
            <w:r>
              <w:rPr>
                <w:rFonts w:hint="eastAsia" w:ascii="宋体" w:hAnsi="宋体" w:eastAsia="宋体" w:cs="宋体"/>
                <w:color w:val="auto"/>
                <w:sz w:val="24"/>
                <w:szCs w:val="24"/>
                <w:highlight w:val="none"/>
              </w:rPr>
              <w:t>车辆损坏</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5分钟内</w:t>
            </w:r>
            <w:r>
              <w:rPr>
                <w:rFonts w:hint="eastAsia" w:ascii="宋体" w:hAnsi="宋体" w:eastAsia="宋体" w:cs="宋体"/>
                <w:color w:val="auto"/>
                <w:sz w:val="24"/>
                <w:szCs w:val="24"/>
                <w:highlight w:val="none"/>
                <w:lang w:val="en-US" w:eastAsia="zh-CN"/>
              </w:rPr>
              <w:t>到场</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val="en-US" w:eastAsia="zh-CN"/>
              </w:rPr>
              <w:t>化</w:t>
            </w:r>
            <w:r>
              <w:rPr>
                <w:rFonts w:hint="eastAsia" w:ascii="宋体" w:hAnsi="宋体" w:eastAsia="宋体" w:cs="宋体"/>
                <w:color w:val="auto"/>
                <w:sz w:val="24"/>
                <w:szCs w:val="24"/>
                <w:highlight w:val="none"/>
              </w:rPr>
              <w:t>解。</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一次1分。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375"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若有建</w:t>
            </w:r>
            <w:r>
              <w:rPr>
                <w:rFonts w:hint="eastAsia" w:ascii="宋体" w:hAnsi="宋体" w:eastAsia="宋体" w:cs="宋体"/>
                <w:color w:val="auto"/>
                <w:sz w:val="24"/>
                <w:szCs w:val="24"/>
                <w:highlight w:val="none"/>
              </w:rPr>
              <w:t>筑</w:t>
            </w:r>
            <w:r>
              <w:rPr>
                <w:rFonts w:hint="eastAsia" w:ascii="宋体" w:hAnsi="宋体" w:eastAsia="宋体" w:cs="宋体"/>
                <w:color w:val="auto"/>
                <w:sz w:val="24"/>
                <w:szCs w:val="24"/>
                <w:highlight w:val="none"/>
                <w:lang w:val="en-US" w:eastAsia="zh-CN"/>
              </w:rPr>
              <w:t>杂物</w:t>
            </w:r>
            <w:r>
              <w:rPr>
                <w:rFonts w:hint="eastAsia" w:ascii="宋体" w:hAnsi="宋体" w:eastAsia="宋体" w:cs="宋体"/>
                <w:color w:val="auto"/>
                <w:sz w:val="24"/>
                <w:szCs w:val="24"/>
                <w:highlight w:val="none"/>
              </w:rPr>
              <w:t>、乱摆卖摊</w:t>
            </w:r>
            <w:r>
              <w:rPr>
                <w:rFonts w:hint="eastAsia" w:ascii="宋体" w:hAnsi="宋体" w:eastAsia="宋体" w:cs="宋体"/>
                <w:color w:val="auto"/>
                <w:sz w:val="24"/>
                <w:szCs w:val="24"/>
                <w:highlight w:val="none"/>
                <w:lang w:val="en-US" w:eastAsia="zh-CN"/>
              </w:rPr>
              <w:t>档等占用</w:t>
            </w:r>
            <w:r>
              <w:rPr>
                <w:rFonts w:hint="eastAsia" w:ascii="宋体" w:hAnsi="宋体" w:eastAsia="宋体" w:cs="宋体"/>
                <w:color w:val="auto"/>
                <w:sz w:val="24"/>
                <w:szCs w:val="24"/>
                <w:highlight w:val="none"/>
              </w:rPr>
              <w:t>停车位、消防通道、行车通道</w:t>
            </w:r>
            <w:r>
              <w:rPr>
                <w:rFonts w:hint="eastAsia" w:ascii="宋体" w:hAnsi="宋体" w:eastAsia="宋体" w:cs="宋体"/>
                <w:color w:val="auto"/>
                <w:sz w:val="24"/>
                <w:szCs w:val="24"/>
                <w:highlight w:val="none"/>
                <w:lang w:val="en-US" w:eastAsia="zh-CN"/>
              </w:rPr>
              <w:t>等情况的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需5分钟内到场处理；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3次以上</w:t>
            </w:r>
            <w:r>
              <w:rPr>
                <w:rFonts w:hint="eastAsia" w:ascii="宋体" w:hAnsi="宋体" w:eastAsia="宋体" w:cs="宋体"/>
                <w:color w:val="auto"/>
                <w:sz w:val="24"/>
                <w:szCs w:val="24"/>
                <w:highlight w:val="none"/>
              </w:rPr>
              <w:t>占用</w:t>
            </w:r>
            <w:r>
              <w:rPr>
                <w:rFonts w:hint="eastAsia" w:ascii="宋体" w:hAnsi="宋体" w:eastAsia="宋体" w:cs="宋体"/>
                <w:color w:val="auto"/>
                <w:sz w:val="24"/>
                <w:szCs w:val="24"/>
                <w:highlight w:val="none"/>
                <w:lang w:val="en-US" w:eastAsia="zh-CN"/>
              </w:rPr>
              <w:t>行车通道</w:t>
            </w:r>
            <w:r>
              <w:rPr>
                <w:rFonts w:hint="eastAsia" w:ascii="宋体" w:hAnsi="宋体" w:eastAsia="宋体" w:cs="宋体"/>
                <w:color w:val="auto"/>
                <w:sz w:val="24"/>
                <w:szCs w:val="24"/>
                <w:highlight w:val="none"/>
              </w:rPr>
              <w:t>、消防通道</w:t>
            </w:r>
            <w:r>
              <w:rPr>
                <w:rFonts w:hint="eastAsia" w:ascii="宋体" w:hAnsi="宋体" w:eastAsia="宋体" w:cs="宋体"/>
                <w:color w:val="auto"/>
                <w:sz w:val="24"/>
                <w:szCs w:val="24"/>
                <w:highlight w:val="none"/>
                <w:lang w:val="en-US" w:eastAsia="zh-CN"/>
              </w:rPr>
              <w:t>等的车辆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lang w:val="en-US" w:eastAsia="zh-CN"/>
              </w:rPr>
              <w:t>处理，</w:t>
            </w:r>
            <w:r>
              <w:rPr>
                <w:rFonts w:hint="eastAsia" w:ascii="宋体" w:hAnsi="宋体" w:eastAsia="宋体" w:cs="宋体"/>
                <w:color w:val="auto"/>
                <w:sz w:val="24"/>
                <w:szCs w:val="24"/>
                <w:highlight w:val="none"/>
              </w:rPr>
              <w:t>禁止</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车辆进入村内。</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未按要求处理</w:t>
            </w:r>
            <w:r>
              <w:rPr>
                <w:rFonts w:hint="eastAsia" w:ascii="宋体" w:hAnsi="宋体" w:eastAsia="宋体" w:cs="宋体"/>
                <w:color w:val="auto"/>
                <w:sz w:val="24"/>
                <w:szCs w:val="24"/>
                <w:highlight w:val="none"/>
              </w:rPr>
              <w:t>一次</w:t>
            </w:r>
            <w:r>
              <w:rPr>
                <w:rFonts w:hint="eastAsia" w:ascii="宋体" w:hAnsi="宋体" w:eastAsia="宋体" w:cs="宋体"/>
                <w:color w:val="auto"/>
                <w:sz w:val="24"/>
                <w:szCs w:val="24"/>
                <w:highlight w:val="none"/>
                <w:lang w:val="en-US" w:eastAsia="zh-CN"/>
              </w:rPr>
              <w:t>扣</w:t>
            </w:r>
            <w:r>
              <w:rPr>
                <w:rFonts w:hint="eastAsia" w:ascii="宋体" w:hAnsi="宋体" w:eastAsia="宋体" w:cs="宋体"/>
                <w:color w:val="auto"/>
                <w:sz w:val="24"/>
                <w:szCs w:val="24"/>
                <w:highlight w:val="none"/>
              </w:rPr>
              <w:t>1分</w:t>
            </w:r>
          </w:p>
        </w:tc>
        <w:tc>
          <w:tcPr>
            <w:tcW w:w="1221" w:type="dxa"/>
            <w:vMerge w:val="continue"/>
            <w:tcBorders>
              <w:left w:val="single" w:color="auto" w:sz="4" w:space="0"/>
              <w:bottom w:val="single" w:color="auto" w:sz="4" w:space="0"/>
              <w:right w:val="single" w:color="auto" w:sz="4" w:space="0"/>
            </w:tcBorders>
            <w:shd w:val="clear" w:color="auto" w:fill="auto"/>
            <w:vAlign w:val="top"/>
          </w:tcPr>
          <w:p>
            <w:pPr>
              <w:widowControl w:val="0"/>
              <w:rPr>
                <w:rFonts w:hint="eastAsia" w:ascii="宋体" w:hAnsi="宋体" w:eastAsia="宋体" w:cs="宋体"/>
                <w:color w:val="auto"/>
                <w:sz w:val="24"/>
                <w:szCs w:val="24"/>
                <w:highlight w:val="none"/>
              </w:rPr>
            </w:pPr>
          </w:p>
        </w:tc>
      </w:tr>
    </w:tbl>
    <w:p>
      <w:pPr>
        <w:pStyle w:val="30"/>
        <w:numPr>
          <w:ilvl w:val="0"/>
          <w:numId w:val="0"/>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每季度考核一次，考核总分为100分，具体考核制度</w:t>
      </w:r>
      <w:r>
        <w:rPr>
          <w:rFonts w:hint="eastAsia" w:ascii="宋体" w:hAnsi="宋体" w:eastAsia="宋体" w:cs="宋体"/>
          <w:color w:val="auto"/>
          <w:sz w:val="24"/>
          <w:szCs w:val="24"/>
          <w:highlight w:val="none"/>
          <w:lang w:val="en-US" w:eastAsia="zh-CN"/>
        </w:rPr>
        <w:t>和</w:t>
      </w:r>
      <w:r>
        <w:rPr>
          <w:rFonts w:hint="eastAsia" w:ascii="宋体" w:hAnsi="宋体" w:eastAsia="宋体" w:cs="宋体"/>
          <w:b/>
          <w:bCs/>
          <w:color w:val="auto"/>
          <w:sz w:val="24"/>
          <w:szCs w:val="24"/>
          <w:highlight w:val="none"/>
          <w:lang w:val="en-US" w:eastAsia="zh-CN"/>
        </w:rPr>
        <w:t>监管惩罚金额</w:t>
      </w:r>
      <w:r>
        <w:rPr>
          <w:rFonts w:hint="eastAsia" w:ascii="宋体" w:hAnsi="宋体" w:eastAsia="宋体" w:cs="宋体"/>
          <w:color w:val="auto"/>
          <w:sz w:val="24"/>
          <w:szCs w:val="24"/>
          <w:highlight w:val="none"/>
        </w:rPr>
        <w:t>如下:</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若合同签订之日起半年内出现一次考核得分低于80分的为不达标，招标人可以单方解除本合同，并</w:t>
      </w:r>
      <w:r>
        <w:rPr>
          <w:rFonts w:hint="eastAsia" w:ascii="宋体" w:hAnsi="宋体" w:cs="宋体"/>
          <w:color w:val="auto"/>
          <w:sz w:val="24"/>
          <w:szCs w:val="24"/>
          <w:highlight w:val="none"/>
          <w:lang w:eastAsia="zh-CN"/>
        </w:rPr>
        <w:t>不予退还中标人履约保证金</w:t>
      </w:r>
      <w:r>
        <w:rPr>
          <w:rFonts w:hint="eastAsia" w:ascii="宋体" w:hAnsi="宋体" w:eastAsia="宋体" w:cs="宋体"/>
          <w:color w:val="auto"/>
          <w:sz w:val="24"/>
          <w:szCs w:val="24"/>
          <w:highlight w:val="none"/>
        </w:rPr>
        <w:t>和不退回已交的服务费，且中标人投入建设安装的一切设施设备无偿归招标人所有。</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若当年有2个或以上季度考核得分低于80分，</w:t>
      </w:r>
      <w:r>
        <w:rPr>
          <w:rFonts w:hint="eastAsia" w:ascii="宋体" w:hAnsi="宋体" w:cs="宋体"/>
          <w:color w:val="auto"/>
          <w:sz w:val="24"/>
          <w:szCs w:val="24"/>
          <w:highlight w:val="none"/>
          <w:lang w:eastAsia="zh-CN"/>
        </w:rPr>
        <w:t>招</w:t>
      </w:r>
      <w:r>
        <w:rPr>
          <w:rFonts w:hint="eastAsia" w:ascii="宋体" w:hAnsi="宋体" w:eastAsia="宋体" w:cs="宋体"/>
          <w:color w:val="auto"/>
          <w:sz w:val="24"/>
          <w:szCs w:val="24"/>
          <w:highlight w:val="none"/>
        </w:rPr>
        <w:t>标人可以单方解除本合同，并</w:t>
      </w:r>
      <w:r>
        <w:rPr>
          <w:rFonts w:hint="eastAsia" w:ascii="宋体" w:hAnsi="宋体" w:cs="宋体"/>
          <w:color w:val="auto"/>
          <w:sz w:val="24"/>
          <w:szCs w:val="24"/>
          <w:highlight w:val="none"/>
          <w:lang w:eastAsia="zh-CN"/>
        </w:rPr>
        <w:t>不予退还中标人履约保证金</w:t>
      </w:r>
      <w:r>
        <w:rPr>
          <w:rFonts w:hint="eastAsia" w:ascii="宋体" w:hAnsi="宋体" w:eastAsia="宋体" w:cs="宋体"/>
          <w:color w:val="auto"/>
          <w:sz w:val="24"/>
          <w:szCs w:val="24"/>
          <w:highlight w:val="none"/>
        </w:rPr>
        <w:t>和不退回已交的服务费，且中标人投入建设安装的一切设施设备无偿归招标人所有。</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有权监督中标人依据双方约定事项进行日常管理：若因服务问题工作人员工作不积极而导致管理不善致道路因乱停放的现象多，产生堵塞而被村民投诉或拍照影相不符合停车要求的，且经由村干部核实为有效投诉的，将由招标人对中标人进行金额惩罚，惩罚金额200元或以上最终解释权归招标人。</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可对中标人进行约谈，要求加强巡查整改，如因中标人工作人员态度不好导致处事不公而引发纠纷案或投诉案多的，招标人有权要求中标人在限期内整改并更换人员，如中标人限期拒不整改的，视为中标人根本违约，招标人有权单方面解除合同，</w:t>
      </w:r>
      <w:r>
        <w:rPr>
          <w:rFonts w:hint="eastAsia" w:ascii="宋体" w:hAnsi="宋体" w:cs="宋体"/>
          <w:color w:val="auto"/>
          <w:sz w:val="24"/>
          <w:szCs w:val="24"/>
          <w:highlight w:val="none"/>
          <w:lang w:eastAsia="zh-CN"/>
        </w:rPr>
        <w:t>不予退还中标人履约保证金</w:t>
      </w:r>
      <w:r>
        <w:rPr>
          <w:rFonts w:hint="eastAsia" w:ascii="宋体" w:hAnsi="宋体" w:eastAsia="宋体" w:cs="宋体"/>
          <w:color w:val="auto"/>
          <w:sz w:val="24"/>
          <w:szCs w:val="24"/>
          <w:highlight w:val="none"/>
        </w:rPr>
        <w:t>和不退回已交的服务费，中标人投入建设安装的一切设施设备无偿归招标人所有。</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招标人有权监督中标人依据双方约定事项进行日常管理</w:t>
      </w:r>
      <w:r>
        <w:rPr>
          <w:rStyle w:val="37"/>
          <w:rFonts w:hint="eastAsia" w:ascii="宋体" w:hAnsi="宋体" w:eastAsia="宋体" w:cs="宋体"/>
          <w:b w:val="0"/>
          <w:color w:val="auto"/>
          <w:sz w:val="24"/>
          <w:szCs w:val="24"/>
          <w:highlight w:val="none"/>
        </w:rPr>
        <w:t>。</w:t>
      </w:r>
    </w:p>
    <w:p>
      <w:pPr>
        <w:spacing w:line="460" w:lineRule="exact"/>
        <w:ind w:left="417" w:leftChars="0" w:hanging="417" w:hangingChars="173"/>
        <w:jc w:val="center"/>
        <w:outlineLvl w:val="1"/>
        <w:rPr>
          <w:rFonts w:hint="eastAsia" w:ascii="宋体" w:hAnsi="宋体" w:eastAsia="宋体" w:cs="宋体"/>
          <w:b/>
          <w:color w:val="auto"/>
          <w:sz w:val="24"/>
          <w:szCs w:val="24"/>
          <w:highlight w:val="none"/>
          <w:lang w:eastAsia="zh-CN"/>
        </w:rPr>
      </w:pPr>
    </w:p>
    <w:p>
      <w:pPr>
        <w:spacing w:line="460" w:lineRule="exact"/>
        <w:ind w:left="417" w:leftChars="0" w:hanging="417" w:hangingChars="173"/>
        <w:jc w:val="center"/>
        <w:outlineLvl w:val="1"/>
        <w:rPr>
          <w:rFonts w:hint="eastAsia" w:ascii="宋体" w:hAnsi="宋体" w:eastAsia="宋体" w:cs="宋体"/>
          <w:b/>
          <w:color w:val="auto"/>
          <w:sz w:val="24"/>
          <w:szCs w:val="24"/>
          <w:highlight w:val="none"/>
          <w:lang w:eastAsia="zh-CN"/>
        </w:rPr>
      </w:pPr>
      <w:bookmarkStart w:id="30" w:name="_Toc10156"/>
      <w:r>
        <w:rPr>
          <w:rFonts w:hint="eastAsia" w:ascii="宋体" w:hAnsi="宋体" w:eastAsia="宋体" w:cs="宋体"/>
          <w:b/>
          <w:color w:val="auto"/>
          <w:sz w:val="24"/>
          <w:szCs w:val="24"/>
          <w:highlight w:val="none"/>
          <w:lang w:eastAsia="zh-CN"/>
        </w:rPr>
        <w:t>三、项目商务要求</w:t>
      </w:r>
      <w:bookmarkEnd w:id="30"/>
    </w:p>
    <w:p>
      <w:pPr>
        <w:pStyle w:val="6"/>
        <w:ind w:left="415" w:leftChars="0" w:hanging="415" w:hangingChars="173"/>
        <w:rPr>
          <w:rFonts w:hint="eastAsia" w:ascii="宋体" w:hAnsi="宋体" w:eastAsia="宋体" w:cs="宋体"/>
          <w:color w:val="auto"/>
          <w:sz w:val="24"/>
          <w:szCs w:val="24"/>
          <w:highlight w:val="none"/>
        </w:rPr>
      </w:pPr>
    </w:p>
    <w:p>
      <w:pPr>
        <w:pStyle w:val="30"/>
        <w:numPr>
          <w:ilvl w:val="0"/>
          <w:numId w:val="13"/>
        </w:numPr>
        <w:spacing w:line="360" w:lineRule="auto"/>
        <w:ind w:left="624" w:leftChars="0" w:hanging="624"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★基本商务要求一览表</w:t>
      </w:r>
    </w:p>
    <w:tbl>
      <w:tblPr>
        <w:tblStyle w:val="19"/>
        <w:tblW w:w="9318" w:type="dxa"/>
        <w:tblInd w:w="-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45"/>
        <w:gridCol w:w="2050"/>
        <w:gridCol w:w="65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6523"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50" w:type="dxa"/>
            <w:tcBorders>
              <w:tl2br w:val="nil"/>
              <w:tr2bl w:val="nil"/>
            </w:tcBorders>
            <w:noWrap w:val="0"/>
            <w:vAlign w:val="center"/>
          </w:tcPr>
          <w:p>
            <w:pPr>
              <w:ind w:left="415" w:leftChars="0" w:hanging="415" w:hangingChars="17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最低限价（由中标</w:t>
            </w:r>
          </w:p>
          <w:p>
            <w:pPr>
              <w:ind w:left="415" w:leftChars="0" w:hanging="415" w:hangingChars="17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支付）</w:t>
            </w:r>
          </w:p>
        </w:tc>
        <w:tc>
          <w:tcPr>
            <w:tcW w:w="6523"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150,000.00元/年</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2"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6523" w:type="dxa"/>
            <w:tcBorders>
              <w:tl2br w:val="nil"/>
              <w:tr2bl w:val="nil"/>
            </w:tcBorders>
            <w:noWrap w:val="0"/>
            <w:vAlign w:val="center"/>
          </w:tcPr>
          <w:p>
            <w:pPr>
              <w:numPr>
                <w:ilvl w:val="0"/>
                <w:numId w:val="14"/>
              </w:numPr>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报价不得低于本项目的最低限价，否则为无效报价。</w:t>
            </w:r>
          </w:p>
          <w:p>
            <w:pPr>
              <w:numPr>
                <w:ilvl w:val="0"/>
                <w:numId w:val="14"/>
              </w:numPr>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本项目报价方式为固定总价包干。投标报价为</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支付给</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费用。包括但不限于以下各项的支出费用由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另外自行承担：（1）工人工资、福利：人工费、劳工意外保险、工伤、医疗、</w:t>
            </w:r>
            <w:r>
              <w:rPr>
                <w:rFonts w:hint="eastAsia" w:ascii="宋体" w:hAnsi="宋体" w:eastAsia="宋体" w:cs="宋体"/>
                <w:color w:val="auto"/>
                <w:sz w:val="24"/>
                <w:szCs w:val="24"/>
                <w:highlight w:val="none"/>
                <w:lang w:eastAsia="zh-CN"/>
              </w:rPr>
              <w:t>失业</w:t>
            </w:r>
            <w:r>
              <w:rPr>
                <w:rFonts w:hint="eastAsia" w:ascii="宋体" w:hAnsi="宋体" w:eastAsia="宋体" w:cs="宋体"/>
                <w:color w:val="auto"/>
                <w:sz w:val="24"/>
                <w:szCs w:val="24"/>
                <w:highlight w:val="none"/>
              </w:rPr>
              <w:t>、养老保险、其他福利待遇、特殊人员体检费；（2）劳保用品、服装费：一切劳保用品、服装费用；（3）培训费：全体人员一切专业培训、办证费用；（4）员工的住宿及住宿费用；（5）项目运营、停车管理、软硬件投资建设和维护及服务等所发生的一切费用；（6）提供停车费全额含税发票；（7）合同实施过程中的应预见和不可预见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65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5年</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具体起止日期以合同约定为准。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46"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停车费收取方式</w:t>
            </w:r>
          </w:p>
        </w:tc>
        <w:tc>
          <w:tcPr>
            <w:tcW w:w="6523"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中标人按照本合同制定的车辆管理费收费标准，对进入</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辖区内停放的外来车辆收取车辆管理维护</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w:t>
            </w:r>
          </w:p>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中标人在合同期内按季度向</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支付</w:t>
            </w:r>
            <w:r>
              <w:rPr>
                <w:rFonts w:hint="eastAsia" w:ascii="宋体" w:hAnsi="宋体" w:cs="宋体"/>
                <w:color w:val="auto"/>
                <w:sz w:val="24"/>
                <w:szCs w:val="24"/>
                <w:highlight w:val="none"/>
                <w:lang w:eastAsia="zh-CN"/>
              </w:rPr>
              <w:t>车辆停放管理服务维护费</w:t>
            </w:r>
            <w:r>
              <w:rPr>
                <w:rFonts w:hint="eastAsia" w:ascii="宋体" w:hAnsi="宋体" w:eastAsia="宋体" w:cs="宋体"/>
                <w:color w:val="auto"/>
                <w:sz w:val="24"/>
                <w:szCs w:val="24"/>
                <w:highlight w:val="none"/>
              </w:rPr>
              <w:t>：</w:t>
            </w:r>
          </w:p>
          <w:p>
            <w:pPr>
              <w:numPr>
                <w:ilvl w:val="0"/>
                <w:numId w:val="15"/>
              </w:numPr>
              <w:ind w:left="415" w:leftChars="0" w:hanging="415" w:hangingChars="17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按季度支付管理车辆维护服务费，中标人须在合同签订之日起5天内向</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支付</w:t>
            </w:r>
            <w:r>
              <w:rPr>
                <w:rFonts w:hint="eastAsia" w:ascii="宋体" w:hAnsi="宋体" w:cs="宋体"/>
                <w:color w:val="auto"/>
                <w:sz w:val="24"/>
                <w:szCs w:val="24"/>
                <w:highlight w:val="none"/>
                <w:lang w:val="en-US" w:eastAsia="zh-CN"/>
              </w:rPr>
              <w:t>第一季度</w:t>
            </w:r>
            <w:r>
              <w:rPr>
                <w:rFonts w:hint="eastAsia" w:ascii="宋体" w:hAnsi="宋体" w:eastAsia="宋体" w:cs="宋体"/>
                <w:color w:val="auto"/>
                <w:sz w:val="24"/>
                <w:szCs w:val="24"/>
                <w:highlight w:val="none"/>
              </w:rPr>
              <w:t>管理车辆维护服务费</w:t>
            </w:r>
            <w:r>
              <w:rPr>
                <w:rFonts w:hint="eastAsia" w:ascii="宋体" w:hAnsi="宋体" w:cs="宋体"/>
                <w:color w:val="auto"/>
                <w:sz w:val="24"/>
                <w:szCs w:val="24"/>
                <w:highlight w:val="none"/>
                <w:lang w:eastAsia="zh-CN"/>
              </w:rPr>
              <w:t>。</w:t>
            </w:r>
          </w:p>
          <w:p>
            <w:pPr>
              <w:numPr>
                <w:ilvl w:val="0"/>
                <w:numId w:val="15"/>
              </w:numPr>
              <w:ind w:left="415" w:leftChars="0" w:hanging="415" w:hangingChars="17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按先支付后管理使用原则，逾期15日未付清的视作根本性违约，</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有权单方解除本合同，并</w:t>
            </w:r>
            <w:r>
              <w:rPr>
                <w:rFonts w:hint="eastAsia" w:ascii="宋体" w:hAnsi="宋体" w:cs="宋体"/>
                <w:color w:val="auto"/>
                <w:sz w:val="24"/>
                <w:szCs w:val="24"/>
                <w:highlight w:val="none"/>
                <w:lang w:eastAsia="zh-CN"/>
              </w:rPr>
              <w:t>不予退还中标人履约全部履约</w:t>
            </w:r>
            <w:r>
              <w:rPr>
                <w:rFonts w:hint="eastAsia" w:ascii="宋体" w:hAnsi="宋体" w:eastAsia="宋体" w:cs="宋体"/>
                <w:color w:val="auto"/>
                <w:sz w:val="24"/>
                <w:szCs w:val="24"/>
                <w:highlight w:val="none"/>
              </w:rPr>
              <w:t>保证金，中标人投入建设安装的一切设施设备无偿归</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所有。</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在收取服务费时只提供</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开具的收据，如需要开具发票，所产生的税费由中标人承担。</w:t>
            </w:r>
          </w:p>
          <w:p>
            <w:pPr>
              <w:numPr>
                <w:ilvl w:val="0"/>
                <w:numId w:val="15"/>
              </w:numPr>
              <w:ind w:left="415" w:leftChars="0" w:hanging="415" w:hangingChars="17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如租户需要开具发票以及所产生的税费也由中标人承担。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523"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自提交投标文件的截止之日起</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投标有效期延至合同验收之日。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95"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合同履约保证金</w:t>
            </w:r>
          </w:p>
        </w:tc>
        <w:tc>
          <w:tcPr>
            <w:tcW w:w="6523"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履约保证金为</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万元。中标人在中标通知书发出3个工作日内，应以银行转账的方式向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交纳履约保证金。如中标人无违约行为的，服务期结束后30日内，</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将履约保证金全额无息退还给中标人。中标人不按要求提交履约保证金的，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有权解除合同，取消中标人的成交资格，</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不予退还。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5"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6523" w:type="dxa"/>
            <w:tcBorders>
              <w:tl2br w:val="nil"/>
              <w:tr2bl w:val="nil"/>
            </w:tcBorders>
            <w:noWrap w:val="0"/>
            <w:vAlign w:val="center"/>
          </w:tcPr>
          <w:p>
            <w:pPr>
              <w:numPr>
                <w:ilvl w:val="-1"/>
                <w:numId w:val="0"/>
              </w:numPr>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合同期结束或由于其他原因导致合同终止安装的设施设备归</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所有，合同结束设施设备交付给</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时设施设备必须保证完整，状态完好，能正常使用，否则保证金不作退回。</w:t>
            </w:r>
          </w:p>
        </w:tc>
      </w:tr>
    </w:tbl>
    <w:p>
      <w:pPr>
        <w:spacing w:after="100" w:afterAutospacing="1"/>
        <w:ind w:left="415" w:leftChars="0" w:hanging="415" w:hangingChars="173"/>
        <w:rPr>
          <w:rFonts w:hint="eastAsia" w:ascii="宋体" w:hAnsi="宋体" w:eastAsia="宋体" w:cs="宋体"/>
          <w:color w:val="auto"/>
          <w:sz w:val="24"/>
          <w:szCs w:val="24"/>
          <w:highlight w:val="none"/>
          <w:lang w:eastAsia="zh-CN"/>
        </w:rPr>
      </w:pPr>
    </w:p>
    <w:p>
      <w:pPr>
        <w:pStyle w:val="30"/>
        <w:numPr>
          <w:ilvl w:val="0"/>
          <w:numId w:val="13"/>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本项目</w:t>
      </w:r>
      <w:r>
        <w:rPr>
          <w:rFonts w:hint="eastAsia" w:ascii="宋体" w:hAnsi="宋体" w:eastAsia="宋体" w:cs="宋体"/>
          <w:b/>
          <w:color w:val="auto"/>
          <w:sz w:val="24"/>
          <w:szCs w:val="24"/>
          <w:highlight w:val="none"/>
        </w:rPr>
        <w:t>验收要求</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（乙方）须为验收提供必需的一切条件及相关费用。</w:t>
      </w:r>
    </w:p>
    <w:p>
      <w:pPr>
        <w:pStyle w:val="30"/>
        <w:numPr>
          <w:ilvl w:val="0"/>
          <w:numId w:val="13"/>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项目验收依次序对照执行标准</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符合中华人民共和国国家和履约地相关安全质量标准、行业技术规范标准。</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符合招标文件和投标承诺中各方共同认可的各项合理要求；</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上述各类标准与法规必须是有关官方机构最新发布的现行标准版本</w:t>
      </w:r>
      <w:r>
        <w:rPr>
          <w:rFonts w:hint="eastAsia" w:ascii="宋体" w:hAnsi="宋体" w:eastAsia="宋体" w:cs="宋体"/>
          <w:color w:val="auto"/>
          <w:sz w:val="24"/>
          <w:szCs w:val="24"/>
          <w:highlight w:val="none"/>
          <w:lang w:val="zh-CN"/>
        </w:rPr>
        <w:t>。</w:t>
      </w:r>
    </w:p>
    <w:p>
      <w:pPr>
        <w:pStyle w:val="30"/>
        <w:numPr>
          <w:ilvl w:val="0"/>
          <w:numId w:val="13"/>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的权利和义务</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提出采购项目服务的意见和建议</w:t>
      </w:r>
      <w:r>
        <w:rPr>
          <w:rFonts w:hint="eastAsia" w:ascii="宋体" w:hAnsi="宋体" w:eastAsia="宋体" w:cs="宋体"/>
          <w:color w:val="auto"/>
          <w:sz w:val="24"/>
          <w:szCs w:val="24"/>
          <w:highlight w:val="none"/>
          <w:lang w:eastAsia="zh-CN"/>
        </w:rPr>
        <w:t>。</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招标人有义务配合中标人做好各项日常管理工作，中标人应根据招标人建议制定有关管理制度和措施执行。招标人有权对中标人的管理方案进行检查及合理修改，共同优化管理工作。</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有权对中标人的日常管理工作进行监管检查，每季度进行一次全面考核评定，如中标人因管理不善或管理失误，给招标人造成严重负面影响或导致经济受损的，招标人有权单方面终止合同，并视中标人根本违约处理（</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和不退回已交的服务费，中标人投入建设安装的一切设施设备无偿归招标人所有，并赔偿招标人的经济损失）。</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为确保其依法具有收取车辆管理费的资格及权利，已严格按照有关法律程序研究制定出相关的收费及管理的村规民约，并经党员及村民代表大会表决通过及予以公布后实施，以便于中标人按规定管理及收费。在收费过程中所产生的纠纷投诉，中标人应自行负责处理。重大事件招标人有义务协助处理。</w:t>
      </w:r>
    </w:p>
    <w:p>
      <w:pPr>
        <w:pStyle w:val="30"/>
        <w:numPr>
          <w:ilvl w:val="1"/>
          <w:numId w:val="13"/>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招标人对本辖区内的所有土地拥有使用权，中标人如需规划增设停车位置时必经招标人同意。设置停车位置的土地，如遇招标人开发使用时，中标人无条件配合执行</w:t>
      </w:r>
      <w:r>
        <w:rPr>
          <w:rFonts w:hint="eastAsia" w:ascii="宋体" w:hAnsi="宋体" w:eastAsia="宋体" w:cs="宋体"/>
          <w:color w:val="auto"/>
          <w:sz w:val="24"/>
          <w:szCs w:val="24"/>
          <w:highlight w:val="none"/>
        </w:rPr>
        <w:t>。</w:t>
      </w:r>
    </w:p>
    <w:p>
      <w:pPr>
        <w:pStyle w:val="30"/>
        <w:numPr>
          <w:ilvl w:val="0"/>
          <w:numId w:val="13"/>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中标人</w:t>
      </w:r>
      <w:r>
        <w:rPr>
          <w:rFonts w:hint="eastAsia" w:ascii="宋体" w:hAnsi="宋体" w:eastAsia="宋体" w:cs="宋体"/>
          <w:b/>
          <w:color w:val="auto"/>
          <w:sz w:val="24"/>
          <w:szCs w:val="24"/>
          <w:highlight w:val="none"/>
        </w:rPr>
        <w:t>的权利和义务</w:t>
      </w:r>
    </w:p>
    <w:p>
      <w:pPr>
        <w:pStyle w:val="30"/>
        <w:numPr>
          <w:ilvl w:val="1"/>
          <w:numId w:val="13"/>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要根据国家的有关法律、法规、政策及本合同的有关规定，在不违反本合同规定的基础上，自行制定有关规章制度车辆管理办法、实施细则等规定，中标人的管理工作不得影响招标人工作人员的日常正常工作。</w:t>
      </w:r>
    </w:p>
    <w:p>
      <w:pPr>
        <w:pStyle w:val="30"/>
        <w:numPr>
          <w:ilvl w:val="1"/>
          <w:numId w:val="13"/>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要严格按照招标人制定的车辆管理收费标准进行收取车辆管理费。并提供优质的停车管理及道路交通管理服务，不得出现只收费不服务或多收费少服务的行为，如发现有，经指出不改的，视为中标人根本违约，招标人有权单方面解除合同，</w:t>
      </w:r>
      <w:r>
        <w:rPr>
          <w:rFonts w:hint="eastAsia" w:ascii="宋体" w:hAnsi="宋体" w:cs="宋体"/>
          <w:color w:val="auto"/>
          <w:sz w:val="24"/>
          <w:szCs w:val="24"/>
          <w:highlight w:val="none"/>
          <w:lang w:val="en-US" w:eastAsia="zh-CN"/>
        </w:rPr>
        <w:t>并</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和不退回已交的服务费，中标人投入建设安装的一切设施设备无偿归招标人所有。</w:t>
      </w:r>
    </w:p>
    <w:p>
      <w:pPr>
        <w:pStyle w:val="30"/>
        <w:numPr>
          <w:ilvl w:val="1"/>
          <w:numId w:val="13"/>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了日常管理工作能正常运作，中标人必须根据工作需要配置足够的工作人员（不少于3人）并办理好用工手续及购买意外保险。中标人员工不纳入招标人用工编制，不享受招标人员工的福利待遇，与招标人不成立劳动或劳务关系。中标人工作人员在合同期内所发生的安全事故、工伤及劳资纠纷等均由中标人负责，一切责任与招标人无关，如屡屡出现人手不足的现象，视为中标人根本违约，招标人有权单方面解除合同，</w:t>
      </w:r>
      <w:r>
        <w:rPr>
          <w:rFonts w:hint="eastAsia" w:ascii="宋体" w:hAnsi="宋体" w:cs="宋体"/>
          <w:color w:val="auto"/>
          <w:sz w:val="24"/>
          <w:szCs w:val="24"/>
          <w:highlight w:val="none"/>
          <w:lang w:val="en-US" w:eastAsia="zh-CN"/>
        </w:rPr>
        <w:t>并</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和不退回已交的服务费，中标人投入建设安装的一切设施设备无偿归招标人所有。</w:t>
      </w:r>
    </w:p>
    <w:p>
      <w:pPr>
        <w:pStyle w:val="30"/>
        <w:numPr>
          <w:ilvl w:val="1"/>
          <w:numId w:val="13"/>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要严格督促工作人员做好辖区内的日常道路交通管理巡查工作，确保村内各道闸出入口及各大小村道时刻保持畅通无阻，不得出现有车辆因乱停放而导致阻塞交通的现象发生。如出现有阻塞现象应派人到现场及时处理，如出现有15分钟后还没有人处理的现象，招标人有权收取中标人每次人民币200元的违约金。</w:t>
      </w:r>
    </w:p>
    <w:p>
      <w:pPr>
        <w:pStyle w:val="30"/>
        <w:numPr>
          <w:ilvl w:val="1"/>
          <w:numId w:val="13"/>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工作人员上班时要着装统一，工作要吃苦耐劳，勤巡勤查，待人处事需热情服务，如出现有因工作人员礼貌不周或处事不公而导致发生纠纷案和投诉案的，中标人要自行及时设法处理，事后要自查自纠，吸取教训及时整改。合同期内出现三次投诉的，招标人有权解除本合同，并视中标人违约</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以作为招标人的经济补偿。</w:t>
      </w:r>
    </w:p>
    <w:p>
      <w:pPr>
        <w:pStyle w:val="30"/>
        <w:numPr>
          <w:ilvl w:val="1"/>
          <w:numId w:val="13"/>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为了切实做好车辆的有序停放管理，中标人要适时对辖区内的停车位进行合理规划设置。将本地车位与外地临时车位进行区分管理，中标人应严格管理控制禁止外来车辆在本地车位上停放过夜。</w:t>
      </w:r>
      <w:r>
        <w:rPr>
          <w:rFonts w:hint="eastAsia" w:ascii="宋体" w:hAnsi="宋体" w:cs="宋体"/>
          <w:color w:val="auto"/>
          <w:sz w:val="24"/>
          <w:szCs w:val="24"/>
          <w:highlight w:val="none"/>
          <w:lang w:val="en-US" w:eastAsia="zh-CN"/>
        </w:rPr>
        <w:t>吉利竹甫村</w:t>
      </w:r>
      <w:r>
        <w:rPr>
          <w:rFonts w:hint="eastAsia" w:ascii="宋体" w:hAnsi="宋体" w:eastAsia="宋体" w:cs="宋体"/>
          <w:color w:val="auto"/>
          <w:sz w:val="24"/>
          <w:szCs w:val="24"/>
          <w:highlight w:val="none"/>
          <w:lang w:val="en-US" w:eastAsia="zh-CN"/>
        </w:rPr>
        <w:t>辖区内的村民住宅以外的车位均为共享车位，禁止私装地锁或摆设物品霸占，否则中标人有权没收处理。</w:t>
      </w:r>
    </w:p>
    <w:p>
      <w:pPr>
        <w:pStyle w:val="30"/>
        <w:numPr>
          <w:ilvl w:val="1"/>
          <w:numId w:val="13"/>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在签订合同后，根据现时村内情况，对辖区内破旧车位重新划热熔线（破旧车位数待定），并完善所有道路标识、道路监控以及部分停车位设施。统一完善后，中标人也要对车位划线、道路标识、停车设施等定期检查及维护更新，对危险路段及停车场等做好交通标志指示牌的安装，以起到警示作用（如禁停牌、限速牌、限重牌、停车场标识、凸面广角镜等）。上述所产生的一切费用均由中标人承担。</w:t>
      </w:r>
    </w:p>
    <w:p>
      <w:pPr>
        <w:pStyle w:val="30"/>
        <w:numPr>
          <w:ilvl w:val="0"/>
          <w:numId w:val="0"/>
        </w:numPr>
        <w:spacing w:line="360" w:lineRule="auto"/>
        <w:ind w:left="0" w:leftChars="0" w:firstLine="420" w:firstLineChars="175"/>
        <w:jc w:val="left"/>
        <w:rPr>
          <w:rFonts w:hint="eastAsia" w:ascii="宋体" w:hAnsi="宋体" w:eastAsia="宋体" w:cs="宋体"/>
          <w:color w:val="auto"/>
          <w:sz w:val="24"/>
          <w:szCs w:val="24"/>
          <w:highlight w:val="none"/>
          <w:lang w:val="en-US" w:eastAsia="zh-CN"/>
        </w:rPr>
      </w:pPr>
    </w:p>
    <w:p>
      <w:pPr>
        <w:pStyle w:val="30"/>
        <w:numPr>
          <w:ilvl w:val="1"/>
          <w:numId w:val="13"/>
        </w:numPr>
        <w:tabs>
          <w:tab w:val="left" w:pos="420"/>
        </w:tabs>
        <w:spacing w:line="360" w:lineRule="auto"/>
        <w:ind w:left="424" w:leftChars="0" w:hanging="424"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平时需对所有设备进行维护、保养以确保其正常运行工作。在合同期内，中标人对车辆管理的设备维护更新或增设等费用均由中标人承担。合同期满后，中标人须要将所有设备（含新建和原有的硬件与软件）及各类管理档案资料等正常完好地无偿移交给招标人。如有损坏，招标人有权请人进行修复，但所产生费用均由中标人支付或从</w:t>
      </w:r>
      <w:r>
        <w:rPr>
          <w:rFonts w:hint="eastAsia" w:ascii="宋体" w:hAnsi="宋体" w:cs="宋体"/>
          <w:color w:val="auto"/>
          <w:sz w:val="24"/>
          <w:szCs w:val="24"/>
          <w:highlight w:val="none"/>
          <w:lang w:val="en-US" w:eastAsia="zh-CN"/>
        </w:rPr>
        <w:t>履约</w:t>
      </w:r>
      <w:r>
        <w:rPr>
          <w:rFonts w:hint="eastAsia" w:ascii="宋体" w:hAnsi="宋体" w:eastAsia="宋体" w:cs="宋体"/>
          <w:color w:val="auto"/>
          <w:sz w:val="24"/>
          <w:szCs w:val="24"/>
          <w:highlight w:val="none"/>
          <w:lang w:val="en-US" w:eastAsia="zh-CN"/>
        </w:rPr>
        <w:t>保证金处扣除。</w:t>
      </w:r>
    </w:p>
    <w:p>
      <w:pPr>
        <w:jc w:val="left"/>
        <w:rPr>
          <w:rFonts w:hint="eastAsia" w:ascii="宋体" w:hAnsi="宋体" w:eastAsia="宋体" w:cs="Times New Roman"/>
          <w:b/>
          <w:color w:val="auto"/>
          <w:kern w:val="2"/>
          <w:sz w:val="36"/>
          <w:szCs w:val="36"/>
          <w:highlight w:val="none"/>
          <w:lang w:val="en-US" w:eastAsia="zh-CN" w:bidi="ar-SA"/>
        </w:rPr>
      </w:pPr>
      <w:r>
        <w:rPr>
          <w:rFonts w:hint="eastAsia" w:ascii="宋体" w:hAnsi="宋体" w:eastAsia="宋体" w:cs="Times New Roman"/>
          <w:b/>
          <w:color w:val="auto"/>
          <w:kern w:val="2"/>
          <w:sz w:val="36"/>
          <w:szCs w:val="36"/>
          <w:highlight w:val="none"/>
          <w:lang w:val="en-US" w:eastAsia="zh-CN" w:bidi="ar-SA"/>
        </w:rPr>
        <w:br w:type="page"/>
      </w:r>
    </w:p>
    <w:p>
      <w:pPr>
        <w:jc w:val="center"/>
        <w:rPr>
          <w:rFonts w:hint="eastAsia" w:ascii="宋体" w:hAnsi="宋体" w:eastAsia="宋体" w:cs="Times New Roman"/>
          <w:b/>
          <w:color w:val="auto"/>
          <w:kern w:val="2"/>
          <w:sz w:val="36"/>
          <w:szCs w:val="36"/>
          <w:highlight w:val="none"/>
          <w:lang w:val="en-US" w:eastAsia="zh-CN" w:bidi="ar-SA"/>
        </w:rPr>
      </w:pPr>
      <w:r>
        <w:rPr>
          <w:rFonts w:hint="eastAsia" w:ascii="宋体" w:hAnsi="宋体" w:eastAsia="宋体" w:cs="Times New Roman"/>
          <w:b/>
          <w:color w:val="auto"/>
          <w:kern w:val="2"/>
          <w:sz w:val="36"/>
          <w:szCs w:val="36"/>
          <w:highlight w:val="none"/>
          <w:lang w:val="en-US" w:eastAsia="zh-CN" w:bidi="ar-SA"/>
        </w:rPr>
        <w:t>第三部分投标人须知</w:t>
      </w:r>
      <w:bookmarkEnd w:id="26"/>
      <w:bookmarkEnd w:id="27"/>
      <w:bookmarkEnd w:id="28"/>
      <w:bookmarkEnd w:id="29"/>
    </w:p>
    <w:p>
      <w:pPr>
        <w:spacing w:after="72" w:afterLines="30" w:line="336" w:lineRule="auto"/>
        <w:ind w:right="-178" w:rightChars="-85"/>
        <w:jc w:val="center"/>
        <w:outlineLvl w:val="1"/>
        <w:rPr>
          <w:rFonts w:ascii="宋体"/>
          <w:b/>
          <w:color w:val="auto"/>
          <w:sz w:val="28"/>
          <w:szCs w:val="28"/>
          <w:highlight w:val="none"/>
        </w:rPr>
      </w:pPr>
      <w:bookmarkStart w:id="31" w:name="_Toc4244"/>
      <w:bookmarkStart w:id="32" w:name="_Toc14893"/>
      <w:bookmarkStart w:id="33" w:name="_Toc334432589"/>
      <w:bookmarkStart w:id="34" w:name="_Toc488"/>
      <w:bookmarkStart w:id="35" w:name="_Toc519"/>
      <w:r>
        <w:rPr>
          <w:rFonts w:hint="eastAsia" w:ascii="宋体" w:hAnsi="宋体"/>
          <w:b/>
          <w:color w:val="auto"/>
          <w:sz w:val="28"/>
          <w:szCs w:val="28"/>
          <w:highlight w:val="none"/>
        </w:rPr>
        <w:t>一、</w:t>
      </w:r>
      <w:r>
        <w:rPr>
          <w:rFonts w:hint="eastAsia" w:ascii="宋体" w:hAnsi="宋体"/>
          <w:b/>
          <w:color w:val="auto"/>
          <w:sz w:val="28"/>
          <w:szCs w:val="28"/>
          <w:highlight w:val="none"/>
          <w:lang w:eastAsia="zh-CN"/>
        </w:rPr>
        <w:t>投标</w:t>
      </w:r>
      <w:r>
        <w:rPr>
          <w:rFonts w:hint="eastAsia" w:ascii="宋体" w:hAnsi="宋体"/>
          <w:b/>
          <w:color w:val="auto"/>
          <w:sz w:val="28"/>
          <w:szCs w:val="28"/>
          <w:highlight w:val="none"/>
        </w:rPr>
        <w:t>须知前附表</w:t>
      </w:r>
      <w:bookmarkEnd w:id="31"/>
      <w:bookmarkEnd w:id="32"/>
      <w:bookmarkEnd w:id="33"/>
      <w:bookmarkEnd w:id="34"/>
      <w:bookmarkEnd w:id="35"/>
    </w:p>
    <w:tbl>
      <w:tblPr>
        <w:tblStyle w:val="19"/>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9"/>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709" w:type="dxa"/>
            <w:shd w:val="clear" w:color="auto" w:fill="E6E6E6"/>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849" w:type="dxa"/>
            <w:shd w:val="clear" w:color="auto" w:fill="E6E6E6"/>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内容</w:t>
            </w:r>
          </w:p>
        </w:tc>
        <w:tc>
          <w:tcPr>
            <w:tcW w:w="7194" w:type="dxa"/>
            <w:shd w:val="clear" w:color="auto" w:fill="E6E6E6"/>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b/>
            </w:r>
          </w:p>
        </w:tc>
        <w:tc>
          <w:tcPr>
            <w:tcW w:w="7194" w:type="dxa"/>
            <w:noWrap w:val="0"/>
            <w:vAlign w:val="center"/>
          </w:tcPr>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保证金的金额（人民币）：</w:t>
            </w:r>
            <w:r>
              <w:rPr>
                <w:rFonts w:hint="eastAsia" w:asciiTheme="minorEastAsia" w:hAnsiTheme="minorEastAsia" w:eastAsiaTheme="minorEastAsia" w:cstheme="minorEastAsia"/>
                <w:color w:val="auto"/>
                <w:sz w:val="24"/>
                <w:szCs w:val="24"/>
                <w:highlight w:val="none"/>
                <w:lang w:val="en-US" w:eastAsia="zh-CN"/>
              </w:rPr>
              <w:t>5万</w:t>
            </w:r>
            <w:r>
              <w:rPr>
                <w:rFonts w:hint="eastAsia" w:asciiTheme="minorEastAsia" w:hAnsiTheme="minorEastAsia" w:eastAsiaTheme="minorEastAsia" w:cstheme="minorEastAsia"/>
                <w:color w:val="auto"/>
                <w:sz w:val="24"/>
                <w:szCs w:val="24"/>
                <w:highlight w:val="none"/>
              </w:rPr>
              <w:t>元</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保证金的缴纳形式及要求：</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以银行转账方式提交</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w:t>
            </w:r>
          </w:p>
          <w:p>
            <w:pPr>
              <w:tabs>
                <w:tab w:val="left" w:pos="459"/>
                <w:tab w:val="left" w:pos="601"/>
              </w:tabs>
              <w:adjustRightInd w:val="0"/>
              <w:snapToGrid w:val="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缴纳方式：</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lang w:val="en-US" w:eastAsia="zh-CN"/>
              </w:rPr>
              <w:t>为法人：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截止时间之前（以银行到账时间为准），从本单位的基本账户通过银行汇款或转账的形式，将</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保证金按规定金额从基本账户一次性转入或汇入到指定银行账户，否则</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无效。</w:t>
            </w:r>
          </w:p>
          <w:p>
            <w:pPr>
              <w:pStyle w:val="2"/>
              <w:rPr>
                <w:rFonts w:hint="default" w:eastAsia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为自然人，应在竞投截止时间之前（以银行到账时间为准），（1）从本人账户通过银行汇款或转账的形式或（2）银行柜台现金缴存方式，将竞投保证金按规定金额一次性转入或汇入到指定银行账户，否则竞投无效。（本项目不适用）</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保证金请按以下账号提供并以该银行到账时间为准：</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开户名称：佛山市禅城区南庄镇公共资源交易所</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账号：44536501040028342</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开户银行名称：中国农业银行股份有限公司佛山南庄支行</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保证金的金额（人民币）：</w:t>
            </w:r>
            <w:r>
              <w:rPr>
                <w:rFonts w:hint="eastAsia" w:asciiTheme="minorEastAsia" w:hAnsiTheme="minorEastAsia" w:eastAsiaTheme="minorEastAsia" w:cstheme="minorEastAsia"/>
                <w:color w:val="auto"/>
                <w:sz w:val="24"/>
                <w:szCs w:val="24"/>
                <w:highlight w:val="none"/>
                <w:lang w:val="en-US" w:eastAsia="zh-CN"/>
              </w:rPr>
              <w:t>5万</w:t>
            </w:r>
            <w:r>
              <w:rPr>
                <w:rFonts w:hint="eastAsia" w:asciiTheme="minorEastAsia" w:hAnsiTheme="minorEastAsia" w:eastAsiaTheme="minorEastAsia" w:cstheme="minorEastAsia"/>
                <w:color w:val="auto"/>
                <w:sz w:val="24"/>
                <w:szCs w:val="24"/>
                <w:highlight w:val="none"/>
              </w:rPr>
              <w:t>元</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（2）在办理转账时，请在转账摘要上注明“</w:t>
            </w:r>
            <w:r>
              <w:rPr>
                <w:rFonts w:hint="eastAsia" w:asciiTheme="minorEastAsia" w:hAnsiTheme="minorEastAsia" w:eastAsiaTheme="minorEastAsia" w:cstheme="minorEastAsia"/>
                <w:b w:val="0"/>
                <w:bCs w:val="0"/>
                <w:color w:val="auto"/>
                <w:sz w:val="24"/>
                <w:szCs w:val="24"/>
                <w:highlight w:val="none"/>
                <w:lang w:eastAsia="zh-CN"/>
              </w:rPr>
              <w:t>吉利竹甫村</w:t>
            </w:r>
            <w:r>
              <w:rPr>
                <w:rFonts w:hint="eastAsia" w:asciiTheme="minorEastAsia" w:hAnsiTheme="minorEastAsia" w:eastAsiaTheme="minorEastAsia" w:cstheme="minorEastAsia"/>
                <w:color w:val="auto"/>
                <w:sz w:val="24"/>
                <w:szCs w:val="24"/>
                <w:highlight w:val="none"/>
              </w:rPr>
              <w:t>”字样，若转账单上没有相应备注，则视为无效</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（3）公共资源交易所在接到招标人退还保证金通知书后5个工作日内退还给</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应提前办理</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保证金手续，自行承担银行到账延误风险。</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（5）采用银行转账提交</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保证金的应在递交</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文件时提交转账凭证供核对。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竞投文件</w:t>
            </w:r>
            <w:r>
              <w:rPr>
                <w:rFonts w:hint="eastAsia" w:asciiTheme="minorEastAsia" w:hAnsiTheme="minorEastAsia" w:eastAsiaTheme="minorEastAsia" w:cstheme="minorEastAsia"/>
                <w:color w:val="auto"/>
                <w:sz w:val="24"/>
                <w:szCs w:val="24"/>
                <w:highlight w:val="none"/>
              </w:rPr>
              <w:t>的澄清</w:t>
            </w:r>
          </w:p>
        </w:tc>
        <w:tc>
          <w:tcPr>
            <w:tcW w:w="7194" w:type="dxa"/>
            <w:noWrap w:val="0"/>
            <w:vAlign w:val="center"/>
          </w:tcPr>
          <w:p>
            <w:pPr>
              <w:numPr>
                <w:ilvl w:val="0"/>
                <w:numId w:val="17"/>
              </w:numPr>
              <w:tabs>
                <w:tab w:val="left" w:pos="432"/>
              </w:tabs>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不统一组织答疑会；</w:t>
            </w:r>
          </w:p>
          <w:p>
            <w:pPr>
              <w:numPr>
                <w:ilvl w:val="0"/>
                <w:numId w:val="17"/>
              </w:numPr>
              <w:tabs>
                <w:tab w:val="left" w:pos="432"/>
              </w:tabs>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提出疑问期限：在</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截止日期前2日；</w:t>
            </w:r>
          </w:p>
          <w:p>
            <w:pPr>
              <w:numPr>
                <w:ilvl w:val="0"/>
                <w:numId w:val="17"/>
              </w:numPr>
              <w:tabs>
                <w:tab w:val="left" w:pos="432"/>
              </w:tabs>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澄清、修改或答疑期限：在</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截止日期前1日。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递交</w:t>
            </w:r>
            <w:r>
              <w:rPr>
                <w:rFonts w:hint="eastAsia" w:asciiTheme="minorEastAsia" w:hAnsiTheme="minorEastAsia" w:eastAsiaTheme="minorEastAsia" w:cstheme="minorEastAsia"/>
                <w:color w:val="auto"/>
                <w:sz w:val="24"/>
                <w:szCs w:val="24"/>
                <w:highlight w:val="none"/>
                <w:lang w:eastAsia="zh-CN"/>
              </w:rPr>
              <w:t>资格审查</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时须提交的资料</w:t>
            </w:r>
          </w:p>
        </w:tc>
        <w:tc>
          <w:tcPr>
            <w:tcW w:w="7194" w:type="dxa"/>
            <w:noWrap w:val="0"/>
            <w:vAlign w:val="center"/>
          </w:tcPr>
          <w:p>
            <w:pPr>
              <w:spacing w:line="300" w:lineRule="auto"/>
              <w:rPr>
                <w:rFonts w:hint="eastAsia"/>
                <w:color w:val="auto"/>
                <w:sz w:val="24"/>
                <w:szCs w:val="32"/>
                <w:highlight w:val="none"/>
                <w:lang w:val="zh-CN"/>
              </w:rPr>
            </w:pPr>
            <w:r>
              <w:rPr>
                <w:rFonts w:hint="eastAsia"/>
                <w:color w:val="auto"/>
                <w:sz w:val="24"/>
                <w:szCs w:val="32"/>
                <w:highlight w:val="none"/>
                <w:lang w:val="zh-CN"/>
              </w:rPr>
              <w:t>投标人应凭以下资料递交</w:t>
            </w:r>
            <w:r>
              <w:rPr>
                <w:rFonts w:hint="eastAsia"/>
                <w:color w:val="auto"/>
                <w:sz w:val="24"/>
                <w:szCs w:val="32"/>
                <w:highlight w:val="none"/>
                <w:lang w:eastAsia="zh-CN"/>
              </w:rPr>
              <w:t>资格审查</w:t>
            </w:r>
            <w:r>
              <w:rPr>
                <w:rFonts w:hint="eastAsia"/>
                <w:color w:val="auto"/>
                <w:sz w:val="24"/>
                <w:szCs w:val="32"/>
                <w:highlight w:val="none"/>
                <w:lang w:val="zh-CN"/>
              </w:rPr>
              <w:t>文件（加盖投标人公章），否则，招标代理机构将有权拒收（</w:t>
            </w:r>
            <w:r>
              <w:rPr>
                <w:rFonts w:hint="eastAsia"/>
                <w:color w:val="auto"/>
                <w:sz w:val="24"/>
                <w:szCs w:val="32"/>
                <w:highlight w:val="none"/>
              </w:rPr>
              <w:t>用于递交</w:t>
            </w:r>
            <w:r>
              <w:rPr>
                <w:rFonts w:hint="eastAsia"/>
                <w:color w:val="auto"/>
                <w:sz w:val="24"/>
                <w:szCs w:val="32"/>
                <w:highlight w:val="none"/>
                <w:lang w:eastAsia="zh-CN"/>
              </w:rPr>
              <w:t>竞投</w:t>
            </w:r>
            <w:r>
              <w:rPr>
                <w:rFonts w:hint="eastAsia"/>
                <w:color w:val="auto"/>
                <w:sz w:val="24"/>
                <w:szCs w:val="32"/>
                <w:highlight w:val="none"/>
              </w:rPr>
              <w:t>文件的以下证明文件不得密封在</w:t>
            </w:r>
            <w:r>
              <w:rPr>
                <w:rFonts w:hint="eastAsia"/>
                <w:color w:val="auto"/>
                <w:sz w:val="24"/>
                <w:szCs w:val="32"/>
                <w:highlight w:val="none"/>
                <w:lang w:eastAsia="zh-CN"/>
              </w:rPr>
              <w:t>竞投</w:t>
            </w:r>
            <w:r>
              <w:rPr>
                <w:rFonts w:hint="eastAsia"/>
                <w:color w:val="auto"/>
                <w:sz w:val="24"/>
                <w:szCs w:val="32"/>
                <w:highlight w:val="none"/>
              </w:rPr>
              <w:t>文件包装袋内</w:t>
            </w:r>
            <w:r>
              <w:rPr>
                <w:rFonts w:hint="eastAsia"/>
                <w:color w:val="auto"/>
                <w:sz w:val="24"/>
                <w:szCs w:val="32"/>
                <w:highlight w:val="none"/>
                <w:lang w:val="zh-CN"/>
              </w:rPr>
              <w:t>）：</w:t>
            </w:r>
          </w:p>
          <w:p>
            <w:pPr>
              <w:pStyle w:val="2"/>
              <w:rPr>
                <w:rFonts w:hint="default"/>
                <w:color w:val="auto"/>
                <w:sz w:val="24"/>
                <w:szCs w:val="32"/>
                <w:highlight w:val="none"/>
                <w:lang w:val="en-US" w:eastAsia="zh-CN"/>
              </w:rPr>
            </w:pPr>
            <w:r>
              <w:rPr>
                <w:rFonts w:hint="eastAsia"/>
                <w:color w:val="auto"/>
                <w:sz w:val="24"/>
                <w:szCs w:val="32"/>
                <w:highlight w:val="none"/>
                <w:lang w:val="en-US" w:eastAsia="zh-CN"/>
              </w:rPr>
              <w:t>如为法人：</w:t>
            </w:r>
          </w:p>
          <w:p>
            <w:pPr>
              <w:numPr>
                <w:ilvl w:val="0"/>
                <w:numId w:val="18"/>
              </w:numPr>
              <w:tabs>
                <w:tab w:val="left" w:pos="432"/>
              </w:tabs>
              <w:spacing w:line="300" w:lineRule="auto"/>
              <w:ind w:left="425" w:leftChars="0" w:hanging="425" w:firstLineChars="0"/>
              <w:rPr>
                <w:rFonts w:hint="eastAsia"/>
                <w:color w:val="auto"/>
                <w:sz w:val="24"/>
                <w:szCs w:val="32"/>
                <w:highlight w:val="none"/>
                <w:lang w:val="zh-CN" w:eastAsia="zh-CN"/>
              </w:rPr>
            </w:pPr>
            <w:r>
              <w:rPr>
                <w:rFonts w:hint="eastAsia"/>
                <w:color w:val="auto"/>
                <w:sz w:val="24"/>
                <w:szCs w:val="32"/>
                <w:highlight w:val="none"/>
                <w:lang w:val="zh-CN" w:eastAsia="zh-CN"/>
              </w:rPr>
              <w:t>法定代表人/负责人资格证明书原件；</w:t>
            </w:r>
          </w:p>
          <w:p>
            <w:pPr>
              <w:numPr>
                <w:ilvl w:val="0"/>
                <w:numId w:val="18"/>
              </w:numPr>
              <w:tabs>
                <w:tab w:val="left" w:pos="432"/>
              </w:tabs>
              <w:spacing w:line="300" w:lineRule="auto"/>
              <w:ind w:left="425" w:leftChars="0" w:hanging="425" w:firstLineChars="0"/>
              <w:rPr>
                <w:rFonts w:hint="eastAsia"/>
                <w:color w:val="auto"/>
                <w:sz w:val="24"/>
                <w:szCs w:val="32"/>
                <w:highlight w:val="none"/>
                <w:lang w:val="zh-CN" w:eastAsia="zh-CN"/>
              </w:rPr>
            </w:pPr>
            <w:r>
              <w:rPr>
                <w:rFonts w:hint="eastAsia"/>
                <w:color w:val="auto"/>
                <w:sz w:val="24"/>
                <w:szCs w:val="32"/>
                <w:highlight w:val="none"/>
                <w:lang w:val="zh-CN" w:eastAsia="zh-CN"/>
              </w:rPr>
              <w:t>法定代表人/负责人授权书原件【</w:t>
            </w:r>
            <w:r>
              <w:rPr>
                <w:rFonts w:hint="eastAsia"/>
                <w:color w:val="auto"/>
                <w:sz w:val="24"/>
                <w:szCs w:val="32"/>
                <w:highlight w:val="none"/>
                <w:lang w:eastAsia="zh-CN"/>
              </w:rPr>
              <w:t>由投标人</w:t>
            </w:r>
            <w:r>
              <w:rPr>
                <w:rFonts w:hint="eastAsia"/>
                <w:color w:val="auto"/>
                <w:sz w:val="24"/>
                <w:szCs w:val="32"/>
                <w:highlight w:val="none"/>
                <w:lang w:val="zh-CN" w:eastAsia="zh-CN"/>
              </w:rPr>
              <w:t>法定代表人/负责人</w:t>
            </w:r>
            <w:r>
              <w:rPr>
                <w:rFonts w:hint="eastAsia"/>
                <w:color w:val="auto"/>
                <w:sz w:val="24"/>
                <w:szCs w:val="32"/>
                <w:highlight w:val="none"/>
                <w:lang w:eastAsia="zh-CN"/>
              </w:rPr>
              <w:t>的授权代表递交竞投文件时</w:t>
            </w:r>
            <w:r>
              <w:rPr>
                <w:rFonts w:hint="eastAsia"/>
                <w:color w:val="auto"/>
                <w:sz w:val="24"/>
                <w:szCs w:val="32"/>
                <w:highlight w:val="none"/>
                <w:lang w:val="zh-CN" w:eastAsia="zh-CN"/>
              </w:rPr>
              <w:t>须提供】；</w:t>
            </w:r>
          </w:p>
          <w:p>
            <w:pPr>
              <w:numPr>
                <w:ilvl w:val="0"/>
                <w:numId w:val="18"/>
              </w:numPr>
              <w:tabs>
                <w:tab w:val="left" w:pos="432"/>
              </w:tabs>
              <w:spacing w:line="300" w:lineRule="auto"/>
              <w:ind w:left="425" w:leftChars="0" w:hanging="425" w:firstLineChars="0"/>
              <w:rPr>
                <w:rFonts w:hint="eastAsia"/>
                <w:color w:val="auto"/>
                <w:sz w:val="24"/>
                <w:szCs w:val="32"/>
                <w:highlight w:val="none"/>
                <w:lang w:val="zh-CN" w:eastAsia="zh-CN"/>
              </w:rPr>
            </w:pPr>
            <w:r>
              <w:rPr>
                <w:rFonts w:hint="eastAsia"/>
                <w:color w:val="auto"/>
                <w:sz w:val="24"/>
                <w:szCs w:val="32"/>
                <w:highlight w:val="none"/>
                <w:lang w:val="zh-CN" w:eastAsia="zh-CN"/>
              </w:rPr>
              <w:t>法定代表人/负责人或授权代表本人身份证原件；</w:t>
            </w:r>
          </w:p>
          <w:p>
            <w:pPr>
              <w:numPr>
                <w:ilvl w:val="0"/>
                <w:numId w:val="18"/>
              </w:numPr>
              <w:tabs>
                <w:tab w:val="left" w:pos="432"/>
              </w:tabs>
              <w:spacing w:line="300" w:lineRule="auto"/>
              <w:ind w:left="425" w:leftChars="0" w:hanging="425" w:firstLineChars="0"/>
              <w:rPr>
                <w:rFonts w:hint="eastAsia"/>
                <w:color w:val="auto"/>
                <w:sz w:val="24"/>
                <w:szCs w:val="32"/>
                <w:highlight w:val="none"/>
              </w:rPr>
            </w:pPr>
            <w:r>
              <w:rPr>
                <w:rFonts w:hint="eastAsia"/>
                <w:color w:val="auto"/>
                <w:sz w:val="24"/>
                <w:szCs w:val="32"/>
                <w:highlight w:val="none"/>
                <w:lang w:eastAsia="zh-CN"/>
              </w:rPr>
              <w:t>竞投保证金递交凭证的原件或者复印件加盖单位公章。</w:t>
            </w:r>
          </w:p>
          <w:p>
            <w:pPr>
              <w:pStyle w:val="2"/>
              <w:rPr>
                <w:rFonts w:hint="eastAsia"/>
                <w:color w:val="auto"/>
                <w:sz w:val="24"/>
                <w:szCs w:val="32"/>
                <w:highlight w:val="none"/>
                <w:lang w:val="en-US" w:eastAsia="zh-CN"/>
              </w:rPr>
            </w:pPr>
            <w:r>
              <w:rPr>
                <w:rFonts w:hint="eastAsia"/>
                <w:color w:val="auto"/>
                <w:sz w:val="24"/>
                <w:szCs w:val="32"/>
                <w:highlight w:val="none"/>
                <w:lang w:val="en-US" w:eastAsia="zh-CN"/>
              </w:rPr>
              <w:t>如为自然人：（本项目不适用）</w:t>
            </w:r>
          </w:p>
          <w:p>
            <w:pPr>
              <w:numPr>
                <w:ilvl w:val="0"/>
                <w:numId w:val="19"/>
              </w:numPr>
              <w:tabs>
                <w:tab w:val="left" w:pos="432"/>
              </w:tabs>
              <w:spacing w:line="300" w:lineRule="auto"/>
              <w:ind w:left="425" w:leftChars="0" w:hanging="425" w:firstLineChars="0"/>
              <w:rPr>
                <w:rFonts w:hint="default"/>
                <w:color w:val="auto"/>
                <w:sz w:val="24"/>
                <w:szCs w:val="32"/>
                <w:highlight w:val="none"/>
                <w:lang w:val="en-US"/>
              </w:rPr>
            </w:pPr>
            <w:r>
              <w:rPr>
                <w:rFonts w:hint="eastAsia" w:eastAsia="宋体"/>
                <w:color w:val="auto"/>
                <w:sz w:val="24"/>
                <w:szCs w:val="32"/>
                <w:highlight w:val="none"/>
                <w:lang w:val="en-US" w:eastAsia="zh-CN"/>
              </w:rPr>
              <w:t>自然人</w:t>
            </w:r>
            <w:r>
              <w:rPr>
                <w:rFonts w:hint="eastAsia"/>
                <w:color w:val="auto"/>
                <w:sz w:val="24"/>
                <w:szCs w:val="32"/>
                <w:highlight w:val="none"/>
                <w:lang w:val="zh-CN" w:eastAsia="zh-CN"/>
              </w:rPr>
              <w:t>身份证原件；</w:t>
            </w:r>
          </w:p>
          <w:p>
            <w:pPr>
              <w:numPr>
                <w:ilvl w:val="0"/>
                <w:numId w:val="19"/>
              </w:numPr>
              <w:tabs>
                <w:tab w:val="left" w:pos="432"/>
              </w:tabs>
              <w:spacing w:line="300" w:lineRule="auto"/>
              <w:ind w:left="425" w:leftChars="0" w:hanging="425" w:firstLineChars="0"/>
              <w:rPr>
                <w:rFonts w:hint="eastAsia"/>
                <w:color w:val="auto"/>
                <w:highlight w:val="none"/>
              </w:rPr>
            </w:pPr>
            <w:r>
              <w:rPr>
                <w:rFonts w:hint="eastAsia"/>
                <w:color w:val="auto"/>
                <w:sz w:val="24"/>
                <w:szCs w:val="32"/>
                <w:highlight w:val="none"/>
                <w:lang w:val="zh-CN" w:eastAsia="zh-CN"/>
              </w:rPr>
              <w:t>竞投保证金递交凭证的原件</w:t>
            </w:r>
            <w:r>
              <w:rPr>
                <w:rFonts w:hint="eastAsia"/>
                <w:color w:val="auto"/>
                <w:sz w:val="24"/>
                <w:szCs w:val="32"/>
                <w:highlight w:val="none"/>
                <w:lang w:val="en-US" w:eastAsia="zh-CN"/>
              </w:rPr>
              <w:t>或复印件</w:t>
            </w:r>
            <w:r>
              <w:rPr>
                <w:rFonts w:hint="eastAsia"/>
                <w:color w:val="auto"/>
                <w:sz w:val="24"/>
                <w:szCs w:val="32"/>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资格审查</w:t>
            </w:r>
            <w:r>
              <w:rPr>
                <w:rFonts w:hint="eastAsia" w:asciiTheme="minorEastAsia" w:hAnsiTheme="minorEastAsia" w:eastAsiaTheme="minorEastAsia" w:cstheme="minorEastAsia"/>
                <w:color w:val="auto"/>
                <w:sz w:val="24"/>
                <w:szCs w:val="24"/>
                <w:highlight w:val="none"/>
              </w:rPr>
              <w:t>文件递交数量</w:t>
            </w:r>
          </w:p>
        </w:tc>
        <w:tc>
          <w:tcPr>
            <w:tcW w:w="7194" w:type="dxa"/>
            <w:noWrap w:val="0"/>
            <w:vAlign w:val="center"/>
          </w:tcPr>
          <w:p>
            <w:pPr>
              <w:spacing w:after="72" w:afterLines="30" w:line="30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u w:val="single"/>
                <w:lang w:val="en-GB"/>
              </w:rPr>
              <w:t>1份</w:t>
            </w:r>
            <w:r>
              <w:rPr>
                <w:rFonts w:hint="eastAsia" w:asciiTheme="minorEastAsia" w:hAnsiTheme="minorEastAsia" w:eastAsiaTheme="minorEastAsia" w:cstheme="minorEastAsia"/>
                <w:b/>
                <w:color w:val="auto"/>
                <w:sz w:val="24"/>
                <w:szCs w:val="24"/>
                <w:highlight w:val="none"/>
                <w:lang w:val="en-GB"/>
              </w:rPr>
              <w:t>正本、</w:t>
            </w:r>
            <w:r>
              <w:rPr>
                <w:rFonts w:hint="eastAsia" w:asciiTheme="minorEastAsia" w:hAnsiTheme="minorEastAsia" w:eastAsiaTheme="minorEastAsia" w:cstheme="minorEastAsia"/>
                <w:b/>
                <w:color w:val="auto"/>
                <w:sz w:val="24"/>
                <w:szCs w:val="24"/>
                <w:highlight w:val="none"/>
                <w:u w:val="single"/>
                <w:lang w:val="en-US" w:eastAsia="zh-CN"/>
              </w:rPr>
              <w:t>3</w:t>
            </w:r>
            <w:r>
              <w:rPr>
                <w:rFonts w:hint="eastAsia" w:asciiTheme="minorEastAsia" w:hAnsiTheme="minorEastAsia" w:eastAsiaTheme="minorEastAsia" w:cstheme="minorEastAsia"/>
                <w:b/>
                <w:color w:val="auto"/>
                <w:sz w:val="24"/>
                <w:szCs w:val="24"/>
                <w:highlight w:val="none"/>
                <w:u w:val="single"/>
                <w:lang w:val="en-GB"/>
              </w:rPr>
              <w:t>份</w:t>
            </w:r>
            <w:r>
              <w:rPr>
                <w:rFonts w:hint="eastAsia" w:asciiTheme="minorEastAsia" w:hAnsiTheme="minorEastAsia" w:eastAsiaTheme="minorEastAsia" w:cstheme="minorEastAsia"/>
                <w:b/>
                <w:color w:val="auto"/>
                <w:sz w:val="24"/>
                <w:szCs w:val="24"/>
                <w:highlight w:val="none"/>
                <w:lang w:val="en-GB"/>
              </w:rPr>
              <w:t>副本和</w:t>
            </w:r>
            <w:r>
              <w:rPr>
                <w:rFonts w:hint="eastAsia" w:asciiTheme="minorEastAsia" w:hAnsiTheme="minorEastAsia" w:eastAsiaTheme="minorEastAsia" w:cstheme="minorEastAsia"/>
                <w:b/>
                <w:color w:val="auto"/>
                <w:sz w:val="24"/>
                <w:szCs w:val="24"/>
                <w:highlight w:val="none"/>
                <w:u w:val="single"/>
              </w:rPr>
              <w:t>2份</w:t>
            </w:r>
            <w:r>
              <w:rPr>
                <w:rFonts w:hint="eastAsia" w:asciiTheme="minorEastAsia" w:hAnsiTheme="minorEastAsia" w:eastAsiaTheme="minorEastAsia" w:cstheme="minorEastAsia"/>
                <w:b/>
                <w:color w:val="auto"/>
                <w:sz w:val="24"/>
                <w:szCs w:val="24"/>
                <w:highlight w:val="none"/>
              </w:rPr>
              <w:t>电子光盘</w:t>
            </w:r>
          </w:p>
          <w:p>
            <w:pPr>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说明：</w:t>
            </w:r>
          </w:p>
          <w:p>
            <w:pPr>
              <w:numPr>
                <w:ilvl w:val="0"/>
                <w:numId w:val="20"/>
              </w:numPr>
              <w:ind w:left="0" w:leftChars="0" w:firstLine="0" w:firstLineChars="0"/>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资格审查文件的正本、副本、电子光盘，均应密封在同一密封包中。若上述资料确实无法密封在同一密封包中，则可按实际情况分开密封，但须在密封包装上标明密封内容。</w:t>
            </w:r>
          </w:p>
          <w:p>
            <w:pPr>
              <w:numPr>
                <w:ilvl w:val="0"/>
                <w:numId w:val="20"/>
              </w:numPr>
              <w:ind w:left="0" w:leftChars="0" w:firstLine="0" w:firstLineChars="0"/>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电子光盘内容：</w:t>
            </w:r>
            <w:r>
              <w:rPr>
                <w:rFonts w:hint="eastAsia" w:asciiTheme="minorEastAsia" w:hAnsiTheme="minorEastAsia" w:eastAsiaTheme="minorEastAsia" w:cstheme="minorEastAsia"/>
                <w:b/>
                <w:color w:val="auto"/>
                <w:sz w:val="24"/>
                <w:szCs w:val="24"/>
                <w:highlight w:val="none"/>
                <w:lang w:val="en-GB" w:eastAsia="zh-CN"/>
              </w:rPr>
              <w:t>竞投</w:t>
            </w:r>
            <w:r>
              <w:rPr>
                <w:rFonts w:hint="eastAsia" w:asciiTheme="minorEastAsia" w:hAnsiTheme="minorEastAsia" w:eastAsiaTheme="minorEastAsia" w:cstheme="minorEastAsia"/>
                <w:b/>
                <w:color w:val="auto"/>
                <w:sz w:val="24"/>
                <w:szCs w:val="24"/>
                <w:highlight w:val="none"/>
                <w:lang w:val="en-GB"/>
              </w:rPr>
              <w:t>文件正本的所有内容，WORD版可编辑文档格式。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资格审查文件的制作要求及密封要求</w:t>
            </w:r>
          </w:p>
        </w:tc>
        <w:tc>
          <w:tcPr>
            <w:tcW w:w="7194" w:type="dxa"/>
            <w:noWrap w:val="0"/>
            <w:vAlign w:val="center"/>
          </w:tcPr>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《资格审查文件》装订为一册。</w:t>
            </w:r>
          </w:p>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《资格审查文件》【正本】和【副本】的封面须加盖</w:t>
            </w:r>
            <w:r>
              <w:rPr>
                <w:rFonts w:hint="eastAsia" w:asciiTheme="minorEastAsia" w:hAnsiTheme="minorEastAsia" w:eastAsiaTheme="minorEastAsia" w:cstheme="minorEastAsia"/>
                <w:color w:val="auto"/>
                <w:sz w:val="24"/>
                <w:szCs w:val="24"/>
                <w:highlight w:val="none"/>
                <w:lang w:val="en-GB" w:eastAsia="zh-CN"/>
              </w:rPr>
              <w:t>投标人</w:t>
            </w:r>
            <w:r>
              <w:rPr>
                <w:rFonts w:hint="eastAsia" w:asciiTheme="minorEastAsia" w:hAnsiTheme="minorEastAsia" w:eastAsiaTheme="minorEastAsia" w:cstheme="minorEastAsia"/>
                <w:color w:val="auto"/>
                <w:sz w:val="24"/>
                <w:szCs w:val="24"/>
                <w:highlight w:val="none"/>
                <w:lang w:val="en-GB"/>
              </w:rPr>
              <w:t>公章，【副本】可为【正本】的复印件。</w:t>
            </w:r>
          </w:p>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资格审查文件的【正本】、【副本】、【电子光盘】，均应密封在同一密封包中。若上述资料确实无法密封在同一密封包中，则可按实际情况分开密封，但须在密封包装上标明密封内容。</w:t>
            </w:r>
          </w:p>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电子光盘内容：</w:t>
            </w:r>
            <w:r>
              <w:rPr>
                <w:rFonts w:hint="eastAsia" w:asciiTheme="minorEastAsia" w:hAnsiTheme="minorEastAsia" w:eastAsiaTheme="minorEastAsia" w:cstheme="minorEastAsia"/>
                <w:color w:val="auto"/>
                <w:sz w:val="24"/>
                <w:szCs w:val="24"/>
                <w:highlight w:val="none"/>
                <w:lang w:val="en-GB" w:eastAsia="zh-CN"/>
              </w:rPr>
              <w:t>竞投</w:t>
            </w:r>
            <w:r>
              <w:rPr>
                <w:rFonts w:hint="eastAsia" w:asciiTheme="minorEastAsia" w:hAnsiTheme="minorEastAsia" w:eastAsiaTheme="minorEastAsia" w:cstheme="minorEastAsia"/>
                <w:color w:val="auto"/>
                <w:sz w:val="24"/>
                <w:szCs w:val="24"/>
                <w:highlight w:val="none"/>
                <w:lang w:val="en-GB"/>
              </w:rPr>
              <w:t>文件正本的所有内容，WORD版可编辑文档格式。</w:t>
            </w:r>
          </w:p>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密封各文件资料时，应在密封包装的封口处加盖</w:t>
            </w:r>
            <w:r>
              <w:rPr>
                <w:rFonts w:hint="eastAsia" w:asciiTheme="minorEastAsia" w:hAnsiTheme="minorEastAsia" w:eastAsiaTheme="minorEastAsia" w:cstheme="minorEastAsia"/>
                <w:color w:val="auto"/>
                <w:sz w:val="24"/>
                <w:szCs w:val="24"/>
                <w:highlight w:val="none"/>
                <w:lang w:val="en-GB" w:eastAsia="zh-CN"/>
              </w:rPr>
              <w:t>投标人</w:t>
            </w:r>
            <w:r>
              <w:rPr>
                <w:rFonts w:hint="eastAsia" w:asciiTheme="minorEastAsia" w:hAnsiTheme="minorEastAsia" w:eastAsiaTheme="minorEastAsia" w:cstheme="minorEastAsia"/>
                <w:color w:val="auto"/>
                <w:sz w:val="24"/>
                <w:szCs w:val="24"/>
                <w:highlight w:val="none"/>
                <w:lang w:val="en-GB"/>
              </w:rPr>
              <w:t>公章。所有密封文件封套正面统一按“文件包装袋封面”格式填写标贴。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资格审查文件有效期</w:t>
            </w:r>
          </w:p>
        </w:tc>
        <w:tc>
          <w:tcPr>
            <w:tcW w:w="7194" w:type="dxa"/>
            <w:noWrap w:val="0"/>
            <w:vAlign w:val="center"/>
          </w:tcPr>
          <w:p>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递交资格审查文件截止日起</w:t>
            </w:r>
            <w:r>
              <w:rPr>
                <w:rFonts w:hint="eastAsia" w:asciiTheme="minorEastAsia" w:hAnsiTheme="minorEastAsia" w:eastAsia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rPr>
              <w:t>天内有效，中标单位的有效期延续到项目验收之日。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定标</w:t>
            </w:r>
            <w:r>
              <w:rPr>
                <w:rFonts w:hint="eastAsia" w:asciiTheme="minorEastAsia" w:hAnsiTheme="minorEastAsia" w:eastAsiaTheme="minorEastAsia" w:cstheme="minorEastAsia"/>
                <w:color w:val="auto"/>
                <w:sz w:val="24"/>
                <w:szCs w:val="24"/>
                <w:highlight w:val="none"/>
              </w:rPr>
              <w:t>方法</w:t>
            </w:r>
          </w:p>
        </w:tc>
        <w:tc>
          <w:tcPr>
            <w:tcW w:w="7194" w:type="dxa"/>
            <w:noWrap w:val="0"/>
            <w:vAlign w:val="center"/>
          </w:tcPr>
          <w:p>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eastAsia="zh-CN"/>
              </w:rPr>
              <w:t>采用一次性报价的暗标方式，价高者得的原则确定中标人。投标人</w:t>
            </w:r>
            <w:r>
              <w:rPr>
                <w:rFonts w:hint="eastAsia" w:asciiTheme="minorEastAsia" w:hAnsiTheme="minorEastAsia" w:eastAsiaTheme="minorEastAsia" w:cstheme="minorEastAsia"/>
                <w:b/>
                <w:bCs/>
                <w:color w:val="auto"/>
                <w:kern w:val="0"/>
                <w:sz w:val="24"/>
                <w:szCs w:val="24"/>
                <w:highlight w:val="none"/>
              </w:rPr>
              <w:t>所报价格为</w:t>
            </w:r>
            <w:r>
              <w:rPr>
                <w:rFonts w:hint="eastAsia" w:asciiTheme="minorEastAsia" w:hAnsiTheme="minorEastAsia" w:eastAsiaTheme="minorEastAsia" w:cstheme="minorEastAsia"/>
                <w:b/>
                <w:bCs/>
                <w:color w:val="auto"/>
                <w:kern w:val="0"/>
                <w:sz w:val="24"/>
                <w:szCs w:val="24"/>
                <w:highlight w:val="none"/>
                <w:lang w:eastAsia="zh-CN"/>
              </w:rPr>
              <w:t>向招标人支付管理费用</w:t>
            </w:r>
            <w:r>
              <w:rPr>
                <w:rFonts w:hint="eastAsia" w:asciiTheme="minorEastAsia" w:hAnsiTheme="minorEastAsia" w:eastAsiaTheme="minorEastAsia" w:cstheme="minorEastAsia"/>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中标服务费</w:t>
            </w:r>
          </w:p>
        </w:tc>
        <w:tc>
          <w:tcPr>
            <w:tcW w:w="7194" w:type="dxa"/>
            <w:noWrap w:val="0"/>
            <w:vAlign w:val="center"/>
          </w:tcPr>
          <w:p>
            <w:pPr>
              <w:numPr>
                <w:ilvl w:val="0"/>
                <w:numId w:val="22"/>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rPr>
              <w:t>通知书》发出后三个工作日内一次性向</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支付</w:t>
            </w:r>
            <w:r>
              <w:rPr>
                <w:rFonts w:hint="eastAsia" w:asciiTheme="minorEastAsia" w:hAnsiTheme="minorEastAsia" w:eastAsiaTheme="minorEastAsia" w:cstheme="minorEastAsia"/>
                <w:color w:val="auto"/>
                <w:sz w:val="24"/>
                <w:szCs w:val="24"/>
                <w:highlight w:val="none"/>
                <w:lang w:val="en-GB"/>
              </w:rPr>
              <w:t>中标</w:t>
            </w:r>
            <w:r>
              <w:rPr>
                <w:rFonts w:hint="eastAsia" w:asciiTheme="minorEastAsia" w:hAnsiTheme="minorEastAsia" w:eastAsiaTheme="minorEastAsia" w:cstheme="minorEastAsia"/>
                <w:color w:val="auto"/>
                <w:sz w:val="24"/>
                <w:szCs w:val="24"/>
                <w:highlight w:val="none"/>
              </w:rPr>
              <w:t>服务费</w:t>
            </w:r>
            <w:r>
              <w:rPr>
                <w:rFonts w:hint="eastAsia" w:asciiTheme="minorEastAsia" w:hAnsiTheme="minorEastAsia" w:eastAsiaTheme="minorEastAsia" w:cstheme="minorEastAsia"/>
                <w:color w:val="auto"/>
                <w:sz w:val="24"/>
                <w:szCs w:val="24"/>
                <w:highlight w:val="none"/>
                <w:lang w:eastAsia="zh-CN"/>
              </w:rPr>
              <w:t>。</w:t>
            </w:r>
          </w:p>
          <w:p>
            <w:pPr>
              <w:numPr>
                <w:ilvl w:val="0"/>
                <w:numId w:val="22"/>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GB"/>
              </w:rPr>
              <w:t>中标</w:t>
            </w:r>
            <w:r>
              <w:rPr>
                <w:rFonts w:hint="eastAsia" w:asciiTheme="minorEastAsia" w:hAnsiTheme="minorEastAsia" w:eastAsiaTheme="minorEastAsia" w:cstheme="minorEastAsia"/>
                <w:color w:val="auto"/>
                <w:sz w:val="24"/>
                <w:szCs w:val="24"/>
                <w:highlight w:val="none"/>
              </w:rPr>
              <w:t>服务费</w:t>
            </w:r>
            <w:r>
              <w:rPr>
                <w:rFonts w:hint="eastAsia" w:asciiTheme="minorEastAsia" w:hAnsiTheme="minorEastAsia" w:eastAsiaTheme="minorEastAsia" w:cstheme="minorEastAsia"/>
                <w:color w:val="auto"/>
                <w:sz w:val="24"/>
                <w:szCs w:val="24"/>
                <w:highlight w:val="none"/>
                <w:lang w:val="en-US" w:eastAsia="zh-CN"/>
              </w:rPr>
              <w:t>定额收取5000元。</w:t>
            </w:r>
          </w:p>
          <w:p>
            <w:pPr>
              <w:numPr>
                <w:ilvl w:val="0"/>
                <w:numId w:val="22"/>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GB"/>
              </w:rPr>
              <w:t>支付</w:t>
            </w:r>
            <w:r>
              <w:rPr>
                <w:rFonts w:hint="eastAsia" w:asciiTheme="minorEastAsia" w:hAnsiTheme="minorEastAsia" w:eastAsiaTheme="minorEastAsia" w:cstheme="minorEastAsia"/>
                <w:color w:val="auto"/>
                <w:sz w:val="24"/>
                <w:szCs w:val="24"/>
                <w:highlight w:val="none"/>
              </w:rPr>
              <w:t>中标服务费银行账户信息如下：</w:t>
            </w:r>
          </w:p>
          <w:p>
            <w:pPr>
              <w:pStyle w:val="33"/>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开户名称：</w:t>
            </w:r>
            <w:r>
              <w:rPr>
                <w:rFonts w:hint="eastAsia" w:asciiTheme="minorEastAsia" w:hAnsiTheme="minorEastAsia" w:eastAsiaTheme="minorEastAsia" w:cstheme="minorEastAsia"/>
                <w:color w:val="auto"/>
                <w:sz w:val="24"/>
                <w:szCs w:val="24"/>
                <w:highlight w:val="none"/>
                <w:lang w:eastAsia="zh-CN"/>
              </w:rPr>
              <w:t>广东中采招标有限公司</w:t>
            </w:r>
          </w:p>
          <w:p>
            <w:pPr>
              <w:pStyle w:val="33"/>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开户行名称：兴业银行股份有限公司佛山分行</w:t>
            </w:r>
          </w:p>
          <w:p>
            <w:pPr>
              <w:pStyle w:val="33"/>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银行账号：392060100100155323</w:t>
            </w:r>
          </w:p>
          <w:p>
            <w:pPr>
              <w:numPr>
                <w:ilvl w:val="0"/>
                <w:numId w:val="22"/>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在办理转账时，请在转账摘要上注明“</w:t>
            </w:r>
            <w:r>
              <w:rPr>
                <w:rFonts w:hint="eastAsia" w:asciiTheme="minorEastAsia" w:hAnsiTheme="minorEastAsia" w:eastAsiaTheme="minorEastAsia" w:cstheme="minorEastAsia"/>
                <w:color w:val="auto"/>
                <w:sz w:val="24"/>
                <w:highlight w:val="none"/>
                <w:u w:val="single"/>
              </w:rPr>
              <w:t>吉利竹甫村</w:t>
            </w:r>
            <w:r>
              <w:rPr>
                <w:rFonts w:hint="eastAsia" w:asciiTheme="minorEastAsia" w:hAnsiTheme="minorEastAsia" w:eastAsiaTheme="minorEastAsia" w:cstheme="minorEastAsia"/>
                <w:color w:val="auto"/>
                <w:sz w:val="24"/>
                <w:szCs w:val="24"/>
                <w:highlight w:val="none"/>
              </w:rPr>
              <w:t>”字样。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相关公告发布媒介</w:t>
            </w:r>
          </w:p>
        </w:tc>
        <w:tc>
          <w:tcPr>
            <w:tcW w:w="7194"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佛山市公共资源交易中心禅城分中心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"http://ccggzy.chancheng.gov.cn/"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http://ccggzy.chancheng.gov.cn/</w:t>
            </w:r>
            <w:r>
              <w:rPr>
                <w:rFonts w:hint="eastAsia" w:asciiTheme="minorEastAsia" w:hAnsiTheme="minorEastAsia" w:eastAsiaTheme="minorEastAsia" w:cstheme="minorEastAsia"/>
                <w:color w:val="auto"/>
                <w:sz w:val="24"/>
                <w:szCs w:val="24"/>
                <w:highlight w:val="none"/>
              </w:rPr>
              <w:fldChar w:fldCharType="end"/>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佛山市禅城区</w:t>
            </w:r>
            <w:r>
              <w:rPr>
                <w:rFonts w:hint="eastAsia" w:asciiTheme="minorEastAsia" w:hAnsiTheme="minorEastAsia" w:eastAsiaTheme="minorEastAsia" w:cstheme="minorEastAsia"/>
                <w:color w:val="auto"/>
                <w:sz w:val="24"/>
                <w:szCs w:val="24"/>
                <w:highlight w:val="none"/>
              </w:rPr>
              <w:t>南庄镇政府：</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"http://www.chancheng.gov.cn/nanzhuang/" </w:instrText>
            </w:r>
            <w:r>
              <w:rPr>
                <w:rFonts w:hint="eastAsia" w:asciiTheme="minorEastAsia" w:hAnsiTheme="minorEastAsia" w:eastAsiaTheme="minorEastAsia" w:cstheme="minorEastAsia"/>
                <w:color w:val="auto"/>
                <w:sz w:val="24"/>
                <w:szCs w:val="24"/>
                <w:highlight w:val="none"/>
              </w:rPr>
              <w:fldChar w:fldCharType="separate"/>
            </w:r>
            <w:r>
              <w:rPr>
                <w:rStyle w:val="23"/>
                <w:rFonts w:hint="eastAsia" w:asciiTheme="minorEastAsia" w:hAnsiTheme="minorEastAsia" w:eastAsiaTheme="minorEastAsia" w:cstheme="minorEastAsia"/>
                <w:color w:val="auto"/>
                <w:sz w:val="24"/>
                <w:szCs w:val="24"/>
                <w:highlight w:val="none"/>
              </w:rPr>
              <w:t>http://www.chancheng.gov.cn/nanzhuang/</w:t>
            </w:r>
            <w:r>
              <w:rPr>
                <w:rFonts w:hint="eastAsia" w:asciiTheme="minorEastAsia" w:hAnsiTheme="minorEastAsia" w:eastAsiaTheme="minorEastAsia" w:cstheme="minorEastAsia"/>
                <w:color w:val="auto"/>
                <w:sz w:val="24"/>
                <w:szCs w:val="24"/>
                <w:highlight w:val="none"/>
              </w:rPr>
              <w:fldChar w:fldCharType="end"/>
            </w:r>
          </w:p>
          <w:p>
            <w:pPr>
              <w:pStyle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网站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（http://www.gdzczb.com/）</w:t>
            </w:r>
          </w:p>
        </w:tc>
      </w:tr>
    </w:tbl>
    <w:p>
      <w:pPr>
        <w:snapToGrid w:val="0"/>
        <w:ind w:right="-178" w:rightChars="-85"/>
        <w:rPr>
          <w:rFonts w:ascii="宋体"/>
          <w:b/>
          <w:color w:val="auto"/>
          <w:sz w:val="18"/>
          <w:szCs w:val="18"/>
          <w:highlight w:val="none"/>
        </w:rPr>
      </w:pPr>
    </w:p>
    <w:p>
      <w:pPr>
        <w:pStyle w:val="12"/>
        <w:rPr>
          <w:color w:val="auto"/>
          <w:highlight w:val="none"/>
        </w:rPr>
      </w:pPr>
      <w:bookmarkStart w:id="36" w:name="_Toc334432590"/>
    </w:p>
    <w:p>
      <w:pPr>
        <w:pStyle w:val="12"/>
        <w:rPr>
          <w:color w:val="auto"/>
          <w:highlight w:val="none"/>
        </w:rPr>
      </w:pPr>
    </w:p>
    <w:p>
      <w:pPr>
        <w:spacing w:after="72" w:afterLines="30" w:line="336" w:lineRule="auto"/>
        <w:ind w:right="-178" w:rightChars="-85"/>
        <w:jc w:val="center"/>
        <w:outlineLvl w:val="1"/>
        <w:rPr>
          <w:rFonts w:ascii="宋体"/>
          <w:b/>
          <w:color w:val="auto"/>
          <w:sz w:val="28"/>
          <w:szCs w:val="28"/>
          <w:highlight w:val="none"/>
        </w:rPr>
      </w:pPr>
      <w:r>
        <w:rPr>
          <w:rFonts w:ascii="宋体"/>
          <w:b/>
          <w:color w:val="auto"/>
          <w:sz w:val="28"/>
          <w:szCs w:val="28"/>
          <w:highlight w:val="none"/>
        </w:rPr>
        <w:br w:type="page"/>
      </w:r>
      <w:bookmarkStart w:id="37" w:name="_Toc3020"/>
      <w:bookmarkStart w:id="38" w:name="_Toc12687"/>
      <w:bookmarkStart w:id="39" w:name="_Toc3357"/>
      <w:bookmarkStart w:id="40" w:name="_Toc17337"/>
      <w:r>
        <w:rPr>
          <w:rFonts w:hint="eastAsia" w:ascii="宋体" w:hAnsi="宋体"/>
          <w:b/>
          <w:color w:val="auto"/>
          <w:sz w:val="28"/>
          <w:szCs w:val="28"/>
          <w:highlight w:val="none"/>
        </w:rPr>
        <w:t>二、总则及概念释义</w:t>
      </w:r>
      <w:bookmarkEnd w:id="36"/>
      <w:bookmarkEnd w:id="37"/>
      <w:bookmarkEnd w:id="38"/>
      <w:bookmarkEnd w:id="39"/>
      <w:bookmarkEnd w:id="40"/>
    </w:p>
    <w:p>
      <w:pPr>
        <w:numPr>
          <w:ilvl w:val="0"/>
          <w:numId w:val="23"/>
        </w:numPr>
        <w:tabs>
          <w:tab w:val="left" w:pos="540"/>
        </w:tabs>
        <w:spacing w:line="360" w:lineRule="auto"/>
        <w:ind w:left="420" w:leftChars="0" w:hanging="420" w:firstLineChars="0"/>
        <w:rPr>
          <w:rFonts w:ascii="宋体"/>
          <w:color w:val="auto"/>
          <w:sz w:val="24"/>
          <w:highlight w:val="none"/>
        </w:rPr>
      </w:pPr>
      <w:r>
        <w:rPr>
          <w:rFonts w:hint="eastAsia" w:ascii="宋体" w:hAnsi="宋体"/>
          <w:b/>
          <w:color w:val="auto"/>
          <w:sz w:val="24"/>
          <w:highlight w:val="none"/>
        </w:rPr>
        <w:t>招标适用范围：</w:t>
      </w:r>
      <w:r>
        <w:rPr>
          <w:rFonts w:hint="eastAsia" w:ascii="宋体" w:hAnsi="宋体"/>
          <w:color w:val="auto"/>
          <w:sz w:val="24"/>
          <w:highlight w:val="none"/>
        </w:rPr>
        <w:t>本</w:t>
      </w:r>
      <w:r>
        <w:rPr>
          <w:rFonts w:hint="eastAsia" w:ascii="宋体" w:hAnsi="宋体"/>
          <w:color w:val="auto"/>
          <w:sz w:val="24"/>
          <w:highlight w:val="none"/>
          <w:lang w:eastAsia="zh-CN"/>
        </w:rPr>
        <w:t>竞投文件</w:t>
      </w:r>
      <w:r>
        <w:rPr>
          <w:rFonts w:hint="eastAsia" w:ascii="宋体" w:hAnsi="宋体"/>
          <w:color w:val="auto"/>
          <w:sz w:val="24"/>
          <w:highlight w:val="none"/>
        </w:rPr>
        <w:t>仅适用于本次</w:t>
      </w:r>
      <w:r>
        <w:rPr>
          <w:rFonts w:hint="eastAsia" w:ascii="宋体" w:hAnsi="宋体"/>
          <w:color w:val="auto"/>
          <w:sz w:val="24"/>
          <w:highlight w:val="none"/>
          <w:lang w:eastAsia="zh-CN"/>
        </w:rPr>
        <w:t>竞</w:t>
      </w:r>
      <w:r>
        <w:rPr>
          <w:rFonts w:hint="eastAsia" w:ascii="宋体" w:hAnsi="宋体" w:cs="Times New Roman"/>
          <w:color w:val="auto"/>
          <w:sz w:val="24"/>
          <w:highlight w:val="none"/>
          <w:lang w:eastAsia="zh-CN"/>
        </w:rPr>
        <w:t>投公告中所叙述的项目内容及相关伴随服务。本次招标采用公开招标一次性报价暗标竞投的方式，价高者得的原则确定中标人。投标人所报价格为向招标人支付管理费用。</w:t>
      </w:r>
    </w:p>
    <w:p>
      <w:pPr>
        <w:numPr>
          <w:ilvl w:val="0"/>
          <w:numId w:val="23"/>
        </w:numPr>
        <w:tabs>
          <w:tab w:val="left" w:pos="540"/>
        </w:tabs>
        <w:spacing w:before="120" w:beforeLines="50" w:line="360" w:lineRule="auto"/>
        <w:ind w:left="420" w:leftChars="0" w:hanging="420" w:firstLineChars="0"/>
        <w:rPr>
          <w:rFonts w:ascii="宋体"/>
          <w:b/>
          <w:color w:val="auto"/>
          <w:sz w:val="24"/>
          <w:highlight w:val="none"/>
        </w:rPr>
      </w:pPr>
      <w:r>
        <w:rPr>
          <w:rFonts w:hint="eastAsia" w:ascii="宋体" w:hAnsi="宋体"/>
          <w:b/>
          <w:color w:val="auto"/>
          <w:sz w:val="24"/>
          <w:highlight w:val="none"/>
        </w:rPr>
        <w:t>本《</w:t>
      </w:r>
      <w:r>
        <w:rPr>
          <w:rFonts w:hint="eastAsia" w:ascii="宋体" w:hAnsi="宋体"/>
          <w:b/>
          <w:color w:val="auto"/>
          <w:sz w:val="24"/>
          <w:highlight w:val="none"/>
          <w:lang w:eastAsia="zh-CN"/>
        </w:rPr>
        <w:t>竞投文件</w:t>
      </w:r>
      <w:r>
        <w:rPr>
          <w:rFonts w:hint="eastAsia" w:ascii="宋体" w:hAnsi="宋体"/>
          <w:b/>
          <w:color w:val="auto"/>
          <w:sz w:val="24"/>
          <w:highlight w:val="none"/>
        </w:rPr>
        <w:t>》使用的词语有如下定义：</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2.1</w:t>
      </w:r>
      <w:r>
        <w:rPr>
          <w:rFonts w:hint="eastAsia" w:asciiTheme="minorEastAsia" w:hAnsiTheme="minorEastAsia" w:eastAsiaTheme="minorEastAsia" w:cstheme="minorEastAsia"/>
          <w:color w:val="auto"/>
          <w:sz w:val="24"/>
          <w:highlight w:val="none"/>
        </w:rPr>
        <w:t>本项目的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是</w:t>
      </w:r>
      <w:r>
        <w:rPr>
          <w:rFonts w:hint="eastAsia" w:asciiTheme="minorEastAsia" w:hAnsiTheme="minorEastAsia" w:eastAsiaTheme="minorEastAsia" w:cstheme="minorEastAsia"/>
          <w:b/>
          <w:color w:val="auto"/>
          <w:sz w:val="24"/>
          <w:highlight w:val="none"/>
          <w:u w:val="single"/>
          <w:lang w:eastAsia="zh-CN"/>
        </w:rPr>
        <w:t>佛山市禅城区南庄镇吉利村竹甫经济合作社</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他是</w:t>
      </w:r>
      <w:r>
        <w:rPr>
          <w:rFonts w:hint="eastAsia" w:asciiTheme="minorEastAsia" w:hAnsiTheme="minorEastAsia" w:eastAsiaTheme="minorEastAsia" w:cstheme="minorEastAsia"/>
          <w:color w:val="auto"/>
          <w:sz w:val="24"/>
          <w:highlight w:val="none"/>
          <w:lang w:val="en-GB" w:eastAsia="zh-CN"/>
        </w:rPr>
        <w:t>竞投</w:t>
      </w:r>
      <w:r>
        <w:rPr>
          <w:rFonts w:hint="eastAsia" w:asciiTheme="minorEastAsia" w:hAnsiTheme="minorEastAsia" w:eastAsiaTheme="minorEastAsia" w:cstheme="minorEastAsia"/>
          <w:color w:val="auto"/>
          <w:sz w:val="24"/>
          <w:highlight w:val="none"/>
          <w:lang w:val="en-GB"/>
        </w:rPr>
        <w:t>活动当事人之一，负责项目的整体规划、技术方案可行性设计论证与实施，作为合同用户的主体承担质疑回复、履行合同义务、验收与评价等义务。</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2.2</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”系指</w:t>
      </w:r>
      <w:r>
        <w:rPr>
          <w:rFonts w:hint="eastAsia" w:asciiTheme="minorEastAsia" w:hAnsiTheme="minorEastAsia" w:eastAsiaTheme="minorEastAsia" w:cstheme="minorEastAsia"/>
          <w:b/>
          <w:bCs/>
          <w:color w:val="auto"/>
          <w:sz w:val="24"/>
          <w:highlight w:val="none"/>
          <w:u w:val="single"/>
          <w:lang w:eastAsia="zh-CN"/>
        </w:rPr>
        <w:t>广东中采招标有限公司</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是整个</w:t>
      </w:r>
      <w:r>
        <w:rPr>
          <w:rFonts w:hint="eastAsia" w:asciiTheme="minorEastAsia" w:hAnsiTheme="minorEastAsia" w:eastAsiaTheme="minorEastAsia" w:cstheme="minorEastAsia"/>
          <w:color w:val="auto"/>
          <w:sz w:val="24"/>
          <w:highlight w:val="none"/>
          <w:lang w:val="en-GB" w:eastAsia="zh-CN"/>
        </w:rPr>
        <w:t>竞投</w:t>
      </w:r>
      <w:r>
        <w:rPr>
          <w:rFonts w:hint="eastAsia" w:asciiTheme="minorEastAsia" w:hAnsiTheme="minorEastAsia" w:eastAsiaTheme="minorEastAsia" w:cstheme="minorEastAsia"/>
          <w:color w:val="auto"/>
          <w:sz w:val="24"/>
          <w:highlight w:val="none"/>
          <w:lang w:val="en-GB"/>
        </w:rPr>
        <w:t>活动的组织者，依法负责编制和发布</w:t>
      </w:r>
      <w:r>
        <w:rPr>
          <w:rFonts w:hint="eastAsia" w:asciiTheme="minorEastAsia" w:hAnsiTheme="minorEastAsia" w:eastAsiaTheme="minorEastAsia" w:cstheme="minorEastAsia"/>
          <w:color w:val="auto"/>
          <w:sz w:val="24"/>
          <w:highlight w:val="none"/>
          <w:lang w:val="en-GB" w:eastAsia="zh-CN"/>
        </w:rPr>
        <w:t>竞投文件</w:t>
      </w:r>
      <w:r>
        <w:rPr>
          <w:rFonts w:hint="eastAsia" w:asciiTheme="minorEastAsia" w:hAnsiTheme="minorEastAsia" w:eastAsiaTheme="minorEastAsia" w:cstheme="minorEastAsia"/>
          <w:color w:val="auto"/>
          <w:sz w:val="24"/>
          <w:highlight w:val="none"/>
          <w:lang w:val="en-GB"/>
        </w:rPr>
        <w:t>，对</w:t>
      </w:r>
      <w:r>
        <w:rPr>
          <w:rFonts w:hint="eastAsia" w:asciiTheme="minorEastAsia" w:hAnsiTheme="minorEastAsia" w:eastAsiaTheme="minorEastAsia" w:cstheme="minorEastAsia"/>
          <w:color w:val="auto"/>
          <w:sz w:val="24"/>
          <w:highlight w:val="none"/>
          <w:lang w:val="en-GB" w:eastAsia="zh-CN"/>
        </w:rPr>
        <w:t>竞投文件</w:t>
      </w:r>
      <w:r>
        <w:rPr>
          <w:rFonts w:hint="eastAsia" w:asciiTheme="minorEastAsia" w:hAnsiTheme="minorEastAsia" w:eastAsiaTheme="minorEastAsia" w:cstheme="minorEastAsia"/>
          <w:color w:val="auto"/>
          <w:sz w:val="24"/>
          <w:highlight w:val="none"/>
          <w:lang w:val="en-GB"/>
        </w:rPr>
        <w:t>拥有最终的解释权。</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w:t>
      </w:r>
      <w:r>
        <w:rPr>
          <w:rFonts w:hint="eastAsia" w:asciiTheme="minorEastAsia" w:hAnsiTheme="minorEastAsia" w:eastAsiaTheme="minorEastAsia" w:cstheme="minorEastAsia"/>
          <w:color w:val="auto"/>
          <w:sz w:val="24"/>
          <w:highlight w:val="none"/>
        </w:rPr>
        <w:t>人”系指响应招标、参加</w:t>
      </w:r>
      <w:r>
        <w:rPr>
          <w:rFonts w:hint="eastAsia" w:asciiTheme="minorEastAsia" w:hAnsiTheme="minorEastAsia" w:eastAsiaTheme="minorEastAsia" w:cstheme="minorEastAsia"/>
          <w:color w:val="auto"/>
          <w:sz w:val="24"/>
          <w:highlight w:val="none"/>
          <w:lang w:eastAsia="zh-CN"/>
        </w:rPr>
        <w:t>竞投</w:t>
      </w:r>
      <w:r>
        <w:rPr>
          <w:rFonts w:hint="eastAsia" w:asciiTheme="minorEastAsia" w:hAnsiTheme="minorEastAsia" w:eastAsiaTheme="minorEastAsia" w:cstheme="minorEastAsia"/>
          <w:color w:val="auto"/>
          <w:sz w:val="24"/>
          <w:highlight w:val="none"/>
        </w:rPr>
        <w:t>竞争的法人、其他组织或个人。</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2.4</w:t>
      </w:r>
      <w:r>
        <w:rPr>
          <w:rFonts w:hint="eastAsia" w:asciiTheme="minorEastAsia" w:hAnsiTheme="minorEastAsia" w:eastAsiaTheme="minorEastAsia" w:cstheme="minorEastAsia"/>
          <w:color w:val="auto"/>
          <w:sz w:val="24"/>
          <w:highlight w:val="none"/>
        </w:rPr>
        <w:t>“中标人”系指由评标委员会按本《</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》所列述的相关标准，评审推荐，经法定程序确定获得本项目中标资格的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”系指由</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依法发布的本</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，包括全部章节和附件。</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资格审查</w:t>
      </w:r>
      <w:r>
        <w:rPr>
          <w:rFonts w:hint="eastAsia" w:asciiTheme="minorEastAsia" w:hAnsiTheme="minorEastAsia" w:eastAsiaTheme="minorEastAsia" w:cstheme="minorEastAsia"/>
          <w:color w:val="auto"/>
          <w:sz w:val="24"/>
          <w:highlight w:val="none"/>
        </w:rPr>
        <w:t>文件”系指</w:t>
      </w:r>
      <w:r>
        <w:rPr>
          <w:rFonts w:hint="eastAsia" w:asciiTheme="minorEastAsia" w:hAnsiTheme="minorEastAsia" w:eastAsiaTheme="minorEastAsia" w:cstheme="minorEastAsia"/>
          <w:color w:val="auto"/>
          <w:sz w:val="24"/>
          <w:highlight w:val="none"/>
          <w:lang w:eastAsia="zh-CN"/>
        </w:rPr>
        <w:t>投标</w:t>
      </w:r>
      <w:r>
        <w:rPr>
          <w:rFonts w:hint="eastAsia" w:asciiTheme="minorEastAsia" w:hAnsiTheme="minorEastAsia" w:eastAsiaTheme="minorEastAsia" w:cstheme="minorEastAsia"/>
          <w:color w:val="auto"/>
          <w:sz w:val="24"/>
          <w:highlight w:val="none"/>
        </w:rPr>
        <w:t>人根据本</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向</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提交的全部文件。</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“合同”系指由本次</w:t>
      </w:r>
      <w:r>
        <w:rPr>
          <w:rFonts w:hint="eastAsia" w:asciiTheme="minorEastAsia" w:hAnsiTheme="minorEastAsia" w:eastAsiaTheme="minorEastAsia" w:cstheme="minorEastAsia"/>
          <w:color w:val="auto"/>
          <w:sz w:val="24"/>
          <w:highlight w:val="none"/>
          <w:lang w:eastAsia="zh-CN"/>
        </w:rPr>
        <w:t>竞投</w:t>
      </w:r>
      <w:r>
        <w:rPr>
          <w:rFonts w:hint="eastAsia" w:asciiTheme="minorEastAsia" w:hAnsiTheme="minorEastAsia" w:eastAsiaTheme="minorEastAsia" w:cstheme="minorEastAsia"/>
          <w:color w:val="auto"/>
          <w:sz w:val="24"/>
          <w:highlight w:val="none"/>
        </w:rPr>
        <w:t>所产生的合同或合约文件。</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2.8</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日期</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天数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w:t>
      </w: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lang w:val="en-GB"/>
        </w:rPr>
        <w:t>在无特别说明时</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lang w:val="en-GB"/>
        </w:rPr>
        <w:t>指公历日及北京时间。</w:t>
      </w:r>
    </w:p>
    <w:p>
      <w:pPr>
        <w:numPr>
          <w:ilvl w:val="0"/>
          <w:numId w:val="23"/>
        </w:numPr>
        <w:tabs>
          <w:tab w:val="left" w:pos="540"/>
        </w:tabs>
        <w:spacing w:before="120" w:beforeLines="50" w:line="360" w:lineRule="auto"/>
        <w:ind w:left="420" w:leftChars="0" w:hanging="420" w:firstLineChars="0"/>
        <w:rPr>
          <w:rFonts w:ascii="宋体"/>
          <w:b/>
          <w:color w:val="auto"/>
          <w:sz w:val="24"/>
          <w:highlight w:val="none"/>
        </w:rPr>
      </w:pPr>
      <w:r>
        <w:rPr>
          <w:rFonts w:hint="eastAsia" w:ascii="宋体" w:hAnsi="宋体"/>
          <w:b/>
          <w:color w:val="auto"/>
          <w:sz w:val="24"/>
          <w:highlight w:val="none"/>
        </w:rPr>
        <w:t>合格的</w:t>
      </w:r>
      <w:r>
        <w:rPr>
          <w:rFonts w:hint="eastAsia" w:ascii="宋体" w:hAnsi="宋体"/>
          <w:b/>
          <w:color w:val="auto"/>
          <w:sz w:val="24"/>
          <w:highlight w:val="none"/>
          <w:lang w:eastAsia="zh-CN"/>
        </w:rPr>
        <w:t>投标</w:t>
      </w:r>
      <w:r>
        <w:rPr>
          <w:rFonts w:hint="eastAsia" w:ascii="宋体" w:hAnsi="宋体"/>
          <w:b/>
          <w:color w:val="auto"/>
          <w:sz w:val="24"/>
          <w:highlight w:val="none"/>
        </w:rPr>
        <w:t>人：</w:t>
      </w:r>
    </w:p>
    <w:p>
      <w:pPr>
        <w:numPr>
          <w:ilvl w:val="0"/>
          <w:numId w:val="0"/>
        </w:numPr>
        <w:tabs>
          <w:tab w:val="left" w:pos="540"/>
        </w:tabs>
        <w:spacing w:line="360" w:lineRule="auto"/>
        <w:ind w:left="480" w:hanging="480" w:hanging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3.1投标人必须符合以下资格条件：</w:t>
      </w:r>
    </w:p>
    <w:p>
      <w:pPr>
        <w:pStyle w:val="2"/>
        <w:numPr>
          <w:ilvl w:val="0"/>
          <w:numId w:val="24"/>
        </w:numPr>
        <w:spacing w:line="450" w:lineRule="exact"/>
        <w:ind w:left="425" w:leftChars="0" w:hanging="425"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须具有独立法人资格，营业执照处于有效期内。</w:t>
      </w:r>
    </w:p>
    <w:p>
      <w:pPr>
        <w:pStyle w:val="2"/>
        <w:numPr>
          <w:ilvl w:val="0"/>
          <w:numId w:val="24"/>
        </w:numPr>
        <w:spacing w:line="450" w:lineRule="exact"/>
        <w:ind w:left="425" w:leftChars="0" w:hanging="425"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本项目不接受联合体竞投。</w:t>
      </w:r>
    </w:p>
    <w:p>
      <w:pPr>
        <w:pStyle w:val="2"/>
        <w:numPr>
          <w:ilvl w:val="0"/>
          <w:numId w:val="24"/>
        </w:numPr>
        <w:spacing w:line="450" w:lineRule="exact"/>
        <w:ind w:left="425" w:leftChars="0" w:hanging="425"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法律、行政法规规定的其他条件。</w:t>
      </w:r>
    </w:p>
    <w:p>
      <w:pPr>
        <w:numPr>
          <w:ilvl w:val="0"/>
          <w:numId w:val="25"/>
        </w:numPr>
        <w:tabs>
          <w:tab w:val="left" w:pos="284"/>
        </w:tabs>
        <w:autoSpaceDE w:val="0"/>
        <w:autoSpaceDN w:val="0"/>
        <w:adjustRightInd w:val="0"/>
        <w:snapToGrid w:val="0"/>
        <w:spacing w:line="360" w:lineRule="auto"/>
        <w:ind w:left="425" w:leftChars="0" w:hanging="425" w:firstLineChars="0"/>
        <w:rPr>
          <w:rFonts w:hint="eastAsia" w:cs="宋体"/>
          <w:color w:val="auto"/>
          <w:sz w:val="24"/>
          <w:szCs w:val="24"/>
          <w:highlight w:val="none"/>
          <w:lang w:eastAsia="zh-CN"/>
        </w:rPr>
      </w:pPr>
      <w:r>
        <w:rPr>
          <w:rFonts w:hint="eastAsia" w:cs="宋体"/>
          <w:color w:val="auto"/>
          <w:sz w:val="24"/>
          <w:szCs w:val="24"/>
          <w:highlight w:val="none"/>
          <w:lang w:eastAsia="zh-CN"/>
        </w:rPr>
        <w:t>单位负责人为同一人或者存在直接控股、管理关系的不同投标人，不得同时参加本项目竞投；</w:t>
      </w:r>
    </w:p>
    <w:p>
      <w:pPr>
        <w:numPr>
          <w:ilvl w:val="0"/>
          <w:numId w:val="25"/>
        </w:numPr>
        <w:tabs>
          <w:tab w:val="left" w:pos="284"/>
        </w:tabs>
        <w:autoSpaceDE w:val="0"/>
        <w:autoSpaceDN w:val="0"/>
        <w:adjustRightInd w:val="0"/>
        <w:snapToGrid w:val="0"/>
        <w:spacing w:line="360" w:lineRule="auto"/>
        <w:ind w:left="425" w:leftChars="0" w:hanging="425" w:firstLineChars="0"/>
        <w:rPr>
          <w:rFonts w:ascii="宋体"/>
          <w:color w:val="auto"/>
          <w:sz w:val="24"/>
          <w:szCs w:val="24"/>
          <w:highlight w:val="none"/>
        </w:rPr>
      </w:pPr>
      <w:r>
        <w:rPr>
          <w:rFonts w:hint="eastAsia" w:cs="宋体"/>
          <w:color w:val="auto"/>
          <w:sz w:val="24"/>
          <w:szCs w:val="24"/>
          <w:highlight w:val="none"/>
          <w:lang w:eastAsia="zh-CN"/>
        </w:rPr>
        <w:t>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numPr>
          <w:ilvl w:val="0"/>
          <w:numId w:val="0"/>
        </w:numPr>
        <w:tabs>
          <w:tab w:val="left" w:pos="540"/>
        </w:tabs>
        <w:spacing w:line="360" w:lineRule="auto"/>
        <w:ind w:left="0" w:firstLine="0"/>
        <w:rPr>
          <w:rFonts w:ascii="宋体"/>
          <w:color w:val="auto"/>
          <w:sz w:val="24"/>
          <w:szCs w:val="24"/>
          <w:highlight w:val="none"/>
        </w:rPr>
      </w:pPr>
      <w:r>
        <w:rPr>
          <w:rFonts w:hint="eastAsia" w:ascii="宋体" w:hAnsi="宋体"/>
          <w:color w:val="auto"/>
          <w:sz w:val="24"/>
          <w:szCs w:val="24"/>
          <w:highlight w:val="none"/>
          <w:lang w:val="en-US" w:eastAsia="zh-CN"/>
        </w:rPr>
        <w:t>3.2</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人必须购买了</w:t>
      </w:r>
      <w:r>
        <w:rPr>
          <w:rFonts w:hint="eastAsia" w:ascii="宋体" w:hAnsi="宋体"/>
          <w:color w:val="auto"/>
          <w:sz w:val="24"/>
          <w:szCs w:val="24"/>
          <w:highlight w:val="none"/>
          <w:lang w:eastAsia="zh-CN"/>
        </w:rPr>
        <w:t>竞投文件</w:t>
      </w:r>
      <w:r>
        <w:rPr>
          <w:rFonts w:hint="eastAsia" w:ascii="宋体" w:hAnsi="宋体"/>
          <w:color w:val="auto"/>
          <w:sz w:val="24"/>
          <w:szCs w:val="24"/>
          <w:highlight w:val="none"/>
        </w:rPr>
        <w:t>。</w:t>
      </w:r>
    </w:p>
    <w:p>
      <w:pPr>
        <w:numPr>
          <w:ilvl w:val="0"/>
          <w:numId w:val="0"/>
        </w:numPr>
        <w:tabs>
          <w:tab w:val="left" w:pos="540"/>
        </w:tabs>
        <w:spacing w:line="360" w:lineRule="auto"/>
        <w:ind w:left="480" w:hanging="480" w:hangingChars="200"/>
        <w:rPr>
          <w:rFonts w:ascii="宋体"/>
          <w:color w:val="auto"/>
          <w:sz w:val="24"/>
          <w:szCs w:val="24"/>
          <w:highlight w:val="none"/>
        </w:rPr>
      </w:pPr>
      <w:r>
        <w:rPr>
          <w:rFonts w:hint="eastAsia" w:ascii="宋体" w:hAnsi="宋体"/>
          <w:color w:val="auto"/>
          <w:sz w:val="24"/>
          <w:szCs w:val="24"/>
          <w:highlight w:val="none"/>
          <w:lang w:val="en-US" w:eastAsia="zh-CN"/>
        </w:rPr>
        <w:t>3.3</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人获取了本</w:t>
      </w:r>
      <w:r>
        <w:rPr>
          <w:rFonts w:hint="eastAsia" w:ascii="宋体" w:hAnsi="宋体"/>
          <w:color w:val="auto"/>
          <w:sz w:val="24"/>
          <w:szCs w:val="24"/>
          <w:highlight w:val="none"/>
          <w:lang w:eastAsia="zh-CN"/>
        </w:rPr>
        <w:t>竞投文件</w:t>
      </w:r>
      <w:r>
        <w:rPr>
          <w:rFonts w:hint="eastAsia" w:ascii="宋体" w:hAnsi="宋体"/>
          <w:color w:val="auto"/>
          <w:sz w:val="24"/>
          <w:szCs w:val="24"/>
          <w:highlight w:val="none"/>
        </w:rPr>
        <w:t>并非意味着满足了合格、有效</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人的基本条件，一切均以</w:t>
      </w:r>
      <w:r>
        <w:rPr>
          <w:rFonts w:hint="eastAsia" w:ascii="宋体" w:hAnsi="宋体"/>
          <w:color w:val="auto"/>
          <w:sz w:val="24"/>
          <w:szCs w:val="24"/>
          <w:highlight w:val="none"/>
          <w:lang w:eastAsia="zh-CN"/>
        </w:rPr>
        <w:t>招标人代表与招标代理机构代表</w:t>
      </w:r>
      <w:r>
        <w:rPr>
          <w:rFonts w:hint="eastAsia" w:ascii="宋体" w:hAnsi="宋体"/>
          <w:color w:val="auto"/>
          <w:sz w:val="24"/>
          <w:szCs w:val="24"/>
          <w:highlight w:val="none"/>
        </w:rPr>
        <w:t>共同评定确认的结果为准。不合格的</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人</w:t>
      </w:r>
      <w:r>
        <w:rPr>
          <w:rFonts w:hint="eastAsia" w:ascii="宋体" w:hAnsi="宋体"/>
          <w:color w:val="auto"/>
          <w:sz w:val="24"/>
          <w:szCs w:val="24"/>
          <w:highlight w:val="none"/>
          <w:lang w:eastAsia="zh-CN"/>
        </w:rPr>
        <w:t>招标人拒绝其参加竞投</w:t>
      </w:r>
      <w:r>
        <w:rPr>
          <w:rFonts w:hint="eastAsia" w:ascii="宋体" w:hAnsi="宋体"/>
          <w:color w:val="auto"/>
          <w:sz w:val="24"/>
          <w:szCs w:val="24"/>
          <w:highlight w:val="none"/>
        </w:rPr>
        <w:t>，且</w:t>
      </w:r>
      <w:r>
        <w:rPr>
          <w:rFonts w:hint="eastAsia" w:ascii="宋体" w:hAnsi="宋体"/>
          <w:color w:val="auto"/>
          <w:sz w:val="24"/>
          <w:szCs w:val="24"/>
          <w:highlight w:val="none"/>
          <w:lang w:eastAsia="zh-CN"/>
        </w:rPr>
        <w:t>不退还竞投文件费和</w:t>
      </w:r>
      <w:r>
        <w:rPr>
          <w:rFonts w:hint="eastAsia" w:ascii="宋体" w:hAnsi="宋体"/>
          <w:color w:val="auto"/>
          <w:sz w:val="24"/>
          <w:szCs w:val="24"/>
          <w:highlight w:val="none"/>
        </w:rPr>
        <w:t>不予支付任何费用。</w:t>
      </w:r>
    </w:p>
    <w:p>
      <w:pPr>
        <w:numPr>
          <w:ilvl w:val="0"/>
          <w:numId w:val="23"/>
        </w:numPr>
        <w:tabs>
          <w:tab w:val="left" w:pos="540"/>
        </w:tabs>
        <w:spacing w:before="120" w:beforeLines="50" w:line="360" w:lineRule="auto"/>
        <w:ind w:left="420" w:leftChars="0" w:hanging="420" w:firstLineChars="0"/>
        <w:rPr>
          <w:rFonts w:ascii="宋体"/>
          <w:color w:val="auto"/>
          <w:sz w:val="24"/>
          <w:szCs w:val="24"/>
          <w:highlight w:val="none"/>
        </w:rPr>
      </w:pPr>
      <w:r>
        <w:rPr>
          <w:rFonts w:hint="eastAsia" w:ascii="宋体" w:hAnsi="宋体"/>
          <w:b/>
          <w:color w:val="auto"/>
          <w:sz w:val="24"/>
          <w:szCs w:val="24"/>
          <w:highlight w:val="none"/>
          <w:lang w:val="zh-CN"/>
        </w:rPr>
        <w:t>竞投费用：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人应承担所有与准备和参加</w:t>
      </w:r>
      <w:r>
        <w:rPr>
          <w:rFonts w:hint="eastAsia" w:ascii="宋体" w:hAnsi="宋体"/>
          <w:color w:val="auto"/>
          <w:sz w:val="24"/>
          <w:szCs w:val="24"/>
          <w:highlight w:val="none"/>
          <w:lang w:eastAsia="zh-CN"/>
        </w:rPr>
        <w:t>竞投</w:t>
      </w:r>
      <w:r>
        <w:rPr>
          <w:rFonts w:hint="eastAsia" w:ascii="宋体" w:hAnsi="宋体"/>
          <w:color w:val="auto"/>
          <w:sz w:val="24"/>
          <w:szCs w:val="24"/>
          <w:highlight w:val="none"/>
        </w:rPr>
        <w:t>所涉及的一切费用。不论</w:t>
      </w:r>
      <w:r>
        <w:rPr>
          <w:rFonts w:hint="eastAsia" w:ascii="宋体" w:hAnsi="宋体"/>
          <w:color w:val="auto"/>
          <w:sz w:val="24"/>
          <w:szCs w:val="24"/>
          <w:highlight w:val="none"/>
          <w:lang w:eastAsia="zh-CN"/>
        </w:rPr>
        <w:t>竞投</w:t>
      </w:r>
      <w:r>
        <w:rPr>
          <w:rFonts w:hint="eastAsia" w:ascii="宋体" w:hAnsi="宋体"/>
          <w:color w:val="auto"/>
          <w:sz w:val="24"/>
          <w:szCs w:val="24"/>
          <w:highlight w:val="none"/>
        </w:rPr>
        <w:t>的结果如何，</w:t>
      </w:r>
      <w:r>
        <w:rPr>
          <w:rFonts w:hint="eastAsia" w:ascii="宋体" w:hAnsi="宋体"/>
          <w:color w:val="auto"/>
          <w:sz w:val="24"/>
          <w:szCs w:val="24"/>
          <w:highlight w:val="none"/>
          <w:lang w:eastAsia="zh-CN"/>
        </w:rPr>
        <w:t>招标代理机构</w:t>
      </w:r>
      <w:r>
        <w:rPr>
          <w:rFonts w:hint="eastAsia" w:ascii="宋体" w:hAnsi="宋体"/>
          <w:color w:val="auto"/>
          <w:sz w:val="24"/>
          <w:szCs w:val="24"/>
          <w:highlight w:val="none"/>
        </w:rPr>
        <w:t>和</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均无义务和责任承担这些费用。</w:t>
      </w:r>
    </w:p>
    <w:p>
      <w:pPr>
        <w:numPr>
          <w:ilvl w:val="0"/>
          <w:numId w:val="23"/>
        </w:numPr>
        <w:tabs>
          <w:tab w:val="left" w:pos="540"/>
        </w:tabs>
        <w:spacing w:before="120" w:beforeLines="50" w:line="360" w:lineRule="auto"/>
        <w:ind w:left="420" w:leftChars="0" w:hanging="420" w:firstLineChars="0"/>
        <w:rPr>
          <w:rFonts w:ascii="宋体"/>
          <w:color w:val="auto"/>
          <w:sz w:val="24"/>
          <w:highlight w:val="none"/>
        </w:rPr>
      </w:pPr>
      <w:r>
        <w:rPr>
          <w:rFonts w:hint="eastAsia" w:ascii="宋体" w:hAnsi="宋体"/>
          <w:b/>
          <w:color w:val="auto"/>
          <w:sz w:val="24"/>
          <w:highlight w:val="none"/>
          <w:lang w:val="zh-CN"/>
        </w:rPr>
        <w:t>纪律与保密事项：</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5.1</w:t>
      </w:r>
      <w:r>
        <w:rPr>
          <w:rFonts w:hint="eastAsia" w:ascii="宋体" w:hAnsi="宋体"/>
          <w:color w:val="auto"/>
          <w:sz w:val="24"/>
          <w:szCs w:val="24"/>
          <w:highlight w:val="none"/>
          <w:lang w:eastAsia="zh-CN"/>
        </w:rPr>
        <w:t>投标人不得相互串通竞投报价，或以不正当的手段妨碍、排挤其他投标人，扰乱招标市场，破坏公平竞争原则，不得损害招标人或其他投标人的合法权益，投标人不得以向招标人行贿或者采取其他不正当手段谋取中标。</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5.2</w:t>
      </w:r>
      <w:r>
        <w:rPr>
          <w:rFonts w:hint="eastAsia" w:ascii="宋体" w:hAnsi="宋体"/>
          <w:color w:val="auto"/>
          <w:sz w:val="24"/>
          <w:szCs w:val="24"/>
          <w:highlight w:val="none"/>
          <w:lang w:eastAsia="zh-CN"/>
        </w:rPr>
        <w:t>获得本竞投文件者，应对文件进行保密，不得用作本次竞投以外的任何用途。若有要求，开标后，投标人应归还竞投文件中保密的文件和资料。</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5.3</w:t>
      </w:r>
      <w:r>
        <w:rPr>
          <w:rFonts w:hint="eastAsia" w:ascii="宋体" w:hAnsi="宋体"/>
          <w:color w:val="auto"/>
          <w:sz w:val="24"/>
          <w:szCs w:val="24"/>
          <w:highlight w:val="none"/>
          <w:lang w:eastAsia="zh-CN"/>
        </w:rPr>
        <w:t>由招标人向投标人提供的图纸、详细资料、样品、模型、模件和所有其他资料，被视为保密资料，仅被用于它所规定的用途。除非得到招标人的同意，不能向任何第三方透露。开标结束后，应招标人要求，投标人应归还所有从招标人处获得的保密资料。</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5.4</w:t>
      </w:r>
      <w:r>
        <w:rPr>
          <w:rFonts w:hint="eastAsia" w:ascii="宋体" w:hAnsi="宋体"/>
          <w:color w:val="auto"/>
          <w:sz w:val="24"/>
          <w:szCs w:val="24"/>
          <w:highlight w:val="none"/>
          <w:lang w:eastAsia="zh-CN"/>
        </w:rPr>
        <w:t>除投标人被要求对竞投文件进行澄清外，在确定中标人之前，投标人不得与招标人就竞投价格、竞投方案等实质性内容进行谈判。</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5.5</w:t>
      </w:r>
      <w:r>
        <w:rPr>
          <w:rFonts w:hint="eastAsia" w:ascii="宋体" w:hAnsi="宋体"/>
          <w:color w:val="auto"/>
          <w:sz w:val="24"/>
          <w:szCs w:val="24"/>
          <w:highlight w:val="none"/>
          <w:lang w:eastAsia="zh-CN"/>
        </w:rPr>
        <w:t>从递交资格审查文件截止之日起至授予合同期间，在资格审查文件的审查、澄清阶段，投标人试图对招标代理机构施加任何影响或对招标人的比较及授予合同的决定产生影响，都可能导致其取消资格。</w:t>
      </w:r>
    </w:p>
    <w:p>
      <w:pPr>
        <w:numPr>
          <w:ilvl w:val="0"/>
          <w:numId w:val="23"/>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勘探现场及咨询答疑会：</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6.1</w:t>
      </w:r>
      <w:r>
        <w:rPr>
          <w:rFonts w:hint="eastAsia" w:ascii="宋体" w:hAnsi="宋体"/>
          <w:color w:val="auto"/>
          <w:sz w:val="24"/>
          <w:szCs w:val="24"/>
          <w:highlight w:val="none"/>
          <w:lang w:val="zh-CN" w:eastAsia="zh-CN"/>
        </w:rPr>
        <w:t>投标人应充分重视和仔细地进行这种考察，以便获取那些须投标人自己负责的有关编制资格审查文件和签署合同所涉及现场所有的资料。一旦中标，这种考察即被认为其结果已在中标文件中得到充分反映。</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6.2</w:t>
      </w:r>
      <w:r>
        <w:rPr>
          <w:rFonts w:hint="eastAsia" w:ascii="宋体" w:hAnsi="宋体"/>
          <w:color w:val="auto"/>
          <w:sz w:val="24"/>
          <w:szCs w:val="24"/>
          <w:highlight w:val="none"/>
          <w:lang w:val="zh-CN" w:eastAsia="zh-CN"/>
        </w:rPr>
        <w:t>招标人向投标人提供的有关现场的数据和资料，是招标人现有的能被投标人利用的资料，招标人对投标人做出的任何推论、理解和结论均不负责任。</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6.3</w:t>
      </w:r>
      <w:r>
        <w:rPr>
          <w:rFonts w:hint="eastAsia" w:ascii="宋体" w:hAnsi="宋体"/>
          <w:color w:val="auto"/>
          <w:sz w:val="24"/>
          <w:szCs w:val="24"/>
          <w:highlight w:val="none"/>
          <w:lang w:val="zh-CN" w:eastAsia="zh-CN"/>
        </w:rPr>
        <w:t>经招标人允许，投标人可为踏勘目的进入招标人的项目现场。在考察过程中，投标人及其代表必须承担那些进入现场后，由于他们的行为所造成的人身伤害（不管是否致命）、财产损失或损坏，以及其他任何原因造成的损失、损坏或费用，投标人不得因此使招标人承担有关的责任和蒙受损失。</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6.4</w:t>
      </w:r>
      <w:r>
        <w:rPr>
          <w:rFonts w:hint="eastAsia" w:ascii="宋体" w:hAnsi="宋体"/>
          <w:color w:val="auto"/>
          <w:sz w:val="24"/>
          <w:szCs w:val="24"/>
          <w:highlight w:val="none"/>
          <w:lang w:val="zh-CN" w:eastAsia="zh-CN"/>
        </w:rPr>
        <w:t>本项目不集中统一举行现场勘探，投标人可自行考察现场，因此而产生的费用由投标人自己承担。</w:t>
      </w:r>
    </w:p>
    <w:p>
      <w:pPr>
        <w:spacing w:line="312" w:lineRule="auto"/>
        <w:rPr>
          <w:rFonts w:ascii="宋体"/>
          <w:color w:val="auto"/>
          <w:sz w:val="24"/>
          <w:highlight w:val="none"/>
        </w:rPr>
      </w:pPr>
    </w:p>
    <w:p>
      <w:pPr>
        <w:spacing w:after="72" w:afterLines="30" w:line="336" w:lineRule="auto"/>
        <w:ind w:right="-178" w:rightChars="-85"/>
        <w:jc w:val="center"/>
        <w:outlineLvl w:val="1"/>
        <w:rPr>
          <w:rFonts w:ascii="宋体"/>
          <w:b/>
          <w:color w:val="auto"/>
          <w:sz w:val="28"/>
          <w:szCs w:val="28"/>
          <w:highlight w:val="none"/>
        </w:rPr>
      </w:pPr>
      <w:bookmarkStart w:id="41" w:name="_Toc19884"/>
      <w:bookmarkStart w:id="42" w:name="_Toc10095"/>
      <w:bookmarkStart w:id="43" w:name="_Toc6537"/>
      <w:bookmarkStart w:id="44" w:name="_Toc334432591"/>
      <w:bookmarkStart w:id="45" w:name="_Toc21830"/>
      <w:r>
        <w:rPr>
          <w:rFonts w:hint="eastAsia" w:ascii="宋体" w:hAnsi="宋体"/>
          <w:b/>
          <w:color w:val="auto"/>
          <w:sz w:val="28"/>
          <w:szCs w:val="28"/>
          <w:highlight w:val="none"/>
        </w:rPr>
        <w:t>三、</w:t>
      </w:r>
      <w:r>
        <w:rPr>
          <w:rFonts w:hint="eastAsia" w:ascii="宋体" w:hAnsi="宋体"/>
          <w:b/>
          <w:color w:val="auto"/>
          <w:sz w:val="28"/>
          <w:szCs w:val="28"/>
          <w:highlight w:val="none"/>
          <w:lang w:eastAsia="zh-CN"/>
        </w:rPr>
        <w:t>竞投文件</w:t>
      </w:r>
      <w:r>
        <w:rPr>
          <w:rFonts w:hint="eastAsia" w:ascii="宋体" w:hAnsi="宋体"/>
          <w:b/>
          <w:color w:val="auto"/>
          <w:sz w:val="28"/>
          <w:szCs w:val="28"/>
          <w:highlight w:val="none"/>
        </w:rPr>
        <w:t>说明</w:t>
      </w:r>
      <w:bookmarkEnd w:id="41"/>
      <w:bookmarkEnd w:id="42"/>
      <w:bookmarkEnd w:id="43"/>
      <w:bookmarkEnd w:id="44"/>
      <w:bookmarkEnd w:id="45"/>
    </w:p>
    <w:p>
      <w:pPr>
        <w:numPr>
          <w:ilvl w:val="0"/>
          <w:numId w:val="23"/>
        </w:numPr>
        <w:tabs>
          <w:tab w:val="left" w:pos="540"/>
        </w:tabs>
        <w:spacing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竞投文件的构成</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7.1</w:t>
      </w:r>
      <w:r>
        <w:rPr>
          <w:rFonts w:hint="eastAsia" w:ascii="宋体" w:hAnsi="宋体"/>
          <w:color w:val="auto"/>
          <w:sz w:val="24"/>
          <w:szCs w:val="24"/>
          <w:highlight w:val="none"/>
          <w:lang w:val="en-GB" w:eastAsia="zh-CN"/>
        </w:rPr>
        <w:t>本竞投文件是招标人作为阐明项目内容及相应的伴随服务的基本要求，竞投文件、资格审查文件、资格审查结果、竞投结果、合同书和相关承诺确认文件均作为任何一方当事人履约的重要依据。投标人获得竞投文件后，应仔细检查竞投文件的所有内容，如有残缺等问题应在获得竞投文件1天内向招标代理机构（或招标人）提出，否则，由此引起的损失由投标人自己承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7.2</w:t>
      </w:r>
      <w:r>
        <w:rPr>
          <w:rFonts w:hint="eastAsia" w:ascii="宋体" w:hAnsi="宋体"/>
          <w:color w:val="auto"/>
          <w:sz w:val="24"/>
          <w:szCs w:val="24"/>
          <w:highlight w:val="none"/>
          <w:lang w:val="zh-CN" w:eastAsia="zh-CN"/>
        </w:rPr>
        <w:t>本竞投文件由①竞投公告、②项目内容、③投标人须知、④合同书范本、⑤资格审查文件格式共五部分组成。</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7.3</w:t>
      </w:r>
      <w:r>
        <w:rPr>
          <w:rFonts w:hint="eastAsia" w:ascii="宋体" w:hAnsi="宋体"/>
          <w:color w:val="auto"/>
          <w:sz w:val="24"/>
          <w:szCs w:val="24"/>
          <w:highlight w:val="none"/>
          <w:lang w:val="zh-CN" w:eastAsia="zh-CN"/>
        </w:rPr>
        <w:t>投标人应仔细阅读、并充分理解竞投文件的全部内容（包括所有的补充、修改内容、重要事项、格式、条款和技术规范、参数及要求等）。按照竞投文件的要求编制资格审查文件和提交全部资料，并对竞投文件提出的实质性和条件作出响应。</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7.2</w:t>
      </w:r>
      <w:r>
        <w:rPr>
          <w:rFonts w:hint="eastAsia" w:ascii="宋体" w:hAnsi="宋体"/>
          <w:color w:val="auto"/>
          <w:sz w:val="24"/>
          <w:szCs w:val="24"/>
          <w:highlight w:val="none"/>
          <w:lang w:val="zh-CN" w:eastAsia="zh-CN"/>
        </w:rPr>
        <w:t>投标人没有按照竞投文件要求提交全部资料，或者资格审查文件没有对竞投文件在各方面都做出实质性响应是投标人的风险，有可能导致其资格审查不通过，或被认定为无效竞投或被确定为竞投无效。</w:t>
      </w:r>
    </w:p>
    <w:p>
      <w:pPr>
        <w:numPr>
          <w:ilvl w:val="0"/>
          <w:numId w:val="23"/>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竞投文件的澄清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8.1</w:t>
      </w:r>
      <w:r>
        <w:rPr>
          <w:rFonts w:hint="eastAsia" w:ascii="宋体" w:hAnsi="宋体"/>
          <w:color w:val="auto"/>
          <w:sz w:val="24"/>
          <w:szCs w:val="24"/>
          <w:highlight w:val="none"/>
          <w:lang w:val="zh-CN" w:eastAsia="zh-CN"/>
        </w:rPr>
        <w:t>投标人对本竞投文件如有疑问，请按竞投公告载明的地址以书面形式【包括信函或传真等（应加盖公章），下同】向招标代理机构提出澄清要求,招标代理机构对收到的任何澄清要求以书面形式予以答复。</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8.2</w:t>
      </w:r>
      <w:r>
        <w:rPr>
          <w:rFonts w:hint="eastAsia" w:ascii="宋体" w:hAnsi="宋体"/>
          <w:color w:val="auto"/>
          <w:sz w:val="24"/>
          <w:szCs w:val="24"/>
          <w:highlight w:val="none"/>
          <w:lang w:val="zh-CN" w:eastAsia="zh-CN"/>
        </w:rPr>
        <w:t>根据需要，招标代理机构和招标人在收到投标人递交的书面疑问或澄清要求后，将以书面形式解答或通过信息发布网站发布答疑或澄清文件。答疑或澄清文件将作为竞投文件的组成部分，如与竞投文件内容不一致的，应以最终的答疑或澄清文件的内容为准。</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8.3</w:t>
      </w:r>
      <w:r>
        <w:rPr>
          <w:rFonts w:hint="eastAsia" w:ascii="宋体" w:hAnsi="宋体"/>
          <w:color w:val="auto"/>
          <w:sz w:val="24"/>
          <w:szCs w:val="24"/>
          <w:highlight w:val="none"/>
          <w:lang w:val="zh-CN" w:eastAsia="zh-CN"/>
        </w:rPr>
        <w:t>投标人在规定的时间内，未对发布的澄清内容或答疑内容作出回复时，招标代理机构和招标人将视其为无异议。</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8.4</w:t>
      </w:r>
      <w:r>
        <w:rPr>
          <w:rFonts w:hint="eastAsia" w:ascii="宋体" w:hAnsi="宋体"/>
          <w:color w:val="auto"/>
          <w:sz w:val="24"/>
          <w:szCs w:val="24"/>
          <w:highlight w:val="none"/>
          <w:lang w:val="zh-CN" w:eastAsia="zh-CN"/>
        </w:rPr>
        <w:t>招标过程中的一切修改文件或补充文件一旦确认后与竞投文件具有同等法律效力，投标人有责任履行相应的义务。</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8.5澄清的内容可能影响资格审查文件编制的，招标人或者招标代理机构应当在竞投截止时间至少1日前，</w:t>
      </w:r>
      <w:r>
        <w:rPr>
          <w:rFonts w:hint="eastAsia" w:ascii="宋体" w:hAnsi="宋体"/>
          <w:color w:val="auto"/>
          <w:sz w:val="24"/>
          <w:szCs w:val="24"/>
          <w:highlight w:val="none"/>
          <w:lang w:val="zh-CN" w:eastAsia="zh-CN"/>
        </w:rPr>
        <w:t>在</w:t>
      </w:r>
      <w:r>
        <w:rPr>
          <w:rFonts w:hint="eastAsia" w:ascii="宋体" w:hAnsi="宋体"/>
          <w:color w:val="auto"/>
          <w:sz w:val="24"/>
          <w:szCs w:val="24"/>
          <w:highlight w:val="none"/>
          <w:lang w:val="en-US" w:eastAsia="zh-CN"/>
        </w:rPr>
        <w:t>佛山市公共资源交易中心禅城分中心网页发布</w:t>
      </w:r>
      <w:r>
        <w:rPr>
          <w:rFonts w:hint="eastAsia" w:ascii="宋体" w:hAnsi="宋体"/>
          <w:color w:val="auto"/>
          <w:sz w:val="24"/>
          <w:szCs w:val="24"/>
          <w:highlight w:val="none"/>
          <w:lang w:val="zh-CN" w:eastAsia="zh-CN"/>
        </w:rPr>
        <w:t>通知</w:t>
      </w:r>
      <w:r>
        <w:rPr>
          <w:rFonts w:hint="eastAsia" w:ascii="宋体" w:hAnsi="宋体"/>
          <w:color w:val="auto"/>
          <w:sz w:val="24"/>
          <w:szCs w:val="24"/>
          <w:highlight w:val="none"/>
          <w:lang w:val="en-US" w:eastAsia="zh-CN"/>
        </w:rPr>
        <w:t>潜在投标人；不足1日的，招标人或者招标代理机构应当顺延提交资格审查文件的截止时间。</w:t>
      </w:r>
    </w:p>
    <w:p>
      <w:pPr>
        <w:numPr>
          <w:ilvl w:val="0"/>
          <w:numId w:val="23"/>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竞投文件的修改</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9.1</w:t>
      </w:r>
      <w:r>
        <w:rPr>
          <w:rFonts w:hint="eastAsia" w:ascii="宋体" w:hAnsi="宋体"/>
          <w:color w:val="auto"/>
          <w:sz w:val="24"/>
          <w:szCs w:val="24"/>
          <w:highlight w:val="none"/>
          <w:lang w:val="zh-CN" w:eastAsia="zh-CN"/>
        </w:rPr>
        <w:t>在递交资格审查文件截止日期前的任何时候，无论何故，招标代理机构可主动地或在答复投标人提出澄清的问题时对竞投文件进行修改。</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9.2</w:t>
      </w:r>
      <w:r>
        <w:rPr>
          <w:rFonts w:hint="eastAsia" w:ascii="宋体" w:hAnsi="宋体"/>
          <w:color w:val="auto"/>
          <w:sz w:val="24"/>
          <w:szCs w:val="24"/>
          <w:highlight w:val="none"/>
          <w:lang w:val="zh-CN" w:eastAsia="zh-CN"/>
        </w:rPr>
        <w:t>竞投文件的修改将在</w:t>
      </w:r>
      <w:r>
        <w:rPr>
          <w:rFonts w:hint="eastAsia" w:ascii="宋体" w:hAnsi="宋体"/>
          <w:color w:val="auto"/>
          <w:sz w:val="24"/>
          <w:szCs w:val="24"/>
          <w:highlight w:val="none"/>
          <w:lang w:val="en-US" w:eastAsia="zh-CN"/>
        </w:rPr>
        <w:t>佛山市公共资源交易中心禅城分中心网页发布，投标人自行查看，一经发布则视作全体投标人均已知悉</w:t>
      </w:r>
      <w:r>
        <w:rPr>
          <w:rFonts w:hint="eastAsia" w:ascii="宋体" w:hAnsi="宋体"/>
          <w:color w:val="auto"/>
          <w:sz w:val="24"/>
          <w:szCs w:val="24"/>
          <w:highlight w:val="none"/>
          <w:lang w:val="zh-CN" w:eastAsia="zh-CN"/>
        </w:rPr>
        <w:t>。</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9.3</w:t>
      </w:r>
      <w:r>
        <w:rPr>
          <w:rFonts w:hint="eastAsia" w:ascii="宋体" w:hAnsi="宋体"/>
          <w:color w:val="auto"/>
          <w:sz w:val="24"/>
          <w:szCs w:val="24"/>
          <w:highlight w:val="none"/>
          <w:lang w:val="zh-CN" w:eastAsia="zh-CN"/>
        </w:rPr>
        <w:t>必要时，为使投标人在准备资格审查文件时有合理的时间考虑竞投文件的修改，招标代理机构可酌情推迟本项目递交资格审查文件截止日期，但应发布公告并书面通知所有购买竞投文件的潜在投标人。</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9.4</w:t>
      </w:r>
      <w:r>
        <w:rPr>
          <w:rFonts w:hint="eastAsia" w:ascii="宋体" w:hAnsi="宋体"/>
          <w:color w:val="auto"/>
          <w:sz w:val="24"/>
          <w:szCs w:val="24"/>
          <w:highlight w:val="none"/>
          <w:lang w:val="zh-CN" w:eastAsia="zh-CN"/>
        </w:rPr>
        <w:t>修改的内容可能影响资格审查文件编制的，招标人或者招标代理机构应当在竞投截止时间至少</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val="zh-CN" w:eastAsia="zh-CN"/>
        </w:rPr>
        <w:t>日前，在</w:t>
      </w:r>
      <w:r>
        <w:rPr>
          <w:rFonts w:hint="eastAsia" w:ascii="宋体" w:hAnsi="宋体"/>
          <w:color w:val="auto"/>
          <w:sz w:val="24"/>
          <w:szCs w:val="24"/>
          <w:highlight w:val="none"/>
          <w:lang w:val="en-US" w:eastAsia="zh-CN"/>
        </w:rPr>
        <w:t>佛山市公共资源交易中心禅城分中心网页发布</w:t>
      </w:r>
      <w:r>
        <w:rPr>
          <w:rFonts w:hint="eastAsia" w:ascii="宋体" w:hAnsi="宋体"/>
          <w:color w:val="auto"/>
          <w:sz w:val="24"/>
          <w:szCs w:val="24"/>
          <w:highlight w:val="none"/>
          <w:lang w:val="zh-CN" w:eastAsia="zh-CN"/>
        </w:rPr>
        <w:t>通知</w:t>
      </w:r>
      <w:r>
        <w:rPr>
          <w:rFonts w:hint="eastAsia" w:ascii="宋体" w:hAnsi="宋体"/>
          <w:color w:val="auto"/>
          <w:sz w:val="24"/>
          <w:szCs w:val="24"/>
          <w:highlight w:val="none"/>
          <w:lang w:val="en-US" w:eastAsia="zh-CN"/>
        </w:rPr>
        <w:t>潜在投标人</w:t>
      </w:r>
      <w:r>
        <w:rPr>
          <w:rFonts w:hint="eastAsia" w:ascii="宋体" w:hAnsi="宋体"/>
          <w:color w:val="auto"/>
          <w:sz w:val="24"/>
          <w:szCs w:val="24"/>
          <w:highlight w:val="none"/>
          <w:lang w:val="zh-CN" w:eastAsia="zh-CN"/>
        </w:rPr>
        <w:t>；不足</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val="zh-CN" w:eastAsia="zh-CN"/>
        </w:rPr>
        <w:t>日的，招标人或者招标代理机构应当顺延提交资格审查文件的截止时间。</w:t>
      </w:r>
    </w:p>
    <w:p>
      <w:pPr>
        <w:spacing w:after="72" w:afterLines="30" w:line="336" w:lineRule="auto"/>
        <w:ind w:right="-178" w:rightChars="-85"/>
        <w:jc w:val="center"/>
        <w:rPr>
          <w:rFonts w:hint="eastAsia" w:ascii="宋体" w:hAnsi="宋体"/>
          <w:b/>
          <w:color w:val="auto"/>
          <w:sz w:val="28"/>
          <w:szCs w:val="28"/>
          <w:highlight w:val="none"/>
        </w:rPr>
      </w:pPr>
      <w:bookmarkStart w:id="46" w:name="_Toc31024"/>
      <w:bookmarkStart w:id="47" w:name="_Toc334432592"/>
    </w:p>
    <w:p>
      <w:pPr>
        <w:spacing w:after="72" w:afterLines="30" w:line="336" w:lineRule="auto"/>
        <w:ind w:right="-178" w:rightChars="-85"/>
        <w:jc w:val="center"/>
        <w:outlineLvl w:val="1"/>
        <w:rPr>
          <w:rFonts w:ascii="宋体"/>
          <w:b/>
          <w:color w:val="auto"/>
          <w:sz w:val="28"/>
          <w:szCs w:val="28"/>
          <w:highlight w:val="none"/>
        </w:rPr>
      </w:pPr>
      <w:bookmarkStart w:id="48" w:name="_Toc5541"/>
      <w:bookmarkStart w:id="49" w:name="_Toc18892"/>
      <w:bookmarkStart w:id="50" w:name="_Toc29099"/>
      <w:r>
        <w:rPr>
          <w:rFonts w:hint="eastAsia" w:ascii="宋体" w:hAnsi="宋体"/>
          <w:b/>
          <w:color w:val="auto"/>
          <w:sz w:val="28"/>
          <w:szCs w:val="28"/>
          <w:highlight w:val="none"/>
        </w:rPr>
        <w:t>四、</w:t>
      </w:r>
      <w:r>
        <w:rPr>
          <w:rFonts w:hint="eastAsia" w:ascii="宋体" w:hAnsi="宋体"/>
          <w:b/>
          <w:color w:val="auto"/>
          <w:sz w:val="28"/>
          <w:szCs w:val="28"/>
          <w:highlight w:val="none"/>
          <w:lang w:eastAsia="zh-CN"/>
        </w:rPr>
        <w:t>资格审查</w:t>
      </w:r>
      <w:r>
        <w:rPr>
          <w:rFonts w:hint="eastAsia" w:ascii="宋体" w:hAnsi="宋体"/>
          <w:b/>
          <w:color w:val="auto"/>
          <w:sz w:val="28"/>
          <w:szCs w:val="28"/>
          <w:highlight w:val="none"/>
        </w:rPr>
        <w:t>文件说明</w:t>
      </w:r>
      <w:bookmarkEnd w:id="46"/>
      <w:bookmarkEnd w:id="47"/>
      <w:bookmarkEnd w:id="48"/>
      <w:bookmarkEnd w:id="49"/>
      <w:bookmarkEnd w:id="50"/>
    </w:p>
    <w:p>
      <w:pPr>
        <w:numPr>
          <w:ilvl w:val="0"/>
          <w:numId w:val="23"/>
        </w:numPr>
        <w:tabs>
          <w:tab w:val="left" w:pos="540"/>
        </w:tabs>
        <w:spacing w:line="374"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原则</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10.1</w:t>
      </w:r>
      <w:r>
        <w:rPr>
          <w:rFonts w:hint="eastAsia" w:ascii="宋体" w:hAnsi="宋体"/>
          <w:color w:val="auto"/>
          <w:sz w:val="24"/>
          <w:szCs w:val="24"/>
          <w:highlight w:val="none"/>
          <w:lang w:val="en-GB" w:eastAsia="zh-CN"/>
        </w:rPr>
        <w:t>资格审查文件应突出重点，精简扼要。所提供的资料必须符合诚实信用、客观真实的原则，对弄虚作假或违背诚信的违法行为，应自行承担相应的后果及法律责任。</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10.2</w:t>
      </w:r>
      <w:r>
        <w:rPr>
          <w:rFonts w:hint="eastAsia" w:ascii="宋体" w:hAnsi="宋体"/>
          <w:color w:val="auto"/>
          <w:sz w:val="24"/>
          <w:szCs w:val="24"/>
          <w:highlight w:val="none"/>
          <w:lang w:val="zh-CN" w:eastAsia="zh-CN"/>
        </w:rPr>
        <w:t>无论采购结果如何，投标人自行承担因参加本次竞投而发生的一切费用。</w:t>
      </w:r>
    </w:p>
    <w:p>
      <w:pPr>
        <w:numPr>
          <w:ilvl w:val="0"/>
          <w:numId w:val="23"/>
        </w:numPr>
        <w:tabs>
          <w:tab w:val="left" w:pos="540"/>
        </w:tabs>
        <w:spacing w:before="120" w:beforeLines="50" w:line="374" w:lineRule="auto"/>
        <w:ind w:left="420" w:leftChars="0" w:hanging="420" w:firstLineChars="0"/>
        <w:rPr>
          <w:rFonts w:ascii="宋体"/>
          <w:b/>
          <w:color w:val="auto"/>
          <w:sz w:val="24"/>
          <w:highlight w:val="none"/>
          <w:lang w:val="zh-CN"/>
        </w:rPr>
      </w:pPr>
      <w:bookmarkStart w:id="51" w:name="_Toc149106628"/>
      <w:bookmarkStart w:id="52" w:name="_Toc136682646"/>
      <w:bookmarkStart w:id="53" w:name="_Toc136659020"/>
      <w:bookmarkStart w:id="54" w:name="_Toc142985643"/>
      <w:bookmarkStart w:id="55" w:name="_Toc148948833"/>
      <w:bookmarkStart w:id="56" w:name="_Toc119321129"/>
      <w:bookmarkStart w:id="57" w:name="_Toc168310815"/>
      <w:bookmarkStart w:id="58" w:name="_Toc136663328"/>
      <w:bookmarkStart w:id="59" w:name="_Toc136684235"/>
      <w:r>
        <w:rPr>
          <w:rFonts w:hint="eastAsia" w:ascii="宋体" w:hAnsi="宋体"/>
          <w:b/>
          <w:color w:val="auto"/>
          <w:sz w:val="24"/>
          <w:highlight w:val="none"/>
          <w:lang w:val="zh-CN"/>
        </w:rPr>
        <w:t>资格审查文件的组成与制作要求</w:t>
      </w:r>
      <w:bookmarkEnd w:id="51"/>
      <w:bookmarkEnd w:id="52"/>
      <w:bookmarkEnd w:id="53"/>
      <w:bookmarkEnd w:id="54"/>
      <w:bookmarkEnd w:id="55"/>
      <w:bookmarkEnd w:id="56"/>
      <w:bookmarkEnd w:id="57"/>
      <w:bookmarkEnd w:id="58"/>
      <w:bookmarkEnd w:id="59"/>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11.1</w:t>
      </w:r>
      <w:r>
        <w:rPr>
          <w:rFonts w:hint="eastAsia" w:ascii="宋体" w:hAnsi="宋体"/>
          <w:color w:val="auto"/>
          <w:sz w:val="24"/>
          <w:szCs w:val="24"/>
          <w:highlight w:val="none"/>
          <w:lang w:val="en-GB" w:eastAsia="zh-CN"/>
        </w:rPr>
        <w:t>具体按竞投文件中第五部分“资格审查文件格式”的要求统一编制。</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11.2</w:t>
      </w:r>
      <w:r>
        <w:rPr>
          <w:rFonts w:hint="eastAsia" w:ascii="宋体" w:hAnsi="宋体"/>
          <w:color w:val="auto"/>
          <w:sz w:val="24"/>
          <w:szCs w:val="24"/>
          <w:highlight w:val="none"/>
          <w:lang w:val="en-GB" w:eastAsia="zh-CN"/>
        </w:rPr>
        <w:t>投标人应以A4版面统一编制《资格审查文件》。《资格审查文件》的电子文档应采用word格式或PDF格式制作</w:t>
      </w:r>
      <w:r>
        <w:rPr>
          <w:rFonts w:hint="eastAsia" w:ascii="宋体" w:hAnsi="宋体"/>
          <w:color w:val="auto"/>
          <w:sz w:val="24"/>
          <w:szCs w:val="24"/>
          <w:highlight w:val="none"/>
          <w:lang w:val="en-US" w:eastAsia="zh-CN"/>
        </w:rPr>
        <w:t>，并统一刻录在两份光盘内。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11.3</w:t>
      </w:r>
      <w:r>
        <w:rPr>
          <w:rFonts w:hint="eastAsia" w:ascii="宋体" w:hAnsi="宋体"/>
          <w:color w:val="auto"/>
          <w:sz w:val="24"/>
          <w:szCs w:val="24"/>
          <w:highlight w:val="none"/>
          <w:lang w:val="en-GB" w:eastAsia="zh-CN"/>
        </w:rPr>
        <w:t>资格审查文件递交的内容和数量详见《投标须知前附表》要求。</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11.4</w:t>
      </w:r>
      <w:r>
        <w:rPr>
          <w:rFonts w:hint="eastAsia" w:ascii="宋体" w:hAnsi="宋体"/>
          <w:color w:val="auto"/>
          <w:sz w:val="24"/>
          <w:szCs w:val="24"/>
          <w:highlight w:val="none"/>
          <w:lang w:val="en-GB" w:eastAsia="zh-CN"/>
        </w:rPr>
        <w:t>资格审查文件的制作以及投标人与招标代理机构就有关竞投的所有来往函电均应使用简体中文。投标人提交的支持文件或印刷的资料可以用另一种语言，但相应内容须附有中文译注，对不同文字文本竞投文件的解释发生异议的，以中文文本为准。对中文翻译有异议的，以权威机构的译本为准。</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11.5</w:t>
      </w:r>
      <w:r>
        <w:rPr>
          <w:rFonts w:hint="eastAsia" w:ascii="宋体" w:hAnsi="宋体"/>
          <w:color w:val="auto"/>
          <w:sz w:val="24"/>
          <w:szCs w:val="24"/>
          <w:highlight w:val="none"/>
          <w:lang w:val="en-GB" w:eastAsia="zh-CN"/>
        </w:rPr>
        <w:t>资格审查文件使用的度量衡单位采用中华人民共和国法定计量单位。</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11.6</w:t>
      </w:r>
      <w:r>
        <w:rPr>
          <w:rFonts w:hint="eastAsia" w:ascii="宋体" w:hAnsi="宋体"/>
          <w:color w:val="auto"/>
          <w:sz w:val="24"/>
          <w:szCs w:val="24"/>
          <w:highlight w:val="none"/>
          <w:lang w:val="en-GB" w:eastAsia="zh-CN"/>
        </w:rPr>
        <w:t>资格审查文件所使用的公章必须为企事业法人公章，且与投标人名称一致。需签名之处必须由法定代表人或授权代表亲笔签署（或签章）。</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11.7</w:t>
      </w:r>
      <w:r>
        <w:rPr>
          <w:rFonts w:hint="eastAsia" w:ascii="宋体" w:hAnsi="宋体"/>
          <w:color w:val="auto"/>
          <w:sz w:val="24"/>
          <w:szCs w:val="24"/>
          <w:highlight w:val="none"/>
          <w:lang w:val="en-GB" w:eastAsia="zh-CN"/>
        </w:rPr>
        <w:t>资格审查文件自制部分必须打印（副本文件可由正本文件复印而成），且整册装订牢固可靠且不能轻易脱落。如因装订问题而出现漏页或缺页，由此产生的一切后果由投标人自行承担。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11.8</w:t>
      </w:r>
      <w:r>
        <w:rPr>
          <w:rFonts w:hint="eastAsia" w:ascii="宋体" w:hAnsi="宋体"/>
          <w:color w:val="auto"/>
          <w:sz w:val="24"/>
          <w:szCs w:val="24"/>
          <w:highlight w:val="none"/>
          <w:lang w:val="en-GB" w:eastAsia="zh-CN"/>
        </w:rPr>
        <w:t>任何行间插字、涂改和增删（如有）必须由投标人代表签字确认并加盖投标人公章后方为有效。</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11.9</w:t>
      </w:r>
      <w:r>
        <w:rPr>
          <w:rFonts w:hint="eastAsia" w:ascii="宋体" w:hAnsi="宋体"/>
          <w:color w:val="auto"/>
          <w:sz w:val="24"/>
          <w:szCs w:val="24"/>
          <w:highlight w:val="none"/>
          <w:lang w:val="en-GB" w:eastAsia="zh-CN"/>
        </w:rPr>
        <w:t>资格审查文件【正本】和【副本】的封面须加盖投标人公章。</w:t>
      </w:r>
    </w:p>
    <w:p>
      <w:pPr>
        <w:numPr>
          <w:ilvl w:val="0"/>
          <w:numId w:val="0"/>
        </w:numPr>
        <w:tabs>
          <w:tab w:val="left" w:pos="540"/>
        </w:tabs>
        <w:spacing w:line="360" w:lineRule="auto"/>
        <w:ind w:left="480" w:hanging="480" w:hangingChars="200"/>
        <w:rPr>
          <w:color w:val="auto"/>
          <w:sz w:val="24"/>
          <w:highlight w:val="none"/>
          <w:lang w:val="en-GB"/>
        </w:rPr>
      </w:pPr>
      <w:r>
        <w:rPr>
          <w:rFonts w:hint="eastAsia" w:ascii="宋体" w:hAnsi="宋体"/>
          <w:color w:val="auto"/>
          <w:sz w:val="24"/>
          <w:highlight w:val="none"/>
          <w:lang w:val="en-US" w:eastAsia="zh-CN"/>
        </w:rPr>
        <w:t>11.10</w:t>
      </w:r>
      <w:r>
        <w:rPr>
          <w:rFonts w:hint="eastAsia" w:ascii="宋体" w:hAnsi="宋体"/>
          <w:color w:val="auto"/>
          <w:sz w:val="24"/>
          <w:szCs w:val="24"/>
          <w:highlight w:val="none"/>
          <w:lang w:val="en-GB" w:eastAsia="zh-CN"/>
        </w:rPr>
        <w:t>资格</w:t>
      </w:r>
      <w:r>
        <w:rPr>
          <w:rFonts w:hint="eastAsia" w:hAnsi="宋体"/>
          <w:color w:val="auto"/>
          <w:sz w:val="24"/>
          <w:highlight w:val="none"/>
          <w:lang w:val="en-GB" w:eastAsia="zh-CN"/>
        </w:rPr>
        <w:t>审查</w:t>
      </w:r>
      <w:r>
        <w:rPr>
          <w:rFonts w:hint="eastAsia" w:ascii="宋体" w:hAnsi="宋体"/>
          <w:color w:val="auto"/>
          <w:sz w:val="24"/>
          <w:highlight w:val="none"/>
          <w:lang w:val="en-GB"/>
        </w:rPr>
        <w:t>文件应包含正本、副本、相对应的电子文档，每一份</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文件上应明确注明</w:t>
      </w:r>
      <w:r>
        <w:rPr>
          <w:rFonts w:hint="eastAsia" w:ascii="宋体"/>
          <w:color w:val="auto"/>
          <w:sz w:val="24"/>
          <w:highlight w:val="none"/>
          <w:lang w:val="en-GB"/>
        </w:rPr>
        <w:t>“</w:t>
      </w:r>
      <w:r>
        <w:rPr>
          <w:rFonts w:hint="eastAsia" w:ascii="宋体" w:hAnsi="宋体"/>
          <w:color w:val="auto"/>
          <w:sz w:val="24"/>
          <w:highlight w:val="none"/>
          <w:lang w:val="en-GB"/>
        </w:rPr>
        <w:t>正本</w:t>
      </w:r>
      <w:r>
        <w:rPr>
          <w:rFonts w:hint="eastAsia" w:ascii="宋体"/>
          <w:color w:val="auto"/>
          <w:sz w:val="24"/>
          <w:highlight w:val="none"/>
          <w:lang w:val="en-GB"/>
        </w:rPr>
        <w:t>”</w:t>
      </w:r>
      <w:r>
        <w:rPr>
          <w:rFonts w:hint="eastAsia" w:ascii="宋体" w:hAnsi="宋体"/>
          <w:color w:val="auto"/>
          <w:sz w:val="24"/>
          <w:highlight w:val="none"/>
          <w:lang w:val="en-GB"/>
        </w:rPr>
        <w:t>或</w:t>
      </w:r>
      <w:r>
        <w:rPr>
          <w:rFonts w:hint="eastAsia" w:ascii="宋体"/>
          <w:color w:val="auto"/>
          <w:sz w:val="24"/>
          <w:highlight w:val="none"/>
          <w:lang w:val="en-GB"/>
        </w:rPr>
        <w:t>“</w:t>
      </w:r>
      <w:r>
        <w:rPr>
          <w:rFonts w:hint="eastAsia" w:ascii="宋体" w:hAnsi="宋体"/>
          <w:color w:val="auto"/>
          <w:sz w:val="24"/>
          <w:highlight w:val="none"/>
          <w:lang w:val="en-GB"/>
        </w:rPr>
        <w:t>副本</w:t>
      </w:r>
      <w:r>
        <w:rPr>
          <w:rFonts w:hint="eastAsia" w:ascii="宋体"/>
          <w:color w:val="auto"/>
          <w:sz w:val="24"/>
          <w:highlight w:val="none"/>
          <w:lang w:val="en-GB"/>
        </w:rPr>
        <w:t>”</w:t>
      </w:r>
      <w:r>
        <w:rPr>
          <w:rFonts w:hint="eastAsia" w:ascii="宋体" w:hAnsi="宋体"/>
          <w:color w:val="auto"/>
          <w:sz w:val="24"/>
          <w:highlight w:val="none"/>
          <w:lang w:val="en-GB"/>
        </w:rPr>
        <w:t>字样，“电子文档”（光盘）表面须标明</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名称，并</w:t>
      </w:r>
      <w:r>
        <w:rPr>
          <w:rFonts w:hint="eastAsia" w:ascii="宋体" w:hAnsi="宋体"/>
          <w:b/>
          <w:color w:val="auto"/>
          <w:sz w:val="24"/>
          <w:highlight w:val="none"/>
          <w:lang w:val="en-GB"/>
        </w:rPr>
        <w:t>应将上述资料密封在同一密封包中</w:t>
      </w:r>
      <w:r>
        <w:rPr>
          <w:rFonts w:hint="eastAsia" w:ascii="宋体" w:hAnsi="宋体"/>
          <w:color w:val="auto"/>
          <w:sz w:val="24"/>
          <w:highlight w:val="none"/>
          <w:lang w:val="en-GB"/>
        </w:rPr>
        <w:t>，若上述资料确实无法密封在同一密封包中，则可按实际情况分开密封，但须在密封包装上标明密封内容。密封各文件资料时，应在密封包装的封口处加盖</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公章，同时</w:t>
      </w:r>
      <w:r>
        <w:rPr>
          <w:rFonts w:hint="eastAsia" w:hAnsi="宋体"/>
          <w:color w:val="auto"/>
          <w:sz w:val="24"/>
          <w:highlight w:val="none"/>
          <w:lang w:val="en-GB" w:eastAsia="zh-CN"/>
        </w:rPr>
        <w:t>资格审查</w:t>
      </w:r>
      <w:r>
        <w:rPr>
          <w:rFonts w:hint="eastAsia" w:ascii="宋体" w:hAnsi="宋体"/>
          <w:color w:val="auto"/>
          <w:sz w:val="24"/>
          <w:highlight w:val="none"/>
          <w:lang w:val="en-GB"/>
        </w:rPr>
        <w:t>文件应在规定时间内递交。</w:t>
      </w:r>
    </w:p>
    <w:p>
      <w:pPr>
        <w:numPr>
          <w:ilvl w:val="0"/>
          <w:numId w:val="0"/>
        </w:numPr>
        <w:tabs>
          <w:tab w:val="left" w:pos="540"/>
        </w:tabs>
        <w:spacing w:line="360" w:lineRule="auto"/>
        <w:ind w:left="480" w:hanging="480" w:hangingChars="200"/>
        <w:rPr>
          <w:color w:val="auto"/>
          <w:sz w:val="24"/>
          <w:highlight w:val="none"/>
          <w:lang w:val="en-GB"/>
        </w:rPr>
      </w:pPr>
      <w:r>
        <w:rPr>
          <w:rFonts w:hint="eastAsia" w:ascii="宋体" w:hAnsi="宋体"/>
          <w:color w:val="auto"/>
          <w:sz w:val="24"/>
          <w:highlight w:val="none"/>
          <w:lang w:val="en-US" w:eastAsia="zh-CN"/>
        </w:rPr>
        <w:t>11.11</w:t>
      </w:r>
      <w:r>
        <w:rPr>
          <w:rFonts w:hint="eastAsia" w:ascii="宋体" w:hAnsi="宋体"/>
          <w:color w:val="auto"/>
          <w:sz w:val="24"/>
          <w:highlight w:val="none"/>
          <w:lang w:val="en-GB"/>
        </w:rPr>
        <w:t>一旦</w:t>
      </w:r>
      <w:r>
        <w:rPr>
          <w:rFonts w:hint="eastAsia" w:hAnsi="宋体"/>
          <w:color w:val="auto"/>
          <w:sz w:val="24"/>
          <w:highlight w:val="none"/>
          <w:lang w:val="en-GB" w:eastAsia="zh-CN"/>
        </w:rPr>
        <w:t>资格审查</w:t>
      </w:r>
      <w:r>
        <w:rPr>
          <w:rFonts w:hint="eastAsia" w:ascii="宋体" w:hAnsi="宋体"/>
          <w:color w:val="auto"/>
          <w:sz w:val="24"/>
          <w:highlight w:val="none"/>
          <w:lang w:val="en-GB"/>
        </w:rPr>
        <w:t>文件的正本和副本及电子文档内容有差异，均以正本为准。</w:t>
      </w:r>
    </w:p>
    <w:p>
      <w:pPr>
        <w:numPr>
          <w:ilvl w:val="0"/>
          <w:numId w:val="0"/>
        </w:numPr>
        <w:tabs>
          <w:tab w:val="left" w:pos="540"/>
        </w:tabs>
        <w:spacing w:line="360" w:lineRule="auto"/>
        <w:ind w:left="480" w:hanging="482" w:hangingChars="200"/>
        <w:rPr>
          <w:rFonts w:hint="eastAsia" w:asciiTheme="minorEastAsia" w:hAnsiTheme="minorEastAsia" w:eastAsiaTheme="minorEastAsia" w:cstheme="minorEastAsia"/>
          <w:b/>
          <w:color w:val="auto"/>
          <w:sz w:val="24"/>
          <w:highlight w:val="none"/>
          <w:lang w:val="en-GB"/>
        </w:rPr>
      </w:pPr>
      <w:r>
        <w:rPr>
          <w:rFonts w:hint="eastAsia" w:asciiTheme="minorEastAsia" w:hAnsiTheme="minorEastAsia" w:eastAsiaTheme="minorEastAsia" w:cstheme="minorEastAsia"/>
          <w:b/>
          <w:color w:val="auto"/>
          <w:sz w:val="24"/>
          <w:highlight w:val="none"/>
          <w:lang w:val="en-US" w:eastAsia="zh-CN"/>
        </w:rPr>
        <w:t>11.12</w:t>
      </w:r>
      <w:r>
        <w:rPr>
          <w:rFonts w:hint="eastAsia" w:asciiTheme="minorEastAsia" w:hAnsiTheme="minorEastAsia" w:eastAsiaTheme="minorEastAsia" w:cstheme="minorEastAsia"/>
          <w:b/>
          <w:color w:val="auto"/>
          <w:sz w:val="24"/>
          <w:highlight w:val="none"/>
          <w:lang w:val="en-GB"/>
        </w:rPr>
        <w:t>所有密封文件封套正面统一按“文件包装袋封面”格式填写标贴。</w:t>
      </w:r>
    </w:p>
    <w:p>
      <w:pPr>
        <w:numPr>
          <w:ilvl w:val="0"/>
          <w:numId w:val="0"/>
        </w:numPr>
        <w:tabs>
          <w:tab w:val="left" w:pos="540"/>
        </w:tabs>
        <w:spacing w:line="360" w:lineRule="auto"/>
        <w:ind w:left="480" w:hanging="480" w:hangingChars="200"/>
        <w:rPr>
          <w:color w:val="auto"/>
          <w:sz w:val="24"/>
          <w:highlight w:val="none"/>
          <w:lang w:val="en-GB"/>
        </w:rPr>
      </w:pPr>
      <w:r>
        <w:rPr>
          <w:rFonts w:hint="eastAsia" w:asciiTheme="minorEastAsia" w:hAnsiTheme="minorEastAsia" w:eastAsiaTheme="minorEastAsia" w:cstheme="minorEastAsia"/>
          <w:color w:val="auto"/>
          <w:sz w:val="24"/>
          <w:highlight w:val="none"/>
          <w:lang w:val="en-US" w:eastAsia="zh-CN"/>
        </w:rPr>
        <w:t>11.13</w:t>
      </w:r>
      <w:r>
        <w:rPr>
          <w:rFonts w:hint="eastAsia" w:asciiTheme="minorEastAsia" w:hAnsiTheme="minorEastAsia" w:eastAsiaTheme="minorEastAsia" w:cstheme="minorEastAsia"/>
          <w:color w:val="auto"/>
          <w:sz w:val="24"/>
          <w:highlight w:val="none"/>
          <w:lang w:val="en-GB" w:eastAsia="zh-CN"/>
        </w:rPr>
        <w:t>招标</w:t>
      </w:r>
      <w:r>
        <w:rPr>
          <w:rFonts w:hint="eastAsia" w:asciiTheme="minorEastAsia" w:hAnsiTheme="minorEastAsia" w:eastAsiaTheme="minorEastAsia" w:cstheme="minorEastAsia"/>
          <w:b w:val="0"/>
          <w:bCs/>
          <w:color w:val="auto"/>
          <w:sz w:val="24"/>
          <w:highlight w:val="none"/>
          <w:lang w:val="en-GB" w:eastAsia="zh-CN"/>
        </w:rPr>
        <w:t>代理</w:t>
      </w:r>
      <w:r>
        <w:rPr>
          <w:rFonts w:hint="eastAsia" w:asciiTheme="minorEastAsia" w:hAnsiTheme="minorEastAsia" w:eastAsiaTheme="minorEastAsia" w:cstheme="minorEastAsia"/>
          <w:color w:val="auto"/>
          <w:sz w:val="24"/>
          <w:highlight w:val="none"/>
          <w:lang w:val="en-GB" w:eastAsia="zh-CN"/>
        </w:rPr>
        <w:t>机构</w:t>
      </w:r>
      <w:r>
        <w:rPr>
          <w:rFonts w:hint="eastAsia" w:asciiTheme="minorEastAsia" w:hAnsiTheme="minorEastAsia" w:eastAsiaTheme="minorEastAsia" w:cstheme="minorEastAsia"/>
          <w:color w:val="auto"/>
          <w:sz w:val="24"/>
          <w:highlight w:val="none"/>
          <w:lang w:val="en-GB"/>
        </w:rPr>
        <w:t>拒绝接</w:t>
      </w:r>
      <w:r>
        <w:rPr>
          <w:rFonts w:hint="eastAsia" w:hAnsi="宋体"/>
          <w:color w:val="auto"/>
          <w:sz w:val="24"/>
          <w:highlight w:val="none"/>
          <w:lang w:val="en-GB"/>
        </w:rPr>
        <w:t>受</w:t>
      </w:r>
      <w:r>
        <w:rPr>
          <w:rFonts w:hint="eastAsia" w:hAnsi="宋体"/>
          <w:color w:val="auto"/>
          <w:sz w:val="24"/>
          <w:highlight w:val="none"/>
          <w:lang w:val="en-GB" w:eastAsia="zh-CN"/>
        </w:rPr>
        <w:t>竞投</w:t>
      </w:r>
      <w:r>
        <w:rPr>
          <w:rFonts w:hint="eastAsia" w:hAnsi="宋体"/>
          <w:color w:val="auto"/>
          <w:sz w:val="24"/>
          <w:highlight w:val="none"/>
          <w:lang w:val="en-GB"/>
        </w:rPr>
        <w:t>的情形：</w:t>
      </w:r>
    </w:p>
    <w:p>
      <w:pPr>
        <w:numPr>
          <w:ilvl w:val="0"/>
          <w:numId w:val="26"/>
        </w:numPr>
        <w:tabs>
          <w:tab w:val="left" w:pos="540"/>
          <w:tab w:val="clear" w:pos="420"/>
        </w:tabs>
        <w:spacing w:line="374" w:lineRule="auto"/>
        <w:ind w:left="1260" w:hanging="720"/>
        <w:rPr>
          <w:rFonts w:ascii="宋体"/>
          <w:color w:val="auto"/>
          <w:sz w:val="24"/>
          <w:highlight w:val="none"/>
          <w:lang w:val="en-GB"/>
        </w:rPr>
      </w:pPr>
      <w:r>
        <w:rPr>
          <w:rFonts w:hint="eastAsia" w:ascii="宋体" w:hAnsi="宋体"/>
          <w:color w:val="auto"/>
          <w:sz w:val="24"/>
          <w:highlight w:val="none"/>
          <w:lang w:val="en-GB"/>
        </w:rPr>
        <w:t>以电报、电话传真形式</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w:t>
      </w:r>
    </w:p>
    <w:p>
      <w:pPr>
        <w:numPr>
          <w:ilvl w:val="0"/>
          <w:numId w:val="26"/>
        </w:numPr>
        <w:tabs>
          <w:tab w:val="left" w:pos="540"/>
          <w:tab w:val="clear" w:pos="420"/>
        </w:tabs>
        <w:spacing w:line="374" w:lineRule="auto"/>
        <w:ind w:left="1260" w:hanging="720"/>
        <w:rPr>
          <w:rFonts w:ascii="宋体"/>
          <w:color w:val="auto"/>
          <w:sz w:val="24"/>
          <w:highlight w:val="none"/>
          <w:lang w:val="en-GB"/>
        </w:rPr>
      </w:pPr>
      <w:r>
        <w:rPr>
          <w:rFonts w:hint="eastAsia" w:ascii="宋体" w:hAnsi="宋体"/>
          <w:color w:val="auto"/>
          <w:sz w:val="24"/>
          <w:highlight w:val="none"/>
          <w:lang w:val="en-GB"/>
        </w:rPr>
        <w:t>密封、数量、规格、册装不合要求或逾期提交的</w:t>
      </w:r>
      <w:r>
        <w:rPr>
          <w:rFonts w:hint="eastAsia" w:hAnsi="宋体"/>
          <w:color w:val="auto"/>
          <w:sz w:val="24"/>
          <w:highlight w:val="none"/>
          <w:lang w:val="en-GB" w:eastAsia="zh-CN"/>
        </w:rPr>
        <w:t>资格审查</w:t>
      </w:r>
      <w:r>
        <w:rPr>
          <w:rFonts w:hint="eastAsia" w:ascii="宋体" w:hAnsi="宋体"/>
          <w:color w:val="auto"/>
          <w:sz w:val="24"/>
          <w:highlight w:val="none"/>
          <w:lang w:val="en-GB"/>
        </w:rPr>
        <w:t>文件；</w:t>
      </w:r>
    </w:p>
    <w:p>
      <w:pPr>
        <w:numPr>
          <w:ilvl w:val="0"/>
          <w:numId w:val="26"/>
        </w:numPr>
        <w:tabs>
          <w:tab w:val="left" w:pos="540"/>
          <w:tab w:val="clear" w:pos="420"/>
        </w:tabs>
        <w:spacing w:line="374" w:lineRule="auto"/>
        <w:ind w:left="840" w:hanging="300"/>
        <w:rPr>
          <w:rFonts w:ascii="宋体"/>
          <w:color w:val="auto"/>
          <w:sz w:val="24"/>
          <w:highlight w:val="none"/>
          <w:lang w:val="en-GB"/>
        </w:rPr>
      </w:pPr>
      <w:r>
        <w:rPr>
          <w:rFonts w:hint="eastAsia" w:ascii="宋体" w:hAnsi="宋体"/>
          <w:color w:val="auto"/>
          <w:sz w:val="24"/>
          <w:highlight w:val="none"/>
          <w:lang w:val="en-GB"/>
        </w:rPr>
        <w:t>未按要求</w:t>
      </w:r>
      <w:r>
        <w:rPr>
          <w:rFonts w:hint="eastAsia" w:ascii="宋体" w:hAnsi="宋体"/>
          <w:color w:val="auto"/>
          <w:sz w:val="24"/>
          <w:highlight w:val="none"/>
        </w:rPr>
        <w:t>购买</w:t>
      </w:r>
      <w:r>
        <w:rPr>
          <w:rFonts w:hint="eastAsia" w:ascii="宋体" w:hAnsi="宋体"/>
          <w:color w:val="auto"/>
          <w:sz w:val="24"/>
          <w:highlight w:val="none"/>
          <w:lang w:eastAsia="zh-CN"/>
        </w:rPr>
        <w:t>竞投文件</w:t>
      </w:r>
      <w:r>
        <w:rPr>
          <w:rFonts w:hint="eastAsia" w:ascii="宋体" w:hAnsi="宋体"/>
          <w:color w:val="auto"/>
          <w:sz w:val="24"/>
          <w:highlight w:val="none"/>
          <w:lang w:val="en-GB"/>
        </w:rPr>
        <w:t>或已</w:t>
      </w:r>
      <w:r>
        <w:rPr>
          <w:rFonts w:hint="eastAsia" w:ascii="宋体" w:hAnsi="宋体"/>
          <w:color w:val="auto"/>
          <w:sz w:val="24"/>
          <w:highlight w:val="none"/>
        </w:rPr>
        <w:t>购买</w:t>
      </w:r>
      <w:r>
        <w:rPr>
          <w:rFonts w:hint="eastAsia" w:ascii="宋体" w:hAnsi="宋体"/>
          <w:color w:val="auto"/>
          <w:sz w:val="24"/>
          <w:highlight w:val="none"/>
          <w:lang w:eastAsia="zh-CN"/>
        </w:rPr>
        <w:t>竞投文件</w:t>
      </w:r>
      <w:r>
        <w:rPr>
          <w:rFonts w:hint="eastAsia" w:ascii="宋体" w:hAnsi="宋体"/>
          <w:color w:val="auto"/>
          <w:sz w:val="24"/>
          <w:highlight w:val="none"/>
          <w:lang w:val="en-GB"/>
        </w:rPr>
        <w:t>但不按时交纳足额</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保证金；</w:t>
      </w:r>
    </w:p>
    <w:p>
      <w:pPr>
        <w:numPr>
          <w:ilvl w:val="0"/>
          <w:numId w:val="26"/>
        </w:numPr>
        <w:tabs>
          <w:tab w:val="left" w:pos="540"/>
          <w:tab w:val="clear" w:pos="420"/>
        </w:tabs>
        <w:spacing w:line="374" w:lineRule="auto"/>
        <w:ind w:left="1260" w:hanging="720"/>
        <w:rPr>
          <w:rFonts w:ascii="宋体"/>
          <w:color w:val="auto"/>
          <w:sz w:val="24"/>
          <w:highlight w:val="none"/>
          <w:lang w:val="en-GB"/>
        </w:rPr>
      </w:pPr>
      <w:r>
        <w:rPr>
          <w:rFonts w:hint="eastAsia" w:ascii="宋体" w:hAnsi="宋体"/>
          <w:color w:val="auto"/>
          <w:sz w:val="24"/>
          <w:highlight w:val="none"/>
          <w:lang w:val="zh-CN"/>
        </w:rPr>
        <w:t>投标人代表未准时出席开标会或未按要求签到的。</w:t>
      </w:r>
    </w:p>
    <w:p>
      <w:pPr>
        <w:numPr>
          <w:ilvl w:val="0"/>
          <w:numId w:val="23"/>
        </w:numPr>
        <w:tabs>
          <w:tab w:val="left" w:pos="540"/>
        </w:tabs>
        <w:spacing w:before="120" w:beforeLines="50" w:line="374"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竞投报价</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12.1</w:t>
      </w:r>
      <w:r>
        <w:rPr>
          <w:rFonts w:hint="eastAsia" w:ascii="宋体" w:hAnsi="宋体"/>
          <w:color w:val="auto"/>
          <w:sz w:val="24"/>
          <w:highlight w:val="none"/>
          <w:lang w:val="en-GB"/>
        </w:rPr>
        <w:t>本次</w:t>
      </w:r>
      <w:r>
        <w:rPr>
          <w:rFonts w:hint="eastAsia" w:ascii="宋体" w:hAnsi="宋体"/>
          <w:color w:val="auto"/>
          <w:sz w:val="24"/>
          <w:highlight w:val="none"/>
          <w:lang w:val="en-US" w:eastAsia="zh-CN"/>
        </w:rPr>
        <w:t>竞投</w:t>
      </w:r>
      <w:r>
        <w:rPr>
          <w:rFonts w:hint="eastAsia" w:ascii="宋体" w:hAnsi="宋体"/>
          <w:color w:val="auto"/>
          <w:sz w:val="24"/>
          <w:highlight w:val="none"/>
          <w:lang w:val="en-GB"/>
        </w:rPr>
        <w:t>必须对项目要求的全部内容进行报价，</w:t>
      </w:r>
      <w:r>
        <w:rPr>
          <w:rFonts w:hint="eastAsia" w:ascii="宋体" w:hAnsi="宋体"/>
          <w:color w:val="auto"/>
          <w:sz w:val="24"/>
          <w:highlight w:val="none"/>
          <w:lang w:val="en-GB" w:eastAsia="zh-CN"/>
        </w:rPr>
        <w:t>经审查合格的投标人，只要确认领取本项目报价书参加竞投，即视为完全响应竞投文件的全部内容</w:t>
      </w:r>
      <w:r>
        <w:rPr>
          <w:rFonts w:hint="eastAsia" w:ascii="宋体" w:hAnsi="宋体"/>
          <w:color w:val="auto"/>
          <w:sz w:val="24"/>
          <w:highlight w:val="none"/>
          <w:lang w:val="en-GB"/>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12.1.1本次竞投会采取填写报价书和公布报价的方式进行。竞投人填好的报价书必须由法定代表人或授权代表填写，签名确认；报价书应密封，在密封袋上写明招标人名称，在密封处由法人或授权代表人签名。报价书一经递交，不得撤回或修改。</w:t>
      </w:r>
    </w:p>
    <w:p>
      <w:pPr>
        <w:numPr>
          <w:ilvl w:val="0"/>
          <w:numId w:val="0"/>
        </w:numPr>
        <w:tabs>
          <w:tab w:val="left" w:pos="540"/>
        </w:tabs>
        <w:spacing w:line="360" w:lineRule="auto"/>
        <w:ind w:left="480" w:hanging="480" w:hanging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12.1.2本项目所报价格不得低于本项目设定的最低限价，若报价金额低于设定的最低限价，则报价无效；若报价金额不低于本项目设定的最低限价，则采取价高者得的原则确定中标人。若出现最高报价相同的，按提交报价书的先后顺序确定中标人</w:t>
      </w:r>
      <w:r>
        <w:rPr>
          <w:rFonts w:hint="eastAsia" w:ascii="宋体" w:hAnsi="宋体"/>
          <w:b/>
          <w:bCs/>
          <w:color w:val="auto"/>
          <w:sz w:val="24"/>
          <w:highlight w:val="none"/>
          <w:lang w:val="en-US" w:eastAsia="zh-CN"/>
        </w:rPr>
        <w:t>（即最先提交报价书者为中标人）</w:t>
      </w:r>
      <w:r>
        <w:rPr>
          <w:rFonts w:hint="eastAsia" w:ascii="宋体" w:hAnsi="宋体"/>
          <w:color w:val="auto"/>
          <w:sz w:val="24"/>
          <w:highlight w:val="none"/>
          <w:lang w:val="en-US" w:eastAsia="zh-CN"/>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12.2</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总价是以</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可独立履行本项目合同义务，并在通过准确核算后，可满足预期实施效果、验收标准和符合自身合法利益的前提下所作出的综合性合理报价，对在</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文件和合同书中未有明确列述、设计遗漏失误、市场剧变、汇率、利率因素、应预见和不可预见的费用等均视为已完全考虑到并包括在</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总价之内。</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12.3</w:t>
      </w:r>
      <w:r>
        <w:rPr>
          <w:rFonts w:hint="eastAsia" w:ascii="宋体" w:hAnsi="宋体"/>
          <w:color w:val="auto"/>
          <w:sz w:val="24"/>
          <w:highlight w:val="none"/>
          <w:lang w:val="en-GB"/>
        </w:rPr>
        <w:t>如果</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在中标并签署合同后，在提供招标范围内的服务工作中出现的任何遗漏，均由中标人免费提供，</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将不再支付任何费用。</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12.4</w:t>
      </w:r>
      <w:r>
        <w:rPr>
          <w:rFonts w:hint="eastAsia" w:ascii="宋体" w:hAnsi="宋体"/>
          <w:color w:val="auto"/>
          <w:sz w:val="24"/>
          <w:highlight w:val="none"/>
          <w:lang w:val="en-GB"/>
        </w:rPr>
        <w:t>合同项下，</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需要的货物和附带备品、配件所需的费用，如果</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是另外单独报价，且未计入</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总价内的</w:t>
      </w:r>
      <w:r>
        <w:rPr>
          <w:rFonts w:hint="eastAsia" w:ascii="宋体" w:hAnsi="宋体"/>
          <w:color w:val="auto"/>
          <w:sz w:val="24"/>
          <w:highlight w:val="none"/>
          <w:lang w:val="en-GB" w:eastAsia="zh-CN"/>
        </w:rPr>
        <w:t>投标人将被取消资格</w:t>
      </w:r>
      <w:r>
        <w:rPr>
          <w:rFonts w:hint="eastAsia" w:ascii="宋体" w:hAnsi="宋体"/>
          <w:color w:val="auto"/>
          <w:sz w:val="24"/>
          <w:highlight w:val="none"/>
          <w:lang w:val="en-GB"/>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12.5</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应根据企业自身实力、费用指标，本项目</w:t>
      </w:r>
      <w:r>
        <w:rPr>
          <w:rFonts w:hint="eastAsia" w:ascii="宋体" w:hAnsi="宋体"/>
          <w:color w:val="auto"/>
          <w:sz w:val="24"/>
          <w:highlight w:val="none"/>
          <w:lang w:val="en-GB" w:eastAsia="zh-CN"/>
        </w:rPr>
        <w:t>竞投文件</w:t>
      </w:r>
      <w:r>
        <w:rPr>
          <w:rFonts w:hint="eastAsia" w:ascii="宋体" w:hAnsi="宋体"/>
          <w:color w:val="auto"/>
          <w:sz w:val="24"/>
          <w:highlight w:val="none"/>
          <w:lang w:val="en-GB"/>
        </w:rPr>
        <w:t>、主要合同条款、现场踏勘及市场情况、风险因素和拟采用的服务方案等进行自主报价，</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报价应是完成本</w:t>
      </w:r>
      <w:r>
        <w:rPr>
          <w:rFonts w:hint="eastAsia" w:ascii="宋体" w:hAnsi="宋体"/>
          <w:color w:val="auto"/>
          <w:sz w:val="24"/>
          <w:highlight w:val="none"/>
          <w:lang w:val="en-GB" w:eastAsia="zh-CN"/>
        </w:rPr>
        <w:t>竞投文件</w:t>
      </w:r>
      <w:r>
        <w:rPr>
          <w:rFonts w:hint="eastAsia" w:ascii="宋体" w:hAnsi="宋体"/>
          <w:color w:val="auto"/>
          <w:sz w:val="24"/>
          <w:highlight w:val="none"/>
          <w:lang w:val="en-GB"/>
        </w:rPr>
        <w:t>和合同条款上所列招标范围及工期等内容的全部，不得以任何理由予以重复，作为</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计算单价或总价的依据。</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12.6</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有权根据项目实际需要对服务方案进行优化，由于服务方案的优化所造成增加或减</w:t>
      </w:r>
      <w:r>
        <w:rPr>
          <w:rFonts w:hint="eastAsia" w:ascii="宋体" w:hAnsi="宋体"/>
          <w:color w:val="auto"/>
          <w:sz w:val="24"/>
          <w:highlight w:val="none"/>
          <w:lang w:val="en-GB" w:eastAsia="zh-CN"/>
        </w:rPr>
        <w:t>小部分</w:t>
      </w:r>
      <w:r>
        <w:rPr>
          <w:rFonts w:hint="eastAsia" w:ascii="宋体" w:hAnsi="宋体"/>
          <w:color w:val="auto"/>
          <w:sz w:val="24"/>
          <w:highlight w:val="none"/>
          <w:lang w:val="en-GB"/>
        </w:rPr>
        <w:t>内容，</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必须无条件接受，不得拒绝或要求调整任何收费。如果方案优化后，有部分服务内容超越了本项目中标单位的服务范围，则该部分内容</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有权另行组织采购。</w:t>
      </w:r>
    </w:p>
    <w:p>
      <w:pPr>
        <w:numPr>
          <w:ilvl w:val="0"/>
          <w:numId w:val="23"/>
        </w:numPr>
        <w:tabs>
          <w:tab w:val="left" w:pos="540"/>
        </w:tabs>
        <w:spacing w:before="120" w:beforeLines="50" w:line="374"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竞投保证金</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eastAsia="zh-CN"/>
        </w:rPr>
      </w:pPr>
      <w:r>
        <w:rPr>
          <w:rFonts w:hint="eastAsia" w:ascii="宋体" w:hAnsi="宋体"/>
          <w:color w:val="auto"/>
          <w:sz w:val="24"/>
          <w:highlight w:val="none"/>
          <w:lang w:val="zh-CN" w:eastAsia="zh-CN"/>
        </w:rPr>
        <w:t>本项目需提交竞投保证金：</w:t>
      </w:r>
      <w:r>
        <w:rPr>
          <w:rFonts w:hint="eastAsia" w:ascii="宋体" w:hAnsi="宋体"/>
          <w:color w:val="auto"/>
          <w:sz w:val="24"/>
          <w:highlight w:val="none"/>
          <w:lang w:val="en-US" w:eastAsia="zh-CN"/>
        </w:rPr>
        <w:t>人民币5万元</w:t>
      </w:r>
      <w:r>
        <w:rPr>
          <w:rFonts w:hint="eastAsia" w:ascii="宋体" w:hAnsi="宋体"/>
          <w:color w:val="auto"/>
          <w:sz w:val="24"/>
          <w:highlight w:val="none"/>
          <w:lang w:val="en-GB" w:eastAsia="zh-CN"/>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13.1</w:t>
      </w:r>
      <w:r>
        <w:rPr>
          <w:rFonts w:hint="eastAsia" w:ascii="宋体" w:hAnsi="宋体"/>
          <w:color w:val="auto"/>
          <w:sz w:val="24"/>
          <w:highlight w:val="none"/>
          <w:lang w:val="zh-CN" w:eastAsia="zh-CN"/>
        </w:rPr>
        <w:t>对约定需要交纳竞投保证金时，投标人应在竞投截止时间前按竞投文件要求交纳竞投保证金，并作为其竞投的一部分。竞投保证金应以投标人名义按竞投须知前附表的要求递交。</w:t>
      </w:r>
    </w:p>
    <w:p>
      <w:pPr>
        <w:tabs>
          <w:tab w:val="left" w:pos="540"/>
        </w:tabs>
        <w:spacing w:line="374" w:lineRule="auto"/>
        <w:ind w:firstLine="482" w:firstLineChars="200"/>
        <w:rPr>
          <w:color w:val="auto"/>
          <w:sz w:val="24"/>
          <w:highlight w:val="none"/>
          <w:lang w:val="zh-CN"/>
        </w:rPr>
      </w:pPr>
      <w:r>
        <w:rPr>
          <w:rFonts w:hint="eastAsia"/>
          <w:b/>
          <w:bCs/>
          <w:color w:val="auto"/>
          <w:sz w:val="24"/>
          <w:highlight w:val="none"/>
          <w:lang w:val="zh-CN"/>
        </w:rPr>
        <w:t>凡没有按照本须知第</w:t>
      </w:r>
      <w:r>
        <w:rPr>
          <w:b/>
          <w:bCs/>
          <w:color w:val="auto"/>
          <w:sz w:val="24"/>
          <w:highlight w:val="none"/>
          <w:lang w:val="zh-CN"/>
        </w:rPr>
        <w:t>1</w:t>
      </w:r>
      <w:r>
        <w:rPr>
          <w:rFonts w:hint="eastAsia"/>
          <w:b/>
          <w:bCs/>
          <w:color w:val="auto"/>
          <w:sz w:val="24"/>
          <w:highlight w:val="none"/>
          <w:lang w:val="en-US" w:eastAsia="zh-CN"/>
        </w:rPr>
        <w:t>3</w:t>
      </w:r>
      <w:r>
        <w:rPr>
          <w:b/>
          <w:bCs/>
          <w:color w:val="auto"/>
          <w:sz w:val="24"/>
          <w:highlight w:val="none"/>
          <w:lang w:val="zh-CN"/>
        </w:rPr>
        <w:t>.1</w:t>
      </w:r>
      <w:r>
        <w:rPr>
          <w:rFonts w:hint="eastAsia"/>
          <w:b/>
          <w:bCs/>
          <w:color w:val="auto"/>
          <w:sz w:val="24"/>
          <w:highlight w:val="none"/>
          <w:lang w:val="zh-CN"/>
        </w:rPr>
        <w:t>条的规定随附有效的竞投保证金的竞投，视为资格审查不合格，被拒绝参加竞投。</w:t>
      </w:r>
    </w:p>
    <w:p>
      <w:pPr>
        <w:numPr>
          <w:ilvl w:val="0"/>
          <w:numId w:val="0"/>
        </w:numPr>
        <w:tabs>
          <w:tab w:val="left" w:pos="540"/>
        </w:tabs>
        <w:spacing w:line="360" w:lineRule="auto"/>
        <w:ind w:left="480" w:hanging="480" w:hangingChars="20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13.2</w:t>
      </w:r>
      <w:r>
        <w:rPr>
          <w:rFonts w:hint="eastAsia" w:ascii="宋体" w:hAnsi="宋体"/>
          <w:color w:val="auto"/>
          <w:sz w:val="24"/>
          <w:highlight w:val="none"/>
          <w:lang w:val="zh-CN" w:eastAsia="zh-CN"/>
        </w:rPr>
        <w:t>竞投保证金是用于保护本次招标免受投标人的行为而引起的风险，下列任何一种情况发生时，不予退还竞投保证金，因此而造成招标人的损失须由投标人承担：</w:t>
      </w:r>
    </w:p>
    <w:p>
      <w:pPr>
        <w:numPr>
          <w:ilvl w:val="1"/>
          <w:numId w:val="27"/>
        </w:numPr>
        <w:tabs>
          <w:tab w:val="left" w:pos="900"/>
          <w:tab w:val="clear" w:pos="840"/>
        </w:tabs>
        <w:spacing w:line="374" w:lineRule="auto"/>
        <w:ind w:left="900" w:hanging="360"/>
        <w:rPr>
          <w:rFonts w:ascii="宋体"/>
          <w:color w:val="auto"/>
          <w:sz w:val="24"/>
          <w:highlight w:val="none"/>
        </w:rPr>
      </w:pPr>
      <w:r>
        <w:rPr>
          <w:rFonts w:hint="eastAsia" w:ascii="宋体" w:hAnsi="宋体"/>
          <w:color w:val="auto"/>
          <w:sz w:val="24"/>
          <w:highlight w:val="none"/>
          <w:lang w:eastAsia="zh-CN"/>
        </w:rPr>
        <w:t>资格审查</w:t>
      </w:r>
      <w:r>
        <w:rPr>
          <w:rFonts w:hint="eastAsia" w:ascii="宋体" w:hAnsi="宋体"/>
          <w:color w:val="auto"/>
          <w:sz w:val="24"/>
          <w:highlight w:val="none"/>
        </w:rPr>
        <w:t>文件中提供伪造、虚假的材料；</w:t>
      </w:r>
    </w:p>
    <w:p>
      <w:pPr>
        <w:numPr>
          <w:ilvl w:val="1"/>
          <w:numId w:val="27"/>
        </w:numPr>
        <w:tabs>
          <w:tab w:val="left" w:pos="900"/>
          <w:tab w:val="clear" w:pos="840"/>
        </w:tabs>
        <w:spacing w:line="374" w:lineRule="auto"/>
        <w:ind w:left="900" w:hanging="360"/>
        <w:rPr>
          <w:rFonts w:ascii="宋体"/>
          <w:color w:val="auto"/>
          <w:sz w:val="24"/>
          <w:highlight w:val="none"/>
        </w:rPr>
      </w:pPr>
      <w:r>
        <w:rPr>
          <w:rFonts w:hint="eastAsia" w:ascii="宋体" w:hAnsi="宋体"/>
          <w:color w:val="auto"/>
          <w:sz w:val="24"/>
          <w:highlight w:val="none"/>
        </w:rPr>
        <w:t>在</w:t>
      </w:r>
      <w:r>
        <w:rPr>
          <w:rFonts w:hint="eastAsia" w:ascii="宋体" w:hAnsi="宋体"/>
          <w:color w:val="auto"/>
          <w:sz w:val="24"/>
          <w:highlight w:val="none"/>
          <w:lang w:eastAsia="zh-CN"/>
        </w:rPr>
        <w:t>资格审查</w:t>
      </w:r>
      <w:r>
        <w:rPr>
          <w:rFonts w:hint="eastAsia" w:ascii="宋体" w:hAnsi="宋体"/>
          <w:color w:val="auto"/>
          <w:sz w:val="24"/>
          <w:highlight w:val="none"/>
        </w:rPr>
        <w:t>期间，使用不正当手段试图影响、改变</w:t>
      </w:r>
      <w:r>
        <w:rPr>
          <w:rFonts w:hint="eastAsia" w:ascii="宋体" w:hAnsi="宋体"/>
          <w:color w:val="auto"/>
          <w:sz w:val="24"/>
          <w:highlight w:val="none"/>
          <w:lang w:eastAsia="zh-CN"/>
        </w:rPr>
        <w:t>资格审查</w:t>
      </w:r>
      <w:r>
        <w:rPr>
          <w:rFonts w:hint="eastAsia" w:ascii="宋体" w:hAnsi="宋体"/>
          <w:color w:val="auto"/>
          <w:sz w:val="24"/>
          <w:highlight w:val="none"/>
        </w:rPr>
        <w:t>结果；</w:t>
      </w:r>
    </w:p>
    <w:p>
      <w:pPr>
        <w:numPr>
          <w:ilvl w:val="1"/>
          <w:numId w:val="27"/>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rPr>
        <w:t>恶意串通或捏造事实，对其竞争对手进行诋毁、排挤、攻击；</w:t>
      </w:r>
    </w:p>
    <w:p>
      <w:pPr>
        <w:numPr>
          <w:ilvl w:val="1"/>
          <w:numId w:val="27"/>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lang w:val="zh-CN"/>
        </w:rPr>
        <w:t>中标人在规定期限内未能根据《竞投文件》要求或《中标通知书》的规定签订合同</w:t>
      </w:r>
      <w:r>
        <w:rPr>
          <w:rFonts w:hint="eastAsia" w:ascii="宋体" w:hAnsi="宋体"/>
          <w:color w:val="auto"/>
          <w:sz w:val="24"/>
          <w:highlight w:val="none"/>
        </w:rPr>
        <w:t>，或拒绝、拖延、没有完全履行</w:t>
      </w:r>
      <w:r>
        <w:rPr>
          <w:rFonts w:hint="eastAsia" w:ascii="宋体" w:hAnsi="宋体"/>
          <w:color w:val="auto"/>
          <w:sz w:val="24"/>
          <w:highlight w:val="none"/>
          <w:lang w:eastAsia="zh-CN"/>
        </w:rPr>
        <w:t>竞投</w:t>
      </w:r>
      <w:r>
        <w:rPr>
          <w:rFonts w:hint="eastAsia" w:ascii="宋体" w:hAnsi="宋体"/>
          <w:color w:val="auto"/>
          <w:sz w:val="24"/>
          <w:highlight w:val="none"/>
        </w:rPr>
        <w:t>承诺（不可抗力除外）；</w:t>
      </w:r>
    </w:p>
    <w:p>
      <w:pPr>
        <w:numPr>
          <w:ilvl w:val="1"/>
          <w:numId w:val="27"/>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lang w:val="zh-CN"/>
        </w:rPr>
        <w:t>中标后未按竞投文件中的规定缴付招标代理费和评估费；</w:t>
      </w:r>
    </w:p>
    <w:p>
      <w:pPr>
        <w:numPr>
          <w:ilvl w:val="1"/>
          <w:numId w:val="27"/>
        </w:numPr>
        <w:tabs>
          <w:tab w:val="left" w:pos="900"/>
          <w:tab w:val="clear" w:pos="840"/>
        </w:tabs>
        <w:spacing w:line="374" w:lineRule="auto"/>
        <w:ind w:left="900" w:hanging="360"/>
        <w:rPr>
          <w:rFonts w:ascii="宋体"/>
          <w:color w:val="auto"/>
          <w:sz w:val="24"/>
          <w:highlight w:val="none"/>
        </w:rPr>
      </w:pPr>
      <w:r>
        <w:rPr>
          <w:rFonts w:hint="eastAsia" w:ascii="宋体" w:hAnsi="宋体"/>
          <w:color w:val="auto"/>
          <w:sz w:val="24"/>
          <w:highlight w:val="none"/>
        </w:rPr>
        <w:t>擅自将中标项目或主体关键性内容分包转让他人；</w:t>
      </w:r>
    </w:p>
    <w:p>
      <w:pPr>
        <w:numPr>
          <w:ilvl w:val="1"/>
          <w:numId w:val="27"/>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rPr>
        <w:t>获中标通知后，无法如期履行承诺按</w:t>
      </w:r>
      <w:r>
        <w:rPr>
          <w:rFonts w:hint="eastAsia" w:ascii="宋体" w:hAnsi="宋体"/>
          <w:color w:val="auto"/>
          <w:sz w:val="24"/>
          <w:highlight w:val="none"/>
          <w:lang w:eastAsia="zh-CN"/>
        </w:rPr>
        <w:t>招标人</w:t>
      </w:r>
      <w:r>
        <w:rPr>
          <w:rFonts w:hint="eastAsia" w:ascii="宋体" w:hAnsi="宋体"/>
          <w:color w:val="auto"/>
          <w:sz w:val="24"/>
          <w:highlight w:val="none"/>
        </w:rPr>
        <w:t>的要求提供合法有效的重要证明材料原件；</w:t>
      </w:r>
    </w:p>
    <w:p>
      <w:pPr>
        <w:numPr>
          <w:ilvl w:val="1"/>
          <w:numId w:val="27"/>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lang w:val="zh-CN"/>
        </w:rPr>
        <w:t>有违反国家有关法律法规的行为。</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13.3</w:t>
      </w:r>
      <w:r>
        <w:rPr>
          <w:rFonts w:hint="eastAsia" w:asciiTheme="minorEastAsia" w:hAnsiTheme="minorEastAsia" w:eastAsiaTheme="minorEastAsia" w:cstheme="minorEastAsia"/>
          <w:color w:val="auto"/>
          <w:sz w:val="24"/>
          <w:highlight w:val="none"/>
          <w:lang w:val="zh-CN"/>
        </w:rPr>
        <w:t>未中标的投标人的竞投保证金，于</w:t>
      </w:r>
      <w:r>
        <w:rPr>
          <w:rFonts w:hint="eastAsia" w:asciiTheme="minorEastAsia" w:hAnsiTheme="minorEastAsia" w:eastAsiaTheme="minorEastAsia" w:cstheme="minorEastAsia"/>
          <w:color w:val="auto"/>
          <w:sz w:val="24"/>
          <w:highlight w:val="none"/>
          <w:lang w:val="en-GB"/>
        </w:rPr>
        <w:t>中标通知书发出后</w:t>
      </w:r>
      <w:r>
        <w:rPr>
          <w:rFonts w:hint="eastAsia" w:asciiTheme="minorEastAsia" w:hAnsiTheme="minorEastAsia" w:eastAsiaTheme="minorEastAsia" w:cstheme="minorEastAsia"/>
          <w:color w:val="auto"/>
          <w:sz w:val="24"/>
          <w:highlight w:val="none"/>
          <w:lang w:val="zh-CN"/>
        </w:rPr>
        <w:t>五个工作日内按规定退还。</w:t>
      </w:r>
    </w:p>
    <w:p>
      <w:pPr>
        <w:numPr>
          <w:ilvl w:val="0"/>
          <w:numId w:val="0"/>
        </w:numPr>
        <w:tabs>
          <w:tab w:val="left" w:pos="540"/>
        </w:tabs>
        <w:spacing w:line="374" w:lineRule="auto"/>
        <w:ind w:left="0" w:firstLine="0"/>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US" w:eastAsia="zh-CN"/>
        </w:rPr>
        <w:t>13.4</w:t>
      </w:r>
      <w:r>
        <w:rPr>
          <w:rFonts w:hint="eastAsia" w:asciiTheme="minorEastAsia" w:hAnsiTheme="minorEastAsia" w:eastAsiaTheme="minorEastAsia" w:cstheme="minorEastAsia"/>
          <w:color w:val="auto"/>
          <w:sz w:val="24"/>
          <w:highlight w:val="none"/>
          <w:lang w:val="zh-CN"/>
        </w:rPr>
        <w:t>中标人的竞投保证金将在其与招标人签订合同后五个工作日内按规定退还</w:t>
      </w:r>
      <w:r>
        <w:rPr>
          <w:rFonts w:hint="eastAsia" w:asciiTheme="minorEastAsia" w:hAnsiTheme="minorEastAsia" w:eastAsiaTheme="minorEastAsia" w:cstheme="minorEastAsia"/>
          <w:color w:val="auto"/>
          <w:sz w:val="24"/>
          <w:highlight w:val="none"/>
          <w:lang w:val="en-GB"/>
        </w:rPr>
        <w:t>。</w:t>
      </w:r>
    </w:p>
    <w:p>
      <w:pPr>
        <w:numPr>
          <w:ilvl w:val="0"/>
          <w:numId w:val="23"/>
        </w:numPr>
        <w:tabs>
          <w:tab w:val="left" w:pos="540"/>
        </w:tabs>
        <w:spacing w:before="120" w:beforeLines="50" w:line="374" w:lineRule="auto"/>
        <w:ind w:left="420" w:leftChars="0" w:hanging="420" w:firstLineChars="0"/>
        <w:rPr>
          <w:rFonts w:hint="eastAsia" w:asciiTheme="minorEastAsia" w:hAnsiTheme="minorEastAsia" w:eastAsiaTheme="minorEastAsia" w:cstheme="minorEastAsia"/>
          <w:b/>
          <w:color w:val="auto"/>
          <w:sz w:val="24"/>
          <w:highlight w:val="none"/>
          <w:lang w:val="zh-CN"/>
        </w:rPr>
      </w:pPr>
      <w:r>
        <w:rPr>
          <w:rFonts w:hint="eastAsia" w:asciiTheme="minorEastAsia" w:hAnsiTheme="minorEastAsia" w:eastAsiaTheme="minorEastAsia" w:cstheme="minorEastAsia"/>
          <w:b/>
          <w:color w:val="auto"/>
          <w:sz w:val="24"/>
          <w:highlight w:val="none"/>
          <w:lang w:val="en-US" w:eastAsia="zh-CN"/>
        </w:rPr>
        <w:t>投标</w:t>
      </w:r>
      <w:r>
        <w:rPr>
          <w:rFonts w:hint="eastAsia" w:asciiTheme="minorEastAsia" w:hAnsiTheme="minorEastAsia" w:eastAsiaTheme="minorEastAsia" w:cstheme="minorEastAsia"/>
          <w:b/>
          <w:color w:val="auto"/>
          <w:sz w:val="24"/>
          <w:highlight w:val="none"/>
          <w:lang w:val="zh-CN"/>
        </w:rPr>
        <w:t>有效期</w:t>
      </w:r>
    </w:p>
    <w:p>
      <w:pPr>
        <w:numPr>
          <w:ilvl w:val="0"/>
          <w:numId w:val="0"/>
        </w:numPr>
        <w:tabs>
          <w:tab w:val="left" w:pos="540"/>
        </w:tabs>
        <w:spacing w:line="374" w:lineRule="auto"/>
        <w:ind w:left="0" w:firstLine="0"/>
        <w:rPr>
          <w:rFonts w:ascii="宋体"/>
          <w:b/>
          <w:color w:val="auto"/>
          <w:sz w:val="24"/>
          <w:highlight w:val="none"/>
          <w:lang w:val="en-GB"/>
        </w:rPr>
      </w:pPr>
      <w:r>
        <w:rPr>
          <w:rFonts w:hint="eastAsia" w:asciiTheme="minorEastAsia" w:hAnsiTheme="minorEastAsia" w:eastAsiaTheme="minorEastAsia" w:cstheme="minorEastAsia"/>
          <w:color w:val="auto"/>
          <w:sz w:val="24"/>
          <w:highlight w:val="none"/>
          <w:lang w:val="en-US" w:eastAsia="zh-CN"/>
        </w:rPr>
        <w:t>14.1</w:t>
      </w:r>
      <w:r>
        <w:rPr>
          <w:rFonts w:hint="eastAsia" w:ascii="宋体" w:hAnsi="宋体"/>
          <w:color w:val="auto"/>
          <w:sz w:val="24"/>
          <w:highlight w:val="none"/>
          <w:lang w:val="en-US" w:eastAsia="zh-CN"/>
        </w:rPr>
        <w:t>投标</w:t>
      </w:r>
      <w:r>
        <w:rPr>
          <w:rFonts w:hint="eastAsia" w:ascii="宋体" w:hAnsi="宋体"/>
          <w:color w:val="auto"/>
          <w:sz w:val="24"/>
          <w:highlight w:val="none"/>
          <w:lang w:val="en-GB" w:eastAsia="zh-CN"/>
        </w:rPr>
        <w:t>有效期为自递交资格审查文件截止之日起</w:t>
      </w:r>
      <w:r>
        <w:rPr>
          <w:rFonts w:hint="eastAsia" w:ascii="宋体" w:hAnsi="宋体"/>
          <w:color w:val="auto"/>
          <w:sz w:val="24"/>
          <w:highlight w:val="none"/>
          <w:lang w:val="en-US" w:eastAsia="zh-CN"/>
        </w:rPr>
        <w:t>60</w:t>
      </w:r>
      <w:r>
        <w:rPr>
          <w:rFonts w:hint="eastAsia" w:ascii="宋体" w:hAnsi="宋体"/>
          <w:color w:val="auto"/>
          <w:sz w:val="24"/>
          <w:highlight w:val="none"/>
          <w:lang w:val="en-GB" w:eastAsia="zh-CN"/>
        </w:rPr>
        <w:t>天，中标单位投标有效期则顺延至项目完成验收之日，在此有效期内未经招标人或招标代理机构同意，资格审查文件的一切内容和补充承诺均为持续有效且不予</w:t>
      </w:r>
      <w:r>
        <w:rPr>
          <w:rFonts w:hint="eastAsia" w:ascii="宋体" w:hAnsi="宋体"/>
          <w:color w:val="auto"/>
          <w:sz w:val="24"/>
          <w:highlight w:val="none"/>
          <w:lang w:val="en-GB"/>
        </w:rPr>
        <w:t>改变。</w:t>
      </w:r>
      <w:r>
        <w:rPr>
          <w:rFonts w:hint="eastAsia" w:ascii="宋体" w:hAnsi="宋体"/>
          <w:b/>
          <w:color w:val="auto"/>
          <w:sz w:val="24"/>
          <w:highlight w:val="none"/>
          <w:lang w:val="en-GB" w:eastAsia="zh-CN"/>
        </w:rPr>
        <w:t>投标有效期</w:t>
      </w:r>
      <w:r>
        <w:rPr>
          <w:rFonts w:hint="eastAsia" w:ascii="宋体" w:hAnsi="宋体"/>
          <w:b/>
          <w:color w:val="auto"/>
          <w:sz w:val="24"/>
          <w:highlight w:val="none"/>
          <w:lang w:val="en-GB"/>
        </w:rPr>
        <w:t>比规定时间短的将被视为</w:t>
      </w:r>
      <w:r>
        <w:rPr>
          <w:rFonts w:hint="eastAsia" w:ascii="宋体" w:hAnsi="宋体"/>
          <w:b/>
          <w:color w:val="auto"/>
          <w:sz w:val="24"/>
          <w:highlight w:val="none"/>
          <w:lang w:val="en-GB" w:eastAsia="zh-CN"/>
        </w:rPr>
        <w:t>资格审查不合格</w:t>
      </w:r>
      <w:r>
        <w:rPr>
          <w:rFonts w:hint="eastAsia" w:ascii="宋体" w:hAnsi="宋体"/>
          <w:b/>
          <w:color w:val="auto"/>
          <w:sz w:val="24"/>
          <w:highlight w:val="none"/>
          <w:lang w:val="en-GB"/>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eastAsia="zh-CN"/>
        </w:rPr>
      </w:pPr>
      <w:r>
        <w:rPr>
          <w:rFonts w:hint="eastAsia" w:ascii="宋体" w:hAnsi="宋体"/>
          <w:color w:val="auto"/>
          <w:sz w:val="24"/>
          <w:highlight w:val="none"/>
          <w:lang w:val="en-US" w:eastAsia="zh-CN"/>
        </w:rPr>
        <w:t>14.2</w:t>
      </w:r>
      <w:r>
        <w:rPr>
          <w:rFonts w:hint="eastAsia" w:ascii="宋体" w:hAnsi="宋体"/>
          <w:color w:val="auto"/>
          <w:sz w:val="24"/>
          <w:highlight w:val="none"/>
          <w:lang w:val="en-GB" w:eastAsia="zh-CN"/>
        </w:rPr>
        <w:t>特殊情况下招标代理机构或招标人可于投标有效期期满前，要求投标人延长其竞投文件有效期。投标人可以拒绝或同意上述要求，延长投标有效期的要求与答复均要求为书面形式。不同意该要求的投标人将视为自动放弃</w:t>
      </w:r>
      <w:r>
        <w:rPr>
          <w:rFonts w:hint="eastAsia" w:ascii="宋体" w:hAnsi="宋体"/>
          <w:color w:val="auto"/>
          <w:sz w:val="24"/>
          <w:highlight w:val="none"/>
          <w:lang w:val="zh-CN" w:eastAsia="zh-CN"/>
        </w:rPr>
        <w:t>竞投资格</w:t>
      </w:r>
      <w:r>
        <w:rPr>
          <w:rFonts w:hint="eastAsia" w:ascii="宋体" w:hAnsi="宋体"/>
          <w:color w:val="auto"/>
          <w:sz w:val="24"/>
          <w:highlight w:val="none"/>
          <w:lang w:val="en-GB" w:eastAsia="zh-CN"/>
        </w:rPr>
        <w:t>，其竞投保证金将予以退还。</w:t>
      </w:r>
    </w:p>
    <w:p>
      <w:pPr>
        <w:tabs>
          <w:tab w:val="left" w:pos="540"/>
          <w:tab w:val="left" w:pos="720"/>
          <w:tab w:val="left" w:pos="840"/>
        </w:tabs>
        <w:spacing w:after="72" w:afterLines="30" w:line="336" w:lineRule="auto"/>
        <w:ind w:right="-178" w:rightChars="-85"/>
        <w:jc w:val="center"/>
        <w:outlineLvl w:val="1"/>
        <w:rPr>
          <w:rFonts w:ascii="宋体"/>
          <w:b/>
          <w:color w:val="auto"/>
          <w:sz w:val="28"/>
          <w:szCs w:val="28"/>
          <w:highlight w:val="none"/>
        </w:rPr>
      </w:pPr>
      <w:r>
        <w:rPr>
          <w:rFonts w:ascii="宋体"/>
          <w:color w:val="auto"/>
          <w:sz w:val="24"/>
          <w:highlight w:val="none"/>
          <w:lang w:val="en-GB"/>
        </w:rPr>
        <w:br w:type="page"/>
      </w:r>
      <w:bookmarkStart w:id="60" w:name="_Toc19881"/>
      <w:bookmarkStart w:id="61" w:name="_Toc20538"/>
      <w:bookmarkStart w:id="62" w:name="_Toc27249"/>
      <w:bookmarkStart w:id="63" w:name="_Toc334432593"/>
      <w:bookmarkStart w:id="64" w:name="_Toc27501"/>
      <w:r>
        <w:rPr>
          <w:rFonts w:hint="eastAsia" w:ascii="宋体" w:hAnsi="宋体"/>
          <w:b/>
          <w:color w:val="auto"/>
          <w:sz w:val="28"/>
          <w:szCs w:val="28"/>
          <w:highlight w:val="none"/>
        </w:rPr>
        <w:t>五、</w:t>
      </w:r>
      <w:r>
        <w:rPr>
          <w:rFonts w:hint="eastAsia" w:ascii="宋体" w:hAnsi="宋体"/>
          <w:b/>
          <w:color w:val="auto"/>
          <w:sz w:val="28"/>
          <w:szCs w:val="28"/>
          <w:highlight w:val="none"/>
          <w:lang w:eastAsia="zh-CN"/>
        </w:rPr>
        <w:t>资格审查</w:t>
      </w:r>
      <w:r>
        <w:rPr>
          <w:rFonts w:hint="eastAsia" w:ascii="宋体" w:hAnsi="宋体"/>
          <w:b/>
          <w:color w:val="auto"/>
          <w:sz w:val="28"/>
          <w:szCs w:val="28"/>
          <w:highlight w:val="none"/>
        </w:rPr>
        <w:t>程序</w:t>
      </w:r>
      <w:bookmarkEnd w:id="60"/>
      <w:bookmarkEnd w:id="61"/>
      <w:bookmarkEnd w:id="62"/>
      <w:bookmarkEnd w:id="63"/>
      <w:bookmarkEnd w:id="64"/>
    </w:p>
    <w:p>
      <w:pPr>
        <w:numPr>
          <w:ilvl w:val="0"/>
          <w:numId w:val="23"/>
        </w:numPr>
        <w:tabs>
          <w:tab w:val="left" w:pos="540"/>
        </w:tabs>
        <w:spacing w:line="377"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资格审查文件的递交</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15.1</w:t>
      </w:r>
      <w:r>
        <w:rPr>
          <w:rFonts w:hint="eastAsia" w:ascii="宋体" w:hAnsi="宋体"/>
          <w:color w:val="auto"/>
          <w:sz w:val="24"/>
          <w:highlight w:val="none"/>
          <w:lang w:val="zh-CN" w:eastAsia="zh-CN"/>
        </w:rPr>
        <w:t>投标人代表应按《竞投公告》所规定的时间和地点递交资格审查文件。</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15.2</w:t>
      </w:r>
      <w:r>
        <w:rPr>
          <w:rFonts w:hint="eastAsia" w:ascii="宋体" w:hAnsi="宋体"/>
          <w:color w:val="auto"/>
          <w:sz w:val="24"/>
          <w:highlight w:val="none"/>
          <w:lang w:val="zh-CN" w:eastAsia="zh-CN"/>
        </w:rPr>
        <w:t>递交资格审查文件时间宣布截止后，招标代理机构将不接收任何资格审查文件。</w:t>
      </w:r>
    </w:p>
    <w:p>
      <w:pPr>
        <w:numPr>
          <w:ilvl w:val="0"/>
          <w:numId w:val="23"/>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评审流程及相关事项</w:t>
      </w:r>
    </w:p>
    <w:p>
      <w:pPr>
        <w:numPr>
          <w:ilvl w:val="0"/>
          <w:numId w:val="0"/>
        </w:numPr>
        <w:tabs>
          <w:tab w:val="left" w:pos="540"/>
        </w:tabs>
        <w:spacing w:line="374" w:lineRule="auto"/>
        <w:ind w:left="0" w:firstLine="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16.1由招标人代表和招标代理机构负责审查。</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16.2</w:t>
      </w:r>
      <w:r>
        <w:rPr>
          <w:rFonts w:hint="eastAsia" w:ascii="宋体" w:hAnsi="宋体"/>
          <w:color w:val="auto"/>
          <w:sz w:val="24"/>
          <w:highlight w:val="none"/>
          <w:lang w:val="zh-CN" w:eastAsia="zh-CN"/>
        </w:rPr>
        <w:t>评审方法：合格制，合资格的投标人全部通过。</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16.3</w:t>
      </w:r>
      <w:r>
        <w:rPr>
          <w:rFonts w:hint="eastAsia" w:ascii="宋体" w:hAnsi="宋体"/>
          <w:color w:val="auto"/>
          <w:sz w:val="24"/>
          <w:highlight w:val="none"/>
          <w:lang w:val="zh-CN" w:eastAsia="zh-CN"/>
        </w:rPr>
        <w:t>评审程序：</w:t>
      </w:r>
    </w:p>
    <w:p>
      <w:pPr>
        <w:numPr>
          <w:ilvl w:val="0"/>
          <w:numId w:val="0"/>
        </w:numPr>
        <w:tabs>
          <w:tab w:val="left" w:pos="540"/>
        </w:tabs>
        <w:spacing w:line="374" w:lineRule="auto"/>
        <w:ind w:left="0" w:firstLine="0"/>
        <w:rPr>
          <w:rFonts w:ascii="宋体"/>
          <w:color w:val="auto"/>
          <w:sz w:val="24"/>
          <w:highlight w:val="none"/>
          <w:lang w:val="zh-CN"/>
        </w:rPr>
      </w:pPr>
      <w:r>
        <w:rPr>
          <w:rFonts w:hint="eastAsia" w:ascii="宋体" w:hAnsi="宋体"/>
          <w:color w:val="auto"/>
          <w:sz w:val="24"/>
          <w:highlight w:val="none"/>
          <w:lang w:val="zh-CN" w:eastAsia="zh-CN"/>
        </w:rPr>
        <w:t>对投标人的资格性检查：由招标人或招标代理机构根据本项目《竞投文件》的规定，对照《资格审</w:t>
      </w:r>
      <w:r>
        <w:rPr>
          <w:rFonts w:hint="eastAsia" w:ascii="宋体" w:hAnsi="宋体"/>
          <w:color w:val="auto"/>
          <w:sz w:val="24"/>
          <w:highlight w:val="none"/>
          <w:lang w:val="zh-CN"/>
        </w:rPr>
        <w:t>查文件》中</w:t>
      </w:r>
      <w:r>
        <w:rPr>
          <w:rFonts w:hint="eastAsia" w:ascii="宋体" w:hAnsi="宋体"/>
          <w:b/>
          <w:color w:val="auto"/>
          <w:sz w:val="24"/>
          <w:highlight w:val="none"/>
          <w:u w:val="single"/>
          <w:lang w:val="zh-CN"/>
        </w:rPr>
        <w:t>“资格性文件清单”</w:t>
      </w:r>
      <w:r>
        <w:rPr>
          <w:rFonts w:hint="eastAsia" w:ascii="宋体" w:hAnsi="宋体"/>
          <w:color w:val="auto"/>
          <w:sz w:val="24"/>
          <w:highlight w:val="none"/>
          <w:lang w:val="zh-CN"/>
        </w:rPr>
        <w:t>的内容和要求进行审查，以确定投标人是否符合竞投资格。通过资格性检查，可判定投标人的资格审查文件是否符合竞投文件的要求。对于上述审查内容，投标人必须响应，否则其资格审查文件作无效处理。</w:t>
      </w:r>
    </w:p>
    <w:p>
      <w:pPr>
        <w:numPr>
          <w:ilvl w:val="0"/>
          <w:numId w:val="23"/>
        </w:numPr>
        <w:tabs>
          <w:tab w:val="left" w:pos="540"/>
          <w:tab w:val="left" w:pos="987"/>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废标条件</w:t>
      </w:r>
    </w:p>
    <w:p>
      <w:pPr>
        <w:numPr>
          <w:ilvl w:val="0"/>
          <w:numId w:val="0"/>
        </w:numPr>
        <w:tabs>
          <w:tab w:val="left" w:pos="540"/>
        </w:tabs>
        <w:spacing w:line="374" w:lineRule="auto"/>
        <w:ind w:left="0" w:firstLine="0"/>
        <w:rPr>
          <w:color w:val="auto"/>
          <w:sz w:val="24"/>
          <w:highlight w:val="none"/>
          <w:lang w:val="en-GB"/>
        </w:rPr>
      </w:pPr>
      <w:r>
        <w:rPr>
          <w:rFonts w:hint="eastAsia"/>
          <w:color w:val="auto"/>
          <w:sz w:val="24"/>
          <w:highlight w:val="none"/>
          <w:lang w:val="en-GB"/>
        </w:rPr>
        <w:t>本项目</w:t>
      </w:r>
      <w:r>
        <w:rPr>
          <w:rFonts w:hint="eastAsia"/>
          <w:color w:val="auto"/>
          <w:sz w:val="24"/>
          <w:szCs w:val="20"/>
          <w:highlight w:val="none"/>
        </w:rPr>
        <w:t>出现</w:t>
      </w:r>
      <w:r>
        <w:rPr>
          <w:rFonts w:hint="eastAsia" w:ascii="宋体" w:hAnsi="宋体"/>
          <w:color w:val="auto"/>
          <w:sz w:val="24"/>
          <w:highlight w:val="none"/>
          <w:lang w:val="en-US" w:eastAsia="zh-CN"/>
        </w:rPr>
        <w:t>下列</w:t>
      </w:r>
      <w:r>
        <w:rPr>
          <w:rFonts w:hint="eastAsia"/>
          <w:color w:val="auto"/>
          <w:sz w:val="24"/>
          <w:szCs w:val="20"/>
          <w:highlight w:val="none"/>
        </w:rPr>
        <w:t>条件之一则对应定作废标：</w:t>
      </w:r>
    </w:p>
    <w:p>
      <w:pPr>
        <w:numPr>
          <w:ilvl w:val="0"/>
          <w:numId w:val="28"/>
        </w:numPr>
        <w:spacing w:line="360" w:lineRule="auto"/>
        <w:ind w:left="993" w:hanging="709"/>
        <w:rPr>
          <w:rFonts w:ascii="宋体" w:hAnsi="宋体"/>
          <w:color w:val="auto"/>
          <w:sz w:val="24"/>
          <w:highlight w:val="none"/>
          <w:lang w:val="en-GB"/>
        </w:rPr>
      </w:pPr>
      <w:r>
        <w:rPr>
          <w:rFonts w:hint="eastAsia" w:ascii="宋体" w:hAnsi="宋体"/>
          <w:color w:val="auto"/>
          <w:sz w:val="24"/>
          <w:highlight w:val="none"/>
          <w:lang w:val="en-GB" w:eastAsia="zh-CN"/>
        </w:rPr>
        <w:t>竞投</w:t>
      </w:r>
      <w:r>
        <w:rPr>
          <w:rFonts w:ascii="宋体" w:hAnsi="宋体"/>
          <w:color w:val="auto"/>
          <w:sz w:val="24"/>
          <w:highlight w:val="none"/>
          <w:lang w:val="en-GB"/>
        </w:rPr>
        <w:t>过程出现影响公平竞争的违法、违规行为</w:t>
      </w:r>
      <w:r>
        <w:rPr>
          <w:rFonts w:hint="eastAsia" w:ascii="宋体" w:hAnsi="宋体"/>
          <w:color w:val="auto"/>
          <w:sz w:val="24"/>
          <w:highlight w:val="none"/>
          <w:lang w:val="en-GB"/>
        </w:rPr>
        <w:t>。</w:t>
      </w:r>
    </w:p>
    <w:p>
      <w:pPr>
        <w:numPr>
          <w:ilvl w:val="0"/>
          <w:numId w:val="28"/>
        </w:numPr>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因重大变故，</w:t>
      </w:r>
      <w:r>
        <w:rPr>
          <w:rFonts w:hint="eastAsia" w:ascii="宋体" w:hAnsi="宋体"/>
          <w:color w:val="auto"/>
          <w:sz w:val="24"/>
          <w:highlight w:val="none"/>
          <w:lang w:val="en-GB"/>
        </w:rPr>
        <w:t>采购</w:t>
      </w:r>
      <w:r>
        <w:rPr>
          <w:rFonts w:ascii="宋体" w:hAnsi="宋体"/>
          <w:color w:val="auto"/>
          <w:sz w:val="24"/>
          <w:highlight w:val="none"/>
          <w:lang w:val="en-GB"/>
        </w:rPr>
        <w:t>任务取消的。</w:t>
      </w:r>
    </w:p>
    <w:p>
      <w:pPr>
        <w:numPr>
          <w:ilvl w:val="0"/>
          <w:numId w:val="28"/>
        </w:numPr>
        <w:spacing w:line="360" w:lineRule="auto"/>
        <w:ind w:left="993" w:hanging="70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有效投标人不足三家的。</w:t>
      </w:r>
    </w:p>
    <w:p>
      <w:pPr>
        <w:numPr>
          <w:ilvl w:val="0"/>
          <w:numId w:val="28"/>
        </w:numPr>
        <w:spacing w:line="360" w:lineRule="auto"/>
        <w:ind w:left="993" w:hanging="709"/>
        <w:rPr>
          <w:rFonts w:hint="eastAsia" w:ascii="宋体" w:hAnsi="宋体"/>
          <w:color w:val="auto"/>
          <w:sz w:val="24"/>
          <w:highlight w:val="none"/>
          <w:lang w:val="en-GB" w:eastAsia="zh-CN"/>
        </w:rPr>
      </w:pPr>
      <w:r>
        <w:rPr>
          <w:rFonts w:hint="eastAsia" w:ascii="宋体" w:hAnsi="宋体"/>
          <w:color w:val="auto"/>
          <w:sz w:val="24"/>
          <w:highlight w:val="none"/>
          <w:lang w:val="en-US" w:eastAsia="zh-CN"/>
        </w:rPr>
        <w:t>竞投过程无人报价或所有报价均低于最低限价的。</w:t>
      </w:r>
    </w:p>
    <w:p>
      <w:pPr>
        <w:numPr>
          <w:ilvl w:val="0"/>
          <w:numId w:val="23"/>
        </w:numPr>
        <w:tabs>
          <w:tab w:val="left" w:pos="540"/>
          <w:tab w:val="left" w:pos="987"/>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无效竞投</w:t>
      </w:r>
    </w:p>
    <w:p>
      <w:pPr>
        <w:numPr>
          <w:ilvl w:val="0"/>
          <w:numId w:val="0"/>
        </w:numPr>
        <w:tabs>
          <w:tab w:val="left" w:pos="540"/>
        </w:tabs>
        <w:spacing w:line="374" w:lineRule="auto"/>
        <w:ind w:left="0" w:firstLine="0"/>
        <w:rPr>
          <w:rFonts w:hint="eastAsia" w:ascii="宋体" w:hAnsi="宋体"/>
          <w:color w:val="auto"/>
          <w:sz w:val="24"/>
          <w:highlight w:val="none"/>
          <w:lang w:val="en-GB" w:eastAsia="zh-CN"/>
        </w:rPr>
      </w:pPr>
      <w:r>
        <w:rPr>
          <w:rFonts w:hint="eastAsia" w:ascii="宋体" w:hAnsi="宋体"/>
          <w:color w:val="auto"/>
          <w:sz w:val="24"/>
          <w:highlight w:val="none"/>
          <w:lang w:val="en-US" w:eastAsia="zh-CN"/>
        </w:rPr>
        <w:t>18.1无效竞投行为的认定，投标人存在下列情况之一的，竞投无效：</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未按照</w:t>
      </w:r>
      <w:r>
        <w:rPr>
          <w:rFonts w:hint="eastAsia" w:ascii="宋体" w:hAnsi="宋体"/>
          <w:color w:val="auto"/>
          <w:sz w:val="24"/>
          <w:highlight w:val="none"/>
          <w:lang w:val="en-GB" w:eastAsia="zh-CN"/>
        </w:rPr>
        <w:t>竞投文件</w:t>
      </w:r>
      <w:r>
        <w:rPr>
          <w:rFonts w:ascii="宋体" w:hAnsi="宋体"/>
          <w:color w:val="auto"/>
          <w:sz w:val="24"/>
          <w:highlight w:val="none"/>
          <w:lang w:val="en-GB"/>
        </w:rPr>
        <w:t>的规定提交保证金的。</w:t>
      </w:r>
    </w:p>
    <w:p>
      <w:pPr>
        <w:numPr>
          <w:ilvl w:val="0"/>
          <w:numId w:val="29"/>
        </w:numPr>
        <w:tabs>
          <w:tab w:val="left" w:pos="170"/>
        </w:tabs>
        <w:spacing w:line="360" w:lineRule="auto"/>
        <w:ind w:left="993" w:hanging="709"/>
        <w:rPr>
          <w:rFonts w:ascii="宋体" w:hAnsi="宋体"/>
          <w:color w:val="auto"/>
          <w:sz w:val="24"/>
          <w:highlight w:val="none"/>
          <w:lang w:val="en-GB"/>
        </w:rPr>
      </w:pPr>
      <w:r>
        <w:rPr>
          <w:rFonts w:hint="eastAsia" w:ascii="宋体" w:hAnsi="宋体"/>
          <w:color w:val="auto"/>
          <w:sz w:val="24"/>
          <w:highlight w:val="none"/>
          <w:lang w:val="en-GB" w:eastAsia="zh-CN"/>
        </w:rPr>
        <w:t>资格审查</w:t>
      </w:r>
      <w:r>
        <w:rPr>
          <w:rFonts w:ascii="宋体" w:hAnsi="宋体"/>
          <w:color w:val="auto"/>
          <w:sz w:val="24"/>
          <w:highlight w:val="none"/>
          <w:lang w:val="en-GB"/>
        </w:rPr>
        <w:t>文件未按</w:t>
      </w:r>
      <w:r>
        <w:rPr>
          <w:rFonts w:hint="eastAsia" w:ascii="宋体" w:hAnsi="宋体"/>
          <w:color w:val="auto"/>
          <w:sz w:val="24"/>
          <w:highlight w:val="none"/>
          <w:lang w:val="en-GB" w:eastAsia="zh-CN"/>
        </w:rPr>
        <w:t>竞投文件</w:t>
      </w:r>
      <w:r>
        <w:rPr>
          <w:rFonts w:ascii="宋体" w:hAnsi="宋体"/>
          <w:color w:val="auto"/>
          <w:sz w:val="24"/>
          <w:highlight w:val="none"/>
          <w:lang w:val="en-GB"/>
        </w:rPr>
        <w:t>要求签署、盖章的。</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不具备</w:t>
      </w:r>
      <w:r>
        <w:rPr>
          <w:rFonts w:hint="eastAsia" w:ascii="宋体" w:hAnsi="宋体"/>
          <w:color w:val="auto"/>
          <w:sz w:val="24"/>
          <w:highlight w:val="none"/>
          <w:lang w:val="en-GB" w:eastAsia="zh-CN"/>
        </w:rPr>
        <w:t>竞投文件</w:t>
      </w:r>
      <w:r>
        <w:rPr>
          <w:rFonts w:ascii="宋体" w:hAnsi="宋体"/>
          <w:color w:val="auto"/>
          <w:sz w:val="24"/>
          <w:highlight w:val="none"/>
          <w:lang w:val="en-GB"/>
        </w:rPr>
        <w:t>规定的资格要求的。</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报价</w:t>
      </w:r>
      <w:r>
        <w:rPr>
          <w:rFonts w:hint="eastAsia" w:ascii="宋体" w:hAnsi="宋体"/>
          <w:color w:val="auto"/>
          <w:sz w:val="24"/>
          <w:highlight w:val="none"/>
          <w:lang w:val="en-GB" w:eastAsia="zh-CN"/>
        </w:rPr>
        <w:t>低于竞投文件</w:t>
      </w:r>
      <w:r>
        <w:rPr>
          <w:rFonts w:ascii="宋体" w:hAnsi="宋体"/>
          <w:color w:val="auto"/>
          <w:sz w:val="24"/>
          <w:highlight w:val="none"/>
          <w:lang w:val="en-GB"/>
        </w:rPr>
        <w:t>中规定的</w:t>
      </w:r>
      <w:r>
        <w:rPr>
          <w:rFonts w:hint="eastAsia" w:ascii="宋体" w:hAnsi="宋体"/>
          <w:color w:val="auto"/>
          <w:sz w:val="24"/>
          <w:highlight w:val="none"/>
          <w:lang w:val="en-US" w:eastAsia="zh-CN"/>
        </w:rPr>
        <w:t>底</w:t>
      </w:r>
      <w:r>
        <w:rPr>
          <w:rFonts w:ascii="宋体" w:hAnsi="宋体"/>
          <w:color w:val="auto"/>
          <w:sz w:val="24"/>
          <w:highlight w:val="none"/>
          <w:lang w:val="en-GB"/>
        </w:rPr>
        <w:t>价的。</w:t>
      </w:r>
    </w:p>
    <w:p>
      <w:pPr>
        <w:numPr>
          <w:ilvl w:val="0"/>
          <w:numId w:val="29"/>
        </w:numPr>
        <w:tabs>
          <w:tab w:val="left" w:pos="170"/>
        </w:tabs>
        <w:spacing w:line="360" w:lineRule="auto"/>
        <w:ind w:left="993" w:hanging="709"/>
        <w:rPr>
          <w:rFonts w:ascii="宋体" w:hAnsi="宋体"/>
          <w:color w:val="auto"/>
          <w:sz w:val="24"/>
          <w:highlight w:val="none"/>
          <w:lang w:val="en-GB"/>
        </w:rPr>
      </w:pPr>
      <w:r>
        <w:rPr>
          <w:rFonts w:hint="eastAsia" w:ascii="宋体" w:hAnsi="宋体"/>
          <w:color w:val="auto"/>
          <w:sz w:val="24"/>
          <w:highlight w:val="none"/>
          <w:lang w:val="en-GB" w:eastAsia="zh-CN"/>
        </w:rPr>
        <w:t>资格审查</w:t>
      </w:r>
      <w:r>
        <w:rPr>
          <w:rFonts w:ascii="宋体" w:hAnsi="宋体"/>
          <w:color w:val="auto"/>
          <w:sz w:val="24"/>
          <w:highlight w:val="none"/>
          <w:lang w:val="en-GB"/>
        </w:rPr>
        <w:t>文件含有</w:t>
      </w:r>
      <w:r>
        <w:rPr>
          <w:rFonts w:hint="eastAsia" w:ascii="宋体" w:hAnsi="宋体"/>
          <w:color w:val="auto"/>
          <w:sz w:val="24"/>
          <w:highlight w:val="none"/>
          <w:lang w:val="en-GB" w:eastAsia="zh-CN"/>
        </w:rPr>
        <w:t>招标人</w:t>
      </w:r>
      <w:r>
        <w:rPr>
          <w:rFonts w:ascii="宋体" w:hAnsi="宋体"/>
          <w:color w:val="auto"/>
          <w:sz w:val="24"/>
          <w:highlight w:val="none"/>
          <w:lang w:val="en-GB"/>
        </w:rPr>
        <w:t>不能接受的附加条件的。</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法律、法规或</w:t>
      </w:r>
      <w:r>
        <w:rPr>
          <w:rFonts w:hint="eastAsia" w:ascii="宋体" w:hAnsi="宋体"/>
          <w:color w:val="auto"/>
          <w:sz w:val="24"/>
          <w:highlight w:val="none"/>
          <w:lang w:val="en-GB" w:eastAsia="zh-CN"/>
        </w:rPr>
        <w:t>竞投文件</w:t>
      </w:r>
      <w:r>
        <w:rPr>
          <w:rFonts w:ascii="宋体" w:hAnsi="宋体"/>
          <w:color w:val="auto"/>
          <w:sz w:val="24"/>
          <w:highlight w:val="none"/>
          <w:lang w:val="en-GB"/>
        </w:rPr>
        <w:t>规定的其他无效情形的。</w:t>
      </w:r>
    </w:p>
    <w:p>
      <w:pPr>
        <w:numPr>
          <w:ilvl w:val="0"/>
          <w:numId w:val="0"/>
        </w:numPr>
        <w:tabs>
          <w:tab w:val="left" w:pos="540"/>
        </w:tabs>
        <w:spacing w:line="374" w:lineRule="auto"/>
        <w:ind w:left="0" w:firstLine="0"/>
        <w:rPr>
          <w:rFonts w:hint="eastAsia" w:ascii="宋体" w:hAnsi="宋体"/>
          <w:color w:val="auto"/>
          <w:sz w:val="24"/>
          <w:highlight w:val="none"/>
          <w:lang w:val="en-GB" w:eastAsia="zh-CN"/>
        </w:rPr>
      </w:pPr>
      <w:r>
        <w:rPr>
          <w:rFonts w:hint="eastAsia" w:ascii="宋体" w:hAnsi="宋体"/>
          <w:color w:val="auto"/>
          <w:sz w:val="24"/>
          <w:highlight w:val="none"/>
          <w:lang w:val="en-US" w:eastAsia="zh-CN"/>
        </w:rPr>
        <w:t>18.2</w:t>
      </w:r>
      <w:r>
        <w:rPr>
          <w:rFonts w:hint="eastAsia" w:ascii="宋体" w:hAnsi="宋体"/>
          <w:color w:val="auto"/>
          <w:sz w:val="24"/>
          <w:highlight w:val="none"/>
          <w:lang w:val="en-GB" w:eastAsia="zh-CN"/>
        </w:rPr>
        <w:t>有下列情形之一的，视为投标人串通竞投，其竞投无效：</w:t>
      </w:r>
    </w:p>
    <w:p>
      <w:pPr>
        <w:numPr>
          <w:ilvl w:val="0"/>
          <w:numId w:val="30"/>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资格审查</w:t>
      </w:r>
      <w:r>
        <w:rPr>
          <w:rFonts w:ascii="宋体" w:hAnsi="宋体"/>
          <w:color w:val="auto"/>
          <w:sz w:val="24"/>
          <w:highlight w:val="none"/>
          <w:lang w:val="en-GB"/>
        </w:rPr>
        <w:t>文件由同一单位或者个人编制。</w:t>
      </w:r>
    </w:p>
    <w:p>
      <w:pPr>
        <w:numPr>
          <w:ilvl w:val="0"/>
          <w:numId w:val="30"/>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委托同一单位或者个人办理</w:t>
      </w:r>
      <w:r>
        <w:rPr>
          <w:rFonts w:hint="eastAsia" w:ascii="宋体" w:hAnsi="宋体"/>
          <w:color w:val="auto"/>
          <w:sz w:val="24"/>
          <w:highlight w:val="none"/>
          <w:lang w:val="en-GB" w:eastAsia="zh-CN"/>
        </w:rPr>
        <w:t>竞投</w:t>
      </w:r>
      <w:r>
        <w:rPr>
          <w:rFonts w:ascii="宋体" w:hAnsi="宋体"/>
          <w:color w:val="auto"/>
          <w:sz w:val="24"/>
          <w:highlight w:val="none"/>
          <w:lang w:val="en-GB"/>
        </w:rPr>
        <w:t>事宜。</w:t>
      </w:r>
    </w:p>
    <w:p>
      <w:pPr>
        <w:numPr>
          <w:ilvl w:val="0"/>
          <w:numId w:val="30"/>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资格审查</w:t>
      </w:r>
      <w:r>
        <w:rPr>
          <w:rFonts w:ascii="宋体" w:hAnsi="宋体"/>
          <w:color w:val="auto"/>
          <w:sz w:val="24"/>
          <w:highlight w:val="none"/>
          <w:lang w:val="en-GB"/>
        </w:rPr>
        <w:t>文件载明的</w:t>
      </w:r>
      <w:r>
        <w:rPr>
          <w:rFonts w:hint="eastAsia" w:ascii="宋体" w:hAnsi="宋体"/>
          <w:color w:val="auto"/>
          <w:sz w:val="24"/>
          <w:highlight w:val="none"/>
          <w:lang w:val="en-GB" w:eastAsia="zh-CN"/>
        </w:rPr>
        <w:t>授权代理人</w:t>
      </w:r>
      <w:r>
        <w:rPr>
          <w:rFonts w:ascii="宋体" w:hAnsi="宋体"/>
          <w:color w:val="auto"/>
          <w:sz w:val="24"/>
          <w:highlight w:val="none"/>
          <w:lang w:val="en-GB"/>
        </w:rPr>
        <w:t>或者联系人员为同一人。</w:t>
      </w:r>
    </w:p>
    <w:p>
      <w:pPr>
        <w:numPr>
          <w:ilvl w:val="0"/>
          <w:numId w:val="30"/>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资格审查</w:t>
      </w:r>
      <w:r>
        <w:rPr>
          <w:rFonts w:ascii="宋体" w:hAnsi="宋体"/>
          <w:color w:val="auto"/>
          <w:sz w:val="24"/>
          <w:highlight w:val="none"/>
          <w:lang w:val="en-GB"/>
        </w:rPr>
        <w:t>文件相互混装。</w:t>
      </w:r>
    </w:p>
    <w:p>
      <w:pPr>
        <w:numPr>
          <w:ilvl w:val="0"/>
          <w:numId w:val="30"/>
        </w:numPr>
        <w:tabs>
          <w:tab w:val="left" w:pos="420"/>
          <w:tab w:val="left" w:pos="72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竞投</w:t>
      </w:r>
      <w:r>
        <w:rPr>
          <w:rFonts w:ascii="宋体" w:hAnsi="宋体"/>
          <w:color w:val="auto"/>
          <w:sz w:val="24"/>
          <w:highlight w:val="none"/>
          <w:lang w:val="en-GB"/>
        </w:rPr>
        <w:t>保证金从同一单位或者个人的账户转出。</w:t>
      </w:r>
    </w:p>
    <w:p>
      <w:pPr>
        <w:tabs>
          <w:tab w:val="left" w:pos="420"/>
        </w:tabs>
        <w:autoSpaceDE w:val="0"/>
        <w:autoSpaceDN w:val="0"/>
        <w:adjustRightInd w:val="0"/>
        <w:snapToGrid w:val="0"/>
        <w:spacing w:line="360" w:lineRule="auto"/>
        <w:ind w:right="32"/>
        <w:rPr>
          <w:rFonts w:hint="eastAsia" w:ascii="宋体" w:hAnsi="宋体"/>
          <w:color w:val="auto"/>
          <w:sz w:val="24"/>
          <w:highlight w:val="none"/>
        </w:rPr>
      </w:pPr>
    </w:p>
    <w:p>
      <w:pPr>
        <w:spacing w:after="72" w:afterLines="30" w:line="336" w:lineRule="auto"/>
        <w:ind w:right="-178" w:rightChars="-85"/>
        <w:jc w:val="center"/>
        <w:outlineLvl w:val="1"/>
        <w:rPr>
          <w:rFonts w:hint="eastAsia" w:ascii="宋体" w:eastAsia="宋体"/>
          <w:b/>
          <w:color w:val="auto"/>
          <w:sz w:val="28"/>
          <w:szCs w:val="28"/>
          <w:highlight w:val="none"/>
          <w:lang w:eastAsia="zh-CN"/>
        </w:rPr>
      </w:pPr>
      <w:bookmarkStart w:id="65" w:name="_Toc11501"/>
      <w:bookmarkStart w:id="66" w:name="_Toc29156"/>
      <w:bookmarkStart w:id="67" w:name="_Toc28243"/>
      <w:bookmarkStart w:id="68" w:name="_Toc334432594"/>
      <w:bookmarkStart w:id="69" w:name="_Toc6827"/>
      <w:r>
        <w:rPr>
          <w:rFonts w:hint="eastAsia" w:ascii="宋体" w:hAnsi="宋体"/>
          <w:b/>
          <w:color w:val="auto"/>
          <w:sz w:val="28"/>
          <w:szCs w:val="28"/>
          <w:highlight w:val="none"/>
        </w:rPr>
        <w:t>六、</w:t>
      </w:r>
      <w:bookmarkEnd w:id="65"/>
      <w:bookmarkEnd w:id="66"/>
      <w:bookmarkEnd w:id="67"/>
      <w:bookmarkEnd w:id="68"/>
      <w:r>
        <w:rPr>
          <w:rFonts w:hint="eastAsia" w:ascii="宋体" w:hAnsi="宋体"/>
          <w:b/>
          <w:color w:val="auto"/>
          <w:sz w:val="28"/>
          <w:szCs w:val="28"/>
          <w:highlight w:val="none"/>
          <w:lang w:eastAsia="zh-CN"/>
        </w:rPr>
        <w:t>竞投方式</w:t>
      </w:r>
      <w:bookmarkEnd w:id="69"/>
    </w:p>
    <w:p>
      <w:pPr>
        <w:numPr>
          <w:ilvl w:val="0"/>
          <w:numId w:val="23"/>
        </w:numPr>
        <w:tabs>
          <w:tab w:val="left" w:pos="540"/>
        </w:tabs>
        <w:spacing w:line="360" w:lineRule="auto"/>
        <w:ind w:left="420" w:leftChars="0" w:hanging="420" w:firstLineChars="0"/>
        <w:rPr>
          <w:color w:val="auto"/>
          <w:sz w:val="24"/>
          <w:highlight w:val="none"/>
        </w:rPr>
      </w:pPr>
      <w:bookmarkStart w:id="70" w:name="_Toc119321139"/>
      <w:bookmarkStart w:id="71" w:name="_Toc374378411"/>
      <w:r>
        <w:rPr>
          <w:rFonts w:hint="eastAsia" w:hAnsi="宋体"/>
          <w:b/>
          <w:color w:val="auto"/>
          <w:sz w:val="24"/>
          <w:highlight w:val="none"/>
          <w:lang w:eastAsia="zh-CN"/>
        </w:rPr>
        <w:t>竞投</w:t>
      </w:r>
      <w:bookmarkEnd w:id="70"/>
      <w:bookmarkEnd w:id="71"/>
      <w:r>
        <w:rPr>
          <w:rFonts w:hint="eastAsia" w:hAnsi="宋体"/>
          <w:b/>
          <w:color w:val="auto"/>
          <w:sz w:val="24"/>
          <w:highlight w:val="none"/>
          <w:lang w:eastAsia="zh-CN"/>
        </w:rPr>
        <w:t>方式：</w:t>
      </w:r>
    </w:p>
    <w:p>
      <w:pPr>
        <w:numPr>
          <w:ilvl w:val="0"/>
          <w:numId w:val="0"/>
        </w:numPr>
        <w:tabs>
          <w:tab w:val="left" w:pos="540"/>
        </w:tabs>
        <w:spacing w:line="374" w:lineRule="auto"/>
        <w:ind w:left="0" w:firstLine="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19.1本次竞投会采取填写报价书和公布报价的方式进行。竞投人的报价书必须由法定代表人或授权代表填写，签名确认；报价书应密封，在密封袋上写明招标人名称，在密封处由法人或授权代表人签名。报价书一经递交，不得撤回或修改。</w:t>
      </w:r>
    </w:p>
    <w:p>
      <w:pPr>
        <w:numPr>
          <w:ilvl w:val="0"/>
          <w:numId w:val="0"/>
        </w:numPr>
        <w:tabs>
          <w:tab w:val="left" w:pos="540"/>
        </w:tabs>
        <w:spacing w:line="374" w:lineRule="auto"/>
        <w:ind w:left="0" w:firstLine="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19.2本项目采取一次性报价，所报价格不得低于本项目设定的最低限价。若报价金额低于设定的最低限价，则报价无效；若报价金额不低于本项目设定的最低限价，则采取价高者得的原则确定中标人。</w:t>
      </w:r>
      <w:r>
        <w:rPr>
          <w:rFonts w:hint="eastAsia" w:ascii="宋体" w:hAnsi="宋体"/>
          <w:b/>
          <w:bCs/>
          <w:color w:val="auto"/>
          <w:sz w:val="24"/>
          <w:highlight w:val="none"/>
          <w:lang w:val="en-US" w:eastAsia="zh-CN"/>
        </w:rPr>
        <w:t>若出现最高报价相同的，按提交报价书的先后顺序确定中标人（即最先提交报价书者为中标人）</w:t>
      </w:r>
      <w:r>
        <w:rPr>
          <w:rFonts w:hint="eastAsia" w:ascii="宋体" w:hAnsi="宋体"/>
          <w:color w:val="auto"/>
          <w:sz w:val="24"/>
          <w:highlight w:val="none"/>
          <w:lang w:val="en-US" w:eastAsia="zh-CN"/>
        </w:rPr>
        <w:t>。</w:t>
      </w:r>
    </w:p>
    <w:p>
      <w:pPr>
        <w:rPr>
          <w:rFonts w:hint="eastAsia" w:ascii="宋体" w:hAnsi="宋体"/>
          <w:color w:val="auto"/>
          <w:sz w:val="24"/>
          <w:highlight w:val="none"/>
          <w:lang w:val="en-US" w:eastAsia="zh-CN"/>
        </w:rPr>
      </w:pPr>
      <w:r>
        <w:rPr>
          <w:rFonts w:hint="eastAsia" w:ascii="宋体" w:hAnsi="宋体"/>
          <w:color w:val="auto"/>
          <w:sz w:val="24"/>
          <w:highlight w:val="none"/>
          <w:lang w:val="en-US" w:eastAsia="zh-CN"/>
        </w:rPr>
        <w:br w:type="page"/>
      </w:r>
    </w:p>
    <w:p>
      <w:pPr>
        <w:pStyle w:val="2"/>
        <w:rPr>
          <w:rFonts w:hint="eastAsia"/>
          <w:color w:val="auto"/>
          <w:highlight w:val="none"/>
          <w:lang w:val="en-US" w:eastAsia="zh-CN"/>
        </w:rPr>
      </w:pPr>
    </w:p>
    <w:p>
      <w:pPr>
        <w:spacing w:after="120" w:afterLines="50" w:line="360" w:lineRule="auto"/>
        <w:jc w:val="center"/>
        <w:outlineLvl w:val="0"/>
        <w:rPr>
          <w:rFonts w:ascii="宋体"/>
          <w:b/>
          <w:color w:val="auto"/>
          <w:sz w:val="36"/>
          <w:szCs w:val="36"/>
          <w:highlight w:val="none"/>
          <w:lang w:val="zh-CN"/>
        </w:rPr>
      </w:pPr>
      <w:bookmarkStart w:id="72" w:name="_Toc30654"/>
      <w:bookmarkStart w:id="73" w:name="_Toc334432596"/>
      <w:bookmarkStart w:id="74" w:name="_Toc27419"/>
      <w:bookmarkStart w:id="75" w:name="_Toc8823"/>
      <w:bookmarkStart w:id="76" w:name="_Toc15468"/>
      <w:r>
        <w:rPr>
          <w:rFonts w:hint="eastAsia" w:ascii="宋体" w:hAnsi="宋体" w:eastAsia="宋体" w:cs="Times New Roman"/>
          <w:b/>
          <w:color w:val="auto"/>
          <w:kern w:val="2"/>
          <w:sz w:val="36"/>
          <w:szCs w:val="36"/>
          <w:highlight w:val="none"/>
          <w:lang w:val="en-US" w:eastAsia="zh-CN" w:bidi="ar-SA"/>
        </w:rPr>
        <w:t>第四部分合同书范本</w:t>
      </w:r>
      <w:bookmarkEnd w:id="72"/>
      <w:bookmarkEnd w:id="73"/>
      <w:bookmarkEnd w:id="74"/>
      <w:bookmarkEnd w:id="75"/>
      <w:bookmarkEnd w:id="76"/>
    </w:p>
    <w:p>
      <w:pPr>
        <w:spacing w:line="360" w:lineRule="auto"/>
        <w:ind w:left="46" w:leftChars="22"/>
        <w:rPr>
          <w:rFonts w:hAnsi="宋体"/>
          <w:color w:val="auto"/>
          <w:sz w:val="24"/>
          <w:szCs w:val="24"/>
          <w:highlight w:val="none"/>
        </w:rPr>
      </w:pPr>
      <w:r>
        <w:rPr>
          <w:rFonts w:hint="eastAsia" w:hAnsi="宋体"/>
          <w:bCs/>
          <w:color w:val="auto"/>
          <w:kern w:val="44"/>
          <w:sz w:val="24"/>
          <w:szCs w:val="24"/>
          <w:highlight w:val="none"/>
          <w:lang w:val="zh-CN"/>
        </w:rPr>
        <w:t>注：</w:t>
      </w:r>
      <w:r>
        <w:rPr>
          <w:rFonts w:hint="eastAsia" w:ascii="宋体" w:hAnsi="宋体"/>
          <w:color w:val="auto"/>
          <w:sz w:val="24"/>
          <w:szCs w:val="24"/>
          <w:highlight w:val="none"/>
        </w:rPr>
        <w:t>在不违背各方认可的文件内容前提下，对个别非实质性条款可由合同当事人协商修订，</w:t>
      </w:r>
      <w:r>
        <w:rPr>
          <w:rFonts w:hint="eastAsia" w:hAnsi="宋体"/>
          <w:bCs/>
          <w:color w:val="auto"/>
          <w:kern w:val="44"/>
          <w:sz w:val="24"/>
          <w:szCs w:val="24"/>
          <w:highlight w:val="none"/>
          <w:lang w:val="zh-CN"/>
        </w:rPr>
        <w:t>最终以甲、乙双方签订的合同为准。合同封面也可按甲乙双方意愿，自行编制修订。</w:t>
      </w:r>
    </w:p>
    <w:p>
      <w:pPr>
        <w:spacing w:line="360" w:lineRule="auto"/>
        <w:jc w:val="center"/>
        <w:rPr>
          <w:rFonts w:hAnsi="宋体"/>
          <w:color w:val="auto"/>
          <w:sz w:val="24"/>
          <w:szCs w:val="24"/>
          <w:highlight w:val="none"/>
        </w:rPr>
      </w:pPr>
    </w:p>
    <w:p>
      <w:pPr>
        <w:rPr>
          <w:color w:val="auto"/>
          <w:sz w:val="24"/>
          <w:highlight w:val="none"/>
        </w:rPr>
      </w:pPr>
    </w:p>
    <w:p>
      <w:pPr>
        <w:jc w:val="center"/>
        <w:rPr>
          <w:rFonts w:eastAsia="黑体"/>
          <w:color w:val="auto"/>
          <w:sz w:val="52"/>
          <w:highlight w:val="none"/>
        </w:rPr>
      </w:pPr>
    </w:p>
    <w:p>
      <w:pPr>
        <w:spacing w:line="776" w:lineRule="exact"/>
        <w:ind w:right="-453"/>
        <w:jc w:val="center"/>
        <w:rPr>
          <w:rFonts w:ascii="宋体"/>
          <w:color w:val="auto"/>
          <w:sz w:val="68"/>
          <w:highlight w:val="none"/>
        </w:rPr>
      </w:pPr>
      <w:r>
        <w:rPr>
          <w:rFonts w:ascii="宋体"/>
          <w:color w:val="auto"/>
          <w:sz w:val="68"/>
          <w:highlight w:val="none"/>
        </w:rPr>
        <w:br w:type="page"/>
      </w:r>
    </w:p>
    <w:p>
      <w:pPr>
        <w:spacing w:line="776" w:lineRule="exact"/>
        <w:ind w:right="-453"/>
        <w:jc w:val="center"/>
        <w:rPr>
          <w:rFonts w:ascii="宋体"/>
          <w:color w:val="auto"/>
          <w:sz w:val="68"/>
          <w:highlight w:val="none"/>
        </w:rPr>
      </w:pPr>
    </w:p>
    <w:p>
      <w:pPr>
        <w:spacing w:line="776" w:lineRule="exact"/>
        <w:ind w:right="-453"/>
        <w:jc w:val="center"/>
        <w:rPr>
          <w:rFonts w:hint="eastAsia" w:ascii="宋体" w:hAnsi="宋体" w:eastAsia="宋体"/>
          <w:color w:val="auto"/>
          <w:sz w:val="68"/>
          <w:highlight w:val="none"/>
          <w:lang w:eastAsia="zh-CN"/>
        </w:rPr>
      </w:pPr>
      <w:r>
        <w:rPr>
          <w:rFonts w:hint="eastAsia" w:ascii="宋体" w:hAnsi="宋体"/>
          <w:color w:val="auto"/>
          <w:sz w:val="68"/>
          <w:highlight w:val="none"/>
          <w:lang w:eastAsia="zh-CN"/>
        </w:rPr>
        <w:t>吉利竹甫村车辆停放管理服务</w:t>
      </w:r>
    </w:p>
    <w:p>
      <w:pPr>
        <w:spacing w:line="200" w:lineRule="exact"/>
        <w:rPr>
          <w:rFonts w:eastAsia="Times New Roman"/>
          <w:color w:val="auto"/>
          <w:highlight w:val="none"/>
        </w:rPr>
      </w:pPr>
    </w:p>
    <w:p>
      <w:pPr>
        <w:spacing w:line="347" w:lineRule="exact"/>
        <w:rPr>
          <w:rFonts w:eastAsia="Times New Roman"/>
          <w:color w:val="auto"/>
          <w:highlight w:val="none"/>
        </w:rPr>
      </w:pPr>
    </w:p>
    <w:p>
      <w:pPr>
        <w:spacing w:line="776" w:lineRule="exact"/>
        <w:ind w:right="-453"/>
        <w:jc w:val="center"/>
        <w:rPr>
          <w:rFonts w:ascii="宋体" w:hAnsi="宋体"/>
          <w:color w:val="auto"/>
          <w:sz w:val="68"/>
          <w:highlight w:val="none"/>
        </w:rPr>
      </w:pPr>
      <w:r>
        <w:rPr>
          <w:rFonts w:ascii="宋体" w:hAnsi="宋体"/>
          <w:color w:val="auto"/>
          <w:sz w:val="68"/>
          <w:highlight w:val="none"/>
        </w:rPr>
        <w:t>合同书</w:t>
      </w:r>
    </w:p>
    <w:p>
      <w:pPr>
        <w:spacing w:line="200" w:lineRule="exact"/>
        <w:rPr>
          <w:rFonts w:eastAsia="Times New Roman"/>
          <w:color w:val="auto"/>
          <w:highlight w:val="none"/>
        </w:rPr>
      </w:pPr>
    </w:p>
    <w:p>
      <w:pPr>
        <w:spacing w:line="360" w:lineRule="auto"/>
        <w:rPr>
          <w:rFonts w:eastAsia="Times New Roman"/>
          <w:color w:val="auto"/>
          <w:highlight w:val="none"/>
        </w:rPr>
      </w:pPr>
    </w:p>
    <w:p>
      <w:pPr>
        <w:spacing w:line="360" w:lineRule="auto"/>
        <w:rPr>
          <w:rFonts w:eastAsia="Times New Roman"/>
          <w:color w:val="auto"/>
          <w:sz w:val="24"/>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32" w:lineRule="exact"/>
        <w:rPr>
          <w:rFonts w:eastAsia="Times New Roman"/>
          <w:color w:val="auto"/>
          <w:highlight w:val="none"/>
        </w:rPr>
      </w:pPr>
    </w:p>
    <w:tbl>
      <w:tblPr>
        <w:tblStyle w:val="19"/>
        <w:tblW w:w="7682" w:type="dxa"/>
        <w:tblInd w:w="1040" w:type="dxa"/>
        <w:tblLayout w:type="fixed"/>
        <w:tblCellMar>
          <w:top w:w="0" w:type="dxa"/>
          <w:left w:w="0" w:type="dxa"/>
          <w:bottom w:w="0" w:type="dxa"/>
          <w:right w:w="0" w:type="dxa"/>
        </w:tblCellMar>
      </w:tblPr>
      <w:tblGrid>
        <w:gridCol w:w="1488"/>
        <w:gridCol w:w="6194"/>
      </w:tblGrid>
      <w:tr>
        <w:tblPrEx>
          <w:tblCellMar>
            <w:top w:w="0" w:type="dxa"/>
            <w:left w:w="0" w:type="dxa"/>
            <w:bottom w:w="0" w:type="dxa"/>
            <w:right w:w="0" w:type="dxa"/>
          </w:tblCellMar>
        </w:tblPrEx>
        <w:trPr>
          <w:trHeight w:val="575" w:hRule="atLeast"/>
        </w:trPr>
        <w:tc>
          <w:tcPr>
            <w:tcW w:w="1488" w:type="dxa"/>
            <w:noWrap w:val="0"/>
            <w:vAlign w:val="bottom"/>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p>
        </w:tc>
        <w:tc>
          <w:tcPr>
            <w:tcW w:w="6194" w:type="dxa"/>
            <w:tcBorders>
              <w:bottom w:val="single" w:color="auto" w:sz="4" w:space="0"/>
            </w:tcBorders>
            <w:noWrap w:val="0"/>
            <w:vAlign w:val="bottom"/>
          </w:tcPr>
          <w:p>
            <w:pPr>
              <w:spacing w:line="320" w:lineRule="exact"/>
              <w:jc w:val="center"/>
              <w:rPr>
                <w:rFonts w:hint="eastAsia" w:ascii="宋体" w:hAnsi="宋体" w:eastAsia="宋体" w:cs="宋体"/>
                <w:color w:val="auto"/>
                <w:w w:val="99"/>
                <w:sz w:val="32"/>
                <w:szCs w:val="32"/>
                <w:highlight w:val="none"/>
                <w:lang w:eastAsia="zh-CN"/>
              </w:rPr>
            </w:pPr>
            <w:r>
              <w:rPr>
                <w:rFonts w:hint="eastAsia" w:ascii="宋体" w:hAnsi="宋体" w:cs="宋体"/>
                <w:color w:val="auto"/>
                <w:w w:val="99"/>
                <w:sz w:val="32"/>
                <w:szCs w:val="32"/>
                <w:highlight w:val="none"/>
                <w:lang w:eastAsia="zh-CN"/>
              </w:rPr>
              <w:t>佛山市禅城区南庄镇吉利村竹甫经济合作社</w:t>
            </w:r>
          </w:p>
        </w:tc>
      </w:tr>
      <w:tr>
        <w:tblPrEx>
          <w:tblCellMar>
            <w:top w:w="0" w:type="dxa"/>
            <w:left w:w="0" w:type="dxa"/>
            <w:bottom w:w="0" w:type="dxa"/>
            <w:right w:w="0" w:type="dxa"/>
          </w:tblCellMar>
        </w:tblPrEx>
        <w:trPr>
          <w:trHeight w:val="726" w:hRule="atLeast"/>
        </w:trPr>
        <w:tc>
          <w:tcPr>
            <w:tcW w:w="1488" w:type="dxa"/>
            <w:noWrap w:val="0"/>
            <w:vAlign w:val="bottom"/>
          </w:tcPr>
          <w:p>
            <w:pPr>
              <w:spacing w:line="313"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p>
        </w:tc>
        <w:tc>
          <w:tcPr>
            <w:tcW w:w="6194" w:type="dxa"/>
            <w:tcBorders>
              <w:top w:val="single" w:color="auto" w:sz="4" w:space="0"/>
              <w:bottom w:val="single" w:color="auto" w:sz="4" w:space="0"/>
            </w:tcBorders>
            <w:noWrap w:val="0"/>
            <w:vAlign w:val="bottom"/>
          </w:tcPr>
          <w:p>
            <w:pPr>
              <w:spacing w:line="313" w:lineRule="exact"/>
              <w:jc w:val="center"/>
              <w:rPr>
                <w:rFonts w:hint="eastAsia" w:ascii="宋体" w:hAnsi="宋体" w:eastAsia="宋体" w:cs="宋体"/>
                <w:color w:val="auto"/>
                <w:w w:val="99"/>
                <w:sz w:val="32"/>
                <w:szCs w:val="32"/>
                <w:highlight w:val="none"/>
              </w:rPr>
            </w:pPr>
            <w:r>
              <w:rPr>
                <w:rFonts w:hint="eastAsia" w:ascii="宋体" w:hAnsi="宋体" w:eastAsia="宋体" w:cs="宋体"/>
                <w:color w:val="auto"/>
                <w:w w:val="99"/>
                <w:sz w:val="32"/>
                <w:szCs w:val="32"/>
                <w:highlight w:val="none"/>
              </w:rPr>
              <w:t>（中标</w:t>
            </w:r>
            <w:r>
              <w:rPr>
                <w:rFonts w:hint="eastAsia" w:ascii="宋体" w:hAnsi="宋体" w:eastAsia="宋体" w:cs="宋体"/>
                <w:color w:val="auto"/>
                <w:w w:val="99"/>
                <w:sz w:val="32"/>
                <w:szCs w:val="32"/>
                <w:highlight w:val="none"/>
                <w:lang w:eastAsia="zh-CN"/>
              </w:rPr>
              <w:t>人</w:t>
            </w:r>
            <w:r>
              <w:rPr>
                <w:rFonts w:hint="eastAsia" w:ascii="宋体" w:hAnsi="宋体" w:eastAsia="宋体" w:cs="宋体"/>
                <w:color w:val="auto"/>
                <w:w w:val="99"/>
                <w:sz w:val="32"/>
                <w:szCs w:val="32"/>
                <w:highlight w:val="none"/>
              </w:rPr>
              <w:t>）</w:t>
            </w:r>
          </w:p>
        </w:tc>
      </w:tr>
      <w:tr>
        <w:tblPrEx>
          <w:tblCellMar>
            <w:top w:w="0" w:type="dxa"/>
            <w:left w:w="0" w:type="dxa"/>
            <w:bottom w:w="0" w:type="dxa"/>
            <w:right w:w="0" w:type="dxa"/>
          </w:tblCellMar>
        </w:tblPrEx>
        <w:trPr>
          <w:trHeight w:val="749" w:hRule="atLeast"/>
        </w:trPr>
        <w:tc>
          <w:tcPr>
            <w:tcW w:w="1488" w:type="dxa"/>
            <w:noWrap w:val="0"/>
            <w:vAlign w:val="bottom"/>
          </w:tcPr>
          <w:p>
            <w:pPr>
              <w:spacing w:line="316" w:lineRule="exact"/>
              <w:jc w:val="right"/>
              <w:rPr>
                <w:rFonts w:hint="eastAsia" w:ascii="宋体" w:hAnsi="宋体" w:eastAsia="宋体" w:cs="宋体"/>
                <w:color w:val="auto"/>
                <w:w w:val="98"/>
                <w:sz w:val="28"/>
                <w:szCs w:val="28"/>
                <w:highlight w:val="none"/>
              </w:rPr>
            </w:pPr>
            <w:r>
              <w:rPr>
                <w:rFonts w:hint="eastAsia" w:ascii="宋体" w:hAnsi="宋体" w:eastAsia="宋体" w:cs="宋体"/>
                <w:color w:val="auto"/>
                <w:w w:val="98"/>
                <w:sz w:val="28"/>
                <w:szCs w:val="28"/>
                <w:highlight w:val="none"/>
              </w:rPr>
              <w:t>签订日期：</w:t>
            </w:r>
          </w:p>
        </w:tc>
        <w:tc>
          <w:tcPr>
            <w:tcW w:w="6194" w:type="dxa"/>
            <w:tcBorders>
              <w:top w:val="single" w:color="auto" w:sz="4" w:space="0"/>
              <w:bottom w:val="single" w:color="auto" w:sz="8" w:space="0"/>
            </w:tcBorders>
            <w:noWrap w:val="0"/>
            <w:vAlign w:val="bottom"/>
          </w:tcPr>
          <w:p>
            <w:pPr>
              <w:spacing w:line="316" w:lineRule="exact"/>
              <w:ind w:left="252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年月日</w:t>
            </w:r>
          </w:p>
        </w:tc>
      </w:tr>
    </w:tbl>
    <w:p>
      <w:pPr>
        <w:rPr>
          <w:rFonts w:eastAsia="Times New Roman"/>
          <w:color w:val="auto"/>
          <w:sz w:val="19"/>
          <w:highlight w:val="none"/>
        </w:rPr>
        <w:sectPr>
          <w:pgSz w:w="11850" w:h="16783"/>
          <w:pgMar w:top="1134" w:right="1134" w:bottom="1134" w:left="1417" w:header="567" w:footer="567" w:gutter="0"/>
          <w:pgBorders>
            <w:top w:val="none" w:sz="0" w:space="0"/>
            <w:left w:val="none" w:sz="0" w:space="0"/>
            <w:bottom w:val="none" w:sz="0" w:space="0"/>
            <w:right w:val="none" w:sz="0" w:space="0"/>
          </w:pgBorders>
          <w:pgNumType w:fmt="decimal"/>
          <w:cols w:space="0" w:num="1"/>
          <w:rtlGutter w:val="0"/>
          <w:docGrid w:linePitch="360" w:charSpace="0"/>
        </w:sect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25" w:lineRule="exact"/>
        <w:rPr>
          <w:rFonts w:eastAsia="Times New Roman"/>
          <w:color w:val="auto"/>
          <w:highlight w:val="none"/>
        </w:rPr>
      </w:pPr>
    </w:p>
    <w:p>
      <w:pPr>
        <w:spacing w:line="0" w:lineRule="atLeast"/>
        <w:ind w:right="-473"/>
        <w:jc w:val="center"/>
        <w:rPr>
          <w:rFonts w:eastAsia="Times New Roman"/>
          <w:color w:val="auto"/>
          <w:sz w:val="18"/>
          <w:highlight w:val="none"/>
        </w:rPr>
        <w:sectPr>
          <w:type w:val="continuous"/>
          <w:pgSz w:w="11850" w:h="16783"/>
          <w:pgMar w:top="1134" w:right="1134" w:bottom="1134" w:left="1417" w:header="0" w:footer="0" w:gutter="0"/>
          <w:pgBorders>
            <w:top w:val="none" w:sz="0" w:space="0"/>
            <w:left w:val="none" w:sz="0" w:space="0"/>
            <w:bottom w:val="none" w:sz="0" w:space="0"/>
            <w:right w:val="none" w:sz="0" w:space="0"/>
          </w:pgBorders>
          <w:pgNumType w:fmt="decimal"/>
          <w:cols w:space="0" w:num="1"/>
          <w:rtlGutter w:val="0"/>
          <w:docGrid w:linePitch="360" w:charSpace="0"/>
        </w:sectPr>
      </w:pPr>
    </w:p>
    <w:p>
      <w:pPr>
        <w:pStyle w:val="34"/>
        <w:pageBreakBefore/>
        <w:spacing w:line="360" w:lineRule="auto"/>
        <w:jc w:val="center"/>
        <w:rPr>
          <w:b/>
          <w:color w:val="auto"/>
          <w:kern w:val="0"/>
          <w:sz w:val="44"/>
          <w:szCs w:val="44"/>
          <w:highlight w:val="none"/>
        </w:rPr>
      </w:pPr>
      <w:bookmarkStart w:id="77" w:name="page77"/>
      <w:bookmarkEnd w:id="77"/>
      <w:r>
        <w:rPr>
          <w:rFonts w:hint="eastAsia"/>
          <w:b/>
          <w:color w:val="auto"/>
          <w:kern w:val="0"/>
          <w:sz w:val="44"/>
          <w:szCs w:val="44"/>
          <w:highlight w:val="none"/>
        </w:rPr>
        <w:t>南庄镇农村采购项目合同书</w:t>
      </w:r>
    </w:p>
    <w:p>
      <w:pPr>
        <w:pStyle w:val="34"/>
        <w:spacing w:line="360" w:lineRule="auto"/>
        <w:rPr>
          <w:color w:val="auto"/>
          <w:szCs w:val="22"/>
          <w:highlight w:val="none"/>
        </w:rPr>
      </w:pPr>
    </w:p>
    <w:tbl>
      <w:tblPr>
        <w:tblStyle w:val="19"/>
        <w:tblW w:w="8580" w:type="dxa"/>
        <w:tblInd w:w="0" w:type="dxa"/>
        <w:tblLayout w:type="fixed"/>
        <w:tblCellMar>
          <w:top w:w="0" w:type="dxa"/>
          <w:left w:w="108" w:type="dxa"/>
          <w:bottom w:w="0" w:type="dxa"/>
          <w:right w:w="108" w:type="dxa"/>
        </w:tblCellMar>
      </w:tblPr>
      <w:tblGrid>
        <w:gridCol w:w="1470"/>
        <w:gridCol w:w="7110"/>
      </w:tblGrid>
      <w:tr>
        <w:tblPrEx>
          <w:tblCellMar>
            <w:top w:w="0" w:type="dxa"/>
            <w:left w:w="108" w:type="dxa"/>
            <w:bottom w:w="0" w:type="dxa"/>
            <w:right w:w="108" w:type="dxa"/>
          </w:tblCellMar>
        </w:tblPrEx>
        <w:trPr>
          <w:trHeight w:val="470" w:hRule="atLeast"/>
        </w:trPr>
        <w:tc>
          <w:tcPr>
            <w:tcW w:w="1470" w:type="dxa"/>
            <w:noWrap w:val="0"/>
            <w:vAlign w:val="center"/>
          </w:tcPr>
          <w:p>
            <w:pPr>
              <w:pStyle w:val="34"/>
              <w:spacing w:line="360" w:lineRule="auto"/>
              <w:rPr>
                <w:b/>
                <w:color w:val="auto"/>
                <w:sz w:val="24"/>
                <w:szCs w:val="24"/>
                <w:highlight w:val="none"/>
              </w:rPr>
            </w:pPr>
            <w:r>
              <w:rPr>
                <w:rFonts w:hint="eastAsia"/>
                <w:b/>
                <w:color w:val="auto"/>
                <w:sz w:val="24"/>
                <w:szCs w:val="24"/>
                <w:highlight w:val="none"/>
              </w:rPr>
              <w:t>项目名称：</w:t>
            </w:r>
          </w:p>
        </w:tc>
        <w:tc>
          <w:tcPr>
            <w:tcW w:w="7110" w:type="dxa"/>
            <w:tcBorders>
              <w:top w:val="nil"/>
              <w:left w:val="nil"/>
              <w:bottom w:val="single" w:color="auto" w:sz="4" w:space="0"/>
              <w:right w:val="nil"/>
            </w:tcBorders>
            <w:noWrap w:val="0"/>
            <w:vAlign w:val="center"/>
          </w:tcPr>
          <w:p>
            <w:pPr>
              <w:pStyle w:val="34"/>
              <w:widowControl/>
              <w:spacing w:line="360" w:lineRule="auto"/>
              <w:jc w:val="both"/>
              <w:rPr>
                <w:rFonts w:hint="eastAsia" w:eastAsia="宋体"/>
                <w:color w:val="auto"/>
                <w:kern w:val="0"/>
                <w:sz w:val="24"/>
                <w:szCs w:val="24"/>
                <w:highlight w:val="none"/>
                <w:lang w:eastAsia="zh-CN"/>
              </w:rPr>
            </w:pPr>
            <w:r>
              <w:rPr>
                <w:rFonts w:hint="eastAsia" w:ascii="宋体" w:hAnsi="宋体"/>
                <w:color w:val="auto"/>
                <w:sz w:val="24"/>
                <w:szCs w:val="24"/>
                <w:highlight w:val="none"/>
                <w:lang w:eastAsia="zh-CN"/>
              </w:rPr>
              <w:t>吉利竹甫村车辆停放管理服务</w:t>
            </w:r>
          </w:p>
        </w:tc>
      </w:tr>
      <w:tr>
        <w:tblPrEx>
          <w:tblCellMar>
            <w:top w:w="0" w:type="dxa"/>
            <w:left w:w="108" w:type="dxa"/>
            <w:bottom w:w="0" w:type="dxa"/>
            <w:right w:w="108" w:type="dxa"/>
          </w:tblCellMar>
        </w:tblPrEx>
        <w:trPr>
          <w:trHeight w:val="480" w:hRule="atLeast"/>
        </w:trPr>
        <w:tc>
          <w:tcPr>
            <w:tcW w:w="1470" w:type="dxa"/>
            <w:noWrap w:val="0"/>
            <w:vAlign w:val="center"/>
          </w:tcPr>
          <w:p>
            <w:pPr>
              <w:pStyle w:val="34"/>
              <w:spacing w:line="360" w:lineRule="auto"/>
              <w:rPr>
                <w:b/>
                <w:color w:val="auto"/>
                <w:sz w:val="24"/>
                <w:szCs w:val="24"/>
                <w:highlight w:val="none"/>
              </w:rPr>
            </w:pPr>
            <w:r>
              <w:rPr>
                <w:rFonts w:hint="eastAsia"/>
                <w:b/>
                <w:color w:val="auto"/>
                <w:sz w:val="24"/>
                <w:szCs w:val="24"/>
                <w:highlight w:val="none"/>
              </w:rPr>
              <w:t>交易编号：</w:t>
            </w:r>
          </w:p>
        </w:tc>
        <w:tc>
          <w:tcPr>
            <w:tcW w:w="7110" w:type="dxa"/>
            <w:tcBorders>
              <w:top w:val="nil"/>
              <w:left w:val="nil"/>
              <w:bottom w:val="single" w:color="auto" w:sz="4" w:space="0"/>
              <w:right w:val="nil"/>
            </w:tcBorders>
            <w:noWrap w:val="0"/>
            <w:vAlign w:val="center"/>
          </w:tcPr>
          <w:p>
            <w:pPr>
              <w:pStyle w:val="34"/>
              <w:widowControl/>
              <w:spacing w:line="360" w:lineRule="auto"/>
              <w:jc w:val="both"/>
              <w:rPr>
                <w:rFonts w:hint="eastAsia" w:eastAsia="宋体"/>
                <w:color w:val="auto"/>
                <w:kern w:val="0"/>
                <w:sz w:val="24"/>
                <w:szCs w:val="24"/>
                <w:highlight w:val="none"/>
                <w:lang w:eastAsia="zh-CN"/>
              </w:rPr>
            </w:pPr>
            <w:r>
              <w:rPr>
                <w:rFonts w:hint="eastAsia" w:ascii="宋体" w:hAnsi="宋体"/>
                <w:color w:val="auto"/>
                <w:sz w:val="24"/>
                <w:szCs w:val="24"/>
                <w:highlight w:val="none"/>
                <w:lang w:eastAsia="zh-CN"/>
              </w:rPr>
              <w:t>GDZC-23JJ135</w:t>
            </w:r>
          </w:p>
        </w:tc>
      </w:tr>
      <w:tr>
        <w:tblPrEx>
          <w:tblCellMar>
            <w:top w:w="0" w:type="dxa"/>
            <w:left w:w="108" w:type="dxa"/>
            <w:bottom w:w="0" w:type="dxa"/>
            <w:right w:w="108" w:type="dxa"/>
          </w:tblCellMar>
        </w:tblPrEx>
        <w:trPr>
          <w:trHeight w:val="480" w:hRule="atLeast"/>
        </w:trPr>
        <w:tc>
          <w:tcPr>
            <w:tcW w:w="1470" w:type="dxa"/>
            <w:noWrap w:val="0"/>
            <w:vAlign w:val="center"/>
          </w:tcPr>
          <w:p>
            <w:pPr>
              <w:pStyle w:val="34"/>
              <w:spacing w:line="360" w:lineRule="auto"/>
              <w:rPr>
                <w:b/>
                <w:color w:val="auto"/>
                <w:sz w:val="24"/>
                <w:szCs w:val="24"/>
                <w:highlight w:val="none"/>
              </w:rPr>
            </w:pPr>
            <w:r>
              <w:rPr>
                <w:rFonts w:hint="eastAsia"/>
                <w:b/>
                <w:color w:val="auto"/>
                <w:sz w:val="24"/>
                <w:szCs w:val="24"/>
                <w:highlight w:val="none"/>
              </w:rPr>
              <w:t>甲方：</w:t>
            </w:r>
          </w:p>
        </w:tc>
        <w:tc>
          <w:tcPr>
            <w:tcW w:w="7110" w:type="dxa"/>
            <w:tcBorders>
              <w:top w:val="single" w:color="auto" w:sz="4" w:space="0"/>
              <w:left w:val="nil"/>
              <w:bottom w:val="single" w:color="auto" w:sz="4" w:space="0"/>
              <w:right w:val="nil"/>
            </w:tcBorders>
            <w:noWrap w:val="0"/>
            <w:vAlign w:val="center"/>
          </w:tcPr>
          <w:p>
            <w:pPr>
              <w:pStyle w:val="35"/>
              <w:jc w:val="both"/>
              <w:rPr>
                <w:rFonts w:hint="eastAsia" w:eastAsia="宋体"/>
                <w:color w:val="auto"/>
                <w:sz w:val="24"/>
                <w:szCs w:val="24"/>
                <w:highlight w:val="none"/>
                <w:lang w:eastAsia="zh-CN"/>
              </w:rPr>
            </w:pPr>
            <w:r>
              <w:rPr>
                <w:rFonts w:hint="eastAsia"/>
                <w:color w:val="auto"/>
                <w:sz w:val="24"/>
                <w:szCs w:val="24"/>
                <w:highlight w:val="none"/>
                <w:lang w:eastAsia="zh-CN"/>
              </w:rPr>
              <w:t>佛山市禅城区南庄镇吉利村竹甫经济合作社</w:t>
            </w:r>
          </w:p>
        </w:tc>
      </w:tr>
      <w:tr>
        <w:tblPrEx>
          <w:tblCellMar>
            <w:top w:w="0" w:type="dxa"/>
            <w:left w:w="108" w:type="dxa"/>
            <w:bottom w:w="0" w:type="dxa"/>
            <w:right w:w="108" w:type="dxa"/>
          </w:tblCellMar>
        </w:tblPrEx>
        <w:trPr>
          <w:trHeight w:val="491" w:hRule="atLeast"/>
        </w:trPr>
        <w:tc>
          <w:tcPr>
            <w:tcW w:w="1470" w:type="dxa"/>
            <w:noWrap w:val="0"/>
            <w:vAlign w:val="center"/>
          </w:tcPr>
          <w:p>
            <w:pPr>
              <w:pStyle w:val="34"/>
              <w:spacing w:line="360" w:lineRule="auto"/>
              <w:rPr>
                <w:b/>
                <w:color w:val="auto"/>
                <w:sz w:val="24"/>
                <w:szCs w:val="24"/>
                <w:highlight w:val="none"/>
              </w:rPr>
            </w:pPr>
            <w:r>
              <w:rPr>
                <w:rFonts w:hint="eastAsia" w:ascii="宋体" w:hAnsi="宋体"/>
                <w:b/>
                <w:color w:val="auto"/>
                <w:sz w:val="24"/>
                <w:szCs w:val="24"/>
                <w:highlight w:val="none"/>
              </w:rPr>
              <w:t>乙方：</w:t>
            </w:r>
          </w:p>
        </w:tc>
        <w:tc>
          <w:tcPr>
            <w:tcW w:w="7110" w:type="dxa"/>
            <w:tcBorders>
              <w:top w:val="single" w:color="auto" w:sz="4" w:space="0"/>
              <w:left w:val="nil"/>
              <w:bottom w:val="single" w:color="auto" w:sz="4" w:space="0"/>
              <w:right w:val="nil"/>
            </w:tcBorders>
            <w:noWrap w:val="0"/>
            <w:vAlign w:val="center"/>
          </w:tcPr>
          <w:p>
            <w:pPr>
              <w:pStyle w:val="34"/>
              <w:spacing w:line="360" w:lineRule="auto"/>
              <w:jc w:val="both"/>
              <w:rPr>
                <w:rFonts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eastAsia="zh-CN"/>
              </w:rPr>
              <w:t>中标人</w:t>
            </w:r>
            <w:r>
              <w:rPr>
                <w:rFonts w:hint="eastAsia" w:ascii="宋体" w:hAnsi="宋体"/>
                <w:b/>
                <w:color w:val="auto"/>
                <w:sz w:val="24"/>
                <w:szCs w:val="24"/>
                <w:highlight w:val="none"/>
              </w:rPr>
              <w:t>）</w:t>
            </w:r>
          </w:p>
        </w:tc>
      </w:tr>
    </w:tbl>
    <w:p>
      <w:pPr>
        <w:pStyle w:val="34"/>
        <w:spacing w:line="360" w:lineRule="auto"/>
        <w:rPr>
          <w:color w:val="auto"/>
          <w:szCs w:val="22"/>
          <w:highlight w:val="none"/>
        </w:rPr>
      </w:pPr>
    </w:p>
    <w:p>
      <w:pPr>
        <w:pStyle w:val="36"/>
        <w:spacing w:line="360" w:lineRule="auto"/>
        <w:ind w:firstLine="420"/>
        <w:rPr>
          <w:color w:val="auto"/>
          <w:szCs w:val="21"/>
          <w:highlight w:val="none"/>
        </w:rPr>
      </w:pPr>
      <w:r>
        <w:rPr>
          <w:rFonts w:hint="eastAsia"/>
          <w:color w:val="auto"/>
          <w:sz w:val="24"/>
          <w:szCs w:val="24"/>
          <w:highlight w:val="none"/>
        </w:rPr>
        <w:t>根据《中华人民共和国民法典》、本项目采购文件的要求，</w:t>
      </w:r>
      <w:r>
        <w:rPr>
          <w:rFonts w:hint="eastAsia"/>
          <w:color w:val="auto"/>
          <w:kern w:val="28"/>
          <w:sz w:val="24"/>
          <w:szCs w:val="24"/>
          <w:highlight w:val="none"/>
        </w:rPr>
        <w:t>经双方协商，</w:t>
      </w:r>
      <w:r>
        <w:rPr>
          <w:rFonts w:hint="eastAsia"/>
          <w:color w:val="auto"/>
          <w:sz w:val="24"/>
          <w:szCs w:val="24"/>
          <w:highlight w:val="none"/>
        </w:rPr>
        <w:t>本着平等互利和诚实信用的原则，</w:t>
      </w:r>
      <w:r>
        <w:rPr>
          <w:rFonts w:hint="eastAsia"/>
          <w:color w:val="auto"/>
          <w:kern w:val="28"/>
          <w:sz w:val="24"/>
          <w:szCs w:val="24"/>
          <w:highlight w:val="none"/>
        </w:rPr>
        <w:t>一致同意签订本合同如下。</w:t>
      </w:r>
    </w:p>
    <w:p>
      <w:pPr>
        <w:pStyle w:val="35"/>
        <w:numPr>
          <w:ilvl w:val="0"/>
          <w:numId w:val="31"/>
        </w:numPr>
        <w:spacing w:before="240" w:beforeLines="100" w:after="120" w:afterLines="50" w:line="360" w:lineRule="auto"/>
        <w:rPr>
          <w:rFonts w:hint="default" w:asciiTheme="minorEastAsia" w:hAnsiTheme="minorEastAsia" w:eastAsiaTheme="minorEastAsia" w:cstheme="minorEastAsia"/>
          <w:b/>
          <w:bCs/>
          <w:color w:val="auto"/>
          <w:sz w:val="24"/>
          <w:szCs w:val="24"/>
          <w:highlight w:val="none"/>
          <w:lang w:val="en-US" w:eastAsia="zh-CN"/>
        </w:rPr>
      </w:pPr>
      <w:bookmarkStart w:id="78" w:name="_Toc78604605"/>
      <w:r>
        <w:rPr>
          <w:rFonts w:hint="eastAsia" w:asciiTheme="minorEastAsia" w:hAnsiTheme="minorEastAsia" w:eastAsiaTheme="minorEastAsia" w:cstheme="minorEastAsia"/>
          <w:b/>
          <w:bCs/>
          <w:color w:val="auto"/>
          <w:sz w:val="24"/>
          <w:szCs w:val="24"/>
          <w:highlight w:val="none"/>
          <w:lang w:val="en-US" w:eastAsia="zh-CN"/>
        </w:rPr>
        <w:t>项目概况</w:t>
      </w:r>
    </w:p>
    <w:p>
      <w:pPr>
        <w:pStyle w:val="35"/>
        <w:numPr>
          <w:ilvl w:val="-1"/>
          <w:numId w:val="0"/>
        </w:numPr>
        <w:spacing w:before="240" w:beforeLines="100" w:after="120" w:afterLines="50" w:line="360" w:lineRule="auto"/>
        <w:ind w:left="0" w:leftChars="0" w:firstLine="480" w:firstLineChars="200"/>
        <w:rPr>
          <w:rFonts w:hint="default" w:asciiTheme="minorEastAsia" w:hAnsiTheme="minorEastAsia" w:eastAsiaTheme="minorEastAsia" w:cstheme="minorEastAsia"/>
          <w:b/>
          <w:bCs/>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lang w:eastAsia="zh-CN"/>
        </w:rPr>
        <w:t>位于</w:t>
      </w:r>
      <w:r>
        <w:rPr>
          <w:rFonts w:hint="eastAsia" w:ascii="宋体" w:hAnsi="宋体" w:cs="宋体"/>
          <w:color w:val="auto"/>
          <w:sz w:val="24"/>
          <w:szCs w:val="24"/>
          <w:highlight w:val="none"/>
          <w:lang w:val="en-US" w:eastAsia="zh-CN"/>
        </w:rPr>
        <w:t>本村车辆停放管理服务</w:t>
      </w:r>
      <w:r>
        <w:rPr>
          <w:rFonts w:hint="eastAsia" w:ascii="宋体" w:hAnsi="宋体" w:eastAsia="宋体" w:cs="宋体"/>
          <w:color w:val="auto"/>
          <w:sz w:val="24"/>
          <w:szCs w:val="24"/>
          <w:highlight w:val="none"/>
          <w:lang w:val="en-US" w:eastAsia="zh-CN"/>
        </w:rPr>
        <w:t>工作委托给</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经营管理，合同期限为</w:t>
      </w:r>
      <w:r>
        <w:rPr>
          <w:rFonts w:hint="eastAsia" w:ascii="宋体" w:hAnsi="宋体" w:cs="宋体"/>
          <w:color w:val="auto"/>
          <w:sz w:val="24"/>
          <w:szCs w:val="24"/>
          <w:highlight w:val="none"/>
          <w:lang w:val="en-US" w:eastAsia="zh-CN"/>
        </w:rPr>
        <w:t>5年</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须按</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lang w:val="en-US" w:eastAsia="zh-CN"/>
        </w:rPr>
        <w:t>价向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支付费用</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乙方必须在中标通知书发出之日起15个工作日内完成本停车场在佛山市停车场管理系统登记备案。</w:t>
      </w:r>
    </w:p>
    <w:p>
      <w:pPr>
        <w:pStyle w:val="35"/>
        <w:numPr>
          <w:ilvl w:val="0"/>
          <w:numId w:val="31"/>
        </w:numPr>
        <w:spacing w:before="240" w:beforeLines="100" w:after="120" w:afterLines="50" w:line="360" w:lineRule="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范围区域</w:t>
      </w:r>
    </w:p>
    <w:p>
      <w:pPr>
        <w:pStyle w:val="36"/>
        <w:spacing w:line="360" w:lineRule="auto"/>
        <w:ind w:firstLine="420"/>
        <w:rPr>
          <w:rFonts w:hint="default"/>
          <w:color w:val="auto"/>
          <w:sz w:val="24"/>
          <w:szCs w:val="24"/>
          <w:highlight w:val="none"/>
          <w:lang w:val="en-US" w:eastAsia="zh-CN"/>
        </w:rPr>
      </w:pPr>
      <w:r>
        <w:rPr>
          <w:rFonts w:hint="default"/>
          <w:color w:val="auto"/>
          <w:sz w:val="24"/>
          <w:szCs w:val="24"/>
          <w:highlight w:val="none"/>
          <w:lang w:val="en-US" w:eastAsia="zh-CN"/>
        </w:rPr>
        <w:t>竹甫村闸口内的停车范围（已有划线车位约200个）；</w:t>
      </w:r>
    </w:p>
    <w:p>
      <w:pPr>
        <w:pStyle w:val="35"/>
        <w:numPr>
          <w:ilvl w:val="0"/>
          <w:numId w:val="31"/>
        </w:numPr>
        <w:spacing w:before="240" w:beforeLines="100" w:after="120" w:afterLines="50" w:line="360" w:lineRule="auto"/>
        <w:rPr>
          <w:b/>
          <w:bCs/>
          <w:color w:val="auto"/>
          <w:sz w:val="24"/>
          <w:szCs w:val="24"/>
          <w:highlight w:val="none"/>
        </w:rPr>
      </w:pPr>
      <w:r>
        <w:rPr>
          <w:rFonts w:hint="eastAsia"/>
          <w:b/>
          <w:bCs/>
          <w:color w:val="auto"/>
          <w:sz w:val="24"/>
          <w:szCs w:val="24"/>
          <w:highlight w:val="none"/>
        </w:rPr>
        <w:t>设施建设地点</w:t>
      </w:r>
    </w:p>
    <w:p>
      <w:pPr>
        <w:pStyle w:val="30"/>
        <w:numPr>
          <w:ilvl w:val="0"/>
          <w:numId w:val="0"/>
        </w:numPr>
        <w:spacing w:line="360" w:lineRule="auto"/>
        <w:ind w:leftChars="-173" w:firstLine="720" w:firstLineChars="3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eastAsia="zh-CN"/>
        </w:rPr>
        <w:t>在竹甫村口、竹甫庙旁、竹甫宝盛行旁、竹甫酒厂等4个车辆进出通道点位。</w:t>
      </w:r>
    </w:p>
    <w:p>
      <w:pPr>
        <w:pStyle w:val="30"/>
        <w:numPr>
          <w:ilvl w:val="0"/>
          <w:numId w:val="0"/>
        </w:numPr>
        <w:spacing w:line="360" w:lineRule="auto"/>
        <w:ind w:left="479" w:leftChars="228" w:firstLine="1020" w:firstLineChars="425"/>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点位一：</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点位二</w:t>
      </w:r>
    </w:p>
    <w:p>
      <w:pPr>
        <w:pStyle w:val="30"/>
        <w:numPr>
          <w:ilvl w:val="0"/>
          <w:numId w:val="0"/>
        </w:numPr>
        <w:spacing w:line="360" w:lineRule="auto"/>
        <w:ind w:left="415" w:leftChars="0" w:hanging="415" w:hangingChars="173"/>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drawing>
          <wp:inline distT="0" distB="0" distL="114300" distR="114300">
            <wp:extent cx="2312035" cy="1734185"/>
            <wp:effectExtent l="0" t="0" r="12065" b="18415"/>
            <wp:docPr id="46" name="图片 46" descr="703f212ee5d7872d39a866ac9c6c3db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703f212ee5d7872d39a866ac9c6c3db2_"/>
                    <pic:cNvPicPr>
                      <a:picLocks noChangeAspect="1"/>
                    </pic:cNvPicPr>
                  </pic:nvPicPr>
                  <pic:blipFill>
                    <a:blip r:embed="rId9"/>
                    <a:stretch>
                      <a:fillRect/>
                    </a:stretch>
                  </pic:blipFill>
                  <pic:spPr>
                    <a:xfrm>
                      <a:off x="0" y="0"/>
                      <a:ext cx="2312035" cy="1734185"/>
                    </a:xfrm>
                    <a:prstGeom prst="rect">
                      <a:avLst/>
                    </a:prstGeom>
                  </pic:spPr>
                </pic:pic>
              </a:graphicData>
            </a:graphic>
          </wp:inline>
        </w:draw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drawing>
          <wp:inline distT="0" distB="0" distL="114300" distR="114300">
            <wp:extent cx="2364740" cy="1773555"/>
            <wp:effectExtent l="0" t="0" r="16510" b="17145"/>
            <wp:docPr id="47" name="图片 47" descr="d880c392b202214a21c284c49ae15a1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d880c392b202214a21c284c49ae15a1e_"/>
                    <pic:cNvPicPr>
                      <a:picLocks noChangeAspect="1"/>
                    </pic:cNvPicPr>
                  </pic:nvPicPr>
                  <pic:blipFill>
                    <a:blip r:embed="rId10"/>
                    <a:stretch>
                      <a:fillRect/>
                    </a:stretch>
                  </pic:blipFill>
                  <pic:spPr>
                    <a:xfrm>
                      <a:off x="0" y="0"/>
                      <a:ext cx="2364740" cy="1773555"/>
                    </a:xfrm>
                    <a:prstGeom prst="rect">
                      <a:avLst/>
                    </a:prstGeom>
                  </pic:spPr>
                </pic:pic>
              </a:graphicData>
            </a:graphic>
          </wp:inline>
        </w:drawing>
      </w:r>
    </w:p>
    <w:p>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pPr>
        <w:pStyle w:val="30"/>
        <w:numPr>
          <w:ilvl w:val="0"/>
          <w:numId w:val="0"/>
        </w:numPr>
        <w:spacing w:line="360" w:lineRule="auto"/>
        <w:ind w:left="479" w:leftChars="228" w:firstLine="780" w:firstLineChars="325"/>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点位三：</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点位四：</w:t>
      </w:r>
    </w:p>
    <w:p>
      <w:pPr>
        <w:pStyle w:val="30"/>
        <w:numPr>
          <w:ilvl w:val="0"/>
          <w:numId w:val="0"/>
        </w:numPr>
        <w:spacing w:line="360" w:lineRule="auto"/>
        <w:ind w:left="415" w:leftChars="0" w:hanging="415" w:hangingChars="173"/>
        <w:jc w:val="both"/>
        <w:rPr>
          <w:rFonts w:hint="eastAsia" w:ascii="Times New Roman" w:hAnsi="Times New Roman" w:eastAsia="宋体" w:cs="Times New Roman"/>
          <w:b/>
          <w:bCs/>
          <w:color w:val="auto"/>
          <w:sz w:val="24"/>
          <w:szCs w:val="24"/>
          <w:highlight w:val="none"/>
          <w:lang w:eastAsia="zh-CN"/>
        </w:rPr>
      </w:pPr>
      <w:r>
        <w:rPr>
          <w:rFonts w:hint="eastAsia" w:ascii="宋体" w:hAnsi="宋体" w:cs="宋体"/>
          <w:color w:val="auto"/>
          <w:sz w:val="24"/>
          <w:szCs w:val="24"/>
          <w:highlight w:val="none"/>
          <w:lang w:eastAsia="zh-CN"/>
        </w:rPr>
        <w:drawing>
          <wp:inline distT="0" distB="0" distL="114300" distR="114300">
            <wp:extent cx="2375535" cy="1781810"/>
            <wp:effectExtent l="0" t="0" r="5715" b="8890"/>
            <wp:docPr id="48" name="图片 48" descr="9881d18e312ea7d077952f8a231f8b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9881d18e312ea7d077952f8a231f8b27_"/>
                    <pic:cNvPicPr>
                      <a:picLocks noChangeAspect="1"/>
                    </pic:cNvPicPr>
                  </pic:nvPicPr>
                  <pic:blipFill>
                    <a:blip r:embed="rId11"/>
                    <a:stretch>
                      <a:fillRect/>
                    </a:stretch>
                  </pic:blipFill>
                  <pic:spPr>
                    <a:xfrm>
                      <a:off x="0" y="0"/>
                      <a:ext cx="2375535" cy="1781810"/>
                    </a:xfrm>
                    <a:prstGeom prst="rect">
                      <a:avLst/>
                    </a:prstGeom>
                  </pic:spPr>
                </pic:pic>
              </a:graphicData>
            </a:graphic>
          </wp:inline>
        </w:draw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drawing>
          <wp:inline distT="0" distB="0" distL="114300" distR="114300">
            <wp:extent cx="2362200" cy="1771650"/>
            <wp:effectExtent l="0" t="0" r="0" b="0"/>
            <wp:docPr id="49" name="图片 49" descr="51cc62903fe163b6e351932adec3ee8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51cc62903fe163b6e351932adec3ee89_"/>
                    <pic:cNvPicPr>
                      <a:picLocks noChangeAspect="1"/>
                    </pic:cNvPicPr>
                  </pic:nvPicPr>
                  <pic:blipFill>
                    <a:blip r:embed="rId12"/>
                    <a:stretch>
                      <a:fillRect/>
                    </a:stretch>
                  </pic:blipFill>
                  <pic:spPr>
                    <a:xfrm>
                      <a:off x="0" y="0"/>
                      <a:ext cx="2362200" cy="1771650"/>
                    </a:xfrm>
                    <a:prstGeom prst="rect">
                      <a:avLst/>
                    </a:prstGeom>
                  </pic:spPr>
                </pic:pic>
              </a:graphicData>
            </a:graphic>
          </wp:inline>
        </w:drawing>
      </w:r>
    </w:p>
    <w:p>
      <w:pPr>
        <w:pStyle w:val="35"/>
        <w:numPr>
          <w:ilvl w:val="0"/>
          <w:numId w:val="31"/>
        </w:numPr>
        <w:rPr>
          <w:b/>
          <w:bCs/>
          <w:color w:val="auto"/>
          <w:sz w:val="24"/>
          <w:szCs w:val="24"/>
          <w:highlight w:val="none"/>
        </w:rPr>
      </w:pPr>
      <w:r>
        <w:rPr>
          <w:rFonts w:hint="eastAsia" w:ascii="Times New Roman" w:hAnsi="Times New Roman" w:eastAsia="宋体" w:cs="Times New Roman"/>
          <w:b/>
          <w:bCs/>
          <w:color w:val="auto"/>
          <w:sz w:val="24"/>
          <w:szCs w:val="24"/>
          <w:highlight w:val="none"/>
        </w:rPr>
        <w:t>人员</w:t>
      </w:r>
      <w:r>
        <w:rPr>
          <w:rFonts w:hint="eastAsia"/>
          <w:b/>
          <w:bCs/>
          <w:color w:val="auto"/>
          <w:sz w:val="24"/>
          <w:szCs w:val="24"/>
          <w:highlight w:val="none"/>
        </w:rPr>
        <w:t>配置：需配备不少于3名人员在现场进行24小时管理</w:t>
      </w:r>
    </w:p>
    <w:p>
      <w:pPr>
        <w:pStyle w:val="35"/>
        <w:numPr>
          <w:ilvl w:val="0"/>
          <w:numId w:val="31"/>
        </w:numPr>
        <w:spacing w:before="240" w:beforeLines="100" w:after="120" w:afterLines="50" w:line="360" w:lineRule="auto"/>
        <w:rPr>
          <w:b/>
          <w:bCs/>
          <w:color w:val="auto"/>
          <w:sz w:val="24"/>
          <w:szCs w:val="24"/>
          <w:highlight w:val="none"/>
        </w:rPr>
      </w:pPr>
      <w:r>
        <w:rPr>
          <w:rFonts w:hint="eastAsia"/>
          <w:b/>
          <w:bCs/>
          <w:color w:val="auto"/>
          <w:sz w:val="24"/>
          <w:szCs w:val="24"/>
          <w:highlight w:val="none"/>
        </w:rPr>
        <w:t>设备和工程量清单</w:t>
      </w:r>
      <w:r>
        <w:rPr>
          <w:rFonts w:hint="eastAsia"/>
          <w:b/>
          <w:bCs/>
          <w:color w:val="auto"/>
          <w:sz w:val="24"/>
          <w:szCs w:val="24"/>
          <w:highlight w:val="none"/>
          <w:lang w:eastAsia="zh-CN"/>
        </w:rPr>
        <w:t>（详见附件）</w:t>
      </w:r>
    </w:p>
    <w:p>
      <w:pPr>
        <w:pStyle w:val="30"/>
        <w:numPr>
          <w:ilvl w:val="0"/>
          <w:numId w:val="0"/>
        </w:numPr>
        <w:tabs>
          <w:tab w:val="left" w:pos="220"/>
        </w:tabs>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（1）智能停车系统设备采购、安装及维保费用总预算约为 290000.00元内(大写:人民币贰拾玖万元整），其中智能停车系统设备采购及安装费用约为210,000.00元(大写:人民币贰拾壹万元整），5年的维保费用约为80,000.00元(大写:人民币捌万元整），以乙方实际支出费用为准。智能停车系统设备采购、安装及维保等一切费用已包含在中标价内由乙方负责，甲方不再另行支出。</w:t>
      </w:r>
    </w:p>
    <w:p>
      <w:pPr>
        <w:pStyle w:val="30"/>
        <w:numPr>
          <w:ilvl w:val="0"/>
          <w:numId w:val="0"/>
        </w:numPr>
        <w:tabs>
          <w:tab w:val="left" w:pos="220"/>
        </w:tabs>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质量标准：清单中第一部分“硬件部分”设备参考品牌为艾科、捷顺、启功或同等质量以上的品牌，且必须提供厂家授权书，质保期5年。乙方拟投入的设备清单（含品牌、型号等）须甲方确认后才能实施安装，否则视为乙方违约。</w:t>
      </w:r>
    </w:p>
    <w:p>
      <w:pPr>
        <w:pStyle w:val="35"/>
        <w:numPr>
          <w:ilvl w:val="0"/>
          <w:numId w:val="31"/>
        </w:numPr>
        <w:spacing w:before="240" w:beforeLines="100" w:after="120" w:afterLines="50" w:line="360" w:lineRule="auto"/>
        <w:rPr>
          <w:b/>
          <w:bCs/>
          <w:color w:val="auto"/>
          <w:sz w:val="24"/>
          <w:szCs w:val="24"/>
          <w:highlight w:val="none"/>
        </w:rPr>
      </w:pPr>
      <w:r>
        <w:rPr>
          <w:rFonts w:hint="eastAsia"/>
          <w:b/>
          <w:bCs/>
          <w:color w:val="auto"/>
          <w:sz w:val="24"/>
          <w:szCs w:val="24"/>
          <w:highlight w:val="none"/>
        </w:rPr>
        <w:t>停泊位设置</w:t>
      </w:r>
    </w:p>
    <w:p>
      <w:pPr>
        <w:pStyle w:val="35"/>
        <w:numPr>
          <w:ilvl w:val="0"/>
          <w:numId w:val="0"/>
        </w:numPr>
        <w:spacing w:before="240" w:beforeLines="100" w:after="120" w:afterLines="50" w:line="360" w:lineRule="auto"/>
        <w:ind w:leftChars="0" w:firstLine="480" w:firstLineChars="200"/>
        <w:rPr>
          <w:b/>
          <w:bCs/>
          <w:color w:val="auto"/>
          <w:sz w:val="24"/>
          <w:szCs w:val="24"/>
          <w:highlight w:val="none"/>
        </w:rPr>
      </w:pPr>
      <w:r>
        <w:rPr>
          <w:rFonts w:hint="eastAsia" w:ascii="宋体" w:hAnsi="宋体" w:eastAsia="宋体" w:cs="宋体"/>
          <w:b w:val="0"/>
          <w:bCs w:val="0"/>
          <w:color w:val="auto"/>
          <w:sz w:val="24"/>
          <w:szCs w:val="24"/>
          <w:highlight w:val="none"/>
          <w:lang w:val="en-US" w:eastAsia="zh-CN"/>
        </w:rPr>
        <w:t>目前吉利</w:t>
      </w:r>
      <w:r>
        <w:rPr>
          <w:rFonts w:hint="eastAsia" w:ascii="宋体" w:hAnsi="宋体" w:cs="宋体"/>
          <w:b w:val="0"/>
          <w:bCs w:val="0"/>
          <w:color w:val="auto"/>
          <w:sz w:val="24"/>
          <w:szCs w:val="24"/>
          <w:highlight w:val="none"/>
          <w:lang w:val="en-US" w:eastAsia="zh-CN"/>
        </w:rPr>
        <w:t>竹甫村</w:t>
      </w:r>
      <w:r>
        <w:rPr>
          <w:rFonts w:hint="eastAsia" w:ascii="宋体" w:hAnsi="宋体" w:eastAsia="宋体" w:cs="宋体"/>
          <w:b w:val="0"/>
          <w:bCs w:val="0"/>
          <w:color w:val="auto"/>
          <w:sz w:val="24"/>
          <w:szCs w:val="24"/>
          <w:highlight w:val="none"/>
          <w:lang w:val="en-US" w:eastAsia="zh-CN"/>
        </w:rPr>
        <w:t>已有划线车位约</w:t>
      </w:r>
      <w:r>
        <w:rPr>
          <w:rFonts w:hint="eastAsia" w:ascii="宋体" w:hAnsi="宋体" w:cs="宋体"/>
          <w:b w:val="0"/>
          <w:bCs w:val="0"/>
          <w:color w:val="auto"/>
          <w:sz w:val="24"/>
          <w:szCs w:val="24"/>
          <w:highlight w:val="none"/>
          <w:lang w:val="en-US" w:eastAsia="zh-CN"/>
        </w:rPr>
        <w:t>200</w:t>
      </w:r>
      <w:r>
        <w:rPr>
          <w:rFonts w:hint="eastAsia" w:ascii="宋体" w:hAnsi="宋体" w:eastAsia="宋体" w:cs="宋体"/>
          <w:b w:val="0"/>
          <w:bCs w:val="0"/>
          <w:color w:val="auto"/>
          <w:sz w:val="24"/>
          <w:szCs w:val="24"/>
          <w:highlight w:val="none"/>
          <w:lang w:val="en-US" w:eastAsia="zh-CN"/>
        </w:rPr>
        <w:t>个，</w:t>
      </w: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需按照</w:t>
      </w:r>
      <w:r>
        <w:rPr>
          <w:rFonts w:hint="eastAsia" w:ascii="宋体" w:hAnsi="宋体" w:cs="宋体"/>
          <w:b w:val="0"/>
          <w:bCs w:val="0"/>
          <w:color w:val="auto"/>
          <w:sz w:val="24"/>
          <w:szCs w:val="24"/>
          <w:highlight w:val="none"/>
          <w:lang w:val="en-US" w:eastAsia="zh-CN"/>
        </w:rPr>
        <w:t>甲方要求</w:t>
      </w:r>
      <w:r>
        <w:rPr>
          <w:rFonts w:hint="eastAsia" w:ascii="宋体" w:hAnsi="宋体" w:eastAsia="宋体" w:cs="宋体"/>
          <w:b w:val="0"/>
          <w:bCs w:val="0"/>
          <w:color w:val="auto"/>
          <w:sz w:val="24"/>
          <w:szCs w:val="24"/>
          <w:highlight w:val="none"/>
          <w:lang w:val="en-US" w:eastAsia="zh-CN"/>
        </w:rPr>
        <w:t>设置合理的泊位进行管理，如需增加或减少车位，需提交可行性方案报</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审批后方可进行操作。</w:t>
      </w:r>
    </w:p>
    <w:p>
      <w:pPr>
        <w:pStyle w:val="35"/>
        <w:numPr>
          <w:ilvl w:val="0"/>
          <w:numId w:val="31"/>
        </w:numPr>
        <w:spacing w:before="240" w:beforeLines="100" w:after="120" w:afterLines="50" w:line="360" w:lineRule="auto"/>
        <w:rPr>
          <w:b/>
          <w:bCs/>
          <w:color w:val="auto"/>
          <w:sz w:val="24"/>
          <w:szCs w:val="24"/>
          <w:highlight w:val="none"/>
        </w:rPr>
      </w:pPr>
      <w:r>
        <w:rPr>
          <w:rFonts w:hint="eastAsia"/>
          <w:b/>
          <w:bCs/>
          <w:color w:val="auto"/>
          <w:sz w:val="24"/>
          <w:szCs w:val="24"/>
          <w:highlight w:val="none"/>
          <w:lang w:eastAsia="zh-CN"/>
        </w:rPr>
        <w:t>停车收费要求</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服务期为5年，</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同</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签署车辆停放管理合同书，按照中标金额向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缴纳车辆停放管理服务维护费。自第一年起，每两年为一个周期，每个周期内的年度管理费在上一个周期的基础上按首年管理费的8%固定递增（比如首年25万，第1-2年为第一个周期（第一个周期内的年度管理费均为25万），第3-4年为第二个周期，第二个周期（第3-4年）内的年度管理费是25万</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（100%+8%）=27万，第5年为第三个周期，第三个周期在第二个周期的基础上，增加8%，即27</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（100%+8%）=29.16万），每次缴纳的车辆停放管理服务维护费由</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开具有效的租金收据给</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。停车费收取对象为临时停放车辆和外地月租车，按</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制定收费标准收取停车费。政府或下辖单位办公的车辆由</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统一登记后送</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录入车牌免费。与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存在合同关系的车辆免费。</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吉利竹甫村村民自有车辆进行实名登记。吉利竹甫村村民登记区域停车位必须是吉利竹甫村户籍村民，办理必须出示吉利竹甫村村民身份证、户口本等证明及属于本人的行驶证资料。如出现亲属关系的由</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出示相关证明方可办理，例如嫁入吉利竹甫村但户口未迁入等情况。村民出租屋租户车辆办理月租车位必须出示本人车辆相关证明，由出租屋屋主统一收集提供租户车牌信息，并登记出租屋屋主联系电话。</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停车位的安排：先满足吉利竹甫村村民车辆停放，然后到村集体物业租户车辆停放，最后再安排其他外来车辆停放。村集体物业租户车辆、其他外来车辆均为临停车辆，</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收取外来车辆停放场地占用费，其中属村集体物业世外陶源工作的车辆，在每日7时00分至19时00分免费停放，其他时段可收费；属村集体物业村口修车档，给予2辆车的名额全天免费停放；属村集体物业羽毛球馆的车辆停放在羽毛球馆的停车场可免费，但该车辆不得停放在外面，否则进行收费；村集体物业的经营单位的车辆信息经甲方确认后，乙方须无条件接受。</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临时停车收费标准：</w:t>
      </w:r>
    </w:p>
    <w:p>
      <w:pPr>
        <w:pStyle w:val="30"/>
        <w:numPr>
          <w:ilvl w:val="-1"/>
          <w:numId w:val="0"/>
        </w:num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小车类：</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小时内免费，</w:t>
      </w:r>
      <w:r>
        <w:rPr>
          <w:rFonts w:hint="default" w:ascii="宋体" w:hAnsi="宋体" w:cs="宋体"/>
          <w:color w:val="auto"/>
          <w:sz w:val="24"/>
          <w:highlight w:val="none"/>
          <w:lang w:val="en-US" w:eastAsia="zh-CN"/>
        </w:rPr>
        <w:t>超1小时后按5元计算，第二小时后每小时增3元（不足1小时的按1小时计算）</w:t>
      </w:r>
      <w:r>
        <w:rPr>
          <w:rFonts w:hint="eastAsia" w:ascii="宋体" w:hAnsi="宋体" w:eastAsia="宋体" w:cs="宋体"/>
          <w:color w:val="auto"/>
          <w:sz w:val="24"/>
          <w:szCs w:val="24"/>
          <w:highlight w:val="none"/>
          <w:lang w:val="en-US" w:eastAsia="zh-CN"/>
        </w:rPr>
        <w:t>）,每天24小时内最高限价20元，停放超过24小时以上按上述标准累加收费；车辆缴费后，需在15分钟内离场，超时则重新计时收费。</w:t>
      </w:r>
      <w:r>
        <w:rPr>
          <w:rFonts w:hint="eastAsia" w:ascii="宋体" w:hAnsi="宋体" w:cs="宋体"/>
          <w:color w:val="auto"/>
          <w:sz w:val="24"/>
          <w:highlight w:val="none"/>
          <w:lang w:val="en-US" w:eastAsia="zh-CN"/>
        </w:rPr>
        <w:t>（免费停车时长如有调整，以甲方书面通知为准）</w:t>
      </w:r>
    </w:p>
    <w:p>
      <w:pPr>
        <w:pStyle w:val="30"/>
        <w:numPr>
          <w:ilvl w:val="-1"/>
          <w:numId w:val="0"/>
        </w:num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每辆车每天累计免费停车时长为</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小时。</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月租类收费标准：符合以下条件的车辆可办理月卡（按季度收取），月租办理最多可办理一年，村内外来车辆可按以下方案享有以下优惠：小车：最高不超过150元/月/辆（一次性缴纳的按1年优惠2个月）。车位优先满足吉利竹甫村村民需求。</w:t>
      </w:r>
    </w:p>
    <w:p>
      <w:pPr>
        <w:pStyle w:val="30"/>
        <w:numPr>
          <w:ilvl w:val="0"/>
          <w:numId w:val="0"/>
        </w:numPr>
        <w:spacing w:line="360" w:lineRule="auto"/>
        <w:ind w:left="42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注：逾期未办月/卡的车辆系统自动按临时停车收费标准收费</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重要节假日免收停车费，如春节（年二十八凌晨至正月初九凌晨）、清明节等节日免收费。</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村重要传统节日、村民生日、婚庆、弥月、丧事等亲友车辆需要在村内停放的，须在事项进行前向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报备，报备后给予免费，并由车场管理处统一安排在临时停车位内停放。并由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提供二维码给办事村民专用，时间由村民所定，一般不超过一个星期，超期后二维码自动作废。</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户籍村民或非吉利竹甫村户籍嫁入吉利竹甫村的村民驾驶非本人名下的车辆时，需提供相关证明材料由</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村干部和</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核实后，可报备登记视为临时户籍车辆，若登记吉利竹甫村非户籍村民的车辆停放在户籍村民自家车库可免费，但该车辆不得在外面过夜，如每月有发现3次以上，则取消免费处理。</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村民建房需要堆放建筑材料，按建房户数（一户）免费提供3至4个车位，如超过5个车位，则当外来车临停收费。</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医院、银行、幼儿园、学校（校巴全天免费停放）吉利村委会和吉利市政等车辆0点—24点全天免费，政府工作人员来村里面办事，</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提供一个二维码在村委会前台，让办事工作人员扫码后免费通行，村委会工作人员全天免费停车。</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负责投资安装各车道出入口智能车辆识别设备（按上述4.3设备和工程量清单），各车道出入口必须加装1个以上监控设备，合同到期后，所有设备无偿归</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所有，</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保证设备完好并无条件移交给</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办理临时停车收费业务，每次办理的停车收费期限不能超过12个月，且收费期限不能超过本合同的服务期，若合同服务期满后，</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还有多收取的停车费用，多出部分</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必须退还给付款人后，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将本项目</w:t>
      </w:r>
      <w:r>
        <w:rPr>
          <w:rFonts w:hint="eastAsia" w:ascii="宋体" w:hAnsi="宋体" w:cs="宋体"/>
          <w:color w:val="auto"/>
          <w:sz w:val="24"/>
          <w:szCs w:val="24"/>
          <w:highlight w:val="none"/>
          <w:lang w:val="en-US" w:eastAsia="zh-CN"/>
        </w:rPr>
        <w:t>的履约保证金</w:t>
      </w:r>
      <w:r>
        <w:rPr>
          <w:rFonts w:hint="eastAsia" w:ascii="宋体" w:hAnsi="宋体" w:eastAsia="宋体" w:cs="宋体"/>
          <w:color w:val="auto"/>
          <w:sz w:val="24"/>
          <w:szCs w:val="24"/>
          <w:highlight w:val="none"/>
          <w:lang w:val="en-US" w:eastAsia="zh-CN"/>
        </w:rPr>
        <w:t>退给</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w:t>
      </w:r>
    </w:p>
    <w:p>
      <w:pPr>
        <w:pStyle w:val="35"/>
        <w:numPr>
          <w:ilvl w:val="0"/>
          <w:numId w:val="31"/>
        </w:numPr>
        <w:spacing w:before="240" w:beforeLines="100" w:after="120" w:afterLines="50" w:line="360" w:lineRule="auto"/>
        <w:rPr>
          <w:b/>
          <w:bCs/>
          <w:color w:val="auto"/>
          <w:sz w:val="24"/>
          <w:szCs w:val="24"/>
          <w:highlight w:val="none"/>
        </w:rPr>
      </w:pPr>
      <w:r>
        <w:rPr>
          <w:rFonts w:hint="eastAsia"/>
          <w:b/>
          <w:bCs/>
          <w:color w:val="auto"/>
          <w:sz w:val="24"/>
          <w:szCs w:val="24"/>
          <w:highlight w:val="none"/>
          <w:lang w:eastAsia="zh-CN"/>
        </w:rPr>
        <w:t>停车管理要求</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禁止一切货车及有货箱的车辆停放（基建建设或临时施工除外），严禁装有易燃易爆等危险、化学物品的车辆进村及停放。</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必须登记好本村的车辆号牌，电话号码，停放地点，车位使用人，住址等，外地的车辆月租车也必须登记其号牌，电话号码等，而且必须停在按规定划好的车位上，外地月租车和临时车按划好的车位有序停放。</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必须与停车位使用人签订车位承诺责任书，对停车实行规范化管理。巡逻人员24小时巡逻车场并确保各停车位正常使用，督促所有车辆正确使用行车线和停车位，维持停车秩序，保证各车道、车场出入周围道路畅通。文明管理车场，不得以任何理由或形式向车主或司机索取任何利益或报酬。文明礼貌，用语规范，文明服务。在经营管理中如发生纠纷，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自行处理。</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进行车辆停放管理工作，</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为保证村容村貌和交通顺畅，对于个别车辆不遵守“村区内停放规定”同时不服从工作人员协调，屡教不改乱停乱放的车辆，由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拉入黑名单处理（写保证书确保以后不发生同类情况的可以放行，超过3次不允许进入本村区内停车），如有必要村委治安队可协助</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处理。</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所有停放在消防通道的车辆进行拉入黑名单处理（写保证书确保以后不发生同类情况的可以放行，超过3次不允许进入本村区内停车）。</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占用车位、消防通道、行车行人通道的乱摆卖问题处理方法：派放和张贴宣传单张进行不间断推广，不准占用位置乱摆卖，发现有此情况的，进行发放警告通知单，限定时间撤离现场。警告通知后拒绝撤离现场的，拉入黑名单或</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通知执法相关部门协调进行处理。</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规范停车常见办法：积分制度，优惠取消，黑名单制度。</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系统需具备有智能巡检App，每次村内违停，巡检人员可以拍照上传到系统，前几次可以告知和劝解，如果3次以上违规停车，取消车主对应的停车优惠。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在设置停车收费规则时，可以公示优惠后的价格，一旦违规按照原价收费。多次劝告无效的可以拉入黑名单，限制出入时间，优惠月票的购买等。</w:t>
      </w:r>
    </w:p>
    <w:p>
      <w:pPr>
        <w:pStyle w:val="35"/>
        <w:numPr>
          <w:ilvl w:val="0"/>
          <w:numId w:val="31"/>
        </w:numPr>
        <w:spacing w:before="240" w:beforeLines="100" w:after="120" w:afterLines="50" w:line="360" w:lineRule="auto"/>
        <w:rPr>
          <w:rFonts w:hint="eastAsia"/>
          <w:b/>
          <w:bCs/>
          <w:color w:val="auto"/>
          <w:sz w:val="24"/>
          <w:szCs w:val="24"/>
          <w:highlight w:val="none"/>
          <w:lang w:eastAsia="zh-CN"/>
        </w:rPr>
      </w:pPr>
      <w:r>
        <w:rPr>
          <w:rFonts w:hint="eastAsia"/>
          <w:b/>
          <w:bCs/>
          <w:color w:val="auto"/>
          <w:sz w:val="24"/>
          <w:szCs w:val="24"/>
          <w:highlight w:val="none"/>
          <w:lang w:eastAsia="zh-CN"/>
        </w:rPr>
        <w:t>停车应急预案</w:t>
      </w:r>
    </w:p>
    <w:p>
      <w:pPr>
        <w:pStyle w:val="30"/>
        <w:numPr>
          <w:ilvl w:val="0"/>
          <w:numId w:val="34"/>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救援</w:t>
      </w:r>
      <w:r>
        <w:rPr>
          <w:rFonts w:hint="eastAsia" w:ascii="宋体" w:hAnsi="宋体" w:cs="宋体"/>
          <w:b w:val="0"/>
          <w:bCs w:val="0"/>
          <w:color w:val="auto"/>
          <w:sz w:val="24"/>
          <w:szCs w:val="24"/>
          <w:highlight w:val="none"/>
          <w:lang w:val="en-US" w:eastAsia="zh-CN"/>
        </w:rPr>
        <w:t>车辆</w:t>
      </w:r>
      <w:r>
        <w:rPr>
          <w:rFonts w:hint="eastAsia" w:ascii="宋体" w:hAnsi="宋体" w:eastAsia="宋体" w:cs="宋体"/>
          <w:b w:val="0"/>
          <w:bCs w:val="0"/>
          <w:color w:val="auto"/>
          <w:sz w:val="24"/>
          <w:szCs w:val="24"/>
          <w:highlight w:val="none"/>
          <w:lang w:val="en-US" w:eastAsia="zh-CN"/>
        </w:rPr>
        <w:t>，提前远程开闸放行。警车，消防车等车辆默认设置自动放行。特殊情况，人为远程放</w:t>
      </w:r>
      <w:r>
        <w:rPr>
          <w:rFonts w:hint="eastAsia" w:ascii="宋体" w:hAnsi="宋体" w:eastAsia="宋体" w:cs="宋体"/>
          <w:color w:val="auto"/>
          <w:sz w:val="24"/>
          <w:szCs w:val="24"/>
          <w:highlight w:val="none"/>
          <w:lang w:val="en-US" w:eastAsia="zh-CN"/>
        </w:rPr>
        <w:t>行。</w:t>
      </w:r>
    </w:p>
    <w:p>
      <w:pPr>
        <w:pStyle w:val="30"/>
        <w:numPr>
          <w:ilvl w:val="0"/>
          <w:numId w:val="34"/>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停车系统可以接入消防联动信号，一旦有消防信号，所有停车闸杆自动抬杆。</w:t>
      </w:r>
    </w:p>
    <w:p>
      <w:pPr>
        <w:pStyle w:val="30"/>
        <w:numPr>
          <w:ilvl w:val="0"/>
          <w:numId w:val="34"/>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水灾，爆炸等异常情况发生时，24小时远程监控中心都会及时发现，巡检人员就近前往人工处理。保证道路畅行。</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考核标准和办法</w:t>
      </w:r>
    </w:p>
    <w:tbl>
      <w:tblPr>
        <w:tblStyle w:val="19"/>
        <w:tblW w:w="9389" w:type="dxa"/>
        <w:tblInd w:w="0" w:type="dxa"/>
        <w:shd w:val="clear" w:color="auto" w:fill="auto"/>
        <w:tblLayout w:type="fixed"/>
        <w:tblCellMar>
          <w:top w:w="0" w:type="dxa"/>
          <w:left w:w="10" w:type="dxa"/>
          <w:bottom w:w="0" w:type="dxa"/>
          <w:right w:w="10" w:type="dxa"/>
        </w:tblCellMar>
      </w:tblPr>
      <w:tblGrid>
        <w:gridCol w:w="643"/>
        <w:gridCol w:w="1373"/>
        <w:gridCol w:w="3437"/>
        <w:gridCol w:w="2715"/>
        <w:gridCol w:w="1221"/>
      </w:tblGrid>
      <w:tr>
        <w:tblPrEx>
          <w:shd w:val="clear" w:color="auto" w:fill="auto"/>
          <w:tblCellMar>
            <w:top w:w="0" w:type="dxa"/>
            <w:left w:w="10" w:type="dxa"/>
            <w:bottom w:w="0" w:type="dxa"/>
            <w:right w:w="10" w:type="dxa"/>
          </w:tblCellMar>
        </w:tblPrEx>
        <w:trPr>
          <w:trHeight w:val="562" w:hRule="exact"/>
        </w:trPr>
        <w:tc>
          <w:tcPr>
            <w:tcW w:w="2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lang w:val="en-US" w:eastAsia="zh-CN"/>
              </w:rPr>
              <w:t>考核</w:t>
            </w:r>
            <w:r>
              <w:rPr>
                <w:rFonts w:hint="eastAsia" w:ascii="宋体" w:hAnsi="宋体" w:eastAsia="宋体" w:cs="宋体"/>
                <w:color w:val="auto"/>
                <w:spacing w:val="0"/>
                <w:w w:val="100"/>
                <w:position w:val="0"/>
                <w:sz w:val="24"/>
                <w:szCs w:val="24"/>
                <w:highlight w:val="none"/>
              </w:rPr>
              <w:t>项目</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考核标准</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考核办法</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w w:val="100"/>
                <w:position w:val="0"/>
                <w:sz w:val="24"/>
                <w:szCs w:val="24"/>
                <w:highlight w:val="none"/>
              </w:rPr>
              <w:t>考核</w:t>
            </w:r>
            <w:r>
              <w:rPr>
                <w:rFonts w:hint="eastAsia" w:ascii="宋体" w:hAnsi="宋体" w:eastAsia="宋体" w:cs="宋体"/>
                <w:color w:val="auto"/>
                <w:spacing w:val="0"/>
                <w:w w:val="100"/>
                <w:position w:val="0"/>
                <w:sz w:val="24"/>
                <w:szCs w:val="24"/>
                <w:highlight w:val="none"/>
                <w:lang w:val="en-US" w:eastAsia="zh-CN"/>
              </w:rPr>
              <w:t>人员</w:t>
            </w:r>
          </w:p>
        </w:tc>
      </w:tr>
      <w:tr>
        <w:tblPrEx>
          <w:tblCellMar>
            <w:top w:w="0" w:type="dxa"/>
            <w:left w:w="10" w:type="dxa"/>
            <w:bottom w:w="0" w:type="dxa"/>
            <w:right w:w="10" w:type="dxa"/>
          </w:tblCellMar>
        </w:tblPrEx>
        <w:trPr>
          <w:trHeight w:val="1020"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质量</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人员资质</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从业人员要按时到岗、统一服装，</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文明礼貌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不符合要求的每项每人每次扣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12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村两委干部及相关工作人员</w:t>
            </w:r>
          </w:p>
        </w:tc>
      </w:tr>
      <w:tr>
        <w:tblPrEx>
          <w:tblCellMar>
            <w:top w:w="0" w:type="dxa"/>
            <w:left w:w="10" w:type="dxa"/>
            <w:bottom w:w="0" w:type="dxa"/>
            <w:right w:w="10" w:type="dxa"/>
          </w:tblCellMar>
        </w:tblPrEx>
        <w:trPr>
          <w:trHeight w:val="1219"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从业人员熟练</w:t>
            </w:r>
            <w:r>
              <w:rPr>
                <w:rFonts w:hint="eastAsia" w:ascii="宋体" w:hAnsi="宋体" w:eastAsia="宋体" w:cs="宋体"/>
                <w:color w:val="auto"/>
                <w:sz w:val="24"/>
                <w:szCs w:val="24"/>
                <w:highlight w:val="none"/>
                <w:lang w:val="en-US" w:eastAsia="zh-CN"/>
              </w:rPr>
              <w:t>掌握业务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如村民群众对停车管理有疑问，</w:t>
            </w:r>
            <w:r>
              <w:rPr>
                <w:rFonts w:hint="eastAsia" w:ascii="宋体" w:hAnsi="宋体" w:eastAsia="宋体" w:cs="宋体"/>
                <w:color w:val="auto"/>
                <w:sz w:val="24"/>
                <w:szCs w:val="24"/>
                <w:highlight w:val="none"/>
              </w:rPr>
              <w:t>能够耐心细致解答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避免产生矛盾</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不符合要求的每人每次扣1分。</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设备管理</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定期</w:t>
            </w:r>
            <w:r>
              <w:rPr>
                <w:rFonts w:hint="eastAsia" w:ascii="宋体" w:hAnsi="宋体" w:eastAsia="宋体" w:cs="宋体"/>
                <w:color w:val="auto"/>
                <w:sz w:val="24"/>
                <w:szCs w:val="24"/>
                <w:highlight w:val="none"/>
              </w:rPr>
              <w:t>对设备运行情况进行检查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若设备产生故障，必须在24小时内完成维修</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因设备问题造成拥堵或其他影响的</w:t>
            </w:r>
            <w:r>
              <w:rPr>
                <w:rFonts w:hint="eastAsia" w:ascii="宋体" w:hAnsi="宋体" w:eastAsia="宋体" w:cs="宋体"/>
                <w:color w:val="auto"/>
                <w:sz w:val="24"/>
                <w:szCs w:val="24"/>
                <w:highlight w:val="none"/>
              </w:rPr>
              <w:t>，每次扣1分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7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交通</w:t>
            </w:r>
            <w:r>
              <w:rPr>
                <w:rFonts w:hint="eastAsia" w:ascii="宋体" w:hAnsi="宋体" w:eastAsia="宋体" w:cs="宋体"/>
                <w:color w:val="auto"/>
                <w:sz w:val="24"/>
                <w:szCs w:val="24"/>
                <w:highlight w:val="none"/>
                <w:lang w:val="en-US" w:eastAsia="zh-CN"/>
              </w:rPr>
              <w:t>及停车场</w:t>
            </w:r>
            <w:r>
              <w:rPr>
                <w:rFonts w:hint="eastAsia" w:ascii="宋体" w:hAnsi="宋体" w:eastAsia="宋体" w:cs="宋体"/>
                <w:color w:val="auto"/>
                <w:sz w:val="24"/>
                <w:szCs w:val="24"/>
                <w:highlight w:val="none"/>
              </w:rPr>
              <w:t>设施标识完好。</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缺失一处</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en-US"/>
              </w:rPr>
              <w:t>0.5</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50"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案作规程</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在车辆管理中不得扣押车辆停放者证件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财物</w:t>
            </w:r>
            <w:r>
              <w:rPr>
                <w:rFonts w:hint="eastAsia" w:ascii="宋体" w:hAnsi="宋体" w:eastAsia="宋体" w:cs="宋体"/>
                <w:color w:val="auto"/>
                <w:sz w:val="24"/>
                <w:szCs w:val="24"/>
                <w:highlight w:val="none"/>
                <w:lang w:val="en-US" w:eastAsia="zh-CN"/>
              </w:rPr>
              <w:t>等私人物品</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约定收费标准对停放车辆进行收费及开具有效发票。</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667"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在停车场</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发生汽车车损</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事故</w:t>
            </w:r>
            <w:r>
              <w:rPr>
                <w:rFonts w:hint="eastAsia" w:ascii="宋体" w:hAnsi="宋体" w:eastAsia="宋体" w:cs="宋体"/>
                <w:color w:val="auto"/>
                <w:sz w:val="24"/>
                <w:szCs w:val="24"/>
                <w:highlight w:val="none"/>
                <w:lang w:val="en-US" w:eastAsia="zh-CN"/>
              </w:rPr>
              <w:t>等时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需主动</w:t>
            </w:r>
            <w:r>
              <w:rPr>
                <w:rFonts w:hint="eastAsia" w:ascii="宋体" w:hAnsi="宋体" w:eastAsia="宋体" w:cs="宋体"/>
                <w:color w:val="auto"/>
                <w:sz w:val="24"/>
                <w:szCs w:val="24"/>
                <w:highlight w:val="none"/>
              </w:rPr>
              <w:t>报警处</w:t>
            </w:r>
            <w:r>
              <w:rPr>
                <w:rFonts w:hint="eastAsia" w:ascii="宋体" w:hAnsi="宋体" w:eastAsia="宋体" w:cs="宋体"/>
                <w:color w:val="auto"/>
                <w:sz w:val="24"/>
                <w:szCs w:val="24"/>
                <w:highlight w:val="none"/>
                <w:lang w:val="en-US" w:eastAsia="zh-CN"/>
              </w:rPr>
              <w:t>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事故造成车辆</w:t>
            </w:r>
            <w:r>
              <w:rPr>
                <w:rFonts w:hint="eastAsia" w:ascii="宋体" w:hAnsi="宋体" w:eastAsia="宋体" w:cs="宋体"/>
                <w:color w:val="auto"/>
                <w:sz w:val="24"/>
                <w:szCs w:val="24"/>
                <w:highlight w:val="none"/>
              </w:rPr>
              <w:t>拥堵的，必须及时协调处理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分钟内</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疏通。</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违反一次</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3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要切实履行防火安全、门前三包、</w:t>
            </w:r>
            <w:r>
              <w:rPr>
                <w:rFonts w:hint="eastAsia" w:ascii="宋体" w:hAnsi="宋体" w:eastAsia="宋体" w:cs="宋体"/>
                <w:color w:val="auto"/>
                <w:sz w:val="24"/>
                <w:szCs w:val="24"/>
                <w:highlight w:val="none"/>
                <w:lang w:val="en-US" w:eastAsia="zh-CN"/>
              </w:rPr>
              <w:t>治安安全等</w:t>
            </w:r>
            <w:r>
              <w:rPr>
                <w:rFonts w:hint="eastAsia" w:ascii="宋体" w:hAnsi="宋体" w:eastAsia="宋体" w:cs="宋体"/>
                <w:color w:val="auto"/>
                <w:sz w:val="24"/>
                <w:szCs w:val="24"/>
                <w:highlight w:val="none"/>
              </w:rPr>
              <w:t>义务。</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产生问题一次</w:t>
            </w:r>
            <w:r>
              <w:rPr>
                <w:rFonts w:hint="eastAsia" w:ascii="宋体" w:hAnsi="宋体" w:eastAsia="宋体" w:cs="宋体"/>
                <w:color w:val="auto"/>
                <w:sz w:val="24"/>
                <w:szCs w:val="24"/>
                <w:highlight w:val="none"/>
              </w:rPr>
              <w:t>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单项</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w:t>
            </w: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若因服</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lang w:val="en-US" w:eastAsia="zh-CN"/>
              </w:rPr>
              <w:t>问题产生</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且经核实为有效投诉的</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rPr>
              <w:t>次扣3分。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412"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必须具备进行停车场管理运营及收费的资质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且办理相关许可证及备案手续，</w:t>
            </w:r>
            <w:r>
              <w:rPr>
                <w:rFonts w:hint="eastAsia" w:ascii="宋体" w:hAnsi="宋体" w:eastAsia="宋体" w:cs="宋体"/>
                <w:color w:val="auto"/>
                <w:sz w:val="24"/>
                <w:szCs w:val="24"/>
                <w:highlight w:val="none"/>
              </w:rPr>
              <w:t>按税收管理制度</w:t>
            </w:r>
            <w:r>
              <w:rPr>
                <w:rFonts w:hint="eastAsia" w:ascii="宋体" w:hAnsi="宋体" w:eastAsia="宋体" w:cs="宋体"/>
                <w:color w:val="auto"/>
                <w:sz w:val="24"/>
                <w:szCs w:val="24"/>
                <w:highlight w:val="none"/>
                <w:lang w:val="en-US" w:eastAsia="zh-CN"/>
              </w:rPr>
              <w:t>开具</w:t>
            </w:r>
            <w:r>
              <w:rPr>
                <w:rFonts w:hint="eastAsia" w:ascii="宋体" w:hAnsi="宋体" w:eastAsia="宋体" w:cs="宋体"/>
                <w:color w:val="auto"/>
                <w:sz w:val="24"/>
                <w:szCs w:val="24"/>
                <w:highlight w:val="none"/>
              </w:rPr>
              <w:t>发票。不得使用假票和涂改及与单位不相符的票</w:t>
            </w:r>
            <w:r>
              <w:rPr>
                <w:rFonts w:hint="eastAsia" w:ascii="宋体" w:hAnsi="宋体" w:eastAsia="宋体" w:cs="宋体"/>
                <w:color w:val="auto"/>
                <w:sz w:val="24"/>
                <w:szCs w:val="24"/>
                <w:highlight w:val="none"/>
                <w:lang w:val="en-US" w:eastAsia="zh-CN"/>
              </w:rPr>
              <w:t>证</w:t>
            </w:r>
            <w:r>
              <w:rPr>
                <w:rFonts w:hint="eastAsia" w:ascii="宋体" w:hAnsi="宋体" w:eastAsia="宋体" w:cs="宋体"/>
                <w:color w:val="auto"/>
                <w:sz w:val="24"/>
                <w:szCs w:val="24"/>
                <w:highlight w:val="none"/>
              </w:rPr>
              <w:t>，不得伪造有关证照和票据。</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一次扣3分。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因设备或管理原因</w:t>
            </w:r>
            <w:r>
              <w:rPr>
                <w:rFonts w:hint="eastAsia" w:ascii="宋体" w:hAnsi="宋体" w:eastAsia="宋体" w:cs="宋体"/>
                <w:color w:val="auto"/>
                <w:sz w:val="24"/>
                <w:szCs w:val="24"/>
                <w:highlight w:val="none"/>
              </w:rPr>
              <w:t>导致</w:t>
            </w:r>
            <w:r>
              <w:rPr>
                <w:rFonts w:hint="eastAsia" w:ascii="宋体" w:hAnsi="宋体" w:eastAsia="宋体" w:cs="宋体"/>
                <w:color w:val="auto"/>
                <w:sz w:val="24"/>
                <w:szCs w:val="24"/>
                <w:highlight w:val="none"/>
                <w:lang w:val="en-US" w:eastAsia="zh-CN"/>
              </w:rPr>
              <w:t>停放</w:t>
            </w:r>
            <w:r>
              <w:rPr>
                <w:rFonts w:hint="eastAsia" w:ascii="宋体" w:hAnsi="宋体" w:eastAsia="宋体" w:cs="宋体"/>
                <w:color w:val="auto"/>
                <w:sz w:val="24"/>
                <w:szCs w:val="24"/>
                <w:highlight w:val="none"/>
              </w:rPr>
              <w:t>车辆损坏</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5分钟内</w:t>
            </w:r>
            <w:r>
              <w:rPr>
                <w:rFonts w:hint="eastAsia" w:ascii="宋体" w:hAnsi="宋体" w:eastAsia="宋体" w:cs="宋体"/>
                <w:color w:val="auto"/>
                <w:sz w:val="24"/>
                <w:szCs w:val="24"/>
                <w:highlight w:val="none"/>
                <w:lang w:val="en-US" w:eastAsia="zh-CN"/>
              </w:rPr>
              <w:t>到场</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val="en-US" w:eastAsia="zh-CN"/>
              </w:rPr>
              <w:t>化</w:t>
            </w:r>
            <w:r>
              <w:rPr>
                <w:rFonts w:hint="eastAsia" w:ascii="宋体" w:hAnsi="宋体" w:eastAsia="宋体" w:cs="宋体"/>
                <w:color w:val="auto"/>
                <w:sz w:val="24"/>
                <w:szCs w:val="24"/>
                <w:highlight w:val="none"/>
              </w:rPr>
              <w:t>解。</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一次1分。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375"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若有建</w:t>
            </w:r>
            <w:r>
              <w:rPr>
                <w:rFonts w:hint="eastAsia" w:ascii="宋体" w:hAnsi="宋体" w:eastAsia="宋体" w:cs="宋体"/>
                <w:color w:val="auto"/>
                <w:sz w:val="24"/>
                <w:szCs w:val="24"/>
                <w:highlight w:val="none"/>
              </w:rPr>
              <w:t>筑</w:t>
            </w:r>
            <w:r>
              <w:rPr>
                <w:rFonts w:hint="eastAsia" w:ascii="宋体" w:hAnsi="宋体" w:eastAsia="宋体" w:cs="宋体"/>
                <w:color w:val="auto"/>
                <w:sz w:val="24"/>
                <w:szCs w:val="24"/>
                <w:highlight w:val="none"/>
                <w:lang w:val="en-US" w:eastAsia="zh-CN"/>
              </w:rPr>
              <w:t>杂物</w:t>
            </w:r>
            <w:r>
              <w:rPr>
                <w:rFonts w:hint="eastAsia" w:ascii="宋体" w:hAnsi="宋体" w:eastAsia="宋体" w:cs="宋体"/>
                <w:color w:val="auto"/>
                <w:sz w:val="24"/>
                <w:szCs w:val="24"/>
                <w:highlight w:val="none"/>
              </w:rPr>
              <w:t>、乱摆卖摊</w:t>
            </w:r>
            <w:r>
              <w:rPr>
                <w:rFonts w:hint="eastAsia" w:ascii="宋体" w:hAnsi="宋体" w:eastAsia="宋体" w:cs="宋体"/>
                <w:color w:val="auto"/>
                <w:sz w:val="24"/>
                <w:szCs w:val="24"/>
                <w:highlight w:val="none"/>
                <w:lang w:val="en-US" w:eastAsia="zh-CN"/>
              </w:rPr>
              <w:t>档等占用</w:t>
            </w:r>
            <w:r>
              <w:rPr>
                <w:rFonts w:hint="eastAsia" w:ascii="宋体" w:hAnsi="宋体" w:eastAsia="宋体" w:cs="宋体"/>
                <w:color w:val="auto"/>
                <w:sz w:val="24"/>
                <w:szCs w:val="24"/>
                <w:highlight w:val="none"/>
              </w:rPr>
              <w:t>停车位、消防通道、行车通道</w:t>
            </w:r>
            <w:r>
              <w:rPr>
                <w:rFonts w:hint="eastAsia" w:ascii="宋体" w:hAnsi="宋体" w:eastAsia="宋体" w:cs="宋体"/>
                <w:color w:val="auto"/>
                <w:sz w:val="24"/>
                <w:szCs w:val="24"/>
                <w:highlight w:val="none"/>
                <w:lang w:val="en-US" w:eastAsia="zh-CN"/>
              </w:rPr>
              <w:t>等情况的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需5分钟内到场处理；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3次以上</w:t>
            </w:r>
            <w:r>
              <w:rPr>
                <w:rFonts w:hint="eastAsia" w:ascii="宋体" w:hAnsi="宋体" w:eastAsia="宋体" w:cs="宋体"/>
                <w:color w:val="auto"/>
                <w:sz w:val="24"/>
                <w:szCs w:val="24"/>
                <w:highlight w:val="none"/>
              </w:rPr>
              <w:t>占用</w:t>
            </w:r>
            <w:r>
              <w:rPr>
                <w:rFonts w:hint="eastAsia" w:ascii="宋体" w:hAnsi="宋体" w:eastAsia="宋体" w:cs="宋体"/>
                <w:color w:val="auto"/>
                <w:sz w:val="24"/>
                <w:szCs w:val="24"/>
                <w:highlight w:val="none"/>
                <w:lang w:val="en-US" w:eastAsia="zh-CN"/>
              </w:rPr>
              <w:t>行车通道</w:t>
            </w:r>
            <w:r>
              <w:rPr>
                <w:rFonts w:hint="eastAsia" w:ascii="宋体" w:hAnsi="宋体" w:eastAsia="宋体" w:cs="宋体"/>
                <w:color w:val="auto"/>
                <w:sz w:val="24"/>
                <w:szCs w:val="24"/>
                <w:highlight w:val="none"/>
              </w:rPr>
              <w:t>、消防通道</w:t>
            </w:r>
            <w:r>
              <w:rPr>
                <w:rFonts w:hint="eastAsia" w:ascii="宋体" w:hAnsi="宋体" w:eastAsia="宋体" w:cs="宋体"/>
                <w:color w:val="auto"/>
                <w:sz w:val="24"/>
                <w:szCs w:val="24"/>
                <w:highlight w:val="none"/>
                <w:lang w:val="en-US" w:eastAsia="zh-CN"/>
              </w:rPr>
              <w:t>等的车辆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lang w:val="en-US" w:eastAsia="zh-CN"/>
              </w:rPr>
              <w:t>处理，</w:t>
            </w:r>
            <w:r>
              <w:rPr>
                <w:rFonts w:hint="eastAsia" w:ascii="宋体" w:hAnsi="宋体" w:eastAsia="宋体" w:cs="宋体"/>
                <w:color w:val="auto"/>
                <w:sz w:val="24"/>
                <w:szCs w:val="24"/>
                <w:highlight w:val="none"/>
              </w:rPr>
              <w:t>禁止</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车辆进入村内。</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未按要求处理</w:t>
            </w:r>
            <w:r>
              <w:rPr>
                <w:rFonts w:hint="eastAsia" w:ascii="宋体" w:hAnsi="宋体" w:eastAsia="宋体" w:cs="宋体"/>
                <w:color w:val="auto"/>
                <w:sz w:val="24"/>
                <w:szCs w:val="24"/>
                <w:highlight w:val="none"/>
              </w:rPr>
              <w:t>一次</w:t>
            </w:r>
            <w:r>
              <w:rPr>
                <w:rFonts w:hint="eastAsia" w:ascii="宋体" w:hAnsi="宋体" w:eastAsia="宋体" w:cs="宋体"/>
                <w:color w:val="auto"/>
                <w:sz w:val="24"/>
                <w:szCs w:val="24"/>
                <w:highlight w:val="none"/>
                <w:lang w:val="en-US" w:eastAsia="zh-CN"/>
              </w:rPr>
              <w:t>扣</w:t>
            </w:r>
            <w:r>
              <w:rPr>
                <w:rFonts w:hint="eastAsia" w:ascii="宋体" w:hAnsi="宋体" w:eastAsia="宋体" w:cs="宋体"/>
                <w:color w:val="auto"/>
                <w:sz w:val="24"/>
                <w:szCs w:val="24"/>
                <w:highlight w:val="none"/>
              </w:rPr>
              <w:t>1分</w:t>
            </w:r>
          </w:p>
        </w:tc>
        <w:tc>
          <w:tcPr>
            <w:tcW w:w="1221" w:type="dxa"/>
            <w:vMerge w:val="continue"/>
            <w:tcBorders>
              <w:left w:val="single" w:color="auto" w:sz="4" w:space="0"/>
              <w:bottom w:val="single" w:color="auto" w:sz="4" w:space="0"/>
              <w:right w:val="single" w:color="auto" w:sz="4" w:space="0"/>
            </w:tcBorders>
            <w:shd w:val="clear" w:color="auto" w:fill="auto"/>
            <w:vAlign w:val="top"/>
          </w:tcPr>
          <w:p>
            <w:pPr>
              <w:widowControl w:val="0"/>
              <w:rPr>
                <w:rFonts w:hint="eastAsia" w:ascii="宋体" w:hAnsi="宋体" w:eastAsia="宋体" w:cs="宋体"/>
                <w:color w:val="auto"/>
                <w:sz w:val="24"/>
                <w:szCs w:val="24"/>
                <w:highlight w:val="none"/>
              </w:rPr>
            </w:pPr>
          </w:p>
        </w:tc>
      </w:tr>
    </w:tbl>
    <w:p>
      <w:pPr>
        <w:pStyle w:val="30"/>
        <w:numPr>
          <w:ilvl w:val="0"/>
          <w:numId w:val="0"/>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每季度考核一次，考核总分为100分，具体考核制度</w:t>
      </w:r>
      <w:r>
        <w:rPr>
          <w:rFonts w:hint="eastAsia" w:ascii="宋体" w:hAnsi="宋体" w:eastAsia="宋体" w:cs="宋体"/>
          <w:color w:val="auto"/>
          <w:sz w:val="24"/>
          <w:szCs w:val="24"/>
          <w:highlight w:val="none"/>
          <w:lang w:val="en-US" w:eastAsia="zh-CN"/>
        </w:rPr>
        <w:t>和</w:t>
      </w:r>
      <w:r>
        <w:rPr>
          <w:rFonts w:hint="eastAsia" w:ascii="宋体" w:hAnsi="宋体" w:eastAsia="宋体" w:cs="宋体"/>
          <w:b/>
          <w:bCs/>
          <w:color w:val="auto"/>
          <w:sz w:val="24"/>
          <w:szCs w:val="24"/>
          <w:highlight w:val="none"/>
          <w:lang w:val="en-US" w:eastAsia="zh-CN"/>
        </w:rPr>
        <w:t>监管惩罚金额</w:t>
      </w:r>
      <w:r>
        <w:rPr>
          <w:rFonts w:hint="eastAsia" w:ascii="宋体" w:hAnsi="宋体" w:eastAsia="宋体" w:cs="宋体"/>
          <w:color w:val="auto"/>
          <w:sz w:val="24"/>
          <w:szCs w:val="24"/>
          <w:highlight w:val="none"/>
        </w:rPr>
        <w:t>如下:</w:t>
      </w:r>
    </w:p>
    <w:p>
      <w:pPr>
        <w:pStyle w:val="30"/>
        <w:numPr>
          <w:ilvl w:val="0"/>
          <w:numId w:val="3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若合同签订之日起半年内出现一次考核得分低于80分的为不达标，</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可以单方解除本合同，并</w:t>
      </w:r>
      <w:r>
        <w:rPr>
          <w:rFonts w:hint="eastAsia" w:ascii="宋体" w:hAnsi="宋体" w:cs="宋体"/>
          <w:color w:val="auto"/>
          <w:sz w:val="24"/>
          <w:szCs w:val="24"/>
          <w:highlight w:val="none"/>
          <w:lang w:eastAsia="zh-CN"/>
        </w:rPr>
        <w:t>不予退还乙方履约保证金</w:t>
      </w:r>
      <w:r>
        <w:rPr>
          <w:rFonts w:hint="eastAsia" w:ascii="宋体" w:hAnsi="宋体" w:eastAsia="宋体" w:cs="宋体"/>
          <w:color w:val="auto"/>
          <w:sz w:val="24"/>
          <w:szCs w:val="24"/>
          <w:highlight w:val="none"/>
        </w:rPr>
        <w:t>和不退回已交的服务费，且</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投入建设安装的一切设施设备无偿归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所有。</w:t>
      </w:r>
    </w:p>
    <w:p>
      <w:pPr>
        <w:pStyle w:val="30"/>
        <w:numPr>
          <w:ilvl w:val="0"/>
          <w:numId w:val="3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若当年有2个或以上季度考核得分低于80分，</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可以单方解除本合同，并</w:t>
      </w:r>
      <w:r>
        <w:rPr>
          <w:rFonts w:hint="eastAsia" w:ascii="宋体" w:hAnsi="宋体" w:eastAsia="宋体" w:cs="宋体"/>
          <w:color w:val="auto"/>
          <w:sz w:val="24"/>
          <w:szCs w:val="24"/>
          <w:highlight w:val="none"/>
          <w:lang w:eastAsia="zh-CN"/>
        </w:rPr>
        <w:t>不予退还</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履约保证金</w:t>
      </w:r>
      <w:r>
        <w:rPr>
          <w:rFonts w:hint="eastAsia" w:ascii="宋体" w:hAnsi="宋体" w:eastAsia="宋体" w:cs="宋体"/>
          <w:color w:val="auto"/>
          <w:sz w:val="24"/>
          <w:szCs w:val="24"/>
          <w:highlight w:val="none"/>
        </w:rPr>
        <w:t>和不退回已交的服务费，且</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投入建设安装的一切设施设备无偿归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所有。</w:t>
      </w:r>
    </w:p>
    <w:p>
      <w:pPr>
        <w:pStyle w:val="30"/>
        <w:numPr>
          <w:ilvl w:val="0"/>
          <w:numId w:val="3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有权监督</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依据双方约定事项进行日常管理：若因服务问题工作人员工作不积极而导致管理不善致道路因乱停放的现象多，产生堵塞而被村民投诉或拍照影相不符合停车要求的，且经由村干部核实为有效投诉的，将由</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进行金额惩罚，惩罚金额200元或以上最终解释权归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w:t>
      </w:r>
    </w:p>
    <w:p>
      <w:pPr>
        <w:pStyle w:val="30"/>
        <w:numPr>
          <w:ilvl w:val="0"/>
          <w:numId w:val="3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可对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进行约谈，要求加强巡查整改，如因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工作人员态度不好导致处事不公而引发纠纷案或投诉案多的，</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有权要求</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在限期内整改并更换人员，如</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限期拒不整改的，视为</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根本违约，</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有权单方面解除合同，</w:t>
      </w:r>
      <w:r>
        <w:rPr>
          <w:rFonts w:hint="eastAsia" w:ascii="宋体" w:hAnsi="宋体" w:eastAsia="宋体" w:cs="宋体"/>
          <w:color w:val="auto"/>
          <w:sz w:val="24"/>
          <w:szCs w:val="24"/>
          <w:highlight w:val="none"/>
          <w:lang w:eastAsia="zh-CN"/>
        </w:rPr>
        <w:t>不予退还</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履约保证金</w:t>
      </w:r>
      <w:r>
        <w:rPr>
          <w:rFonts w:hint="eastAsia" w:ascii="宋体" w:hAnsi="宋体" w:eastAsia="宋体" w:cs="宋体"/>
          <w:color w:val="auto"/>
          <w:sz w:val="24"/>
          <w:szCs w:val="24"/>
          <w:highlight w:val="none"/>
        </w:rPr>
        <w:t>和不退回已交的服务费，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投入建设安装的一切设施设备无偿归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所有。</w:t>
      </w:r>
    </w:p>
    <w:p>
      <w:pPr>
        <w:pStyle w:val="30"/>
        <w:numPr>
          <w:ilvl w:val="0"/>
          <w:numId w:val="35"/>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有权监督</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依据双方约定事项进行日常管理。</w:t>
      </w:r>
    </w:p>
    <w:p>
      <w:pPr>
        <w:pStyle w:val="35"/>
        <w:numPr>
          <w:ilvl w:val="0"/>
          <w:numId w:val="31"/>
        </w:numPr>
        <w:spacing w:before="240" w:beforeLines="100" w:after="120" w:afterLines="50" w:line="360" w:lineRule="auto"/>
        <w:rPr>
          <w:b/>
          <w:bCs/>
          <w:color w:val="auto"/>
          <w:sz w:val="24"/>
          <w:szCs w:val="24"/>
          <w:highlight w:val="none"/>
        </w:rPr>
      </w:pPr>
      <w:r>
        <w:rPr>
          <w:b/>
          <w:bCs/>
          <w:color w:val="auto"/>
          <w:sz w:val="24"/>
          <w:szCs w:val="24"/>
          <w:highlight w:val="none"/>
        </w:rPr>
        <w:t>关键合同条款一览表</w:t>
      </w:r>
    </w:p>
    <w:tbl>
      <w:tblPr>
        <w:tblStyle w:val="19"/>
        <w:tblW w:w="8322"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21"/>
        <w:gridCol w:w="1776"/>
        <w:gridCol w:w="582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color w:val="auto"/>
                <w:sz w:val="24"/>
                <w:szCs w:val="24"/>
                <w:highlight w:val="none"/>
              </w:rPr>
            </w:pPr>
            <w:r>
              <w:rPr>
                <w:rFonts w:ascii="宋体" w:hAnsi="宋体" w:cs="宋体"/>
                <w:color w:val="auto"/>
                <w:sz w:val="24"/>
                <w:szCs w:val="24"/>
                <w:highlight w:val="none"/>
              </w:rPr>
              <w:t>序号</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color w:val="auto"/>
                <w:sz w:val="24"/>
                <w:szCs w:val="24"/>
                <w:highlight w:val="none"/>
              </w:rPr>
            </w:pPr>
            <w:r>
              <w:rPr>
                <w:rFonts w:ascii="宋体" w:hAnsi="宋体" w:cs="宋体"/>
                <w:color w:val="auto"/>
                <w:sz w:val="24"/>
                <w:szCs w:val="24"/>
                <w:highlight w:val="none"/>
              </w:rPr>
              <w:t>商务条款</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jc w:val="center"/>
              <w:rPr>
                <w:color w:val="auto"/>
                <w:sz w:val="24"/>
                <w:szCs w:val="24"/>
                <w:highlight w:val="none"/>
              </w:rPr>
            </w:pPr>
            <w:r>
              <w:rPr>
                <w:rFonts w:ascii="宋体" w:hAnsi="宋体" w:cs="宋体"/>
                <w:color w:val="auto"/>
                <w:sz w:val="24"/>
                <w:szCs w:val="24"/>
                <w:highlight w:val="none"/>
              </w:rPr>
              <w:t>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18" w:hRule="atLeast"/>
        </w:trPr>
        <w:tc>
          <w:tcPr>
            <w:tcW w:w="721" w:type="dxa"/>
            <w:tcBorders>
              <w:top w:val="outset" w:color="auto" w:sz="6" w:space="0"/>
              <w:left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76" w:type="dxa"/>
            <w:tcBorders>
              <w:top w:val="outset" w:color="auto" w:sz="6" w:space="0"/>
              <w:left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合同金额（不含税，税费由乙方另行承担</w:t>
            </w:r>
            <w:r>
              <w:rPr>
                <w:rFonts w:hint="eastAsia" w:ascii="宋体" w:hAnsi="宋体" w:cs="宋体"/>
                <w:color w:val="auto"/>
                <w:sz w:val="24"/>
                <w:szCs w:val="24"/>
                <w:highlight w:val="none"/>
                <w:lang w:eastAsia="zh-CN"/>
              </w:rPr>
              <w:t>）</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年度管理费金额：</w:t>
            </w:r>
            <w:r>
              <w:rPr>
                <w:rFonts w:hint="eastAsia" w:ascii="宋体" w:hAnsi="宋体" w:eastAsia="宋体" w:cs="宋体"/>
                <w:color w:val="auto"/>
                <w:sz w:val="24"/>
                <w:szCs w:val="24"/>
                <w:highlight w:val="none"/>
              </w:rPr>
              <w:t>小写：</w:t>
            </w:r>
            <w:r>
              <w:rPr>
                <w:rFonts w:hint="eastAsia" w:ascii="宋体" w:hAnsi="宋体" w:cs="宋体"/>
                <w:color w:val="auto"/>
                <w:sz w:val="24"/>
                <w:szCs w:val="24"/>
                <w:highlight w:val="none"/>
                <w:lang w:eastAsia="zh-CN"/>
              </w:rPr>
              <w:t>；大写</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122" w:hRule="atLeast"/>
        </w:trPr>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合同金额内容</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numPr>
                <w:ilvl w:val="0"/>
                <w:numId w:val="0"/>
              </w:numPr>
              <w:ind w:leftChars="0"/>
              <w:jc w:val="left"/>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支付给</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费用。包括但不限于以下各项的支出费用由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另外自行承担：（1）工人工资、福利：人工费、劳工意外保险、工伤、医疗、</w:t>
            </w:r>
            <w:r>
              <w:rPr>
                <w:rFonts w:hint="eastAsia" w:asciiTheme="minorEastAsia" w:hAnsiTheme="minorEastAsia" w:eastAsiaTheme="minorEastAsia" w:cstheme="minorEastAsia"/>
                <w:color w:val="auto"/>
                <w:sz w:val="24"/>
                <w:szCs w:val="24"/>
                <w:highlight w:val="none"/>
                <w:lang w:eastAsia="zh-CN"/>
              </w:rPr>
              <w:t>失业</w:t>
            </w:r>
            <w:r>
              <w:rPr>
                <w:rFonts w:hint="eastAsia" w:asciiTheme="minorEastAsia" w:hAnsiTheme="minorEastAsia" w:eastAsiaTheme="minorEastAsia" w:cstheme="minorEastAsia"/>
                <w:color w:val="auto"/>
                <w:sz w:val="24"/>
                <w:szCs w:val="24"/>
                <w:highlight w:val="none"/>
              </w:rPr>
              <w:t>、养老保险、其他福利待遇、特殊人员体检费；（2）劳保用品、服装费：一切劳保用品、服装费用；（3）培训费：全体人员一切专业培训、办证费用；（4）员工的住宿及住宿费用；（5）项目运营、停车管理、软硬件投资建设和维护及服务等所发生的一切费用；（6）提供停车费全额含税发票；（7）合同实施过程中的应预见和不可预见费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8" w:hRule="atLeast"/>
        </w:trPr>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5年，</w:t>
            </w:r>
            <w:r>
              <w:rPr>
                <w:rFonts w:hint="eastAsia" w:asciiTheme="minorEastAsia" w:hAnsiTheme="minorEastAsia" w:eastAsiaTheme="minorEastAsia" w:cstheme="minorEastAsia"/>
                <w:color w:val="auto"/>
                <w:sz w:val="24"/>
                <w:szCs w:val="24"/>
                <w:highlight w:val="none"/>
              </w:rPr>
              <w:t>合同期限</w:t>
            </w:r>
            <w:r>
              <w:rPr>
                <w:rFonts w:hint="eastAsia" w:asciiTheme="minorEastAsia" w:hAnsiTheme="minorEastAsia" w:eastAsiaTheme="minorEastAsia" w:cstheme="minorEastAsia"/>
                <w:color w:val="auto"/>
                <w:sz w:val="24"/>
                <w:szCs w:val="24"/>
                <w:highlight w:val="none"/>
                <w:lang w:eastAsia="zh-CN"/>
              </w:rPr>
              <w:t>自</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日至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日止</w:t>
            </w:r>
            <w:r>
              <w:rPr>
                <w:rFonts w:hint="eastAsia" w:asciiTheme="minorEastAsia" w:hAnsiTheme="minorEastAsia" w:eastAsiaTheme="minorEastAsia" w:cstheme="minorEastAsia"/>
                <w:color w:val="auto"/>
                <w:sz w:val="24"/>
                <w:szCs w:val="24"/>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停车费收取方式</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按照本合同制定的车辆管理费收费标准，对进入甲方辖区内停放的外来车辆收取车辆管理维护</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费。</w:t>
            </w:r>
          </w:p>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在合同期内按季度向</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支付</w:t>
            </w:r>
            <w:r>
              <w:rPr>
                <w:rFonts w:hint="eastAsia" w:asciiTheme="minorEastAsia" w:hAnsiTheme="minorEastAsia" w:eastAsiaTheme="minorEastAsia" w:cstheme="minorEastAsia"/>
                <w:color w:val="auto"/>
                <w:sz w:val="24"/>
                <w:szCs w:val="24"/>
                <w:highlight w:val="none"/>
                <w:lang w:eastAsia="zh-CN"/>
              </w:rPr>
              <w:t>车辆停放管理服务维护费</w:t>
            </w:r>
            <w:r>
              <w:rPr>
                <w:rFonts w:hint="eastAsia" w:asciiTheme="minorEastAsia" w:hAnsiTheme="minorEastAsia" w:eastAsiaTheme="minorEastAsia" w:cstheme="minorEastAsia"/>
                <w:color w:val="auto"/>
                <w:sz w:val="24"/>
                <w:szCs w:val="24"/>
                <w:highlight w:val="none"/>
              </w:rPr>
              <w:t>：</w:t>
            </w:r>
          </w:p>
          <w:p>
            <w:pPr>
              <w:numPr>
                <w:ilvl w:val="0"/>
                <w:numId w:val="36"/>
              </w:numPr>
              <w:ind w:left="415" w:leftChars="0" w:hanging="415" w:hangingChars="173"/>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按季度支付管理车辆维护服务费，</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须在合同签订之日起5天内向</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支付</w:t>
            </w:r>
            <w:r>
              <w:rPr>
                <w:rFonts w:hint="eastAsia" w:ascii="宋体" w:hAnsi="宋体" w:eastAsia="宋体" w:cs="宋体"/>
                <w:color w:val="auto"/>
                <w:sz w:val="24"/>
                <w:szCs w:val="24"/>
                <w:highlight w:val="none"/>
              </w:rPr>
              <w:t>管理车辆维护服务费</w:t>
            </w:r>
            <w:r>
              <w:rPr>
                <w:rFonts w:hint="eastAsia" w:asciiTheme="minorEastAsia" w:hAnsiTheme="minorEastAsia" w:eastAsiaTheme="minorEastAsia" w:cstheme="minorEastAsia"/>
                <w:color w:val="auto"/>
                <w:sz w:val="24"/>
                <w:szCs w:val="24"/>
                <w:highlight w:val="none"/>
              </w:rPr>
              <w:t>；</w:t>
            </w:r>
          </w:p>
          <w:p>
            <w:pPr>
              <w:numPr>
                <w:ilvl w:val="0"/>
                <w:numId w:val="36"/>
              </w:numPr>
              <w:ind w:left="415" w:leftChars="0" w:hanging="415" w:hangingChars="173"/>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按先支付后管理使用原则，逾期15日未付清的视作根本性违约，</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有权单方解除本合同，</w:t>
            </w:r>
            <w:r>
              <w:rPr>
                <w:rFonts w:hint="eastAsia" w:ascii="宋体" w:hAnsi="宋体" w:cs="宋体"/>
                <w:color w:val="auto"/>
                <w:sz w:val="24"/>
                <w:szCs w:val="24"/>
                <w:highlight w:val="none"/>
                <w:lang w:eastAsia="zh-CN"/>
              </w:rPr>
              <w:t>不予退还乙方履约全部履约</w:t>
            </w:r>
            <w:r>
              <w:rPr>
                <w:rFonts w:hint="eastAsia" w:ascii="宋体" w:hAnsi="宋体" w:eastAsia="宋体" w:cs="宋体"/>
                <w:color w:val="auto"/>
                <w:sz w:val="24"/>
                <w:szCs w:val="24"/>
                <w:highlight w:val="none"/>
              </w:rPr>
              <w:t>保证金</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投入建设安装的一切设施设备无偿归甲方所有。</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在收取服务费时只提供</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开具的收据，如需要开具发票，所产生的税费由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w:t>
            </w:r>
          </w:p>
          <w:p>
            <w:pPr>
              <w:numPr>
                <w:ilvl w:val="0"/>
                <w:numId w:val="36"/>
              </w:numPr>
              <w:ind w:left="415" w:leftChars="0" w:hanging="415" w:hangingChars="173"/>
              <w:jc w:val="left"/>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如租户需要开具发票以及所产生的税费也由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合同履约保证金</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480" w:firstLineChars="20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履约保证金为</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万元。</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中标通知书</w:t>
            </w:r>
            <w:r>
              <w:rPr>
                <w:rFonts w:hint="eastAsia" w:asciiTheme="minorEastAsia" w:hAnsiTheme="minorEastAsia" w:eastAsiaTheme="minorEastAsia" w:cstheme="minorEastAsia"/>
                <w:color w:val="auto"/>
                <w:sz w:val="24"/>
                <w:szCs w:val="24"/>
                <w:highlight w:val="none"/>
              </w:rPr>
              <w:t>发出3个工作日内，应以银行转账的方式向</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交纳履约保证金。如</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无违约行为的，服务期结束后30日内，</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将履约保证金全额无息退还给</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不按要求提交履约保证金的，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有权解除合同，取消</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的成交资格，</w:t>
            </w:r>
            <w:r>
              <w:rPr>
                <w:rFonts w:hint="eastAsia" w:asciiTheme="minorEastAsia" w:hAnsiTheme="minorEastAsia" w:eastAsiaTheme="minorEastAsia" w:cstheme="minorEastAsia"/>
                <w:color w:val="auto"/>
                <w:sz w:val="24"/>
                <w:szCs w:val="24"/>
                <w:highlight w:val="none"/>
                <w:lang w:eastAsia="zh-CN"/>
              </w:rPr>
              <w:t>竞投保证金</w:t>
            </w:r>
            <w:r>
              <w:rPr>
                <w:rFonts w:hint="eastAsia" w:asciiTheme="minorEastAsia" w:hAnsiTheme="minorEastAsia" w:eastAsiaTheme="minorEastAsia" w:cstheme="minorEastAsia"/>
                <w:color w:val="auto"/>
                <w:sz w:val="24"/>
                <w:szCs w:val="24"/>
                <w:highlight w:val="none"/>
              </w:rPr>
              <w:t>不予退还。</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numPr>
                <w:ilvl w:val="0"/>
                <w:numId w:val="0"/>
              </w:numPr>
              <w:ind w:leftChars="0" w:firstLine="480" w:firstLineChars="200"/>
              <w:jc w:val="left"/>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合同期结束或由于其他原因导致合同终止安装的设施设备归</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所有，合同结束设施设备交付给</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时设施设备必须保证完整，状态完好，能正常使用，否则保证金不作退回。</w:t>
            </w:r>
          </w:p>
        </w:tc>
      </w:tr>
    </w:tbl>
    <w:p>
      <w:pPr>
        <w:pStyle w:val="35"/>
        <w:numPr>
          <w:ilvl w:val="0"/>
          <w:numId w:val="31"/>
        </w:numPr>
        <w:spacing w:before="240" w:beforeLines="100" w:after="120" w:afterLines="50" w:line="360" w:lineRule="auto"/>
        <w:rPr>
          <w:b/>
          <w:color w:val="auto"/>
          <w:sz w:val="24"/>
          <w:szCs w:val="24"/>
          <w:highlight w:val="none"/>
        </w:rPr>
      </w:pPr>
      <w:r>
        <w:rPr>
          <w:rFonts w:hint="eastAsia"/>
          <w:b/>
          <w:color w:val="auto"/>
          <w:sz w:val="24"/>
          <w:szCs w:val="24"/>
          <w:highlight w:val="none"/>
          <w:lang w:eastAsia="zh-CN"/>
        </w:rPr>
        <w:t>本项目</w:t>
      </w:r>
      <w:r>
        <w:rPr>
          <w:rFonts w:hint="eastAsia"/>
          <w:b/>
          <w:color w:val="auto"/>
          <w:sz w:val="24"/>
          <w:szCs w:val="24"/>
          <w:highlight w:val="none"/>
        </w:rPr>
        <w:t>验收要求</w:t>
      </w:r>
    </w:p>
    <w:p>
      <w:pPr>
        <w:pStyle w:val="35"/>
        <w:numPr>
          <w:ilvl w:val="1"/>
          <w:numId w:val="31"/>
        </w:numPr>
        <w:spacing w:before="240" w:beforeLines="100" w:after="120" w:afterLines="50" w:line="360" w:lineRule="auto"/>
        <w:ind w:left="624" w:leftChars="0" w:hanging="624" w:firstLineChars="0"/>
        <w:rPr>
          <w:color w:val="auto"/>
          <w:sz w:val="24"/>
          <w:szCs w:val="24"/>
          <w:highlight w:val="none"/>
        </w:rPr>
      </w:pPr>
      <w:r>
        <w:rPr>
          <w:rFonts w:hint="eastAsia"/>
          <w:color w:val="auto"/>
          <w:sz w:val="24"/>
          <w:szCs w:val="24"/>
          <w:highlight w:val="none"/>
        </w:rPr>
        <w:t>乙方须为验收提供必需的一切条件及相关费用。</w:t>
      </w:r>
    </w:p>
    <w:p>
      <w:pPr>
        <w:pStyle w:val="35"/>
        <w:numPr>
          <w:ilvl w:val="0"/>
          <w:numId w:val="31"/>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项目验收依次序对照执行标准</w:t>
      </w:r>
    </w:p>
    <w:p>
      <w:pPr>
        <w:pStyle w:val="30"/>
        <w:numPr>
          <w:ilvl w:val="0"/>
          <w:numId w:val="37"/>
        </w:numPr>
        <w:spacing w:line="360" w:lineRule="auto"/>
        <w:ind w:left="0" w:leftChars="0" w:firstLine="420" w:firstLineChars="0"/>
        <w:rPr>
          <w:rFonts w:hint="eastAsia"/>
          <w:color w:val="auto"/>
          <w:sz w:val="24"/>
          <w:szCs w:val="24"/>
          <w:highlight w:val="none"/>
        </w:rPr>
      </w:pPr>
      <w:r>
        <w:rPr>
          <w:rFonts w:hint="eastAsia"/>
          <w:color w:val="auto"/>
          <w:sz w:val="24"/>
          <w:szCs w:val="24"/>
          <w:highlight w:val="none"/>
        </w:rPr>
        <w:t>符合中华人民共和国国家和履约地相关安全质量标准、行业技术规范标准、环保</w:t>
      </w:r>
      <w:r>
        <w:rPr>
          <w:rFonts w:hint="eastAsia" w:ascii="Times New Roman" w:hAnsi="Times New Roman" w:eastAsia="宋体" w:cs="Times New Roman"/>
          <w:color w:val="auto"/>
          <w:sz w:val="24"/>
          <w:szCs w:val="24"/>
          <w:highlight w:val="none"/>
        </w:rPr>
        <w:t>节能</w:t>
      </w:r>
      <w:r>
        <w:rPr>
          <w:rFonts w:hint="eastAsia"/>
          <w:color w:val="auto"/>
          <w:sz w:val="24"/>
          <w:szCs w:val="24"/>
          <w:highlight w:val="none"/>
        </w:rPr>
        <w:t>标准；</w:t>
      </w:r>
    </w:p>
    <w:p>
      <w:pPr>
        <w:pStyle w:val="30"/>
        <w:numPr>
          <w:ilvl w:val="0"/>
          <w:numId w:val="37"/>
        </w:numPr>
        <w:spacing w:line="360" w:lineRule="auto"/>
        <w:ind w:left="0" w:leftChars="0" w:firstLine="420" w:firstLineChars="0"/>
        <w:rPr>
          <w:rFonts w:hint="eastAsia"/>
          <w:color w:val="auto"/>
          <w:sz w:val="24"/>
          <w:szCs w:val="24"/>
          <w:highlight w:val="none"/>
        </w:rPr>
      </w:pPr>
      <w:r>
        <w:rPr>
          <w:rFonts w:hint="eastAsia"/>
          <w:color w:val="auto"/>
          <w:sz w:val="24"/>
          <w:szCs w:val="24"/>
          <w:highlight w:val="none"/>
        </w:rPr>
        <w:t>符合采购文件和响应承诺中各方共同认可的各项要求；</w:t>
      </w:r>
    </w:p>
    <w:p>
      <w:pPr>
        <w:pStyle w:val="30"/>
        <w:numPr>
          <w:ilvl w:val="0"/>
          <w:numId w:val="37"/>
        </w:numPr>
        <w:spacing w:line="360" w:lineRule="auto"/>
        <w:ind w:left="0" w:leftChars="0" w:firstLine="420"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上述各类标准与法规必须是有关官方机构最新发布的现行标准版本。</w:t>
      </w:r>
    </w:p>
    <w:p>
      <w:pPr>
        <w:pStyle w:val="35"/>
        <w:numPr>
          <w:ilvl w:val="0"/>
          <w:numId w:val="31"/>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甲方的权利和义务</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甲方有权向乙方提出采购项目服务的意见和建议。</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甲方有义务配合乙方做好各项日常管理工作，乙方应根据甲方建议制定有关管理制度和措施执行。甲方有权对乙方的管理方案进行检查及合理修改，共同优化管理工作。</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有权对乙方的日常管理工作进行监管检查，每季度进行一次全面考核评定，如乙方因管理不善或管理失误，给甲方造成严重负面影响或导致经济受损的，甲方有权单方面终止合同，并视乙方根本违约处理（不予退还</w:t>
      </w:r>
      <w:r>
        <w:rPr>
          <w:rFonts w:hint="eastAsia" w:ascii="Times New Roman" w:hAnsi="Times New Roman" w:eastAsia="宋体" w:cs="Times New Roman"/>
          <w:color w:val="auto"/>
          <w:sz w:val="24"/>
          <w:szCs w:val="24"/>
          <w:highlight w:val="none"/>
        </w:rPr>
        <w:t>乙方</w:t>
      </w:r>
      <w:r>
        <w:rPr>
          <w:rFonts w:hint="eastAsia" w:ascii="Times New Roman" w:hAnsi="Times New Roman" w:eastAsia="宋体" w:cs="Times New Roman"/>
          <w:color w:val="auto"/>
          <w:sz w:val="24"/>
          <w:szCs w:val="24"/>
          <w:highlight w:val="none"/>
          <w:lang w:eastAsia="zh-CN"/>
        </w:rPr>
        <w:t>履约</w:t>
      </w:r>
      <w:r>
        <w:rPr>
          <w:rFonts w:hint="eastAsia" w:ascii="Times New Roman" w:hAnsi="Times New Roman" w:eastAsia="宋体" w:cs="Times New Roman"/>
          <w:color w:val="auto"/>
          <w:sz w:val="24"/>
          <w:szCs w:val="24"/>
          <w:highlight w:val="none"/>
        </w:rPr>
        <w:t>保证金</w:t>
      </w:r>
      <w:r>
        <w:rPr>
          <w:rFonts w:hint="eastAsia" w:ascii="Times New Roman" w:hAnsi="Times New Roman" w:eastAsia="宋体" w:cs="Times New Roman"/>
          <w:color w:val="auto"/>
          <w:sz w:val="24"/>
          <w:szCs w:val="24"/>
          <w:highlight w:val="none"/>
          <w:lang w:eastAsia="zh-CN"/>
        </w:rPr>
        <w:t>和不退回已交的服务费，乙方投入建设安装的一切设施设备无偿归甲方所有，并赔偿甲方的经济损失）。</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为确保其依法具有收取车辆管理费的资格及权利，已严格按照有关法律程序研究制定出相关的收费及管理的村规民约，并经党员及村民代表大会表决通过及予以公布后实施，以便于乙方按规定管理及收费。在收费过程中所产生的纠纷投诉，乙方应自行负责处理。重大事件甲方有义务协助处理。</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甲方对本辖区内的所有土地拥有使用权，乙方如需规划增设停车位置时必经甲方同意。设置停车位置的土地，如遇甲方开发使用时，乙方无条件配合执行</w:t>
      </w:r>
      <w:r>
        <w:rPr>
          <w:rFonts w:hint="eastAsia" w:ascii="Times New Roman" w:hAnsi="Times New Roman" w:eastAsia="宋体" w:cs="Times New Roman"/>
          <w:color w:val="auto"/>
          <w:sz w:val="24"/>
          <w:szCs w:val="24"/>
          <w:highlight w:val="none"/>
        </w:rPr>
        <w:t>。</w:t>
      </w:r>
    </w:p>
    <w:p>
      <w:pPr>
        <w:pStyle w:val="35"/>
        <w:numPr>
          <w:ilvl w:val="0"/>
          <w:numId w:val="31"/>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乙方的权利和义务</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乙方要根据国家的有关法律、法规、政策及本合同的有关规定，在不违反本合同规定的基础上，自行制定有关规章制度车辆管理办法、实施细则等规定，乙方的管理工作不得影响甲方工作人员的日常正常工作。</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要严格按照甲方制定的车辆管理收费标准进行收取车辆管理费。并提供优质的停车管理及道路交通管理服务，不得出现只收费不服务或多收费少服务的行为，如发现有，经指出不改的，视为乙方根本违约，甲方有权单方面解除合同，不予退还乙方履约保证金和不退回已交的服务费，乙方投入建设安装的一切设施设备无偿归甲方所有。</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为了日常管理工作能正常运作，乙方必须根据工作需要配置足够的工作人员（不少于3人）并办理好用工手续及购买意外保险。乙方员工不纳入甲方用工编制，不享受甲方员工的福利待遇，与甲方不成立劳动或劳务关系。乙方工作人员在合同期内所发生的安全事故、工伤及劳资纠纷等均由乙方负责，一切责任与甲方无关，如屡屡出现人手不足的现象，视为乙方根本违约，甲方有权单方面解除合同，不予退还乙方履约保证金和不退回已交的服务费，乙方投入建设安装的一切设施设备无偿归甲方所有。</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要严格督促工作人员做好辖区内的日常道路交通管理巡查工作，确保村内各道闸出入口及各大小村道时刻保持畅通无阻，不得出现有车辆因乱停放而导致阻塞交通的现象发生。如出现有阻塞现象应派人到现场及时处理，如出现有15分钟后还没有人处理的现象，甲方有权收取乙方每次人民币200元的违约金。</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工作人员上班时要着装统一，工作要吃苦耐劳，勤巡勤查，待人处事需热情服务，如出现有因工作人员礼貌不周或处事不公而导致发生纠纷案和投诉案的，乙方要自行及时设法处理，事后要自查自纠，吸取教训及时整改。合同期内出现三次投诉的，甲方有权解除本合同，并视乙方违约，不予退还乙方履约保证金以作为甲方的经济补偿。</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为了切实做好车辆的有序停放管理，乙方要适时对辖区内的停车位进行合理规划设置。将本地车位与外地临时车位进行区分管理，乙方应严格管理控制禁止外来车辆在本地车位上停放过夜。吉利上二村辖区内的村民住宅以外的车位均为共享车位，禁止私装地锁或摆设物品霸占，否则乙方有权没收处理。</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在签订合同后，根据现时村内情况，对辖区内破旧车位重新划热熔线（破旧车位数待定），并完善所有道路标识、道路监控以及部分停车位设施。统一完善后，乙方也要对车位划线、道路标识、停车设施等定期检查及维护更新，对危险路段及停车场等做好交通标志指示牌的安装，以起到警示作用（如禁停牌、限速牌、限重牌、停车场标识、凸面广角镜等）。上述所产生的一切费用均由乙方承担。</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平时需对所有设备进行维护、保养以确保其正常运行工作。在合同期内，乙方对车辆管理的设备维护更新或增设等费用均由乙方承担。合同期满后，乙方须要将所有设备（含新建和原有的硬件与软件）及各类管理档案资料等正常完好地无偿移交给甲方。如有损坏，甲方有权请人进行修复，但所产生费用均由乙方支付或从保证金处扣除。</w:t>
      </w:r>
    </w:p>
    <w:p>
      <w:pPr>
        <w:pStyle w:val="35"/>
        <w:numPr>
          <w:ilvl w:val="0"/>
          <w:numId w:val="31"/>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售后服务要求</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乙方售后服务机构名称及地址：</w:t>
      </w:r>
    </w:p>
    <w:p>
      <w:pPr>
        <w:pStyle w:val="35"/>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联系人1：，联系电话：，手机：，传真：</w:t>
      </w:r>
    </w:p>
    <w:p>
      <w:pPr>
        <w:pStyle w:val="35"/>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联系人2：，联系电话：，手机：，传真：</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违约责任</w:t>
      </w:r>
    </w:p>
    <w:p>
      <w:pPr>
        <w:pStyle w:val="30"/>
        <w:numPr>
          <w:ilvl w:val="0"/>
          <w:numId w:val="40"/>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乙方不能拆解分包，转包他人经营，更不能有包上包行为。若在经营过程中发现此情况，甲方有权</w:t>
      </w:r>
      <w:r>
        <w:rPr>
          <w:rFonts w:hint="eastAsia" w:ascii="宋体" w:hAnsi="宋体" w:cs="宋体"/>
          <w:color w:val="auto"/>
          <w:sz w:val="24"/>
          <w:szCs w:val="24"/>
          <w:highlight w:val="none"/>
          <w:lang w:eastAsia="zh-CN"/>
        </w:rPr>
        <w:t>不予退还</w:t>
      </w:r>
      <w:r>
        <w:rPr>
          <w:rFonts w:hint="eastAsia" w:ascii="宋体" w:hAnsi="宋体" w:eastAsia="宋体" w:cs="宋体"/>
          <w:color w:val="auto"/>
          <w:sz w:val="24"/>
          <w:szCs w:val="24"/>
          <w:highlight w:val="none"/>
        </w:rPr>
        <w:t>乙方履约保证金及管理设备，并依法追究相关责任人法律责任。乙方未按要求履行合同义务时，对逾期支付服务费的，从逾期之日起每日按合同总额的2‰比例向甲方支付违约金；逾期15日以上时，甲方有权单方面解除合同，</w:t>
      </w:r>
      <w:r>
        <w:rPr>
          <w:rFonts w:hint="eastAsia" w:ascii="宋体" w:hAnsi="宋体" w:cs="宋体"/>
          <w:color w:val="auto"/>
          <w:sz w:val="24"/>
          <w:szCs w:val="24"/>
          <w:highlight w:val="none"/>
          <w:lang w:eastAsia="zh-CN"/>
        </w:rPr>
        <w:t>不予退还乙方履约保证金</w:t>
      </w:r>
      <w:r>
        <w:rPr>
          <w:rFonts w:hint="eastAsia" w:ascii="宋体" w:hAnsi="宋体" w:eastAsia="宋体" w:cs="宋体"/>
          <w:color w:val="auto"/>
          <w:sz w:val="24"/>
          <w:szCs w:val="24"/>
          <w:highlight w:val="none"/>
        </w:rPr>
        <w:t>，乙方投入建设安装的一切设施设备无偿归甲方所有，由此造成甲方的经济损失由乙方承担，违约金不足以弥补损失的，乙方应按全额赔偿。</w:t>
      </w:r>
    </w:p>
    <w:p>
      <w:pPr>
        <w:pStyle w:val="30"/>
        <w:numPr>
          <w:ilvl w:val="0"/>
          <w:numId w:val="40"/>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合同期内因违反本服务合同的约定，无法向甲方提供正常服务时，甲方有权要求乙方限期整改，并向乙方提交书面整改通知书，具体的整改时间届时按事故的大小在通知书内定明，如乙方逾期未能整改而造成甲方损失的，甲方将依照乙方的权利和义务确定乙方责任，依照本合同书约定由乙方承担相应的经济赔偿，如乙方概不履行责任时，视为乙方根本违约，甲方有权单方面解除合同，</w:t>
      </w:r>
      <w:r>
        <w:rPr>
          <w:rFonts w:hint="eastAsia" w:ascii="宋体" w:hAnsi="宋体" w:cs="宋体"/>
          <w:color w:val="auto"/>
          <w:sz w:val="24"/>
          <w:szCs w:val="24"/>
          <w:highlight w:val="none"/>
          <w:lang w:eastAsia="zh-CN"/>
        </w:rPr>
        <w:t>不予退还乙方履约保证金</w:t>
      </w:r>
      <w:r>
        <w:rPr>
          <w:rFonts w:hint="eastAsia" w:ascii="宋体" w:hAnsi="宋体" w:eastAsia="宋体" w:cs="宋体"/>
          <w:color w:val="auto"/>
          <w:sz w:val="24"/>
          <w:szCs w:val="24"/>
          <w:highlight w:val="none"/>
        </w:rPr>
        <w:t>和不退回已交的服务费，乙方投入建设安装的一切设施设备无偿归甲方所有。</w:t>
      </w:r>
    </w:p>
    <w:p>
      <w:pPr>
        <w:pStyle w:val="30"/>
        <w:numPr>
          <w:ilvl w:val="0"/>
          <w:numId w:val="40"/>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甲方的原因致使乙方无法提供正常服务时，乙方有权要求甲方在一定期限内解决并向甲方提交限期解决通知书，解决时间届时按事故大小在整改通知书上定明，如属甲方责任，甲方应给予乙方合理经济赔偿。如遇不可抗力及双方认定的特殊情况双方可协商处理。</w:t>
      </w:r>
    </w:p>
    <w:p>
      <w:pPr>
        <w:pStyle w:val="30"/>
        <w:numPr>
          <w:ilvl w:val="0"/>
          <w:numId w:val="40"/>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在经表决的方案范围内制定停车管理细则，管理细则需报甲方同意，并在停车场及公共地方进行公示。乙方与甲方严格执行合同规定，若在实际管理中有与以上条文冲突的情况，为更好地服务村民，在不改变大框架的情况下，经双方协商进行适当调整相关内容，调整的相关内容需经相关民主议事决定，做好相关记录，并在村内公示，经公示无异议后，双方另外签订补充协议。</w:t>
      </w:r>
    </w:p>
    <w:p>
      <w:pPr>
        <w:pStyle w:val="30"/>
        <w:numPr>
          <w:ilvl w:val="0"/>
          <w:numId w:val="40"/>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出租屋业主未交年度垃圾费的，其属下</w:t>
      </w:r>
      <w:r>
        <w:rPr>
          <w:rFonts w:hint="eastAsia" w:ascii="宋体" w:hAnsi="宋体" w:cs="宋体"/>
          <w:color w:val="auto"/>
          <w:sz w:val="24"/>
          <w:szCs w:val="24"/>
          <w:highlight w:val="none"/>
          <w:lang w:eastAsia="zh-CN"/>
        </w:rPr>
        <w:t>租赁</w:t>
      </w:r>
      <w:r>
        <w:rPr>
          <w:rFonts w:hint="eastAsia" w:ascii="宋体" w:hAnsi="宋体" w:eastAsia="宋体" w:cs="宋体"/>
          <w:color w:val="auto"/>
          <w:sz w:val="24"/>
          <w:szCs w:val="24"/>
          <w:highlight w:val="none"/>
        </w:rPr>
        <w:t>的租客的车辆不能录入登记。</w:t>
      </w:r>
    </w:p>
    <w:p>
      <w:pPr>
        <w:pStyle w:val="30"/>
        <w:numPr>
          <w:ilvl w:val="0"/>
          <w:numId w:val="40"/>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为缓解停车位压力，经甲方同意，乙方可充分利用村内指定的闲置地规划停车位，若日后甲方对该闲置地有发展规划需要，乙方需无条件配合。如本方案与相关法律法规有冲突的，则按照法律法规适当调整</w:t>
      </w:r>
      <w:r>
        <w:rPr>
          <w:rFonts w:hint="eastAsia" w:ascii="宋体" w:hAnsi="宋体" w:cs="宋体"/>
          <w:color w:val="auto"/>
          <w:sz w:val="24"/>
          <w:szCs w:val="24"/>
          <w:highlight w:val="none"/>
          <w:lang w:eastAsia="zh-CN"/>
        </w:rPr>
        <w:t>。</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提出异议的时间和方法</w:t>
      </w:r>
    </w:p>
    <w:p>
      <w:pPr>
        <w:pStyle w:val="30"/>
        <w:numPr>
          <w:ilvl w:val="0"/>
          <w:numId w:val="41"/>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甲方在服务期内如对服务质量有异议时，即向乙方提出书面异议。</w:t>
      </w:r>
    </w:p>
    <w:p>
      <w:pPr>
        <w:pStyle w:val="30"/>
        <w:numPr>
          <w:ilvl w:val="0"/>
          <w:numId w:val="41"/>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乙方在甲方提出书面异议之日起3天内负责处理并函复甲方处理情况，否则，即视为默认甲方提出的异议和处理意见。</w:t>
      </w:r>
    </w:p>
    <w:p>
      <w:pPr>
        <w:pStyle w:val="30"/>
        <w:numPr>
          <w:ilvl w:val="0"/>
          <w:numId w:val="41"/>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利用专业优势和信息不对称之便，以不道德的手段，故意隐瞒和掩盖自身缔约过失，违背投标承诺和未尽义务，损害了甲方的合法权益，甲方在任何时候均可追究乙方的违约责任并索取赔偿，且不受验收程序、质保期和合同时效的限制。</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争议的解决</w:t>
      </w:r>
    </w:p>
    <w:p>
      <w:pPr>
        <w:pStyle w:val="30"/>
        <w:numPr>
          <w:ilvl w:val="0"/>
          <w:numId w:val="42"/>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合同履行过程中发生的任何争议，如双方未能通过友好协商解决，应向甲方所在地的人民法院提起诉讼。</w:t>
      </w:r>
    </w:p>
    <w:p>
      <w:pPr>
        <w:pStyle w:val="30"/>
        <w:numPr>
          <w:ilvl w:val="0"/>
          <w:numId w:val="42"/>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法院审理期间，除提交法院审理的事项外，其它无争议的事项和条款仍应继续履行。</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不可抗力</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税费</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与本合同相关的一切税费及不可预见费用均由乙方负担。</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合同生效</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本合同自甲乙双方法定代表人或其授权代表签字并盖章之日起生效。</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其它</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所有经一方或双方签署确认的文件（包括会议纪要、补充协议、往来信函）、采购文件、要约文件和响应承诺文件、合同附件及《</w:t>
      </w:r>
      <w:r>
        <w:rPr>
          <w:rFonts w:hint="eastAsia" w:ascii="宋体" w:hAnsi="宋体" w:cs="宋体"/>
          <w:color w:val="auto"/>
          <w:sz w:val="24"/>
          <w:szCs w:val="24"/>
          <w:highlight w:val="none"/>
          <w:lang w:eastAsia="zh-CN"/>
        </w:rPr>
        <w:t>中标通知书</w:t>
      </w:r>
      <w:r>
        <w:rPr>
          <w:rFonts w:hint="eastAsia" w:ascii="宋体" w:hAnsi="宋体" w:eastAsia="宋体" w:cs="宋体"/>
          <w:color w:val="auto"/>
          <w:sz w:val="24"/>
          <w:szCs w:val="24"/>
          <w:highlight w:val="none"/>
        </w:rPr>
        <w:t>》均为本合同不可分割的有效组成部分，具有法律效力和履约义务，其缔约生效日期为有效签署或盖章确认之日期。</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如一方地址、电话、传真号码有变更，应在变更当日内书面通知对方，否则，应承担相应责任。</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未经甲方书面同意，乙方不得擅自向第三方转让本合同任何义务。</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本合同一式份，甲方执份、乙方执份。</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本合同共计页A4纸张，缺页之合同为无效合同。</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本合同签约履约地点：广东省佛山市</w:t>
      </w:r>
      <w:r>
        <w:rPr>
          <w:rFonts w:hint="eastAsia" w:ascii="宋体" w:hAnsi="宋体" w:cs="宋体"/>
          <w:color w:val="auto"/>
          <w:sz w:val="24"/>
          <w:szCs w:val="24"/>
          <w:highlight w:val="none"/>
          <w:lang w:eastAsia="zh-CN"/>
        </w:rPr>
        <w:t>禅城区</w:t>
      </w:r>
      <w:r>
        <w:rPr>
          <w:rFonts w:hint="eastAsia" w:ascii="宋体" w:hAnsi="宋体" w:eastAsia="宋体" w:cs="宋体"/>
          <w:color w:val="auto"/>
          <w:sz w:val="24"/>
          <w:szCs w:val="24"/>
          <w:highlight w:val="none"/>
        </w:rPr>
        <w:t>。</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双方均已对以上各条款及附件作充分了解，并明确理解由此而产生的相关权责。</w:t>
      </w:r>
    </w:p>
    <w:p>
      <w:pPr>
        <w:pStyle w:val="35"/>
        <w:spacing w:line="360" w:lineRule="auto"/>
        <w:rPr>
          <w:rFonts w:hint="eastAsia" w:eastAsia="宋体"/>
          <w:color w:val="auto"/>
          <w:sz w:val="24"/>
          <w:szCs w:val="24"/>
          <w:highlight w:val="none"/>
          <w:lang w:eastAsia="zh-CN"/>
        </w:rPr>
      </w:pPr>
    </w:p>
    <w:tbl>
      <w:tblPr>
        <w:tblStyle w:val="19"/>
        <w:tblW w:w="9360" w:type="dxa"/>
        <w:tblInd w:w="-72" w:type="dxa"/>
        <w:tblLayout w:type="fixed"/>
        <w:tblCellMar>
          <w:top w:w="0" w:type="dxa"/>
          <w:left w:w="108" w:type="dxa"/>
          <w:bottom w:w="0" w:type="dxa"/>
          <w:right w:w="108" w:type="dxa"/>
        </w:tblCellMar>
      </w:tblPr>
      <w:tblGrid>
        <w:gridCol w:w="4680"/>
        <w:gridCol w:w="4680"/>
      </w:tblGrid>
      <w:tr>
        <w:tblPrEx>
          <w:tblCellMar>
            <w:top w:w="0" w:type="dxa"/>
            <w:left w:w="108" w:type="dxa"/>
            <w:bottom w:w="0" w:type="dxa"/>
            <w:right w:w="108" w:type="dxa"/>
          </w:tblCellMar>
        </w:tblPrEx>
        <w:trPr>
          <w:trHeight w:val="2565" w:hRule="atLeast"/>
        </w:trPr>
        <w:tc>
          <w:tcPr>
            <w:tcW w:w="4680" w:type="dxa"/>
            <w:tcBorders>
              <w:top w:val="single" w:color="auto" w:sz="4" w:space="0"/>
              <w:left w:val="single" w:color="auto" w:sz="4" w:space="0"/>
              <w:bottom w:val="single" w:color="auto" w:sz="4" w:space="0"/>
              <w:right w:val="single" w:color="auto" w:sz="4" w:space="0"/>
            </w:tcBorders>
            <w:noWrap w:val="0"/>
            <w:vAlign w:val="top"/>
          </w:tcPr>
          <w:p>
            <w:pPr>
              <w:pStyle w:val="35"/>
              <w:spacing w:line="480" w:lineRule="auto"/>
              <w:rPr>
                <w:rFonts w:hint="eastAsia"/>
                <w:b/>
                <w:bCs/>
                <w:color w:val="auto"/>
                <w:sz w:val="24"/>
                <w:szCs w:val="24"/>
                <w:highlight w:val="none"/>
              </w:rPr>
            </w:pPr>
            <w:r>
              <w:rPr>
                <w:rFonts w:hint="eastAsia"/>
                <w:b/>
                <w:bCs/>
                <w:color w:val="auto"/>
                <w:sz w:val="24"/>
                <w:szCs w:val="24"/>
                <w:highlight w:val="none"/>
              </w:rPr>
              <w:t>甲方（盖章）：</w:t>
            </w:r>
          </w:p>
          <w:p>
            <w:pPr>
              <w:pStyle w:val="35"/>
              <w:spacing w:line="360" w:lineRule="auto"/>
              <w:rPr>
                <w:color w:val="auto"/>
                <w:sz w:val="24"/>
                <w:szCs w:val="24"/>
                <w:highlight w:val="none"/>
                <w:u w:val="dotted"/>
              </w:rPr>
            </w:pPr>
            <w:r>
              <w:rPr>
                <w:rFonts w:hint="eastAsia"/>
                <w:color w:val="auto"/>
                <w:sz w:val="24"/>
                <w:szCs w:val="24"/>
                <w:highlight w:val="none"/>
              </w:rPr>
              <w:t>代表：</w:t>
            </w:r>
            <w:r>
              <w:rPr>
                <w:color w:val="auto"/>
                <w:sz w:val="24"/>
                <w:szCs w:val="24"/>
                <w:highlight w:val="none"/>
              </w:rPr>
              <w:t> </w:t>
            </w:r>
          </w:p>
          <w:p>
            <w:pPr>
              <w:pStyle w:val="35"/>
              <w:rPr>
                <w:color w:val="auto"/>
                <w:sz w:val="24"/>
                <w:szCs w:val="24"/>
                <w:highlight w:val="none"/>
              </w:rPr>
            </w:pPr>
            <w:r>
              <w:rPr>
                <w:rFonts w:hint="eastAsia"/>
                <w:color w:val="auto"/>
                <w:sz w:val="24"/>
                <w:szCs w:val="24"/>
                <w:highlight w:val="none"/>
              </w:rPr>
              <w:t>地址：</w:t>
            </w:r>
          </w:p>
          <w:p>
            <w:pPr>
              <w:pStyle w:val="35"/>
              <w:rPr>
                <w:color w:val="auto"/>
                <w:sz w:val="24"/>
                <w:szCs w:val="24"/>
                <w:highlight w:val="none"/>
              </w:rPr>
            </w:pPr>
            <w:r>
              <w:rPr>
                <w:rFonts w:hint="eastAsia"/>
                <w:color w:val="auto"/>
                <w:sz w:val="24"/>
                <w:szCs w:val="24"/>
                <w:highlight w:val="none"/>
              </w:rPr>
              <w:t>电话：</w:t>
            </w:r>
          </w:p>
          <w:p>
            <w:pPr>
              <w:pStyle w:val="35"/>
              <w:rPr>
                <w:color w:val="auto"/>
                <w:sz w:val="24"/>
                <w:szCs w:val="24"/>
                <w:highlight w:val="none"/>
              </w:rPr>
            </w:pPr>
            <w:r>
              <w:rPr>
                <w:rFonts w:hint="eastAsia"/>
                <w:color w:val="auto"/>
                <w:sz w:val="24"/>
                <w:szCs w:val="24"/>
                <w:highlight w:val="none"/>
              </w:rPr>
              <w:t>传真：</w:t>
            </w:r>
          </w:p>
          <w:p>
            <w:pPr>
              <w:pStyle w:val="35"/>
              <w:spacing w:line="360" w:lineRule="auto"/>
              <w:rPr>
                <w:b/>
                <w:bCs/>
                <w:color w:val="auto"/>
                <w:sz w:val="24"/>
                <w:szCs w:val="24"/>
                <w:highlight w:val="none"/>
              </w:rPr>
            </w:pPr>
            <w:r>
              <w:rPr>
                <w:rFonts w:hint="eastAsia"/>
                <w:color w:val="auto"/>
                <w:sz w:val="24"/>
                <w:szCs w:val="24"/>
                <w:highlight w:val="none"/>
              </w:rPr>
              <w:t>日期：年月日</w:t>
            </w:r>
          </w:p>
        </w:tc>
        <w:tc>
          <w:tcPr>
            <w:tcW w:w="4680" w:type="dxa"/>
            <w:tcBorders>
              <w:top w:val="single" w:color="auto" w:sz="4" w:space="0"/>
              <w:left w:val="nil"/>
              <w:bottom w:val="single" w:color="auto" w:sz="4" w:space="0"/>
              <w:right w:val="single" w:color="auto" w:sz="4" w:space="0"/>
            </w:tcBorders>
            <w:noWrap w:val="0"/>
            <w:vAlign w:val="top"/>
          </w:tcPr>
          <w:p>
            <w:pPr>
              <w:pStyle w:val="35"/>
              <w:spacing w:line="480" w:lineRule="auto"/>
              <w:rPr>
                <w:b/>
                <w:bCs/>
                <w:color w:val="auto"/>
                <w:sz w:val="24"/>
                <w:szCs w:val="24"/>
                <w:highlight w:val="none"/>
              </w:rPr>
            </w:pPr>
            <w:r>
              <w:rPr>
                <w:rFonts w:hint="eastAsia"/>
                <w:b/>
                <w:bCs/>
                <w:color w:val="auto"/>
                <w:sz w:val="24"/>
                <w:szCs w:val="24"/>
                <w:highlight w:val="none"/>
              </w:rPr>
              <w:t>乙方（盖章）：</w:t>
            </w:r>
          </w:p>
          <w:p>
            <w:pPr>
              <w:pStyle w:val="35"/>
              <w:spacing w:line="360" w:lineRule="auto"/>
              <w:rPr>
                <w:rFonts w:hint="eastAsia" w:eastAsia="宋体"/>
                <w:color w:val="auto"/>
                <w:sz w:val="24"/>
                <w:szCs w:val="24"/>
                <w:highlight w:val="none"/>
                <w:u w:val="dotted"/>
                <w:lang w:eastAsia="zh-CN"/>
              </w:rPr>
            </w:pPr>
            <w:r>
              <w:rPr>
                <w:rFonts w:hint="eastAsia"/>
                <w:color w:val="auto"/>
                <w:sz w:val="24"/>
                <w:szCs w:val="24"/>
                <w:highlight w:val="none"/>
              </w:rPr>
              <w:t>代表：</w:t>
            </w:r>
          </w:p>
          <w:p>
            <w:pPr>
              <w:pStyle w:val="35"/>
              <w:rPr>
                <w:color w:val="auto"/>
                <w:sz w:val="24"/>
                <w:szCs w:val="24"/>
                <w:highlight w:val="none"/>
              </w:rPr>
            </w:pPr>
            <w:r>
              <w:rPr>
                <w:rFonts w:hint="eastAsia"/>
                <w:color w:val="auto"/>
                <w:sz w:val="24"/>
                <w:szCs w:val="24"/>
                <w:highlight w:val="none"/>
              </w:rPr>
              <w:t>地址：</w:t>
            </w:r>
          </w:p>
          <w:p>
            <w:pPr>
              <w:pStyle w:val="35"/>
              <w:rPr>
                <w:color w:val="auto"/>
                <w:sz w:val="24"/>
                <w:szCs w:val="24"/>
                <w:highlight w:val="none"/>
              </w:rPr>
            </w:pPr>
            <w:r>
              <w:rPr>
                <w:rFonts w:hint="eastAsia"/>
                <w:color w:val="auto"/>
                <w:sz w:val="24"/>
                <w:szCs w:val="24"/>
                <w:highlight w:val="none"/>
              </w:rPr>
              <w:t>电话：</w:t>
            </w:r>
          </w:p>
          <w:p>
            <w:pPr>
              <w:pStyle w:val="35"/>
              <w:rPr>
                <w:color w:val="auto"/>
                <w:sz w:val="24"/>
                <w:szCs w:val="24"/>
                <w:highlight w:val="none"/>
              </w:rPr>
            </w:pPr>
            <w:r>
              <w:rPr>
                <w:rFonts w:hint="eastAsia"/>
                <w:color w:val="auto"/>
                <w:sz w:val="24"/>
                <w:szCs w:val="24"/>
                <w:highlight w:val="none"/>
              </w:rPr>
              <w:t>传真：</w:t>
            </w:r>
          </w:p>
          <w:p>
            <w:pPr>
              <w:pStyle w:val="35"/>
              <w:spacing w:line="360" w:lineRule="auto"/>
              <w:rPr>
                <w:b/>
                <w:bCs/>
                <w:color w:val="auto"/>
                <w:sz w:val="24"/>
                <w:szCs w:val="24"/>
                <w:highlight w:val="none"/>
              </w:rPr>
            </w:pPr>
            <w:r>
              <w:rPr>
                <w:rFonts w:hint="eastAsia"/>
                <w:color w:val="auto"/>
                <w:sz w:val="24"/>
                <w:szCs w:val="24"/>
                <w:highlight w:val="none"/>
              </w:rPr>
              <w:t>日期：年月日</w:t>
            </w:r>
          </w:p>
        </w:tc>
      </w:tr>
      <w:tr>
        <w:tblPrEx>
          <w:tblCellMar>
            <w:top w:w="0" w:type="dxa"/>
            <w:left w:w="108" w:type="dxa"/>
            <w:bottom w:w="0" w:type="dxa"/>
            <w:right w:w="108" w:type="dxa"/>
          </w:tblCellMar>
        </w:tblPrEx>
        <w:trPr>
          <w:trHeight w:val="1695" w:hRule="atLeast"/>
        </w:trPr>
        <w:tc>
          <w:tcPr>
            <w:tcW w:w="9360" w:type="dxa"/>
            <w:gridSpan w:val="2"/>
            <w:tcBorders>
              <w:top w:val="single" w:color="auto" w:sz="4" w:space="0"/>
              <w:left w:val="single" w:color="auto" w:sz="4" w:space="0"/>
              <w:bottom w:val="single" w:color="auto" w:sz="4" w:space="0"/>
              <w:right w:val="single" w:color="auto" w:sz="4" w:space="0"/>
            </w:tcBorders>
            <w:noWrap w:val="0"/>
            <w:vAlign w:val="top"/>
          </w:tcPr>
          <w:p>
            <w:pPr>
              <w:pStyle w:val="35"/>
              <w:rPr>
                <w:color w:val="auto"/>
                <w:sz w:val="24"/>
                <w:szCs w:val="24"/>
                <w:highlight w:val="none"/>
              </w:rPr>
            </w:pPr>
          </w:p>
          <w:p>
            <w:pPr>
              <w:pStyle w:val="35"/>
              <w:rPr>
                <w:b/>
                <w:bCs/>
                <w:color w:val="auto"/>
                <w:sz w:val="24"/>
                <w:szCs w:val="24"/>
                <w:highlight w:val="none"/>
              </w:rPr>
            </w:pPr>
            <w:r>
              <w:rPr>
                <w:rFonts w:hint="eastAsia"/>
                <w:b/>
                <w:bCs/>
                <w:color w:val="auto"/>
                <w:sz w:val="24"/>
                <w:szCs w:val="24"/>
                <w:highlight w:val="none"/>
                <w:lang w:eastAsia="zh-CN"/>
              </w:rPr>
              <w:t>甲方收款</w:t>
            </w:r>
            <w:r>
              <w:rPr>
                <w:rFonts w:hint="eastAsia"/>
                <w:b/>
                <w:bCs/>
                <w:color w:val="auto"/>
                <w:sz w:val="24"/>
                <w:szCs w:val="24"/>
                <w:highlight w:val="none"/>
              </w:rPr>
              <w:t>专户为：</w:t>
            </w:r>
          </w:p>
          <w:p>
            <w:pPr>
              <w:pStyle w:val="35"/>
              <w:rPr>
                <w:color w:val="auto"/>
                <w:sz w:val="24"/>
                <w:szCs w:val="24"/>
                <w:highlight w:val="none"/>
              </w:rPr>
            </w:pPr>
          </w:p>
          <w:p>
            <w:pPr>
              <w:pStyle w:val="35"/>
              <w:rPr>
                <w:b/>
                <w:bCs/>
                <w:color w:val="auto"/>
                <w:sz w:val="24"/>
                <w:szCs w:val="24"/>
                <w:highlight w:val="none"/>
              </w:rPr>
            </w:pPr>
            <w:r>
              <w:rPr>
                <w:rFonts w:hint="eastAsia"/>
                <w:color w:val="auto"/>
                <w:sz w:val="24"/>
                <w:szCs w:val="24"/>
                <w:highlight w:val="none"/>
              </w:rPr>
              <w:t>开户名称：</w:t>
            </w:r>
          </w:p>
          <w:p>
            <w:pPr>
              <w:pStyle w:val="35"/>
              <w:rPr>
                <w:b/>
                <w:bCs/>
                <w:color w:val="auto"/>
                <w:sz w:val="24"/>
                <w:szCs w:val="24"/>
                <w:highlight w:val="none"/>
              </w:rPr>
            </w:pPr>
            <w:r>
              <w:rPr>
                <w:rFonts w:hint="eastAsia"/>
                <w:color w:val="auto"/>
                <w:sz w:val="24"/>
                <w:szCs w:val="24"/>
                <w:highlight w:val="none"/>
              </w:rPr>
              <w:t>银行</w:t>
            </w:r>
            <w:r>
              <w:rPr>
                <w:rFonts w:hint="eastAsia"/>
                <w:color w:val="auto"/>
                <w:sz w:val="24"/>
                <w:szCs w:val="24"/>
                <w:highlight w:val="none"/>
                <w:lang w:eastAsia="zh-CN"/>
              </w:rPr>
              <w:t>账号</w:t>
            </w:r>
            <w:r>
              <w:rPr>
                <w:rFonts w:hint="eastAsia"/>
                <w:color w:val="auto"/>
                <w:sz w:val="24"/>
                <w:szCs w:val="24"/>
                <w:highlight w:val="none"/>
              </w:rPr>
              <w:t>：</w:t>
            </w:r>
          </w:p>
          <w:p>
            <w:pPr>
              <w:pStyle w:val="35"/>
              <w:spacing w:line="360" w:lineRule="auto"/>
              <w:rPr>
                <w:b/>
                <w:bCs/>
                <w:color w:val="auto"/>
                <w:sz w:val="24"/>
                <w:szCs w:val="24"/>
                <w:highlight w:val="none"/>
              </w:rPr>
            </w:pPr>
            <w:r>
              <w:rPr>
                <w:rFonts w:hint="eastAsia"/>
                <w:color w:val="auto"/>
                <w:sz w:val="24"/>
                <w:szCs w:val="24"/>
                <w:highlight w:val="none"/>
              </w:rPr>
              <w:t>开</w:t>
            </w:r>
            <w:r>
              <w:rPr>
                <w:color w:val="auto"/>
                <w:sz w:val="24"/>
                <w:szCs w:val="24"/>
                <w:highlight w:val="none"/>
              </w:rPr>
              <w:t> </w:t>
            </w:r>
            <w:r>
              <w:rPr>
                <w:rFonts w:hint="eastAsia"/>
                <w:color w:val="auto"/>
                <w:sz w:val="24"/>
                <w:szCs w:val="24"/>
                <w:highlight w:val="none"/>
              </w:rPr>
              <w:t>户</w:t>
            </w:r>
            <w:r>
              <w:rPr>
                <w:color w:val="auto"/>
                <w:sz w:val="24"/>
                <w:szCs w:val="24"/>
                <w:highlight w:val="none"/>
              </w:rPr>
              <w:t> </w:t>
            </w:r>
            <w:r>
              <w:rPr>
                <w:rFonts w:hint="eastAsia"/>
                <w:color w:val="auto"/>
                <w:sz w:val="24"/>
                <w:szCs w:val="24"/>
                <w:highlight w:val="none"/>
              </w:rPr>
              <w:t>行：</w:t>
            </w:r>
          </w:p>
        </w:tc>
      </w:tr>
    </w:tbl>
    <w:p>
      <w:pPr>
        <w:spacing w:line="432" w:lineRule="auto"/>
        <w:rPr>
          <w:rFonts w:ascii="宋体" w:hAnsi="宋体"/>
          <w:color w:val="auto"/>
          <w:highlight w:val="none"/>
        </w:rPr>
      </w:pPr>
    </w:p>
    <w:p>
      <w:pPr>
        <w:rPr>
          <w:rFonts w:ascii="宋体" w:hAnsi="宋体"/>
          <w:color w:val="auto"/>
          <w:highlight w:val="none"/>
        </w:rPr>
      </w:pPr>
    </w:p>
    <w:p>
      <w:pPr>
        <w:spacing w:line="360" w:lineRule="auto"/>
        <w:rPr>
          <w:color w:val="auto"/>
          <w:sz w:val="24"/>
          <w:szCs w:val="24"/>
          <w:highlight w:val="none"/>
        </w:rPr>
      </w:pPr>
      <w:r>
        <w:rPr>
          <w:rFonts w:hint="eastAsia"/>
          <w:b/>
          <w:bCs/>
          <w:color w:val="auto"/>
          <w:sz w:val="24"/>
          <w:szCs w:val="24"/>
          <w:highlight w:val="none"/>
        </w:rPr>
        <w:t>合同附件清单</w:t>
      </w:r>
      <w:r>
        <w:rPr>
          <w:rFonts w:hint="eastAsia"/>
          <w:color w:val="auto"/>
          <w:sz w:val="24"/>
          <w:szCs w:val="24"/>
          <w:highlight w:val="none"/>
        </w:rPr>
        <w:t>（如有，附后；若没有，可删除此部分内容）：</w:t>
      </w:r>
    </w:p>
    <w:p>
      <w:pPr>
        <w:numPr>
          <w:ilvl w:val="0"/>
          <w:numId w:val="44"/>
        </w:numPr>
        <w:tabs>
          <w:tab w:val="left" w:pos="420"/>
        </w:tabs>
        <w:snapToGrid w:val="0"/>
        <w:spacing w:line="360" w:lineRule="auto"/>
        <w:ind w:left="425" w:leftChars="0" w:hanging="425" w:firstLineChars="0"/>
        <w:rPr>
          <w:rFonts w:ascii="宋体" w:hAnsi="宋体"/>
          <w:color w:val="auto"/>
          <w:sz w:val="24"/>
          <w:szCs w:val="24"/>
          <w:highlight w:val="none"/>
          <w:lang w:val="en-GB"/>
        </w:rPr>
      </w:pPr>
      <w:r>
        <w:rPr>
          <w:rFonts w:hint="eastAsia" w:ascii="宋体" w:hAnsi="宋体"/>
          <w:color w:val="auto"/>
          <w:sz w:val="24"/>
          <w:szCs w:val="24"/>
          <w:highlight w:val="none"/>
          <w:lang w:val="en-GB"/>
        </w:rPr>
        <w:t>本合同所有附件均在签订合同时编制，确立依据为</w:t>
      </w:r>
      <w:r>
        <w:rPr>
          <w:rFonts w:hint="eastAsia" w:ascii="宋体" w:hAnsi="宋体"/>
          <w:color w:val="auto"/>
          <w:sz w:val="24"/>
          <w:szCs w:val="24"/>
          <w:highlight w:val="none"/>
          <w:lang w:val="en-GB" w:eastAsia="zh-CN"/>
        </w:rPr>
        <w:t>竞投文件</w:t>
      </w:r>
      <w:r>
        <w:rPr>
          <w:rFonts w:hint="eastAsia" w:ascii="宋体" w:hAnsi="宋体"/>
          <w:color w:val="auto"/>
          <w:sz w:val="24"/>
          <w:szCs w:val="24"/>
          <w:highlight w:val="none"/>
          <w:lang w:val="en-GB"/>
        </w:rPr>
        <w:t>和乙方的</w:t>
      </w:r>
      <w:r>
        <w:rPr>
          <w:rFonts w:hint="eastAsia" w:ascii="宋体" w:hAnsi="宋体"/>
          <w:color w:val="auto"/>
          <w:sz w:val="24"/>
          <w:szCs w:val="24"/>
          <w:highlight w:val="none"/>
          <w:lang w:val="en-GB" w:eastAsia="zh-CN"/>
        </w:rPr>
        <w:t>资格审查</w:t>
      </w:r>
      <w:r>
        <w:rPr>
          <w:rFonts w:hint="eastAsia" w:ascii="宋体" w:hAnsi="宋体"/>
          <w:color w:val="auto"/>
          <w:sz w:val="24"/>
          <w:szCs w:val="24"/>
          <w:highlight w:val="none"/>
          <w:lang w:val="en-GB"/>
        </w:rPr>
        <w:t>文件及相关确认文件；合同附件内容由甲乙双方共同协商确定。</w:t>
      </w:r>
    </w:p>
    <w:p>
      <w:pPr>
        <w:numPr>
          <w:ilvl w:val="0"/>
          <w:numId w:val="44"/>
        </w:numPr>
        <w:tabs>
          <w:tab w:val="left" w:pos="420"/>
        </w:tabs>
        <w:snapToGrid w:val="0"/>
        <w:spacing w:line="360" w:lineRule="auto"/>
        <w:ind w:left="425" w:leftChars="0" w:hanging="425" w:firstLineChars="0"/>
        <w:rPr>
          <w:rFonts w:hint="eastAsia" w:ascii="宋体" w:hAnsi="宋体"/>
          <w:color w:val="auto"/>
          <w:sz w:val="24"/>
          <w:szCs w:val="24"/>
          <w:highlight w:val="none"/>
          <w:lang w:val="en-GB"/>
        </w:rPr>
      </w:pPr>
      <w:r>
        <w:rPr>
          <w:rFonts w:hint="eastAsia" w:ascii="宋体" w:hAnsi="宋体"/>
          <w:color w:val="auto"/>
          <w:sz w:val="24"/>
          <w:szCs w:val="24"/>
          <w:highlight w:val="none"/>
          <w:lang w:val="en-GB"/>
        </w:rPr>
        <w:t>项目重要内容（如：经甲方审核的项目实施方案、项目标的主要内容、乙方提供的参与本项目实施的项目负责人和其他技术人员名单、项目组人员的职称证书和资格证书、项目组人员的联系方式、需求变更说明、培训方案等）可作为附件。</w:t>
      </w:r>
    </w:p>
    <w:bookmarkEnd w:id="78"/>
    <w:p>
      <w:pPr>
        <w:spacing w:line="432" w:lineRule="auto"/>
        <w:rPr>
          <w:rFonts w:ascii="宋体" w:hAnsi="宋体"/>
          <w:color w:val="auto"/>
          <w:highlight w:val="none"/>
        </w:rPr>
      </w:pPr>
    </w:p>
    <w:p>
      <w:pPr>
        <w:rPr>
          <w:rFonts w:ascii="宋体" w:hAnsi="宋体"/>
          <w:color w:val="auto"/>
          <w:highlight w:val="none"/>
        </w:rPr>
      </w:pPr>
    </w:p>
    <w:p>
      <w:pPr>
        <w:rPr>
          <w:rFonts w:hint="eastAsia" w:ascii="宋体" w:hAnsi="宋体"/>
          <w:color w:val="auto"/>
          <w:sz w:val="24"/>
          <w:szCs w:val="24"/>
          <w:highlight w:val="none"/>
          <w:lang w:val="en-GB"/>
        </w:rPr>
      </w:pPr>
      <w:bookmarkStart w:id="79" w:name="_Toc15627"/>
      <w:bookmarkStart w:id="80" w:name="_Toc13502"/>
      <w:bookmarkStart w:id="81" w:name="_Toc334432597"/>
      <w:bookmarkStart w:id="82" w:name="_Toc13130"/>
      <w:r>
        <w:rPr>
          <w:rFonts w:hint="eastAsia" w:ascii="宋体" w:hAnsi="宋体"/>
          <w:color w:val="auto"/>
          <w:sz w:val="24"/>
          <w:szCs w:val="24"/>
          <w:highlight w:val="none"/>
          <w:lang w:val="en-GB"/>
        </w:rPr>
        <w:br w:type="page"/>
      </w:r>
    </w:p>
    <w:p>
      <w:pPr>
        <w:pStyle w:val="2"/>
        <w:rPr>
          <w:rFonts w:hint="eastAsia"/>
          <w:color w:val="auto"/>
          <w:highlight w:val="none"/>
          <w:lang w:val="en-GB"/>
        </w:rPr>
      </w:pPr>
    </w:p>
    <w:p>
      <w:pPr>
        <w:spacing w:after="120" w:afterLines="50" w:line="360" w:lineRule="auto"/>
        <w:jc w:val="center"/>
        <w:outlineLvl w:val="0"/>
        <w:rPr>
          <w:rFonts w:hint="eastAsia" w:ascii="宋体" w:hAnsi="宋体" w:eastAsia="宋体" w:cs="Times New Roman"/>
          <w:b/>
          <w:color w:val="auto"/>
          <w:kern w:val="2"/>
          <w:sz w:val="36"/>
          <w:szCs w:val="36"/>
          <w:highlight w:val="none"/>
          <w:lang w:val="en-US" w:eastAsia="zh-CN" w:bidi="ar-SA"/>
        </w:rPr>
      </w:pPr>
      <w:bookmarkStart w:id="83" w:name="_Toc27266"/>
      <w:r>
        <w:rPr>
          <w:rFonts w:hint="eastAsia" w:ascii="宋体" w:hAnsi="宋体" w:eastAsia="宋体" w:cs="Times New Roman"/>
          <w:b/>
          <w:color w:val="auto"/>
          <w:kern w:val="2"/>
          <w:sz w:val="36"/>
          <w:szCs w:val="36"/>
          <w:highlight w:val="none"/>
          <w:lang w:val="en-US" w:eastAsia="zh-CN" w:bidi="ar-SA"/>
        </w:rPr>
        <w:t>第五部分资格审查文件格式</w:t>
      </w:r>
      <w:bookmarkEnd w:id="79"/>
      <w:bookmarkEnd w:id="80"/>
      <w:bookmarkEnd w:id="81"/>
      <w:bookmarkEnd w:id="82"/>
      <w:bookmarkEnd w:id="83"/>
    </w:p>
    <w:p>
      <w:pPr>
        <w:widowControl/>
        <w:jc w:val="left"/>
        <w:rPr>
          <w:color w:val="auto"/>
          <w:highlight w:val="none"/>
        </w:rPr>
      </w:pPr>
    </w:p>
    <w:p>
      <w:pPr>
        <w:spacing w:line="360" w:lineRule="auto"/>
        <w:jc w:val="center"/>
        <w:rPr>
          <w:b/>
          <w:color w:val="auto"/>
          <w:sz w:val="32"/>
          <w:szCs w:val="32"/>
          <w:highlight w:val="none"/>
        </w:rPr>
      </w:pPr>
      <w:r>
        <w:rPr>
          <w:rFonts w:hint="eastAsia"/>
          <w:b/>
          <w:color w:val="auto"/>
          <w:sz w:val="32"/>
          <w:szCs w:val="32"/>
          <w:highlight w:val="none"/>
          <w:lang w:eastAsia="zh-CN"/>
        </w:rPr>
        <w:t>资格审查</w:t>
      </w:r>
      <w:r>
        <w:rPr>
          <w:rFonts w:hint="eastAsia"/>
          <w:b/>
          <w:color w:val="auto"/>
          <w:sz w:val="32"/>
          <w:szCs w:val="32"/>
          <w:highlight w:val="none"/>
        </w:rPr>
        <w:t>文件封面及目录部分</w:t>
      </w:r>
    </w:p>
    <w:p>
      <w:pPr>
        <w:spacing w:line="312" w:lineRule="auto"/>
        <w:ind w:firstLine="275" w:firstLineChars="98"/>
        <w:rPr>
          <w:b/>
          <w:color w:val="auto"/>
          <w:sz w:val="28"/>
          <w:szCs w:val="28"/>
          <w:highlight w:val="none"/>
        </w:rPr>
      </w:pPr>
    </w:p>
    <w:p>
      <w:pPr>
        <w:numPr>
          <w:ilvl w:val="0"/>
          <w:numId w:val="45"/>
        </w:numPr>
        <w:tabs>
          <w:tab w:val="left" w:pos="720"/>
        </w:tabs>
        <w:spacing w:line="480" w:lineRule="auto"/>
        <w:ind w:left="720" w:leftChars="0" w:hanging="540" w:firstLineChars="0"/>
        <w:rPr>
          <w:b/>
          <w:color w:val="auto"/>
          <w:sz w:val="28"/>
          <w:szCs w:val="28"/>
          <w:highlight w:val="none"/>
        </w:rPr>
      </w:pPr>
      <w:r>
        <w:rPr>
          <w:rFonts w:hint="eastAsia"/>
          <w:b/>
          <w:color w:val="auto"/>
          <w:sz w:val="28"/>
          <w:szCs w:val="28"/>
          <w:highlight w:val="none"/>
          <w:lang w:eastAsia="zh-CN"/>
        </w:rPr>
        <w:t>投标人</w:t>
      </w:r>
      <w:r>
        <w:rPr>
          <w:rFonts w:hint="eastAsia"/>
          <w:b/>
          <w:color w:val="auto"/>
          <w:sz w:val="28"/>
          <w:szCs w:val="28"/>
          <w:highlight w:val="none"/>
        </w:rPr>
        <w:t>应按本《</w:t>
      </w:r>
      <w:r>
        <w:rPr>
          <w:rFonts w:hint="eastAsia"/>
          <w:b/>
          <w:color w:val="auto"/>
          <w:sz w:val="28"/>
          <w:szCs w:val="28"/>
          <w:highlight w:val="none"/>
          <w:lang w:eastAsia="zh-CN"/>
        </w:rPr>
        <w:t>竞投文件</w:t>
      </w:r>
      <w:r>
        <w:rPr>
          <w:rFonts w:hint="eastAsia"/>
          <w:b/>
          <w:color w:val="auto"/>
          <w:sz w:val="28"/>
          <w:szCs w:val="28"/>
          <w:highlight w:val="none"/>
        </w:rPr>
        <w:t>》要求，自行设计和编制</w:t>
      </w:r>
      <w:r>
        <w:rPr>
          <w:rFonts w:hint="eastAsia"/>
          <w:b/>
          <w:color w:val="auto"/>
          <w:sz w:val="28"/>
          <w:szCs w:val="28"/>
          <w:highlight w:val="none"/>
          <w:lang w:eastAsia="zh-CN"/>
        </w:rPr>
        <w:t>资格审查</w:t>
      </w:r>
      <w:r>
        <w:rPr>
          <w:rFonts w:hint="eastAsia"/>
          <w:b/>
          <w:color w:val="auto"/>
          <w:sz w:val="28"/>
          <w:szCs w:val="28"/>
          <w:highlight w:val="none"/>
        </w:rPr>
        <w:t>文件的封面和目录部分。</w:t>
      </w:r>
    </w:p>
    <w:p>
      <w:pPr>
        <w:numPr>
          <w:ilvl w:val="0"/>
          <w:numId w:val="45"/>
        </w:numPr>
        <w:tabs>
          <w:tab w:val="left" w:pos="720"/>
        </w:tabs>
        <w:spacing w:line="480" w:lineRule="auto"/>
        <w:ind w:left="720" w:leftChars="0" w:hanging="540" w:firstLineChars="0"/>
        <w:rPr>
          <w:b/>
          <w:color w:val="auto"/>
          <w:sz w:val="28"/>
          <w:szCs w:val="28"/>
          <w:highlight w:val="none"/>
        </w:rPr>
      </w:pPr>
      <w:r>
        <w:rPr>
          <w:rFonts w:hint="eastAsia"/>
          <w:b/>
          <w:color w:val="auto"/>
          <w:sz w:val="28"/>
          <w:szCs w:val="28"/>
          <w:highlight w:val="none"/>
          <w:lang w:eastAsia="zh-CN"/>
        </w:rPr>
        <w:t>资格审查</w:t>
      </w:r>
      <w:r>
        <w:rPr>
          <w:rFonts w:hint="eastAsia"/>
          <w:b/>
          <w:color w:val="auto"/>
          <w:sz w:val="28"/>
          <w:szCs w:val="28"/>
          <w:highlight w:val="none"/>
        </w:rPr>
        <w:t>文件封面上须包含但不限于以下内容：</w:t>
      </w:r>
    </w:p>
    <w:p>
      <w:pPr>
        <w:numPr>
          <w:ilvl w:val="0"/>
          <w:numId w:val="46"/>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lang w:val="en-GB"/>
        </w:rPr>
        <w:t>项目名称；</w:t>
      </w:r>
    </w:p>
    <w:p>
      <w:pPr>
        <w:numPr>
          <w:ilvl w:val="0"/>
          <w:numId w:val="46"/>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名称；</w:t>
      </w:r>
    </w:p>
    <w:p>
      <w:pPr>
        <w:numPr>
          <w:ilvl w:val="0"/>
          <w:numId w:val="46"/>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rPr>
        <w:t>法定代表人</w:t>
      </w:r>
      <w:r>
        <w:rPr>
          <w:rFonts w:ascii="宋体" w:hAnsi="宋体"/>
          <w:color w:val="auto"/>
          <w:sz w:val="24"/>
          <w:highlight w:val="none"/>
        </w:rPr>
        <w:t>/</w:t>
      </w:r>
      <w:r>
        <w:rPr>
          <w:rFonts w:hint="eastAsia" w:ascii="宋体" w:hAnsi="宋体"/>
          <w:color w:val="auto"/>
          <w:sz w:val="24"/>
          <w:highlight w:val="none"/>
        </w:rPr>
        <w:t>负责人或</w:t>
      </w:r>
      <w:r>
        <w:rPr>
          <w:rFonts w:hint="eastAsia" w:ascii="宋体" w:hAnsi="宋体"/>
          <w:color w:val="auto"/>
          <w:sz w:val="24"/>
          <w:highlight w:val="none"/>
          <w:lang w:val="en-GB"/>
        </w:rPr>
        <w:t>授权代表姓名及联系电话（含传真号码）；</w:t>
      </w:r>
    </w:p>
    <w:p>
      <w:pPr>
        <w:numPr>
          <w:ilvl w:val="0"/>
          <w:numId w:val="46"/>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lang w:val="en-GB"/>
        </w:rPr>
        <w:t>注明“正本”或“副本”字样。</w:t>
      </w:r>
    </w:p>
    <w:p>
      <w:pPr>
        <w:numPr>
          <w:ilvl w:val="0"/>
          <w:numId w:val="45"/>
        </w:numPr>
        <w:tabs>
          <w:tab w:val="left" w:pos="720"/>
        </w:tabs>
        <w:spacing w:line="480" w:lineRule="auto"/>
        <w:ind w:left="720" w:leftChars="0" w:hanging="540" w:firstLineChars="0"/>
        <w:rPr>
          <w:color w:val="auto"/>
          <w:highlight w:val="none"/>
        </w:rPr>
      </w:pPr>
      <w:r>
        <w:rPr>
          <w:rFonts w:hint="eastAsia"/>
          <w:b/>
          <w:color w:val="auto"/>
          <w:sz w:val="28"/>
          <w:szCs w:val="28"/>
          <w:highlight w:val="none"/>
          <w:lang w:eastAsia="zh-CN"/>
        </w:rPr>
        <w:t>资格审查</w:t>
      </w:r>
      <w:r>
        <w:rPr>
          <w:rFonts w:hint="eastAsia"/>
          <w:b/>
          <w:color w:val="auto"/>
          <w:sz w:val="28"/>
          <w:szCs w:val="28"/>
          <w:highlight w:val="none"/>
        </w:rPr>
        <w:t>文件必须编制目录，且目录必须清晰、准确，与</w:t>
      </w:r>
      <w:r>
        <w:rPr>
          <w:rFonts w:hint="eastAsia"/>
          <w:b/>
          <w:color w:val="auto"/>
          <w:sz w:val="28"/>
          <w:szCs w:val="28"/>
          <w:highlight w:val="none"/>
          <w:lang w:eastAsia="zh-CN"/>
        </w:rPr>
        <w:t>资格审查</w:t>
      </w:r>
      <w:r>
        <w:rPr>
          <w:rFonts w:hint="eastAsia"/>
          <w:b/>
          <w:color w:val="auto"/>
          <w:sz w:val="28"/>
          <w:szCs w:val="28"/>
          <w:highlight w:val="none"/>
        </w:rPr>
        <w:t>文件中的每页所加注的页码相对应。</w:t>
      </w:r>
    </w:p>
    <w:p>
      <w:pPr>
        <w:numPr>
          <w:ilvl w:val="0"/>
          <w:numId w:val="45"/>
        </w:numPr>
        <w:tabs>
          <w:tab w:val="left" w:pos="720"/>
        </w:tabs>
        <w:spacing w:line="480" w:lineRule="auto"/>
        <w:ind w:left="720" w:leftChars="0" w:hanging="540" w:firstLineChars="0"/>
        <w:rPr>
          <w:b/>
          <w:color w:val="auto"/>
          <w:sz w:val="28"/>
          <w:szCs w:val="28"/>
          <w:highlight w:val="none"/>
        </w:rPr>
      </w:pPr>
      <w:r>
        <w:rPr>
          <w:rFonts w:hint="eastAsia"/>
          <w:b/>
          <w:color w:val="auto"/>
          <w:sz w:val="28"/>
          <w:szCs w:val="28"/>
          <w:highlight w:val="none"/>
          <w:lang w:eastAsia="zh-CN"/>
        </w:rPr>
        <w:t>资格审查</w:t>
      </w:r>
      <w:r>
        <w:rPr>
          <w:rFonts w:hint="eastAsia"/>
          <w:b/>
          <w:color w:val="auto"/>
          <w:sz w:val="28"/>
          <w:szCs w:val="28"/>
          <w:highlight w:val="none"/>
        </w:rPr>
        <w:t>文件【正本】和【副本】的封面须加盖</w:t>
      </w:r>
      <w:r>
        <w:rPr>
          <w:rFonts w:hint="eastAsia"/>
          <w:b/>
          <w:color w:val="auto"/>
          <w:sz w:val="28"/>
          <w:szCs w:val="28"/>
          <w:highlight w:val="none"/>
          <w:lang w:eastAsia="zh-CN"/>
        </w:rPr>
        <w:t>投标人</w:t>
      </w:r>
      <w:r>
        <w:rPr>
          <w:rFonts w:hint="eastAsia"/>
          <w:b/>
          <w:color w:val="auto"/>
          <w:sz w:val="28"/>
          <w:szCs w:val="28"/>
          <w:highlight w:val="none"/>
        </w:rPr>
        <w:t>公章。</w:t>
      </w:r>
    </w:p>
    <w:p>
      <w:pPr>
        <w:spacing w:line="480" w:lineRule="auto"/>
        <w:ind w:left="180"/>
        <w:rPr>
          <w:color w:val="auto"/>
          <w:highlight w:val="none"/>
        </w:rPr>
      </w:pPr>
    </w:p>
    <w:p>
      <w:pPr>
        <w:spacing w:line="312" w:lineRule="auto"/>
        <w:ind w:firstLine="600" w:firstLineChars="250"/>
        <w:rPr>
          <w:color w:val="auto"/>
          <w:sz w:val="24"/>
          <w:highlight w:val="none"/>
        </w:rPr>
      </w:pPr>
    </w:p>
    <w:p>
      <w:pPr>
        <w:spacing w:line="312" w:lineRule="auto"/>
        <w:ind w:firstLine="600" w:firstLineChars="250"/>
        <w:rPr>
          <w:color w:val="auto"/>
          <w:sz w:val="24"/>
          <w:highlight w:val="none"/>
        </w:rPr>
      </w:pPr>
    </w:p>
    <w:p>
      <w:pPr>
        <w:spacing w:line="360" w:lineRule="auto"/>
        <w:ind w:left="551" w:hanging="551" w:hangingChars="196"/>
        <w:rPr>
          <w:rFonts w:ascii="宋体"/>
          <w:b/>
          <w:bCs/>
          <w:color w:val="auto"/>
          <w:sz w:val="28"/>
          <w:szCs w:val="28"/>
          <w:highlight w:val="none"/>
        </w:rPr>
      </w:pPr>
      <w:r>
        <w:rPr>
          <w:rFonts w:hint="eastAsia" w:ascii="宋体" w:hAnsi="宋体"/>
          <w:b/>
          <w:bCs/>
          <w:color w:val="auto"/>
          <w:sz w:val="28"/>
          <w:szCs w:val="28"/>
          <w:highlight w:val="none"/>
        </w:rPr>
        <w:t>注：</w:t>
      </w:r>
      <w:r>
        <w:rPr>
          <w:rFonts w:hint="eastAsia" w:ascii="宋体" w:hAnsi="宋体"/>
          <w:b/>
          <w:bCs/>
          <w:color w:val="auto"/>
          <w:sz w:val="28"/>
          <w:szCs w:val="28"/>
          <w:highlight w:val="none"/>
          <w:lang w:eastAsia="zh-CN"/>
        </w:rPr>
        <w:t>投标人</w:t>
      </w:r>
      <w:r>
        <w:rPr>
          <w:rFonts w:hint="eastAsia" w:ascii="宋体" w:hAnsi="宋体"/>
          <w:b/>
          <w:bCs/>
          <w:color w:val="auto"/>
          <w:sz w:val="28"/>
          <w:szCs w:val="28"/>
          <w:highlight w:val="none"/>
        </w:rPr>
        <w:t>应按本部分的格式内容进行排版和编制《</w:t>
      </w:r>
      <w:r>
        <w:rPr>
          <w:rFonts w:hint="eastAsia" w:ascii="宋体" w:hAnsi="宋体"/>
          <w:b/>
          <w:bCs/>
          <w:color w:val="auto"/>
          <w:sz w:val="28"/>
          <w:szCs w:val="28"/>
          <w:highlight w:val="none"/>
          <w:lang w:eastAsia="zh-CN"/>
        </w:rPr>
        <w:t>资格审查</w:t>
      </w:r>
      <w:r>
        <w:rPr>
          <w:rFonts w:hint="eastAsia" w:ascii="宋体" w:hAnsi="宋体"/>
          <w:b/>
          <w:bCs/>
          <w:color w:val="auto"/>
          <w:sz w:val="28"/>
          <w:szCs w:val="28"/>
          <w:highlight w:val="none"/>
        </w:rPr>
        <w:t>文件》，如属于格式外的，或本部分未提供具体格式的，</w:t>
      </w:r>
      <w:r>
        <w:rPr>
          <w:rFonts w:hint="eastAsia" w:ascii="宋体" w:hAnsi="宋体"/>
          <w:b/>
          <w:bCs/>
          <w:color w:val="auto"/>
          <w:sz w:val="28"/>
          <w:szCs w:val="28"/>
          <w:highlight w:val="none"/>
          <w:lang w:eastAsia="zh-CN"/>
        </w:rPr>
        <w:t>投标人</w:t>
      </w:r>
      <w:r>
        <w:rPr>
          <w:rFonts w:hint="eastAsia" w:ascii="宋体" w:hAnsi="宋体"/>
          <w:b/>
          <w:bCs/>
          <w:color w:val="auto"/>
          <w:sz w:val="28"/>
          <w:szCs w:val="28"/>
          <w:highlight w:val="none"/>
        </w:rPr>
        <w:t>可根据</w:t>
      </w:r>
      <w:r>
        <w:rPr>
          <w:rFonts w:hint="eastAsia" w:ascii="宋体" w:hAnsi="宋体"/>
          <w:b/>
          <w:bCs/>
          <w:color w:val="auto"/>
          <w:sz w:val="28"/>
          <w:szCs w:val="28"/>
          <w:highlight w:val="none"/>
          <w:lang w:eastAsia="zh-CN"/>
        </w:rPr>
        <w:t>竞投</w:t>
      </w:r>
      <w:r>
        <w:rPr>
          <w:rFonts w:hint="eastAsia" w:ascii="宋体" w:hAnsi="宋体"/>
          <w:b/>
          <w:bCs/>
          <w:color w:val="auto"/>
          <w:sz w:val="28"/>
          <w:szCs w:val="28"/>
          <w:highlight w:val="none"/>
        </w:rPr>
        <w:t>方案或内容，针对评审子项要求，自行拟定具体格式和设计排版。</w:t>
      </w:r>
    </w:p>
    <w:p>
      <w:pPr>
        <w:spacing w:line="360" w:lineRule="auto"/>
        <w:ind w:left="551" w:hanging="551" w:hangingChars="196"/>
        <w:jc w:val="center"/>
        <w:outlineLvl w:val="1"/>
        <w:rPr>
          <w:rFonts w:ascii="宋体"/>
          <w:b/>
          <w:color w:val="auto"/>
          <w:sz w:val="36"/>
          <w:szCs w:val="36"/>
          <w:highlight w:val="none"/>
        </w:rPr>
      </w:pPr>
      <w:r>
        <w:rPr>
          <w:rFonts w:ascii="宋体"/>
          <w:b/>
          <w:bCs/>
          <w:color w:val="auto"/>
          <w:sz w:val="28"/>
          <w:szCs w:val="28"/>
          <w:highlight w:val="none"/>
        </w:rPr>
        <w:br w:type="page"/>
      </w:r>
      <w:bookmarkStart w:id="84" w:name="_Toc24041"/>
      <w:bookmarkStart w:id="85" w:name="_Toc28252"/>
      <w:bookmarkStart w:id="86" w:name="_Toc29336"/>
      <w:bookmarkStart w:id="87" w:name="_Toc31603"/>
      <w:bookmarkStart w:id="88" w:name="_Toc30381"/>
      <w:bookmarkStart w:id="89" w:name="_Toc10343"/>
      <w:bookmarkStart w:id="90" w:name="_Toc334432598"/>
      <w:bookmarkStart w:id="91" w:name="_Toc1019"/>
      <w:r>
        <w:rPr>
          <w:rFonts w:hint="eastAsia" w:ascii="宋体" w:hAnsi="宋体"/>
          <w:b/>
          <w:bCs/>
          <w:color w:val="auto"/>
          <w:sz w:val="36"/>
          <w:szCs w:val="36"/>
          <w:highlight w:val="none"/>
        </w:rPr>
        <w:t>资格性文件</w:t>
      </w:r>
      <w:bookmarkEnd w:id="84"/>
      <w:bookmarkEnd w:id="85"/>
      <w:bookmarkEnd w:id="86"/>
      <w:bookmarkEnd w:id="87"/>
      <w:bookmarkEnd w:id="88"/>
      <w:bookmarkEnd w:id="89"/>
      <w:bookmarkEnd w:id="90"/>
      <w:bookmarkEnd w:id="91"/>
      <w:bookmarkStart w:id="92" w:name="OLE_LINK1"/>
    </w:p>
    <w:p>
      <w:pPr>
        <w:snapToGrid w:val="0"/>
        <w:spacing w:line="300" w:lineRule="auto"/>
        <w:jc w:val="center"/>
        <w:rPr>
          <w:rFonts w:ascii="宋体"/>
          <w:b/>
          <w:color w:val="auto"/>
          <w:sz w:val="32"/>
          <w:szCs w:val="32"/>
          <w:highlight w:val="none"/>
        </w:rPr>
      </w:pPr>
      <w:r>
        <w:rPr>
          <w:rFonts w:hint="eastAsia" w:ascii="宋体" w:hAnsi="宋体"/>
          <w:b/>
          <w:color w:val="auto"/>
          <w:sz w:val="32"/>
          <w:szCs w:val="32"/>
          <w:highlight w:val="none"/>
        </w:rPr>
        <w:t>资格性文件清单</w:t>
      </w:r>
    </w:p>
    <w:tbl>
      <w:tblPr>
        <w:tblStyle w:val="19"/>
        <w:tblW w:w="9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204"/>
        <w:gridCol w:w="4898"/>
        <w:gridCol w:w="871"/>
        <w:gridCol w:w="11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9" w:hRule="atLeast"/>
          <w:jc w:val="center"/>
        </w:trPr>
        <w:tc>
          <w:tcPr>
            <w:tcW w:w="675" w:type="dxa"/>
            <w:shd w:val="clear" w:color="auto" w:fill="F3F3F3"/>
            <w:noWrap w:val="0"/>
            <w:vAlign w:val="center"/>
          </w:tcPr>
          <w:p>
            <w:pPr>
              <w:ind w:left="-10" w:leftChars="-40" w:right="-99" w:rightChars="-47" w:hanging="74" w:hangingChars="35"/>
              <w:jc w:val="center"/>
              <w:rPr>
                <w:rFonts w:ascii="宋体"/>
                <w:b/>
                <w:bCs/>
                <w:color w:val="auto"/>
                <w:szCs w:val="21"/>
                <w:highlight w:val="none"/>
              </w:rPr>
            </w:pPr>
            <w:r>
              <w:rPr>
                <w:rFonts w:hint="eastAsia" w:ascii="宋体" w:hAnsi="宋体"/>
                <w:b/>
                <w:bCs/>
                <w:color w:val="auto"/>
                <w:szCs w:val="21"/>
                <w:highlight w:val="none"/>
              </w:rPr>
              <w:t>序号</w:t>
            </w:r>
          </w:p>
        </w:tc>
        <w:tc>
          <w:tcPr>
            <w:tcW w:w="2204" w:type="dxa"/>
            <w:tcBorders>
              <w:right w:val="single" w:color="auto" w:sz="4" w:space="0"/>
            </w:tcBorders>
            <w:shd w:val="clear" w:color="auto" w:fill="F3F3F3"/>
            <w:noWrap w:val="0"/>
            <w:vAlign w:val="center"/>
          </w:tcPr>
          <w:p>
            <w:pPr>
              <w:pStyle w:val="26"/>
              <w:keepNext w:val="0"/>
              <w:adjustRightInd/>
              <w:spacing w:before="0" w:after="0" w:line="240" w:lineRule="auto"/>
              <w:ind w:firstLine="422"/>
              <w:textAlignment w:val="auto"/>
              <w:rPr>
                <w:rFonts w:ascii="宋体"/>
                <w:b/>
                <w:bCs/>
                <w:color w:val="auto"/>
                <w:spacing w:val="0"/>
                <w:kern w:val="2"/>
                <w:sz w:val="21"/>
                <w:szCs w:val="21"/>
                <w:highlight w:val="none"/>
              </w:rPr>
            </w:pPr>
            <w:r>
              <w:rPr>
                <w:rFonts w:hint="eastAsia" w:ascii="宋体" w:hAnsi="宋体"/>
                <w:b/>
                <w:bCs/>
                <w:color w:val="auto"/>
                <w:spacing w:val="0"/>
                <w:kern w:val="2"/>
                <w:sz w:val="21"/>
                <w:szCs w:val="21"/>
                <w:highlight w:val="none"/>
              </w:rPr>
              <w:t>文件名称</w:t>
            </w:r>
          </w:p>
        </w:tc>
        <w:tc>
          <w:tcPr>
            <w:tcW w:w="4898" w:type="dxa"/>
            <w:tcBorders>
              <w:left w:val="single" w:color="auto" w:sz="4" w:space="0"/>
            </w:tcBorders>
            <w:shd w:val="clear" w:color="auto" w:fill="F3F3F3"/>
            <w:noWrap w:val="0"/>
            <w:vAlign w:val="center"/>
          </w:tcPr>
          <w:p>
            <w:pPr>
              <w:pStyle w:val="26"/>
              <w:keepNext w:val="0"/>
              <w:adjustRightInd/>
              <w:spacing w:before="0" w:after="0" w:line="240" w:lineRule="auto"/>
              <w:ind w:firstLine="422"/>
              <w:textAlignment w:val="auto"/>
              <w:rPr>
                <w:rFonts w:ascii="宋体"/>
                <w:b/>
                <w:bCs/>
                <w:color w:val="auto"/>
                <w:spacing w:val="0"/>
                <w:kern w:val="2"/>
                <w:sz w:val="21"/>
                <w:szCs w:val="21"/>
                <w:highlight w:val="none"/>
              </w:rPr>
            </w:pPr>
            <w:r>
              <w:rPr>
                <w:rFonts w:hint="eastAsia" w:ascii="宋体" w:hAnsi="宋体"/>
                <w:b/>
                <w:bCs/>
                <w:color w:val="auto"/>
                <w:spacing w:val="0"/>
                <w:kern w:val="2"/>
                <w:sz w:val="21"/>
                <w:szCs w:val="21"/>
                <w:highlight w:val="none"/>
              </w:rPr>
              <w:t>文件内容要求</w:t>
            </w:r>
          </w:p>
        </w:tc>
        <w:tc>
          <w:tcPr>
            <w:tcW w:w="871" w:type="dxa"/>
            <w:shd w:val="clear" w:color="auto" w:fill="F3F3F3"/>
            <w:noWrap w:val="0"/>
            <w:vAlign w:val="center"/>
          </w:tcPr>
          <w:p>
            <w:pPr>
              <w:jc w:val="center"/>
              <w:rPr>
                <w:rFonts w:ascii="宋体"/>
                <w:b/>
                <w:bCs/>
                <w:color w:val="auto"/>
                <w:szCs w:val="21"/>
                <w:highlight w:val="none"/>
              </w:rPr>
            </w:pPr>
            <w:r>
              <w:rPr>
                <w:rFonts w:hint="eastAsia" w:ascii="宋体" w:hAnsi="宋体"/>
                <w:b/>
                <w:bCs/>
                <w:color w:val="auto"/>
                <w:szCs w:val="21"/>
                <w:highlight w:val="none"/>
              </w:rPr>
              <w:t>数量</w:t>
            </w:r>
          </w:p>
        </w:tc>
        <w:tc>
          <w:tcPr>
            <w:tcW w:w="1147" w:type="dxa"/>
            <w:shd w:val="clear" w:color="auto" w:fill="F3F3F3"/>
            <w:noWrap w:val="0"/>
            <w:vAlign w:val="center"/>
          </w:tcPr>
          <w:p>
            <w:pPr>
              <w:jc w:val="center"/>
              <w:rPr>
                <w:rFonts w:ascii="宋体"/>
                <w:b/>
                <w:bCs/>
                <w:color w:val="auto"/>
                <w:szCs w:val="21"/>
                <w:highlight w:val="none"/>
              </w:rPr>
            </w:pPr>
            <w:r>
              <w:rPr>
                <w:rFonts w:hint="eastAsia" w:ascii="宋体" w:hAnsi="宋体"/>
                <w:b/>
                <w:bCs/>
                <w:color w:val="auto"/>
                <w:szCs w:val="21"/>
                <w:highlight w:val="none"/>
              </w:rPr>
              <w:t>文件属性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675" w:type="dxa"/>
            <w:noWrap w:val="0"/>
            <w:vAlign w:val="center"/>
          </w:tcPr>
          <w:p>
            <w:pPr>
              <w:rPr>
                <w:rFonts w:ascii="宋体"/>
                <w:color w:val="auto"/>
                <w:szCs w:val="21"/>
                <w:highlight w:val="none"/>
              </w:rPr>
            </w:pPr>
            <w:r>
              <w:rPr>
                <w:rFonts w:ascii="宋体" w:hAnsi="宋体"/>
                <w:color w:val="auto"/>
                <w:szCs w:val="21"/>
                <w:highlight w:val="none"/>
              </w:rPr>
              <w:t>1.1</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法定代表人</w:t>
            </w:r>
            <w:r>
              <w:rPr>
                <w:rFonts w:ascii="宋体" w:hAnsi="宋体"/>
                <w:color w:val="auto"/>
                <w:sz w:val="24"/>
                <w:szCs w:val="24"/>
                <w:highlight w:val="none"/>
              </w:rPr>
              <w:t>/</w:t>
            </w:r>
            <w:r>
              <w:rPr>
                <w:rFonts w:hint="eastAsia" w:ascii="宋体" w:hAnsi="宋体"/>
                <w:color w:val="auto"/>
                <w:sz w:val="24"/>
                <w:szCs w:val="24"/>
                <w:highlight w:val="none"/>
              </w:rPr>
              <w:t>负责人资格证明书</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1" w:hRule="atLeast"/>
          <w:jc w:val="center"/>
        </w:trPr>
        <w:tc>
          <w:tcPr>
            <w:tcW w:w="675" w:type="dxa"/>
            <w:noWrap w:val="0"/>
            <w:vAlign w:val="center"/>
          </w:tcPr>
          <w:p>
            <w:pPr>
              <w:rPr>
                <w:rFonts w:ascii="宋体"/>
                <w:color w:val="auto"/>
                <w:szCs w:val="21"/>
                <w:highlight w:val="none"/>
              </w:rPr>
            </w:pPr>
            <w:r>
              <w:rPr>
                <w:rFonts w:ascii="宋体" w:hAnsi="宋体"/>
                <w:color w:val="auto"/>
                <w:szCs w:val="21"/>
                <w:highlight w:val="none"/>
              </w:rPr>
              <w:t>1.2</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法定代表人授权书</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675" w:type="dxa"/>
            <w:noWrap w:val="0"/>
            <w:vAlign w:val="center"/>
          </w:tcPr>
          <w:p>
            <w:pPr>
              <w:rPr>
                <w:rFonts w:ascii="宋体"/>
                <w:color w:val="auto"/>
                <w:szCs w:val="21"/>
                <w:highlight w:val="none"/>
              </w:rPr>
            </w:pPr>
            <w:r>
              <w:rPr>
                <w:rFonts w:ascii="宋体" w:hAnsi="宋体"/>
                <w:color w:val="auto"/>
                <w:szCs w:val="21"/>
                <w:highlight w:val="none"/>
              </w:rPr>
              <w:t>1.3</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竞投</w:t>
            </w:r>
            <w:r>
              <w:rPr>
                <w:rFonts w:hint="eastAsia" w:ascii="宋体" w:hAnsi="宋体"/>
                <w:color w:val="auto"/>
                <w:sz w:val="24"/>
                <w:szCs w:val="24"/>
                <w:highlight w:val="none"/>
              </w:rPr>
              <w:t>承诺函</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8" w:hRule="atLeast"/>
          <w:jc w:val="center"/>
        </w:trPr>
        <w:tc>
          <w:tcPr>
            <w:tcW w:w="675" w:type="dxa"/>
            <w:vMerge w:val="restart"/>
            <w:noWrap w:val="0"/>
            <w:vAlign w:val="center"/>
          </w:tcPr>
          <w:p>
            <w:pPr>
              <w:tabs>
                <w:tab w:val="left" w:pos="180"/>
              </w:tabs>
              <w:rPr>
                <w:rFonts w:ascii="宋体"/>
                <w:color w:val="auto"/>
                <w:szCs w:val="21"/>
                <w:highlight w:val="none"/>
              </w:rPr>
            </w:pPr>
            <w:r>
              <w:rPr>
                <w:rFonts w:ascii="宋体" w:hAnsi="宋体"/>
                <w:color w:val="auto"/>
                <w:szCs w:val="21"/>
                <w:highlight w:val="none"/>
              </w:rPr>
              <w:t>1.4</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投标人资格声明函</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8" w:hRule="atLeast"/>
          <w:jc w:val="center"/>
        </w:trPr>
        <w:tc>
          <w:tcPr>
            <w:tcW w:w="675" w:type="dxa"/>
            <w:vMerge w:val="continue"/>
            <w:noWrap w:val="0"/>
            <w:vAlign w:val="center"/>
          </w:tcPr>
          <w:p>
            <w:pPr>
              <w:tabs>
                <w:tab w:val="left" w:pos="180"/>
              </w:tabs>
              <w:rPr>
                <w:rFonts w:ascii="宋体" w:hAnsi="宋体"/>
                <w:color w:val="auto"/>
                <w:szCs w:val="21"/>
                <w:highlight w:val="none"/>
              </w:rPr>
            </w:pPr>
          </w:p>
        </w:tc>
        <w:tc>
          <w:tcPr>
            <w:tcW w:w="2204" w:type="dxa"/>
            <w:tcBorders>
              <w:right w:val="single" w:color="auto" w:sz="4" w:space="0"/>
            </w:tcBorders>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lang w:eastAsia="zh-CN"/>
              </w:rPr>
              <w:t>投标人资格声明函附件资料</w:t>
            </w:r>
          </w:p>
        </w:tc>
        <w:tc>
          <w:tcPr>
            <w:tcW w:w="4898" w:type="dxa"/>
            <w:tcBorders>
              <w:left w:val="single" w:color="auto" w:sz="4" w:space="0"/>
            </w:tcBorders>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1.营业执照副本复印件</w:t>
            </w:r>
          </w:p>
          <w:p>
            <w:pPr>
              <w:jc w:val="center"/>
              <w:rPr>
                <w:rFonts w:ascii="宋体"/>
                <w:color w:val="auto"/>
                <w:sz w:val="24"/>
                <w:szCs w:val="24"/>
                <w:highlight w:val="none"/>
              </w:rPr>
            </w:pPr>
            <w:r>
              <w:rPr>
                <w:rFonts w:hint="eastAsia" w:ascii="宋体" w:hAnsi="宋体"/>
                <w:color w:val="auto"/>
                <w:sz w:val="24"/>
                <w:szCs w:val="24"/>
                <w:highlight w:val="none"/>
              </w:rPr>
              <w:t>2.相关信用证明文件</w:t>
            </w:r>
          </w:p>
        </w:tc>
        <w:tc>
          <w:tcPr>
            <w:tcW w:w="871"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各</w:t>
            </w:r>
            <w:r>
              <w:rPr>
                <w:rFonts w:hint="eastAsia" w:ascii="宋体" w:hAnsi="宋体"/>
                <w:color w:val="auto"/>
                <w:sz w:val="24"/>
                <w:szCs w:val="24"/>
                <w:highlight w:val="none"/>
                <w:lang w:val="en-US" w:eastAsia="zh-CN"/>
              </w:rPr>
              <w:t>1份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复印件</w:t>
            </w:r>
          </w:p>
        </w:tc>
      </w:tr>
    </w:tbl>
    <w:p>
      <w:pPr>
        <w:pStyle w:val="8"/>
        <w:spacing w:afterLines="50" w:line="360" w:lineRule="auto"/>
        <w:rPr>
          <w:b/>
          <w:bCs/>
          <w:color w:val="auto"/>
          <w:sz w:val="24"/>
          <w:szCs w:val="24"/>
          <w:highlight w:val="none"/>
        </w:rPr>
      </w:pPr>
      <w:r>
        <w:rPr>
          <w:rFonts w:hint="eastAsia"/>
          <w:b/>
          <w:bCs/>
          <w:color w:val="auto"/>
          <w:sz w:val="24"/>
          <w:szCs w:val="24"/>
          <w:highlight w:val="none"/>
        </w:rPr>
        <w:t>特别提示与要求！</w:t>
      </w:r>
    </w:p>
    <w:p>
      <w:pPr>
        <w:snapToGrid w:val="0"/>
        <w:rPr>
          <w:rFonts w:ascii="宋体"/>
          <w:b/>
          <w:color w:val="auto"/>
          <w:sz w:val="44"/>
          <w:szCs w:val="44"/>
          <w:highlight w:val="none"/>
        </w:rPr>
      </w:pPr>
      <w:r>
        <w:rPr>
          <w:rFonts w:hint="eastAsia"/>
          <w:b/>
          <w:bCs/>
          <w:color w:val="auto"/>
          <w:sz w:val="24"/>
          <w:highlight w:val="none"/>
        </w:rPr>
        <w:t>以上材料将作为</w:t>
      </w:r>
      <w:r>
        <w:rPr>
          <w:rFonts w:hint="eastAsia"/>
          <w:b/>
          <w:bCs/>
          <w:color w:val="auto"/>
          <w:sz w:val="24"/>
          <w:highlight w:val="none"/>
          <w:lang w:eastAsia="zh-CN"/>
        </w:rPr>
        <w:t>投标人</w:t>
      </w:r>
      <w:r>
        <w:rPr>
          <w:rFonts w:hint="eastAsia"/>
          <w:b/>
          <w:bCs/>
          <w:color w:val="auto"/>
          <w:sz w:val="24"/>
          <w:highlight w:val="none"/>
        </w:rPr>
        <w:t>合格性和有效性审核的重要内容之一，</w:t>
      </w:r>
      <w:r>
        <w:rPr>
          <w:rFonts w:hint="eastAsia"/>
          <w:b/>
          <w:bCs/>
          <w:color w:val="auto"/>
          <w:sz w:val="24"/>
          <w:highlight w:val="none"/>
          <w:lang w:eastAsia="zh-CN"/>
        </w:rPr>
        <w:t>投标人</w:t>
      </w:r>
      <w:r>
        <w:rPr>
          <w:rFonts w:hint="eastAsia"/>
          <w:b/>
          <w:bCs/>
          <w:color w:val="auto"/>
          <w:sz w:val="24"/>
          <w:highlight w:val="none"/>
        </w:rPr>
        <w:t>必须严格按照其内容及序列要求在</w:t>
      </w:r>
      <w:r>
        <w:rPr>
          <w:rFonts w:hint="eastAsia"/>
          <w:b/>
          <w:bCs/>
          <w:color w:val="auto"/>
          <w:sz w:val="24"/>
          <w:highlight w:val="none"/>
          <w:lang w:eastAsia="zh-CN"/>
        </w:rPr>
        <w:t>竞投</w:t>
      </w:r>
      <w:r>
        <w:rPr>
          <w:rFonts w:hint="eastAsia"/>
          <w:b/>
          <w:bCs/>
          <w:color w:val="auto"/>
          <w:sz w:val="24"/>
          <w:highlight w:val="none"/>
        </w:rPr>
        <w:t>文件中对应如实提供，对缺漏和不符合项将会直接导致</w:t>
      </w:r>
      <w:r>
        <w:rPr>
          <w:rFonts w:hint="eastAsia"/>
          <w:b/>
          <w:bCs/>
          <w:color w:val="auto"/>
          <w:sz w:val="24"/>
          <w:highlight w:val="none"/>
          <w:lang w:eastAsia="zh-CN"/>
        </w:rPr>
        <w:t>资格审查不合格</w:t>
      </w:r>
      <w:r>
        <w:rPr>
          <w:rFonts w:hint="eastAsia"/>
          <w:b/>
          <w:bCs/>
          <w:color w:val="auto"/>
          <w:sz w:val="24"/>
          <w:highlight w:val="none"/>
        </w:rPr>
        <w:t>！</w:t>
      </w:r>
      <w:bookmarkEnd w:id="92"/>
    </w:p>
    <w:p>
      <w:pPr>
        <w:spacing w:after="240" w:afterLines="100" w:line="360" w:lineRule="auto"/>
        <w:jc w:val="center"/>
        <w:outlineLvl w:val="2"/>
        <w:rPr>
          <w:rFonts w:ascii="宋体"/>
          <w:b/>
          <w:color w:val="auto"/>
          <w:sz w:val="36"/>
          <w:szCs w:val="36"/>
          <w:highlight w:val="none"/>
        </w:rPr>
      </w:pPr>
      <w:bookmarkStart w:id="93" w:name="_Toc17611"/>
      <w:bookmarkStart w:id="94" w:name="_Toc7238"/>
      <w:bookmarkStart w:id="95" w:name="_Toc17147"/>
      <w:r>
        <w:rPr>
          <w:rFonts w:ascii="宋体" w:hAnsi="宋体"/>
          <w:b/>
          <w:color w:val="auto"/>
          <w:sz w:val="36"/>
          <w:szCs w:val="36"/>
          <w:highlight w:val="none"/>
        </w:rPr>
        <w:br w:type="page"/>
      </w:r>
      <w:bookmarkStart w:id="96" w:name="_Toc17471"/>
      <w:bookmarkStart w:id="97" w:name="_Toc14894"/>
      <w:bookmarkStart w:id="98" w:name="_Toc29297"/>
      <w:bookmarkStart w:id="99" w:name="_Toc13229"/>
      <w:bookmarkStart w:id="100" w:name="_Toc23930"/>
      <w:r>
        <w:rPr>
          <w:rFonts w:ascii="宋体" w:hAnsi="宋体"/>
          <w:b/>
          <w:color w:val="auto"/>
          <w:sz w:val="36"/>
          <w:szCs w:val="36"/>
          <w:highlight w:val="none"/>
        </w:rPr>
        <w:t>1.1</w:t>
      </w:r>
      <w:r>
        <w:rPr>
          <w:rFonts w:hint="eastAsia" w:ascii="宋体" w:hAnsi="宋体"/>
          <w:b/>
          <w:color w:val="auto"/>
          <w:sz w:val="36"/>
          <w:szCs w:val="36"/>
          <w:highlight w:val="none"/>
        </w:rPr>
        <w:t>法定代表人</w:t>
      </w:r>
      <w:r>
        <w:rPr>
          <w:rFonts w:ascii="宋体" w:hAnsi="宋体"/>
          <w:b/>
          <w:color w:val="auto"/>
          <w:sz w:val="36"/>
          <w:szCs w:val="36"/>
          <w:highlight w:val="none"/>
        </w:rPr>
        <w:t>/</w:t>
      </w:r>
      <w:r>
        <w:rPr>
          <w:rFonts w:hint="eastAsia" w:ascii="宋体" w:hAnsi="宋体"/>
          <w:b/>
          <w:color w:val="auto"/>
          <w:sz w:val="36"/>
          <w:szCs w:val="36"/>
          <w:highlight w:val="none"/>
        </w:rPr>
        <w:t>负责人资格证明书</w:t>
      </w:r>
      <w:bookmarkEnd w:id="93"/>
      <w:bookmarkEnd w:id="94"/>
      <w:bookmarkEnd w:id="95"/>
      <w:bookmarkEnd w:id="96"/>
      <w:bookmarkEnd w:id="97"/>
      <w:bookmarkEnd w:id="98"/>
      <w:bookmarkEnd w:id="99"/>
      <w:bookmarkEnd w:id="100"/>
    </w:p>
    <w:p>
      <w:pPr>
        <w:spacing w:line="480" w:lineRule="exact"/>
        <w:rPr>
          <w:rFonts w:hint="eastAsia" w:ascii="宋体" w:eastAsia="宋体"/>
          <w:b/>
          <w:color w:val="auto"/>
          <w:sz w:val="24"/>
          <w:highlight w:val="none"/>
          <w:lang w:eastAsia="zh-CN"/>
        </w:rPr>
      </w:pPr>
      <w:r>
        <w:rPr>
          <w:rFonts w:hint="eastAsia" w:ascii="宋体" w:hAnsi="宋体"/>
          <w:b/>
          <w:color w:val="auto"/>
          <w:sz w:val="24"/>
          <w:highlight w:val="none"/>
        </w:rPr>
        <w:t>致：</w:t>
      </w:r>
      <w:r>
        <w:rPr>
          <w:rFonts w:hint="eastAsia" w:ascii="宋体" w:hAnsi="宋体"/>
          <w:b/>
          <w:color w:val="auto"/>
          <w:sz w:val="24"/>
          <w:highlight w:val="none"/>
          <w:lang w:eastAsia="zh-CN"/>
        </w:rPr>
        <w:t>佛山市禅城区南庄镇吉利村竹甫经济合作社</w:t>
      </w:r>
      <w:r>
        <w:rPr>
          <w:rFonts w:hint="eastAsia" w:ascii="宋体" w:hAnsi="宋体"/>
          <w:b/>
          <w:color w:val="auto"/>
          <w:sz w:val="24"/>
          <w:highlight w:val="none"/>
        </w:rPr>
        <w:t>、</w:t>
      </w:r>
      <w:r>
        <w:rPr>
          <w:rFonts w:hint="eastAsia" w:ascii="宋体" w:hAnsi="宋体"/>
          <w:b/>
          <w:color w:val="auto"/>
          <w:sz w:val="24"/>
          <w:highlight w:val="none"/>
          <w:lang w:eastAsia="zh-CN"/>
        </w:rPr>
        <w:t>广东中采招标有限公司</w:t>
      </w:r>
    </w:p>
    <w:p>
      <w:pPr>
        <w:rPr>
          <w:rFonts w:ascii="宋体"/>
          <w:color w:val="auto"/>
          <w:sz w:val="24"/>
          <w:highlight w:val="none"/>
        </w:rPr>
      </w:pPr>
    </w:p>
    <w:p>
      <w:pPr>
        <w:spacing w:line="440" w:lineRule="exact"/>
        <w:ind w:firstLine="240" w:firstLineChars="100"/>
        <w:rPr>
          <w:rFonts w:ascii="宋体"/>
          <w:color w:val="auto"/>
          <w:sz w:val="24"/>
          <w:highlight w:val="none"/>
        </w:rPr>
      </w:pPr>
      <w:r>
        <w:rPr>
          <w:rFonts w:hint="eastAsia" w:ascii="宋体" w:hAnsi="宋体"/>
          <w:color w:val="auto"/>
          <w:sz w:val="24"/>
          <w:highlight w:val="none"/>
        </w:rPr>
        <w:t>同志，现任我单位职务，为</w:t>
      </w:r>
      <w:r>
        <w:rPr>
          <w:rFonts w:hint="eastAsia" w:ascii="宋体" w:hAnsi="宋体"/>
          <w:color w:val="auto"/>
          <w:sz w:val="24"/>
          <w:highlight w:val="none"/>
          <w:u w:val="single"/>
        </w:rPr>
        <w:t>（</w:t>
      </w:r>
      <w:r>
        <w:rPr>
          <w:rFonts w:hint="eastAsia" w:ascii="宋体" w:hAnsi="宋体"/>
          <w:color w:val="auto"/>
          <w:sz w:val="24"/>
          <w:highlight w:val="none"/>
        </w:rPr>
        <w:t>法定代表人</w:t>
      </w:r>
      <w:r>
        <w:rPr>
          <w:rFonts w:ascii="宋体" w:hAnsi="宋体"/>
          <w:color w:val="auto"/>
          <w:sz w:val="24"/>
          <w:highlight w:val="none"/>
        </w:rPr>
        <w:t>/</w:t>
      </w:r>
      <w:r>
        <w:rPr>
          <w:rFonts w:hint="eastAsia" w:ascii="宋体" w:hAnsi="宋体"/>
          <w:color w:val="auto"/>
          <w:sz w:val="24"/>
          <w:highlight w:val="none"/>
        </w:rPr>
        <w:t>负责人），特此证明。</w:t>
      </w:r>
    </w:p>
    <w:p>
      <w:pPr>
        <w:spacing w:line="440" w:lineRule="exact"/>
        <w:ind w:firstLine="240" w:firstLineChars="100"/>
        <w:rPr>
          <w:rFonts w:hint="eastAsia" w:ascii="宋体" w:eastAsia="宋体"/>
          <w:color w:val="auto"/>
          <w:sz w:val="24"/>
          <w:highlight w:val="none"/>
          <w:lang w:eastAsia="zh-CN"/>
        </w:rPr>
      </w:pPr>
      <w:r>
        <w:rPr>
          <w:rFonts w:hint="eastAsia" w:ascii="宋体" w:hAnsi="宋体"/>
          <w:color w:val="auto"/>
          <w:sz w:val="24"/>
          <w:highlight w:val="none"/>
        </w:rPr>
        <w:t>签发日期：</w:t>
      </w:r>
      <w:r>
        <w:rPr>
          <w:rFonts w:hint="eastAsia" w:ascii="宋体" w:hAnsi="宋体"/>
          <w:color w:val="auto"/>
          <w:sz w:val="24"/>
          <w:highlight w:val="none"/>
          <w:lang w:eastAsia="zh-CN"/>
        </w:rPr>
        <w:t>2024</w:t>
      </w:r>
      <w:r>
        <w:rPr>
          <w:rFonts w:hint="eastAsia" w:ascii="宋体" w:hAnsi="宋体"/>
          <w:color w:val="auto"/>
          <w:sz w:val="24"/>
          <w:highlight w:val="none"/>
        </w:rPr>
        <w:t>年月日</w:t>
      </w:r>
    </w:p>
    <w:p>
      <w:pPr>
        <w:spacing w:line="440" w:lineRule="exact"/>
        <w:ind w:firstLine="240" w:firstLineChars="100"/>
        <w:rPr>
          <w:rFonts w:ascii="宋体"/>
          <w:color w:val="auto"/>
          <w:sz w:val="24"/>
          <w:highlight w:val="none"/>
        </w:rPr>
      </w:pPr>
      <w:r>
        <w:rPr>
          <w:rFonts w:hint="eastAsia" w:ascii="宋体" w:hAnsi="宋体"/>
          <w:color w:val="auto"/>
          <w:sz w:val="24"/>
          <w:highlight w:val="none"/>
        </w:rPr>
        <w:t>单位名称：（</w:t>
      </w:r>
      <w:r>
        <w:rPr>
          <w:rFonts w:hint="eastAsia" w:ascii="宋体" w:hAnsi="宋体"/>
          <w:color w:val="auto"/>
          <w:sz w:val="24"/>
          <w:highlight w:val="none"/>
          <w:lang w:val="zh-CN"/>
        </w:rPr>
        <w:t>加盖投标人公章</w:t>
      </w:r>
      <w:r>
        <w:rPr>
          <w:rFonts w:hint="eastAsia" w:ascii="宋体" w:hAnsi="宋体"/>
          <w:color w:val="auto"/>
          <w:sz w:val="24"/>
          <w:highlight w:val="none"/>
        </w:rPr>
        <w:t>）</w:t>
      </w:r>
    </w:p>
    <w:p>
      <w:pPr>
        <w:spacing w:line="440" w:lineRule="exact"/>
        <w:ind w:firstLine="240" w:firstLineChars="100"/>
        <w:rPr>
          <w:rFonts w:ascii="宋体"/>
          <w:color w:val="auto"/>
          <w:sz w:val="24"/>
          <w:highlight w:val="none"/>
        </w:rPr>
      </w:pPr>
    </w:p>
    <w:p>
      <w:pPr>
        <w:spacing w:line="440" w:lineRule="exact"/>
        <w:ind w:firstLine="240" w:firstLineChars="100"/>
        <w:rPr>
          <w:rFonts w:ascii="宋体"/>
          <w:color w:val="auto"/>
          <w:sz w:val="24"/>
          <w:highlight w:val="none"/>
          <w:u w:val="single"/>
        </w:rPr>
      </w:pPr>
      <w:r>
        <w:rPr>
          <w:rFonts w:hint="eastAsia" w:ascii="宋体" w:hAnsi="宋体"/>
          <w:color w:val="auto"/>
          <w:sz w:val="24"/>
          <w:highlight w:val="none"/>
        </w:rPr>
        <w:t>附：法定代表人</w:t>
      </w:r>
      <w:r>
        <w:rPr>
          <w:rFonts w:ascii="宋体" w:hAnsi="宋体"/>
          <w:color w:val="auto"/>
          <w:sz w:val="24"/>
          <w:highlight w:val="none"/>
        </w:rPr>
        <w:t>/</w:t>
      </w:r>
      <w:r>
        <w:rPr>
          <w:rFonts w:hint="eastAsia" w:ascii="宋体" w:hAnsi="宋体"/>
          <w:color w:val="auto"/>
          <w:sz w:val="24"/>
          <w:highlight w:val="none"/>
        </w:rPr>
        <w:t>负责人性别：年龄：</w:t>
      </w:r>
    </w:p>
    <w:p>
      <w:pPr>
        <w:spacing w:line="440" w:lineRule="exact"/>
        <w:ind w:firstLine="720" w:firstLineChars="300"/>
        <w:rPr>
          <w:rFonts w:ascii="宋体"/>
          <w:color w:val="auto"/>
          <w:sz w:val="24"/>
          <w:highlight w:val="none"/>
          <w:u w:val="single"/>
        </w:rPr>
      </w:pPr>
      <w:r>
        <w:rPr>
          <w:rFonts w:hint="eastAsia" w:ascii="宋体" w:hAnsi="宋体"/>
          <w:color w:val="auto"/>
          <w:sz w:val="24"/>
          <w:highlight w:val="none"/>
        </w:rPr>
        <w:t>身份证号码：</w:t>
      </w:r>
    </w:p>
    <w:p>
      <w:pPr>
        <w:spacing w:line="440" w:lineRule="exact"/>
        <w:ind w:firstLine="720" w:firstLineChars="300"/>
        <w:rPr>
          <w:rFonts w:ascii="宋体"/>
          <w:color w:val="auto"/>
          <w:sz w:val="24"/>
          <w:highlight w:val="none"/>
        </w:rPr>
      </w:pPr>
      <w:r>
        <w:rPr>
          <w:rFonts w:hint="eastAsia" w:ascii="宋体" w:hAnsi="宋体"/>
          <w:color w:val="auto"/>
          <w:sz w:val="24"/>
          <w:highlight w:val="none"/>
        </w:rPr>
        <w:t>联系电话：</w:t>
      </w:r>
    </w:p>
    <w:p>
      <w:pPr>
        <w:spacing w:line="440" w:lineRule="exact"/>
        <w:ind w:firstLine="720" w:firstLineChars="300"/>
        <w:rPr>
          <w:rFonts w:ascii="宋体"/>
          <w:color w:val="auto"/>
          <w:sz w:val="24"/>
          <w:highlight w:val="none"/>
        </w:rPr>
      </w:pPr>
      <w:r>
        <w:rPr>
          <w:rFonts w:hint="eastAsia" w:ascii="宋体" w:hAnsi="宋体"/>
          <w:color w:val="auto"/>
          <w:sz w:val="24"/>
          <w:highlight w:val="none"/>
        </w:rPr>
        <w:t>营业执照号码：</w:t>
      </w:r>
    </w:p>
    <w:p>
      <w:pPr>
        <w:spacing w:line="440" w:lineRule="exact"/>
        <w:ind w:firstLine="720" w:firstLineChars="300"/>
        <w:rPr>
          <w:rFonts w:ascii="宋体"/>
          <w:color w:val="auto"/>
          <w:sz w:val="24"/>
          <w:highlight w:val="none"/>
        </w:rPr>
      </w:pPr>
      <w:r>
        <w:rPr>
          <w:rFonts w:hint="eastAsia" w:ascii="宋体" w:hAnsi="宋体"/>
          <w:color w:val="auto"/>
          <w:sz w:val="24"/>
          <w:highlight w:val="none"/>
        </w:rPr>
        <w:t>单位性质：</w:t>
      </w:r>
    </w:p>
    <w:p>
      <w:pPr>
        <w:spacing w:line="440" w:lineRule="exact"/>
        <w:ind w:firstLine="720" w:firstLineChars="300"/>
        <w:rPr>
          <w:rFonts w:ascii="宋体"/>
          <w:color w:val="auto"/>
          <w:sz w:val="24"/>
          <w:highlight w:val="none"/>
        </w:rPr>
      </w:pPr>
      <w:r>
        <w:rPr>
          <w:rFonts w:hint="eastAsia"/>
          <w:color w:val="auto"/>
          <w:sz w:val="24"/>
          <w:highlight w:val="none"/>
        </w:rPr>
        <w:t>成立时间：</w:t>
      </w:r>
    </w:p>
    <w:p>
      <w:pPr>
        <w:spacing w:line="440" w:lineRule="exact"/>
        <w:rPr>
          <w:rFonts w:ascii="宋体"/>
          <w:color w:val="auto"/>
          <w:sz w:val="24"/>
          <w:highlight w:val="none"/>
        </w:rPr>
      </w:pPr>
    </w:p>
    <w:p>
      <w:pPr>
        <w:spacing w:line="440" w:lineRule="exact"/>
        <w:ind w:left="960" w:hanging="960" w:hangingChars="400"/>
        <w:rPr>
          <w:rFonts w:ascii="宋体"/>
          <w:color w:val="auto"/>
          <w:sz w:val="24"/>
          <w:highlight w:val="none"/>
        </w:rPr>
      </w:pPr>
      <w:r>
        <w:rPr>
          <w:rFonts w:hint="eastAsia" w:ascii="宋体" w:hAnsi="宋体"/>
          <w:color w:val="auto"/>
          <w:sz w:val="24"/>
          <w:highlight w:val="none"/>
        </w:rPr>
        <w:t>说明：</w:t>
      </w:r>
      <w:r>
        <w:rPr>
          <w:rFonts w:ascii="宋体" w:hAnsi="宋体"/>
          <w:color w:val="auto"/>
          <w:sz w:val="24"/>
          <w:highlight w:val="none"/>
        </w:rPr>
        <w:t>1.</w:t>
      </w:r>
      <w:r>
        <w:rPr>
          <w:rFonts w:hint="eastAsia" w:ascii="宋体" w:hAnsi="宋体"/>
          <w:color w:val="auto"/>
          <w:sz w:val="24"/>
          <w:highlight w:val="none"/>
        </w:rPr>
        <w:t>法定代表人</w:t>
      </w:r>
      <w:r>
        <w:rPr>
          <w:rFonts w:ascii="宋体" w:hAnsi="宋体"/>
          <w:color w:val="auto"/>
          <w:sz w:val="24"/>
          <w:highlight w:val="none"/>
        </w:rPr>
        <w:t>/</w:t>
      </w:r>
      <w:r>
        <w:rPr>
          <w:rFonts w:hint="eastAsia" w:ascii="宋体" w:hAnsi="宋体"/>
          <w:color w:val="auto"/>
          <w:sz w:val="24"/>
          <w:highlight w:val="none"/>
        </w:rPr>
        <w:t>负责人为企业事业单位、国家机关、社会团体的主要行政负责人。</w:t>
      </w:r>
    </w:p>
    <w:p>
      <w:pPr>
        <w:spacing w:line="440" w:lineRule="exact"/>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内容必须填写真实、清楚、涂改无效，不得转让、买卖。</w:t>
      </w:r>
    </w:p>
    <w:p>
      <w:pPr>
        <w:spacing w:line="440" w:lineRule="exact"/>
        <w:ind w:firstLine="720" w:firstLineChars="300"/>
        <w:rPr>
          <w:rFonts w:ascii="宋体"/>
          <w:b/>
          <w:color w:val="auto"/>
          <w:sz w:val="24"/>
          <w:highlight w:val="none"/>
        </w:rPr>
      </w:pPr>
      <w:r>
        <w:rPr>
          <w:rFonts w:ascii="宋体" w:hAnsi="宋体"/>
          <w:color w:val="auto"/>
          <w:sz w:val="24"/>
          <w:highlight w:val="none"/>
        </w:rPr>
        <w:t>3.</w:t>
      </w:r>
      <w:r>
        <w:rPr>
          <w:rFonts w:hint="eastAsia" w:ascii="宋体" w:hAnsi="宋体"/>
          <w:color w:val="auto"/>
          <w:sz w:val="24"/>
          <w:highlight w:val="none"/>
        </w:rPr>
        <w:t>将此证明书提交对方作为合同附件</w:t>
      </w:r>
      <w:r>
        <w:rPr>
          <w:rFonts w:hint="eastAsia" w:ascii="宋体" w:hAnsi="宋体"/>
          <w:b/>
          <w:color w:val="auto"/>
          <w:sz w:val="24"/>
          <w:highlight w:val="none"/>
        </w:rPr>
        <w:t>。</w:t>
      </w:r>
    </w:p>
    <w:p>
      <w:pPr>
        <w:rPr>
          <w:rFonts w:ascii="宋体"/>
          <w:color w:val="auto"/>
          <w:sz w:val="24"/>
          <w:highlight w:val="none"/>
        </w:rPr>
      </w:pPr>
    </w:p>
    <w:p>
      <w:pPr>
        <w:rPr>
          <w:rFonts w:ascii="宋体"/>
          <w:color w:val="auto"/>
          <w:sz w:val="24"/>
          <w:highlight w:val="none"/>
        </w:rPr>
      </w:pPr>
    </w:p>
    <w:p>
      <w:pPr>
        <w:spacing w:after="120" w:afterLines="50"/>
        <w:ind w:left="3" w:leftChars="-85" w:hanging="181" w:hangingChars="75"/>
        <w:rPr>
          <w:rFonts w:ascii="宋体"/>
          <w:b/>
          <w:color w:val="auto"/>
          <w:sz w:val="24"/>
          <w:highlight w:val="none"/>
        </w:rPr>
      </w:pPr>
      <w:r>
        <w:rPr>
          <w:rFonts w:hint="eastAsia" w:ascii="宋体" w:hAnsi="宋体"/>
          <w:b/>
          <w:color w:val="auto"/>
          <w:sz w:val="24"/>
          <w:highlight w:val="none"/>
        </w:rPr>
        <w:t>附：法定代表人</w:t>
      </w:r>
      <w:r>
        <w:rPr>
          <w:rFonts w:ascii="宋体" w:hAnsi="宋体"/>
          <w:b/>
          <w:color w:val="auto"/>
          <w:sz w:val="24"/>
          <w:highlight w:val="none"/>
        </w:rPr>
        <w:t>/</w:t>
      </w:r>
      <w:r>
        <w:rPr>
          <w:rFonts w:hint="eastAsia" w:ascii="宋体" w:hAnsi="宋体"/>
          <w:b/>
          <w:color w:val="auto"/>
          <w:sz w:val="24"/>
          <w:highlight w:val="none"/>
        </w:rPr>
        <w:t>负责人的身份证复印件：</w:t>
      </w:r>
    </w:p>
    <w:tbl>
      <w:tblPr>
        <w:tblStyle w:val="19"/>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noWrap w:val="0"/>
            <w:vAlign w:val="center"/>
          </w:tcPr>
          <w:p>
            <w:pPr>
              <w:spacing w:line="360" w:lineRule="auto"/>
              <w:jc w:val="center"/>
              <w:rPr>
                <w:rFonts w:hAnsi="宋体"/>
                <w:color w:val="auto"/>
                <w:sz w:val="24"/>
                <w:highlight w:val="none"/>
              </w:rPr>
            </w:pPr>
            <w:r>
              <w:rPr>
                <w:rFonts w:hint="eastAsia" w:hAnsi="宋体"/>
                <w:color w:val="auto"/>
                <w:sz w:val="24"/>
                <w:highlight w:val="none"/>
              </w:rPr>
              <w:t>粘贴法定代表人</w:t>
            </w:r>
            <w:r>
              <w:rPr>
                <w:rFonts w:ascii="宋体" w:hAnsi="宋体"/>
                <w:color w:val="auto"/>
                <w:sz w:val="24"/>
                <w:highlight w:val="none"/>
              </w:rPr>
              <w:t>/</w:t>
            </w:r>
            <w:r>
              <w:rPr>
                <w:rFonts w:hint="eastAsia" w:ascii="宋体" w:hAnsi="宋体"/>
                <w:color w:val="auto"/>
                <w:sz w:val="24"/>
                <w:highlight w:val="none"/>
              </w:rPr>
              <w:t>负责人</w:t>
            </w:r>
            <w:r>
              <w:rPr>
                <w:rFonts w:hint="eastAsia" w:hAnsi="宋体"/>
                <w:color w:val="auto"/>
                <w:sz w:val="24"/>
                <w:highlight w:val="none"/>
              </w:rPr>
              <w:t>身份证复印件</w:t>
            </w:r>
            <w:r>
              <w:rPr>
                <w:rFonts w:hint="eastAsia" w:hAnsi="宋体"/>
                <w:b/>
                <w:color w:val="auto"/>
                <w:sz w:val="24"/>
                <w:highlight w:val="none"/>
              </w:rPr>
              <w:t>或</w:t>
            </w:r>
            <w:r>
              <w:rPr>
                <w:rFonts w:hint="eastAsia" w:hAnsi="宋体"/>
                <w:color w:val="auto"/>
                <w:sz w:val="24"/>
                <w:highlight w:val="none"/>
              </w:rPr>
              <w:t>直接扫描到此张纸上。</w:t>
            </w:r>
          </w:p>
          <w:p>
            <w:pPr>
              <w:spacing w:line="360" w:lineRule="auto"/>
              <w:jc w:val="center"/>
              <w:rPr>
                <w:rFonts w:ascii="宋体"/>
                <w:b/>
                <w:color w:val="auto"/>
                <w:sz w:val="24"/>
                <w:highlight w:val="none"/>
              </w:rPr>
            </w:pPr>
            <w:r>
              <w:rPr>
                <w:rFonts w:hint="eastAsia" w:hAnsi="宋体"/>
                <w:color w:val="auto"/>
                <w:sz w:val="24"/>
                <w:highlight w:val="none"/>
              </w:rPr>
              <w:t>注：若页面不够位置的，可另行附页，但须紧接此页</w:t>
            </w:r>
          </w:p>
        </w:tc>
      </w:tr>
    </w:tbl>
    <w:p>
      <w:pPr>
        <w:rPr>
          <w:rFonts w:ascii="宋体"/>
          <w:b/>
          <w:color w:val="auto"/>
          <w:sz w:val="24"/>
          <w:highlight w:val="none"/>
        </w:rPr>
      </w:pPr>
    </w:p>
    <w:p>
      <w:pPr>
        <w:ind w:left="472" w:hanging="472" w:hangingChars="196"/>
        <w:rPr>
          <w:rFonts w:ascii="宋体"/>
          <w:b/>
          <w:color w:val="auto"/>
          <w:sz w:val="24"/>
          <w:highlight w:val="none"/>
        </w:rPr>
      </w:pPr>
      <w:r>
        <w:rPr>
          <w:rFonts w:hint="eastAsia" w:ascii="宋体" w:hAnsi="宋体"/>
          <w:b/>
          <w:color w:val="auto"/>
          <w:sz w:val="24"/>
          <w:highlight w:val="none"/>
        </w:rPr>
        <w:t>注：法定代表人</w:t>
      </w:r>
      <w:r>
        <w:rPr>
          <w:rFonts w:ascii="宋体" w:hAnsi="宋体"/>
          <w:b/>
          <w:color w:val="auto"/>
          <w:sz w:val="24"/>
          <w:highlight w:val="none"/>
        </w:rPr>
        <w:t>/</w:t>
      </w:r>
      <w:r>
        <w:rPr>
          <w:rFonts w:hint="eastAsia" w:ascii="宋体" w:hAnsi="宋体"/>
          <w:b/>
          <w:color w:val="auto"/>
          <w:sz w:val="24"/>
          <w:highlight w:val="none"/>
        </w:rPr>
        <w:t>负责人或授权代表人在递交</w:t>
      </w:r>
      <w:r>
        <w:rPr>
          <w:rFonts w:hint="eastAsia" w:ascii="宋体" w:hAnsi="宋体"/>
          <w:b/>
          <w:color w:val="auto"/>
          <w:sz w:val="24"/>
          <w:highlight w:val="none"/>
          <w:lang w:eastAsia="zh-CN"/>
        </w:rPr>
        <w:t>竞投</w:t>
      </w:r>
      <w:r>
        <w:rPr>
          <w:rFonts w:hint="eastAsia" w:ascii="宋体" w:hAnsi="宋体"/>
          <w:b/>
          <w:color w:val="auto"/>
          <w:sz w:val="24"/>
          <w:highlight w:val="none"/>
        </w:rPr>
        <w:t>文件时，须向</w:t>
      </w:r>
      <w:r>
        <w:rPr>
          <w:rFonts w:hint="eastAsia" w:ascii="宋体" w:hAnsi="宋体"/>
          <w:b/>
          <w:color w:val="auto"/>
          <w:sz w:val="24"/>
          <w:highlight w:val="none"/>
          <w:lang w:eastAsia="zh-CN"/>
        </w:rPr>
        <w:t>招标代理机构</w:t>
      </w:r>
      <w:r>
        <w:rPr>
          <w:rFonts w:hint="eastAsia" w:ascii="宋体" w:hAnsi="宋体"/>
          <w:b/>
          <w:color w:val="auto"/>
          <w:sz w:val="24"/>
          <w:highlight w:val="none"/>
        </w:rPr>
        <w:t>人员出示此份证明书的</w:t>
      </w:r>
      <w:r>
        <w:rPr>
          <w:rFonts w:hint="eastAsia" w:ascii="宋体" w:hAnsi="宋体"/>
          <w:b/>
          <w:color w:val="auto"/>
          <w:sz w:val="24"/>
          <w:highlight w:val="none"/>
          <w:u w:val="single"/>
        </w:rPr>
        <w:t>原件</w:t>
      </w:r>
      <w:r>
        <w:rPr>
          <w:rFonts w:hint="eastAsia" w:ascii="宋体" w:hAnsi="宋体"/>
          <w:b/>
          <w:color w:val="auto"/>
          <w:sz w:val="24"/>
          <w:highlight w:val="none"/>
        </w:rPr>
        <w:t>，否则，</w:t>
      </w:r>
      <w:r>
        <w:rPr>
          <w:rFonts w:hint="eastAsia" w:ascii="宋体" w:hAnsi="宋体"/>
          <w:b/>
          <w:color w:val="auto"/>
          <w:sz w:val="24"/>
          <w:highlight w:val="none"/>
          <w:lang w:eastAsia="zh-CN"/>
        </w:rPr>
        <w:t>招标代理机构</w:t>
      </w:r>
      <w:r>
        <w:rPr>
          <w:rFonts w:hint="eastAsia" w:ascii="宋体" w:hAnsi="宋体"/>
          <w:b/>
          <w:color w:val="auto"/>
          <w:sz w:val="24"/>
          <w:highlight w:val="none"/>
        </w:rPr>
        <w:t>将有权拒收其</w:t>
      </w:r>
      <w:r>
        <w:rPr>
          <w:rFonts w:hint="eastAsia" w:ascii="宋体" w:hAnsi="宋体"/>
          <w:b/>
          <w:color w:val="auto"/>
          <w:sz w:val="24"/>
          <w:highlight w:val="none"/>
          <w:lang w:eastAsia="zh-CN"/>
        </w:rPr>
        <w:t>资格审查</w:t>
      </w:r>
      <w:r>
        <w:rPr>
          <w:rFonts w:hint="eastAsia" w:ascii="宋体" w:hAnsi="宋体"/>
          <w:b/>
          <w:color w:val="auto"/>
          <w:sz w:val="24"/>
          <w:highlight w:val="none"/>
        </w:rPr>
        <w:t>文件。</w:t>
      </w:r>
    </w:p>
    <w:p>
      <w:pPr>
        <w:rPr>
          <w:rFonts w:ascii="宋体"/>
          <w:b/>
          <w:color w:val="auto"/>
          <w:szCs w:val="21"/>
          <w:highlight w:val="none"/>
        </w:rPr>
      </w:pPr>
      <w:r>
        <w:rPr>
          <w:color w:val="auto"/>
          <w:sz w:val="24"/>
          <w:highlight w:val="none"/>
        </w:rPr>
        <w:br w:type="page"/>
      </w:r>
    </w:p>
    <w:p>
      <w:pPr>
        <w:spacing w:after="120" w:afterLines="50" w:line="360" w:lineRule="auto"/>
        <w:jc w:val="center"/>
        <w:outlineLvl w:val="2"/>
        <w:rPr>
          <w:rFonts w:hint="eastAsia" w:ascii="宋体" w:eastAsia="宋体"/>
          <w:b/>
          <w:color w:val="auto"/>
          <w:sz w:val="36"/>
          <w:szCs w:val="36"/>
          <w:highlight w:val="none"/>
          <w:lang w:eastAsia="zh-CN"/>
        </w:rPr>
      </w:pPr>
      <w:bookmarkStart w:id="101" w:name="_Toc31129"/>
      <w:bookmarkStart w:id="102" w:name="_Toc7452"/>
      <w:bookmarkStart w:id="103" w:name="_Toc13271"/>
      <w:bookmarkStart w:id="104" w:name="_Toc19126"/>
      <w:bookmarkStart w:id="105" w:name="_Toc18905"/>
      <w:bookmarkStart w:id="106" w:name="_Toc1989"/>
      <w:bookmarkStart w:id="107" w:name="_Toc3208"/>
      <w:bookmarkStart w:id="108" w:name="_Toc28451"/>
      <w:r>
        <w:rPr>
          <w:rFonts w:ascii="宋体" w:hAnsi="宋体"/>
          <w:b/>
          <w:color w:val="auto"/>
          <w:sz w:val="36"/>
          <w:szCs w:val="36"/>
          <w:highlight w:val="none"/>
        </w:rPr>
        <w:t>1.2</w:t>
      </w:r>
      <w:r>
        <w:rPr>
          <w:rFonts w:hint="eastAsia" w:ascii="宋体" w:hAnsi="宋体"/>
          <w:b/>
          <w:color w:val="auto"/>
          <w:sz w:val="36"/>
          <w:szCs w:val="36"/>
          <w:highlight w:val="none"/>
        </w:rPr>
        <w:t>法定代表人</w:t>
      </w:r>
      <w:r>
        <w:rPr>
          <w:rFonts w:ascii="宋体" w:hAnsi="宋体"/>
          <w:b/>
          <w:color w:val="auto"/>
          <w:sz w:val="36"/>
          <w:szCs w:val="36"/>
          <w:highlight w:val="none"/>
        </w:rPr>
        <w:t>/</w:t>
      </w:r>
      <w:r>
        <w:rPr>
          <w:rFonts w:hint="eastAsia" w:ascii="宋体" w:hAnsi="宋体"/>
          <w:b/>
          <w:color w:val="auto"/>
          <w:sz w:val="36"/>
          <w:szCs w:val="36"/>
          <w:highlight w:val="none"/>
        </w:rPr>
        <w:t>负责人授权书</w:t>
      </w:r>
      <w:bookmarkEnd w:id="101"/>
      <w:bookmarkEnd w:id="102"/>
      <w:bookmarkEnd w:id="103"/>
      <w:bookmarkEnd w:id="104"/>
      <w:bookmarkEnd w:id="105"/>
      <w:bookmarkEnd w:id="106"/>
      <w:bookmarkEnd w:id="107"/>
      <w:bookmarkEnd w:id="108"/>
    </w:p>
    <w:p>
      <w:pPr>
        <w:spacing w:after="120" w:afterLines="50" w:line="360" w:lineRule="auto"/>
        <w:rPr>
          <w:rFonts w:hint="eastAsia" w:ascii="宋体" w:eastAsia="宋体"/>
          <w:color w:val="auto"/>
          <w:sz w:val="24"/>
          <w:highlight w:val="none"/>
          <w:lang w:eastAsia="zh-CN"/>
        </w:rPr>
      </w:pPr>
      <w:r>
        <w:rPr>
          <w:rFonts w:hint="eastAsia" w:ascii="宋体" w:hAnsi="宋体"/>
          <w:b/>
          <w:color w:val="auto"/>
          <w:sz w:val="24"/>
          <w:highlight w:val="none"/>
        </w:rPr>
        <w:t>致：</w:t>
      </w:r>
      <w:r>
        <w:rPr>
          <w:rFonts w:hint="eastAsia" w:ascii="宋体" w:hAnsi="宋体"/>
          <w:b/>
          <w:color w:val="auto"/>
          <w:sz w:val="24"/>
          <w:highlight w:val="none"/>
          <w:lang w:eastAsia="zh-CN"/>
        </w:rPr>
        <w:t>佛山市禅城区南庄镇吉利村竹甫经济合作社</w:t>
      </w:r>
      <w:r>
        <w:rPr>
          <w:rFonts w:hint="eastAsia" w:ascii="宋体" w:hAnsi="宋体"/>
          <w:b/>
          <w:color w:val="auto"/>
          <w:sz w:val="24"/>
          <w:highlight w:val="none"/>
        </w:rPr>
        <w:t>、</w:t>
      </w:r>
      <w:r>
        <w:rPr>
          <w:rFonts w:hint="eastAsia" w:ascii="宋体" w:hAnsi="宋体"/>
          <w:b/>
          <w:color w:val="auto"/>
          <w:sz w:val="24"/>
          <w:highlight w:val="none"/>
          <w:lang w:eastAsia="zh-CN"/>
        </w:rPr>
        <w:t>广东中采招标有限公司</w:t>
      </w:r>
    </w:p>
    <w:p>
      <w:pPr>
        <w:spacing w:line="324" w:lineRule="auto"/>
        <w:ind w:firstLine="480" w:firstLineChars="200"/>
        <w:rPr>
          <w:rFonts w:ascii="宋体"/>
          <w:color w:val="auto"/>
          <w:sz w:val="24"/>
          <w:highlight w:val="none"/>
          <w:lang w:val="en-GB"/>
        </w:rPr>
      </w:pPr>
      <w:r>
        <w:rPr>
          <w:rFonts w:hint="eastAsia" w:ascii="宋体" w:hAnsi="宋体"/>
          <w:color w:val="auto"/>
          <w:sz w:val="24"/>
          <w:highlight w:val="none"/>
          <w:lang w:val="en-GB"/>
        </w:rPr>
        <w:t>我单位特授权委任以下之现职员工，作为我方于本项目</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的唯一</w:t>
      </w:r>
      <w:r>
        <w:rPr>
          <w:rFonts w:hint="eastAsia" w:ascii="宋体" w:hAnsi="宋体" w:cs="宋体"/>
          <w:color w:val="auto"/>
          <w:sz w:val="24"/>
          <w:highlight w:val="none"/>
          <w:lang w:val="en-GB"/>
        </w:rPr>
        <w:t>全权代表</w:t>
      </w:r>
      <w:r>
        <w:rPr>
          <w:rFonts w:hint="eastAsia" w:ascii="宋体" w:hAnsi="宋体"/>
          <w:color w:val="auto"/>
          <w:sz w:val="24"/>
          <w:highlight w:val="none"/>
          <w:lang w:val="en-GB"/>
        </w:rPr>
        <w:t>，亲自出席参与贵方承办的项目</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，对该代表人所提供、签署的一切文书均视为符合我方的合法利益和真实意愿，我方愿为其</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行为承担全部责任。</w:t>
      </w:r>
    </w:p>
    <w:p>
      <w:pPr>
        <w:spacing w:line="324" w:lineRule="auto"/>
        <w:ind w:left="1727" w:leftChars="251" w:hanging="1200" w:hangingChars="500"/>
        <w:jc w:val="left"/>
        <w:rPr>
          <w:rFonts w:hint="eastAsia" w:ascii="宋体" w:eastAsia="宋体"/>
          <w:color w:val="auto"/>
          <w:sz w:val="24"/>
          <w:highlight w:val="none"/>
          <w:lang w:val="en-GB" w:eastAsia="zh-CN"/>
        </w:rPr>
      </w:pPr>
      <w:r>
        <w:rPr>
          <w:rFonts w:hint="eastAsia" w:ascii="宋体" w:hAnsi="宋体"/>
          <w:color w:val="auto"/>
          <w:sz w:val="24"/>
          <w:highlight w:val="none"/>
        </w:rPr>
        <w:t>项目名称：</w:t>
      </w:r>
      <w:r>
        <w:rPr>
          <w:rFonts w:hint="eastAsia" w:ascii="宋体" w:hAnsi="宋体"/>
          <w:color w:val="auto"/>
          <w:sz w:val="24"/>
          <w:highlight w:val="none"/>
          <w:lang w:val="en-GB" w:eastAsia="zh-CN"/>
        </w:rPr>
        <w:t>吉利竹甫村车辆停放管理服务</w:t>
      </w:r>
    </w:p>
    <w:p>
      <w:pPr>
        <w:spacing w:line="324" w:lineRule="auto"/>
        <w:ind w:firstLine="480" w:firstLineChars="200"/>
        <w:jc w:val="left"/>
        <w:rPr>
          <w:rFonts w:ascii="宋体"/>
          <w:color w:val="auto"/>
          <w:sz w:val="24"/>
          <w:highlight w:val="none"/>
        </w:rPr>
      </w:pPr>
      <w:r>
        <w:rPr>
          <w:rFonts w:hint="eastAsia" w:ascii="宋体" w:hAnsi="宋体"/>
          <w:color w:val="auto"/>
          <w:sz w:val="24"/>
          <w:highlight w:val="none"/>
        </w:rPr>
        <w:t>委任授权代表姓名：</w:t>
      </w:r>
      <w:r>
        <w:rPr>
          <w:rFonts w:hint="eastAsia" w:ascii="宋体" w:hAnsi="宋体"/>
          <w:color w:val="auto"/>
          <w:sz w:val="24"/>
          <w:highlight w:val="none"/>
          <w:u w:val="single"/>
        </w:rPr>
        <w:t>（印刷体）</w:t>
      </w:r>
      <w:r>
        <w:rPr>
          <w:rFonts w:hint="eastAsia" w:ascii="宋体" w:hAnsi="宋体"/>
          <w:color w:val="auto"/>
          <w:sz w:val="24"/>
          <w:highlight w:val="none"/>
        </w:rPr>
        <w:t>，身份证号码：；</w:t>
      </w:r>
    </w:p>
    <w:p>
      <w:pPr>
        <w:spacing w:line="324" w:lineRule="auto"/>
        <w:ind w:firstLine="480" w:firstLineChars="200"/>
        <w:jc w:val="left"/>
        <w:rPr>
          <w:color w:val="auto"/>
          <w:highlight w:val="none"/>
        </w:rPr>
      </w:pPr>
      <w:r>
        <w:rPr>
          <w:rFonts w:hint="eastAsia" w:ascii="宋体" w:hAnsi="宋体"/>
          <w:color w:val="auto"/>
          <w:sz w:val="24"/>
          <w:highlight w:val="none"/>
        </w:rPr>
        <w:t>委任授权代表姓名：</w:t>
      </w:r>
      <w:r>
        <w:rPr>
          <w:rFonts w:hint="eastAsia" w:ascii="宋体" w:hAnsi="宋体"/>
          <w:color w:val="auto"/>
          <w:sz w:val="24"/>
          <w:highlight w:val="none"/>
          <w:u w:val="single"/>
        </w:rPr>
        <w:t>（亲笔签名）</w:t>
      </w:r>
      <w:r>
        <w:rPr>
          <w:rFonts w:hint="eastAsia" w:ascii="宋体" w:hAnsi="宋体"/>
          <w:color w:val="auto"/>
          <w:sz w:val="24"/>
          <w:highlight w:val="none"/>
        </w:rPr>
        <w:t>；</w:t>
      </w:r>
    </w:p>
    <w:p>
      <w:pPr>
        <w:spacing w:line="324" w:lineRule="auto"/>
        <w:ind w:firstLine="480" w:firstLineChars="200"/>
        <w:jc w:val="left"/>
        <w:rPr>
          <w:rFonts w:hint="eastAsia" w:ascii="宋体" w:eastAsia="宋体"/>
          <w:color w:val="auto"/>
          <w:sz w:val="24"/>
          <w:highlight w:val="none"/>
          <w:lang w:eastAsia="zh-CN"/>
        </w:rPr>
      </w:pPr>
      <w:r>
        <w:rPr>
          <w:rFonts w:hint="eastAsia" w:ascii="宋体" w:hAnsi="宋体"/>
          <w:color w:val="auto"/>
          <w:sz w:val="24"/>
          <w:highlight w:val="none"/>
        </w:rPr>
        <w:t>联系电话（手机）：，现职务：；</w:t>
      </w:r>
    </w:p>
    <w:p>
      <w:pPr>
        <w:spacing w:line="324" w:lineRule="auto"/>
        <w:ind w:firstLine="480" w:firstLineChars="200"/>
        <w:jc w:val="left"/>
        <w:rPr>
          <w:rFonts w:ascii="宋体"/>
          <w:color w:val="auto"/>
          <w:sz w:val="24"/>
          <w:highlight w:val="none"/>
        </w:rPr>
      </w:pPr>
      <w:r>
        <w:rPr>
          <w:rFonts w:hint="eastAsia" w:ascii="宋体" w:hAnsi="宋体"/>
          <w:color w:val="auto"/>
          <w:sz w:val="24"/>
          <w:highlight w:val="none"/>
        </w:rPr>
        <w:t>授权权限：全权代表本单位参与上述项目的</w:t>
      </w:r>
      <w:r>
        <w:rPr>
          <w:rFonts w:hint="eastAsia" w:ascii="宋体" w:hAnsi="宋体"/>
          <w:color w:val="auto"/>
          <w:sz w:val="24"/>
          <w:highlight w:val="none"/>
          <w:lang w:eastAsia="zh-CN"/>
        </w:rPr>
        <w:t>竞投</w:t>
      </w:r>
      <w:r>
        <w:rPr>
          <w:rFonts w:hint="eastAsia" w:ascii="宋体" w:hAnsi="宋体"/>
          <w:color w:val="auto"/>
          <w:sz w:val="24"/>
          <w:highlight w:val="none"/>
        </w:rPr>
        <w:t>、</w:t>
      </w:r>
      <w:r>
        <w:rPr>
          <w:rFonts w:hint="eastAsia" w:ascii="宋体" w:hAnsi="宋体" w:cs="宋体"/>
          <w:color w:val="auto"/>
          <w:sz w:val="24"/>
          <w:highlight w:val="none"/>
          <w:lang w:val="en-GB"/>
        </w:rPr>
        <w:t>递交</w:t>
      </w:r>
      <w:r>
        <w:rPr>
          <w:rFonts w:hint="eastAsia" w:ascii="宋体" w:hAnsi="宋体" w:cs="宋体"/>
          <w:color w:val="auto"/>
          <w:sz w:val="24"/>
          <w:highlight w:val="none"/>
          <w:lang w:val="en-GB" w:eastAsia="zh-CN"/>
        </w:rPr>
        <w:t>资格审查</w:t>
      </w:r>
      <w:r>
        <w:rPr>
          <w:rFonts w:hint="eastAsia" w:ascii="宋体" w:hAnsi="宋体" w:cs="宋体"/>
          <w:color w:val="auto"/>
          <w:sz w:val="24"/>
          <w:highlight w:val="none"/>
          <w:lang w:val="en-GB"/>
        </w:rPr>
        <w:t>文件、出席</w:t>
      </w:r>
      <w:r>
        <w:rPr>
          <w:rFonts w:hint="eastAsia" w:ascii="宋体" w:hAnsi="宋体" w:cs="宋体"/>
          <w:color w:val="auto"/>
          <w:sz w:val="24"/>
          <w:highlight w:val="none"/>
          <w:lang w:val="en-GB" w:eastAsia="zh-CN"/>
        </w:rPr>
        <w:t>竞投会</w:t>
      </w:r>
      <w:r>
        <w:rPr>
          <w:rFonts w:hint="eastAsia" w:ascii="宋体" w:hAnsi="宋体" w:cs="宋体"/>
          <w:color w:val="auto"/>
          <w:sz w:val="24"/>
          <w:highlight w:val="none"/>
          <w:lang w:val="en-GB"/>
        </w:rPr>
        <w:t>全程、</w:t>
      </w:r>
      <w:r>
        <w:rPr>
          <w:rFonts w:hint="eastAsia" w:ascii="宋体" w:hAnsi="宋体" w:cs="宋体"/>
          <w:color w:val="auto"/>
          <w:sz w:val="24"/>
          <w:highlight w:val="none"/>
          <w:lang w:val="en-GB" w:eastAsia="zh-CN"/>
        </w:rPr>
        <w:t>现场应价</w:t>
      </w:r>
      <w:r>
        <w:rPr>
          <w:rFonts w:hint="eastAsia" w:ascii="宋体" w:hAnsi="宋体" w:cs="宋体"/>
          <w:color w:val="auto"/>
          <w:sz w:val="24"/>
          <w:highlight w:val="none"/>
          <w:lang w:val="en-GB"/>
        </w:rPr>
        <w:t>；按照采</w:t>
      </w:r>
      <w:r>
        <w:rPr>
          <w:rFonts w:hint="eastAsia" w:ascii="宋体" w:hAnsi="宋体" w:cs="宋体"/>
          <w:color w:val="auto"/>
          <w:sz w:val="24"/>
          <w:highlight w:val="none"/>
          <w:lang w:val="en-GB" w:eastAsia="zh-CN"/>
        </w:rPr>
        <w:t>招标人</w:t>
      </w:r>
      <w:r>
        <w:rPr>
          <w:rFonts w:hint="eastAsia" w:ascii="宋体" w:hAnsi="宋体" w:cs="宋体"/>
          <w:color w:val="auto"/>
          <w:sz w:val="24"/>
          <w:highlight w:val="none"/>
          <w:lang w:val="en-GB"/>
        </w:rPr>
        <w:t>的要求现场处理</w:t>
      </w:r>
      <w:r>
        <w:rPr>
          <w:rFonts w:hint="eastAsia" w:ascii="宋体" w:hAnsi="宋体" w:cs="宋体"/>
          <w:color w:val="auto"/>
          <w:sz w:val="24"/>
          <w:highlight w:val="none"/>
          <w:lang w:val="en-GB" w:eastAsia="zh-CN"/>
        </w:rPr>
        <w:t>竞投</w:t>
      </w:r>
      <w:r>
        <w:rPr>
          <w:rFonts w:hint="eastAsia" w:ascii="宋体" w:hAnsi="宋体" w:cs="宋体"/>
          <w:color w:val="auto"/>
          <w:sz w:val="24"/>
          <w:highlight w:val="none"/>
          <w:lang w:val="en-GB"/>
        </w:rPr>
        <w:t>相关事宜；</w:t>
      </w:r>
      <w:r>
        <w:rPr>
          <w:rFonts w:hint="eastAsia" w:ascii="宋体" w:hAnsi="宋体"/>
          <w:color w:val="auto"/>
          <w:sz w:val="24"/>
          <w:highlight w:val="none"/>
        </w:rPr>
        <w:t>负责提供与签署确认一切文书资料，以及向贵方递交的任何补充承诺。</w:t>
      </w:r>
    </w:p>
    <w:p>
      <w:pPr>
        <w:spacing w:line="324" w:lineRule="auto"/>
        <w:ind w:firstLine="480" w:firstLineChars="200"/>
        <w:jc w:val="left"/>
        <w:rPr>
          <w:rFonts w:ascii="宋体"/>
          <w:color w:val="auto"/>
          <w:sz w:val="24"/>
          <w:highlight w:val="none"/>
        </w:rPr>
      </w:pPr>
      <w:r>
        <w:rPr>
          <w:rFonts w:hint="eastAsia" w:ascii="宋体" w:hAnsi="宋体"/>
          <w:color w:val="auto"/>
          <w:sz w:val="24"/>
          <w:highlight w:val="none"/>
        </w:rPr>
        <w:t>有效期限：与本项目</w:t>
      </w:r>
      <w:r>
        <w:rPr>
          <w:rFonts w:hint="eastAsia" w:ascii="宋体" w:hAnsi="宋体"/>
          <w:color w:val="auto"/>
          <w:sz w:val="24"/>
          <w:highlight w:val="none"/>
          <w:lang w:eastAsia="zh-CN"/>
        </w:rPr>
        <w:t>竞投文件</w:t>
      </w:r>
      <w:r>
        <w:rPr>
          <w:rFonts w:hint="eastAsia" w:ascii="宋体" w:hAnsi="宋体"/>
          <w:color w:val="auto"/>
          <w:sz w:val="24"/>
          <w:highlight w:val="none"/>
        </w:rPr>
        <w:t>要求的</w:t>
      </w:r>
      <w:r>
        <w:rPr>
          <w:rFonts w:hint="eastAsia" w:ascii="宋体" w:hAnsi="宋体"/>
          <w:color w:val="auto"/>
          <w:sz w:val="24"/>
          <w:highlight w:val="none"/>
          <w:lang w:eastAsia="zh-CN"/>
        </w:rPr>
        <w:t>投标有效期</w:t>
      </w:r>
      <w:r>
        <w:rPr>
          <w:rFonts w:hint="eastAsia" w:ascii="宋体" w:hAnsi="宋体"/>
          <w:color w:val="auto"/>
          <w:sz w:val="24"/>
          <w:highlight w:val="none"/>
        </w:rPr>
        <w:t>相同，自本单位盖章之日起生效。</w:t>
      </w:r>
    </w:p>
    <w:p>
      <w:pPr>
        <w:spacing w:after="120" w:afterLines="50" w:line="324" w:lineRule="auto"/>
        <w:ind w:firstLine="480" w:firstLineChars="200"/>
        <w:jc w:val="left"/>
        <w:rPr>
          <w:rFonts w:ascii="宋体"/>
          <w:color w:val="auto"/>
          <w:sz w:val="24"/>
          <w:highlight w:val="none"/>
        </w:rPr>
      </w:pPr>
      <w:r>
        <w:rPr>
          <w:rFonts w:hint="eastAsia" w:ascii="宋体" w:hAnsi="宋体"/>
          <w:color w:val="auto"/>
          <w:sz w:val="24"/>
          <w:highlight w:val="none"/>
        </w:rPr>
        <w:t>特此授权证明。</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eastAsia="zh-CN"/>
        </w:rPr>
        <w:t>投标人</w:t>
      </w:r>
      <w:r>
        <w:rPr>
          <w:rFonts w:hint="eastAsia" w:ascii="黑体" w:eastAsia="黑体"/>
          <w:color w:val="auto"/>
          <w:sz w:val="24"/>
          <w:highlight w:val="none"/>
          <w:lang w:val="en-GB"/>
        </w:rPr>
        <w:t>名称：</w:t>
      </w:r>
      <w:r>
        <w:rPr>
          <w:rFonts w:hint="eastAsia" w:ascii="黑体" w:eastAsia="黑体"/>
          <w:color w:val="auto"/>
          <w:sz w:val="24"/>
          <w:highlight w:val="none"/>
          <w:u w:val="dotted"/>
          <w:lang w:val="en-GB"/>
        </w:rPr>
        <w:t>（全称）</w:t>
      </w:r>
      <w:r>
        <w:rPr>
          <w:rFonts w:hint="eastAsia" w:ascii="黑体" w:eastAsia="黑体"/>
          <w:color w:val="auto"/>
          <w:sz w:val="24"/>
          <w:highlight w:val="none"/>
          <w:lang w:val="en-GB"/>
        </w:rPr>
        <w:t>（加盖</w:t>
      </w:r>
      <w:r>
        <w:rPr>
          <w:rFonts w:hint="eastAsia" w:ascii="黑体" w:eastAsia="黑体"/>
          <w:color w:val="auto"/>
          <w:sz w:val="24"/>
          <w:highlight w:val="none"/>
          <w:lang w:val="en-GB" w:eastAsia="zh-CN"/>
        </w:rPr>
        <w:t>投标人</w:t>
      </w:r>
      <w:r>
        <w:rPr>
          <w:rFonts w:hint="eastAsia" w:ascii="黑体" w:eastAsia="黑体"/>
          <w:color w:val="auto"/>
          <w:sz w:val="24"/>
          <w:highlight w:val="none"/>
          <w:lang w:val="en-GB"/>
        </w:rPr>
        <w:t>公章）</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rPr>
        <w:t>法定代表人（或负责人）：（亲笔签名或签章）</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rPr>
        <w:t>委任授权代表：（亲笔签名或签章）</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rPr>
        <w:t>生效日期：</w:t>
      </w:r>
      <w:r>
        <w:rPr>
          <w:rFonts w:hint="eastAsia" w:ascii="黑体" w:eastAsia="黑体"/>
          <w:color w:val="auto"/>
          <w:sz w:val="24"/>
          <w:highlight w:val="none"/>
          <w:lang w:val="en-GB" w:eastAsia="zh-CN"/>
        </w:rPr>
        <w:t>2024</w:t>
      </w:r>
      <w:r>
        <w:rPr>
          <w:rFonts w:hint="eastAsia" w:ascii="黑体" w:eastAsia="黑体"/>
          <w:color w:val="auto"/>
          <w:sz w:val="24"/>
          <w:highlight w:val="none"/>
          <w:lang w:val="en-GB"/>
        </w:rPr>
        <w:t>年月日。</w:t>
      </w:r>
    </w:p>
    <w:p>
      <w:pPr>
        <w:spacing w:line="264" w:lineRule="auto"/>
        <w:ind w:left="420" w:leftChars="200" w:right="363" w:rightChars="173"/>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说明：</w:t>
      </w:r>
    </w:p>
    <w:p>
      <w:pPr>
        <w:spacing w:line="264" w:lineRule="auto"/>
        <w:ind w:left="780" w:leftChars="200" w:right="363" w:rightChars="173" w:hanging="360" w:hangingChars="15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1、</w:t>
      </w:r>
      <w:r>
        <w:rPr>
          <w:rFonts w:hint="eastAsia" w:asciiTheme="minorEastAsia" w:hAnsiTheme="minorEastAsia" w:eastAsiaTheme="minorEastAsia" w:cstheme="minorEastAsia"/>
          <w:color w:val="auto"/>
          <w:sz w:val="24"/>
          <w:szCs w:val="24"/>
          <w:highlight w:val="none"/>
          <w:u w:val="single"/>
          <w:lang w:val="en-GB"/>
        </w:rPr>
        <w:t>法定代表人</w:t>
      </w:r>
      <w:r>
        <w:rPr>
          <w:rFonts w:hint="eastAsia" w:asciiTheme="minorEastAsia" w:hAnsiTheme="minorEastAsia" w:eastAsiaTheme="minorEastAsia" w:cstheme="minorEastAsia"/>
          <w:color w:val="auto"/>
          <w:sz w:val="24"/>
          <w:szCs w:val="24"/>
          <w:highlight w:val="none"/>
          <w:u w:val="single"/>
        </w:rPr>
        <w:t>/负责人</w:t>
      </w:r>
      <w:r>
        <w:rPr>
          <w:rFonts w:hint="eastAsia" w:asciiTheme="minorEastAsia" w:hAnsiTheme="minorEastAsia" w:eastAsiaTheme="minorEastAsia" w:cstheme="minorEastAsia"/>
          <w:color w:val="auto"/>
          <w:sz w:val="24"/>
          <w:szCs w:val="24"/>
          <w:highlight w:val="none"/>
          <w:u w:val="single"/>
          <w:lang w:val="en-GB"/>
        </w:rPr>
        <w:t>或授权代表人在递交</w:t>
      </w:r>
      <w:r>
        <w:rPr>
          <w:rFonts w:hint="eastAsia" w:asciiTheme="minorEastAsia" w:hAnsiTheme="minorEastAsia" w:eastAsiaTheme="minorEastAsia" w:cstheme="minorEastAsia"/>
          <w:color w:val="auto"/>
          <w:sz w:val="24"/>
          <w:szCs w:val="24"/>
          <w:highlight w:val="none"/>
          <w:u w:val="single"/>
          <w:lang w:val="en-GB" w:eastAsia="zh-CN"/>
        </w:rPr>
        <w:t>竞投</w:t>
      </w:r>
      <w:r>
        <w:rPr>
          <w:rFonts w:hint="eastAsia" w:asciiTheme="minorEastAsia" w:hAnsiTheme="minorEastAsia" w:eastAsiaTheme="minorEastAsia" w:cstheme="minorEastAsia"/>
          <w:color w:val="auto"/>
          <w:sz w:val="24"/>
          <w:szCs w:val="24"/>
          <w:highlight w:val="none"/>
          <w:u w:val="single"/>
          <w:lang w:val="en-GB"/>
        </w:rPr>
        <w:t>文件时，须向</w:t>
      </w:r>
      <w:r>
        <w:rPr>
          <w:rFonts w:hint="eastAsia" w:asciiTheme="minorEastAsia" w:hAnsiTheme="minorEastAsia" w:eastAsiaTheme="minorEastAsia" w:cstheme="minorEastAsia"/>
          <w:color w:val="auto"/>
          <w:sz w:val="24"/>
          <w:szCs w:val="24"/>
          <w:highlight w:val="none"/>
          <w:u w:val="single"/>
          <w:lang w:val="en-GB" w:eastAsia="zh-CN"/>
        </w:rPr>
        <w:t>招标代理机构</w:t>
      </w:r>
      <w:r>
        <w:rPr>
          <w:rFonts w:hint="eastAsia" w:asciiTheme="minorEastAsia" w:hAnsiTheme="minorEastAsia" w:eastAsiaTheme="minorEastAsia" w:cstheme="minorEastAsia"/>
          <w:color w:val="auto"/>
          <w:sz w:val="24"/>
          <w:szCs w:val="24"/>
          <w:highlight w:val="none"/>
          <w:u w:val="single"/>
          <w:lang w:val="en-GB"/>
        </w:rPr>
        <w:t>人员出示此份证明书的原件，否则，</w:t>
      </w:r>
      <w:r>
        <w:rPr>
          <w:rFonts w:hint="eastAsia" w:asciiTheme="minorEastAsia" w:hAnsiTheme="minorEastAsia" w:eastAsiaTheme="minorEastAsia" w:cstheme="minorEastAsia"/>
          <w:color w:val="auto"/>
          <w:sz w:val="24"/>
          <w:szCs w:val="24"/>
          <w:highlight w:val="none"/>
          <w:u w:val="single"/>
          <w:lang w:val="en-GB" w:eastAsia="zh-CN"/>
        </w:rPr>
        <w:t>招标代理机构</w:t>
      </w:r>
      <w:r>
        <w:rPr>
          <w:rFonts w:hint="eastAsia" w:asciiTheme="minorEastAsia" w:hAnsiTheme="minorEastAsia" w:eastAsiaTheme="minorEastAsia" w:cstheme="minorEastAsia"/>
          <w:color w:val="auto"/>
          <w:sz w:val="24"/>
          <w:szCs w:val="24"/>
          <w:highlight w:val="none"/>
          <w:u w:val="single"/>
          <w:lang w:val="en-GB"/>
        </w:rPr>
        <w:t>将</w:t>
      </w:r>
      <w:r>
        <w:rPr>
          <w:rFonts w:hint="eastAsia" w:asciiTheme="minorEastAsia" w:hAnsiTheme="minorEastAsia" w:eastAsiaTheme="minorEastAsia" w:cstheme="minorEastAsia"/>
          <w:color w:val="auto"/>
          <w:sz w:val="24"/>
          <w:szCs w:val="24"/>
          <w:highlight w:val="none"/>
          <w:u w:val="single"/>
        </w:rPr>
        <w:t>有权</w:t>
      </w:r>
      <w:r>
        <w:rPr>
          <w:rFonts w:hint="eastAsia" w:asciiTheme="minorEastAsia" w:hAnsiTheme="minorEastAsia" w:eastAsiaTheme="minorEastAsia" w:cstheme="minorEastAsia"/>
          <w:color w:val="auto"/>
          <w:sz w:val="24"/>
          <w:szCs w:val="24"/>
          <w:highlight w:val="none"/>
          <w:u w:val="single"/>
          <w:lang w:val="en-GB"/>
        </w:rPr>
        <w:t>拒收其</w:t>
      </w:r>
      <w:r>
        <w:rPr>
          <w:rFonts w:hint="eastAsia" w:asciiTheme="minorEastAsia" w:hAnsiTheme="minorEastAsia" w:eastAsiaTheme="minorEastAsia" w:cstheme="minorEastAsia"/>
          <w:color w:val="auto"/>
          <w:sz w:val="24"/>
          <w:szCs w:val="24"/>
          <w:highlight w:val="none"/>
          <w:u w:val="single"/>
          <w:lang w:val="en-GB" w:eastAsia="zh-CN"/>
        </w:rPr>
        <w:t>资格审查</w:t>
      </w:r>
      <w:r>
        <w:rPr>
          <w:rFonts w:hint="eastAsia" w:asciiTheme="minorEastAsia" w:hAnsiTheme="minorEastAsia" w:eastAsiaTheme="minorEastAsia" w:cstheme="minorEastAsia"/>
          <w:color w:val="auto"/>
          <w:sz w:val="24"/>
          <w:szCs w:val="24"/>
          <w:highlight w:val="none"/>
          <w:u w:val="single"/>
          <w:lang w:val="en-GB"/>
        </w:rPr>
        <w:t>文件。</w:t>
      </w:r>
    </w:p>
    <w:p>
      <w:pPr>
        <w:spacing w:line="264" w:lineRule="auto"/>
        <w:ind w:left="780" w:leftChars="200" w:hanging="360" w:hangingChars="15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2、本授权书内容不得擅自删改。如法定代表人（或负责人）亲临现场参与</w:t>
      </w:r>
      <w:r>
        <w:rPr>
          <w:rFonts w:hint="eastAsia" w:asciiTheme="minorEastAsia" w:hAnsiTheme="minorEastAsia" w:eastAsiaTheme="minorEastAsia" w:cstheme="minorEastAsia"/>
          <w:color w:val="auto"/>
          <w:sz w:val="24"/>
          <w:szCs w:val="24"/>
          <w:highlight w:val="none"/>
          <w:lang w:val="en-GB" w:eastAsia="zh-CN"/>
        </w:rPr>
        <w:t>竞投</w:t>
      </w:r>
      <w:r>
        <w:rPr>
          <w:rFonts w:hint="eastAsia" w:asciiTheme="minorEastAsia" w:hAnsiTheme="minorEastAsia" w:eastAsiaTheme="minorEastAsia" w:cstheme="minorEastAsia"/>
          <w:color w:val="auto"/>
          <w:sz w:val="24"/>
          <w:szCs w:val="24"/>
          <w:highlight w:val="none"/>
          <w:lang w:val="en-GB"/>
        </w:rPr>
        <w:t>、决策、签字的，则不需此函。</w:t>
      </w:r>
    </w:p>
    <w:p>
      <w:pPr>
        <w:rPr>
          <w:b/>
          <w:color w:val="auto"/>
          <w:highlight w:val="none"/>
          <w:lang w:val="en-GB"/>
        </w:rPr>
      </w:pPr>
      <w:r>
        <w:rPr>
          <w:rFonts w:hint="eastAsia"/>
          <w:b/>
          <w:color w:val="auto"/>
          <w:highlight w:val="none"/>
          <w:lang w:val="en-GB"/>
        </w:rPr>
        <w:t>附：被授权人的身份证复印件：</w:t>
      </w:r>
    </w:p>
    <w:tbl>
      <w:tblPr>
        <w:tblStyle w:val="19"/>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trPr>
        <w:tc>
          <w:tcPr>
            <w:tcW w:w="9396" w:type="dxa"/>
            <w:noWrap w:val="0"/>
            <w:vAlign w:val="center"/>
          </w:tcPr>
          <w:p>
            <w:pPr>
              <w:spacing w:line="300" w:lineRule="auto"/>
              <w:jc w:val="center"/>
              <w:rPr>
                <w:rFonts w:hAnsi="宋体"/>
                <w:color w:val="auto"/>
                <w:sz w:val="24"/>
                <w:highlight w:val="none"/>
              </w:rPr>
            </w:pPr>
            <w:r>
              <w:rPr>
                <w:rFonts w:hint="eastAsia" w:hAnsi="宋体"/>
                <w:color w:val="auto"/>
                <w:sz w:val="24"/>
                <w:highlight w:val="none"/>
              </w:rPr>
              <w:t>此处粘贴授权代表（被授权人）的身份证复印件（双面）</w:t>
            </w:r>
          </w:p>
          <w:p>
            <w:pPr>
              <w:spacing w:line="300" w:lineRule="auto"/>
              <w:jc w:val="center"/>
              <w:rPr>
                <w:rFonts w:hAnsi="宋体"/>
                <w:color w:val="auto"/>
                <w:sz w:val="24"/>
                <w:highlight w:val="none"/>
              </w:rPr>
            </w:pPr>
            <w:r>
              <w:rPr>
                <w:rFonts w:hint="eastAsia" w:hAnsi="宋体"/>
                <w:color w:val="auto"/>
                <w:sz w:val="24"/>
                <w:highlight w:val="none"/>
              </w:rPr>
              <w:t>或直接扫描到此张纸上</w:t>
            </w:r>
          </w:p>
          <w:p>
            <w:pPr>
              <w:spacing w:line="300" w:lineRule="auto"/>
              <w:jc w:val="center"/>
              <w:rPr>
                <w:rFonts w:ascii="宋体"/>
                <w:color w:val="auto"/>
                <w:sz w:val="24"/>
                <w:highlight w:val="none"/>
              </w:rPr>
            </w:pPr>
            <w:r>
              <w:rPr>
                <w:rFonts w:hint="eastAsia" w:hAnsi="宋体"/>
                <w:color w:val="auto"/>
                <w:sz w:val="24"/>
                <w:highlight w:val="none"/>
              </w:rPr>
              <w:t>注：若页面不够位置的，可另行附页，但须紧接此页。</w:t>
            </w:r>
          </w:p>
        </w:tc>
      </w:tr>
    </w:tbl>
    <w:p>
      <w:pPr>
        <w:pStyle w:val="8"/>
        <w:spacing w:after="0" w:line="240" w:lineRule="exact"/>
        <w:ind w:firstLine="480" w:firstLineChars="200"/>
        <w:rPr>
          <w:color w:val="auto"/>
          <w:sz w:val="24"/>
          <w:szCs w:val="24"/>
          <w:highlight w:val="none"/>
        </w:rPr>
      </w:pPr>
      <w:r>
        <w:rPr>
          <w:color w:val="auto"/>
          <w:sz w:val="24"/>
          <w:szCs w:val="24"/>
          <w:highlight w:val="none"/>
        </w:rPr>
        <w:br w:type="page"/>
      </w:r>
    </w:p>
    <w:p>
      <w:pPr>
        <w:spacing w:after="120" w:afterLines="50" w:line="240" w:lineRule="auto"/>
        <w:jc w:val="center"/>
        <w:outlineLvl w:val="2"/>
        <w:rPr>
          <w:rFonts w:hint="eastAsia" w:ascii="宋体" w:hAnsi="宋体" w:eastAsia="宋体"/>
          <w:b/>
          <w:color w:val="auto"/>
          <w:sz w:val="36"/>
          <w:szCs w:val="36"/>
          <w:highlight w:val="none"/>
          <w:lang w:eastAsia="zh-CN"/>
        </w:rPr>
      </w:pPr>
      <w:bookmarkStart w:id="109" w:name="_Toc16371"/>
      <w:bookmarkStart w:id="110" w:name="_Toc13163"/>
      <w:bookmarkStart w:id="111" w:name="_Toc71"/>
      <w:bookmarkStart w:id="112" w:name="_Toc10658"/>
      <w:bookmarkStart w:id="113" w:name="_Toc22881"/>
      <w:bookmarkStart w:id="114" w:name="_Toc16930"/>
      <w:bookmarkStart w:id="115" w:name="_Toc31397"/>
      <w:bookmarkStart w:id="116" w:name="_Toc19084"/>
      <w:r>
        <w:rPr>
          <w:rFonts w:ascii="宋体" w:hAnsi="宋体"/>
          <w:b/>
          <w:color w:val="auto"/>
          <w:sz w:val="36"/>
          <w:szCs w:val="36"/>
          <w:highlight w:val="none"/>
        </w:rPr>
        <w:t>1.</w:t>
      </w:r>
      <w:r>
        <w:rPr>
          <w:rFonts w:hint="eastAsia" w:ascii="宋体" w:hAnsi="宋体"/>
          <w:b/>
          <w:color w:val="auto"/>
          <w:sz w:val="36"/>
          <w:szCs w:val="36"/>
          <w:highlight w:val="none"/>
          <w:lang w:val="en-US" w:eastAsia="zh-CN"/>
        </w:rPr>
        <w:t>3</w:t>
      </w:r>
      <w:r>
        <w:rPr>
          <w:rFonts w:hint="eastAsia" w:ascii="宋体" w:hAnsi="宋体"/>
          <w:b/>
          <w:color w:val="auto"/>
          <w:sz w:val="36"/>
          <w:szCs w:val="36"/>
          <w:highlight w:val="none"/>
          <w:lang w:eastAsia="zh-CN"/>
        </w:rPr>
        <w:t>竞投</w:t>
      </w:r>
      <w:r>
        <w:rPr>
          <w:rFonts w:hint="eastAsia" w:ascii="宋体" w:hAnsi="宋体"/>
          <w:b/>
          <w:color w:val="auto"/>
          <w:sz w:val="36"/>
          <w:szCs w:val="36"/>
          <w:highlight w:val="none"/>
        </w:rPr>
        <w:t>承诺函</w:t>
      </w:r>
      <w:bookmarkEnd w:id="109"/>
      <w:bookmarkEnd w:id="110"/>
      <w:bookmarkEnd w:id="111"/>
      <w:bookmarkEnd w:id="112"/>
      <w:bookmarkEnd w:id="113"/>
      <w:bookmarkEnd w:id="114"/>
      <w:bookmarkEnd w:id="115"/>
      <w:bookmarkEnd w:id="116"/>
    </w:p>
    <w:p>
      <w:pPr>
        <w:keepNext w:val="0"/>
        <w:keepLines w:val="0"/>
        <w:pageBreakBefore w:val="0"/>
        <w:kinsoku/>
        <w:wordWrap/>
        <w:overflowPunct/>
        <w:topLinePunct w:val="0"/>
        <w:autoSpaceDE/>
        <w:autoSpaceDN/>
        <w:bidi w:val="0"/>
        <w:adjustRightInd/>
        <w:snapToGrid/>
        <w:spacing w:after="72" w:afterLines="30" w:line="44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致：</w:t>
      </w:r>
      <w:r>
        <w:rPr>
          <w:rFonts w:hint="eastAsia" w:ascii="宋体" w:hAnsi="宋体" w:cs="宋体"/>
          <w:b/>
          <w:color w:val="auto"/>
          <w:sz w:val="24"/>
          <w:szCs w:val="24"/>
          <w:highlight w:val="none"/>
          <w:lang w:eastAsia="zh-CN"/>
        </w:rPr>
        <w:t>佛山市禅城区南庄镇吉利村竹甫经济合作社</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eastAsia="zh-CN"/>
        </w:rPr>
        <w:t>广东中采招标有限公司</w:t>
      </w:r>
    </w:p>
    <w:p>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》的要求，通过委任的全权代表，向贵方递交密封册装的全套</w:t>
      </w:r>
      <w:r>
        <w:rPr>
          <w:rFonts w:hint="eastAsia" w:ascii="宋体" w:hAnsi="宋体" w:eastAsia="宋体" w:cs="宋体"/>
          <w:color w:val="auto"/>
          <w:sz w:val="24"/>
          <w:szCs w:val="24"/>
          <w:highlight w:val="none"/>
          <w:lang w:eastAsia="zh-CN"/>
        </w:rPr>
        <w:t>资格审查</w:t>
      </w:r>
      <w:r>
        <w:rPr>
          <w:rFonts w:hint="eastAsia" w:ascii="宋体" w:hAnsi="宋体" w:eastAsia="宋体" w:cs="宋体"/>
          <w:color w:val="auto"/>
          <w:sz w:val="24"/>
          <w:szCs w:val="24"/>
          <w:highlight w:val="none"/>
        </w:rPr>
        <w:t>文件参与下列项目的</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，现为我方的一切</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行为作</w:t>
      </w:r>
      <w:r>
        <w:rPr>
          <w:rFonts w:hint="eastAsia" w:ascii="宋体" w:hAnsi="宋体" w:eastAsia="宋体" w:cs="宋体"/>
          <w:bCs/>
          <w:color w:val="auto"/>
          <w:sz w:val="24"/>
          <w:szCs w:val="24"/>
          <w:highlight w:val="none"/>
        </w:rPr>
        <w:t>郑重承诺及声明如下：</w:t>
      </w:r>
    </w:p>
    <w:p>
      <w:pPr>
        <w:keepNext w:val="0"/>
        <w:keepLines w:val="0"/>
        <w:pageBreakBefore w:val="0"/>
        <w:numPr>
          <w:ilvl w:val="0"/>
          <w:numId w:val="47"/>
        </w:numPr>
        <w:tabs>
          <w:tab w:val="clear" w:pos="420"/>
        </w:tabs>
        <w:kinsoku/>
        <w:wordWrap/>
        <w:overflowPunct/>
        <w:topLinePunct w:val="0"/>
        <w:autoSpaceDE/>
        <w:autoSpaceDN/>
        <w:bidi w:val="0"/>
        <w:adjustRightInd/>
        <w:snapToGrid/>
        <w:spacing w:line="440" w:lineRule="exact"/>
        <w:ind w:left="420" w:leftChars="0" w:hanging="420" w:hanging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吉利上二村车辆停放管理服务</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DOCVARIABLE  项目名称  \* MERGEFORMAT </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DOCVARIABLE  采购编号  \* MERGEFORMAT </w:instrText>
      </w:r>
      <w:r>
        <w:rPr>
          <w:rFonts w:hint="eastAsia" w:ascii="宋体" w:hAnsi="宋体" w:eastAsia="宋体" w:cs="宋体"/>
          <w:color w:val="auto"/>
          <w:sz w:val="24"/>
          <w:szCs w:val="24"/>
          <w:highlight w:val="none"/>
        </w:rPr>
        <w:fldChar w:fldCharType="end"/>
      </w:r>
    </w:p>
    <w:p>
      <w:pPr>
        <w:keepNext w:val="0"/>
        <w:keepLines w:val="0"/>
        <w:pageBreakBefore w:val="0"/>
        <w:numPr>
          <w:ilvl w:val="0"/>
          <w:numId w:val="47"/>
        </w:numPr>
        <w:tabs>
          <w:tab w:val="left" w:pos="900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我方已认真阅读了全部</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及其相关文件，完全清楚理解其内容要求及规约，对文件的合理性、公正性和程序安排均没有任何异议、质疑和误解之处。</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我方所提供的一切文件均已经过认真、严格的审核，其内容已充分表达了我方的真实意愿，没有任何遗漏、虚假、侵权之处，若出现违背诚实信用和商业道德之行为，愿独自承担相应的法律责任。</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本资格审查文件</w:t>
      </w:r>
      <w:r>
        <w:rPr>
          <w:rFonts w:hint="eastAsia" w:ascii="宋体" w:hAnsi="宋体" w:eastAsia="宋体" w:cs="宋体"/>
          <w:color w:val="auto"/>
          <w:sz w:val="24"/>
          <w:szCs w:val="24"/>
          <w:highlight w:val="none"/>
          <w:lang w:val="en-GB"/>
        </w:rPr>
        <w:t>自递交</w:t>
      </w:r>
      <w:r>
        <w:rPr>
          <w:rFonts w:hint="eastAsia" w:ascii="宋体" w:hAnsi="宋体" w:eastAsia="宋体" w:cs="宋体"/>
          <w:color w:val="auto"/>
          <w:sz w:val="24"/>
          <w:szCs w:val="24"/>
          <w:highlight w:val="none"/>
          <w:lang w:val="en-GB" w:eastAsia="zh-CN"/>
        </w:rPr>
        <w:t>竞投</w:t>
      </w:r>
      <w:r>
        <w:rPr>
          <w:rFonts w:hint="eastAsia" w:ascii="宋体" w:hAnsi="宋体" w:eastAsia="宋体" w:cs="宋体"/>
          <w:color w:val="auto"/>
          <w:sz w:val="24"/>
          <w:szCs w:val="24"/>
          <w:highlight w:val="none"/>
          <w:lang w:val="en-GB"/>
        </w:rPr>
        <w:t>文件之日起具有不少于</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lang w:val="en-GB"/>
        </w:rPr>
        <w:t>天</w:t>
      </w:r>
      <w:r>
        <w:rPr>
          <w:rFonts w:hint="eastAsia" w:ascii="宋体" w:hAnsi="宋体" w:eastAsia="宋体" w:cs="宋体"/>
          <w:color w:val="auto"/>
          <w:sz w:val="24"/>
          <w:szCs w:val="24"/>
          <w:highlight w:val="none"/>
          <w:lang w:val="en-GB"/>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GB"/>
        </w:rPr>
        <w:t>有效期</w:t>
      </w:r>
      <w:r>
        <w:rPr>
          <w:rFonts w:hint="eastAsia" w:ascii="宋体" w:hAnsi="宋体" w:eastAsia="宋体" w:cs="宋体"/>
          <w:color w:val="auto"/>
          <w:sz w:val="24"/>
          <w:szCs w:val="24"/>
          <w:highlight w:val="none"/>
        </w:rPr>
        <w:t>，若我方获中标资格，</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有效期则相应延长至项目最终验收合格之日，不论在任何时候，定将按贵方的要求在规定时间内如实提供一切补充材料。</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清楚并同意</w:t>
      </w:r>
      <w:r>
        <w:rPr>
          <w:rFonts w:hint="eastAsia" w:ascii="宋体" w:hAnsi="宋体"/>
          <w:color w:val="auto"/>
          <w:sz w:val="24"/>
          <w:szCs w:val="24"/>
          <w:highlight w:val="none"/>
          <w:lang w:val="en-US" w:eastAsia="zh-CN"/>
        </w:rPr>
        <w:t>本项目竞投文件所述的所有带★条款要求。</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完全服从和尊重</w:t>
      </w:r>
      <w:r>
        <w:rPr>
          <w:rFonts w:hint="eastAsia" w:ascii="宋体" w:hAnsi="宋体" w:eastAsia="宋体" w:cs="宋体"/>
          <w:color w:val="auto"/>
          <w:sz w:val="24"/>
          <w:szCs w:val="24"/>
          <w:highlight w:val="none"/>
          <w:lang w:eastAsia="zh-CN"/>
        </w:rPr>
        <w:t>招标人和招标代理机构</w:t>
      </w:r>
      <w:r>
        <w:rPr>
          <w:rFonts w:hint="eastAsia" w:ascii="宋体" w:hAnsi="宋体" w:eastAsia="宋体" w:cs="宋体"/>
          <w:color w:val="auto"/>
          <w:sz w:val="24"/>
          <w:szCs w:val="24"/>
          <w:highlight w:val="none"/>
        </w:rPr>
        <w:t>所作的评审结果，同时清楚理解到</w:t>
      </w:r>
      <w:r>
        <w:rPr>
          <w:rFonts w:hint="eastAsia" w:ascii="宋体" w:hAnsi="宋体" w:eastAsia="宋体" w:cs="宋体"/>
          <w:color w:val="auto"/>
          <w:sz w:val="24"/>
          <w:szCs w:val="24"/>
          <w:highlight w:val="none"/>
          <w:lang w:eastAsia="zh-CN"/>
        </w:rPr>
        <w:t>必须通过资格审查方可参与</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竞投，通过</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竞投，竞投</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rPr>
        <w:t>决定中标资格的唯一依据。</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的要求认真履行中标人应尽的义务，若我方行为不当而损害了</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的合法权益，我方愿在任何时候无条件承担相应的缔约过失责任和经济赔偿。</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具备独立法人资格，营业执照在有效期内</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提供营业执照副本复印件</w:t>
      </w:r>
      <w:r>
        <w:rPr>
          <w:rFonts w:hint="eastAsia" w:ascii="宋体" w:hAnsi="宋体" w:eastAsia="宋体" w:cs="宋体"/>
          <w:color w:val="auto"/>
          <w:sz w:val="24"/>
          <w:szCs w:val="24"/>
          <w:highlight w:val="none"/>
        </w:rPr>
        <w:t>以便核查。</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具有竞投文件所要求的全部资格</w:t>
      </w:r>
      <w:r>
        <w:rPr>
          <w:rFonts w:hint="eastAsia" w:ascii="宋体" w:hAnsi="宋体" w:eastAsia="宋体" w:cs="宋体"/>
          <w:color w:val="auto"/>
          <w:sz w:val="24"/>
          <w:szCs w:val="24"/>
          <w:highlight w:val="none"/>
        </w:rPr>
        <w:t>，可随时向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提交相关证明材料，以便核查。</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我方在参与本次</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活动中，不曾以任何不正当的手段影响、串通、排斥有关当事人或谋取、施予非法利益，如有行为不当，愿独自承担此行为所造成的后果和法律责任。</w:t>
      </w:r>
    </w:p>
    <w:p>
      <w:pPr>
        <w:keepNext w:val="0"/>
        <w:keepLines w:val="0"/>
        <w:pageBreakBefore w:val="0"/>
        <w:numPr>
          <w:ilvl w:val="0"/>
          <w:numId w:val="47"/>
        </w:numPr>
        <w:tabs>
          <w:tab w:val="left" w:pos="72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规定向贵方缴纳</w:t>
      </w:r>
      <w:r>
        <w:rPr>
          <w:rFonts w:hint="eastAsia" w:ascii="宋体" w:hAnsi="宋体" w:eastAsia="宋体" w:cs="宋体"/>
          <w:color w:val="auto"/>
          <w:sz w:val="24"/>
          <w:szCs w:val="24"/>
          <w:highlight w:val="none"/>
          <w:lang w:eastAsia="zh-CN"/>
        </w:rPr>
        <w:t>招标代理费和评估费</w:t>
      </w:r>
      <w:r>
        <w:rPr>
          <w:rFonts w:hint="eastAsia" w:ascii="宋体" w:hAnsi="宋体" w:eastAsia="宋体" w:cs="宋体"/>
          <w:color w:val="auto"/>
          <w:sz w:val="24"/>
          <w:szCs w:val="24"/>
          <w:highlight w:val="none"/>
        </w:rPr>
        <w:t>，并按《</w:t>
      </w:r>
      <w:r>
        <w:rPr>
          <w:rFonts w:hint="eastAsia" w:ascii="宋体" w:hAnsi="宋体" w:cs="宋体"/>
          <w:color w:val="auto"/>
          <w:sz w:val="24"/>
          <w:szCs w:val="24"/>
          <w:highlight w:val="none"/>
          <w:lang w:eastAsia="zh-CN"/>
        </w:rPr>
        <w:t>中标通知书</w:t>
      </w:r>
      <w:r>
        <w:rPr>
          <w:rFonts w:hint="eastAsia" w:ascii="宋体" w:hAnsi="宋体" w:eastAsia="宋体" w:cs="宋体"/>
          <w:color w:val="auto"/>
          <w:sz w:val="24"/>
          <w:szCs w:val="24"/>
          <w:highlight w:val="none"/>
        </w:rPr>
        <w:t>》的要求，如期签订合同并履行其一切责任和义务。</w:t>
      </w:r>
    </w:p>
    <w:p>
      <w:pPr>
        <w:keepNext w:val="0"/>
        <w:keepLines w:val="0"/>
        <w:pageBreakBefore w:val="0"/>
        <w:numPr>
          <w:ilvl w:val="0"/>
          <w:numId w:val="47"/>
        </w:numPr>
        <w:tabs>
          <w:tab w:val="left" w:pos="72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我方不存在</w:t>
      </w:r>
      <w:r>
        <w:rPr>
          <w:rFonts w:hint="eastAsia" w:ascii="宋体" w:hAnsi="宋体" w:cs="宋体"/>
          <w:color w:val="auto"/>
          <w:sz w:val="24"/>
          <w:highlight w:val="none"/>
        </w:rPr>
        <w:t>单位负责人为同一人或者存在控股、管理关系的不同单位参加</w:t>
      </w:r>
      <w:r>
        <w:rPr>
          <w:rFonts w:hint="eastAsia" w:ascii="宋体" w:hAnsi="宋体" w:cs="宋体"/>
          <w:color w:val="auto"/>
          <w:sz w:val="24"/>
          <w:highlight w:val="none"/>
          <w:lang w:eastAsia="zh-CN"/>
        </w:rPr>
        <w:t>本</w:t>
      </w:r>
      <w:r>
        <w:rPr>
          <w:rFonts w:hint="eastAsia" w:ascii="宋体" w:hAnsi="宋体" w:cs="宋体"/>
          <w:color w:val="auto"/>
          <w:sz w:val="24"/>
          <w:highlight w:val="none"/>
        </w:rPr>
        <w:t>项目投标</w:t>
      </w:r>
      <w:r>
        <w:rPr>
          <w:rFonts w:hint="eastAsia" w:ascii="宋体" w:hAnsi="宋体" w:cs="宋体"/>
          <w:color w:val="auto"/>
          <w:sz w:val="24"/>
          <w:highlight w:val="none"/>
          <w:lang w:eastAsia="zh-CN"/>
        </w:rPr>
        <w:t>的情况</w:t>
      </w:r>
      <w:r>
        <w:rPr>
          <w:rFonts w:hint="eastAsia" w:ascii="宋体" w:hAnsi="宋体" w:cs="宋体"/>
          <w:color w:val="auto"/>
          <w:sz w:val="24"/>
          <w:highlight w:val="none"/>
        </w:rPr>
        <w:t>；</w:t>
      </w:r>
    </w:p>
    <w:p>
      <w:pPr>
        <w:keepNext w:val="0"/>
        <w:keepLines w:val="0"/>
        <w:pageBreakBefore w:val="0"/>
        <w:numPr>
          <w:ilvl w:val="0"/>
          <w:numId w:val="47"/>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本承诺函效力及范围均涵盖我方整套</w:t>
      </w:r>
      <w:r>
        <w:rPr>
          <w:rFonts w:hint="eastAsia" w:ascii="宋体" w:hAnsi="宋体" w:eastAsia="宋体" w:cs="宋体"/>
          <w:color w:val="auto"/>
          <w:sz w:val="24"/>
          <w:szCs w:val="24"/>
          <w:highlight w:val="none"/>
          <w:lang w:eastAsia="zh-CN"/>
        </w:rPr>
        <w:t>资格审查</w:t>
      </w:r>
      <w:r>
        <w:rPr>
          <w:rFonts w:hint="eastAsia" w:ascii="宋体" w:hAnsi="宋体" w:eastAsia="宋体" w:cs="宋体"/>
          <w:color w:val="auto"/>
          <w:sz w:val="24"/>
          <w:szCs w:val="24"/>
          <w:highlight w:val="none"/>
        </w:rPr>
        <w:t>文件和一切补充文件。</w:t>
      </w:r>
    </w:p>
    <w:p>
      <w:pPr>
        <w:pStyle w:val="2"/>
        <w:rPr>
          <w:rFonts w:hint="eastAsia"/>
          <w:color w:val="auto"/>
          <w:highlight w:val="none"/>
          <w:lang w:val="en-GB"/>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GB"/>
        </w:rPr>
      </w:pPr>
      <w:r>
        <w:rPr>
          <w:rFonts w:hint="eastAsia" w:ascii="宋体" w:hAnsi="宋体" w:cs="宋体"/>
          <w:color w:val="auto"/>
          <w:sz w:val="24"/>
          <w:szCs w:val="24"/>
          <w:highlight w:val="none"/>
          <w:lang w:val="en-GB" w:eastAsia="zh-CN"/>
        </w:rPr>
        <w:t>投标人</w:t>
      </w:r>
      <w:r>
        <w:rPr>
          <w:rFonts w:hint="eastAsia" w:ascii="宋体" w:hAnsi="宋体" w:eastAsia="宋体" w:cs="宋体"/>
          <w:color w:val="auto"/>
          <w:sz w:val="24"/>
          <w:szCs w:val="24"/>
          <w:highlight w:val="none"/>
          <w:lang w:val="en-GB"/>
        </w:rPr>
        <w:t>名称：</w:t>
      </w:r>
      <w:r>
        <w:rPr>
          <w:rFonts w:hint="eastAsia" w:ascii="宋体" w:hAnsi="宋体" w:eastAsia="宋体" w:cs="宋体"/>
          <w:color w:val="auto"/>
          <w:sz w:val="24"/>
          <w:szCs w:val="24"/>
          <w:highlight w:val="none"/>
          <w:u w:val="dotted"/>
          <w:lang w:val="en-GB"/>
        </w:rPr>
        <w:t>（全称）</w:t>
      </w:r>
      <w:r>
        <w:rPr>
          <w:rFonts w:hint="eastAsia" w:ascii="宋体" w:hAnsi="宋体" w:eastAsia="宋体" w:cs="宋体"/>
          <w:color w:val="auto"/>
          <w:sz w:val="24"/>
          <w:szCs w:val="24"/>
          <w:highlight w:val="none"/>
          <w:lang w:val="en-GB"/>
        </w:rPr>
        <w:t>（加盖</w:t>
      </w:r>
      <w:r>
        <w:rPr>
          <w:rFonts w:hint="eastAsia" w:ascii="宋体" w:hAnsi="宋体" w:cs="宋体"/>
          <w:color w:val="auto"/>
          <w:sz w:val="24"/>
          <w:szCs w:val="24"/>
          <w:highlight w:val="none"/>
          <w:lang w:val="en-GB" w:eastAsia="zh-CN"/>
        </w:rPr>
        <w:t>投标人</w:t>
      </w:r>
      <w:r>
        <w:rPr>
          <w:rFonts w:hint="eastAsia" w:ascii="宋体" w:hAnsi="宋体" w:eastAsia="宋体" w:cs="宋体"/>
          <w:color w:val="auto"/>
          <w:sz w:val="24"/>
          <w:szCs w:val="24"/>
          <w:highlight w:val="none"/>
          <w:lang w:val="en-GB"/>
        </w:rPr>
        <w:t>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GB"/>
        </w:rPr>
        <w:t>（或授权代表）：（亲笔签名或签章）</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承诺日期：</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年月日。</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after="0" w:afterLines="0" w:line="240" w:lineRule="auto"/>
        <w:ind w:left="0" w:leftChars="0" w:right="363" w:rightChars="173"/>
        <w:jc w:val="center"/>
        <w:outlineLvl w:val="9"/>
        <w:rPr>
          <w:rFonts w:ascii="宋体"/>
          <w:b/>
          <w:color w:val="auto"/>
          <w:szCs w:val="21"/>
          <w:highlight w:val="none"/>
        </w:rPr>
      </w:pPr>
      <w:bookmarkStart w:id="117" w:name="_Toc13584"/>
      <w:bookmarkStart w:id="118" w:name="_Toc15939"/>
      <w:bookmarkStart w:id="119" w:name="_Toc4427"/>
      <w:bookmarkStart w:id="120" w:name="_Toc23201"/>
      <w:bookmarkStart w:id="121" w:name="_Toc13623"/>
      <w:bookmarkStart w:id="122" w:name="_Toc19853"/>
      <w:bookmarkStart w:id="123" w:name="_Toc31961"/>
    </w:p>
    <w:p>
      <w:pPr>
        <w:spacing w:after="0" w:afterLines="0" w:line="240" w:lineRule="auto"/>
        <w:ind w:left="0" w:leftChars="0" w:right="363" w:rightChars="173"/>
        <w:jc w:val="center"/>
        <w:outlineLvl w:val="9"/>
        <w:rPr>
          <w:rFonts w:hint="eastAsia" w:ascii="宋体" w:hAnsi="宋体" w:eastAsia="宋体"/>
          <w:b/>
          <w:color w:val="auto"/>
          <w:sz w:val="36"/>
          <w:szCs w:val="36"/>
          <w:highlight w:val="none"/>
          <w:lang w:eastAsia="zh-CN"/>
        </w:rPr>
      </w:pPr>
      <w:r>
        <w:rPr>
          <w:rFonts w:ascii="宋体" w:hAnsi="宋体"/>
          <w:b/>
          <w:color w:val="auto"/>
          <w:sz w:val="36"/>
          <w:szCs w:val="36"/>
          <w:highlight w:val="none"/>
        </w:rPr>
        <w:t>1.</w:t>
      </w:r>
      <w:r>
        <w:rPr>
          <w:rFonts w:hint="eastAsia" w:ascii="宋体" w:hAnsi="宋体"/>
          <w:b/>
          <w:color w:val="auto"/>
          <w:sz w:val="36"/>
          <w:szCs w:val="36"/>
          <w:highlight w:val="none"/>
          <w:lang w:val="en-US" w:eastAsia="zh-CN"/>
        </w:rPr>
        <w:t>4</w:t>
      </w:r>
      <w:r>
        <w:rPr>
          <w:rFonts w:hint="eastAsia" w:ascii="宋体" w:hAnsi="宋体"/>
          <w:b/>
          <w:color w:val="auto"/>
          <w:sz w:val="36"/>
          <w:szCs w:val="36"/>
          <w:highlight w:val="none"/>
          <w:lang w:eastAsia="zh-CN"/>
        </w:rPr>
        <w:t>投标人</w:t>
      </w:r>
      <w:r>
        <w:rPr>
          <w:rFonts w:hint="eastAsia" w:ascii="宋体" w:hAnsi="宋体"/>
          <w:b/>
          <w:color w:val="auto"/>
          <w:sz w:val="36"/>
          <w:szCs w:val="36"/>
          <w:highlight w:val="none"/>
        </w:rPr>
        <w:t>资格声明函</w:t>
      </w:r>
      <w:bookmarkEnd w:id="117"/>
      <w:bookmarkEnd w:id="118"/>
      <w:bookmarkEnd w:id="119"/>
      <w:bookmarkEnd w:id="120"/>
      <w:bookmarkEnd w:id="121"/>
      <w:bookmarkEnd w:id="122"/>
      <w:bookmarkEnd w:id="123"/>
    </w:p>
    <w:p>
      <w:pPr>
        <w:pStyle w:val="6"/>
        <w:rPr>
          <w:rFonts w:hint="eastAsia" w:ascii="宋体" w:hAnsi="宋体"/>
          <w:b/>
          <w:color w:val="auto"/>
          <w:sz w:val="36"/>
          <w:szCs w:val="36"/>
          <w:highlight w:val="none"/>
        </w:rPr>
      </w:pPr>
    </w:p>
    <w:p>
      <w:pPr>
        <w:rPr>
          <w:color w:val="auto"/>
          <w:highlight w:val="none"/>
        </w:rPr>
      </w:pPr>
    </w:p>
    <w:p>
      <w:pPr>
        <w:spacing w:line="360" w:lineRule="auto"/>
        <w:rPr>
          <w:rFonts w:hint="eastAsia" w:ascii="宋体" w:eastAsia="宋体"/>
          <w:b/>
          <w:bCs/>
          <w:color w:val="auto"/>
          <w:sz w:val="24"/>
          <w:szCs w:val="24"/>
          <w:highlight w:val="none"/>
          <w:lang w:eastAsia="zh-CN"/>
        </w:rPr>
      </w:pPr>
      <w:r>
        <w:rPr>
          <w:rFonts w:hint="eastAsia" w:ascii="宋体" w:hAnsi="宋体"/>
          <w:b/>
          <w:bCs/>
          <w:color w:val="auto"/>
          <w:sz w:val="24"/>
          <w:szCs w:val="24"/>
          <w:highlight w:val="none"/>
        </w:rPr>
        <w:t>致：</w:t>
      </w:r>
      <w:r>
        <w:rPr>
          <w:rFonts w:hint="eastAsia" w:ascii="宋体" w:hAnsi="宋体"/>
          <w:b/>
          <w:bCs/>
          <w:color w:val="auto"/>
          <w:sz w:val="24"/>
          <w:szCs w:val="24"/>
          <w:highlight w:val="none"/>
          <w:lang w:eastAsia="zh-CN"/>
        </w:rPr>
        <w:t>佛山市禅城区南庄镇吉利村竹甫经济合作社</w:t>
      </w:r>
      <w:r>
        <w:rPr>
          <w:rFonts w:hint="eastAsia" w:ascii="宋体" w:hAnsi="宋体"/>
          <w:b/>
          <w:bCs/>
          <w:color w:val="auto"/>
          <w:sz w:val="24"/>
          <w:szCs w:val="24"/>
          <w:highlight w:val="none"/>
        </w:rPr>
        <w:t>、</w:t>
      </w:r>
      <w:r>
        <w:rPr>
          <w:rFonts w:hint="eastAsia" w:ascii="宋体" w:hAnsi="宋体"/>
          <w:b/>
          <w:bCs/>
          <w:color w:val="auto"/>
          <w:sz w:val="24"/>
          <w:szCs w:val="24"/>
          <w:highlight w:val="none"/>
          <w:lang w:eastAsia="zh-CN"/>
        </w:rPr>
        <w:t>广东中采招标有限公司</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我公司承诺具备</w:t>
      </w:r>
      <w:r>
        <w:rPr>
          <w:rFonts w:hint="eastAsia" w:ascii="宋体" w:hAnsi="宋体" w:eastAsia="宋体"/>
          <w:color w:val="auto"/>
          <w:sz w:val="24"/>
          <w:szCs w:val="24"/>
          <w:highlight w:val="none"/>
          <w:lang w:eastAsia="zh-CN"/>
        </w:rPr>
        <w:t>竞投文件所要求的资格</w:t>
      </w:r>
      <w:r>
        <w:rPr>
          <w:rFonts w:hint="eastAsia" w:ascii="宋体" w:hAnsi="宋体" w:eastAsia="宋体"/>
          <w:color w:val="auto"/>
          <w:sz w:val="24"/>
          <w:szCs w:val="24"/>
          <w:highlight w:val="none"/>
        </w:rPr>
        <w:t>条件。</w:t>
      </w:r>
    </w:p>
    <w:p>
      <w:pPr>
        <w:pStyle w:val="39"/>
        <w:numPr>
          <w:ilvl w:val="0"/>
          <w:numId w:val="48"/>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具有独立法人资格，营业执照处于有效期内</w:t>
      </w:r>
      <w:r>
        <w:rPr>
          <w:rFonts w:hint="eastAsia" w:ascii="宋体" w:hAnsi="宋体" w:eastAsia="宋体"/>
          <w:color w:val="auto"/>
          <w:sz w:val="24"/>
          <w:szCs w:val="24"/>
          <w:highlight w:val="none"/>
          <w:lang w:val="en-US" w:eastAsia="zh-CN"/>
        </w:rPr>
        <w:t>。</w:t>
      </w:r>
    </w:p>
    <w:p>
      <w:pPr>
        <w:pStyle w:val="39"/>
        <w:numPr>
          <w:ilvl w:val="0"/>
          <w:numId w:val="48"/>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本项目不接受联合体竞投。</w:t>
      </w:r>
    </w:p>
    <w:p>
      <w:pPr>
        <w:pStyle w:val="39"/>
        <w:numPr>
          <w:ilvl w:val="0"/>
          <w:numId w:val="48"/>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满足本项目竞投文件所述的所有带★条款要求。</w:t>
      </w:r>
    </w:p>
    <w:p>
      <w:pPr>
        <w:pStyle w:val="39"/>
        <w:numPr>
          <w:ilvl w:val="0"/>
          <w:numId w:val="48"/>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法律、行政法规规定的其他条件。</w:t>
      </w:r>
    </w:p>
    <w:p>
      <w:pPr>
        <w:pStyle w:val="39"/>
        <w:spacing w:line="360" w:lineRule="auto"/>
        <w:ind w:firstLine="600" w:firstLineChars="25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(1)单位负责人为同一人或者存在直接控股、管理关系的不同投标人，不得同时参加本项目竞投；</w:t>
      </w:r>
    </w:p>
    <w:p>
      <w:pPr>
        <w:pStyle w:val="39"/>
        <w:spacing w:line="360" w:lineRule="auto"/>
        <w:ind w:firstLine="600" w:firstLineChars="25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(2)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注：提供的加盖公章的相关文件复印件请附后。</w:t>
      </w:r>
    </w:p>
    <w:p>
      <w:pPr>
        <w:pStyle w:val="39"/>
        <w:spacing w:line="360" w:lineRule="auto"/>
        <w:ind w:firstLine="600" w:firstLineChars="250"/>
        <w:rPr>
          <w:rFonts w:hint="eastAsia" w:ascii="宋体" w:hAnsi="宋体" w:eastAsia="宋体"/>
          <w:color w:val="auto"/>
          <w:sz w:val="24"/>
          <w:szCs w:val="24"/>
          <w:highlight w:val="none"/>
        </w:rPr>
      </w:pPr>
    </w:p>
    <w:p>
      <w:pPr>
        <w:pStyle w:val="39"/>
        <w:spacing w:line="360" w:lineRule="auto"/>
        <w:ind w:firstLine="600" w:firstLineChars="250"/>
        <w:rPr>
          <w:rFonts w:hint="eastAsia" w:ascii="宋体" w:hAnsi="宋体" w:eastAsia="宋体"/>
          <w:color w:val="auto"/>
          <w:sz w:val="24"/>
          <w:szCs w:val="24"/>
          <w:highlight w:val="none"/>
        </w:rPr>
      </w:pPr>
    </w:p>
    <w:p>
      <w:pPr>
        <w:pStyle w:val="39"/>
        <w:spacing w:line="360" w:lineRule="auto"/>
        <w:ind w:firstLine="600" w:firstLineChars="250"/>
        <w:rPr>
          <w:rFonts w:hint="eastAsia" w:ascii="宋体" w:hAnsi="宋体" w:eastAsia="宋体"/>
          <w:color w:val="auto"/>
          <w:sz w:val="24"/>
          <w:szCs w:val="24"/>
          <w:highlight w:val="none"/>
        </w:rPr>
      </w:pP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法定代表人/负责人（或授权代表）：（亲笔签字或签章）</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名称：（加盖</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公章）</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日期：</w:t>
      </w:r>
      <w:r>
        <w:rPr>
          <w:rFonts w:hint="eastAsia" w:ascii="宋体" w:hAnsi="宋体"/>
          <w:color w:val="auto"/>
          <w:sz w:val="24"/>
          <w:szCs w:val="24"/>
          <w:highlight w:val="none"/>
          <w:lang w:eastAsia="zh-CN"/>
        </w:rPr>
        <w:t>2024</w:t>
      </w:r>
      <w:r>
        <w:rPr>
          <w:rFonts w:hint="eastAsia" w:ascii="宋体" w:hAnsi="宋体" w:eastAsia="宋体"/>
          <w:color w:val="auto"/>
          <w:sz w:val="24"/>
          <w:szCs w:val="24"/>
          <w:highlight w:val="none"/>
        </w:rPr>
        <w:t>年月日</w:t>
      </w:r>
    </w:p>
    <w:p>
      <w:pPr>
        <w:spacing w:line="360" w:lineRule="auto"/>
        <w:ind w:left="420" w:leftChars="200"/>
        <w:rPr>
          <w:rFonts w:ascii="宋体"/>
          <w:color w:val="auto"/>
          <w:sz w:val="28"/>
          <w:szCs w:val="28"/>
          <w:highlight w:val="none"/>
        </w:rPr>
      </w:pPr>
    </w:p>
    <w:p>
      <w:pPr>
        <w:rPr>
          <w:rFonts w:hint="eastAsia" w:ascii="宋体" w:hAnsi="宋体"/>
          <w:b/>
          <w:color w:val="auto"/>
          <w:sz w:val="36"/>
          <w:szCs w:val="36"/>
          <w:highlight w:val="none"/>
          <w:lang w:eastAsia="zh-CN"/>
        </w:rPr>
      </w:pPr>
      <w:bookmarkStart w:id="124" w:name="_Toc2432"/>
      <w:bookmarkEnd w:id="124"/>
      <w:bookmarkStart w:id="125" w:name="_Toc14120"/>
      <w:bookmarkStart w:id="126" w:name="_Toc1349"/>
    </w:p>
    <w:p>
      <w:pPr>
        <w:jc w:val="center"/>
        <w:rPr>
          <w:rFonts w:hint="eastAsia" w:ascii="宋体" w:hAnsi="宋体"/>
          <w:b/>
          <w:color w:val="auto"/>
          <w:sz w:val="36"/>
          <w:szCs w:val="36"/>
          <w:highlight w:val="none"/>
          <w:lang w:eastAsia="zh-CN"/>
        </w:rPr>
      </w:pPr>
      <w:r>
        <w:rPr>
          <w:rFonts w:hint="eastAsia" w:ascii="宋体" w:hAnsi="宋体"/>
          <w:b/>
          <w:color w:val="auto"/>
          <w:sz w:val="36"/>
          <w:szCs w:val="36"/>
          <w:highlight w:val="none"/>
          <w:lang w:eastAsia="zh-CN"/>
        </w:rPr>
        <w:t>投标人资格声明函附件资料</w:t>
      </w:r>
    </w:p>
    <w:p>
      <w:pPr>
        <w:pStyle w:val="6"/>
        <w:rPr>
          <w:rFonts w:hint="eastAsia"/>
          <w:color w:val="auto"/>
          <w:highlight w:val="none"/>
          <w:lang w:eastAsia="zh-CN"/>
        </w:rPr>
      </w:pPr>
    </w:p>
    <w:p>
      <w:pPr>
        <w:pStyle w:val="39"/>
        <w:numPr>
          <w:ilvl w:val="0"/>
          <w:numId w:val="49"/>
        </w:numPr>
        <w:spacing w:line="360" w:lineRule="auto"/>
        <w:ind w:left="425" w:leftChars="0" w:hanging="425" w:firstLineChars="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营业执照副本复印件</w:t>
      </w:r>
    </w:p>
    <w:p>
      <w:pPr>
        <w:pStyle w:val="39"/>
        <w:numPr>
          <w:ilvl w:val="0"/>
          <w:numId w:val="49"/>
        </w:numPr>
        <w:spacing w:line="360" w:lineRule="auto"/>
        <w:ind w:left="425" w:leftChars="0" w:hanging="425" w:firstLineChars="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相关</w:t>
      </w:r>
      <w:r>
        <w:rPr>
          <w:rFonts w:hint="eastAsia" w:ascii="宋体" w:hAnsi="宋体"/>
          <w:color w:val="auto"/>
          <w:szCs w:val="21"/>
          <w:highlight w:val="none"/>
          <w:lang w:eastAsia="zh-CN"/>
        </w:rPr>
        <w:t>信用</w:t>
      </w:r>
      <w:r>
        <w:rPr>
          <w:rFonts w:hint="eastAsia" w:ascii="宋体" w:hAnsi="宋体" w:eastAsia="宋体"/>
          <w:color w:val="auto"/>
          <w:szCs w:val="21"/>
          <w:highlight w:val="none"/>
          <w:lang w:eastAsia="zh-CN"/>
        </w:rPr>
        <w:t>证明文件：</w:t>
      </w:r>
      <w:bookmarkStart w:id="127" w:name="_Toc27093"/>
    </w:p>
    <w:p>
      <w:pPr>
        <w:jc w:val="left"/>
        <w:outlineLvl w:val="2"/>
        <w:rPr>
          <w:rFonts w:hint="eastAsia"/>
          <w:color w:val="auto"/>
          <w:highlight w:val="none"/>
          <w:lang w:eastAsia="zh-CN"/>
        </w:rPr>
      </w:pPr>
    </w:p>
    <w:p>
      <w:pPr>
        <w:jc w:val="center"/>
        <w:outlineLvl w:val="2"/>
        <w:rPr>
          <w:color w:val="auto"/>
          <w:sz w:val="36"/>
          <w:szCs w:val="36"/>
          <w:highlight w:val="none"/>
        </w:rPr>
      </w:pPr>
      <w:bookmarkStart w:id="128" w:name="_Toc13824"/>
      <w:r>
        <w:rPr>
          <w:rFonts w:hint="eastAsia"/>
          <w:color w:val="auto"/>
          <w:sz w:val="36"/>
          <w:szCs w:val="36"/>
          <w:highlight w:val="none"/>
        </w:rPr>
        <w:t>网上信用记录证明</w:t>
      </w:r>
      <w:bookmarkEnd w:id="127"/>
      <w:bookmarkEnd w:id="128"/>
    </w:p>
    <w:p>
      <w:pPr>
        <w:pStyle w:val="38"/>
        <w:numPr>
          <w:ilvl w:val="0"/>
          <w:numId w:val="50"/>
        </w:numPr>
        <w:spacing w:line="360" w:lineRule="auto"/>
        <w:ind w:left="425" w:leftChars="0" w:hanging="425" w:firstLineChars="0"/>
        <w:rPr>
          <w:rFonts w:ascii="宋体" w:hAnsi="宋体"/>
          <w:color w:val="auto"/>
          <w:szCs w:val="21"/>
          <w:highlight w:val="none"/>
        </w:rPr>
      </w:pPr>
      <w:r>
        <w:rPr>
          <w:rFonts w:ascii="宋体" w:hAnsi="宋体"/>
          <w:color w:val="auto"/>
          <w:szCs w:val="21"/>
          <w:highlight w:val="none"/>
        </w:rPr>
        <w:t>“信用中国”网站（www.creditchina.gov.cn）中企业信用信息</w:t>
      </w:r>
      <w:r>
        <w:rPr>
          <w:rFonts w:hint="eastAsia" w:ascii="宋体" w:hAnsi="宋体"/>
          <w:color w:val="auto"/>
          <w:szCs w:val="21"/>
          <w:highlight w:val="none"/>
        </w:rPr>
        <w:t>查询结果；</w:t>
      </w:r>
    </w:p>
    <w:p>
      <w:pPr>
        <w:pStyle w:val="38"/>
        <w:numPr>
          <w:ilvl w:val="0"/>
          <w:numId w:val="50"/>
        </w:numPr>
        <w:spacing w:line="360" w:lineRule="auto"/>
        <w:ind w:left="425" w:leftChars="0" w:hanging="425" w:firstLineChars="0"/>
        <w:rPr>
          <w:rFonts w:ascii="宋体" w:hAnsi="宋体"/>
          <w:color w:val="auto"/>
          <w:szCs w:val="21"/>
          <w:highlight w:val="none"/>
        </w:rPr>
      </w:pPr>
      <w:r>
        <w:rPr>
          <w:rFonts w:ascii="宋体" w:hAnsi="宋体"/>
          <w:color w:val="auto"/>
          <w:szCs w:val="21"/>
          <w:highlight w:val="none"/>
        </w:rPr>
        <w:t>查询</w:t>
      </w:r>
      <w:r>
        <w:rPr>
          <w:rFonts w:hint="eastAsia" w:ascii="宋体" w:hAnsi="宋体"/>
          <w:color w:val="auto"/>
          <w:szCs w:val="21"/>
          <w:highlight w:val="none"/>
        </w:rPr>
        <w:t>结果。</w:t>
      </w:r>
    </w:p>
    <w:p>
      <w:pPr>
        <w:pStyle w:val="39"/>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rPr>
        <w:t>要求：</w:t>
      </w:r>
    </w:p>
    <w:p>
      <w:pPr>
        <w:pStyle w:val="39"/>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“信用中国”</w:t>
      </w:r>
      <w:r>
        <w:rPr>
          <w:rFonts w:hint="eastAsia" w:ascii="宋体" w:hAnsi="宋体"/>
          <w:color w:val="auto"/>
          <w:szCs w:val="21"/>
          <w:highlight w:val="none"/>
        </w:rPr>
        <w:t>、</w:t>
      </w:r>
      <w:r>
        <w:rPr>
          <w:rFonts w:ascii="宋体" w:hAnsi="宋体"/>
          <w:color w:val="auto"/>
          <w:szCs w:val="21"/>
          <w:highlight w:val="none"/>
        </w:rPr>
        <w:t>“中国政府采购网”</w:t>
      </w:r>
      <w:r>
        <w:rPr>
          <w:rFonts w:hint="eastAsia" w:ascii="宋体" w:hAnsi="宋体"/>
          <w:color w:val="auto"/>
          <w:szCs w:val="21"/>
          <w:highlight w:val="none"/>
        </w:rPr>
        <w:t>官网网站的查询时间不能早于本项目采购公告发布之日。</w:t>
      </w:r>
    </w:p>
    <w:p>
      <w:pPr>
        <w:pStyle w:val="39"/>
        <w:spacing w:line="360" w:lineRule="auto"/>
        <w:ind w:firstLine="600" w:firstLineChars="25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“信用中国”</w:t>
      </w:r>
      <w:r>
        <w:rPr>
          <w:rFonts w:hint="eastAsia" w:ascii="宋体" w:hAnsi="宋体"/>
          <w:color w:val="auto"/>
          <w:szCs w:val="21"/>
          <w:highlight w:val="none"/>
        </w:rPr>
        <w:t>网站查询结果可提供网页打印件或截图，或下载打印信用报告。相关资料须体现投标人全称、查询网址和查询结果，查询界面须能体现“基础信息、行政许可、行政处罚、守信激励、失信惩戒、重点关注、资质资格、风险提示、其他”，或直接下载打印信用报告。</w:t>
      </w:r>
    </w:p>
    <w:p>
      <w:pPr>
        <w:pStyle w:val="39"/>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（4）查询结果如显示无投标人信息或没有该企业相关记录的，亦须按照上述要求打印网页或截图。</w:t>
      </w:r>
    </w:p>
    <w:p>
      <w:pPr>
        <w:pStyle w:val="39"/>
        <w:spacing w:line="360"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（5）查询页面显示的关键内容见下图标注指引。</w:t>
      </w:r>
    </w:p>
    <w:p>
      <w:pPr>
        <w:pStyle w:val="39"/>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说明：</w:t>
      </w:r>
    </w:p>
    <w:p>
      <w:pPr>
        <w:pStyle w:val="39"/>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1.上述资格性证明文件属性是打印件的，应将打印件加盖公章；文件属性为截图的，直接复制粘贴在后打印加盖公章。</w:t>
      </w:r>
    </w:p>
    <w:p>
      <w:pPr>
        <w:pStyle w:val="40"/>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2.供应商须如实提供网上信用记录证明，</w:t>
      </w:r>
      <w:r>
        <w:rPr>
          <w:rFonts w:hint="eastAsia" w:asciiTheme="minorEastAsia" w:hAnsiTheme="minorEastAsia" w:eastAsiaTheme="minorEastAsia" w:cstheme="minorEastAsia"/>
          <w:b/>
          <w:color w:val="auto"/>
          <w:highlight w:val="none"/>
          <w:lang w:eastAsia="zh-CN"/>
        </w:rPr>
        <w:t>招标人</w:t>
      </w:r>
      <w:r>
        <w:rPr>
          <w:rFonts w:hint="eastAsia" w:asciiTheme="minorEastAsia" w:hAnsiTheme="minorEastAsia" w:eastAsiaTheme="minorEastAsia" w:cstheme="minorEastAsia"/>
          <w:b/>
          <w:color w:val="auto"/>
          <w:highlight w:val="none"/>
        </w:rPr>
        <w:t>将在资格审查时对其真实性和有效性进行审查、验证，如有造假或情况不一致，将导致投标无效！</w:t>
      </w:r>
    </w:p>
    <w:p>
      <w:pPr>
        <w:pStyle w:val="40"/>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3.信用中国官方网站地址：</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"https://www.creditchina.gov.cn/"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
          <w:color w:val="auto"/>
          <w:highlight w:val="none"/>
        </w:rPr>
        <w:t>https://www.creditchina.gov.cn/</w:t>
      </w:r>
      <w:r>
        <w:rPr>
          <w:rFonts w:hint="eastAsia" w:asciiTheme="minorEastAsia" w:hAnsiTheme="minorEastAsia" w:eastAsiaTheme="minorEastAsia" w:cstheme="minorEastAsia"/>
          <w:b/>
          <w:color w:val="auto"/>
          <w:highlight w:val="none"/>
        </w:rPr>
        <w:fldChar w:fldCharType="end"/>
      </w:r>
    </w:p>
    <w:p>
      <w:pPr>
        <w:pStyle w:val="40"/>
        <w:tabs>
          <w:tab w:val="left" w:pos="510"/>
        </w:tabs>
        <w:spacing w:line="360" w:lineRule="auto"/>
        <w:rPr>
          <w:b/>
          <w:color w:val="auto"/>
          <w:highlight w:val="none"/>
        </w:rPr>
      </w:pPr>
      <w:r>
        <w:rPr>
          <w:rFonts w:hint="eastAsia"/>
          <w:b/>
          <w:color w:val="auto"/>
          <w:highlight w:val="none"/>
        </w:rPr>
        <w:t>网站界面参考图：</w:t>
      </w:r>
    </w:p>
    <w:p>
      <w:pPr>
        <w:pStyle w:val="40"/>
        <w:tabs>
          <w:tab w:val="left" w:pos="510"/>
        </w:tabs>
        <w:spacing w:line="360" w:lineRule="auto"/>
        <w:rPr>
          <w:b/>
          <w:color w:val="auto"/>
          <w:highlight w:val="none"/>
        </w:rPr>
      </w:pPr>
      <w:r>
        <w:rPr>
          <w:color w:val="auto"/>
          <w:highlight w:val="none"/>
        </w:rPr>
        <w:drawing>
          <wp:inline distT="0" distB="0" distL="114300" distR="114300">
            <wp:extent cx="3669030" cy="2051050"/>
            <wp:effectExtent l="0" t="0" r="7620" b="6350"/>
            <wp:docPr id="15" name="图片 3" descr="说明: 说明: C:\Users\yu\Documents\Tencent Files\56133984\Image\Group\F{N78Z(C5%)2S$MR8(NE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说明: 说明: C:\Users\yu\Documents\Tencent Files\56133984\Image\Group\F{N78Z(C5%)2S$MR8(NEC[Q.jpg"/>
                    <pic:cNvPicPr>
                      <a:picLocks noChangeAspect="1"/>
                    </pic:cNvPicPr>
                  </pic:nvPicPr>
                  <pic:blipFill>
                    <a:blip r:embed="rId16"/>
                    <a:stretch>
                      <a:fillRect/>
                    </a:stretch>
                  </pic:blipFill>
                  <pic:spPr>
                    <a:xfrm>
                      <a:off x="0" y="0"/>
                      <a:ext cx="3669030" cy="2051050"/>
                    </a:xfrm>
                    <a:prstGeom prst="rect">
                      <a:avLst/>
                    </a:prstGeom>
                    <a:noFill/>
                    <a:ln w="9525">
                      <a:noFill/>
                    </a:ln>
                    <a:effectLst/>
                  </pic:spPr>
                </pic:pic>
              </a:graphicData>
            </a:graphic>
          </wp:inline>
        </w:drawing>
      </w:r>
    </w:p>
    <w:p>
      <w:pPr>
        <w:pStyle w:val="40"/>
        <w:tabs>
          <w:tab w:val="left" w:pos="510"/>
        </w:tabs>
        <w:spacing w:line="360" w:lineRule="auto"/>
        <w:rPr>
          <w:b/>
          <w:color w:val="auto"/>
          <w:highlight w:val="none"/>
        </w:rPr>
      </w:pPr>
    </w:p>
    <w:bookmarkEnd w:id="125"/>
    <w:bookmarkEnd w:id="126"/>
    <w:p>
      <w:pPr>
        <w:pStyle w:val="39"/>
        <w:spacing w:line="360" w:lineRule="auto"/>
        <w:ind w:firstLine="600" w:firstLineChars="250"/>
        <w:rPr>
          <w:rFonts w:hint="eastAsia" w:ascii="宋体" w:hAnsi="宋体" w:eastAsia="宋体"/>
          <w:color w:val="auto"/>
          <w:sz w:val="24"/>
          <w:szCs w:val="24"/>
          <w:highlight w:val="none"/>
        </w:rPr>
      </w:pPr>
      <w:bookmarkStart w:id="129" w:name="_Toc20260"/>
      <w:bookmarkStart w:id="130" w:name="_Toc334432603"/>
    </w:p>
    <w:p>
      <w:pPr>
        <w:pStyle w:val="39"/>
        <w:spacing w:line="360" w:lineRule="auto"/>
        <w:ind w:firstLine="600" w:firstLineChars="250"/>
        <w:rPr>
          <w:rFonts w:hint="eastAsia" w:ascii="宋体" w:hAnsi="宋体" w:eastAsia="宋体"/>
          <w:color w:val="auto"/>
          <w:sz w:val="24"/>
          <w:szCs w:val="24"/>
          <w:highlight w:val="none"/>
        </w:rPr>
      </w:pPr>
    </w:p>
    <w:p>
      <w:pPr>
        <w:pStyle w:val="39"/>
        <w:spacing w:line="360" w:lineRule="auto"/>
        <w:ind w:firstLine="600" w:firstLineChars="250"/>
        <w:rPr>
          <w:rFonts w:hint="eastAsia" w:ascii="宋体" w:hAnsi="宋体" w:eastAsia="宋体"/>
          <w:color w:val="auto"/>
          <w:sz w:val="24"/>
          <w:szCs w:val="24"/>
          <w:highlight w:val="none"/>
        </w:rPr>
      </w:pPr>
    </w:p>
    <w:p>
      <w:pPr>
        <w:rPr>
          <w:rFonts w:hint="eastAsia" w:ascii="宋体" w:hAnsi="宋体" w:eastAsia="宋体" w:cs="Times New Roman"/>
          <w:b/>
          <w:color w:val="auto"/>
          <w:sz w:val="32"/>
          <w:szCs w:val="32"/>
          <w:highlight w:val="none"/>
          <w:lang w:val="en-US" w:eastAsia="zh-CN"/>
        </w:rPr>
      </w:pPr>
    </w:p>
    <w:p>
      <w:pPr>
        <w:jc w:val="left"/>
        <w:outlineLvl w:val="2"/>
        <w:rPr>
          <w:rFonts w:hint="eastAsia"/>
          <w:color w:val="auto"/>
          <w:highlight w:val="none"/>
          <w:lang w:eastAsia="zh-CN"/>
        </w:rPr>
      </w:pPr>
    </w:p>
    <w:p>
      <w:pPr>
        <w:jc w:val="center"/>
        <w:outlineLvl w:val="2"/>
        <w:rPr>
          <w:color w:val="auto"/>
          <w:sz w:val="36"/>
          <w:szCs w:val="36"/>
          <w:highlight w:val="none"/>
        </w:rPr>
      </w:pPr>
      <w:r>
        <w:rPr>
          <w:rFonts w:hint="eastAsia"/>
          <w:color w:val="auto"/>
          <w:sz w:val="36"/>
          <w:szCs w:val="36"/>
          <w:highlight w:val="none"/>
        </w:rPr>
        <w:t>网上信用记录证明</w:t>
      </w:r>
    </w:p>
    <w:p>
      <w:pPr>
        <w:pStyle w:val="38"/>
        <w:numPr>
          <w:ilvl w:val="0"/>
          <w:numId w:val="51"/>
        </w:numPr>
        <w:spacing w:line="360" w:lineRule="auto"/>
        <w:ind w:left="425" w:leftChars="0" w:hanging="425" w:firstLineChars="0"/>
        <w:rPr>
          <w:rFonts w:ascii="宋体" w:hAnsi="宋体"/>
          <w:color w:val="auto"/>
          <w:szCs w:val="21"/>
          <w:highlight w:val="none"/>
        </w:rPr>
      </w:pPr>
      <w:r>
        <w:rPr>
          <w:rFonts w:ascii="宋体" w:hAnsi="宋体"/>
          <w:color w:val="auto"/>
          <w:szCs w:val="21"/>
          <w:highlight w:val="none"/>
        </w:rPr>
        <w:t>“信用中国”网站（www.creditchina.gov.cn）中企业信用信息</w:t>
      </w:r>
      <w:r>
        <w:rPr>
          <w:rFonts w:hint="eastAsia" w:ascii="宋体" w:hAnsi="宋体"/>
          <w:color w:val="auto"/>
          <w:szCs w:val="21"/>
          <w:highlight w:val="none"/>
        </w:rPr>
        <w:t>查询结果；</w:t>
      </w:r>
    </w:p>
    <w:p>
      <w:pPr>
        <w:pStyle w:val="38"/>
        <w:numPr>
          <w:ilvl w:val="0"/>
          <w:numId w:val="51"/>
        </w:numPr>
        <w:spacing w:line="360" w:lineRule="auto"/>
        <w:ind w:left="425" w:leftChars="0" w:hanging="425" w:firstLineChars="0"/>
        <w:rPr>
          <w:rFonts w:ascii="宋体" w:hAnsi="宋体"/>
          <w:color w:val="auto"/>
          <w:szCs w:val="21"/>
          <w:highlight w:val="none"/>
        </w:rPr>
      </w:pPr>
      <w:r>
        <w:rPr>
          <w:rFonts w:ascii="宋体" w:hAnsi="宋体"/>
          <w:color w:val="auto"/>
          <w:szCs w:val="21"/>
          <w:highlight w:val="none"/>
        </w:rPr>
        <w:t>查询</w:t>
      </w:r>
      <w:r>
        <w:rPr>
          <w:rFonts w:hint="eastAsia" w:ascii="宋体" w:hAnsi="宋体"/>
          <w:color w:val="auto"/>
          <w:szCs w:val="21"/>
          <w:highlight w:val="none"/>
        </w:rPr>
        <w:t>结果。</w:t>
      </w:r>
    </w:p>
    <w:p>
      <w:pPr>
        <w:pStyle w:val="39"/>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rPr>
        <w:t>要求：</w:t>
      </w:r>
    </w:p>
    <w:p>
      <w:pPr>
        <w:pStyle w:val="39"/>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“信用中国”</w:t>
      </w:r>
      <w:r>
        <w:rPr>
          <w:rFonts w:hint="eastAsia" w:ascii="宋体" w:hAnsi="宋体"/>
          <w:color w:val="auto"/>
          <w:szCs w:val="21"/>
          <w:highlight w:val="none"/>
        </w:rPr>
        <w:t>、</w:t>
      </w:r>
      <w:r>
        <w:rPr>
          <w:rFonts w:ascii="宋体" w:hAnsi="宋体"/>
          <w:color w:val="auto"/>
          <w:szCs w:val="21"/>
          <w:highlight w:val="none"/>
        </w:rPr>
        <w:t>“中国政府采购网”</w:t>
      </w:r>
      <w:r>
        <w:rPr>
          <w:rFonts w:hint="eastAsia" w:ascii="宋体" w:hAnsi="宋体"/>
          <w:color w:val="auto"/>
          <w:szCs w:val="21"/>
          <w:highlight w:val="none"/>
        </w:rPr>
        <w:t>官网网站的查询时间不能早于本项目采购公告发布之日。</w:t>
      </w:r>
    </w:p>
    <w:p>
      <w:pPr>
        <w:pStyle w:val="39"/>
        <w:spacing w:line="360" w:lineRule="auto"/>
        <w:ind w:firstLine="600" w:firstLineChars="25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ascii="宋体" w:hAnsi="宋体"/>
          <w:color w:val="auto"/>
          <w:szCs w:val="21"/>
          <w:highlight w:val="none"/>
        </w:rPr>
        <w:t>“信用中国”</w:t>
      </w:r>
      <w:r>
        <w:rPr>
          <w:rFonts w:hint="eastAsia" w:ascii="宋体" w:hAnsi="宋体"/>
          <w:color w:val="auto"/>
          <w:szCs w:val="21"/>
          <w:highlight w:val="none"/>
        </w:rPr>
        <w:t>网站查询结果可提供网页截图</w:t>
      </w:r>
      <w:r>
        <w:rPr>
          <w:rFonts w:hint="eastAsia" w:ascii="宋体" w:hAnsi="宋体"/>
          <w:color w:val="auto"/>
          <w:szCs w:val="21"/>
          <w:highlight w:val="none"/>
          <w:lang w:eastAsia="zh-CN"/>
        </w:rPr>
        <w:t>。</w:t>
      </w:r>
    </w:p>
    <w:p>
      <w:pPr>
        <w:pStyle w:val="39"/>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）查询结果如显示无投标人信息或没有该企业相关记录的，亦须按照上述要求打印网页或截图。</w:t>
      </w:r>
    </w:p>
    <w:p>
      <w:pPr>
        <w:pStyle w:val="39"/>
        <w:spacing w:line="360"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）查询页面显示的关键内容见下图标注指引。</w:t>
      </w:r>
    </w:p>
    <w:p>
      <w:pPr>
        <w:pStyle w:val="39"/>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说明：</w:t>
      </w:r>
    </w:p>
    <w:p>
      <w:pPr>
        <w:pStyle w:val="39"/>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1.上述资格性证明文件属性是打印件的，应将打印件加盖公章；文件属性为截图的，直接复制粘贴在后打印加盖公章。</w:t>
      </w:r>
    </w:p>
    <w:p>
      <w:pPr>
        <w:pStyle w:val="40"/>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2.供应商须如实提供网上信用记录证明，</w:t>
      </w:r>
      <w:r>
        <w:rPr>
          <w:rFonts w:hint="eastAsia" w:asciiTheme="minorEastAsia" w:hAnsiTheme="minorEastAsia" w:eastAsiaTheme="minorEastAsia" w:cstheme="minorEastAsia"/>
          <w:b/>
          <w:color w:val="auto"/>
          <w:highlight w:val="none"/>
          <w:lang w:eastAsia="zh-CN"/>
        </w:rPr>
        <w:t>招标人</w:t>
      </w:r>
      <w:r>
        <w:rPr>
          <w:rFonts w:hint="eastAsia" w:asciiTheme="minorEastAsia" w:hAnsiTheme="minorEastAsia" w:eastAsiaTheme="minorEastAsia" w:cstheme="minorEastAsia"/>
          <w:b/>
          <w:color w:val="auto"/>
          <w:highlight w:val="none"/>
        </w:rPr>
        <w:t>将在资格审查时对其真实性和有效性进行审查、验证，如有造假或情况不一致，将导致投标无效！</w:t>
      </w:r>
    </w:p>
    <w:p>
      <w:pPr>
        <w:pStyle w:val="40"/>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3.信用中国官方网站地址：</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"https://www.creditchina.gov.cn/"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
          <w:color w:val="auto"/>
          <w:highlight w:val="none"/>
        </w:rPr>
        <w:t>https://www.creditchina.gov.cn/</w:t>
      </w:r>
      <w:r>
        <w:rPr>
          <w:rFonts w:hint="eastAsia" w:asciiTheme="minorEastAsia" w:hAnsiTheme="minorEastAsia" w:eastAsiaTheme="minorEastAsia" w:cstheme="minorEastAsia"/>
          <w:b/>
          <w:color w:val="auto"/>
          <w:highlight w:val="none"/>
        </w:rPr>
        <w:fldChar w:fldCharType="end"/>
      </w:r>
    </w:p>
    <w:p>
      <w:pPr>
        <w:pStyle w:val="40"/>
        <w:tabs>
          <w:tab w:val="left" w:pos="510"/>
        </w:tabs>
        <w:spacing w:line="360" w:lineRule="auto"/>
        <w:rPr>
          <w:b/>
          <w:color w:val="auto"/>
          <w:highlight w:val="none"/>
        </w:rPr>
      </w:pPr>
      <w:r>
        <w:rPr>
          <w:rFonts w:hint="eastAsia"/>
          <w:b/>
          <w:color w:val="auto"/>
          <w:highlight w:val="none"/>
        </w:rPr>
        <w:t>网站界面参考图：</w:t>
      </w:r>
    </w:p>
    <w:p>
      <w:pPr>
        <w:pStyle w:val="40"/>
        <w:tabs>
          <w:tab w:val="left" w:pos="510"/>
        </w:tabs>
        <w:spacing w:line="360" w:lineRule="auto"/>
        <w:rPr>
          <w:b/>
          <w:color w:val="auto"/>
          <w:highlight w:val="none"/>
        </w:rPr>
      </w:pPr>
      <w:r>
        <w:rPr>
          <w:color w:val="auto"/>
          <w:highlight w:val="none"/>
        </w:rPr>
        <w:drawing>
          <wp:inline distT="0" distB="0" distL="114300" distR="114300">
            <wp:extent cx="4097020" cy="2633980"/>
            <wp:effectExtent l="0" t="0" r="17780" b="13970"/>
            <wp:docPr id="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
                    <pic:cNvPicPr>
                      <a:picLocks noChangeAspect="1"/>
                    </pic:cNvPicPr>
                  </pic:nvPicPr>
                  <pic:blipFill>
                    <a:blip r:embed="rId17"/>
                    <a:stretch>
                      <a:fillRect/>
                    </a:stretch>
                  </pic:blipFill>
                  <pic:spPr>
                    <a:xfrm>
                      <a:off x="0" y="0"/>
                      <a:ext cx="4097020" cy="2633980"/>
                    </a:xfrm>
                    <a:prstGeom prst="rect">
                      <a:avLst/>
                    </a:prstGeom>
                    <a:noFill/>
                    <a:ln>
                      <a:noFill/>
                    </a:ln>
                  </pic:spPr>
                </pic:pic>
              </a:graphicData>
            </a:graphic>
          </wp:inline>
        </w:drawing>
      </w:r>
    </w:p>
    <w:p>
      <w:pPr>
        <w:rPr>
          <w:rFonts w:hint="eastAsia" w:ascii="宋体" w:hAnsi="宋体" w:eastAsia="宋体" w:cs="Times New Roman"/>
          <w:b/>
          <w:color w:val="auto"/>
          <w:sz w:val="32"/>
          <w:szCs w:val="32"/>
          <w:highlight w:val="none"/>
          <w:lang w:val="en-US" w:eastAsia="zh-CN"/>
        </w:rPr>
      </w:pPr>
    </w:p>
    <w:p>
      <w:pPr>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br w:type="page"/>
      </w:r>
    </w:p>
    <w:p>
      <w:pPr>
        <w:jc w:val="center"/>
        <w:outlineLvl w:val="2"/>
        <w:rPr>
          <w:rFonts w:hint="eastAsia" w:ascii="宋体" w:hAnsi="宋体"/>
          <w:b/>
          <w:color w:val="auto"/>
          <w:sz w:val="32"/>
          <w:szCs w:val="32"/>
          <w:highlight w:val="none"/>
        </w:rPr>
      </w:pPr>
      <w:r>
        <w:rPr>
          <w:rFonts w:hint="eastAsia" w:ascii="宋体" w:hAnsi="宋体" w:eastAsia="宋体" w:cs="Times New Roman"/>
          <w:b/>
          <w:color w:val="auto"/>
          <w:sz w:val="32"/>
          <w:szCs w:val="32"/>
          <w:highlight w:val="none"/>
          <w:lang w:val="en-US" w:eastAsia="zh-CN"/>
        </w:rPr>
        <w:t>1.</w:t>
      </w:r>
      <w:r>
        <w:rPr>
          <w:rFonts w:hint="eastAsia" w:ascii="宋体" w:hAnsi="宋体" w:cs="Times New Roman"/>
          <w:b/>
          <w:color w:val="auto"/>
          <w:sz w:val="32"/>
          <w:szCs w:val="32"/>
          <w:highlight w:val="none"/>
          <w:lang w:val="en-US" w:eastAsia="zh-CN"/>
        </w:rPr>
        <w:t>5</w:t>
      </w:r>
      <w:r>
        <w:rPr>
          <w:rFonts w:hint="eastAsia" w:ascii="宋体" w:hAnsi="宋体" w:eastAsia="宋体"/>
          <w:b/>
          <w:color w:val="auto"/>
          <w:sz w:val="32"/>
          <w:szCs w:val="32"/>
          <w:highlight w:val="none"/>
          <w:lang w:eastAsia="zh-CN"/>
        </w:rPr>
        <w:t>竞投</w:t>
      </w:r>
      <w:r>
        <w:rPr>
          <w:rFonts w:hint="eastAsia" w:ascii="宋体" w:hAnsi="宋体"/>
          <w:b/>
          <w:color w:val="auto"/>
          <w:sz w:val="32"/>
          <w:szCs w:val="32"/>
          <w:highlight w:val="none"/>
        </w:rPr>
        <w:t>保证金</w:t>
      </w:r>
      <w:bookmarkEnd w:id="129"/>
    </w:p>
    <w:p>
      <w:pPr>
        <w:pStyle w:val="6"/>
        <w:rPr>
          <w:rFonts w:hint="eastAsia" w:ascii="宋体" w:hAnsi="宋体"/>
          <w:b/>
          <w:color w:val="auto"/>
          <w:sz w:val="24"/>
          <w:szCs w:val="24"/>
          <w:highlight w:val="none"/>
        </w:rPr>
      </w:pPr>
    </w:p>
    <w:p>
      <w:pPr>
        <w:rPr>
          <w:color w:val="auto"/>
          <w:sz w:val="24"/>
          <w:szCs w:val="24"/>
          <w:highlight w:val="none"/>
        </w:rPr>
      </w:pPr>
    </w:p>
    <w:p>
      <w:pPr>
        <w:spacing w:line="360" w:lineRule="auto"/>
        <w:rPr>
          <w:rFonts w:hint="eastAsia" w:ascii="宋体" w:eastAsia="宋体"/>
          <w:color w:val="auto"/>
          <w:sz w:val="24"/>
          <w:szCs w:val="24"/>
          <w:highlight w:val="none"/>
          <w:lang w:eastAsia="zh-CN"/>
        </w:rPr>
      </w:pPr>
      <w:r>
        <w:rPr>
          <w:rFonts w:hint="eastAsia" w:ascii="宋体" w:hAnsi="宋体"/>
          <w:color w:val="auto"/>
          <w:sz w:val="24"/>
          <w:szCs w:val="24"/>
          <w:highlight w:val="none"/>
        </w:rPr>
        <w:t>附：</w:t>
      </w:r>
    </w:p>
    <w:tbl>
      <w:tblPr>
        <w:tblStyle w:val="19"/>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9570" w:type="dxa"/>
            <w:noWrap w:val="0"/>
            <w:vAlign w:val="top"/>
          </w:tcPr>
          <w:p>
            <w:pPr>
              <w:spacing w:line="360" w:lineRule="auto"/>
              <w:rPr>
                <w:rFonts w:ascii="宋体"/>
                <w:color w:val="auto"/>
                <w:sz w:val="24"/>
                <w:szCs w:val="24"/>
                <w:highlight w:val="none"/>
              </w:rPr>
            </w:pPr>
          </w:p>
          <w:p>
            <w:pPr>
              <w:spacing w:line="360" w:lineRule="auto"/>
              <w:rPr>
                <w:rFonts w:ascii="宋体"/>
                <w:color w:val="auto"/>
                <w:sz w:val="24"/>
                <w:szCs w:val="24"/>
                <w:highlight w:val="none"/>
              </w:rPr>
            </w:pPr>
          </w:p>
          <w:p>
            <w:pPr>
              <w:spacing w:line="360" w:lineRule="auto"/>
              <w:rPr>
                <w:rFonts w:ascii="宋体"/>
                <w:color w:val="auto"/>
                <w:sz w:val="24"/>
                <w:szCs w:val="24"/>
                <w:highlight w:val="none"/>
              </w:rPr>
            </w:pPr>
          </w:p>
          <w:p>
            <w:pPr>
              <w:spacing w:line="360" w:lineRule="auto"/>
              <w:jc w:val="center"/>
              <w:rPr>
                <w:rFonts w:hint="default" w:ascii="宋体" w:eastAsia="宋体"/>
                <w:color w:val="auto"/>
                <w:sz w:val="24"/>
                <w:szCs w:val="24"/>
                <w:highlight w:val="none"/>
                <w:lang w:val="en-US" w:eastAsia="zh-CN"/>
              </w:rPr>
            </w:pPr>
            <w:r>
              <w:rPr>
                <w:rFonts w:hint="eastAsia" w:ascii="宋体" w:hAnsi="宋体"/>
                <w:color w:val="auto"/>
                <w:sz w:val="24"/>
                <w:szCs w:val="24"/>
                <w:highlight w:val="none"/>
                <w:lang w:eastAsia="zh-CN"/>
              </w:rPr>
              <w:t>竞投保证金转账凭证复印件</w:t>
            </w:r>
            <w:r>
              <w:rPr>
                <w:rFonts w:hint="eastAsia" w:ascii="宋体" w:hAnsi="宋体"/>
                <w:color w:val="auto"/>
                <w:sz w:val="24"/>
                <w:szCs w:val="24"/>
                <w:highlight w:val="none"/>
                <w:lang w:val="en-US" w:eastAsia="zh-CN"/>
              </w:rPr>
              <w:t>/扫描件</w:t>
            </w:r>
          </w:p>
        </w:tc>
      </w:tr>
    </w:tbl>
    <w:p>
      <w:pPr>
        <w:pStyle w:val="6"/>
        <w:ind w:firstLine="400"/>
        <w:rPr>
          <w:color w:val="auto"/>
          <w:highlight w:val="none"/>
        </w:rPr>
      </w:pPr>
    </w:p>
    <w:p>
      <w:pPr>
        <w:rPr>
          <w:color w:val="auto"/>
          <w:highlight w:val="none"/>
        </w:rPr>
      </w:pPr>
    </w:p>
    <w:p>
      <w:pPr>
        <w:rPr>
          <w:b/>
          <w:color w:val="auto"/>
          <w:highlight w:val="none"/>
        </w:rPr>
      </w:pPr>
    </w:p>
    <w:p>
      <w:pPr>
        <w:jc w:val="center"/>
        <w:rPr>
          <w:b/>
          <w:bCs/>
          <w:color w:val="auto"/>
          <w:sz w:val="22"/>
          <w:szCs w:val="28"/>
          <w:highlight w:val="none"/>
        </w:rPr>
      </w:pPr>
    </w:p>
    <w:p>
      <w:pPr>
        <w:jc w:val="center"/>
        <w:rPr>
          <w:b/>
          <w:bCs/>
          <w:color w:val="auto"/>
          <w:sz w:val="28"/>
          <w:szCs w:val="28"/>
          <w:highlight w:val="none"/>
        </w:rPr>
      </w:pPr>
      <w:r>
        <w:rPr>
          <w:rFonts w:hint="eastAsia"/>
          <w:b/>
          <w:bCs/>
          <w:color w:val="auto"/>
          <w:sz w:val="28"/>
          <w:szCs w:val="28"/>
          <w:highlight w:val="none"/>
        </w:rPr>
        <w:t>退</w:t>
      </w:r>
      <w:r>
        <w:rPr>
          <w:rFonts w:hint="eastAsia"/>
          <w:b/>
          <w:bCs/>
          <w:color w:val="auto"/>
          <w:sz w:val="28"/>
          <w:szCs w:val="28"/>
          <w:highlight w:val="none"/>
          <w:lang w:eastAsia="zh-CN"/>
        </w:rPr>
        <w:t>竞投保证金</w:t>
      </w:r>
      <w:r>
        <w:rPr>
          <w:rFonts w:hint="eastAsia"/>
          <w:b/>
          <w:bCs/>
          <w:color w:val="auto"/>
          <w:sz w:val="28"/>
          <w:szCs w:val="28"/>
          <w:highlight w:val="none"/>
        </w:rPr>
        <w:t>说明</w:t>
      </w:r>
    </w:p>
    <w:p>
      <w:pPr>
        <w:jc w:val="center"/>
        <w:rPr>
          <w:b/>
          <w:bCs/>
          <w:color w:val="auto"/>
          <w:sz w:val="22"/>
          <w:szCs w:val="28"/>
          <w:highlight w:val="none"/>
        </w:rPr>
      </w:pP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我方为</w:t>
      </w:r>
      <w:r>
        <w:rPr>
          <w:rFonts w:hint="eastAsia" w:ascii="宋体" w:hAnsi="宋体" w:cs="宋体"/>
          <w:color w:val="auto"/>
          <w:sz w:val="24"/>
          <w:szCs w:val="24"/>
          <w:highlight w:val="none"/>
          <w:lang w:eastAsia="zh-CN"/>
        </w:rPr>
        <w:t>吉利竹甫村车辆停放管理服务</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所提交的</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，请贵司退还</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时按以下账号划款：</w:t>
      </w:r>
    </w:p>
    <w:tbl>
      <w:tblPr>
        <w:tblStyle w:val="19"/>
        <w:tblW w:w="956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1"/>
        <w:gridCol w:w="4029"/>
        <w:gridCol w:w="1100"/>
        <w:gridCol w:w="2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收款人</w:t>
            </w:r>
          </w:p>
        </w:tc>
        <w:tc>
          <w:tcPr>
            <w:tcW w:w="7174" w:type="dxa"/>
            <w:gridSpan w:val="3"/>
            <w:tcBorders>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收款人地址</w:t>
            </w:r>
          </w:p>
        </w:tc>
        <w:tc>
          <w:tcPr>
            <w:tcW w:w="7174" w:type="dxa"/>
            <w:gridSpan w:val="3"/>
            <w:tcBorders>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开户银行（具体到XX银行XX支行）</w:t>
            </w:r>
          </w:p>
        </w:tc>
        <w:tc>
          <w:tcPr>
            <w:tcW w:w="4029" w:type="dxa"/>
            <w:tcBorders>
              <w:tl2br w:val="nil"/>
              <w:tr2bl w:val="nil"/>
            </w:tcBorders>
            <w:noWrap w:val="0"/>
            <w:vAlign w:val="top"/>
          </w:tcPr>
          <w:p>
            <w:pPr>
              <w:rPr>
                <w:rFonts w:hint="eastAsia" w:ascii="宋体" w:hAnsi="宋体" w:eastAsia="宋体" w:cs="宋体"/>
                <w:color w:val="auto"/>
                <w:sz w:val="24"/>
                <w:szCs w:val="24"/>
                <w:highlight w:val="none"/>
              </w:rPr>
            </w:pPr>
          </w:p>
        </w:tc>
        <w:tc>
          <w:tcPr>
            <w:tcW w:w="1100" w:type="dxa"/>
            <w:tcBorders>
              <w:tl2br w:val="nil"/>
              <w:tr2bl w:val="nil"/>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045" w:type="dxa"/>
            <w:tcBorders>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029" w:type="dxa"/>
            <w:tcBorders>
              <w:tl2br w:val="nil"/>
              <w:tr2bl w:val="nil"/>
            </w:tcBorders>
            <w:noWrap w:val="0"/>
            <w:vAlign w:val="top"/>
          </w:tcPr>
          <w:p>
            <w:pPr>
              <w:rPr>
                <w:rFonts w:hint="eastAsia" w:ascii="宋体" w:hAnsi="宋体" w:eastAsia="宋体" w:cs="宋体"/>
                <w:color w:val="auto"/>
                <w:sz w:val="24"/>
                <w:szCs w:val="24"/>
                <w:highlight w:val="none"/>
              </w:rPr>
            </w:pPr>
          </w:p>
        </w:tc>
        <w:tc>
          <w:tcPr>
            <w:tcW w:w="1100" w:type="dxa"/>
            <w:tcBorders>
              <w:tl2br w:val="nil"/>
              <w:tr2bl w:val="nil"/>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045" w:type="dxa"/>
            <w:tcBorders>
              <w:tl2br w:val="nil"/>
              <w:tr2bl w:val="nil"/>
            </w:tcBorders>
            <w:noWrap w:val="0"/>
            <w:vAlign w:val="top"/>
          </w:tcPr>
          <w:p>
            <w:pPr>
              <w:rPr>
                <w:rFonts w:hint="eastAsia" w:ascii="宋体" w:hAnsi="宋体" w:eastAsia="宋体" w:cs="宋体"/>
                <w:color w:val="auto"/>
                <w:sz w:val="24"/>
                <w:szCs w:val="24"/>
                <w:highlight w:val="none"/>
              </w:rPr>
            </w:pPr>
          </w:p>
        </w:tc>
      </w:tr>
    </w:tbl>
    <w:p>
      <w:pPr>
        <w:spacing w:line="360" w:lineRule="auto"/>
        <w:jc w:val="center"/>
        <w:outlineLvl w:val="2"/>
        <w:rPr>
          <w:rFonts w:hint="eastAsia" w:ascii="宋体" w:hAnsi="宋体" w:eastAsia="宋体" w:cs="宋体"/>
          <w:color w:val="auto"/>
          <w:sz w:val="24"/>
          <w:szCs w:val="24"/>
          <w:highlight w:val="none"/>
        </w:rPr>
      </w:pPr>
      <w:bookmarkStart w:id="131" w:name="_Toc4845"/>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代理机构按规定允许退还</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时，将按其提供的“退</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说明”退</w:t>
      </w:r>
      <w:bookmarkEnd w:id="131"/>
    </w:p>
    <w:p>
      <w:pPr>
        <w:spacing w:line="360" w:lineRule="auto"/>
        <w:jc w:val="both"/>
        <w:outlineLvl w:val="2"/>
        <w:rPr>
          <w:rFonts w:hint="eastAsia"/>
          <w:color w:val="auto"/>
          <w:highlight w:val="none"/>
        </w:rPr>
      </w:pPr>
      <w:bookmarkStart w:id="132" w:name="_Toc18967"/>
      <w:r>
        <w:rPr>
          <w:rFonts w:hint="eastAsia" w:ascii="宋体" w:hAnsi="宋体" w:eastAsia="宋体" w:cs="宋体"/>
          <w:color w:val="auto"/>
          <w:sz w:val="24"/>
          <w:szCs w:val="24"/>
          <w:highlight w:val="none"/>
        </w:rPr>
        <w:t>还</w:t>
      </w:r>
      <w:r>
        <w:rPr>
          <w:rFonts w:hint="eastAsia" w:ascii="宋体" w:hAnsi="宋体" w:cs="宋体"/>
          <w:color w:val="auto"/>
          <w:sz w:val="24"/>
          <w:szCs w:val="24"/>
          <w:highlight w:val="none"/>
          <w:lang w:eastAsia="zh-CN"/>
        </w:rPr>
        <w:t>竞投保证金</w:t>
      </w:r>
      <w:r>
        <w:rPr>
          <w:rFonts w:hint="eastAsia" w:ascii="宋体" w:hAnsi="宋体"/>
          <w:color w:val="auto"/>
          <w:highlight w:val="none"/>
        </w:rPr>
        <w:t>。</w:t>
      </w:r>
      <w:r>
        <w:rPr>
          <w:rFonts w:ascii="宋体"/>
          <w:color w:val="auto"/>
          <w:highlight w:val="none"/>
        </w:rPr>
        <w:br w:type="page"/>
      </w:r>
      <w:bookmarkEnd w:id="132"/>
    </w:p>
    <w:p>
      <w:pPr>
        <w:spacing w:line="360" w:lineRule="auto"/>
        <w:jc w:val="center"/>
        <w:outlineLvl w:val="2"/>
        <w:rPr>
          <w:rFonts w:ascii="宋体"/>
          <w:b/>
          <w:color w:val="auto"/>
          <w:sz w:val="32"/>
          <w:szCs w:val="32"/>
          <w:highlight w:val="none"/>
        </w:rPr>
      </w:pPr>
      <w:bookmarkStart w:id="133" w:name="_Toc29623"/>
      <w:r>
        <w:rPr>
          <w:rFonts w:hint="eastAsia" w:ascii="宋体" w:hAnsi="宋体" w:eastAsia="宋体" w:cs="Times New Roman"/>
          <w:b/>
          <w:color w:val="auto"/>
          <w:spacing w:val="0"/>
          <w:sz w:val="32"/>
          <w:szCs w:val="32"/>
          <w:highlight w:val="none"/>
          <w:lang w:val="en-US" w:eastAsia="zh-CN"/>
        </w:rPr>
        <w:t>1.</w:t>
      </w:r>
      <w:bookmarkEnd w:id="130"/>
      <w:bookmarkStart w:id="134" w:name="_Toc6596"/>
      <w:bookmarkStart w:id="135" w:name="_Toc22028"/>
      <w:bookmarkStart w:id="136" w:name="_Toc27101"/>
      <w:bookmarkStart w:id="137" w:name="_Toc13491"/>
      <w:bookmarkStart w:id="138" w:name="_Toc11487"/>
      <w:bookmarkStart w:id="139" w:name="_Toc7712"/>
      <w:bookmarkStart w:id="140" w:name="_Toc28989"/>
      <w:r>
        <w:rPr>
          <w:rFonts w:hint="eastAsia" w:ascii="宋体" w:hAnsi="宋体" w:cs="Times New Roman"/>
          <w:b/>
          <w:color w:val="auto"/>
          <w:spacing w:val="0"/>
          <w:sz w:val="32"/>
          <w:szCs w:val="32"/>
          <w:highlight w:val="none"/>
          <w:lang w:val="en-US" w:eastAsia="zh-CN"/>
        </w:rPr>
        <w:t>8</w:t>
      </w:r>
      <w:r>
        <w:rPr>
          <w:rFonts w:hint="eastAsia" w:ascii="宋体" w:hAnsi="宋体"/>
          <w:b/>
          <w:color w:val="auto"/>
          <w:sz w:val="32"/>
          <w:szCs w:val="32"/>
          <w:highlight w:val="none"/>
        </w:rPr>
        <w:t>其他文件资料及说明</w:t>
      </w:r>
      <w:bookmarkEnd w:id="133"/>
      <w:bookmarkEnd w:id="134"/>
      <w:bookmarkEnd w:id="135"/>
      <w:bookmarkEnd w:id="136"/>
      <w:bookmarkEnd w:id="137"/>
      <w:bookmarkEnd w:id="138"/>
      <w:bookmarkEnd w:id="139"/>
      <w:bookmarkEnd w:id="140"/>
    </w:p>
    <w:p>
      <w:pPr>
        <w:spacing w:line="360" w:lineRule="auto"/>
        <w:rPr>
          <w:rFonts w:ascii="宋体"/>
          <w:color w:val="auto"/>
          <w:sz w:val="24"/>
          <w:highlight w:val="none"/>
        </w:rPr>
      </w:pPr>
    </w:p>
    <w:p>
      <w:pPr>
        <w:spacing w:line="480" w:lineRule="auto"/>
        <w:ind w:firstLine="720" w:firstLineChars="240"/>
        <w:rPr>
          <w:rFonts w:hint="eastAsia" w:ascii="宋体" w:hAnsi="宋体"/>
          <w:color w:val="auto"/>
          <w:sz w:val="30"/>
          <w:szCs w:val="30"/>
          <w:highlight w:val="none"/>
        </w:rPr>
      </w:pPr>
      <w:r>
        <w:rPr>
          <w:rFonts w:hint="eastAsia" w:ascii="宋体" w:hAnsi="宋体"/>
          <w:color w:val="auto"/>
          <w:sz w:val="30"/>
          <w:szCs w:val="30"/>
          <w:highlight w:val="none"/>
        </w:rPr>
        <w:t>本节内容为</w:t>
      </w:r>
      <w:r>
        <w:rPr>
          <w:rFonts w:hint="eastAsia" w:ascii="宋体" w:hAnsi="宋体"/>
          <w:color w:val="auto"/>
          <w:sz w:val="30"/>
          <w:szCs w:val="30"/>
          <w:highlight w:val="none"/>
          <w:lang w:eastAsia="zh-CN"/>
        </w:rPr>
        <w:t>投标人</w:t>
      </w:r>
      <w:r>
        <w:rPr>
          <w:rFonts w:hint="eastAsia" w:ascii="宋体" w:hAnsi="宋体"/>
          <w:color w:val="auto"/>
          <w:sz w:val="30"/>
          <w:szCs w:val="30"/>
          <w:highlight w:val="none"/>
        </w:rPr>
        <w:t>认为有必要提供的其他文件材料，因此所提交的内容和编制格式等均不受任何限制，一切递交情况由</w:t>
      </w:r>
      <w:r>
        <w:rPr>
          <w:rFonts w:hint="eastAsia" w:ascii="宋体" w:hAnsi="宋体"/>
          <w:color w:val="auto"/>
          <w:sz w:val="30"/>
          <w:szCs w:val="30"/>
          <w:highlight w:val="none"/>
          <w:lang w:eastAsia="zh-CN"/>
        </w:rPr>
        <w:t>投标人</w:t>
      </w:r>
      <w:r>
        <w:rPr>
          <w:rFonts w:hint="eastAsia" w:ascii="宋体" w:hAnsi="宋体"/>
          <w:color w:val="auto"/>
          <w:sz w:val="30"/>
          <w:szCs w:val="30"/>
          <w:highlight w:val="none"/>
        </w:rPr>
        <w:t>自行决定和设计排版。</w:t>
      </w:r>
    </w:p>
    <w:p>
      <w:pPr>
        <w:pStyle w:val="6"/>
        <w:rPr>
          <w:rFonts w:hint="eastAsia" w:ascii="宋体" w:hAnsi="宋体"/>
          <w:color w:val="auto"/>
          <w:sz w:val="30"/>
          <w:szCs w:val="30"/>
          <w:highlight w:val="none"/>
        </w:rPr>
      </w:pPr>
    </w:p>
    <w:p>
      <w:pPr>
        <w:rPr>
          <w:color w:val="auto"/>
          <w:highlight w:val="none"/>
        </w:rPr>
      </w:pPr>
    </w:p>
    <w:p>
      <w:pPr>
        <w:snapToGrid w:val="0"/>
        <w:spacing w:line="480" w:lineRule="auto"/>
        <w:rPr>
          <w:rFonts w:ascii="宋体"/>
          <w:color w:val="auto"/>
          <w:sz w:val="24"/>
          <w:highlight w:val="none"/>
        </w:rPr>
      </w:pPr>
    </w:p>
    <w:p>
      <w:pPr>
        <w:snapToGrid w:val="0"/>
        <w:rPr>
          <w:rFonts w:ascii="宋体"/>
          <w:color w:val="auto"/>
          <w:sz w:val="18"/>
          <w:szCs w:val="18"/>
          <w:highlight w:val="none"/>
        </w:rPr>
      </w:pPr>
      <w:r>
        <w:rPr>
          <w:rFonts w:ascii="宋体"/>
          <w:color w:val="auto"/>
          <w:sz w:val="24"/>
          <w:highlight w:val="none"/>
        </w:rPr>
        <w:br w:type="page"/>
      </w:r>
    </w:p>
    <w:p>
      <w:pPr>
        <w:spacing w:line="360" w:lineRule="auto"/>
        <w:jc w:val="center"/>
        <w:outlineLvl w:val="2"/>
        <w:rPr>
          <w:rFonts w:ascii="宋体"/>
          <w:b/>
          <w:bCs/>
          <w:color w:val="auto"/>
          <w:sz w:val="44"/>
          <w:szCs w:val="44"/>
          <w:highlight w:val="none"/>
        </w:rPr>
      </w:pPr>
      <w:bookmarkStart w:id="141" w:name="_Toc49329276"/>
      <w:bookmarkStart w:id="142" w:name="_Toc7194"/>
      <w:bookmarkStart w:id="143" w:name="_Toc17774"/>
      <w:bookmarkStart w:id="144" w:name="_Toc13202"/>
      <w:bookmarkStart w:id="145" w:name="_Toc30561"/>
      <w:bookmarkStart w:id="146" w:name="_Toc374378439"/>
      <w:bookmarkStart w:id="147" w:name="_Toc334432604"/>
      <w:bookmarkStart w:id="148" w:name="_Toc17925"/>
      <w:bookmarkStart w:id="149" w:name="_Toc22689"/>
      <w:bookmarkStart w:id="150" w:name="_Toc16582"/>
      <w:r>
        <w:rPr>
          <w:rFonts w:hint="eastAsia" w:ascii="宋体" w:hAnsi="宋体"/>
          <w:b/>
          <w:bCs/>
          <w:color w:val="auto"/>
          <w:sz w:val="44"/>
          <w:szCs w:val="44"/>
          <w:highlight w:val="none"/>
        </w:rPr>
        <w:t>文件包装袋</w:t>
      </w:r>
      <w:bookmarkEnd w:id="141"/>
      <w:r>
        <w:rPr>
          <w:rFonts w:hint="eastAsia" w:ascii="宋体" w:hAnsi="宋体"/>
          <w:b/>
          <w:bCs/>
          <w:color w:val="auto"/>
          <w:sz w:val="44"/>
          <w:szCs w:val="44"/>
          <w:highlight w:val="none"/>
        </w:rPr>
        <w:t>封面标贴格式</w:t>
      </w:r>
      <w:bookmarkEnd w:id="142"/>
      <w:bookmarkEnd w:id="143"/>
      <w:bookmarkEnd w:id="144"/>
      <w:bookmarkEnd w:id="145"/>
      <w:bookmarkEnd w:id="146"/>
      <w:bookmarkEnd w:id="147"/>
      <w:bookmarkEnd w:id="148"/>
      <w:bookmarkEnd w:id="149"/>
      <w:bookmarkEnd w:id="150"/>
    </w:p>
    <w:tbl>
      <w:tblPr>
        <w:tblStyle w:val="19"/>
        <w:tblW w:w="9329" w:type="dxa"/>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Layout w:type="fixed"/>
        <w:tblCellMar>
          <w:top w:w="0" w:type="dxa"/>
          <w:left w:w="108" w:type="dxa"/>
          <w:bottom w:w="0" w:type="dxa"/>
          <w:right w:w="108" w:type="dxa"/>
        </w:tblCellMar>
      </w:tblPr>
      <w:tblGrid>
        <w:gridCol w:w="9329"/>
      </w:tblGrid>
      <w:tr>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CellMar>
            <w:top w:w="0" w:type="dxa"/>
            <w:left w:w="108" w:type="dxa"/>
            <w:bottom w:w="0" w:type="dxa"/>
            <w:right w:w="108" w:type="dxa"/>
          </w:tblCellMar>
        </w:tblPrEx>
        <w:trPr>
          <w:trHeight w:val="9085" w:hRule="atLeast"/>
          <w:jc w:val="center"/>
        </w:trPr>
        <w:tc>
          <w:tcPr>
            <w:tcW w:w="9329" w:type="dxa"/>
            <w:shd w:val="clear" w:color="auto" w:fill="FFFFFF"/>
            <w:noWrap w:val="0"/>
            <w:vAlign w:val="top"/>
          </w:tcPr>
          <w:p>
            <w:pPr>
              <w:rPr>
                <w:rFonts w:ascii="宋体"/>
                <w:color w:val="auto"/>
                <w:sz w:val="18"/>
                <w:szCs w:val="18"/>
                <w:highlight w:val="none"/>
              </w:rPr>
            </w:pPr>
          </w:p>
          <w:p>
            <w:pPr>
              <w:jc w:val="center"/>
              <w:rPr>
                <w:rFonts w:ascii="宋体"/>
                <w:b/>
                <w:color w:val="auto"/>
                <w:sz w:val="48"/>
                <w:szCs w:val="48"/>
                <w:highlight w:val="none"/>
              </w:rPr>
            </w:pPr>
          </w:p>
          <w:p>
            <w:pPr>
              <w:jc w:val="center"/>
              <w:rPr>
                <w:rFonts w:ascii="宋体"/>
                <w:b/>
                <w:bCs/>
                <w:color w:val="auto"/>
                <w:sz w:val="24"/>
                <w:highlight w:val="none"/>
              </w:rPr>
            </w:pPr>
          </w:p>
          <w:p>
            <w:pPr>
              <w:jc w:val="center"/>
              <w:rPr>
                <w:rFonts w:ascii="宋体"/>
                <w:b/>
                <w:bCs/>
                <w:color w:val="auto"/>
                <w:sz w:val="24"/>
                <w:highlight w:val="none"/>
                <w:lang w:val="en-GB"/>
              </w:rPr>
            </w:pPr>
          </w:p>
          <w:p>
            <w:pPr>
              <w:jc w:val="center"/>
              <w:rPr>
                <w:rFonts w:ascii="宋体"/>
                <w:b/>
                <w:bCs/>
                <w:color w:val="auto"/>
                <w:sz w:val="24"/>
                <w:highlight w:val="none"/>
                <w:lang w:val="en-GB"/>
              </w:rPr>
            </w:pPr>
          </w:p>
          <w:p>
            <w:pPr>
              <w:spacing w:line="360" w:lineRule="auto"/>
              <w:jc w:val="center"/>
              <w:rPr>
                <w:rFonts w:ascii="宋体"/>
                <w:b/>
                <w:bCs/>
                <w:color w:val="auto"/>
                <w:sz w:val="72"/>
                <w:szCs w:val="72"/>
                <w:highlight w:val="none"/>
              </w:rPr>
            </w:pPr>
            <w:r>
              <w:rPr>
                <w:rFonts w:hint="eastAsia" w:ascii="宋体" w:hAnsi="宋体"/>
                <w:b/>
                <w:bCs/>
                <w:color w:val="auto"/>
                <w:sz w:val="72"/>
                <w:szCs w:val="72"/>
                <w:highlight w:val="none"/>
                <w:lang w:eastAsia="zh-CN"/>
              </w:rPr>
              <w:t>资格审查</w:t>
            </w:r>
            <w:r>
              <w:rPr>
                <w:rFonts w:hint="eastAsia" w:ascii="宋体" w:hAnsi="宋体"/>
                <w:b/>
                <w:bCs/>
                <w:color w:val="auto"/>
                <w:sz w:val="72"/>
                <w:szCs w:val="72"/>
                <w:highlight w:val="none"/>
              </w:rPr>
              <w:t>文件</w:t>
            </w:r>
          </w:p>
          <w:p>
            <w:pPr>
              <w:jc w:val="center"/>
              <w:rPr>
                <w:rFonts w:ascii="宋体"/>
                <w:b/>
                <w:bCs/>
                <w:color w:val="auto"/>
                <w:sz w:val="24"/>
                <w:highlight w:val="none"/>
                <w:lang w:val="en-GB"/>
              </w:rPr>
            </w:pPr>
          </w:p>
          <w:p>
            <w:pPr>
              <w:spacing w:line="300" w:lineRule="auto"/>
              <w:jc w:val="center"/>
              <w:rPr>
                <w:rFonts w:ascii="宋体"/>
                <w:color w:val="auto"/>
                <w:sz w:val="24"/>
                <w:highlight w:val="none"/>
              </w:rPr>
            </w:pPr>
            <w:r>
              <w:rPr>
                <w:rFonts w:hint="eastAsia" w:ascii="宋体" w:hAnsi="宋体"/>
                <w:bCs/>
                <w:color w:val="auto"/>
                <w:sz w:val="24"/>
                <w:highlight w:val="none"/>
                <w:lang w:val="en-GB"/>
              </w:rPr>
              <w:t>密封内容：</w:t>
            </w:r>
            <w:r>
              <w:rPr>
                <w:rFonts w:hint="eastAsia" w:ascii="宋体" w:hAnsi="宋体"/>
                <w:color w:val="auto"/>
                <w:sz w:val="24"/>
                <w:highlight w:val="none"/>
                <w:lang w:eastAsia="zh-CN"/>
              </w:rPr>
              <w:t>资格审查</w:t>
            </w:r>
            <w:r>
              <w:rPr>
                <w:rFonts w:hint="eastAsia" w:ascii="宋体" w:hAnsi="宋体"/>
                <w:color w:val="auto"/>
                <w:sz w:val="24"/>
                <w:highlight w:val="none"/>
              </w:rPr>
              <w:t>文件（□正本</w:t>
            </w:r>
            <w:r>
              <w:rPr>
                <w:rFonts w:ascii="宋体" w:hAnsi="宋体"/>
                <w:color w:val="auto"/>
                <w:sz w:val="24"/>
                <w:highlight w:val="none"/>
              </w:rPr>
              <w:t>/</w:t>
            </w:r>
            <w:r>
              <w:rPr>
                <w:rFonts w:hint="eastAsia" w:ascii="宋体" w:hAnsi="宋体"/>
                <w:color w:val="auto"/>
                <w:sz w:val="24"/>
                <w:highlight w:val="none"/>
              </w:rPr>
              <w:t>□副本</w:t>
            </w:r>
            <w:r>
              <w:rPr>
                <w:rFonts w:ascii="宋体" w:hAnsi="宋体"/>
                <w:color w:val="auto"/>
                <w:sz w:val="24"/>
                <w:highlight w:val="none"/>
              </w:rPr>
              <w:t>/</w:t>
            </w:r>
            <w:r>
              <w:rPr>
                <w:rFonts w:hint="eastAsia" w:ascii="宋体" w:hAnsi="宋体"/>
                <w:color w:val="auto"/>
                <w:sz w:val="24"/>
                <w:highlight w:val="none"/>
              </w:rPr>
              <w:t>□电子光盘）</w:t>
            </w:r>
          </w:p>
          <w:p>
            <w:pPr>
              <w:spacing w:line="360" w:lineRule="auto"/>
              <w:jc w:val="center"/>
              <w:rPr>
                <w:rFonts w:ascii="宋体"/>
                <w:b/>
                <w:color w:val="auto"/>
                <w:szCs w:val="21"/>
                <w:highlight w:val="none"/>
                <w:lang w:val="en-GB"/>
              </w:rPr>
            </w:pPr>
            <w:r>
              <w:rPr>
                <w:rFonts w:hint="eastAsia" w:ascii="宋体" w:hAnsi="宋体"/>
                <w:b/>
                <w:color w:val="auto"/>
                <w:szCs w:val="21"/>
                <w:highlight w:val="none"/>
                <w:lang w:eastAsia="zh-CN"/>
              </w:rPr>
              <w:t>投标人</w:t>
            </w:r>
            <w:r>
              <w:rPr>
                <w:rFonts w:hint="eastAsia" w:ascii="宋体" w:hAnsi="宋体"/>
                <w:b/>
                <w:color w:val="auto"/>
                <w:szCs w:val="21"/>
                <w:highlight w:val="none"/>
                <w:lang w:val="en-GB"/>
              </w:rPr>
              <w:t>于密封前自行对上述资料的密封情况进行自查，并于相应“□”处中打“√”</w:t>
            </w:r>
          </w:p>
          <w:p>
            <w:pPr>
              <w:ind w:firstLine="2474" w:firstLineChars="1027"/>
              <w:rPr>
                <w:rFonts w:ascii="宋体"/>
                <w:b/>
                <w:color w:val="auto"/>
                <w:sz w:val="24"/>
                <w:szCs w:val="36"/>
                <w:highlight w:val="none"/>
                <w:lang w:val="en-GB"/>
              </w:rPr>
            </w:pPr>
          </w:p>
          <w:p>
            <w:pPr>
              <w:spacing w:line="360" w:lineRule="auto"/>
              <w:ind w:right="145" w:rightChars="69"/>
              <w:jc w:val="center"/>
              <w:rPr>
                <w:rFonts w:hint="eastAsia" w:ascii="宋体" w:eastAsia="宋体"/>
                <w:b/>
                <w:color w:val="auto"/>
                <w:sz w:val="24"/>
                <w:highlight w:val="none"/>
                <w:lang w:val="en-GB" w:eastAsia="zh-CN"/>
              </w:rPr>
            </w:pPr>
            <w:r>
              <w:rPr>
                <w:rFonts w:hint="eastAsia" w:ascii="宋体" w:hAnsi="宋体"/>
                <w:b/>
                <w:bCs/>
                <w:color w:val="auto"/>
                <w:sz w:val="24"/>
                <w:highlight w:val="none"/>
              </w:rPr>
              <w:t>项目名称</w:t>
            </w:r>
            <w:r>
              <w:rPr>
                <w:rFonts w:hint="eastAsia" w:ascii="宋体" w:hAnsi="宋体"/>
                <w:b/>
                <w:color w:val="auto"/>
                <w:sz w:val="24"/>
                <w:highlight w:val="none"/>
                <w:lang w:val="en-GB"/>
              </w:rPr>
              <w:t>：</w:t>
            </w:r>
            <w:r>
              <w:rPr>
                <w:rFonts w:hint="eastAsia" w:ascii="宋体" w:hAnsi="宋体"/>
                <w:b/>
                <w:color w:val="auto"/>
                <w:sz w:val="24"/>
                <w:highlight w:val="none"/>
                <w:lang w:val="en-GB" w:eastAsia="zh-CN"/>
              </w:rPr>
              <w:t>吉利竹甫村车辆停放管理服务</w:t>
            </w:r>
          </w:p>
          <w:p>
            <w:pPr>
              <w:ind w:firstLine="1079" w:firstLineChars="448"/>
              <w:rPr>
                <w:b/>
                <w:bCs/>
                <w:color w:val="auto"/>
                <w:sz w:val="24"/>
                <w:highlight w:val="none"/>
              </w:rPr>
            </w:pPr>
          </w:p>
          <w:p>
            <w:pPr>
              <w:ind w:firstLine="1079" w:firstLineChars="448"/>
              <w:rPr>
                <w:b/>
                <w:bCs/>
                <w:color w:val="auto"/>
                <w:sz w:val="24"/>
                <w:highlight w:val="none"/>
              </w:rPr>
            </w:pPr>
          </w:p>
          <w:p>
            <w:pPr>
              <w:ind w:firstLine="1079" w:firstLineChars="448"/>
              <w:rPr>
                <w:b/>
                <w:bCs/>
                <w:color w:val="auto"/>
                <w:sz w:val="24"/>
                <w:highlight w:val="none"/>
              </w:rPr>
            </w:pPr>
          </w:p>
          <w:p>
            <w:pPr>
              <w:ind w:firstLine="1079" w:firstLineChars="448"/>
              <w:rPr>
                <w:b/>
                <w:bCs/>
                <w:color w:val="auto"/>
                <w:sz w:val="24"/>
                <w:highlight w:val="none"/>
              </w:rPr>
            </w:pPr>
          </w:p>
          <w:p>
            <w:pPr>
              <w:spacing w:line="360" w:lineRule="auto"/>
              <w:jc w:val="center"/>
              <w:rPr>
                <w:rFonts w:ascii="宋体" w:hAnsi="宋体"/>
                <w:bCs/>
                <w:color w:val="auto"/>
                <w:sz w:val="28"/>
                <w:highlight w:val="none"/>
              </w:rPr>
            </w:pPr>
            <w:r>
              <w:rPr>
                <w:rFonts w:hint="eastAsia"/>
                <w:bCs/>
                <w:color w:val="auto"/>
                <w:sz w:val="28"/>
                <w:highlight w:val="none"/>
              </w:rPr>
              <w:t>投标人：</w:t>
            </w:r>
            <w:r>
              <w:rPr>
                <w:rFonts w:ascii="宋体" w:hAnsi="宋体"/>
                <w:bCs/>
                <w:color w:val="auto"/>
                <w:sz w:val="28"/>
                <w:highlight w:val="none"/>
              </w:rPr>
              <w:t>(</w:t>
            </w:r>
            <w:r>
              <w:rPr>
                <w:rFonts w:hint="eastAsia" w:ascii="宋体" w:hAnsi="宋体"/>
                <w:bCs/>
                <w:color w:val="auto"/>
                <w:sz w:val="28"/>
                <w:highlight w:val="none"/>
              </w:rPr>
              <w:t>加盖公章</w:t>
            </w:r>
            <w:r>
              <w:rPr>
                <w:rFonts w:ascii="宋体" w:hAnsi="宋体"/>
                <w:bCs/>
                <w:color w:val="auto"/>
                <w:sz w:val="28"/>
                <w:highlight w:val="none"/>
              </w:rPr>
              <w:t>)</w:t>
            </w:r>
          </w:p>
          <w:p>
            <w:pPr>
              <w:jc w:val="center"/>
              <w:rPr>
                <w:rFonts w:ascii="宋体"/>
                <w:bCs/>
                <w:color w:val="auto"/>
                <w:sz w:val="28"/>
                <w:szCs w:val="28"/>
                <w:highlight w:val="none"/>
              </w:rPr>
            </w:pPr>
          </w:p>
          <w:p>
            <w:pPr>
              <w:spacing w:after="120" w:afterLines="50"/>
              <w:jc w:val="cente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在</w:t>
            </w:r>
            <w:r>
              <w:rPr>
                <w:rFonts w:hint="eastAsia" w:asciiTheme="minorEastAsia" w:hAnsiTheme="minorEastAsia" w:eastAsiaTheme="minorEastAsia" w:cstheme="minorEastAsia"/>
                <w:bCs/>
                <w:color w:val="auto"/>
                <w:sz w:val="28"/>
                <w:szCs w:val="28"/>
                <w:highlight w:val="none"/>
                <w:lang w:eastAsia="zh-CN"/>
              </w:rPr>
              <w:t>2024</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2</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lang w:val="en-US" w:eastAsia="zh-CN"/>
              </w:rPr>
              <w:t>8</w:t>
            </w:r>
            <w:r>
              <w:rPr>
                <w:rFonts w:hint="eastAsia" w:asciiTheme="minorEastAsia" w:hAnsiTheme="minorEastAsia" w:eastAsiaTheme="minorEastAsia" w:cstheme="minorEastAsia"/>
                <w:bCs/>
                <w:color w:val="auto"/>
                <w:sz w:val="28"/>
                <w:szCs w:val="28"/>
                <w:highlight w:val="none"/>
              </w:rPr>
              <w:t>日</w:t>
            </w:r>
            <w:r>
              <w:rPr>
                <w:rFonts w:hint="eastAsia" w:asciiTheme="minorEastAsia" w:hAnsiTheme="minorEastAsia" w:eastAsiaTheme="minorEastAsia" w:cstheme="minorEastAsia"/>
                <w:bCs/>
                <w:color w:val="auto"/>
                <w:sz w:val="28"/>
                <w:szCs w:val="28"/>
                <w:highlight w:val="none"/>
                <w:lang w:eastAsia="zh-CN"/>
              </w:rPr>
              <w:t>上</w:t>
            </w:r>
            <w:r>
              <w:rPr>
                <w:rFonts w:hint="eastAsia" w:asciiTheme="minorEastAsia" w:hAnsiTheme="minorEastAsia" w:eastAsiaTheme="minorEastAsia" w:cstheme="minorEastAsia"/>
                <w:bCs/>
                <w:color w:val="auto"/>
                <w:sz w:val="28"/>
                <w:szCs w:val="28"/>
                <w:highlight w:val="none"/>
              </w:rPr>
              <w:t>午</w:t>
            </w: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00</w:t>
            </w:r>
            <w:r>
              <w:rPr>
                <w:rFonts w:hint="eastAsia" w:asciiTheme="minorEastAsia" w:hAnsiTheme="minorEastAsia" w:eastAsiaTheme="minorEastAsia" w:cstheme="minorEastAsia"/>
                <w:bCs/>
                <w:color w:val="auto"/>
                <w:sz w:val="28"/>
                <w:szCs w:val="28"/>
                <w:highlight w:val="none"/>
              </w:rPr>
              <w:t>之前不得启封</w:t>
            </w:r>
          </w:p>
          <w:p>
            <w:pPr>
              <w:ind w:firstLine="2800" w:firstLineChars="1000"/>
              <w:rPr>
                <w:rFonts w:hint="eastAsia" w:asciiTheme="minorEastAsia" w:hAnsiTheme="minorEastAsia" w:eastAsiaTheme="minorEastAsia" w:cstheme="minorEastAsia"/>
                <w:bCs/>
                <w:color w:val="auto"/>
                <w:sz w:val="28"/>
                <w:szCs w:val="28"/>
                <w:highlight w:val="none"/>
              </w:rPr>
            </w:pPr>
          </w:p>
          <w:p>
            <w:pPr>
              <w:ind w:firstLine="1400" w:firstLineChars="500"/>
              <w:rPr>
                <w:rFonts w:hint="eastAsia" w:ascii="宋体" w:eastAsia="宋体"/>
                <w:color w:val="auto"/>
                <w:sz w:val="24"/>
                <w:highlight w:val="none"/>
                <w:u w:val="single"/>
                <w:lang w:eastAsia="zh-CN"/>
              </w:rPr>
            </w:pPr>
            <w:r>
              <w:rPr>
                <w:rFonts w:hint="eastAsia" w:asciiTheme="minorEastAsia" w:hAnsiTheme="minorEastAsia" w:eastAsiaTheme="minorEastAsia" w:cstheme="minorEastAsia"/>
                <w:bCs/>
                <w:color w:val="auto"/>
                <w:sz w:val="28"/>
                <w:szCs w:val="28"/>
                <w:highlight w:val="none"/>
              </w:rPr>
              <w:t>递交地点：佛山市禅城区南庄镇紫洞南路106号南庄商业广场A1座四楼南庄镇公共资源交易所开标室</w:t>
            </w:r>
          </w:p>
        </w:tc>
      </w:tr>
    </w:tbl>
    <w:p>
      <w:pPr>
        <w:spacing w:before="120" w:beforeLines="50" w:line="360" w:lineRule="auto"/>
        <w:ind w:left="181"/>
        <w:rPr>
          <w:rFonts w:ascii="宋体"/>
          <w:b/>
          <w:bCs/>
          <w:color w:val="auto"/>
          <w:sz w:val="24"/>
          <w:highlight w:val="none"/>
          <w:lang w:val="en-GB"/>
        </w:rPr>
      </w:pPr>
    </w:p>
    <w:p>
      <w:pPr>
        <w:numPr>
          <w:ilvl w:val="0"/>
          <w:numId w:val="52"/>
        </w:numPr>
        <w:spacing w:before="120" w:beforeLines="50" w:line="360" w:lineRule="auto"/>
        <w:ind w:left="601"/>
        <w:rPr>
          <w:rFonts w:hint="eastAsia" w:ascii="宋体" w:hAnsi="宋体" w:eastAsia="宋体" w:cs="宋体"/>
          <w:b/>
          <w:bCs/>
          <w:color w:val="auto"/>
          <w:sz w:val="24"/>
          <w:highlight w:val="none"/>
          <w:lang w:val="en-GB"/>
        </w:rPr>
      </w:pPr>
      <w:r>
        <w:rPr>
          <w:rFonts w:hint="eastAsia" w:ascii="宋体" w:hAnsi="宋体" w:eastAsia="宋体" w:cs="宋体"/>
          <w:b/>
          <w:bCs/>
          <w:color w:val="auto"/>
          <w:sz w:val="24"/>
          <w:highlight w:val="none"/>
          <w:lang w:val="en-GB"/>
        </w:rPr>
        <w:t>重要提示：</w:t>
      </w:r>
    </w:p>
    <w:p>
      <w:pPr>
        <w:numPr>
          <w:ilvl w:val="0"/>
          <w:numId w:val="53"/>
        </w:numPr>
        <w:tabs>
          <w:tab w:val="left" w:pos="900"/>
          <w:tab w:val="clear" w:pos="780"/>
        </w:tabs>
        <w:spacing w:line="360" w:lineRule="auto"/>
        <w:ind w:left="538" w:leftChars="256"/>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eastAsia="zh-CN"/>
        </w:rPr>
        <w:t>资格审查</w:t>
      </w:r>
      <w:r>
        <w:rPr>
          <w:rFonts w:hint="eastAsia" w:ascii="宋体" w:hAnsi="宋体" w:eastAsia="宋体" w:cs="宋体"/>
          <w:color w:val="auto"/>
          <w:sz w:val="24"/>
          <w:highlight w:val="none"/>
          <w:lang w:val="en-GB"/>
        </w:rPr>
        <w:t>文件的正本、副本、电子光盘，均应密封在同一密封包中。若上述资料确实无法密封在同一密封包中，则可按实际情况分开密封，但须在密封包装上标明密封内容。</w:t>
      </w:r>
    </w:p>
    <w:p>
      <w:pPr>
        <w:numPr>
          <w:ilvl w:val="0"/>
          <w:numId w:val="53"/>
        </w:numPr>
        <w:tabs>
          <w:tab w:val="left" w:pos="900"/>
          <w:tab w:val="clear" w:pos="780"/>
        </w:tabs>
        <w:spacing w:line="360" w:lineRule="auto"/>
        <w:ind w:left="538" w:leftChars="256"/>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密封各文件资料时，应</w:t>
      </w:r>
      <w:r>
        <w:rPr>
          <w:rFonts w:hint="eastAsia" w:ascii="宋体" w:hAnsi="宋体" w:eastAsia="宋体" w:cs="宋体"/>
          <w:color w:val="auto"/>
          <w:sz w:val="24"/>
          <w:highlight w:val="none"/>
          <w:u w:val="single"/>
          <w:lang w:val="en-GB"/>
        </w:rPr>
        <w:t>在密封包装的封口</w:t>
      </w:r>
      <w:r>
        <w:rPr>
          <w:rFonts w:hint="eastAsia" w:ascii="宋体" w:hAnsi="宋体" w:eastAsia="宋体" w:cs="宋体"/>
          <w:color w:val="auto"/>
          <w:sz w:val="24"/>
          <w:highlight w:val="none"/>
          <w:lang w:val="en-GB"/>
        </w:rPr>
        <w:t>处加盖</w:t>
      </w:r>
      <w:r>
        <w:rPr>
          <w:rFonts w:hint="eastAsia" w:ascii="宋体" w:hAnsi="宋体" w:eastAsia="宋体" w:cs="宋体"/>
          <w:color w:val="auto"/>
          <w:sz w:val="24"/>
          <w:highlight w:val="none"/>
          <w:lang w:val="en-GB" w:eastAsia="zh-CN"/>
        </w:rPr>
        <w:t>投标人</w:t>
      </w:r>
      <w:r>
        <w:rPr>
          <w:rFonts w:hint="eastAsia" w:ascii="宋体" w:hAnsi="宋体" w:eastAsia="宋体" w:cs="宋体"/>
          <w:color w:val="auto"/>
          <w:sz w:val="24"/>
          <w:highlight w:val="none"/>
          <w:lang w:val="en-GB"/>
        </w:rPr>
        <w:t>公章。</w:t>
      </w:r>
    </w:p>
    <w:p>
      <w:pPr>
        <w:numPr>
          <w:ilvl w:val="0"/>
          <w:numId w:val="53"/>
        </w:numPr>
        <w:tabs>
          <w:tab w:val="left" w:pos="900"/>
          <w:tab w:val="clear" w:pos="780"/>
        </w:tabs>
        <w:spacing w:line="360" w:lineRule="auto"/>
        <w:ind w:left="601" w:leftChars="257" w:hanging="61"/>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因交通或有不便，递交</w:t>
      </w:r>
      <w:r>
        <w:rPr>
          <w:rFonts w:hint="eastAsia" w:ascii="宋体" w:hAnsi="宋体" w:eastAsia="宋体" w:cs="宋体"/>
          <w:color w:val="auto"/>
          <w:sz w:val="24"/>
          <w:highlight w:val="none"/>
          <w:lang w:val="en-GB" w:eastAsia="zh-CN"/>
        </w:rPr>
        <w:t>竞投</w:t>
      </w:r>
      <w:r>
        <w:rPr>
          <w:rFonts w:hint="eastAsia" w:ascii="宋体" w:hAnsi="宋体" w:eastAsia="宋体" w:cs="宋体"/>
          <w:color w:val="auto"/>
          <w:sz w:val="24"/>
          <w:highlight w:val="none"/>
          <w:lang w:val="en-GB"/>
        </w:rPr>
        <w:t>文件时务请</w:t>
      </w:r>
      <w:r>
        <w:rPr>
          <w:rFonts w:hint="eastAsia" w:ascii="宋体" w:hAnsi="宋体" w:eastAsia="宋体" w:cs="宋体"/>
          <w:b/>
          <w:color w:val="auto"/>
          <w:sz w:val="24"/>
          <w:highlight w:val="none"/>
          <w:u w:val="single"/>
          <w:lang w:val="en-GB"/>
        </w:rPr>
        <w:t>提早到达</w:t>
      </w:r>
      <w:r>
        <w:rPr>
          <w:rFonts w:hint="eastAsia" w:ascii="宋体" w:hAnsi="宋体" w:eastAsia="宋体" w:cs="宋体"/>
          <w:color w:val="auto"/>
          <w:sz w:val="24"/>
          <w:highlight w:val="none"/>
          <w:lang w:val="en-GB"/>
        </w:rPr>
        <w:t>！</w:t>
      </w:r>
    </w:p>
    <w:p>
      <w:pPr>
        <w:pStyle w:val="6"/>
        <w:rPr>
          <w:rFonts w:hint="eastAsia" w:ascii="宋体" w:hAnsi="宋体"/>
          <w:color w:val="auto"/>
          <w:sz w:val="24"/>
          <w:highlight w:val="none"/>
          <w:lang w:val="en-GB"/>
        </w:rPr>
      </w:pPr>
    </w:p>
    <w:p>
      <w:pPr>
        <w:rPr>
          <w:rFonts w:hint="eastAsia" w:asciiTheme="minorEastAsia" w:hAnsiTheme="minorEastAsia" w:eastAsiaTheme="minorEastAsia" w:cstheme="minorEastAsia"/>
          <w:color w:val="auto"/>
          <w:highlight w:val="none"/>
          <w:lang w:eastAsia="zh-CN"/>
        </w:rPr>
      </w:pPr>
      <w:bookmarkStart w:id="151" w:name="_Toc28855"/>
      <w:r>
        <w:rPr>
          <w:rFonts w:hint="eastAsia" w:asciiTheme="minorEastAsia" w:hAnsiTheme="minorEastAsia" w:eastAsiaTheme="minorEastAsia" w:cstheme="minorEastAsia"/>
          <w:color w:val="auto"/>
          <w:highlight w:val="none"/>
          <w:lang w:eastAsia="zh-CN"/>
        </w:rPr>
        <w:br w:type="page"/>
      </w:r>
    </w:p>
    <w:p>
      <w:pPr>
        <w:pStyle w:val="41"/>
        <w:jc w:val="center"/>
        <w:outlineLvl w:val="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报价书</w:t>
      </w:r>
      <w:bookmarkEnd w:id="151"/>
    </w:p>
    <w:p>
      <w:pPr>
        <w:pStyle w:val="42"/>
        <w:tabs>
          <w:tab w:val="left" w:pos="5460"/>
        </w:tabs>
        <w:spacing w:line="360" w:lineRule="auto"/>
        <w:jc w:val="left"/>
        <w:rPr>
          <w:rFonts w:hint="eastAsia" w:asciiTheme="minorEastAsia" w:hAnsiTheme="minorEastAsia" w:eastAsiaTheme="minorEastAsia" w:cstheme="minorEastAsia"/>
          <w:bCs/>
          <w:color w:val="auto"/>
          <w:highlight w:val="none"/>
          <w:lang w:val="en-US" w:eastAsia="zh-CN"/>
        </w:rPr>
      </w:pPr>
    </w:p>
    <w:p>
      <w:pPr>
        <w:pStyle w:val="42"/>
        <w:tabs>
          <w:tab w:val="left" w:pos="5460"/>
        </w:tabs>
        <w:spacing w:line="360" w:lineRule="auto"/>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项目名称：吉利竹甫村车辆停放管理服务</w:t>
      </w:r>
    </w:p>
    <w:p>
      <w:pPr>
        <w:pStyle w:val="42"/>
        <w:tabs>
          <w:tab w:val="left" w:pos="5460"/>
        </w:tabs>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交易编号：GDZC-23JJ135</w:t>
      </w:r>
    </w:p>
    <w:p>
      <w:pPr>
        <w:pStyle w:val="42"/>
        <w:tabs>
          <w:tab w:val="left" w:pos="5460"/>
        </w:tabs>
        <w:spacing w:line="360" w:lineRule="auto"/>
        <w:jc w:val="left"/>
        <w:rPr>
          <w:rFonts w:hint="eastAsia" w:asciiTheme="minorEastAsia" w:hAnsiTheme="minorEastAsia" w:eastAsiaTheme="minorEastAsia" w:cstheme="minorEastAsia"/>
          <w:color w:val="auto"/>
          <w:sz w:val="24"/>
          <w:szCs w:val="24"/>
          <w:highlight w:val="none"/>
          <w:lang w:val="en-US" w:eastAsia="zh-CN"/>
        </w:rPr>
      </w:pPr>
    </w:p>
    <w:p>
      <w:pPr>
        <w:pStyle w:val="42"/>
        <w:tabs>
          <w:tab w:val="left" w:pos="5460"/>
        </w:tabs>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DOCVARIABLE  采购编号  \* MERGEFORMAT </w:instrText>
      </w:r>
      <w:r>
        <w:rPr>
          <w:rFonts w:hint="eastAsia" w:asciiTheme="minorEastAsia" w:hAnsiTheme="minorEastAsia" w:eastAsiaTheme="minorEastAsia" w:cstheme="minorEastAsia"/>
          <w:color w:val="auto"/>
          <w:sz w:val="24"/>
          <w:szCs w:val="24"/>
          <w:highlight w:val="none"/>
          <w:lang w:val="en-US" w:eastAsia="zh-CN"/>
        </w:rPr>
        <w:fldChar w:fldCharType="end"/>
      </w:r>
    </w:p>
    <w:tbl>
      <w:tblPr>
        <w:tblStyle w:val="19"/>
        <w:tblW w:w="85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5"/>
        <w:gridCol w:w="2188"/>
        <w:gridCol w:w="2700"/>
        <w:gridCol w:w="2010"/>
        <w:gridCol w:w="10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bookmarkStart w:id="152" w:name="EB508be0ed3e2c4bca83ef604bb8ace262"/>
            <w:r>
              <w:rPr>
                <w:rFonts w:hint="eastAsia" w:asciiTheme="minorEastAsia" w:hAnsiTheme="minorEastAsia" w:eastAsiaTheme="minorEastAsia" w:cstheme="minorEastAsia"/>
                <w:color w:val="auto"/>
                <w:kern w:val="0"/>
                <w:sz w:val="24"/>
                <w:szCs w:val="24"/>
                <w:highlight w:val="none"/>
                <w:lang w:bidi="ar"/>
              </w:rPr>
              <w:t>序号</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采购项目名称</w:t>
            </w:r>
            <w:r>
              <w:rPr>
                <w:rFonts w:hint="eastAsia" w:asciiTheme="minorEastAsia" w:hAnsiTheme="minorEastAsia" w:eastAsiaTheme="minorEastAsia" w:cstheme="minorEastAsia"/>
                <w:b/>
                <w:color w:val="auto"/>
                <w:kern w:val="0"/>
                <w:sz w:val="24"/>
                <w:szCs w:val="24"/>
                <w:highlight w:val="none"/>
                <w:lang w:bidi="ar"/>
              </w:rPr>
              <w:t>/</w:t>
            </w:r>
            <w:r>
              <w:rPr>
                <w:rFonts w:hint="eastAsia" w:asciiTheme="minorEastAsia" w:hAnsiTheme="minorEastAsia" w:eastAsiaTheme="minorEastAsia" w:cstheme="minorEastAsia"/>
                <w:color w:val="auto"/>
                <w:kern w:val="0"/>
                <w:sz w:val="24"/>
                <w:szCs w:val="24"/>
                <w:highlight w:val="none"/>
                <w:lang w:bidi="ar"/>
              </w:rPr>
              <w:t>采购包名称</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bidi="ar"/>
              </w:rPr>
              <w:t>投</w:t>
            </w:r>
            <w:r>
              <w:rPr>
                <w:rFonts w:hint="eastAsia" w:asciiTheme="minorEastAsia" w:hAnsiTheme="minorEastAsia" w:eastAsiaTheme="minorEastAsia" w:cstheme="minorEastAsia"/>
                <w:color w:val="auto"/>
                <w:kern w:val="0"/>
                <w:sz w:val="24"/>
                <w:szCs w:val="24"/>
                <w:highlight w:val="none"/>
                <w:lang w:bidi="ar"/>
              </w:rPr>
              <w:t>标报价（元</w:t>
            </w:r>
            <w:r>
              <w:rPr>
                <w:rFonts w:hint="eastAsia" w:asciiTheme="minorEastAsia" w:hAnsiTheme="minorEastAsia" w:eastAsiaTheme="minorEastAsia" w:cstheme="minorEastAsia"/>
                <w:color w:val="auto"/>
                <w:kern w:val="0"/>
                <w:sz w:val="24"/>
                <w:szCs w:val="24"/>
                <w:highlight w:val="none"/>
                <w:lang w:val="en-US" w:eastAsia="zh-CN" w:bidi="ar"/>
              </w:rPr>
              <w:t>/年</w:t>
            </w:r>
            <w:r>
              <w:rPr>
                <w:rFonts w:hint="eastAsia" w:asciiTheme="minorEastAsia" w:hAnsiTheme="minorEastAsia" w:eastAsiaTheme="minorEastAsia" w:cstheme="minorEastAsia"/>
                <w:color w:val="auto"/>
                <w:kern w:val="0"/>
                <w:sz w:val="24"/>
                <w:szCs w:val="24"/>
                <w:highlight w:val="none"/>
                <w:lang w:bidi="ar"/>
              </w:rPr>
              <w:t>）</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bidi="ar"/>
              </w:rPr>
              <w:t>服务期</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8"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88"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吉利竹甫村车辆停放管理服务</w:t>
            </w:r>
          </w:p>
        </w:tc>
        <w:tc>
          <w:tcPr>
            <w:tcW w:w="2700" w:type="dxa"/>
            <w:noWrap w:val="0"/>
            <w:vAlign w:val="center"/>
          </w:tcPr>
          <w:p>
            <w:pPr>
              <w:jc w:val="center"/>
              <w:rPr>
                <w:rFonts w:hint="eastAsia" w:asciiTheme="minorEastAsia" w:hAnsiTheme="minorEastAsia" w:eastAsiaTheme="minorEastAsia" w:cstheme="minorEastAsia"/>
                <w:color w:val="auto"/>
                <w:sz w:val="24"/>
                <w:szCs w:val="24"/>
                <w:highlight w:val="none"/>
              </w:rPr>
            </w:pPr>
          </w:p>
        </w:tc>
        <w:tc>
          <w:tcPr>
            <w:tcW w:w="2010"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服务期：5年，具体起止日期以合同约定为准。</w:t>
            </w:r>
          </w:p>
        </w:tc>
        <w:tc>
          <w:tcPr>
            <w:tcW w:w="1027" w:type="dxa"/>
            <w:noWrap w:val="0"/>
            <w:vAlign w:val="center"/>
          </w:tcPr>
          <w:p>
            <w:pPr>
              <w:rPr>
                <w:rFonts w:hint="eastAsia" w:asciiTheme="minorEastAsia" w:hAnsiTheme="minorEastAsia" w:eastAsiaTheme="minorEastAsia" w:cstheme="minorEastAsia"/>
                <w:color w:val="auto"/>
                <w:sz w:val="24"/>
                <w:szCs w:val="24"/>
                <w:highlight w:val="none"/>
              </w:rPr>
            </w:pPr>
          </w:p>
        </w:tc>
      </w:tr>
    </w:tbl>
    <w:p>
      <w:pPr>
        <w:widowControl/>
        <w:jc w:val="left"/>
        <w:rPr>
          <w:rFonts w:hint="eastAsia" w:asciiTheme="minorEastAsia" w:hAnsiTheme="minorEastAsia" w:eastAsiaTheme="minorEastAsia" w:cstheme="minorEastAsia"/>
          <w:color w:val="auto"/>
          <w:sz w:val="24"/>
          <w:szCs w:val="24"/>
          <w:highlight w:val="none"/>
        </w:rPr>
      </w:pPr>
    </w:p>
    <w:p>
      <w:pPr>
        <w:pStyle w:val="42"/>
        <w:rPr>
          <w:rFonts w:hint="eastAsia" w:asciiTheme="minorEastAsia" w:hAnsiTheme="minorEastAsia" w:eastAsiaTheme="minorEastAsia" w:cstheme="minorEastAsia"/>
          <w:color w:val="auto"/>
          <w:sz w:val="24"/>
          <w:szCs w:val="24"/>
          <w:highlight w:val="none"/>
          <w:lang w:val="en-US" w:eastAsia="zh-CN"/>
        </w:rPr>
      </w:pPr>
    </w:p>
    <w:p>
      <w:pPr>
        <w:pStyle w:val="42"/>
        <w:rPr>
          <w:rFonts w:hint="eastAsia" w:asciiTheme="minorEastAsia" w:hAnsiTheme="minorEastAsia" w:eastAsiaTheme="minorEastAsia" w:cstheme="minorEastAsia"/>
          <w:color w:val="auto"/>
          <w:sz w:val="24"/>
          <w:szCs w:val="24"/>
          <w:highlight w:val="none"/>
          <w:lang w:val="en-US" w:eastAsia="zh-CN"/>
        </w:rPr>
      </w:pPr>
    </w:p>
    <w:bookmarkEnd w:id="152"/>
    <w:p>
      <w:pPr>
        <w:pStyle w:val="42"/>
        <w:rPr>
          <w:rFonts w:hint="eastAsia" w:asciiTheme="minorEastAsia" w:hAnsiTheme="minorEastAsia" w:eastAsiaTheme="minorEastAsia" w:cstheme="minorEastAsia"/>
          <w:color w:val="auto"/>
          <w:sz w:val="24"/>
          <w:szCs w:val="24"/>
          <w:highlight w:val="none"/>
          <w:lang w:val="en-US" w:eastAsia="zh-CN"/>
        </w:rPr>
      </w:pPr>
    </w:p>
    <w:p>
      <w:pPr>
        <w:pStyle w:val="4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填表要求：</w:t>
      </w:r>
    </w:p>
    <w:p>
      <w:pPr>
        <w:pStyle w:val="43"/>
        <w:numPr>
          <w:ilvl w:val="0"/>
          <w:numId w:val="54"/>
        </w:num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t>投标文件差异修正准则详见招标文件。</w:t>
      </w:r>
    </w:p>
    <w:p>
      <w:pPr>
        <w:pStyle w:val="43"/>
        <w:numPr>
          <w:ilvl w:val="0"/>
          <w:numId w:val="54"/>
        </w:num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t>以上投标报价须满足“第二部分项目内容”的商务要求中“报价要求”的内容和要求。</w:t>
      </w:r>
    </w:p>
    <w:p>
      <w:pPr>
        <w:pStyle w:val="43"/>
        <w:numPr>
          <w:ilvl w:val="0"/>
          <w:numId w:val="54"/>
        </w:num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t>开标内容与投标文件对应内容必须一致，否则，以开标公布的内容为准。</w:t>
      </w:r>
    </w:p>
    <w:p>
      <w:pPr>
        <w:pStyle w:val="43"/>
        <w:numPr>
          <w:ilvl w:val="0"/>
          <w:numId w:val="54"/>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GB" w:eastAsia="zh-CN"/>
        </w:rPr>
        <w:t>本表未按招标文件要求签名盖章将作无效投标处理。</w:t>
      </w:r>
    </w:p>
    <w:p>
      <w:pPr>
        <w:pStyle w:val="43"/>
        <w:spacing w:line="480" w:lineRule="auto"/>
        <w:rPr>
          <w:rFonts w:hint="eastAsia" w:asciiTheme="minorEastAsia" w:hAnsiTheme="minorEastAsia" w:eastAsiaTheme="minorEastAsia" w:cstheme="minorEastAsia"/>
          <w:b/>
          <w:color w:val="auto"/>
          <w:sz w:val="24"/>
          <w:szCs w:val="24"/>
          <w:highlight w:val="none"/>
          <w:lang w:val="en-GB" w:eastAsia="zh-CN"/>
        </w:rPr>
      </w:pPr>
    </w:p>
    <w:p>
      <w:pPr>
        <w:pStyle w:val="43"/>
        <w:spacing w:line="480" w:lineRule="auto"/>
        <w:rPr>
          <w:rFonts w:hint="eastAsia" w:asciiTheme="minorEastAsia" w:hAnsiTheme="minorEastAsia" w:eastAsiaTheme="minorEastAsia" w:cstheme="minorEastAsia"/>
          <w:b/>
          <w:color w:val="auto"/>
          <w:highlight w:val="none"/>
          <w:lang w:val="en-GB" w:eastAsia="zh-CN"/>
        </w:rPr>
      </w:pPr>
    </w:p>
    <w:p>
      <w:pPr>
        <w:pStyle w:val="43"/>
        <w:spacing w:line="480" w:lineRule="auto"/>
        <w:rPr>
          <w:rFonts w:hint="eastAsia" w:asciiTheme="minorEastAsia" w:hAnsiTheme="minorEastAsia" w:eastAsiaTheme="minorEastAsia" w:cstheme="minorEastAsia"/>
          <w:b/>
          <w:color w:val="auto"/>
          <w:highlight w:val="none"/>
          <w:lang w:val="en-GB" w:eastAsia="zh-CN"/>
        </w:rPr>
      </w:pPr>
    </w:p>
    <w:p>
      <w:pPr>
        <w:pStyle w:val="43"/>
        <w:spacing w:line="480" w:lineRule="auto"/>
        <w:rPr>
          <w:rFonts w:hint="eastAsia" w:asciiTheme="minorEastAsia" w:hAnsiTheme="minorEastAsia" w:eastAsiaTheme="minorEastAsia" w:cstheme="minorEastAsia"/>
          <w:b/>
          <w:color w:val="auto"/>
          <w:highlight w:val="none"/>
          <w:lang w:val="en-GB" w:eastAsia="zh-CN"/>
        </w:rPr>
      </w:pPr>
      <w:r>
        <w:rPr>
          <w:rFonts w:hint="eastAsia" w:asciiTheme="minorEastAsia" w:hAnsiTheme="minorEastAsia" w:eastAsiaTheme="minorEastAsia" w:cstheme="minorEastAsia"/>
          <w:b/>
          <w:color w:val="auto"/>
          <w:highlight w:val="none"/>
          <w:lang w:val="en-GB" w:eastAsia="zh-CN"/>
        </w:rPr>
        <w:t>投标人名称：</w:t>
      </w:r>
      <w:r>
        <w:rPr>
          <w:rFonts w:hint="eastAsia" w:asciiTheme="minorEastAsia" w:hAnsiTheme="minorEastAsia" w:eastAsiaTheme="minorEastAsia" w:cstheme="minorEastAsia"/>
          <w:b/>
          <w:color w:val="auto"/>
          <w:highlight w:val="none"/>
          <w:u w:val="single"/>
          <w:lang w:val="en-GB" w:eastAsia="zh-CN"/>
        </w:rPr>
        <w:t>（全称）</w:t>
      </w:r>
      <w:r>
        <w:rPr>
          <w:rFonts w:hint="eastAsia" w:asciiTheme="minorEastAsia" w:hAnsiTheme="minorEastAsia" w:eastAsiaTheme="minorEastAsia" w:cstheme="minorEastAsia"/>
          <w:b/>
          <w:color w:val="auto"/>
          <w:highlight w:val="none"/>
          <w:lang w:val="en-GB" w:eastAsia="zh-CN"/>
        </w:rPr>
        <w:t>（单位公章）</w:t>
      </w:r>
    </w:p>
    <w:p>
      <w:pPr>
        <w:pStyle w:val="43"/>
        <w:spacing w:line="360" w:lineRule="auto"/>
        <w:rPr>
          <w:rFonts w:hint="eastAsia"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日期：年月日</w:t>
      </w:r>
    </w:p>
    <w:p>
      <w:pPr>
        <w:pStyle w:val="44"/>
        <w:outlineLvl w:val="1"/>
        <w:rPr>
          <w:rFonts w:hint="eastAsia" w:asciiTheme="minorEastAsia" w:hAnsiTheme="minorEastAsia" w:eastAsiaTheme="minorEastAsia" w:cstheme="minorEastAsia"/>
          <w:color w:val="auto"/>
          <w:highlight w:val="none"/>
        </w:rPr>
      </w:pPr>
    </w:p>
    <w:p>
      <w:pPr>
        <w:pStyle w:val="45"/>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46"/>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报价清单明细表</w:t>
      </w:r>
    </w:p>
    <w:p>
      <w:pPr>
        <w:pStyle w:val="46"/>
        <w:spacing w:line="360" w:lineRule="auto"/>
        <w:jc w:val="center"/>
        <w:rPr>
          <w:rFonts w:hint="eastAsia" w:asciiTheme="minorEastAsia" w:hAnsiTheme="minorEastAsia" w:eastAsiaTheme="minorEastAsia" w:cstheme="minorEastAsia"/>
          <w:b/>
          <w:color w:val="auto"/>
          <w:sz w:val="32"/>
          <w:szCs w:val="32"/>
          <w:highlight w:val="none"/>
        </w:rPr>
      </w:pPr>
    </w:p>
    <w:p>
      <w:pPr>
        <w:pStyle w:val="46"/>
        <w:tabs>
          <w:tab w:val="left" w:pos="9300"/>
        </w:tabs>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项目名称：</w:t>
      </w:r>
      <w:r>
        <w:rPr>
          <w:rFonts w:hint="eastAsia" w:asciiTheme="minorEastAsia" w:hAnsiTheme="minorEastAsia" w:eastAsiaTheme="minorEastAsia" w:cstheme="minorEastAsia"/>
          <w:bCs/>
          <w:color w:val="auto"/>
          <w:sz w:val="24"/>
          <w:szCs w:val="24"/>
          <w:highlight w:val="none"/>
          <w:lang w:eastAsia="zh-CN"/>
        </w:rPr>
        <w:t>吉利竹甫村车辆停放管理服务</w:t>
      </w:r>
      <w:r>
        <w:rPr>
          <w:rFonts w:hint="eastAsia" w:asciiTheme="minorEastAsia" w:hAnsiTheme="minorEastAsia" w:eastAsiaTheme="minorEastAsia" w:cstheme="minorEastAsia"/>
          <w:bCs/>
          <w:color w:val="auto"/>
          <w:sz w:val="24"/>
          <w:szCs w:val="24"/>
          <w:highlight w:val="none"/>
        </w:rPr>
        <w:t>-</w:t>
      </w:r>
    </w:p>
    <w:p>
      <w:pPr>
        <w:pStyle w:val="46"/>
        <w:tabs>
          <w:tab w:val="left" w:pos="9300"/>
        </w:tabs>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DOCVARIABLE  项目名称  \* MERGEFORMAT </w:instrTex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t>交易编号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GDZC-23JJ135</w:t>
      </w:r>
    </w:p>
    <w:p>
      <w:pPr>
        <w:pStyle w:val="46"/>
        <w:tabs>
          <w:tab w:val="left" w:pos="9300"/>
        </w:tabs>
        <w:spacing w:line="360" w:lineRule="auto"/>
        <w:rPr>
          <w:rFonts w:hint="eastAsia" w:asciiTheme="minorEastAsia" w:hAnsiTheme="minorEastAsia" w:eastAsiaTheme="minorEastAsia" w:cstheme="minorEastAsia"/>
          <w:color w:val="auto"/>
          <w:sz w:val="24"/>
          <w:szCs w:val="24"/>
          <w:highlight w:val="none"/>
        </w:rPr>
      </w:pPr>
    </w:p>
    <w:p>
      <w:pPr>
        <w:widowControl/>
        <w:jc w:val="left"/>
        <w:rPr>
          <w:rFonts w:hint="eastAsia" w:asciiTheme="minorEastAsia" w:hAnsiTheme="minorEastAsia" w:eastAsiaTheme="minorEastAsia" w:cstheme="minorEastAsia"/>
          <w:color w:val="auto"/>
          <w:sz w:val="24"/>
          <w:szCs w:val="24"/>
          <w:highlight w:val="none"/>
        </w:rPr>
      </w:pPr>
    </w:p>
    <w:p>
      <w:pPr>
        <w:pStyle w:val="46"/>
        <w:tabs>
          <w:tab w:val="left" w:pos="930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DOCVARIABLE  采购编号  \* MERGEFORMAT </w:instrText>
      </w:r>
      <w:r>
        <w:rPr>
          <w:rFonts w:hint="eastAsia" w:asciiTheme="minorEastAsia" w:hAnsiTheme="minorEastAsia" w:eastAsiaTheme="minorEastAsia" w:cstheme="minorEastAsia"/>
          <w:bCs/>
          <w:color w:val="auto"/>
          <w:sz w:val="24"/>
          <w:szCs w:val="24"/>
          <w:highlight w:val="none"/>
        </w:rPr>
        <w:fldChar w:fldCharType="end"/>
      </w:r>
    </w:p>
    <w:p>
      <w:pPr>
        <w:pStyle w:val="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填表要求：</w:t>
      </w:r>
    </w:p>
    <w:p>
      <w:pPr>
        <w:pStyle w:val="48"/>
        <w:numPr>
          <w:ilvl w:val="0"/>
          <w:numId w:val="55"/>
        </w:numPr>
        <w:spacing w:line="360" w:lineRule="auto"/>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eastAsia="zh-CN"/>
        </w:rPr>
        <w:t>格式自拟</w:t>
      </w:r>
      <w:r>
        <w:rPr>
          <w:rFonts w:hint="eastAsia" w:asciiTheme="minorEastAsia" w:hAnsiTheme="minorEastAsia" w:eastAsiaTheme="minorEastAsia" w:cstheme="minorEastAsia"/>
          <w:color w:val="auto"/>
          <w:sz w:val="24"/>
          <w:szCs w:val="24"/>
          <w:highlight w:val="none"/>
        </w:rPr>
        <w:t>。</w:t>
      </w:r>
    </w:p>
    <w:p>
      <w:pPr>
        <w:pStyle w:val="48"/>
        <w:numPr>
          <w:ilvl w:val="0"/>
          <w:numId w:val="55"/>
        </w:numPr>
        <w:spacing w:line="360" w:lineRule="auto"/>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以上内容必须与技术方案中所介绍的内容、《开标一览表》一致相符。</w:t>
      </w:r>
    </w:p>
    <w:p>
      <w:pPr>
        <w:pStyle w:val="49"/>
        <w:ind w:firstLine="420"/>
        <w:rPr>
          <w:rFonts w:hint="eastAsia" w:asciiTheme="minorEastAsia" w:hAnsiTheme="minorEastAsia" w:eastAsiaTheme="minorEastAsia" w:cstheme="minorEastAsia"/>
          <w:color w:val="auto"/>
          <w:sz w:val="24"/>
          <w:szCs w:val="24"/>
          <w:highlight w:val="none"/>
          <w:lang w:val="en-GB" w:eastAsia="zh-CN"/>
        </w:rPr>
      </w:pPr>
    </w:p>
    <w:p>
      <w:pPr>
        <w:pStyle w:val="49"/>
        <w:rPr>
          <w:rFonts w:hint="eastAsia" w:asciiTheme="minorEastAsia" w:hAnsiTheme="minorEastAsia" w:eastAsiaTheme="minorEastAsia" w:cstheme="minorEastAsia"/>
          <w:color w:val="auto"/>
          <w:sz w:val="24"/>
          <w:szCs w:val="24"/>
          <w:highlight w:val="none"/>
          <w:lang w:val="en-GB"/>
        </w:rPr>
      </w:pPr>
    </w:p>
    <w:p>
      <w:pPr>
        <w:pStyle w:val="49"/>
        <w:rPr>
          <w:rFonts w:hint="eastAsia" w:asciiTheme="minorEastAsia" w:hAnsiTheme="minorEastAsia" w:eastAsiaTheme="minorEastAsia" w:cstheme="minorEastAsia"/>
          <w:color w:val="auto"/>
          <w:sz w:val="24"/>
          <w:szCs w:val="24"/>
          <w:highlight w:val="none"/>
          <w:lang w:val="en-GB"/>
        </w:rPr>
      </w:pPr>
    </w:p>
    <w:p>
      <w:pPr>
        <w:rPr>
          <w:rFonts w:hint="eastAsia" w:asciiTheme="minorEastAsia" w:hAnsiTheme="minorEastAsia" w:eastAsiaTheme="minorEastAsia" w:cstheme="minorEastAsia"/>
          <w:b/>
          <w:bCs/>
          <w:color w:val="auto"/>
          <w:sz w:val="24"/>
          <w:szCs w:val="24"/>
          <w:highlight w:val="none"/>
          <w:lang w:val="en-GB"/>
        </w:rPr>
      </w:pPr>
      <w:r>
        <w:rPr>
          <w:rFonts w:hint="eastAsia" w:asciiTheme="minorEastAsia" w:hAnsiTheme="minorEastAsia" w:eastAsiaTheme="minorEastAsia" w:cstheme="minorEastAsia"/>
          <w:b/>
          <w:bCs/>
          <w:color w:val="auto"/>
          <w:sz w:val="24"/>
          <w:szCs w:val="24"/>
          <w:highlight w:val="none"/>
          <w:lang w:val="en-GB"/>
        </w:rPr>
        <w:t>投标人名称：</w:t>
      </w:r>
      <w:r>
        <w:rPr>
          <w:rFonts w:hint="eastAsia" w:asciiTheme="minorEastAsia" w:hAnsiTheme="minorEastAsia" w:eastAsiaTheme="minorEastAsia" w:cstheme="minorEastAsia"/>
          <w:b/>
          <w:bCs/>
          <w:color w:val="auto"/>
          <w:sz w:val="24"/>
          <w:szCs w:val="24"/>
          <w:highlight w:val="none"/>
          <w:u w:val="single"/>
          <w:lang w:val="en-GB"/>
        </w:rPr>
        <w:t>（全称）</w:t>
      </w:r>
      <w:r>
        <w:rPr>
          <w:rFonts w:hint="eastAsia" w:asciiTheme="minorEastAsia" w:hAnsiTheme="minorEastAsia" w:eastAsiaTheme="minorEastAsia" w:cstheme="minorEastAsia"/>
          <w:b/>
          <w:bCs/>
          <w:color w:val="auto"/>
          <w:sz w:val="24"/>
          <w:szCs w:val="24"/>
          <w:highlight w:val="none"/>
          <w:lang w:val="en-GB"/>
        </w:rPr>
        <w:t>（单位公章）</w:t>
      </w:r>
    </w:p>
    <w:p>
      <w:pPr>
        <w:pStyle w:val="18"/>
        <w:rPr>
          <w:rFonts w:hint="eastAsia" w:asciiTheme="minorEastAsia" w:hAnsiTheme="minorEastAsia" w:eastAsiaTheme="minorEastAsia" w:cstheme="minorEastAsia"/>
          <w:color w:val="auto"/>
          <w:highlight w:val="none"/>
          <w:lang w:val="en-GB"/>
        </w:rPr>
      </w:pPr>
    </w:p>
    <w:p>
      <w:pPr>
        <w:pStyle w:val="43"/>
        <w:spacing w:line="360" w:lineRule="auto"/>
        <w:rPr>
          <w:rFonts w:hint="eastAsia"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日期：年月日</w:t>
      </w:r>
    </w:p>
    <w:p>
      <w:pPr>
        <w:pStyle w:val="44"/>
        <w:outlineLvl w:val="1"/>
        <w:rPr>
          <w:rFonts w:hint="eastAsia" w:asciiTheme="minorEastAsia" w:hAnsiTheme="minorEastAsia" w:eastAsiaTheme="minorEastAsia" w:cstheme="minorEastAsia"/>
          <w:color w:val="auto"/>
          <w:highlight w:val="none"/>
        </w:rPr>
      </w:pPr>
    </w:p>
    <w:p>
      <w:pPr>
        <w:pStyle w:val="18"/>
        <w:rPr>
          <w:rFonts w:hint="eastAsia" w:asciiTheme="minorEastAsia" w:hAnsiTheme="minorEastAsia" w:eastAsiaTheme="minorEastAsia" w:cstheme="minorEastAsia"/>
          <w:color w:val="auto"/>
          <w:highlight w:val="none"/>
          <w:lang w:val="en-GB"/>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6"/>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sectPr>
          <w:headerReference r:id="rId6" w:type="default"/>
          <w:footerReference r:id="rId7" w:type="default"/>
          <w:pgSz w:w="11850" w:h="16783"/>
          <w:pgMar w:top="1134" w:right="1134" w:bottom="1134" w:left="1417" w:header="573" w:footer="584" w:gutter="0"/>
          <w:pgBorders>
            <w:top w:val="none" w:sz="0" w:space="0"/>
            <w:left w:val="none" w:sz="0" w:space="0"/>
            <w:bottom w:val="none" w:sz="0" w:space="0"/>
            <w:right w:val="none" w:sz="0" w:space="0"/>
          </w:pgBorders>
          <w:pgNumType w:fmt="decimal"/>
          <w:cols w:space="0" w:num="1"/>
          <w:rtlGutter w:val="0"/>
          <w:docGrid w:linePitch="312" w:charSpace="0"/>
        </w:sectPr>
      </w:pPr>
    </w:p>
    <w:p>
      <w:pPr>
        <w:spacing w:line="360" w:lineRule="auto"/>
        <w:jc w:val="center"/>
        <w:outlineLvl w:val="2"/>
        <w:rPr>
          <w:rFonts w:hint="eastAsia" w:asciiTheme="minorEastAsia" w:hAnsiTheme="minorEastAsia" w:eastAsiaTheme="minorEastAsia" w:cstheme="minorEastAsia"/>
          <w:b/>
          <w:bCs/>
          <w:color w:val="auto"/>
          <w:sz w:val="44"/>
          <w:szCs w:val="44"/>
          <w:highlight w:val="none"/>
        </w:rPr>
      </w:pPr>
      <w:bookmarkStart w:id="153" w:name="_Toc10492"/>
      <w:r>
        <w:rPr>
          <w:rFonts w:hint="eastAsia" w:asciiTheme="minorEastAsia" w:hAnsiTheme="minorEastAsia" w:eastAsiaTheme="minorEastAsia" w:cstheme="minorEastAsia"/>
          <w:b/>
          <w:bCs/>
          <w:color w:val="auto"/>
          <w:sz w:val="44"/>
          <w:szCs w:val="44"/>
          <w:highlight w:val="none"/>
        </w:rPr>
        <w:t>文件包装袋封面标贴格式</w:t>
      </w:r>
      <w:bookmarkEnd w:id="153"/>
    </w:p>
    <w:tbl>
      <w:tblPr>
        <w:tblStyle w:val="19"/>
        <w:tblW w:w="9329" w:type="dxa"/>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Layout w:type="fixed"/>
        <w:tblCellMar>
          <w:top w:w="0" w:type="dxa"/>
          <w:left w:w="108" w:type="dxa"/>
          <w:bottom w:w="0" w:type="dxa"/>
          <w:right w:w="108" w:type="dxa"/>
        </w:tblCellMar>
      </w:tblPr>
      <w:tblGrid>
        <w:gridCol w:w="9329"/>
      </w:tblGrid>
      <w:tr>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CellMar>
            <w:top w:w="0" w:type="dxa"/>
            <w:left w:w="108" w:type="dxa"/>
            <w:bottom w:w="0" w:type="dxa"/>
            <w:right w:w="108" w:type="dxa"/>
          </w:tblCellMar>
        </w:tblPrEx>
        <w:trPr>
          <w:trHeight w:val="9085" w:hRule="atLeast"/>
          <w:jc w:val="center"/>
        </w:trPr>
        <w:tc>
          <w:tcPr>
            <w:tcW w:w="9329" w:type="dxa"/>
            <w:shd w:val="clear" w:color="auto" w:fill="FFFFFF"/>
            <w:noWrap w:val="0"/>
            <w:vAlign w:val="top"/>
          </w:tcPr>
          <w:p>
            <w:pPr>
              <w:rPr>
                <w:rFonts w:hint="eastAsia" w:asciiTheme="minorEastAsia" w:hAnsiTheme="minorEastAsia" w:eastAsiaTheme="minorEastAsia" w:cstheme="minorEastAsia"/>
                <w:color w:val="auto"/>
                <w:sz w:val="18"/>
                <w:szCs w:val="18"/>
                <w:highlight w:val="none"/>
              </w:rPr>
            </w:pPr>
          </w:p>
          <w:p>
            <w:pPr>
              <w:jc w:val="center"/>
              <w:rPr>
                <w:rFonts w:hint="eastAsia" w:asciiTheme="minorEastAsia" w:hAnsiTheme="minorEastAsia" w:eastAsiaTheme="minorEastAsia" w:cstheme="minorEastAsia"/>
                <w:b/>
                <w:color w:val="auto"/>
                <w:sz w:val="48"/>
                <w:szCs w:val="48"/>
                <w:highlight w:val="none"/>
              </w:rPr>
            </w:pPr>
          </w:p>
          <w:p>
            <w:pPr>
              <w:jc w:val="center"/>
              <w:rPr>
                <w:rFonts w:hint="eastAsia" w:asciiTheme="minorEastAsia" w:hAnsiTheme="minorEastAsia" w:eastAsiaTheme="minorEastAsia" w:cstheme="minorEastAsia"/>
                <w:b/>
                <w:bCs/>
                <w:color w:val="auto"/>
                <w:sz w:val="24"/>
                <w:highlight w:val="none"/>
              </w:rPr>
            </w:pPr>
          </w:p>
          <w:p>
            <w:pPr>
              <w:jc w:val="center"/>
              <w:rPr>
                <w:rFonts w:hint="eastAsia" w:asciiTheme="minorEastAsia" w:hAnsiTheme="minorEastAsia" w:eastAsiaTheme="minorEastAsia" w:cstheme="minorEastAsia"/>
                <w:b/>
                <w:bCs/>
                <w:color w:val="auto"/>
                <w:sz w:val="24"/>
                <w:highlight w:val="none"/>
                <w:lang w:val="en-GB"/>
              </w:rPr>
            </w:pPr>
          </w:p>
          <w:p>
            <w:pPr>
              <w:jc w:val="center"/>
              <w:rPr>
                <w:rFonts w:hint="eastAsia" w:asciiTheme="minorEastAsia" w:hAnsiTheme="minorEastAsia" w:eastAsiaTheme="minorEastAsia" w:cstheme="minorEastAsia"/>
                <w:b/>
                <w:bCs/>
                <w:color w:val="auto"/>
                <w:sz w:val="24"/>
                <w:highlight w:val="none"/>
                <w:lang w:val="en-GB"/>
              </w:rPr>
            </w:pPr>
          </w:p>
          <w:p>
            <w:pPr>
              <w:spacing w:line="360" w:lineRule="auto"/>
              <w:jc w:val="center"/>
              <w:rPr>
                <w:rFonts w:hint="eastAsia"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lang w:eastAsia="zh-CN"/>
              </w:rPr>
              <w:t>报价</w:t>
            </w:r>
            <w:r>
              <w:rPr>
                <w:rFonts w:hint="eastAsia" w:asciiTheme="minorEastAsia" w:hAnsiTheme="minorEastAsia" w:eastAsiaTheme="minorEastAsia" w:cstheme="minorEastAsia"/>
                <w:b/>
                <w:bCs/>
                <w:color w:val="auto"/>
                <w:sz w:val="72"/>
                <w:szCs w:val="72"/>
                <w:highlight w:val="none"/>
              </w:rPr>
              <w:t>文件</w:t>
            </w:r>
          </w:p>
          <w:p>
            <w:pPr>
              <w:jc w:val="center"/>
              <w:rPr>
                <w:rFonts w:hint="eastAsia" w:asciiTheme="minorEastAsia" w:hAnsiTheme="minorEastAsia" w:eastAsiaTheme="minorEastAsia" w:cstheme="minorEastAsia"/>
                <w:b/>
                <w:bCs/>
                <w:color w:val="auto"/>
                <w:sz w:val="24"/>
                <w:highlight w:val="none"/>
                <w:lang w:val="en-GB"/>
              </w:rPr>
            </w:pPr>
          </w:p>
          <w:p>
            <w:pPr>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lang w:val="en-GB"/>
              </w:rPr>
              <w:t>密封内容：</w:t>
            </w: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文件（□正本/□副本/□电子光盘）</w:t>
            </w:r>
          </w:p>
          <w:p>
            <w:pPr>
              <w:spacing w:line="360" w:lineRule="auto"/>
              <w:jc w:val="center"/>
              <w:rPr>
                <w:rFonts w:hint="eastAsia" w:asciiTheme="minorEastAsia" w:hAnsiTheme="minorEastAsia" w:eastAsiaTheme="minorEastAsia" w:cstheme="minorEastAsia"/>
                <w:b/>
                <w:color w:val="auto"/>
                <w:szCs w:val="21"/>
                <w:highlight w:val="none"/>
                <w:lang w:val="en-GB"/>
              </w:rPr>
            </w:pPr>
            <w:r>
              <w:rPr>
                <w:rFonts w:hint="eastAsia" w:asciiTheme="minorEastAsia" w:hAnsiTheme="minorEastAsia" w:eastAsiaTheme="minorEastAsia" w:cstheme="minorEastAsia"/>
                <w:b/>
                <w:color w:val="auto"/>
                <w:szCs w:val="21"/>
                <w:highlight w:val="none"/>
                <w:lang w:eastAsia="zh-CN"/>
              </w:rPr>
              <w:t>投标人</w:t>
            </w:r>
            <w:r>
              <w:rPr>
                <w:rFonts w:hint="eastAsia" w:asciiTheme="minorEastAsia" w:hAnsiTheme="minorEastAsia" w:eastAsiaTheme="minorEastAsia" w:cstheme="minorEastAsia"/>
                <w:b/>
                <w:color w:val="auto"/>
                <w:szCs w:val="21"/>
                <w:highlight w:val="none"/>
                <w:lang w:val="en-GB"/>
              </w:rPr>
              <w:t>于密封前自行对上述资料的密封情况进行自查，并于相应“□”处中打“√”</w:t>
            </w:r>
          </w:p>
          <w:p>
            <w:pPr>
              <w:ind w:firstLine="2474" w:firstLineChars="1027"/>
              <w:rPr>
                <w:rFonts w:hint="eastAsia" w:asciiTheme="minorEastAsia" w:hAnsiTheme="minorEastAsia" w:eastAsiaTheme="minorEastAsia" w:cstheme="minorEastAsia"/>
                <w:b/>
                <w:color w:val="auto"/>
                <w:sz w:val="24"/>
                <w:szCs w:val="36"/>
                <w:highlight w:val="none"/>
                <w:lang w:val="en-GB"/>
              </w:rPr>
            </w:pPr>
          </w:p>
          <w:p>
            <w:pPr>
              <w:spacing w:line="360" w:lineRule="auto"/>
              <w:ind w:right="145" w:rightChars="69"/>
              <w:jc w:val="center"/>
              <w:rPr>
                <w:rFonts w:hint="eastAsia" w:asciiTheme="minorEastAsia" w:hAnsiTheme="minorEastAsia" w:eastAsiaTheme="minorEastAsia" w:cstheme="minorEastAsia"/>
                <w:b/>
                <w:color w:val="auto"/>
                <w:sz w:val="24"/>
                <w:highlight w:val="none"/>
                <w:lang w:val="en-GB" w:eastAsia="zh-CN"/>
              </w:rPr>
            </w:pPr>
            <w:r>
              <w:rPr>
                <w:rFonts w:hint="eastAsia" w:asciiTheme="minorEastAsia" w:hAnsiTheme="minorEastAsia" w:eastAsiaTheme="minorEastAsia" w:cstheme="minorEastAsia"/>
                <w:b/>
                <w:bCs/>
                <w:color w:val="auto"/>
                <w:sz w:val="24"/>
                <w:highlight w:val="none"/>
              </w:rPr>
              <w:t>项目名称</w:t>
            </w:r>
            <w:r>
              <w:rPr>
                <w:rFonts w:hint="eastAsia" w:asciiTheme="minorEastAsia" w:hAnsiTheme="minorEastAsia" w:eastAsiaTheme="minorEastAsia" w:cstheme="minorEastAsia"/>
                <w:b/>
                <w:color w:val="auto"/>
                <w:sz w:val="24"/>
                <w:highlight w:val="none"/>
                <w:lang w:val="en-GB"/>
              </w:rPr>
              <w:t>：</w:t>
            </w:r>
            <w:r>
              <w:rPr>
                <w:rFonts w:hint="eastAsia" w:asciiTheme="minorEastAsia" w:hAnsiTheme="minorEastAsia" w:eastAsiaTheme="minorEastAsia" w:cstheme="minorEastAsia"/>
                <w:b/>
                <w:color w:val="auto"/>
                <w:sz w:val="24"/>
                <w:highlight w:val="none"/>
                <w:lang w:val="en-GB" w:eastAsia="zh-CN"/>
              </w:rPr>
              <w:t>吉利竹甫村车辆停放管理服务</w:t>
            </w:r>
          </w:p>
          <w:p>
            <w:pPr>
              <w:ind w:firstLine="1079" w:firstLineChars="448"/>
              <w:rPr>
                <w:rFonts w:hint="eastAsia" w:asciiTheme="minorEastAsia" w:hAnsiTheme="minorEastAsia" w:eastAsiaTheme="minorEastAsia" w:cstheme="minorEastAsia"/>
                <w:b/>
                <w:bCs/>
                <w:color w:val="auto"/>
                <w:sz w:val="24"/>
                <w:highlight w:val="none"/>
              </w:rPr>
            </w:pPr>
          </w:p>
          <w:p>
            <w:pPr>
              <w:ind w:firstLine="1079" w:firstLineChars="448"/>
              <w:rPr>
                <w:rFonts w:hint="eastAsia" w:asciiTheme="minorEastAsia" w:hAnsiTheme="minorEastAsia" w:eastAsiaTheme="minorEastAsia" w:cstheme="minorEastAsia"/>
                <w:b/>
                <w:bCs/>
                <w:color w:val="auto"/>
                <w:sz w:val="24"/>
                <w:highlight w:val="none"/>
              </w:rPr>
            </w:pPr>
          </w:p>
          <w:p>
            <w:pPr>
              <w:ind w:firstLine="1079" w:firstLineChars="448"/>
              <w:rPr>
                <w:rFonts w:hint="eastAsia" w:asciiTheme="minorEastAsia" w:hAnsiTheme="minorEastAsia" w:eastAsiaTheme="minorEastAsia" w:cstheme="minorEastAsia"/>
                <w:b/>
                <w:bCs/>
                <w:color w:val="auto"/>
                <w:sz w:val="24"/>
                <w:highlight w:val="none"/>
              </w:rPr>
            </w:pPr>
          </w:p>
          <w:p>
            <w:pPr>
              <w:pStyle w:val="43"/>
              <w:spacing w:line="480" w:lineRule="auto"/>
              <w:rPr>
                <w:rFonts w:hint="eastAsia" w:asciiTheme="minorEastAsia" w:hAnsiTheme="minorEastAsia" w:eastAsiaTheme="minorEastAsia" w:cstheme="minorEastAsia"/>
                <w:b/>
                <w:color w:val="auto"/>
                <w:highlight w:val="none"/>
                <w:lang w:val="en-GB" w:eastAsia="zh-CN"/>
              </w:rPr>
            </w:pPr>
            <w:r>
              <w:rPr>
                <w:rFonts w:hint="eastAsia" w:asciiTheme="minorEastAsia" w:hAnsiTheme="minorEastAsia" w:eastAsiaTheme="minorEastAsia" w:cstheme="minorEastAsia"/>
                <w:b/>
                <w:color w:val="auto"/>
                <w:highlight w:val="none"/>
                <w:lang w:val="en-GB" w:eastAsia="zh-CN"/>
              </w:rPr>
              <w:t>投标人名称：</w:t>
            </w:r>
            <w:r>
              <w:rPr>
                <w:rFonts w:hint="eastAsia" w:asciiTheme="minorEastAsia" w:hAnsiTheme="minorEastAsia" w:eastAsiaTheme="minorEastAsia" w:cstheme="minorEastAsia"/>
                <w:b/>
                <w:color w:val="auto"/>
                <w:highlight w:val="none"/>
                <w:u w:val="single"/>
                <w:lang w:val="en-GB" w:eastAsia="zh-CN"/>
              </w:rPr>
              <w:t>（全称）</w:t>
            </w:r>
            <w:r>
              <w:rPr>
                <w:rFonts w:hint="eastAsia" w:asciiTheme="minorEastAsia" w:hAnsiTheme="minorEastAsia" w:eastAsiaTheme="minorEastAsia" w:cstheme="minorEastAsia"/>
                <w:b/>
                <w:color w:val="auto"/>
                <w:highlight w:val="none"/>
                <w:lang w:val="en-GB" w:eastAsia="zh-CN"/>
              </w:rPr>
              <w:t>（单位公章）</w:t>
            </w:r>
          </w:p>
          <w:p>
            <w:pPr>
              <w:pStyle w:val="43"/>
              <w:spacing w:line="360" w:lineRule="auto"/>
              <w:rPr>
                <w:rFonts w:hint="eastAsia"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日期：年月日</w:t>
            </w:r>
          </w:p>
          <w:p>
            <w:pPr>
              <w:pStyle w:val="44"/>
              <w:outlineLvl w:val="1"/>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bCs/>
                <w:color w:val="auto"/>
                <w:sz w:val="28"/>
                <w:szCs w:val="28"/>
                <w:highlight w:val="none"/>
              </w:rPr>
            </w:pPr>
          </w:p>
          <w:p>
            <w:pPr>
              <w:spacing w:after="120" w:afterLines="50"/>
              <w:jc w:val="cente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在</w:t>
            </w:r>
            <w:r>
              <w:rPr>
                <w:rFonts w:hint="eastAsia" w:asciiTheme="minorEastAsia" w:hAnsiTheme="minorEastAsia" w:eastAsiaTheme="minorEastAsia" w:cstheme="minorEastAsia"/>
                <w:bCs/>
                <w:color w:val="auto"/>
                <w:sz w:val="28"/>
                <w:szCs w:val="28"/>
                <w:highlight w:val="none"/>
                <w:lang w:eastAsia="zh-CN"/>
              </w:rPr>
              <w:t>2024</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2</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lang w:val="en-US" w:eastAsia="zh-CN"/>
              </w:rPr>
              <w:t>8</w:t>
            </w:r>
            <w:r>
              <w:rPr>
                <w:rFonts w:hint="eastAsia" w:asciiTheme="minorEastAsia" w:hAnsiTheme="minorEastAsia" w:eastAsiaTheme="minorEastAsia" w:cstheme="minorEastAsia"/>
                <w:bCs/>
                <w:color w:val="auto"/>
                <w:sz w:val="28"/>
                <w:szCs w:val="28"/>
                <w:highlight w:val="none"/>
              </w:rPr>
              <w:t>日</w:t>
            </w:r>
            <w:r>
              <w:rPr>
                <w:rFonts w:hint="eastAsia" w:asciiTheme="minorEastAsia" w:hAnsiTheme="minorEastAsia" w:eastAsiaTheme="minorEastAsia" w:cstheme="minorEastAsia"/>
                <w:bCs/>
                <w:color w:val="auto"/>
                <w:sz w:val="28"/>
                <w:szCs w:val="28"/>
                <w:highlight w:val="none"/>
                <w:lang w:eastAsia="zh-CN"/>
              </w:rPr>
              <w:t>上</w:t>
            </w:r>
            <w:r>
              <w:rPr>
                <w:rFonts w:hint="eastAsia" w:asciiTheme="minorEastAsia" w:hAnsiTheme="minorEastAsia" w:eastAsiaTheme="minorEastAsia" w:cstheme="minorEastAsia"/>
                <w:bCs/>
                <w:color w:val="auto"/>
                <w:sz w:val="28"/>
                <w:szCs w:val="28"/>
                <w:highlight w:val="none"/>
              </w:rPr>
              <w:t>午</w:t>
            </w: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00</w:t>
            </w:r>
            <w:r>
              <w:rPr>
                <w:rFonts w:hint="eastAsia" w:asciiTheme="minorEastAsia" w:hAnsiTheme="minorEastAsia" w:eastAsiaTheme="minorEastAsia" w:cstheme="minorEastAsia"/>
                <w:bCs/>
                <w:color w:val="auto"/>
                <w:sz w:val="28"/>
                <w:szCs w:val="28"/>
                <w:highlight w:val="none"/>
              </w:rPr>
              <w:t>之前不得启封</w:t>
            </w:r>
          </w:p>
          <w:p>
            <w:pPr>
              <w:ind w:firstLine="2800" w:firstLineChars="1000"/>
              <w:rPr>
                <w:rFonts w:hint="eastAsia" w:asciiTheme="minorEastAsia" w:hAnsiTheme="minorEastAsia" w:eastAsiaTheme="minorEastAsia" w:cstheme="minorEastAsia"/>
                <w:bCs/>
                <w:color w:val="auto"/>
                <w:sz w:val="28"/>
                <w:szCs w:val="28"/>
                <w:highlight w:val="none"/>
              </w:rPr>
            </w:pPr>
          </w:p>
          <w:p>
            <w:pPr>
              <w:ind w:firstLine="1400" w:firstLineChars="50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bCs/>
                <w:color w:val="auto"/>
                <w:sz w:val="28"/>
                <w:szCs w:val="28"/>
                <w:highlight w:val="none"/>
              </w:rPr>
              <w:t>递交地点：佛山市禅城区南庄镇紫洞南路106号南庄商业广场A1座四楼南庄镇公共资源交易所开标室</w:t>
            </w:r>
          </w:p>
        </w:tc>
      </w:tr>
    </w:tbl>
    <w:p>
      <w:pPr>
        <w:numPr>
          <w:ilvl w:val="0"/>
          <w:numId w:val="52"/>
        </w:numPr>
        <w:spacing w:before="120" w:beforeLines="50" w:line="360" w:lineRule="auto"/>
        <w:ind w:left="601"/>
        <w:rPr>
          <w:rFonts w:ascii="宋体"/>
          <w:b/>
          <w:bCs/>
          <w:color w:val="auto"/>
          <w:sz w:val="24"/>
          <w:highlight w:val="none"/>
          <w:lang w:val="en-GB"/>
        </w:rPr>
      </w:pPr>
      <w:r>
        <w:rPr>
          <w:rFonts w:hint="eastAsia" w:ascii="宋体" w:hAnsi="宋体"/>
          <w:b/>
          <w:bCs/>
          <w:color w:val="auto"/>
          <w:sz w:val="24"/>
          <w:highlight w:val="none"/>
          <w:lang w:val="en-GB"/>
        </w:rPr>
        <w:t>重要提示：</w:t>
      </w:r>
    </w:p>
    <w:p>
      <w:pPr>
        <w:numPr>
          <w:ilvl w:val="0"/>
          <w:numId w:val="56"/>
        </w:numPr>
        <w:tabs>
          <w:tab w:val="left" w:pos="900"/>
          <w:tab w:val="clear" w:pos="780"/>
        </w:tabs>
        <w:spacing w:line="300" w:lineRule="auto"/>
        <w:ind w:left="538" w:leftChars="256"/>
        <w:rPr>
          <w:color w:val="auto"/>
          <w:sz w:val="24"/>
          <w:highlight w:val="none"/>
          <w:lang w:val="en-GB"/>
        </w:rPr>
      </w:pPr>
      <w:r>
        <w:rPr>
          <w:rFonts w:hint="eastAsia" w:ascii="宋体" w:hAnsi="宋体"/>
          <w:color w:val="auto"/>
          <w:sz w:val="24"/>
          <w:highlight w:val="none"/>
          <w:lang w:val="en-GB" w:eastAsia="zh-CN"/>
        </w:rPr>
        <w:t>报价</w:t>
      </w:r>
      <w:r>
        <w:rPr>
          <w:rFonts w:hint="eastAsia" w:ascii="宋体" w:hAnsi="宋体"/>
          <w:color w:val="auto"/>
          <w:sz w:val="24"/>
          <w:highlight w:val="none"/>
          <w:lang w:val="en-GB"/>
        </w:rPr>
        <w:t>文件的正本、副本、电子光盘，均应密封在同一密封包中。若上述资料确实无法密封在同一密封包中，则可按实际情况分开密封，但须在密封包装上标明密封内容。</w:t>
      </w:r>
    </w:p>
    <w:p>
      <w:pPr>
        <w:numPr>
          <w:ilvl w:val="0"/>
          <w:numId w:val="56"/>
        </w:numPr>
        <w:tabs>
          <w:tab w:val="left" w:pos="900"/>
          <w:tab w:val="clear" w:pos="780"/>
        </w:tabs>
        <w:spacing w:line="300" w:lineRule="auto"/>
        <w:ind w:left="538" w:leftChars="256"/>
        <w:rPr>
          <w:color w:val="auto"/>
          <w:sz w:val="24"/>
          <w:highlight w:val="none"/>
          <w:lang w:val="en-GB"/>
        </w:rPr>
      </w:pPr>
      <w:r>
        <w:rPr>
          <w:rFonts w:hint="eastAsia" w:ascii="宋体" w:hAnsi="宋体"/>
          <w:color w:val="auto"/>
          <w:sz w:val="24"/>
          <w:highlight w:val="none"/>
          <w:lang w:val="en-GB"/>
        </w:rPr>
        <w:t>密封各文件资料时，应</w:t>
      </w:r>
      <w:r>
        <w:rPr>
          <w:rFonts w:hint="eastAsia" w:ascii="宋体" w:hAnsi="宋体"/>
          <w:color w:val="auto"/>
          <w:sz w:val="24"/>
          <w:highlight w:val="none"/>
          <w:u w:val="single"/>
          <w:lang w:val="en-GB"/>
        </w:rPr>
        <w:t>在密封包装的封口</w:t>
      </w:r>
      <w:r>
        <w:rPr>
          <w:rFonts w:hint="eastAsia" w:ascii="宋体" w:hAnsi="宋体"/>
          <w:color w:val="auto"/>
          <w:sz w:val="24"/>
          <w:highlight w:val="none"/>
          <w:lang w:val="en-GB"/>
        </w:rPr>
        <w:t>处加盖</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公章。</w:t>
      </w:r>
    </w:p>
    <w:p>
      <w:pPr>
        <w:numPr>
          <w:ilvl w:val="0"/>
          <w:numId w:val="56"/>
        </w:numPr>
        <w:tabs>
          <w:tab w:val="left" w:pos="900"/>
          <w:tab w:val="clear" w:pos="780"/>
        </w:tabs>
        <w:spacing w:line="300" w:lineRule="auto"/>
        <w:ind w:left="538" w:leftChars="256"/>
        <w:rPr>
          <w:rFonts w:hint="eastAsia" w:ascii="宋体" w:hAnsi="宋体"/>
          <w:color w:val="auto"/>
          <w:sz w:val="24"/>
          <w:highlight w:val="none"/>
          <w:lang w:val="en-GB" w:eastAsia="zh-CN"/>
        </w:rPr>
      </w:pPr>
      <w:r>
        <w:rPr>
          <w:rFonts w:hint="eastAsia" w:ascii="宋体" w:hAnsi="宋体"/>
          <w:color w:val="auto"/>
          <w:sz w:val="24"/>
          <w:highlight w:val="none"/>
          <w:lang w:val="en-GB" w:eastAsia="zh-CN"/>
        </w:rPr>
        <w:t>因交通或有不便，递交竞投文件时务请提早到达</w:t>
      </w:r>
    </w:p>
    <w:p>
      <w:pPr>
        <w:rPr>
          <w:color w:val="auto"/>
          <w:highlight w:val="none"/>
        </w:rPr>
      </w:pPr>
    </w:p>
    <w:bookmarkEnd w:id="154"/>
    <w:sectPr>
      <w:pgSz w:w="11850" w:h="16783"/>
      <w:pgMar w:top="1134" w:right="1134" w:bottom="1134" w:left="1417" w:header="573" w:footer="584"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8640"/>
        <w:tab w:val="clear" w:pos="8306"/>
      </w:tabs>
      <w:ind w:right="-176" w:rightChars="-84"/>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宋体"/>
        <w:spacing w:val="-18"/>
        <w:w w:val="90"/>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222B1"/>
    <w:multiLevelType w:val="singleLevel"/>
    <w:tmpl w:val="86F222B1"/>
    <w:lvl w:ilvl="0" w:tentative="0">
      <w:start w:val="1"/>
      <w:numFmt w:val="decimal"/>
      <w:lvlText w:val="%1."/>
      <w:lvlJc w:val="left"/>
      <w:pPr>
        <w:ind w:left="425" w:hanging="425"/>
      </w:pPr>
      <w:rPr>
        <w:rFonts w:hint="default"/>
      </w:rPr>
    </w:lvl>
  </w:abstractNum>
  <w:abstractNum w:abstractNumId="1">
    <w:nsid w:val="898CF67A"/>
    <w:multiLevelType w:val="singleLevel"/>
    <w:tmpl w:val="898CF67A"/>
    <w:lvl w:ilvl="0" w:tentative="0">
      <w:start w:val="1"/>
      <w:numFmt w:val="chineseCounting"/>
      <w:suff w:val="nothing"/>
      <w:lvlText w:val="（%1）"/>
      <w:lvlJc w:val="left"/>
      <w:pPr>
        <w:ind w:left="0" w:firstLine="420"/>
      </w:pPr>
      <w:rPr>
        <w:rFonts w:hint="eastAsia"/>
      </w:rPr>
    </w:lvl>
  </w:abstractNum>
  <w:abstractNum w:abstractNumId="2">
    <w:nsid w:val="8EDE5DE2"/>
    <w:multiLevelType w:val="multilevel"/>
    <w:tmpl w:val="8EDE5DE2"/>
    <w:lvl w:ilvl="0" w:tentative="0">
      <w:start w:val="1"/>
      <w:numFmt w:val="decimal"/>
      <w:suff w:val="space"/>
      <w:lvlText w:val="%1."/>
      <w:lvlJc w:val="left"/>
      <w:pPr>
        <w:ind w:left="420" w:hanging="420"/>
      </w:pPr>
      <w:rPr>
        <w:rFonts w:hint="default" w:ascii="宋体" w:hAnsi="宋体" w:eastAsia="宋体" w:cstheme="minorEastAsia"/>
        <w:b/>
      </w:rPr>
    </w:lvl>
    <w:lvl w:ilvl="1" w:tentative="0">
      <w:start w:val="1"/>
      <w:numFmt w:val="decimal"/>
      <w:lvlText w:val="25.%2."/>
      <w:lvlJc w:val="left"/>
      <w:pPr>
        <w:tabs>
          <w:tab w:val="left" w:pos="840"/>
        </w:tabs>
        <w:ind w:left="840" w:hanging="420"/>
      </w:pPr>
      <w:rPr>
        <w:rFonts w:hint="default" w:ascii="Times New Roman" w:hAnsi="Times New Roman" w:cs="Times New Roman"/>
        <w:b w:val="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8F9F341B"/>
    <w:multiLevelType w:val="singleLevel"/>
    <w:tmpl w:val="8F9F341B"/>
    <w:lvl w:ilvl="0" w:tentative="0">
      <w:start w:val="1"/>
      <w:numFmt w:val="chineseCounting"/>
      <w:suff w:val="nothing"/>
      <w:lvlText w:val="%1、"/>
      <w:lvlJc w:val="left"/>
      <w:pPr>
        <w:ind w:left="0" w:firstLine="420"/>
      </w:pPr>
      <w:rPr>
        <w:rFonts w:hint="eastAsia"/>
      </w:rPr>
    </w:lvl>
  </w:abstractNum>
  <w:abstractNum w:abstractNumId="4">
    <w:nsid w:val="9027ED67"/>
    <w:multiLevelType w:val="singleLevel"/>
    <w:tmpl w:val="9027ED67"/>
    <w:lvl w:ilvl="0" w:tentative="0">
      <w:start w:val="1"/>
      <w:numFmt w:val="chineseCounting"/>
      <w:suff w:val="nothing"/>
      <w:lvlText w:val="（%1）"/>
      <w:lvlJc w:val="left"/>
      <w:pPr>
        <w:ind w:left="0" w:firstLine="420"/>
      </w:pPr>
      <w:rPr>
        <w:rFonts w:hint="eastAsia"/>
      </w:rPr>
    </w:lvl>
  </w:abstractNum>
  <w:abstractNum w:abstractNumId="5">
    <w:nsid w:val="94A90165"/>
    <w:multiLevelType w:val="multilevel"/>
    <w:tmpl w:val="94A90165"/>
    <w:lvl w:ilvl="0" w:tentative="0">
      <w:start w:val="1"/>
      <w:numFmt w:val="decimal"/>
      <w:suff w:val="space"/>
      <w:lvlText w:val="%1."/>
      <w:lvlJc w:val="left"/>
      <w:pPr>
        <w:ind w:left="624" w:hanging="624"/>
      </w:pPr>
      <w:rPr>
        <w:rFonts w:hint="default" w:ascii="宋体" w:hAnsi="宋体" w:eastAsia="宋体" w:cs="宋体"/>
        <w:b/>
        <w:i w:val="0"/>
      </w:rPr>
    </w:lvl>
    <w:lvl w:ilvl="1" w:tentative="0">
      <w:start w:val="1"/>
      <w:numFmt w:val="decimal"/>
      <w:suff w:val="space"/>
      <w:lvlText w:val="%1.%2"/>
      <w:lvlJc w:val="left"/>
      <w:pPr>
        <w:ind w:left="624" w:hanging="624"/>
      </w:pPr>
      <w:rPr>
        <w:rFonts w:hint="default" w:ascii="宋体" w:hAnsi="宋体" w:eastAsia="宋体" w:cs="宋体"/>
        <w:b w:val="0"/>
        <w:i w:val="0"/>
        <w:color w:val="auto"/>
        <w:sz w:val="24"/>
        <w:szCs w:val="24"/>
      </w:rPr>
    </w:lvl>
    <w:lvl w:ilvl="2" w:tentative="0">
      <w:start w:val="1"/>
      <w:numFmt w:val="decimal"/>
      <w:suff w:val="space"/>
      <w:lvlText w:val="%1.%2.%3."/>
      <w:lvlJc w:val="left"/>
      <w:pPr>
        <w:ind w:left="709" w:hanging="709"/>
      </w:pPr>
      <w:rPr>
        <w:rFonts w:hint="default" w:ascii="宋体" w:hAnsi="宋体" w:eastAsia="宋体" w:cs="宋体"/>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96C4E0D9"/>
    <w:multiLevelType w:val="singleLevel"/>
    <w:tmpl w:val="96C4E0D9"/>
    <w:lvl w:ilvl="0" w:tentative="0">
      <w:start w:val="1"/>
      <w:numFmt w:val="decimal"/>
      <w:lvlText w:val="%1."/>
      <w:lvlJc w:val="left"/>
      <w:pPr>
        <w:ind w:left="425" w:hanging="425"/>
      </w:pPr>
      <w:rPr>
        <w:rFonts w:hint="default"/>
      </w:rPr>
    </w:lvl>
  </w:abstractNum>
  <w:abstractNum w:abstractNumId="7">
    <w:nsid w:val="A48A9E99"/>
    <w:multiLevelType w:val="singleLevel"/>
    <w:tmpl w:val="A48A9E99"/>
    <w:lvl w:ilvl="0" w:tentative="0">
      <w:start w:val="1"/>
      <w:numFmt w:val="chineseCounting"/>
      <w:suff w:val="nothing"/>
      <w:lvlText w:val="（%1）"/>
      <w:lvlJc w:val="left"/>
      <w:pPr>
        <w:ind w:left="0" w:firstLine="420"/>
      </w:pPr>
      <w:rPr>
        <w:rFonts w:hint="eastAsia"/>
      </w:rPr>
    </w:lvl>
  </w:abstractNum>
  <w:abstractNum w:abstractNumId="8">
    <w:nsid w:val="A86C22B1"/>
    <w:multiLevelType w:val="singleLevel"/>
    <w:tmpl w:val="A86C22B1"/>
    <w:lvl w:ilvl="0" w:tentative="0">
      <w:start w:val="1"/>
      <w:numFmt w:val="decimal"/>
      <w:lvlText w:val="(%1)"/>
      <w:lvlJc w:val="left"/>
      <w:pPr>
        <w:ind w:left="425" w:hanging="425"/>
      </w:pPr>
      <w:rPr>
        <w:rFonts w:hint="default"/>
      </w:rPr>
    </w:lvl>
  </w:abstractNum>
  <w:abstractNum w:abstractNumId="9">
    <w:nsid w:val="C070D1B6"/>
    <w:multiLevelType w:val="singleLevel"/>
    <w:tmpl w:val="C070D1B6"/>
    <w:lvl w:ilvl="0" w:tentative="0">
      <w:start w:val="1"/>
      <w:numFmt w:val="chineseCounting"/>
      <w:suff w:val="nothing"/>
      <w:lvlText w:val="（%1）"/>
      <w:lvlJc w:val="left"/>
      <w:pPr>
        <w:ind w:left="0" w:firstLine="420"/>
      </w:pPr>
      <w:rPr>
        <w:rFonts w:hint="eastAsia"/>
      </w:rPr>
    </w:lvl>
  </w:abstractNum>
  <w:abstractNum w:abstractNumId="10">
    <w:nsid w:val="C6D8EF7A"/>
    <w:multiLevelType w:val="singleLevel"/>
    <w:tmpl w:val="C6D8EF7A"/>
    <w:lvl w:ilvl="0" w:tentative="0">
      <w:start w:val="1"/>
      <w:numFmt w:val="decimal"/>
      <w:lvlText w:val="%1."/>
      <w:lvlJc w:val="left"/>
      <w:pPr>
        <w:ind w:left="425" w:hanging="425"/>
      </w:pPr>
      <w:rPr>
        <w:rFonts w:hint="default"/>
      </w:rPr>
    </w:lvl>
  </w:abstractNum>
  <w:abstractNum w:abstractNumId="11">
    <w:nsid w:val="C806676E"/>
    <w:multiLevelType w:val="singleLevel"/>
    <w:tmpl w:val="C806676E"/>
    <w:lvl w:ilvl="0" w:tentative="0">
      <w:start w:val="1"/>
      <w:numFmt w:val="decimal"/>
      <w:lvlText w:val="%1."/>
      <w:lvlJc w:val="left"/>
      <w:pPr>
        <w:ind w:left="425" w:hanging="425"/>
      </w:pPr>
      <w:rPr>
        <w:rFonts w:hint="default"/>
      </w:rPr>
    </w:lvl>
  </w:abstractNum>
  <w:abstractNum w:abstractNumId="12">
    <w:nsid w:val="D835A01B"/>
    <w:multiLevelType w:val="multilevel"/>
    <w:tmpl w:val="D835A01B"/>
    <w:lvl w:ilvl="0" w:tentative="0">
      <w:start w:val="1"/>
      <w:numFmt w:val="decimal"/>
      <w:lvlText w:val="（%1）"/>
      <w:lvlJc w:val="left"/>
      <w:pPr>
        <w:tabs>
          <w:tab w:val="left" w:pos="652"/>
        </w:tabs>
        <w:ind w:left="1106" w:hanging="680"/>
      </w:pPr>
      <w:rPr>
        <w:rFonts w:hint="eastAsia"/>
      </w:rPr>
    </w:lvl>
    <w:lvl w:ilvl="1" w:tentative="0">
      <w:start w:val="1"/>
      <w:numFmt w:val="lowerLetter"/>
      <w:lvlText w:val="%2)"/>
      <w:lvlJc w:val="left"/>
      <w:pPr>
        <w:tabs>
          <w:tab w:val="left" w:pos="415"/>
        </w:tabs>
        <w:ind w:left="415" w:hanging="420"/>
      </w:pPr>
    </w:lvl>
    <w:lvl w:ilvl="2" w:tentative="0">
      <w:start w:val="1"/>
      <w:numFmt w:val="lowerRoman"/>
      <w:lvlText w:val="%3."/>
      <w:lvlJc w:val="right"/>
      <w:pPr>
        <w:tabs>
          <w:tab w:val="left" w:pos="835"/>
        </w:tabs>
        <w:ind w:left="835" w:hanging="420"/>
      </w:pPr>
    </w:lvl>
    <w:lvl w:ilvl="3" w:tentative="0">
      <w:start w:val="1"/>
      <w:numFmt w:val="decimal"/>
      <w:lvlText w:val="%4."/>
      <w:lvlJc w:val="left"/>
      <w:pPr>
        <w:tabs>
          <w:tab w:val="left" w:pos="1255"/>
        </w:tabs>
        <w:ind w:left="1255" w:hanging="420"/>
      </w:pPr>
    </w:lvl>
    <w:lvl w:ilvl="4" w:tentative="0">
      <w:start w:val="1"/>
      <w:numFmt w:val="lowerLetter"/>
      <w:lvlText w:val="%5)"/>
      <w:lvlJc w:val="left"/>
      <w:pPr>
        <w:tabs>
          <w:tab w:val="left" w:pos="1675"/>
        </w:tabs>
        <w:ind w:left="1675" w:hanging="420"/>
      </w:pPr>
    </w:lvl>
    <w:lvl w:ilvl="5" w:tentative="0">
      <w:start w:val="1"/>
      <w:numFmt w:val="lowerRoman"/>
      <w:lvlText w:val="%6."/>
      <w:lvlJc w:val="right"/>
      <w:pPr>
        <w:tabs>
          <w:tab w:val="left" w:pos="2095"/>
        </w:tabs>
        <w:ind w:left="2095" w:hanging="420"/>
      </w:pPr>
    </w:lvl>
    <w:lvl w:ilvl="6" w:tentative="0">
      <w:start w:val="1"/>
      <w:numFmt w:val="decimal"/>
      <w:lvlText w:val="%7."/>
      <w:lvlJc w:val="left"/>
      <w:pPr>
        <w:tabs>
          <w:tab w:val="left" w:pos="2515"/>
        </w:tabs>
        <w:ind w:left="2515" w:hanging="420"/>
      </w:pPr>
    </w:lvl>
    <w:lvl w:ilvl="7" w:tentative="0">
      <w:start w:val="1"/>
      <w:numFmt w:val="lowerLetter"/>
      <w:lvlText w:val="%8)"/>
      <w:lvlJc w:val="left"/>
      <w:pPr>
        <w:tabs>
          <w:tab w:val="left" w:pos="2935"/>
        </w:tabs>
        <w:ind w:left="2935" w:hanging="420"/>
      </w:pPr>
    </w:lvl>
    <w:lvl w:ilvl="8" w:tentative="0">
      <w:start w:val="1"/>
      <w:numFmt w:val="lowerRoman"/>
      <w:lvlText w:val="%9."/>
      <w:lvlJc w:val="right"/>
      <w:pPr>
        <w:tabs>
          <w:tab w:val="left" w:pos="3355"/>
        </w:tabs>
        <w:ind w:left="3355" w:hanging="420"/>
      </w:pPr>
    </w:lvl>
  </w:abstractNum>
  <w:abstractNum w:abstractNumId="13">
    <w:nsid w:val="DDAAD069"/>
    <w:multiLevelType w:val="singleLevel"/>
    <w:tmpl w:val="DDAAD069"/>
    <w:lvl w:ilvl="0" w:tentative="0">
      <w:start w:val="1"/>
      <w:numFmt w:val="chineseCounting"/>
      <w:suff w:val="nothing"/>
      <w:lvlText w:val="（%1）"/>
      <w:lvlJc w:val="left"/>
      <w:pPr>
        <w:ind w:left="0" w:firstLine="420"/>
      </w:pPr>
      <w:rPr>
        <w:rFonts w:hint="eastAsia"/>
      </w:rPr>
    </w:lvl>
  </w:abstractNum>
  <w:abstractNum w:abstractNumId="14">
    <w:nsid w:val="E2730C15"/>
    <w:multiLevelType w:val="singleLevel"/>
    <w:tmpl w:val="E2730C15"/>
    <w:lvl w:ilvl="0" w:tentative="0">
      <w:start w:val="1"/>
      <w:numFmt w:val="decimal"/>
      <w:lvlText w:val="%1."/>
      <w:lvlJc w:val="left"/>
      <w:pPr>
        <w:ind w:left="425" w:hanging="425"/>
      </w:pPr>
      <w:rPr>
        <w:rFonts w:hint="default"/>
      </w:rPr>
    </w:lvl>
  </w:abstractNum>
  <w:abstractNum w:abstractNumId="15">
    <w:nsid w:val="E273CBF1"/>
    <w:multiLevelType w:val="singleLevel"/>
    <w:tmpl w:val="E273CBF1"/>
    <w:lvl w:ilvl="0" w:tentative="0">
      <w:start w:val="1"/>
      <w:numFmt w:val="decimal"/>
      <w:lvlText w:val="%1."/>
      <w:lvlJc w:val="left"/>
      <w:pPr>
        <w:ind w:left="425" w:hanging="425"/>
      </w:pPr>
      <w:rPr>
        <w:rFonts w:hint="default"/>
      </w:rPr>
    </w:lvl>
  </w:abstractNum>
  <w:abstractNum w:abstractNumId="16">
    <w:nsid w:val="EF208E0F"/>
    <w:multiLevelType w:val="singleLevel"/>
    <w:tmpl w:val="EF208E0F"/>
    <w:lvl w:ilvl="0" w:tentative="0">
      <w:start w:val="1"/>
      <w:numFmt w:val="decimal"/>
      <w:lvlText w:val="%1."/>
      <w:lvlJc w:val="left"/>
      <w:pPr>
        <w:ind w:left="425" w:hanging="425"/>
      </w:pPr>
      <w:rPr>
        <w:rFonts w:hint="default"/>
      </w:rPr>
    </w:lvl>
  </w:abstractNum>
  <w:abstractNum w:abstractNumId="17">
    <w:nsid w:val="F5A2EAA6"/>
    <w:multiLevelType w:val="singleLevel"/>
    <w:tmpl w:val="F5A2EAA6"/>
    <w:lvl w:ilvl="0" w:tentative="0">
      <w:start w:val="1"/>
      <w:numFmt w:val="chineseCounting"/>
      <w:suff w:val="nothing"/>
      <w:lvlText w:val="（%1）"/>
      <w:lvlJc w:val="left"/>
      <w:pPr>
        <w:ind w:left="0" w:firstLine="420"/>
      </w:pPr>
      <w:rPr>
        <w:rFonts w:hint="eastAsia"/>
      </w:rPr>
    </w:lvl>
  </w:abstractNum>
  <w:abstractNum w:abstractNumId="18">
    <w:nsid w:val="FE9A5839"/>
    <w:multiLevelType w:val="singleLevel"/>
    <w:tmpl w:val="FE9A5839"/>
    <w:lvl w:ilvl="0" w:tentative="0">
      <w:start w:val="1"/>
      <w:numFmt w:val="decimal"/>
      <w:lvlText w:val="%1."/>
      <w:lvlJc w:val="left"/>
      <w:pPr>
        <w:ind w:left="425" w:hanging="425"/>
      </w:pPr>
      <w:rPr>
        <w:rFonts w:hint="default"/>
      </w:rPr>
    </w:lvl>
  </w:abstractNum>
  <w:abstractNum w:abstractNumId="19">
    <w:nsid w:val="0000000B"/>
    <w:multiLevelType w:val="multilevel"/>
    <w:tmpl w:val="0000000B"/>
    <w:lvl w:ilvl="0" w:tentative="0">
      <w:start w:val="1"/>
      <w:numFmt w:val="decimal"/>
      <w:lvlText w:val="（%1）"/>
      <w:lvlJc w:val="left"/>
      <w:pPr>
        <w:tabs>
          <w:tab w:val="left" w:pos="652"/>
        </w:tabs>
        <w:ind w:left="1106" w:hanging="680"/>
      </w:pPr>
      <w:rPr>
        <w:rFonts w:hint="eastAsia"/>
      </w:rPr>
    </w:lvl>
    <w:lvl w:ilvl="1" w:tentative="0">
      <w:start w:val="1"/>
      <w:numFmt w:val="lowerLetter"/>
      <w:lvlText w:val="%2)"/>
      <w:lvlJc w:val="left"/>
      <w:pPr>
        <w:tabs>
          <w:tab w:val="left" w:pos="415"/>
        </w:tabs>
        <w:ind w:left="415" w:hanging="420"/>
      </w:pPr>
    </w:lvl>
    <w:lvl w:ilvl="2" w:tentative="0">
      <w:start w:val="1"/>
      <w:numFmt w:val="lowerRoman"/>
      <w:lvlText w:val="%3."/>
      <w:lvlJc w:val="right"/>
      <w:pPr>
        <w:tabs>
          <w:tab w:val="left" w:pos="835"/>
        </w:tabs>
        <w:ind w:left="835" w:hanging="420"/>
      </w:pPr>
    </w:lvl>
    <w:lvl w:ilvl="3" w:tentative="0">
      <w:start w:val="1"/>
      <w:numFmt w:val="decimal"/>
      <w:lvlText w:val="%4."/>
      <w:lvlJc w:val="left"/>
      <w:pPr>
        <w:tabs>
          <w:tab w:val="left" w:pos="1255"/>
        </w:tabs>
        <w:ind w:left="1255" w:hanging="420"/>
      </w:pPr>
    </w:lvl>
    <w:lvl w:ilvl="4" w:tentative="0">
      <w:start w:val="1"/>
      <w:numFmt w:val="lowerLetter"/>
      <w:lvlText w:val="%5)"/>
      <w:lvlJc w:val="left"/>
      <w:pPr>
        <w:tabs>
          <w:tab w:val="left" w:pos="1675"/>
        </w:tabs>
        <w:ind w:left="1675" w:hanging="420"/>
      </w:pPr>
    </w:lvl>
    <w:lvl w:ilvl="5" w:tentative="0">
      <w:start w:val="1"/>
      <w:numFmt w:val="lowerRoman"/>
      <w:lvlText w:val="%6."/>
      <w:lvlJc w:val="right"/>
      <w:pPr>
        <w:tabs>
          <w:tab w:val="left" w:pos="2095"/>
        </w:tabs>
        <w:ind w:left="2095" w:hanging="420"/>
      </w:pPr>
    </w:lvl>
    <w:lvl w:ilvl="6" w:tentative="0">
      <w:start w:val="1"/>
      <w:numFmt w:val="decimal"/>
      <w:lvlText w:val="%7."/>
      <w:lvlJc w:val="left"/>
      <w:pPr>
        <w:tabs>
          <w:tab w:val="left" w:pos="2515"/>
        </w:tabs>
        <w:ind w:left="2515" w:hanging="420"/>
      </w:pPr>
    </w:lvl>
    <w:lvl w:ilvl="7" w:tentative="0">
      <w:start w:val="1"/>
      <w:numFmt w:val="lowerLetter"/>
      <w:lvlText w:val="%8)"/>
      <w:lvlJc w:val="left"/>
      <w:pPr>
        <w:tabs>
          <w:tab w:val="left" w:pos="2935"/>
        </w:tabs>
        <w:ind w:left="2935" w:hanging="420"/>
      </w:pPr>
    </w:lvl>
    <w:lvl w:ilvl="8" w:tentative="0">
      <w:start w:val="1"/>
      <w:numFmt w:val="lowerRoman"/>
      <w:lvlText w:val="%9."/>
      <w:lvlJc w:val="right"/>
      <w:pPr>
        <w:tabs>
          <w:tab w:val="left" w:pos="3355"/>
        </w:tabs>
        <w:ind w:left="3355" w:hanging="420"/>
      </w:pPr>
    </w:lvl>
  </w:abstractNum>
  <w:abstractNum w:abstractNumId="20">
    <w:nsid w:val="00000016"/>
    <w:multiLevelType w:val="multilevel"/>
    <w:tmpl w:val="00000016"/>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0000001D"/>
    <w:multiLevelType w:val="multilevel"/>
    <w:tmpl w:val="0000001D"/>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22">
    <w:nsid w:val="00000022"/>
    <w:multiLevelType w:val="multilevel"/>
    <w:tmpl w:val="00000022"/>
    <w:lvl w:ilvl="0" w:tentative="0">
      <w:start w:val="1"/>
      <w:numFmt w:val="decimal"/>
      <w:lvlText w:val="%1."/>
      <w:lvlJc w:val="left"/>
      <w:pPr>
        <w:tabs>
          <w:tab w:val="left" w:pos="780"/>
        </w:tabs>
        <w:ind w:left="780" w:hanging="360"/>
      </w:pPr>
      <w:rPr>
        <w:rFonts w:hint="eastAsia" w:cs="Times New Roman"/>
      </w:rPr>
    </w:lvl>
    <w:lvl w:ilvl="1" w:tentative="0">
      <w:start w:val="1"/>
      <w:numFmt w:val="lowerLetter"/>
      <w:lvlText w:val="%2)"/>
      <w:lvlJc w:val="left"/>
      <w:pPr>
        <w:tabs>
          <w:tab w:val="left" w:pos="420"/>
        </w:tabs>
        <w:ind w:left="420" w:hanging="420"/>
      </w:pPr>
      <w:rPr>
        <w:rFonts w:cs="Times New Roman"/>
      </w:rPr>
    </w:lvl>
    <w:lvl w:ilvl="2" w:tentative="0">
      <w:start w:val="1"/>
      <w:numFmt w:val="lowerRoman"/>
      <w:lvlText w:val="%3."/>
      <w:lvlJc w:val="right"/>
      <w:pPr>
        <w:tabs>
          <w:tab w:val="left" w:pos="840"/>
        </w:tabs>
        <w:ind w:left="840" w:hanging="420"/>
      </w:pPr>
      <w:rPr>
        <w:rFonts w:cs="Times New Roman"/>
      </w:rPr>
    </w:lvl>
    <w:lvl w:ilvl="3" w:tentative="0">
      <w:start w:val="1"/>
      <w:numFmt w:val="decimal"/>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23">
    <w:nsid w:val="00000023"/>
    <w:multiLevelType w:val="multilevel"/>
    <w:tmpl w:val="00000023"/>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4">
    <w:nsid w:val="0000003A"/>
    <w:multiLevelType w:val="multilevel"/>
    <w:tmpl w:val="0000003A"/>
    <w:lvl w:ilvl="0" w:tentative="0">
      <w:start w:val="1"/>
      <w:numFmt w:val="decimal"/>
      <w:lvlText w:val="16.%1"/>
      <w:lvlJc w:val="left"/>
      <w:pPr>
        <w:tabs>
          <w:tab w:val="left" w:pos="840"/>
        </w:tabs>
        <w:ind w:left="840" w:hanging="420"/>
      </w:pPr>
      <w:rPr>
        <w:rFonts w:hint="default" w:ascii="Times New Roman" w:hAnsi="Times New Roman" w:cs="Times New Roman"/>
        <w:b w:val="0"/>
      </w:rPr>
    </w:lvl>
    <w:lvl w:ilvl="1" w:tentative="0">
      <w:start w:val="1"/>
      <w:numFmt w:val="decimal"/>
      <w:lvlText w:val="%2)"/>
      <w:lvlJc w:val="left"/>
      <w:pPr>
        <w:tabs>
          <w:tab w:val="left" w:pos="840"/>
        </w:tabs>
        <w:ind w:left="840" w:hanging="420"/>
      </w:pPr>
      <w:rPr>
        <w:rFonts w:hint="eastAsia" w:cs="Times New Roman"/>
        <w:b w:val="0"/>
        <w:color w:val="auto"/>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5">
    <w:nsid w:val="00000041"/>
    <w:multiLevelType w:val="multilevel"/>
    <w:tmpl w:val="00000041"/>
    <w:lvl w:ilvl="0" w:tentative="0">
      <w:start w:val="1"/>
      <w:numFmt w:val="bullet"/>
      <w:lvlText w:val=""/>
      <w:lvlJc w:val="left"/>
      <w:pPr>
        <w:tabs>
          <w:tab w:val="left" w:pos="598"/>
        </w:tabs>
        <w:ind w:left="598" w:hanging="420"/>
      </w:pPr>
      <w:rPr>
        <w:rFonts w:hint="default" w:ascii="Wingdings" w:hAnsi="Wingdings"/>
      </w:rPr>
    </w:lvl>
    <w:lvl w:ilvl="1" w:tentative="0">
      <w:start w:val="1"/>
      <w:numFmt w:val="decimal"/>
      <w:lvlText w:val="%2."/>
      <w:lvlJc w:val="left"/>
      <w:pPr>
        <w:tabs>
          <w:tab w:val="left" w:pos="1018"/>
        </w:tabs>
        <w:ind w:left="1018" w:hanging="420"/>
      </w:pPr>
      <w:rPr>
        <w:rFonts w:hint="default" w:cs="Times New Roman"/>
      </w:rPr>
    </w:lvl>
    <w:lvl w:ilvl="2" w:tentative="0">
      <w:start w:val="1"/>
      <w:numFmt w:val="bullet"/>
      <w:lvlText w:val=""/>
      <w:lvlJc w:val="left"/>
      <w:pPr>
        <w:tabs>
          <w:tab w:val="left" w:pos="1438"/>
        </w:tabs>
        <w:ind w:left="1438" w:hanging="420"/>
      </w:pPr>
      <w:rPr>
        <w:rFonts w:hint="default" w:ascii="Wingdings" w:hAnsi="Wingdings"/>
      </w:rPr>
    </w:lvl>
    <w:lvl w:ilvl="3" w:tentative="0">
      <w:start w:val="1"/>
      <w:numFmt w:val="bullet"/>
      <w:lvlText w:val=""/>
      <w:lvlJc w:val="left"/>
      <w:pPr>
        <w:tabs>
          <w:tab w:val="left" w:pos="1858"/>
        </w:tabs>
        <w:ind w:left="1858" w:hanging="420"/>
      </w:pPr>
      <w:rPr>
        <w:rFonts w:hint="default" w:ascii="Wingdings" w:hAnsi="Wingdings"/>
      </w:rPr>
    </w:lvl>
    <w:lvl w:ilvl="4" w:tentative="0">
      <w:start w:val="1"/>
      <w:numFmt w:val="bullet"/>
      <w:lvlText w:val=""/>
      <w:lvlJc w:val="left"/>
      <w:pPr>
        <w:tabs>
          <w:tab w:val="left" w:pos="2278"/>
        </w:tabs>
        <w:ind w:left="2278" w:hanging="420"/>
      </w:pPr>
      <w:rPr>
        <w:rFonts w:hint="default" w:ascii="Wingdings" w:hAnsi="Wingdings"/>
      </w:rPr>
    </w:lvl>
    <w:lvl w:ilvl="5" w:tentative="0">
      <w:start w:val="1"/>
      <w:numFmt w:val="bullet"/>
      <w:lvlText w:val=""/>
      <w:lvlJc w:val="left"/>
      <w:pPr>
        <w:tabs>
          <w:tab w:val="left" w:pos="2698"/>
        </w:tabs>
        <w:ind w:left="2698" w:hanging="420"/>
      </w:pPr>
      <w:rPr>
        <w:rFonts w:hint="default" w:ascii="Wingdings" w:hAnsi="Wingdings"/>
      </w:rPr>
    </w:lvl>
    <w:lvl w:ilvl="6" w:tentative="0">
      <w:start w:val="1"/>
      <w:numFmt w:val="bullet"/>
      <w:lvlText w:val=""/>
      <w:lvlJc w:val="left"/>
      <w:pPr>
        <w:tabs>
          <w:tab w:val="left" w:pos="3118"/>
        </w:tabs>
        <w:ind w:left="3118" w:hanging="420"/>
      </w:pPr>
      <w:rPr>
        <w:rFonts w:hint="default" w:ascii="Wingdings" w:hAnsi="Wingdings"/>
      </w:rPr>
    </w:lvl>
    <w:lvl w:ilvl="7" w:tentative="0">
      <w:start w:val="1"/>
      <w:numFmt w:val="bullet"/>
      <w:lvlText w:val=""/>
      <w:lvlJc w:val="left"/>
      <w:pPr>
        <w:tabs>
          <w:tab w:val="left" w:pos="3538"/>
        </w:tabs>
        <w:ind w:left="3538" w:hanging="420"/>
      </w:pPr>
      <w:rPr>
        <w:rFonts w:hint="default" w:ascii="Wingdings" w:hAnsi="Wingdings"/>
      </w:rPr>
    </w:lvl>
    <w:lvl w:ilvl="8" w:tentative="0">
      <w:start w:val="1"/>
      <w:numFmt w:val="bullet"/>
      <w:lvlText w:val=""/>
      <w:lvlJc w:val="left"/>
      <w:pPr>
        <w:tabs>
          <w:tab w:val="left" w:pos="3958"/>
        </w:tabs>
        <w:ind w:left="3958" w:hanging="420"/>
      </w:pPr>
      <w:rPr>
        <w:rFonts w:hint="default" w:ascii="Wingdings" w:hAnsi="Wingdings"/>
      </w:rPr>
    </w:lvl>
  </w:abstractNum>
  <w:abstractNum w:abstractNumId="26">
    <w:nsid w:val="00000043"/>
    <w:multiLevelType w:val="multilevel"/>
    <w:tmpl w:val="00000043"/>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5"/>
      <w:numFmt w:val="decimal"/>
      <w:lvlText w:val="%3．"/>
      <w:lvlJc w:val="left"/>
      <w:pPr>
        <w:tabs>
          <w:tab w:val="left" w:pos="1200"/>
        </w:tabs>
        <w:ind w:left="1200" w:hanging="36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7">
    <w:nsid w:val="08C84316"/>
    <w:multiLevelType w:val="singleLevel"/>
    <w:tmpl w:val="08C84316"/>
    <w:lvl w:ilvl="0" w:tentative="0">
      <w:start w:val="1"/>
      <w:numFmt w:val="decimal"/>
      <w:suff w:val="space"/>
      <w:lvlText w:val="%1)"/>
      <w:lvlJc w:val="left"/>
      <w:pPr>
        <w:ind w:left="425" w:hanging="425"/>
      </w:pPr>
      <w:rPr>
        <w:rFonts w:hint="default" w:ascii="宋体" w:hAnsi="宋体" w:eastAsia="宋体" w:cs="宋体"/>
      </w:rPr>
    </w:lvl>
  </w:abstractNum>
  <w:abstractNum w:abstractNumId="28">
    <w:nsid w:val="12F1127D"/>
    <w:multiLevelType w:val="singleLevel"/>
    <w:tmpl w:val="12F1127D"/>
    <w:lvl w:ilvl="0" w:tentative="0">
      <w:start w:val="1"/>
      <w:numFmt w:val="decimal"/>
      <w:suff w:val="space"/>
      <w:lvlText w:val="%1."/>
      <w:lvlJc w:val="left"/>
      <w:pPr>
        <w:ind w:left="454" w:leftChars="0" w:hanging="454" w:firstLineChars="0"/>
      </w:pPr>
      <w:rPr>
        <w:rFonts w:hint="default"/>
      </w:rPr>
    </w:lvl>
  </w:abstractNum>
  <w:abstractNum w:abstractNumId="29">
    <w:nsid w:val="15A7C4FD"/>
    <w:multiLevelType w:val="singleLevel"/>
    <w:tmpl w:val="15A7C4FD"/>
    <w:lvl w:ilvl="0" w:tentative="0">
      <w:start w:val="1"/>
      <w:numFmt w:val="decimal"/>
      <w:lvlText w:val="%1."/>
      <w:lvlJc w:val="left"/>
      <w:pPr>
        <w:ind w:left="425" w:hanging="425"/>
      </w:pPr>
      <w:rPr>
        <w:rFonts w:hint="default"/>
      </w:rPr>
    </w:lvl>
  </w:abstractNum>
  <w:abstractNum w:abstractNumId="30">
    <w:nsid w:val="1CEF3599"/>
    <w:multiLevelType w:val="singleLevel"/>
    <w:tmpl w:val="1CEF3599"/>
    <w:lvl w:ilvl="0" w:tentative="0">
      <w:start w:val="1"/>
      <w:numFmt w:val="decimal"/>
      <w:lvlText w:val="%1."/>
      <w:lvlJc w:val="left"/>
      <w:pPr>
        <w:ind w:left="425" w:hanging="425"/>
      </w:pPr>
      <w:rPr>
        <w:rFonts w:hint="default"/>
      </w:rPr>
    </w:lvl>
  </w:abstractNum>
  <w:abstractNum w:abstractNumId="31">
    <w:nsid w:val="1F8196E8"/>
    <w:multiLevelType w:val="singleLevel"/>
    <w:tmpl w:val="1F8196E8"/>
    <w:lvl w:ilvl="0" w:tentative="0">
      <w:start w:val="1"/>
      <w:numFmt w:val="decimal"/>
      <w:lvlText w:val="(%1)"/>
      <w:lvlJc w:val="left"/>
      <w:pPr>
        <w:ind w:left="425" w:hanging="425"/>
      </w:pPr>
      <w:rPr>
        <w:rFonts w:hint="default"/>
      </w:rPr>
    </w:lvl>
  </w:abstractNum>
  <w:abstractNum w:abstractNumId="32">
    <w:nsid w:val="2056F178"/>
    <w:multiLevelType w:val="multilevel"/>
    <w:tmpl w:val="2056F178"/>
    <w:lvl w:ilvl="0" w:tentative="0">
      <w:start w:val="1"/>
      <w:numFmt w:val="decimal"/>
      <w:suff w:val="space"/>
      <w:lvlText w:val="%1."/>
      <w:lvlJc w:val="left"/>
      <w:pPr>
        <w:ind w:left="624" w:hanging="624"/>
      </w:pPr>
      <w:rPr>
        <w:rFonts w:hint="default" w:ascii="宋体" w:hAnsi="宋体" w:eastAsia="宋体" w:cs="宋体"/>
        <w:b/>
        <w:i w:val="0"/>
      </w:rPr>
    </w:lvl>
    <w:lvl w:ilvl="1" w:tentative="0">
      <w:start w:val="1"/>
      <w:numFmt w:val="decimal"/>
      <w:suff w:val="space"/>
      <w:lvlText w:val="%1.%2"/>
      <w:lvlJc w:val="left"/>
      <w:pPr>
        <w:ind w:left="624" w:hanging="624"/>
      </w:pPr>
      <w:rPr>
        <w:rFonts w:hint="default" w:ascii="宋体" w:hAnsi="宋体" w:eastAsia="宋体" w:cs="宋体"/>
        <w:b w:val="0"/>
        <w:bCs w:val="0"/>
        <w:i w:val="0"/>
        <w:color w:val="auto"/>
        <w:sz w:val="24"/>
        <w:szCs w:val="24"/>
      </w:rPr>
    </w:lvl>
    <w:lvl w:ilvl="2" w:tentative="0">
      <w:start w:val="1"/>
      <w:numFmt w:val="decimal"/>
      <w:suff w:val="space"/>
      <w:lvlText w:val="%1.%2.%3."/>
      <w:lvlJc w:val="left"/>
      <w:pPr>
        <w:ind w:left="709" w:hanging="709"/>
      </w:pPr>
      <w:rPr>
        <w:rFonts w:hint="default" w:ascii="宋体" w:hAnsi="宋体" w:eastAsia="宋体" w:cs="宋体"/>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2767BC46"/>
    <w:multiLevelType w:val="singleLevel"/>
    <w:tmpl w:val="2767BC46"/>
    <w:lvl w:ilvl="0" w:tentative="0">
      <w:start w:val="1"/>
      <w:numFmt w:val="decimal"/>
      <w:lvlText w:val="(%1)"/>
      <w:lvlJc w:val="left"/>
      <w:pPr>
        <w:ind w:left="425" w:hanging="425"/>
      </w:pPr>
      <w:rPr>
        <w:rFonts w:hint="default"/>
      </w:rPr>
    </w:lvl>
  </w:abstractNum>
  <w:abstractNum w:abstractNumId="34">
    <w:nsid w:val="2AF33EBD"/>
    <w:multiLevelType w:val="multilevel"/>
    <w:tmpl w:val="2AF33EBD"/>
    <w:lvl w:ilvl="0" w:tentative="0">
      <w:start w:val="1"/>
      <w:numFmt w:val="decimal"/>
      <w:lvlText w:val="（%1）"/>
      <w:lvlJc w:val="left"/>
      <w:pPr>
        <w:tabs>
          <w:tab w:val="left" w:pos="652"/>
        </w:tabs>
        <w:ind w:left="1106" w:hanging="680"/>
      </w:pPr>
      <w:rPr>
        <w:rFonts w:hint="eastAsia"/>
      </w:rPr>
    </w:lvl>
    <w:lvl w:ilvl="1" w:tentative="0">
      <w:start w:val="1"/>
      <w:numFmt w:val="lowerLetter"/>
      <w:lvlText w:val="%2)"/>
      <w:lvlJc w:val="left"/>
      <w:pPr>
        <w:tabs>
          <w:tab w:val="left" w:pos="415"/>
        </w:tabs>
        <w:ind w:left="415" w:hanging="420"/>
      </w:pPr>
    </w:lvl>
    <w:lvl w:ilvl="2" w:tentative="0">
      <w:start w:val="1"/>
      <w:numFmt w:val="lowerRoman"/>
      <w:lvlText w:val="%3."/>
      <w:lvlJc w:val="right"/>
      <w:pPr>
        <w:tabs>
          <w:tab w:val="left" w:pos="835"/>
        </w:tabs>
        <w:ind w:left="835" w:hanging="420"/>
      </w:pPr>
    </w:lvl>
    <w:lvl w:ilvl="3" w:tentative="0">
      <w:start w:val="1"/>
      <w:numFmt w:val="decimal"/>
      <w:lvlText w:val="%4."/>
      <w:lvlJc w:val="left"/>
      <w:pPr>
        <w:tabs>
          <w:tab w:val="left" w:pos="1255"/>
        </w:tabs>
        <w:ind w:left="1255" w:hanging="420"/>
      </w:pPr>
    </w:lvl>
    <w:lvl w:ilvl="4" w:tentative="0">
      <w:start w:val="1"/>
      <w:numFmt w:val="lowerLetter"/>
      <w:lvlText w:val="%5)"/>
      <w:lvlJc w:val="left"/>
      <w:pPr>
        <w:tabs>
          <w:tab w:val="left" w:pos="1675"/>
        </w:tabs>
        <w:ind w:left="1675" w:hanging="420"/>
      </w:pPr>
    </w:lvl>
    <w:lvl w:ilvl="5" w:tentative="0">
      <w:start w:val="1"/>
      <w:numFmt w:val="lowerRoman"/>
      <w:lvlText w:val="%6."/>
      <w:lvlJc w:val="right"/>
      <w:pPr>
        <w:tabs>
          <w:tab w:val="left" w:pos="2095"/>
        </w:tabs>
        <w:ind w:left="2095" w:hanging="420"/>
      </w:pPr>
    </w:lvl>
    <w:lvl w:ilvl="6" w:tentative="0">
      <w:start w:val="1"/>
      <w:numFmt w:val="decimal"/>
      <w:lvlText w:val="%7."/>
      <w:lvlJc w:val="left"/>
      <w:pPr>
        <w:tabs>
          <w:tab w:val="left" w:pos="2515"/>
        </w:tabs>
        <w:ind w:left="2515" w:hanging="420"/>
      </w:pPr>
    </w:lvl>
    <w:lvl w:ilvl="7" w:tentative="0">
      <w:start w:val="1"/>
      <w:numFmt w:val="lowerLetter"/>
      <w:lvlText w:val="%8)"/>
      <w:lvlJc w:val="left"/>
      <w:pPr>
        <w:tabs>
          <w:tab w:val="left" w:pos="2935"/>
        </w:tabs>
        <w:ind w:left="2935" w:hanging="420"/>
      </w:pPr>
    </w:lvl>
    <w:lvl w:ilvl="8" w:tentative="0">
      <w:start w:val="1"/>
      <w:numFmt w:val="lowerRoman"/>
      <w:lvlText w:val="%9."/>
      <w:lvlJc w:val="right"/>
      <w:pPr>
        <w:tabs>
          <w:tab w:val="left" w:pos="3355"/>
        </w:tabs>
        <w:ind w:left="3355" w:hanging="420"/>
      </w:pPr>
    </w:lvl>
  </w:abstractNum>
  <w:abstractNum w:abstractNumId="35">
    <w:nsid w:val="3128AD4E"/>
    <w:multiLevelType w:val="singleLevel"/>
    <w:tmpl w:val="3128AD4E"/>
    <w:lvl w:ilvl="0" w:tentative="0">
      <w:start w:val="1"/>
      <w:numFmt w:val="chineseCounting"/>
      <w:suff w:val="nothing"/>
      <w:lvlText w:val="（%1）"/>
      <w:lvlJc w:val="left"/>
      <w:pPr>
        <w:ind w:left="0" w:firstLine="420"/>
      </w:pPr>
      <w:rPr>
        <w:rFonts w:hint="eastAsia"/>
      </w:rPr>
    </w:lvl>
  </w:abstractNum>
  <w:abstractNum w:abstractNumId="36">
    <w:nsid w:val="324DD2EE"/>
    <w:multiLevelType w:val="singleLevel"/>
    <w:tmpl w:val="324DD2EE"/>
    <w:lvl w:ilvl="0" w:tentative="0">
      <w:start w:val="1"/>
      <w:numFmt w:val="decimal"/>
      <w:lvlText w:val="%1."/>
      <w:lvlJc w:val="left"/>
      <w:pPr>
        <w:ind w:left="425" w:hanging="425"/>
      </w:pPr>
      <w:rPr>
        <w:rFonts w:hint="default"/>
      </w:rPr>
    </w:lvl>
  </w:abstractNum>
  <w:abstractNum w:abstractNumId="37">
    <w:nsid w:val="45D53754"/>
    <w:multiLevelType w:val="singleLevel"/>
    <w:tmpl w:val="45D53754"/>
    <w:lvl w:ilvl="0" w:tentative="0">
      <w:start w:val="1"/>
      <w:numFmt w:val="decimal"/>
      <w:lvlText w:val="%1."/>
      <w:lvlJc w:val="left"/>
      <w:pPr>
        <w:ind w:left="425" w:hanging="425"/>
      </w:pPr>
      <w:rPr>
        <w:rFonts w:hint="default"/>
      </w:rPr>
    </w:lvl>
  </w:abstractNum>
  <w:abstractNum w:abstractNumId="38">
    <w:nsid w:val="464CD398"/>
    <w:multiLevelType w:val="singleLevel"/>
    <w:tmpl w:val="464CD398"/>
    <w:lvl w:ilvl="0" w:tentative="0">
      <w:start w:val="1"/>
      <w:numFmt w:val="decimal"/>
      <w:lvlText w:val="%1."/>
      <w:lvlJc w:val="left"/>
      <w:pPr>
        <w:ind w:left="425" w:hanging="425"/>
      </w:pPr>
      <w:rPr>
        <w:rFonts w:hint="default"/>
      </w:rPr>
    </w:lvl>
  </w:abstractNum>
  <w:abstractNum w:abstractNumId="39">
    <w:nsid w:val="4D83CE11"/>
    <w:multiLevelType w:val="singleLevel"/>
    <w:tmpl w:val="4D83CE11"/>
    <w:lvl w:ilvl="0" w:tentative="0">
      <w:start w:val="1"/>
      <w:numFmt w:val="chineseCounting"/>
      <w:suff w:val="nothing"/>
      <w:lvlText w:val="（%1）"/>
      <w:lvlJc w:val="left"/>
      <w:pPr>
        <w:ind w:left="0" w:firstLine="420"/>
      </w:pPr>
      <w:rPr>
        <w:rFonts w:hint="eastAsia"/>
      </w:rPr>
    </w:lvl>
  </w:abstractNum>
  <w:abstractNum w:abstractNumId="40">
    <w:nsid w:val="516CD22D"/>
    <w:multiLevelType w:val="singleLevel"/>
    <w:tmpl w:val="516CD22D"/>
    <w:lvl w:ilvl="0" w:tentative="0">
      <w:start w:val="1"/>
      <w:numFmt w:val="decimal"/>
      <w:lvlText w:val="%1."/>
      <w:lvlJc w:val="left"/>
      <w:pPr>
        <w:ind w:left="425" w:hanging="425"/>
      </w:pPr>
      <w:rPr>
        <w:rFonts w:hint="default"/>
      </w:rPr>
    </w:lvl>
  </w:abstractNum>
  <w:abstractNum w:abstractNumId="41">
    <w:nsid w:val="55ADAA3D"/>
    <w:multiLevelType w:val="singleLevel"/>
    <w:tmpl w:val="55ADAA3D"/>
    <w:lvl w:ilvl="0" w:tentative="0">
      <w:start w:val="1"/>
      <w:numFmt w:val="decimal"/>
      <w:lvlText w:val="%1."/>
      <w:lvlJc w:val="left"/>
      <w:pPr>
        <w:ind w:left="425" w:hanging="425"/>
      </w:pPr>
      <w:rPr>
        <w:rFonts w:hint="default"/>
      </w:rPr>
    </w:lvl>
  </w:abstractNum>
  <w:abstractNum w:abstractNumId="42">
    <w:nsid w:val="5B991B26"/>
    <w:multiLevelType w:val="singleLevel"/>
    <w:tmpl w:val="5B991B26"/>
    <w:lvl w:ilvl="0" w:tentative="0">
      <w:start w:val="1"/>
      <w:numFmt w:val="decimal"/>
      <w:lvlText w:val="%1."/>
      <w:lvlJc w:val="left"/>
      <w:pPr>
        <w:ind w:left="425" w:hanging="425"/>
      </w:pPr>
      <w:rPr>
        <w:rFonts w:hint="default"/>
      </w:rPr>
    </w:lvl>
  </w:abstractNum>
  <w:abstractNum w:abstractNumId="43">
    <w:nsid w:val="5E036EA0"/>
    <w:multiLevelType w:val="singleLevel"/>
    <w:tmpl w:val="5E036EA0"/>
    <w:lvl w:ilvl="0" w:tentative="0">
      <w:start w:val="1"/>
      <w:numFmt w:val="decimal"/>
      <w:lvlText w:val="%1."/>
      <w:lvlJc w:val="left"/>
      <w:pPr>
        <w:ind w:left="425" w:hanging="425"/>
      </w:pPr>
      <w:rPr>
        <w:rFonts w:hint="default"/>
      </w:rPr>
    </w:lvl>
  </w:abstractNum>
  <w:abstractNum w:abstractNumId="44">
    <w:nsid w:val="5E92D89C"/>
    <w:multiLevelType w:val="multilevel"/>
    <w:tmpl w:val="5E92D89C"/>
    <w:lvl w:ilvl="0" w:tentative="0">
      <w:start w:val="1"/>
      <w:numFmt w:val="decimal"/>
      <w:lvlText w:val="%1."/>
      <w:lvlJc w:val="left"/>
      <w:pPr>
        <w:tabs>
          <w:tab w:val="left" w:pos="780"/>
        </w:tabs>
        <w:ind w:left="780" w:hanging="360"/>
      </w:pPr>
      <w:rPr>
        <w:rFonts w:hint="default" w:ascii="宋体" w:hAnsi="宋体" w:eastAsia="宋体" w:cs="宋体"/>
      </w:rPr>
    </w:lvl>
    <w:lvl w:ilvl="1" w:tentative="0">
      <w:start w:val="1"/>
      <w:numFmt w:val="lowerLetter"/>
      <w:lvlText w:val="%2)"/>
      <w:lvlJc w:val="left"/>
      <w:pPr>
        <w:tabs>
          <w:tab w:val="left" w:pos="420"/>
        </w:tabs>
        <w:ind w:left="420" w:hanging="420"/>
      </w:pPr>
      <w:rPr>
        <w:rFonts w:cs="Times New Roman"/>
      </w:rPr>
    </w:lvl>
    <w:lvl w:ilvl="2" w:tentative="0">
      <w:start w:val="1"/>
      <w:numFmt w:val="lowerRoman"/>
      <w:lvlText w:val="%3."/>
      <w:lvlJc w:val="right"/>
      <w:pPr>
        <w:tabs>
          <w:tab w:val="left" w:pos="840"/>
        </w:tabs>
        <w:ind w:left="840" w:hanging="420"/>
      </w:pPr>
      <w:rPr>
        <w:rFonts w:cs="Times New Roman"/>
      </w:rPr>
    </w:lvl>
    <w:lvl w:ilvl="3" w:tentative="0">
      <w:start w:val="1"/>
      <w:numFmt w:val="decimal"/>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45">
    <w:nsid w:val="5EBEEADD"/>
    <w:multiLevelType w:val="singleLevel"/>
    <w:tmpl w:val="5EBEEADD"/>
    <w:lvl w:ilvl="0" w:tentative="0">
      <w:start w:val="1"/>
      <w:numFmt w:val="chineseCounting"/>
      <w:suff w:val="nothing"/>
      <w:lvlText w:val="（%1）"/>
      <w:lvlJc w:val="left"/>
      <w:pPr>
        <w:ind w:left="0" w:firstLine="420"/>
      </w:pPr>
      <w:rPr>
        <w:rFonts w:hint="eastAsia"/>
      </w:rPr>
    </w:lvl>
  </w:abstractNum>
  <w:abstractNum w:abstractNumId="46">
    <w:nsid w:val="671857F2"/>
    <w:multiLevelType w:val="singleLevel"/>
    <w:tmpl w:val="671857F2"/>
    <w:lvl w:ilvl="0" w:tentative="0">
      <w:start w:val="1"/>
      <w:numFmt w:val="decimal"/>
      <w:lvlText w:val="%1."/>
      <w:lvlJc w:val="left"/>
      <w:pPr>
        <w:ind w:left="425" w:hanging="425"/>
      </w:pPr>
      <w:rPr>
        <w:rFonts w:hint="default"/>
      </w:rPr>
    </w:lvl>
  </w:abstractNum>
  <w:abstractNum w:abstractNumId="47">
    <w:nsid w:val="6B470B6A"/>
    <w:multiLevelType w:val="singleLevel"/>
    <w:tmpl w:val="6B470B6A"/>
    <w:lvl w:ilvl="0" w:tentative="0">
      <w:start w:val="1"/>
      <w:numFmt w:val="chineseCounting"/>
      <w:suff w:val="nothing"/>
      <w:lvlText w:val="（%1）"/>
      <w:lvlJc w:val="left"/>
      <w:pPr>
        <w:ind w:left="0" w:firstLine="420"/>
      </w:pPr>
      <w:rPr>
        <w:rFonts w:hint="eastAsia"/>
      </w:rPr>
    </w:lvl>
  </w:abstractNum>
  <w:abstractNum w:abstractNumId="48">
    <w:nsid w:val="6B4FEF5D"/>
    <w:multiLevelType w:val="singleLevel"/>
    <w:tmpl w:val="6B4FEF5D"/>
    <w:lvl w:ilvl="0" w:tentative="0">
      <w:start w:val="1"/>
      <w:numFmt w:val="chineseCounting"/>
      <w:suff w:val="nothing"/>
      <w:lvlText w:val="（%1）"/>
      <w:lvlJc w:val="left"/>
      <w:pPr>
        <w:ind w:left="0" w:firstLine="420"/>
      </w:pPr>
      <w:rPr>
        <w:rFonts w:hint="eastAsia"/>
      </w:rPr>
    </w:lvl>
  </w:abstractNum>
  <w:abstractNum w:abstractNumId="49">
    <w:nsid w:val="743442DA"/>
    <w:multiLevelType w:val="singleLevel"/>
    <w:tmpl w:val="743442DA"/>
    <w:lvl w:ilvl="0" w:tentative="0">
      <w:start w:val="1"/>
      <w:numFmt w:val="decimal"/>
      <w:lvlText w:val="%1."/>
      <w:lvlJc w:val="left"/>
      <w:pPr>
        <w:ind w:left="425" w:hanging="425"/>
      </w:pPr>
      <w:rPr>
        <w:rFonts w:hint="default"/>
      </w:rPr>
    </w:lvl>
  </w:abstractNum>
  <w:abstractNum w:abstractNumId="50">
    <w:nsid w:val="7BE0831C"/>
    <w:multiLevelType w:val="singleLevel"/>
    <w:tmpl w:val="7BE0831C"/>
    <w:lvl w:ilvl="0" w:tentative="0">
      <w:start w:val="1"/>
      <w:numFmt w:val="chineseCounting"/>
      <w:suff w:val="nothing"/>
      <w:lvlText w:val="%1、"/>
      <w:lvlJc w:val="left"/>
      <w:pPr>
        <w:ind w:left="0" w:firstLine="420"/>
      </w:pPr>
      <w:rPr>
        <w:rFonts w:hint="eastAsia"/>
      </w:rPr>
    </w:lvl>
  </w:abstractNum>
  <w:abstractNum w:abstractNumId="51">
    <w:nsid w:val="7CABA109"/>
    <w:multiLevelType w:val="singleLevel"/>
    <w:tmpl w:val="7CABA109"/>
    <w:lvl w:ilvl="0" w:tentative="0">
      <w:start w:val="2"/>
      <w:numFmt w:val="chineseCounting"/>
      <w:suff w:val="nothing"/>
      <w:lvlText w:val="%1、"/>
      <w:lvlJc w:val="left"/>
      <w:pPr>
        <w:ind w:left="0" w:firstLine="420"/>
      </w:pPr>
      <w:rPr>
        <w:rFonts w:hint="eastAsia"/>
      </w:rPr>
    </w:lvl>
  </w:abstractNum>
  <w:abstractNum w:abstractNumId="52">
    <w:nsid w:val="7D207E09"/>
    <w:multiLevelType w:val="multilevel"/>
    <w:tmpl w:val="7D207E09"/>
    <w:lvl w:ilvl="0" w:tentative="0">
      <w:start w:val="1"/>
      <w:numFmt w:val="decimal"/>
      <w:lvlText w:val="%1."/>
      <w:lvlJc w:val="left"/>
      <w:pPr>
        <w:tabs>
          <w:tab w:val="left" w:pos="624"/>
        </w:tabs>
        <w:ind w:left="624" w:hanging="624"/>
      </w:pPr>
      <w:rPr>
        <w:rFonts w:hint="default" w:ascii="宋体" w:hAnsi="宋体" w:eastAsia="宋体" w:cs="宋体"/>
        <w:b/>
        <w:i w:val="0"/>
      </w:rPr>
    </w:lvl>
    <w:lvl w:ilvl="1" w:tentative="0">
      <w:start w:val="1"/>
      <w:numFmt w:val="decimal"/>
      <w:lvlText w:val="%1.%2"/>
      <w:lvlJc w:val="left"/>
      <w:pPr>
        <w:tabs>
          <w:tab w:val="left" w:pos="624"/>
        </w:tabs>
        <w:ind w:left="624" w:hanging="624"/>
      </w:pPr>
      <w:rPr>
        <w:rFonts w:hint="default" w:ascii="宋体" w:hAnsi="宋体" w:eastAsia="宋体" w:cs="宋体"/>
        <w:b w:val="0"/>
        <w:i w:val="0"/>
        <w:sz w:val="24"/>
        <w:szCs w:val="24"/>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7D207E14"/>
    <w:multiLevelType w:val="multilevel"/>
    <w:tmpl w:val="7D207E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7D207E2D"/>
    <w:multiLevelType w:val="multilevel"/>
    <w:tmpl w:val="7D207E2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D662F0F"/>
    <w:multiLevelType w:val="singleLevel"/>
    <w:tmpl w:val="7D662F0F"/>
    <w:lvl w:ilvl="0" w:tentative="0">
      <w:start w:val="1"/>
      <w:numFmt w:val="decimal"/>
      <w:lvlText w:val="%1."/>
      <w:lvlJc w:val="left"/>
      <w:pPr>
        <w:ind w:left="425" w:hanging="425"/>
      </w:pPr>
      <w:rPr>
        <w:rFonts w:hint="default"/>
      </w:rPr>
    </w:lvl>
  </w:abstractNum>
  <w:num w:numId="1">
    <w:abstractNumId w:val="21"/>
  </w:num>
  <w:num w:numId="2">
    <w:abstractNumId w:val="50"/>
  </w:num>
  <w:num w:numId="3">
    <w:abstractNumId w:val="18"/>
  </w:num>
  <w:num w:numId="4">
    <w:abstractNumId w:val="51"/>
  </w:num>
  <w:num w:numId="5">
    <w:abstractNumId w:val="41"/>
  </w:num>
  <w:num w:numId="6">
    <w:abstractNumId w:val="33"/>
  </w:num>
  <w:num w:numId="7">
    <w:abstractNumId w:val="11"/>
  </w:num>
  <w:num w:numId="8">
    <w:abstractNumId w:val="37"/>
  </w:num>
  <w:num w:numId="9">
    <w:abstractNumId w:val="16"/>
  </w:num>
  <w:num w:numId="10">
    <w:abstractNumId w:val="55"/>
  </w:num>
  <w:num w:numId="11">
    <w:abstractNumId w:val="8"/>
  </w:num>
  <w:num w:numId="12">
    <w:abstractNumId w:val="32"/>
  </w:num>
  <w:num w:numId="13">
    <w:abstractNumId w:val="5"/>
  </w:num>
  <w:num w:numId="14">
    <w:abstractNumId w:val="38"/>
  </w:num>
  <w:num w:numId="15">
    <w:abstractNumId w:val="42"/>
  </w:num>
  <w:num w:numId="16">
    <w:abstractNumId w:val="23"/>
  </w:num>
  <w:num w:numId="17">
    <w:abstractNumId w:val="15"/>
  </w:num>
  <w:num w:numId="18">
    <w:abstractNumId w:val="6"/>
  </w:num>
  <w:num w:numId="19">
    <w:abstractNumId w:val="43"/>
  </w:num>
  <w:num w:numId="20">
    <w:abstractNumId w:val="49"/>
  </w:num>
  <w:num w:numId="21">
    <w:abstractNumId w:val="29"/>
  </w:num>
  <w:num w:numId="22">
    <w:abstractNumId w:val="14"/>
  </w:num>
  <w:num w:numId="23">
    <w:abstractNumId w:val="2"/>
  </w:num>
  <w:num w:numId="24">
    <w:abstractNumId w:val="31"/>
  </w:num>
  <w:num w:numId="25">
    <w:abstractNumId w:val="27"/>
  </w:num>
  <w:num w:numId="26">
    <w:abstractNumId w:val="20"/>
  </w:num>
  <w:num w:numId="27">
    <w:abstractNumId w:val="24"/>
  </w:num>
  <w:num w:numId="28">
    <w:abstractNumId w:val="19"/>
  </w:num>
  <w:num w:numId="29">
    <w:abstractNumId w:val="34"/>
  </w:num>
  <w:num w:numId="30">
    <w:abstractNumId w:val="12"/>
  </w:num>
  <w:num w:numId="31">
    <w:abstractNumId w:val="52"/>
  </w:num>
  <w:num w:numId="32">
    <w:abstractNumId w:val="17"/>
  </w:num>
  <w:num w:numId="33">
    <w:abstractNumId w:val="35"/>
  </w:num>
  <w:num w:numId="34">
    <w:abstractNumId w:val="39"/>
  </w:num>
  <w:num w:numId="35">
    <w:abstractNumId w:val="9"/>
  </w:num>
  <w:num w:numId="36">
    <w:abstractNumId w:val="40"/>
  </w:num>
  <w:num w:numId="37">
    <w:abstractNumId w:val="48"/>
  </w:num>
  <w:num w:numId="38">
    <w:abstractNumId w:val="7"/>
  </w:num>
  <w:num w:numId="39">
    <w:abstractNumId w:val="45"/>
  </w:num>
  <w:num w:numId="40">
    <w:abstractNumId w:val="47"/>
  </w:num>
  <w:num w:numId="41">
    <w:abstractNumId w:val="4"/>
  </w:num>
  <w:num w:numId="42">
    <w:abstractNumId w:val="1"/>
  </w:num>
  <w:num w:numId="43">
    <w:abstractNumId w:val="13"/>
  </w:num>
  <w:num w:numId="44">
    <w:abstractNumId w:val="36"/>
  </w:num>
  <w:num w:numId="45">
    <w:abstractNumId w:val="3"/>
  </w:num>
  <w:num w:numId="46">
    <w:abstractNumId w:val="28"/>
  </w:num>
  <w:num w:numId="47">
    <w:abstractNumId w:val="26"/>
  </w:num>
  <w:num w:numId="48">
    <w:abstractNumId w:val="0"/>
  </w:num>
  <w:num w:numId="49">
    <w:abstractNumId w:val="10"/>
  </w:num>
  <w:num w:numId="50">
    <w:abstractNumId w:val="46"/>
  </w:num>
  <w:num w:numId="51">
    <w:abstractNumId w:val="30"/>
  </w:num>
  <w:num w:numId="52">
    <w:abstractNumId w:val="25"/>
  </w:num>
  <w:num w:numId="53">
    <w:abstractNumId w:val="22"/>
  </w:num>
  <w:num w:numId="54">
    <w:abstractNumId w:val="53"/>
  </w:num>
  <w:num w:numId="55">
    <w:abstractNumId w:val="54"/>
  </w:num>
  <w:num w:numId="5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MGRlYmFhMDY4ZGFlY2M5MDRlY2I2ZGEwNGJhYzgifQ=="/>
  </w:docVars>
  <w:rsids>
    <w:rsidRoot w:val="11E72552"/>
    <w:rsid w:val="006B43D9"/>
    <w:rsid w:val="00AE65C6"/>
    <w:rsid w:val="00EC3250"/>
    <w:rsid w:val="00ED3CE4"/>
    <w:rsid w:val="015843AC"/>
    <w:rsid w:val="02083BFD"/>
    <w:rsid w:val="02414958"/>
    <w:rsid w:val="03A21007"/>
    <w:rsid w:val="03B37031"/>
    <w:rsid w:val="04423799"/>
    <w:rsid w:val="04714B20"/>
    <w:rsid w:val="053975EE"/>
    <w:rsid w:val="06BD229F"/>
    <w:rsid w:val="071224BF"/>
    <w:rsid w:val="074C7075"/>
    <w:rsid w:val="078D7EC3"/>
    <w:rsid w:val="07D000B4"/>
    <w:rsid w:val="07DE04BD"/>
    <w:rsid w:val="08523894"/>
    <w:rsid w:val="08C416C3"/>
    <w:rsid w:val="08FC6826"/>
    <w:rsid w:val="091268D2"/>
    <w:rsid w:val="09453F67"/>
    <w:rsid w:val="094C1CE0"/>
    <w:rsid w:val="0A587545"/>
    <w:rsid w:val="0A627034"/>
    <w:rsid w:val="0A6833CF"/>
    <w:rsid w:val="0B4D45A7"/>
    <w:rsid w:val="0B595C8F"/>
    <w:rsid w:val="0BD339A2"/>
    <w:rsid w:val="0C2268BC"/>
    <w:rsid w:val="0C913FB2"/>
    <w:rsid w:val="0CA21D1B"/>
    <w:rsid w:val="0D9D3660"/>
    <w:rsid w:val="0DE10621"/>
    <w:rsid w:val="0E0E7A2B"/>
    <w:rsid w:val="0E324371"/>
    <w:rsid w:val="0E7F0ABA"/>
    <w:rsid w:val="0EF85E12"/>
    <w:rsid w:val="0F4611B0"/>
    <w:rsid w:val="0FB06655"/>
    <w:rsid w:val="0FEF6374"/>
    <w:rsid w:val="10EF163D"/>
    <w:rsid w:val="11B511EB"/>
    <w:rsid w:val="11C47376"/>
    <w:rsid w:val="11E72552"/>
    <w:rsid w:val="127B43F7"/>
    <w:rsid w:val="12900868"/>
    <w:rsid w:val="1299596E"/>
    <w:rsid w:val="12D21FC6"/>
    <w:rsid w:val="12FA450A"/>
    <w:rsid w:val="13107E1F"/>
    <w:rsid w:val="13B50586"/>
    <w:rsid w:val="14AB4DE7"/>
    <w:rsid w:val="14C40BA3"/>
    <w:rsid w:val="14DD05D4"/>
    <w:rsid w:val="14EC6AE9"/>
    <w:rsid w:val="14F05D28"/>
    <w:rsid w:val="16C10B69"/>
    <w:rsid w:val="17467F9B"/>
    <w:rsid w:val="182201B4"/>
    <w:rsid w:val="18552E42"/>
    <w:rsid w:val="185F2A28"/>
    <w:rsid w:val="1860735B"/>
    <w:rsid w:val="19755B64"/>
    <w:rsid w:val="19AE7E3F"/>
    <w:rsid w:val="19E85173"/>
    <w:rsid w:val="1AC71EA6"/>
    <w:rsid w:val="1AF81D29"/>
    <w:rsid w:val="1AFF1443"/>
    <w:rsid w:val="1B016238"/>
    <w:rsid w:val="1B3A1DDF"/>
    <w:rsid w:val="1C8F0461"/>
    <w:rsid w:val="1D3D1785"/>
    <w:rsid w:val="1DC414DB"/>
    <w:rsid w:val="1E71299B"/>
    <w:rsid w:val="1E823209"/>
    <w:rsid w:val="1EB12BED"/>
    <w:rsid w:val="1EC14360"/>
    <w:rsid w:val="1ECC21F6"/>
    <w:rsid w:val="1F6B74E6"/>
    <w:rsid w:val="1F8F25D3"/>
    <w:rsid w:val="1FE6720D"/>
    <w:rsid w:val="201565D8"/>
    <w:rsid w:val="201A4329"/>
    <w:rsid w:val="20803D07"/>
    <w:rsid w:val="209B4FA7"/>
    <w:rsid w:val="20CE518C"/>
    <w:rsid w:val="20F75C67"/>
    <w:rsid w:val="212213DB"/>
    <w:rsid w:val="214F1B3C"/>
    <w:rsid w:val="219519F6"/>
    <w:rsid w:val="22E870F2"/>
    <w:rsid w:val="22F664C5"/>
    <w:rsid w:val="23353491"/>
    <w:rsid w:val="235E2C87"/>
    <w:rsid w:val="23874FA9"/>
    <w:rsid w:val="23C0442C"/>
    <w:rsid w:val="2423153B"/>
    <w:rsid w:val="267E5EAB"/>
    <w:rsid w:val="26F42199"/>
    <w:rsid w:val="2705317A"/>
    <w:rsid w:val="272A62C8"/>
    <w:rsid w:val="276808A7"/>
    <w:rsid w:val="276E3AFD"/>
    <w:rsid w:val="277D5407"/>
    <w:rsid w:val="27CE7A10"/>
    <w:rsid w:val="28384C03"/>
    <w:rsid w:val="28487BD0"/>
    <w:rsid w:val="28D8007D"/>
    <w:rsid w:val="2913457E"/>
    <w:rsid w:val="29CD2B92"/>
    <w:rsid w:val="2A000270"/>
    <w:rsid w:val="2AA01437"/>
    <w:rsid w:val="2AD10FC0"/>
    <w:rsid w:val="2B100330"/>
    <w:rsid w:val="2B73700C"/>
    <w:rsid w:val="2B8C6B3F"/>
    <w:rsid w:val="2BF21021"/>
    <w:rsid w:val="2C1F074F"/>
    <w:rsid w:val="2C321CD1"/>
    <w:rsid w:val="2C3B3233"/>
    <w:rsid w:val="2C411435"/>
    <w:rsid w:val="2C693D5E"/>
    <w:rsid w:val="2C7B2207"/>
    <w:rsid w:val="2CCD4D91"/>
    <w:rsid w:val="2D8A564D"/>
    <w:rsid w:val="2DDE3BAC"/>
    <w:rsid w:val="2F086852"/>
    <w:rsid w:val="2FDA6C3E"/>
    <w:rsid w:val="30D815BD"/>
    <w:rsid w:val="312E26B1"/>
    <w:rsid w:val="313D7A21"/>
    <w:rsid w:val="31A1312E"/>
    <w:rsid w:val="31E6583E"/>
    <w:rsid w:val="33243B49"/>
    <w:rsid w:val="333C57B1"/>
    <w:rsid w:val="33D82969"/>
    <w:rsid w:val="34635034"/>
    <w:rsid w:val="34AF5971"/>
    <w:rsid w:val="35233328"/>
    <w:rsid w:val="35492DCC"/>
    <w:rsid w:val="359350A8"/>
    <w:rsid w:val="35B16516"/>
    <w:rsid w:val="36272220"/>
    <w:rsid w:val="3872757A"/>
    <w:rsid w:val="38991974"/>
    <w:rsid w:val="38AE18BD"/>
    <w:rsid w:val="38BC22B3"/>
    <w:rsid w:val="38EA217A"/>
    <w:rsid w:val="38FF3EEB"/>
    <w:rsid w:val="39671A73"/>
    <w:rsid w:val="39CB0253"/>
    <w:rsid w:val="3A2C5DDB"/>
    <w:rsid w:val="3AD332D3"/>
    <w:rsid w:val="3AFA7F9B"/>
    <w:rsid w:val="3B1A3241"/>
    <w:rsid w:val="3BDC0D38"/>
    <w:rsid w:val="3C3A33FB"/>
    <w:rsid w:val="3DE17041"/>
    <w:rsid w:val="3E495CDD"/>
    <w:rsid w:val="3FB1195F"/>
    <w:rsid w:val="3FC65D6C"/>
    <w:rsid w:val="405D57D3"/>
    <w:rsid w:val="40AD4F36"/>
    <w:rsid w:val="40CF6725"/>
    <w:rsid w:val="4110479E"/>
    <w:rsid w:val="41AD075A"/>
    <w:rsid w:val="41AF35A9"/>
    <w:rsid w:val="422F28D9"/>
    <w:rsid w:val="42D55C9F"/>
    <w:rsid w:val="438B1580"/>
    <w:rsid w:val="43AC1157"/>
    <w:rsid w:val="43D23F8D"/>
    <w:rsid w:val="43F32881"/>
    <w:rsid w:val="442454D0"/>
    <w:rsid w:val="4456696C"/>
    <w:rsid w:val="44D02BC2"/>
    <w:rsid w:val="44D53D34"/>
    <w:rsid w:val="45634D66"/>
    <w:rsid w:val="45B64921"/>
    <w:rsid w:val="463B1E29"/>
    <w:rsid w:val="47BB4A40"/>
    <w:rsid w:val="47E12E91"/>
    <w:rsid w:val="480C61BA"/>
    <w:rsid w:val="48CD1D17"/>
    <w:rsid w:val="49C262A2"/>
    <w:rsid w:val="49D337FD"/>
    <w:rsid w:val="49F96E81"/>
    <w:rsid w:val="4A1573B8"/>
    <w:rsid w:val="4B341CCE"/>
    <w:rsid w:val="4B980FFD"/>
    <w:rsid w:val="4BA72510"/>
    <w:rsid w:val="4C407627"/>
    <w:rsid w:val="4D3315D8"/>
    <w:rsid w:val="4DCE1C69"/>
    <w:rsid w:val="4E1619F8"/>
    <w:rsid w:val="4E1F1629"/>
    <w:rsid w:val="4E3751B8"/>
    <w:rsid w:val="4EC372F3"/>
    <w:rsid w:val="4EC51196"/>
    <w:rsid w:val="4EC52981"/>
    <w:rsid w:val="4F467383"/>
    <w:rsid w:val="4F7E3822"/>
    <w:rsid w:val="50B5705D"/>
    <w:rsid w:val="51B8087A"/>
    <w:rsid w:val="520018B5"/>
    <w:rsid w:val="52191360"/>
    <w:rsid w:val="523D5DD0"/>
    <w:rsid w:val="532349C0"/>
    <w:rsid w:val="53731601"/>
    <w:rsid w:val="53774AC0"/>
    <w:rsid w:val="53811B3A"/>
    <w:rsid w:val="53ED725D"/>
    <w:rsid w:val="54763165"/>
    <w:rsid w:val="54AC78C8"/>
    <w:rsid w:val="551E34D6"/>
    <w:rsid w:val="55E22B38"/>
    <w:rsid w:val="56180A25"/>
    <w:rsid w:val="56F751A3"/>
    <w:rsid w:val="573174F0"/>
    <w:rsid w:val="57697F72"/>
    <w:rsid w:val="576C677A"/>
    <w:rsid w:val="577D22B9"/>
    <w:rsid w:val="57886286"/>
    <w:rsid w:val="5826529A"/>
    <w:rsid w:val="58F93D32"/>
    <w:rsid w:val="59617E35"/>
    <w:rsid w:val="59DB5C30"/>
    <w:rsid w:val="5A2F35C8"/>
    <w:rsid w:val="5A7E6940"/>
    <w:rsid w:val="5AA817C4"/>
    <w:rsid w:val="5AFE6240"/>
    <w:rsid w:val="5B1868E7"/>
    <w:rsid w:val="5BD92403"/>
    <w:rsid w:val="5C56525A"/>
    <w:rsid w:val="5D4E5740"/>
    <w:rsid w:val="5DD13A6C"/>
    <w:rsid w:val="5E065686"/>
    <w:rsid w:val="5E4C7B6F"/>
    <w:rsid w:val="5E850647"/>
    <w:rsid w:val="5E9422A5"/>
    <w:rsid w:val="5E984194"/>
    <w:rsid w:val="5EB42BD6"/>
    <w:rsid w:val="5EBE09FF"/>
    <w:rsid w:val="5F3538F6"/>
    <w:rsid w:val="5FB17821"/>
    <w:rsid w:val="5FE84E0C"/>
    <w:rsid w:val="6091419F"/>
    <w:rsid w:val="60963B2E"/>
    <w:rsid w:val="609B00E6"/>
    <w:rsid w:val="6118702B"/>
    <w:rsid w:val="624913A5"/>
    <w:rsid w:val="624A3B5C"/>
    <w:rsid w:val="62E07E5B"/>
    <w:rsid w:val="63640C4D"/>
    <w:rsid w:val="63A60F6F"/>
    <w:rsid w:val="64E22594"/>
    <w:rsid w:val="64FF03D2"/>
    <w:rsid w:val="653417D4"/>
    <w:rsid w:val="663D0E6A"/>
    <w:rsid w:val="669F2D91"/>
    <w:rsid w:val="685C5429"/>
    <w:rsid w:val="68FC264B"/>
    <w:rsid w:val="6A247652"/>
    <w:rsid w:val="6A664983"/>
    <w:rsid w:val="6AD20049"/>
    <w:rsid w:val="6B060B84"/>
    <w:rsid w:val="6B5567E2"/>
    <w:rsid w:val="6B7639AE"/>
    <w:rsid w:val="6C206903"/>
    <w:rsid w:val="6C845220"/>
    <w:rsid w:val="6C9A2A2E"/>
    <w:rsid w:val="6CB35813"/>
    <w:rsid w:val="6D7101EF"/>
    <w:rsid w:val="6DB75E64"/>
    <w:rsid w:val="6EE606DE"/>
    <w:rsid w:val="6F3864FC"/>
    <w:rsid w:val="6F5D497B"/>
    <w:rsid w:val="70C04FE9"/>
    <w:rsid w:val="70F869CD"/>
    <w:rsid w:val="70FA04FB"/>
    <w:rsid w:val="72465B88"/>
    <w:rsid w:val="725974A3"/>
    <w:rsid w:val="72651420"/>
    <w:rsid w:val="72CC4119"/>
    <w:rsid w:val="743D6361"/>
    <w:rsid w:val="74601C18"/>
    <w:rsid w:val="748F58E9"/>
    <w:rsid w:val="759A5549"/>
    <w:rsid w:val="75B644B6"/>
    <w:rsid w:val="75F62549"/>
    <w:rsid w:val="76197675"/>
    <w:rsid w:val="764C4872"/>
    <w:rsid w:val="77525111"/>
    <w:rsid w:val="77694926"/>
    <w:rsid w:val="77933457"/>
    <w:rsid w:val="794D45CF"/>
    <w:rsid w:val="79AD4310"/>
    <w:rsid w:val="7AAA75E8"/>
    <w:rsid w:val="7B215454"/>
    <w:rsid w:val="7BDE442C"/>
    <w:rsid w:val="7E0C40B3"/>
    <w:rsid w:val="7E6E42D6"/>
    <w:rsid w:val="7E760E2D"/>
    <w:rsid w:val="7F052E8D"/>
    <w:rsid w:val="7FBE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after="330" w:afterLines="0" w:line="576" w:lineRule="auto"/>
      <w:outlineLvl w:val="0"/>
    </w:pPr>
    <w:rPr>
      <w:kern w:val="44"/>
      <w:sz w:val="44"/>
      <w:szCs w:val="44"/>
    </w:rPr>
  </w:style>
  <w:style w:type="paragraph" w:styleId="4">
    <w:name w:val="heading 2"/>
    <w:basedOn w:val="1"/>
    <w:next w:val="1"/>
    <w:autoRedefine/>
    <w:qFormat/>
    <w:uiPriority w:val="0"/>
    <w:pPr>
      <w:keepNext/>
      <w:keepLines/>
      <w:numPr>
        <w:ilvl w:val="1"/>
        <w:numId w:val="1"/>
      </w:numPr>
      <w:adjustRightInd w:val="0"/>
      <w:spacing w:before="260" w:beforeLines="0" w:after="260" w:afterLines="0" w:line="416" w:lineRule="atLeast"/>
      <w:textAlignment w:val="baseline"/>
      <w:outlineLvl w:val="1"/>
    </w:pPr>
    <w:rPr>
      <w:rFonts w:ascii="Arial" w:hAnsi="Arial" w:eastAsia="黑体"/>
      <w:b/>
      <w:kern w:val="0"/>
      <w:sz w:val="32"/>
      <w:szCs w:val="20"/>
    </w:rPr>
  </w:style>
  <w:style w:type="paragraph" w:styleId="5">
    <w:name w:val="heading 3"/>
    <w:basedOn w:val="1"/>
    <w:next w:val="1"/>
    <w:autoRedefine/>
    <w:qFormat/>
    <w:uiPriority w:val="0"/>
    <w:pPr>
      <w:keepNext/>
      <w:keepLines/>
      <w:spacing w:before="260" w:after="260" w:line="412" w:lineRule="auto"/>
      <w:outlineLvl w:val="2"/>
    </w:pPr>
    <w:rPr>
      <w:b/>
      <w:sz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6">
    <w:name w:val="Normal Indent"/>
    <w:basedOn w:val="1"/>
    <w:next w:val="1"/>
    <w:autoRedefine/>
    <w:qFormat/>
    <w:uiPriority w:val="0"/>
    <w:pPr>
      <w:widowControl/>
      <w:ind w:firstLine="420" w:firstLineChars="200"/>
      <w:jc w:val="left"/>
    </w:pPr>
    <w:rPr>
      <w:kern w:val="0"/>
      <w:sz w:val="20"/>
      <w:szCs w:val="20"/>
    </w:rPr>
  </w:style>
  <w:style w:type="paragraph" w:styleId="7">
    <w:name w:val="annotation text"/>
    <w:basedOn w:val="1"/>
    <w:autoRedefine/>
    <w:unhideWhenUsed/>
    <w:qFormat/>
    <w:uiPriority w:val="99"/>
    <w:pPr>
      <w:jc w:val="left"/>
    </w:pPr>
    <w:rPr>
      <w:rFonts w:ascii="Times New Roman" w:hAnsi="Times New Roman"/>
      <w:szCs w:val="24"/>
    </w:rPr>
  </w:style>
  <w:style w:type="paragraph" w:styleId="8">
    <w:name w:val="Body Text 3"/>
    <w:basedOn w:val="1"/>
    <w:autoRedefine/>
    <w:qFormat/>
    <w:uiPriority w:val="0"/>
    <w:pPr>
      <w:spacing w:after="120"/>
    </w:pPr>
    <w:rPr>
      <w:sz w:val="16"/>
      <w:szCs w:val="16"/>
    </w:rPr>
  </w:style>
  <w:style w:type="paragraph" w:styleId="9">
    <w:name w:val="Body Text Indent"/>
    <w:basedOn w:val="1"/>
    <w:next w:val="10"/>
    <w:autoRedefine/>
    <w:unhideWhenUsed/>
    <w:qFormat/>
    <w:uiPriority w:val="0"/>
    <w:pPr>
      <w:spacing w:after="120"/>
      <w:ind w:left="420"/>
    </w:pPr>
  </w:style>
  <w:style w:type="paragraph" w:styleId="10">
    <w:name w:val="envelope return"/>
    <w:basedOn w:val="1"/>
    <w:autoRedefine/>
    <w:unhideWhenUsed/>
    <w:qFormat/>
    <w:uiPriority w:val="99"/>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next w:val="1"/>
    <w:autoRedefine/>
    <w:qFormat/>
    <w:uiPriority w:val="0"/>
    <w:rPr>
      <w:rFonts w:ascii="宋体" w:hAnsi="Courier New"/>
      <w:szCs w:val="20"/>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pPr>
      <w:spacing w:before="120" w:after="120"/>
      <w:jc w:val="left"/>
    </w:pPr>
    <w:rPr>
      <w:b/>
      <w:bCs/>
      <w:caps/>
      <w:sz w:val="20"/>
      <w:szCs w:val="20"/>
    </w:rPr>
  </w:style>
  <w:style w:type="paragraph" w:styleId="16">
    <w:name w:val="toc 2"/>
    <w:basedOn w:val="1"/>
    <w:next w:val="1"/>
    <w:autoRedefine/>
    <w:qFormat/>
    <w:uiPriority w:val="0"/>
    <w:pPr>
      <w:ind w:left="420" w:leftChars="200"/>
    </w:pPr>
  </w:style>
  <w:style w:type="paragraph" w:styleId="17">
    <w:name w:val="Body Text First Indent"/>
    <w:basedOn w:val="1"/>
    <w:autoRedefine/>
    <w:qFormat/>
    <w:uiPriority w:val="0"/>
    <w:pPr>
      <w:tabs>
        <w:tab w:val="left" w:pos="420"/>
        <w:tab w:val="left" w:pos="720"/>
      </w:tabs>
      <w:ind w:firstLine="560" w:firstLineChars="200"/>
      <w:jc w:val="left"/>
    </w:pPr>
    <w:rPr>
      <w:rFonts w:ascii="Arial" w:hAnsi="Arial"/>
    </w:rPr>
  </w:style>
  <w:style w:type="paragraph" w:styleId="18">
    <w:name w:val="Body Text First Indent 2"/>
    <w:basedOn w:val="9"/>
    <w:autoRedefine/>
    <w:unhideWhenUsed/>
    <w:qFormat/>
    <w:uiPriority w:val="99"/>
    <w:pPr>
      <w:ind w:firstLine="420"/>
    </w:pPr>
    <w:rPr>
      <w:rFonts w:ascii="Times New Roman" w:hAnsi="Times New Roman"/>
      <w:szCs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Hyperlink"/>
    <w:autoRedefine/>
    <w:qFormat/>
    <w:uiPriority w:val="0"/>
    <w:rPr>
      <w:rFonts w:cs="Times New Roman"/>
      <w:color w:val="0000FF"/>
      <w:u w:val="single"/>
    </w:rPr>
  </w:style>
  <w:style w:type="paragraph" w:styleId="24">
    <w:name w:val="List Paragraph"/>
    <w:basedOn w:val="1"/>
    <w:autoRedefine/>
    <w:qFormat/>
    <w:uiPriority w:val="34"/>
    <w:pPr>
      <w:ind w:firstLine="420" w:firstLineChars="200"/>
    </w:pPr>
  </w:style>
  <w:style w:type="paragraph" w:customStyle="1" w:styleId="25">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图"/>
    <w:basedOn w:val="1"/>
    <w:autoRedefine/>
    <w:qFormat/>
    <w:uiPriority w:val="0"/>
    <w:pPr>
      <w:keepNext/>
      <w:adjustRightInd w:val="0"/>
      <w:spacing w:before="60" w:after="60" w:line="300" w:lineRule="auto"/>
      <w:jc w:val="center"/>
      <w:textAlignment w:val="center"/>
    </w:pPr>
    <w:rPr>
      <w:spacing w:val="20"/>
      <w:kern w:val="0"/>
      <w:sz w:val="24"/>
      <w:szCs w:val="20"/>
    </w:rPr>
  </w:style>
  <w:style w:type="paragraph" w:customStyle="1" w:styleId="27">
    <w:name w:val="正文_39_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8">
    <w:name w:val="要点_1"/>
    <w:autoRedefine/>
    <w:qFormat/>
    <w:uiPriority w:val="22"/>
    <w:rPr>
      <w:b/>
      <w:bCs/>
    </w:rPr>
  </w:style>
  <w:style w:type="paragraph" w:customStyle="1" w:styleId="29">
    <w:name w:val="正文_47"/>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48"/>
    <w:autoRedefine/>
    <w:qFormat/>
    <w:uiPriority w:val="0"/>
    <w:pPr>
      <w:widowControl w:val="0"/>
      <w:jc w:val="both"/>
    </w:pPr>
    <w:rPr>
      <w:rFonts w:ascii="Times New Roman" w:hAnsi="Times New Roman" w:eastAsia="宋体" w:cs="Times New Roman"/>
      <w:kern w:val="2"/>
      <w:sz w:val="21"/>
      <w:szCs w:val="24"/>
      <w:lang w:bidi="ar-SA"/>
    </w:rPr>
  </w:style>
  <w:style w:type="character" w:customStyle="1" w:styleId="31">
    <w:name w:val="font21"/>
    <w:basedOn w:val="21"/>
    <w:autoRedefine/>
    <w:qFormat/>
    <w:uiPriority w:val="0"/>
    <w:rPr>
      <w:rFonts w:hint="eastAsia" w:ascii="宋体" w:hAnsi="宋体" w:eastAsia="宋体" w:cs="宋体"/>
      <w:color w:val="000000"/>
      <w:sz w:val="22"/>
      <w:szCs w:val="22"/>
      <w:u w:val="none"/>
    </w:rPr>
  </w:style>
  <w:style w:type="character" w:customStyle="1" w:styleId="32">
    <w:name w:val="font01"/>
    <w:basedOn w:val="21"/>
    <w:autoRedefine/>
    <w:qFormat/>
    <w:uiPriority w:val="0"/>
    <w:rPr>
      <w:rFonts w:ascii="Tahoma" w:hAnsi="Tahoma" w:eastAsia="Tahoma" w:cs="Tahoma"/>
      <w:color w:val="000000"/>
      <w:sz w:val="22"/>
      <w:szCs w:val="22"/>
      <w:u w:val="none"/>
    </w:rPr>
  </w:style>
  <w:style w:type="paragraph" w:customStyle="1" w:styleId="33">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_5_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正文_4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4_8"/>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7">
    <w:name w:val="Intense Reference"/>
    <w:autoRedefine/>
    <w:qFormat/>
    <w:uiPriority w:val="32"/>
    <w:rPr>
      <w:b/>
      <w:bCs/>
      <w:smallCaps/>
      <w:color w:val="5B9BD5"/>
      <w:spacing w:val="5"/>
    </w:rPr>
  </w:style>
  <w:style w:type="paragraph" w:customStyle="1" w:styleId="38">
    <w:name w:val="正文_3_1_0"/>
    <w:autoRedefine/>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9">
    <w:name w:val="正文_8_1_0"/>
    <w:autoRedefine/>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0">
    <w:name w:val="正文_8_1"/>
    <w:autoRedefine/>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1">
    <w:name w:val="Normal_0_3"/>
    <w:autoRedefine/>
    <w:qFormat/>
    <w:uiPriority w:val="0"/>
    <w:rPr>
      <w:rFonts w:ascii="黑体" w:hAnsi="黑体" w:eastAsia="黑体" w:cs="Times New Roman"/>
      <w:b/>
      <w:sz w:val="32"/>
      <w:szCs w:val="24"/>
      <w:lang w:bidi="ar-SA"/>
    </w:rPr>
  </w:style>
  <w:style w:type="paragraph" w:customStyle="1" w:styleId="42">
    <w:name w:val="Normal_1_4"/>
    <w:autoRedefine/>
    <w:qFormat/>
    <w:uiPriority w:val="0"/>
    <w:pPr>
      <w:widowControl w:val="0"/>
      <w:jc w:val="both"/>
    </w:pPr>
    <w:rPr>
      <w:rFonts w:ascii="Times New Roman" w:hAnsi="Times New Roman" w:eastAsia="宋体" w:cs="Times New Roman"/>
      <w:kern w:val="2"/>
      <w:sz w:val="21"/>
      <w:szCs w:val="22"/>
      <w:lang w:bidi="ar-SA"/>
    </w:rPr>
  </w:style>
  <w:style w:type="paragraph" w:customStyle="1" w:styleId="43">
    <w:name w:val="正文_25_1"/>
    <w:autoRedefine/>
    <w:qFormat/>
    <w:uiPriority w:val="0"/>
    <w:pPr>
      <w:widowControl w:val="0"/>
      <w:jc w:val="both"/>
    </w:pPr>
    <w:rPr>
      <w:rFonts w:ascii="Times New Roman" w:hAnsi="Times New Roman" w:eastAsia="宋体" w:cs="Times New Roman"/>
      <w:color w:val="0000FF"/>
      <w:kern w:val="2"/>
      <w:sz w:val="24"/>
      <w:szCs w:val="24"/>
      <w:lang w:bidi="ar-SA"/>
    </w:rPr>
  </w:style>
  <w:style w:type="paragraph" w:customStyle="1" w:styleId="44">
    <w:name w:val="Normal_2_1"/>
    <w:autoRedefine/>
    <w:qFormat/>
    <w:uiPriority w:val="0"/>
    <w:rPr>
      <w:rFonts w:ascii="黑体" w:hAnsi="黑体" w:eastAsia="黑体" w:cs="Times New Roman"/>
      <w:b/>
      <w:sz w:val="32"/>
      <w:szCs w:val="24"/>
      <w:lang w:bidi="ar-SA"/>
    </w:rPr>
  </w:style>
  <w:style w:type="paragraph" w:customStyle="1" w:styleId="45">
    <w:name w:val="Normal_25_0"/>
    <w:autoRedefine/>
    <w:qFormat/>
    <w:uiPriority w:val="0"/>
    <w:rPr>
      <w:rFonts w:ascii="黑体" w:hAnsi="黑体" w:eastAsia="黑体" w:cs="Times New Roman"/>
      <w:b/>
      <w:sz w:val="32"/>
      <w:szCs w:val="24"/>
      <w:lang w:bidi="ar-SA"/>
    </w:rPr>
  </w:style>
  <w:style w:type="paragraph" w:customStyle="1" w:styleId="46">
    <w:name w:val="正文_22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_16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_22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_31_1"/>
    <w:autoRedefine/>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0">
    <w:name w:val="NormalIndent"/>
    <w:basedOn w:val="1"/>
    <w:autoRedefine/>
    <w:qFormat/>
    <w:uiPriority w:val="0"/>
    <w:pPr>
      <w:ind w:firstLine="200" w:firstLineChars="200"/>
      <w:jc w:val="both"/>
    </w:pPr>
    <w:rPr>
      <w:rFonts w:eastAsia="等线"/>
      <w:kern w:val="2"/>
      <w:szCs w:val="21"/>
    </w:rPr>
  </w:style>
  <w:style w:type="paragraph" w:customStyle="1" w:styleId="51">
    <w:name w:val="Other|1"/>
    <w:basedOn w:val="1"/>
    <w:autoRedefine/>
    <w:qFormat/>
    <w:uiPriority w:val="0"/>
    <w:pPr>
      <w:widowControl w:val="0"/>
      <w:shd w:val="clear" w:color="auto" w:fill="auto"/>
      <w:spacing w:line="312" w:lineRule="exact"/>
    </w:pPr>
    <w:rPr>
      <w:rFonts w:ascii="宋体" w:hAnsi="宋体" w:eastAsia="宋体" w:cs="宋体"/>
      <w:sz w:val="20"/>
      <w:szCs w:val="20"/>
      <w:u w:val="none"/>
      <w:shd w:val="clear" w:color="auto" w:fill="auto"/>
      <w:lang w:val="zh-TW" w:eastAsia="zh-TW" w:bidi="zh-TW"/>
    </w:rPr>
  </w:style>
  <w:style w:type="paragraph" w:customStyle="1" w:styleId="52">
    <w:name w:val="Plain Text1"/>
    <w:basedOn w:val="1"/>
    <w:autoRedefine/>
    <w:qFormat/>
    <w:uiPriority w:val="0"/>
    <w:rPr>
      <w:rFonts w:ascii="宋体" w:hAnsi="Courier New" w:cs="Courier New"/>
      <w:szCs w:val="21"/>
    </w:rPr>
  </w:style>
  <w:style w:type="paragraph" w:customStyle="1" w:styleId="53">
    <w:name w:val="Default"/>
    <w:basedOn w:val="54"/>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4">
    <w:name w:val="正文_2"/>
    <w:next w:val="55"/>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Plain Text2"/>
    <w:basedOn w:val="56"/>
    <w:autoRedefine/>
    <w:qFormat/>
    <w:uiPriority w:val="0"/>
    <w:rPr>
      <w:rFonts w:ascii="宋体" w:hAnsi="Courier New" w:cs="Courier New"/>
      <w:szCs w:val="21"/>
    </w:rPr>
  </w:style>
  <w:style w:type="paragraph" w:customStyle="1" w:styleId="56">
    <w:name w:val="正文_1_0_0"/>
    <w:basedOn w:val="57"/>
    <w:next w:val="55"/>
    <w:autoRedefine/>
    <w:qFormat/>
    <w:uiPriority w:val="0"/>
  </w:style>
  <w:style w:type="paragraph" w:customStyle="1" w:styleId="57">
    <w:name w:val="正文_1_0"/>
    <w:basedOn w:val="58"/>
    <w:next w:val="55"/>
    <w:autoRedefine/>
    <w:qFormat/>
    <w:uiPriority w:val="0"/>
    <w:rPr>
      <w:rFonts w:cs="Times New Roman"/>
      <w:szCs w:val="22"/>
    </w:rPr>
  </w:style>
  <w:style w:type="paragraph" w:customStyle="1" w:styleId="58">
    <w:name w:val="正文_1"/>
    <w:next w:val="52"/>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
    <w:name w:val="font141"/>
    <w:basedOn w:val="21"/>
    <w:autoRedefine/>
    <w:qFormat/>
    <w:uiPriority w:val="0"/>
    <w:rPr>
      <w:rFonts w:hint="eastAsia" w:ascii="微软雅黑" w:hAnsi="微软雅黑" w:eastAsia="微软雅黑" w:cs="微软雅黑"/>
      <w:b/>
      <w:bCs/>
      <w:color w:val="FF0000"/>
      <w:sz w:val="18"/>
      <w:szCs w:val="18"/>
      <w:u w:val="none"/>
    </w:rPr>
  </w:style>
  <w:style w:type="character" w:customStyle="1" w:styleId="60">
    <w:name w:val="font161"/>
    <w:basedOn w:val="21"/>
    <w:autoRedefine/>
    <w:qFormat/>
    <w:uiPriority w:val="0"/>
    <w:rPr>
      <w:rFonts w:hint="eastAsia" w:ascii="微软雅黑" w:hAnsi="微软雅黑" w:eastAsia="微软雅黑" w:cs="微软雅黑"/>
      <w:b/>
      <w:bCs/>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37100</Words>
  <Characters>39403</Characters>
  <Lines>0</Lines>
  <Paragraphs>0</Paragraphs>
  <TotalTime>0</TotalTime>
  <ScaleCrop>false</ScaleCrop>
  <LinksUpToDate>false</LinksUpToDate>
  <CharactersWithSpaces>39483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2023-01-18T01:31:00Z</dcterms:created>
  <dc:creator>康上华</dc:creator>
  <cp:lastModifiedBy>招标代理-审</cp:lastModifiedBy>
  <cp:lastPrinted>2024-01-16T01:18:00Z</cp:lastPrinted>
  <dcterms:modified xsi:type="dcterms:W3CDTF">2024-02-01T06:14:09Z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4899B6F2E9074505A86696D0C01ED74D_13</vt:lpwstr>
  </property>
</Properties>
</file>