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auto"/>
          <w:sz w:val="48"/>
          <w:szCs w:val="48"/>
          <w:highlight w:val="none"/>
        </w:rPr>
      </w:pPr>
    </w:p>
    <w:p>
      <w:pPr>
        <w:tabs>
          <w:tab w:val="left" w:pos="2880"/>
        </w:tabs>
        <w:spacing w:line="1600" w:lineRule="atLeast"/>
        <w:ind w:firstLine="1440" w:firstLineChars="200"/>
        <w:jc w:val="both"/>
        <w:rPr>
          <w:color w:val="auto"/>
          <w:sz w:val="72"/>
          <w:highlight w:val="none"/>
        </w:rPr>
      </w:pPr>
      <w:r>
        <w:rPr>
          <w:rFonts w:hint="eastAsia"/>
          <w:color w:val="auto"/>
          <w:sz w:val="72"/>
          <w:highlight w:val="none"/>
        </w:rPr>
        <w:t>南庄镇农村采购项目</w:t>
      </w:r>
    </w:p>
    <w:p>
      <w:pPr>
        <w:tabs>
          <w:tab w:val="left" w:pos="420"/>
          <w:tab w:val="left" w:pos="6660"/>
        </w:tabs>
        <w:spacing w:line="1600" w:lineRule="atLeast"/>
        <w:jc w:val="center"/>
        <w:rPr>
          <w:color w:val="auto"/>
          <w:sz w:val="72"/>
          <w:highlight w:val="none"/>
        </w:rPr>
      </w:pPr>
      <w:r>
        <w:rPr>
          <w:rFonts w:hint="eastAsia"/>
          <w:color w:val="auto"/>
          <w:sz w:val="72"/>
          <w:highlight w:val="none"/>
        </w:rPr>
        <w:t>公开竞投文件</w:t>
      </w:r>
    </w:p>
    <w:p>
      <w:pPr>
        <w:ind w:firstLine="210" w:firstLineChars="100"/>
        <w:jc w:val="center"/>
        <w:rPr>
          <w:rFonts w:hint="eastAsia"/>
          <w:color w:val="auto"/>
          <w:highlight w:val="none"/>
        </w:rPr>
      </w:pPr>
    </w:p>
    <w:p>
      <w:pPr>
        <w:ind w:firstLine="210" w:firstLineChars="100"/>
        <w:rPr>
          <w:rFonts w:hint="eastAsia"/>
          <w:color w:val="auto"/>
          <w:highlight w:val="none"/>
        </w:rPr>
      </w:pPr>
    </w:p>
    <w:p>
      <w:pPr>
        <w:ind w:firstLine="210" w:firstLineChars="100"/>
        <w:rPr>
          <w:rFonts w:hint="eastAsia"/>
          <w:color w:val="auto"/>
          <w:highlight w:val="none"/>
        </w:rPr>
      </w:pPr>
    </w:p>
    <w:p>
      <w:pPr>
        <w:ind w:firstLine="210" w:firstLineChars="100"/>
        <w:rPr>
          <w:rFonts w:hint="eastAsia"/>
          <w:color w:val="auto"/>
          <w:highlight w:val="none"/>
        </w:rPr>
      </w:pPr>
    </w:p>
    <w:p>
      <w:pPr>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rPr>
          <w:rFonts w:hint="eastAsia"/>
          <w:color w:val="auto"/>
          <w:highlight w:val="none"/>
        </w:rPr>
      </w:pPr>
    </w:p>
    <w:p>
      <w:pPr>
        <w:ind w:firstLine="280" w:firstLineChars="100"/>
        <w:rPr>
          <w:rFonts w:hint="eastAsia"/>
          <w:color w:val="auto"/>
          <w:sz w:val="28"/>
          <w:szCs w:val="28"/>
          <w:highlight w:val="none"/>
        </w:rPr>
      </w:pPr>
    </w:p>
    <w:p>
      <w:pPr>
        <w:spacing w:line="500" w:lineRule="exact"/>
        <w:ind w:left="2674" w:leftChars="603" w:hanging="1408" w:hangingChars="501"/>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项目名称：</w:t>
      </w:r>
      <w:bookmarkStart w:id="157" w:name="_GoBack"/>
      <w:r>
        <w:rPr>
          <w:rFonts w:hint="eastAsia" w:ascii="宋体" w:hAnsi="宋体" w:cs="宋体"/>
          <w:b/>
          <w:bCs/>
          <w:color w:val="auto"/>
          <w:sz w:val="28"/>
          <w:szCs w:val="28"/>
          <w:highlight w:val="none"/>
          <w:lang w:eastAsia="zh-CN"/>
        </w:rPr>
        <w:t>吉利上二村车辆停放管理服务（二次）</w:t>
      </w:r>
      <w:bookmarkEnd w:id="157"/>
    </w:p>
    <w:p>
      <w:pPr>
        <w:spacing w:line="500" w:lineRule="exact"/>
        <w:ind w:left="2674" w:leftChars="603" w:hanging="1408" w:hangingChars="501"/>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GDZC-23JT234</w:t>
      </w:r>
    </w:p>
    <w:p>
      <w:pPr>
        <w:spacing w:line="500" w:lineRule="exact"/>
        <w:jc w:val="center"/>
        <w:rPr>
          <w:rFonts w:hint="eastAsia"/>
          <w:b/>
          <w:bCs/>
          <w:color w:val="auto"/>
          <w:sz w:val="24"/>
          <w:highlight w:val="none"/>
        </w:rPr>
      </w:pPr>
    </w:p>
    <w:p>
      <w:pPr>
        <w:spacing w:line="500" w:lineRule="exact"/>
        <w:jc w:val="center"/>
        <w:rPr>
          <w:rFonts w:hint="eastAsia"/>
          <w:b/>
          <w:bCs/>
          <w:color w:val="auto"/>
          <w:sz w:val="24"/>
          <w:highlight w:val="none"/>
        </w:rPr>
      </w:pPr>
    </w:p>
    <w:p>
      <w:pPr>
        <w:pStyle w:val="6"/>
        <w:rPr>
          <w:rFonts w:hint="eastAsia"/>
          <w:b/>
          <w:bCs/>
          <w:color w:val="auto"/>
          <w:sz w:val="24"/>
          <w:highlight w:val="none"/>
        </w:rPr>
      </w:pPr>
    </w:p>
    <w:p>
      <w:pPr>
        <w:pStyle w:val="6"/>
        <w:rPr>
          <w:rFonts w:hint="eastAsia"/>
          <w:b/>
          <w:bCs/>
          <w:color w:val="auto"/>
          <w:sz w:val="24"/>
          <w:highlight w:val="none"/>
        </w:rPr>
      </w:pPr>
    </w:p>
    <w:p>
      <w:pPr>
        <w:ind w:firstLine="1265" w:firstLineChars="450"/>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eastAsia="zh-CN"/>
        </w:rPr>
        <w:t>招标人</w:t>
      </w:r>
      <w:r>
        <w:rPr>
          <w:rFonts w:hint="eastAsia" w:ascii="宋体" w:hAnsi="宋体"/>
          <w:b/>
          <w:color w:val="auto"/>
          <w:sz w:val="28"/>
          <w:szCs w:val="28"/>
          <w:highlight w:val="none"/>
        </w:rPr>
        <w:t>：</w:t>
      </w:r>
      <w:r>
        <w:rPr>
          <w:rFonts w:hint="eastAsia" w:ascii="宋体" w:hAnsi="宋体" w:cs="宋体"/>
          <w:b/>
          <w:bCs/>
          <w:color w:val="auto"/>
          <w:sz w:val="28"/>
          <w:szCs w:val="28"/>
          <w:highlight w:val="none"/>
          <w:lang w:eastAsia="zh-CN"/>
        </w:rPr>
        <w:t>佛山市禅城区南庄镇吉利村上二经济合作社</w:t>
      </w:r>
    </w:p>
    <w:p>
      <w:pPr>
        <w:rPr>
          <w:rFonts w:hint="eastAsia" w:ascii="宋体" w:hAnsi="宋体"/>
          <w:b/>
          <w:color w:val="auto"/>
          <w:sz w:val="28"/>
          <w:szCs w:val="28"/>
          <w:highlight w:val="none"/>
        </w:rPr>
      </w:pPr>
    </w:p>
    <w:p>
      <w:pPr>
        <w:ind w:firstLine="1265" w:firstLineChars="450"/>
        <w:rPr>
          <w:rFonts w:hint="eastAsia" w:ascii="宋体" w:hAnsi="宋体"/>
          <w:b/>
          <w:color w:val="auto"/>
          <w:sz w:val="28"/>
          <w:szCs w:val="28"/>
          <w:highlight w:val="none"/>
        </w:rPr>
      </w:pPr>
      <w:r>
        <w:rPr>
          <w:rFonts w:hint="eastAsia" w:ascii="宋体" w:hAnsi="宋体"/>
          <w:b/>
          <w:color w:val="auto"/>
          <w:sz w:val="28"/>
          <w:szCs w:val="28"/>
          <w:highlight w:val="none"/>
          <w:lang w:eastAsia="zh-CN"/>
        </w:rPr>
        <w:t>招标代理机构</w:t>
      </w:r>
      <w:r>
        <w:rPr>
          <w:rFonts w:hint="eastAsia" w:ascii="宋体" w:hAnsi="宋体"/>
          <w:b/>
          <w:color w:val="auto"/>
          <w:sz w:val="28"/>
          <w:szCs w:val="28"/>
          <w:highlight w:val="none"/>
        </w:rPr>
        <w:t>：广东中采招标有限公司</w:t>
      </w:r>
    </w:p>
    <w:p>
      <w:pPr>
        <w:rPr>
          <w:rFonts w:hint="eastAsia" w:ascii="宋体" w:hAnsi="宋体"/>
          <w:b/>
          <w:color w:val="auto"/>
          <w:sz w:val="28"/>
          <w:szCs w:val="28"/>
          <w:highlight w:val="none"/>
        </w:rPr>
      </w:pPr>
    </w:p>
    <w:p>
      <w:pPr>
        <w:spacing w:line="360" w:lineRule="auto"/>
        <w:jc w:val="center"/>
        <w:rPr>
          <w:rFonts w:hint="eastAsia" w:eastAsia="隶书"/>
          <w:b/>
          <w:bCs/>
          <w:color w:val="auto"/>
          <w:sz w:val="36"/>
          <w:highlight w:val="none"/>
        </w:rPr>
      </w:pPr>
    </w:p>
    <w:p>
      <w:pPr>
        <w:pStyle w:val="6"/>
        <w:rPr>
          <w:rFonts w:hint="eastAsia"/>
          <w:color w:val="auto"/>
          <w:highlight w:val="none"/>
        </w:rPr>
      </w:pPr>
    </w:p>
    <w:p>
      <w:pPr>
        <w:spacing w:line="360" w:lineRule="auto"/>
        <w:jc w:val="center"/>
        <w:rPr>
          <w:rFonts w:hint="eastAsia" w:eastAsia="隶书"/>
          <w:b/>
          <w:bCs/>
          <w:color w:val="auto"/>
          <w:sz w:val="36"/>
          <w:highlight w:val="none"/>
        </w:rPr>
      </w:pPr>
    </w:p>
    <w:p>
      <w:pPr>
        <w:spacing w:line="312" w:lineRule="auto"/>
        <w:jc w:val="center"/>
        <w:rPr>
          <w:rFonts w:hint="eastAsia" w:ascii="黑体" w:hAnsi="宋体" w:eastAsia="黑体"/>
          <w:b/>
          <w:bCs/>
          <w:color w:val="auto"/>
          <w:sz w:val="28"/>
          <w:highlight w:val="none"/>
        </w:rPr>
      </w:pPr>
      <w:r>
        <w:rPr>
          <w:rFonts w:hint="eastAsia" w:ascii="黑体" w:hAnsi="宋体" w:eastAsia="黑体"/>
          <w:b/>
          <w:bCs/>
          <w:color w:val="auto"/>
          <w:sz w:val="28"/>
          <w:highlight w:val="none"/>
        </w:rPr>
        <w:t>发布日期：</w:t>
      </w:r>
      <w:r>
        <w:rPr>
          <w:rFonts w:hint="eastAsia" w:ascii="黑体" w:hAnsi="宋体" w:eastAsia="黑体"/>
          <w:b/>
          <w:bCs/>
          <w:color w:val="auto"/>
          <w:sz w:val="28"/>
          <w:highlight w:val="none"/>
          <w:lang w:eastAsia="zh-CN"/>
        </w:rPr>
        <w:t>二〇二四</w:t>
      </w:r>
      <w:r>
        <w:rPr>
          <w:rFonts w:hint="eastAsia" w:ascii="黑体" w:hAnsi="宋体" w:eastAsia="黑体"/>
          <w:b/>
          <w:bCs/>
          <w:color w:val="auto"/>
          <w:sz w:val="28"/>
          <w:highlight w:val="none"/>
        </w:rPr>
        <w:t>年</w:t>
      </w:r>
      <w:r>
        <w:rPr>
          <w:rFonts w:hint="eastAsia" w:ascii="黑体" w:hAnsi="宋体" w:eastAsia="黑体"/>
          <w:b/>
          <w:bCs/>
          <w:color w:val="auto"/>
          <w:sz w:val="28"/>
          <w:highlight w:val="none"/>
          <w:lang w:val="en-US" w:eastAsia="zh-CN"/>
        </w:rPr>
        <w:t>二</w:t>
      </w:r>
      <w:r>
        <w:rPr>
          <w:rFonts w:hint="eastAsia" w:ascii="黑体" w:hAnsi="宋体" w:eastAsia="黑体"/>
          <w:b/>
          <w:bCs/>
          <w:color w:val="auto"/>
          <w:sz w:val="28"/>
          <w:highlight w:val="none"/>
        </w:rPr>
        <w:t>月</w:t>
      </w:r>
    </w:p>
    <w:p>
      <w:pPr>
        <w:rPr>
          <w:rFonts w:hint="eastAsia" w:eastAsia="隶书"/>
          <w:b/>
          <w:bCs/>
          <w:color w:val="auto"/>
          <w:sz w:val="32"/>
          <w:szCs w:val="32"/>
          <w:highlight w:val="none"/>
          <w:lang w:val="en-US" w:eastAsia="zh-CN"/>
        </w:rPr>
      </w:pPr>
    </w:p>
    <w:p>
      <w:pPr>
        <w:pStyle w:val="6"/>
        <w:rPr>
          <w:rFonts w:hint="eastAsia" w:eastAsia="隶书"/>
          <w:b/>
          <w:bCs/>
          <w:color w:val="auto"/>
          <w:sz w:val="32"/>
          <w:szCs w:val="32"/>
          <w:highlight w:val="none"/>
          <w:lang w:val="en-US" w:eastAsia="zh-CN"/>
        </w:rPr>
      </w:pPr>
    </w:p>
    <w:p>
      <w:pPr>
        <w:rPr>
          <w:rFonts w:hint="eastAsia" w:eastAsia="隶书"/>
          <w:b/>
          <w:bCs/>
          <w:color w:val="auto"/>
          <w:sz w:val="32"/>
          <w:szCs w:val="32"/>
          <w:highlight w:val="none"/>
          <w:lang w:val="en-US" w:eastAsia="zh-CN"/>
        </w:rPr>
      </w:pPr>
    </w:p>
    <w:p>
      <w:pPr>
        <w:pStyle w:val="6"/>
        <w:rPr>
          <w:rFonts w:hint="eastAsia" w:eastAsia="隶书"/>
          <w:b/>
          <w:bCs/>
          <w:color w:val="auto"/>
          <w:sz w:val="32"/>
          <w:szCs w:val="32"/>
          <w:highlight w:val="none"/>
          <w:lang w:val="en-US" w:eastAsia="zh-CN"/>
        </w:rPr>
      </w:pPr>
    </w:p>
    <w:p>
      <w:pPr>
        <w:rPr>
          <w:rFonts w:hint="eastAsia" w:eastAsia="隶书"/>
          <w:b/>
          <w:bCs/>
          <w:color w:val="auto"/>
          <w:sz w:val="32"/>
          <w:szCs w:val="32"/>
          <w:highlight w:val="none"/>
          <w:lang w:val="en-US" w:eastAsia="zh-CN"/>
        </w:rPr>
      </w:pPr>
    </w:p>
    <w:p>
      <w:pPr>
        <w:pStyle w:val="6"/>
        <w:rPr>
          <w:rFonts w:hint="eastAsia" w:eastAsia="隶书"/>
          <w:b/>
          <w:bCs/>
          <w:color w:val="auto"/>
          <w:sz w:val="32"/>
          <w:szCs w:val="32"/>
          <w:highlight w:val="none"/>
          <w:lang w:val="en-US" w:eastAsia="zh-CN"/>
        </w:rPr>
      </w:pPr>
    </w:p>
    <w:p>
      <w:pPr>
        <w:spacing w:before="240" w:beforeLines="100"/>
        <w:jc w:val="center"/>
        <w:rPr>
          <w:rFonts w:hint="eastAsia" w:ascii="宋体" w:hAnsi="宋体"/>
          <w:b/>
          <w:color w:val="auto"/>
          <w:sz w:val="48"/>
          <w:szCs w:val="48"/>
          <w:highlight w:val="none"/>
        </w:rPr>
        <w:sectPr>
          <w:headerReference r:id="rId3" w:type="default"/>
          <w:pgSz w:w="11850" w:h="16783"/>
          <w:pgMar w:top="1134" w:right="1134" w:bottom="1134" w:left="1417" w:header="573" w:footer="584" w:gutter="0"/>
          <w:pgBorders>
            <w:top w:val="none" w:sz="0" w:space="0"/>
            <w:left w:val="none" w:sz="0" w:space="0"/>
            <w:bottom w:val="none" w:sz="0" w:space="0"/>
            <w:right w:val="none" w:sz="0" w:space="0"/>
          </w:pgBorders>
          <w:cols w:space="0" w:num="1"/>
          <w:rtlGutter w:val="0"/>
          <w:docGrid w:linePitch="0" w:charSpace="0"/>
        </w:sectPr>
      </w:pPr>
    </w:p>
    <w:p>
      <w:pPr>
        <w:spacing w:before="240" w:beforeLines="100"/>
        <w:jc w:val="center"/>
        <w:rPr>
          <w:rFonts w:ascii="宋体"/>
          <w:b/>
          <w:color w:val="auto"/>
          <w:sz w:val="48"/>
          <w:szCs w:val="48"/>
          <w:highlight w:val="none"/>
        </w:rPr>
      </w:pPr>
      <w:r>
        <w:rPr>
          <w:rFonts w:hint="eastAsia" w:ascii="宋体" w:hAnsi="宋体"/>
          <w:b/>
          <w:color w:val="auto"/>
          <w:sz w:val="48"/>
          <w:szCs w:val="48"/>
          <w:highlight w:val="none"/>
        </w:rPr>
        <w:t>目录</w:t>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rPr>
      </w:pPr>
      <w:bookmarkStart w:id="0" w:name="_Toc334432586"/>
      <w:r>
        <w:rPr>
          <w:rFonts w:hint="eastAsia" w:asciiTheme="minorEastAsia" w:hAnsiTheme="minorEastAsia" w:eastAsiaTheme="minorEastAsia" w:cstheme="minorEastAsia"/>
          <w:b w:val="0"/>
          <w:bCs w:val="0"/>
          <w:color w:val="auto"/>
          <w:sz w:val="22"/>
          <w:szCs w:val="22"/>
          <w:highlight w:val="none"/>
        </w:rPr>
        <w:fldChar w:fldCharType="begin"/>
      </w:r>
      <w:r>
        <w:rPr>
          <w:rFonts w:hint="eastAsia" w:asciiTheme="minorEastAsia" w:hAnsiTheme="minorEastAsia" w:eastAsiaTheme="minorEastAsia" w:cstheme="minorEastAsia"/>
          <w:b w:val="0"/>
          <w:bCs w:val="0"/>
          <w:color w:val="auto"/>
          <w:sz w:val="22"/>
          <w:szCs w:val="22"/>
          <w:highlight w:val="none"/>
        </w:rPr>
        <w:instrText xml:space="preserve">TOC \o "1-3" \h \u </w:instrText>
      </w:r>
      <w:r>
        <w:rPr>
          <w:rFonts w:hint="eastAsia" w:asciiTheme="minorEastAsia" w:hAnsiTheme="minorEastAsia" w:eastAsiaTheme="minorEastAsia" w:cstheme="minorEastAsia"/>
          <w:b w:val="0"/>
          <w:bCs w:val="0"/>
          <w:color w:val="auto"/>
          <w:sz w:val="22"/>
          <w:szCs w:val="22"/>
          <w:highlight w:val="none"/>
        </w:rPr>
        <w:fldChar w:fldCharType="separate"/>
      </w: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_Toc4354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第一部分</w:t>
      </w:r>
      <w:r>
        <w:rPr>
          <w:rFonts w:hint="eastAsia" w:asciiTheme="majorEastAsia" w:hAnsiTheme="majorEastAsia" w:eastAsiaTheme="majorEastAsia" w:cstheme="majorEastAsia"/>
          <w:color w:val="auto"/>
          <w:sz w:val="24"/>
          <w:szCs w:val="24"/>
          <w:highlight w:val="none"/>
          <w:lang w:eastAsia="zh-CN"/>
        </w:rPr>
        <w:t>竞投公告</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PAGEREF _Toc4354 \h </w:instrText>
      </w:r>
      <w:r>
        <w:rPr>
          <w:rFonts w:hint="eastAsia" w:asciiTheme="majorEastAsia" w:hAnsiTheme="majorEastAsia" w:eastAsiaTheme="majorEastAsia" w:cstheme="majorEastAsia"/>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rPr>
        <w:fldChar w:fldCharType="end"/>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_Toc21591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lang w:val="en-US" w:eastAsia="zh-CN"/>
        </w:rPr>
        <w:t>第二部分</w:t>
      </w:r>
      <w:r>
        <w:rPr>
          <w:rFonts w:hint="eastAsia" w:asciiTheme="majorEastAsia" w:hAnsiTheme="majorEastAsia" w:eastAsiaTheme="majorEastAsia" w:cstheme="majorEastAsia"/>
          <w:color w:val="auto"/>
          <w:sz w:val="24"/>
          <w:szCs w:val="24"/>
          <w:highlight w:val="none"/>
        </w:rPr>
        <w:t>项目内容</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PAGEREF _Toc21591 \h </w:instrText>
      </w:r>
      <w:r>
        <w:rPr>
          <w:rFonts w:hint="eastAsia" w:asciiTheme="majorEastAsia" w:hAnsiTheme="majorEastAsia" w:eastAsiaTheme="majorEastAsia" w:cstheme="majorEastAsia"/>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5</w: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rPr>
        <w:fldChar w:fldCharType="end"/>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_Toc5219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lang w:val="en-US" w:eastAsia="zh-CN"/>
        </w:rPr>
        <w:t>第三部分投标人须知</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bCs w:val="0"/>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lang w:val="en-US" w:eastAsia="zh-CN"/>
        </w:rPr>
        <w:t>6</w:t>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_Toc30654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kern w:val="2"/>
          <w:sz w:val="24"/>
          <w:szCs w:val="24"/>
          <w:highlight w:val="none"/>
          <w:lang w:val="en-US" w:eastAsia="zh-CN" w:bidi="ar-SA"/>
        </w:rPr>
        <w:t>第四部分合同书范本</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PAGEREF _Toc30654 \h </w:instrText>
      </w:r>
      <w:r>
        <w:rPr>
          <w:rFonts w:hint="eastAsia" w:asciiTheme="majorEastAsia" w:hAnsiTheme="majorEastAsia" w:eastAsiaTheme="majorEastAsia" w:cstheme="majorEastAsia"/>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31</w: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rPr>
        <w:fldChar w:fldCharType="end"/>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_Toc27266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kern w:val="2"/>
          <w:sz w:val="24"/>
          <w:szCs w:val="24"/>
          <w:highlight w:val="none"/>
          <w:lang w:val="en-US" w:eastAsia="zh-CN" w:bidi="ar-SA"/>
        </w:rPr>
        <w:t>第五部分资格审查文件格式</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PAGEREF _Toc27266 \h </w:instrText>
      </w:r>
      <w:r>
        <w:rPr>
          <w:rFonts w:hint="eastAsia" w:asciiTheme="majorEastAsia" w:hAnsiTheme="majorEastAsia" w:eastAsiaTheme="majorEastAsia" w:cstheme="majorEastAsia"/>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45</w: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rPr>
        <w:fldChar w:fldCharType="end"/>
      </w:r>
    </w:p>
    <w:p>
      <w:pPr>
        <w:pStyle w:val="11"/>
        <w:tabs>
          <w:tab w:val="right" w:leader="dot" w:pos="9299"/>
        </w:tabs>
        <w:rPr>
          <w:color w:val="auto"/>
          <w:highlight w:val="none"/>
        </w:rPr>
      </w:pPr>
    </w:p>
    <w:p>
      <w:pPr>
        <w:pStyle w:val="15"/>
        <w:tabs>
          <w:tab w:val="right" w:leader="dot" w:pos="9349"/>
        </w:tabs>
        <w:spacing w:line="360" w:lineRule="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Cs w:val="0"/>
          <w:color w:val="auto"/>
          <w:szCs w:val="22"/>
          <w:highlight w:val="none"/>
        </w:rPr>
        <w:fldChar w:fldCharType="end"/>
      </w:r>
    </w:p>
    <w:p>
      <w:pPr>
        <w:pStyle w:val="12"/>
        <w:rPr>
          <w:color w:val="auto"/>
          <w:highlight w:val="none"/>
        </w:rPr>
      </w:pPr>
    </w:p>
    <w:p>
      <w:pPr>
        <w:spacing w:after="120" w:afterLines="50" w:line="360" w:lineRule="auto"/>
        <w:jc w:val="center"/>
        <w:outlineLvl w:val="0"/>
        <w:rPr>
          <w:rFonts w:hint="eastAsia" w:ascii="宋体" w:hAnsi="宋体"/>
          <w:b/>
          <w:color w:val="auto"/>
          <w:sz w:val="36"/>
          <w:szCs w:val="36"/>
          <w:highlight w:val="none"/>
        </w:rPr>
        <w:sectPr>
          <w:footerReference r:id="rId4" w:type="default"/>
          <w:pgSz w:w="11850" w:h="16783"/>
          <w:pgMar w:top="1134" w:right="1134" w:bottom="1134" w:left="1417" w:header="573" w:footer="584" w:gutter="0"/>
          <w:pgBorders>
            <w:top w:val="none" w:sz="0" w:space="0"/>
            <w:left w:val="none" w:sz="0" w:space="0"/>
            <w:bottom w:val="none" w:sz="0" w:space="0"/>
            <w:right w:val="none" w:sz="0" w:space="0"/>
          </w:pgBorders>
          <w:pgNumType w:fmt="decimal" w:start="1"/>
          <w:cols w:space="0" w:num="1"/>
          <w:rtlGutter w:val="0"/>
          <w:docGrid w:linePitch="0" w:charSpace="0"/>
        </w:sectPr>
      </w:pPr>
      <w:bookmarkStart w:id="1" w:name="_Toc7029"/>
      <w:bookmarkStart w:id="2" w:name="_Toc13131"/>
      <w:bookmarkStart w:id="3" w:name="_Toc7755"/>
    </w:p>
    <w:p>
      <w:pPr>
        <w:spacing w:after="120" w:afterLines="50" w:line="360" w:lineRule="auto"/>
        <w:jc w:val="center"/>
        <w:outlineLvl w:val="0"/>
        <w:rPr>
          <w:rFonts w:hint="eastAsia" w:ascii="宋体" w:eastAsia="宋体"/>
          <w:b/>
          <w:color w:val="auto"/>
          <w:sz w:val="36"/>
          <w:szCs w:val="36"/>
          <w:highlight w:val="none"/>
          <w:lang w:eastAsia="zh-CN"/>
        </w:rPr>
      </w:pPr>
      <w:bookmarkStart w:id="4" w:name="_Toc4354"/>
      <w:r>
        <w:rPr>
          <w:rFonts w:hint="eastAsia" w:ascii="宋体" w:hAnsi="宋体"/>
          <w:b/>
          <w:color w:val="auto"/>
          <w:sz w:val="36"/>
          <w:szCs w:val="36"/>
          <w:highlight w:val="none"/>
        </w:rPr>
        <w:t>第一部分</w:t>
      </w:r>
      <w:bookmarkEnd w:id="0"/>
      <w:bookmarkEnd w:id="1"/>
      <w:bookmarkEnd w:id="2"/>
      <w:bookmarkEnd w:id="3"/>
      <w:r>
        <w:rPr>
          <w:rFonts w:hint="eastAsia" w:ascii="宋体" w:hAnsi="宋体"/>
          <w:b/>
          <w:color w:val="auto"/>
          <w:sz w:val="36"/>
          <w:szCs w:val="36"/>
          <w:highlight w:val="none"/>
          <w:lang w:eastAsia="zh-CN"/>
        </w:rPr>
        <w:t>竞投公告</w:t>
      </w:r>
      <w:bookmarkEnd w:id="4"/>
    </w:p>
    <w:p>
      <w:pPr>
        <w:autoSpaceDN w:val="0"/>
        <w:spacing w:line="360" w:lineRule="auto"/>
        <w:ind w:firstLine="180"/>
        <w:jc w:val="center"/>
        <w:rPr>
          <w:rFonts w:ascii="宋体" w:hAnsi="宋体"/>
          <w:b/>
          <w:bCs/>
          <w:color w:val="auto"/>
          <w:sz w:val="24"/>
          <w:highlight w:val="none"/>
        </w:rPr>
      </w:pPr>
      <w:r>
        <w:rPr>
          <w:rFonts w:hint="eastAsia" w:ascii="宋体" w:hAnsi="宋体"/>
          <w:b/>
          <w:bCs/>
          <w:color w:val="auto"/>
          <w:sz w:val="24"/>
          <w:highlight w:val="none"/>
        </w:rPr>
        <w:t>项目概况</w:t>
      </w:r>
    </w:p>
    <w:p>
      <w:pPr>
        <w:autoSpaceDN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u w:val="single"/>
          <w:lang w:eastAsia="zh-CN"/>
        </w:rPr>
        <w:t>佛山市禅城区南庄镇吉利村上二经济合作社拟对吉利上二村停车停放进行管理，通过公开竞投确定中标人负责对吉利上二村车辆停放进行管理，</w:t>
      </w:r>
      <w:r>
        <w:rPr>
          <w:rFonts w:hint="eastAsia" w:ascii="宋体" w:hAnsi="宋体"/>
          <w:color w:val="auto"/>
          <w:sz w:val="24"/>
          <w:highlight w:val="none"/>
        </w:rPr>
        <w:t>潜在</w:t>
      </w:r>
      <w:r>
        <w:rPr>
          <w:rFonts w:hint="eastAsia" w:ascii="宋体" w:hAnsi="宋体"/>
          <w:color w:val="auto"/>
          <w:sz w:val="24"/>
          <w:highlight w:val="none"/>
          <w:lang w:eastAsia="zh-CN"/>
        </w:rPr>
        <w:t>投标人</w:t>
      </w:r>
      <w:r>
        <w:rPr>
          <w:rFonts w:hint="eastAsia" w:ascii="宋体" w:hAnsi="宋体"/>
          <w:color w:val="auto"/>
          <w:sz w:val="24"/>
          <w:highlight w:val="none"/>
        </w:rPr>
        <w:t>应在</w:t>
      </w:r>
      <w:r>
        <w:rPr>
          <w:rFonts w:hint="eastAsia" w:ascii="宋体" w:hAnsi="宋体" w:cs="宋体"/>
          <w:color w:val="auto"/>
          <w:sz w:val="24"/>
          <w:highlight w:val="none"/>
          <w:lang w:eastAsia="zh-CN"/>
        </w:rPr>
        <w:t>竞投</w:t>
      </w:r>
      <w:r>
        <w:rPr>
          <w:rFonts w:hint="eastAsia" w:ascii="宋体" w:hAnsi="宋体" w:cs="宋体"/>
          <w:color w:val="auto"/>
          <w:sz w:val="24"/>
          <w:highlight w:val="none"/>
        </w:rPr>
        <w:t>截止时间前登录佛山市公共资源交易中心禅城分中心网下载</w:t>
      </w:r>
      <w:r>
        <w:rPr>
          <w:rFonts w:hint="eastAsia" w:ascii="宋体" w:hAnsi="宋体"/>
          <w:color w:val="auto"/>
          <w:sz w:val="24"/>
          <w:highlight w:val="none"/>
          <w:u w:val="single"/>
          <w:lang w:eastAsia="zh-CN"/>
        </w:rPr>
        <w:t>吉利上二村车辆停放管理服务（二次）公开竞投</w:t>
      </w:r>
      <w:r>
        <w:rPr>
          <w:rFonts w:hint="eastAsia" w:ascii="宋体" w:hAnsi="宋体" w:cs="宋体"/>
          <w:color w:val="auto"/>
          <w:sz w:val="24"/>
          <w:highlight w:val="none"/>
        </w:rPr>
        <w:t>文件</w:t>
      </w:r>
      <w:r>
        <w:rPr>
          <w:rFonts w:hint="eastAsia" w:ascii="宋体" w:hAnsi="宋体"/>
          <w:color w:val="auto"/>
          <w:sz w:val="24"/>
          <w:highlight w:val="none"/>
        </w:rPr>
        <w:t>，并于202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03月08日</w:t>
      </w:r>
      <w:r>
        <w:rPr>
          <w:rFonts w:hint="eastAsia" w:ascii="宋体" w:hAnsi="宋体"/>
          <w:color w:val="auto"/>
          <w:sz w:val="24"/>
          <w:highlight w:val="none"/>
          <w:u w:val="none"/>
          <w:lang w:val="en-US" w:eastAsia="zh-CN"/>
        </w:rPr>
        <w:t>9</w:t>
      </w:r>
      <w:r>
        <w:rPr>
          <w:rFonts w:hint="eastAsia" w:ascii="宋体" w:hAnsi="宋体"/>
          <w:color w:val="auto"/>
          <w:sz w:val="24"/>
          <w:highlight w:val="none"/>
          <w:u w:val="none"/>
        </w:rPr>
        <w:t>点</w:t>
      </w:r>
      <w:r>
        <w:rPr>
          <w:rFonts w:hint="eastAsia" w:ascii="宋体" w:hAnsi="宋体"/>
          <w:color w:val="auto"/>
          <w:sz w:val="24"/>
          <w:highlight w:val="none"/>
          <w:u w:val="none"/>
          <w:lang w:val="en-US" w:eastAsia="zh-CN"/>
        </w:rPr>
        <w:t>30</w:t>
      </w:r>
      <w:r>
        <w:rPr>
          <w:rFonts w:hint="eastAsia" w:ascii="宋体" w:hAnsi="宋体"/>
          <w:color w:val="auto"/>
          <w:sz w:val="24"/>
          <w:highlight w:val="none"/>
          <w:u w:val="none"/>
        </w:rPr>
        <w:t>分</w:t>
      </w:r>
      <w:r>
        <w:rPr>
          <w:rFonts w:hint="eastAsia" w:ascii="宋体" w:hAnsi="宋体"/>
          <w:color w:val="auto"/>
          <w:sz w:val="24"/>
          <w:highlight w:val="none"/>
        </w:rPr>
        <w:t>（北京时间）前递交</w:t>
      </w:r>
      <w:r>
        <w:rPr>
          <w:rFonts w:hint="eastAsia" w:ascii="宋体" w:hAnsi="宋体"/>
          <w:color w:val="auto"/>
          <w:sz w:val="24"/>
          <w:highlight w:val="none"/>
          <w:lang w:eastAsia="zh-CN"/>
        </w:rPr>
        <w:t>资格审查</w:t>
      </w:r>
      <w:r>
        <w:rPr>
          <w:rFonts w:hint="eastAsia" w:ascii="宋体" w:hAnsi="宋体"/>
          <w:color w:val="auto"/>
          <w:sz w:val="24"/>
          <w:highlight w:val="none"/>
        </w:rPr>
        <w:t>文件</w:t>
      </w:r>
      <w:r>
        <w:rPr>
          <w:rFonts w:hint="eastAsia" w:ascii="宋体" w:hAnsi="宋体"/>
          <w:color w:val="auto"/>
          <w:sz w:val="24"/>
          <w:highlight w:val="none"/>
          <w:lang w:eastAsia="zh-CN"/>
        </w:rPr>
        <w:t>，经资格审查合格后参加竞投</w:t>
      </w:r>
      <w:r>
        <w:rPr>
          <w:rFonts w:hint="eastAsia" w:ascii="宋体" w:hAnsi="宋体"/>
          <w:color w:val="auto"/>
          <w:sz w:val="24"/>
          <w:highlight w:val="none"/>
        </w:rPr>
        <w:t>。</w:t>
      </w:r>
    </w:p>
    <w:p>
      <w:pPr>
        <w:numPr>
          <w:ilvl w:val="0"/>
          <w:numId w:val="2"/>
        </w:numPr>
        <w:tabs>
          <w:tab w:val="left" w:pos="426"/>
        </w:tabs>
        <w:autoSpaceDE w:val="0"/>
        <w:autoSpaceDN w:val="0"/>
        <w:adjustRightInd w:val="0"/>
        <w:snapToGrid w:val="0"/>
        <w:spacing w:line="360" w:lineRule="auto"/>
        <w:ind w:left="0" w:leftChars="0" w:firstLine="0" w:firstLineChars="0"/>
        <w:rPr>
          <w:rFonts w:ascii="宋体" w:hAnsi="宋体" w:cs="宋体"/>
          <w:b/>
          <w:bCs/>
          <w:color w:val="auto"/>
          <w:sz w:val="24"/>
          <w:highlight w:val="none"/>
        </w:rPr>
      </w:pPr>
      <w:r>
        <w:rPr>
          <w:rFonts w:hint="eastAsia" w:ascii="宋体" w:hAnsi="宋体" w:cs="宋体"/>
          <w:b/>
          <w:bCs/>
          <w:color w:val="auto"/>
          <w:sz w:val="24"/>
          <w:highlight w:val="none"/>
        </w:rPr>
        <w:t>项目基本情况</w:t>
      </w:r>
    </w:p>
    <w:p>
      <w:pPr>
        <w:autoSpaceDN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吉利上二村车辆停放管理服务（二次）</w:t>
      </w:r>
    </w:p>
    <w:p>
      <w:pPr>
        <w:autoSpaceDN w:val="0"/>
        <w:spacing w:line="360" w:lineRule="auto"/>
        <w:ind w:firstLine="480" w:firstLineChars="200"/>
        <w:jc w:val="left"/>
        <w:rPr>
          <w:color w:val="auto"/>
          <w:highlight w:val="none"/>
        </w:rPr>
      </w:pPr>
      <w:r>
        <w:rPr>
          <w:rFonts w:hint="eastAsia" w:ascii="宋体" w:hAnsi="宋体"/>
          <w:color w:val="auto"/>
          <w:sz w:val="24"/>
          <w:highlight w:val="none"/>
        </w:rPr>
        <w:t>最低限价：</w:t>
      </w:r>
      <w:r>
        <w:rPr>
          <w:rFonts w:hint="eastAsia" w:ascii="宋体" w:hAnsi="宋体"/>
          <w:color w:val="auto"/>
          <w:sz w:val="24"/>
          <w:highlight w:val="none"/>
          <w:lang w:val="en-US" w:eastAsia="zh-CN"/>
        </w:rPr>
        <w:t>100,000.00元/年，由中标人向招标人支付。</w:t>
      </w:r>
    </w:p>
    <w:p>
      <w:pPr>
        <w:autoSpaceDN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lang w:eastAsia="zh-CN"/>
        </w:rPr>
        <w:t>项目</w:t>
      </w:r>
      <w:r>
        <w:rPr>
          <w:rFonts w:hint="eastAsia" w:ascii="宋体" w:hAnsi="宋体"/>
          <w:color w:val="auto"/>
          <w:sz w:val="24"/>
          <w:highlight w:val="none"/>
        </w:rPr>
        <w:t>需求</w:t>
      </w:r>
      <w:r>
        <w:rPr>
          <w:rFonts w:hint="eastAsia" w:ascii="宋体" w:hAnsi="宋体" w:cs="宋体"/>
          <w:color w:val="auto"/>
          <w:sz w:val="24"/>
          <w:highlight w:val="none"/>
        </w:rPr>
        <w:t>（包括但不限于标的名称、数量、简要技术需求或服务要求等）</w:t>
      </w:r>
      <w:r>
        <w:rPr>
          <w:rFonts w:hint="eastAsia" w:ascii="宋体" w:hAnsi="宋体"/>
          <w:color w:val="auto"/>
          <w:sz w:val="24"/>
          <w:highlight w:val="none"/>
        </w:rPr>
        <w:t>：</w:t>
      </w:r>
    </w:p>
    <w:p>
      <w:pPr>
        <w:numPr>
          <w:ilvl w:val="0"/>
          <w:numId w:val="3"/>
        </w:numPr>
        <w:autoSpaceDN w:val="0"/>
        <w:spacing w:line="360" w:lineRule="auto"/>
        <w:ind w:left="425" w:leftChars="0" w:hanging="5"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rPr>
        <w:t>标的名称：</w:t>
      </w:r>
      <w:r>
        <w:rPr>
          <w:rFonts w:hint="eastAsia" w:ascii="宋体" w:hAnsi="宋体"/>
          <w:color w:val="auto"/>
          <w:sz w:val="24"/>
          <w:highlight w:val="none"/>
          <w:lang w:eastAsia="zh-CN"/>
        </w:rPr>
        <w:t>吉利上二村车辆停放管理服务（二次）</w:t>
      </w:r>
    </w:p>
    <w:p>
      <w:pPr>
        <w:numPr>
          <w:ilvl w:val="0"/>
          <w:numId w:val="3"/>
        </w:numPr>
        <w:autoSpaceDN w:val="0"/>
        <w:spacing w:line="360" w:lineRule="auto"/>
        <w:ind w:left="425" w:leftChars="0" w:hanging="5" w:firstLineChars="0"/>
        <w:jc w:val="left"/>
        <w:rPr>
          <w:rFonts w:hint="eastAsia" w:ascii="宋体" w:hAnsi="宋体"/>
          <w:color w:val="auto"/>
          <w:sz w:val="24"/>
          <w:highlight w:val="none"/>
        </w:rPr>
      </w:pPr>
      <w:r>
        <w:rPr>
          <w:rFonts w:hint="eastAsia" w:ascii="宋体" w:hAnsi="宋体"/>
          <w:color w:val="auto"/>
          <w:sz w:val="24"/>
          <w:highlight w:val="none"/>
        </w:rPr>
        <w:t>数量：1项</w:t>
      </w:r>
    </w:p>
    <w:p>
      <w:pPr>
        <w:numPr>
          <w:ilvl w:val="0"/>
          <w:numId w:val="3"/>
        </w:numPr>
        <w:tabs>
          <w:tab w:val="left" w:pos="426"/>
        </w:tabs>
        <w:autoSpaceDE w:val="0"/>
        <w:autoSpaceDN w:val="0"/>
        <w:adjustRightInd w:val="0"/>
        <w:snapToGrid w:val="0"/>
        <w:spacing w:line="360" w:lineRule="auto"/>
        <w:ind w:left="425" w:leftChars="0" w:hanging="5" w:firstLineChars="0"/>
        <w:rPr>
          <w:rFonts w:hint="eastAsia" w:ascii="宋体" w:hAnsi="宋体" w:cs="宋体"/>
          <w:color w:val="auto"/>
          <w:sz w:val="24"/>
          <w:highlight w:val="none"/>
        </w:rPr>
      </w:pPr>
      <w:r>
        <w:rPr>
          <w:rFonts w:hint="eastAsia" w:ascii="宋体" w:hAnsi="宋体" w:cs="宋体"/>
          <w:color w:val="auto"/>
          <w:sz w:val="24"/>
          <w:highlight w:val="none"/>
        </w:rPr>
        <w:t>简要技术需求或服务要求：</w:t>
      </w:r>
    </w:p>
    <w:tbl>
      <w:tblPr>
        <w:tblStyle w:val="19"/>
        <w:tblW w:w="95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1350"/>
        <w:gridCol w:w="5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16" w:type="dxa"/>
            <w:tcBorders>
              <w:tl2br w:val="nil"/>
              <w:tr2bl w:val="nil"/>
            </w:tcBorders>
            <w:noWrap w:val="0"/>
            <w:vAlign w:val="center"/>
          </w:tcPr>
          <w:p>
            <w:pPr>
              <w:pStyle w:val="17"/>
              <w:ind w:firstLine="0" w:firstLineChars="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采购内容</w:t>
            </w:r>
          </w:p>
        </w:tc>
        <w:tc>
          <w:tcPr>
            <w:tcW w:w="1350" w:type="dxa"/>
            <w:tcBorders>
              <w:tl2br w:val="nil"/>
              <w:tr2bl w:val="nil"/>
            </w:tcBorders>
            <w:noWrap w:val="0"/>
            <w:vAlign w:val="center"/>
          </w:tcPr>
          <w:p>
            <w:pPr>
              <w:pStyle w:val="17"/>
              <w:ind w:firstLine="0" w:firstLineChars="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数量</w:t>
            </w:r>
          </w:p>
        </w:tc>
        <w:tc>
          <w:tcPr>
            <w:tcW w:w="5639" w:type="dxa"/>
            <w:tcBorders>
              <w:tl2br w:val="nil"/>
              <w:tr2bl w:val="nil"/>
            </w:tcBorders>
            <w:noWrap w:val="0"/>
            <w:vAlign w:val="center"/>
          </w:tcPr>
          <w:p>
            <w:pPr>
              <w:pStyle w:val="17"/>
              <w:ind w:firstLine="0" w:firstLineChars="0"/>
              <w:jc w:val="cente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rPr>
              <w:t>最低限价</w:t>
            </w:r>
            <w:r>
              <w:rPr>
                <w:rFonts w:hint="eastAsia" w:asciiTheme="minorEastAsia" w:hAnsiTheme="minorEastAsia" w:eastAsiaTheme="minorEastAsia" w:cstheme="minorEastAsia"/>
                <w:b/>
                <w:bCs/>
                <w:color w:val="auto"/>
                <w:sz w:val="24"/>
                <w:highlight w:val="none"/>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2516" w:type="dxa"/>
            <w:tcBorders>
              <w:tl2br w:val="nil"/>
              <w:tr2bl w:val="nil"/>
            </w:tcBorders>
            <w:noWrap w:val="0"/>
            <w:vAlign w:val="center"/>
          </w:tcPr>
          <w:p>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吉利上二村车辆停放管理服务</w:t>
            </w:r>
          </w:p>
        </w:tc>
        <w:tc>
          <w:tcPr>
            <w:tcW w:w="1350" w:type="dxa"/>
            <w:tcBorders>
              <w:tl2br w:val="nil"/>
              <w:tr2bl w:val="nil"/>
            </w:tcBorders>
            <w:noWrap w:val="0"/>
            <w:vAlign w:val="center"/>
          </w:tcPr>
          <w:p>
            <w:pPr>
              <w:spacing w:after="72" w:afterLines="3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1项</w:t>
            </w:r>
          </w:p>
        </w:tc>
        <w:tc>
          <w:tcPr>
            <w:tcW w:w="5639" w:type="dxa"/>
            <w:tcBorders>
              <w:tl2br w:val="nil"/>
              <w:tr2bl w:val="nil"/>
            </w:tcBorders>
            <w:noWrap w:val="0"/>
            <w:vAlign w:val="center"/>
          </w:tcPr>
          <w:p>
            <w:pPr>
              <w:pStyle w:val="3"/>
              <w:spacing w:before="0" w:after="0" w:line="240" w:lineRule="auto"/>
              <w:jc w:val="center"/>
              <w:rPr>
                <w:rFonts w:hint="eastAsia" w:asciiTheme="minorEastAsia" w:hAnsiTheme="minorEastAsia" w:eastAsiaTheme="minorEastAsia" w:cstheme="minorEastAsia"/>
                <w:color w:val="auto"/>
                <w:sz w:val="24"/>
                <w:szCs w:val="24"/>
                <w:highlight w:val="none"/>
                <w:lang w:val="en-US" w:eastAsia="zh-CN"/>
              </w:rPr>
            </w:pPr>
            <w:bookmarkStart w:id="5" w:name="_Toc2683"/>
            <w:r>
              <w:rPr>
                <w:rFonts w:hint="eastAsia" w:asciiTheme="minorEastAsia" w:hAnsiTheme="minorEastAsia" w:eastAsiaTheme="minorEastAsia" w:cstheme="minorEastAsia"/>
                <w:color w:val="auto"/>
                <w:sz w:val="24"/>
                <w:szCs w:val="24"/>
                <w:highlight w:val="none"/>
                <w:lang w:val="en-US" w:eastAsia="zh-CN"/>
              </w:rPr>
              <w:t>100,000.00元/年。</w:t>
            </w:r>
            <w:bookmarkEnd w:id="5"/>
          </w:p>
          <w:p>
            <w:pPr>
              <w:pStyle w:val="3"/>
              <w:spacing w:before="0" w:after="0" w:line="240" w:lineRule="auto"/>
              <w:rPr>
                <w:rFonts w:hint="eastAsia" w:asciiTheme="minorEastAsia" w:hAnsiTheme="minorEastAsia" w:eastAsiaTheme="minorEastAsia" w:cstheme="minorEastAsia"/>
                <w:color w:val="auto"/>
                <w:sz w:val="24"/>
                <w:szCs w:val="24"/>
                <w:highlight w:val="none"/>
              </w:rPr>
            </w:pPr>
            <w:bookmarkStart w:id="6" w:name="_Toc31748"/>
            <w:bookmarkStart w:id="7" w:name="_Toc22804"/>
            <w:r>
              <w:rPr>
                <w:rFonts w:hint="eastAsia" w:asciiTheme="minorEastAsia" w:hAnsiTheme="minorEastAsia" w:eastAsiaTheme="minorEastAsia" w:cstheme="minorEastAsia"/>
                <w:color w:val="auto"/>
                <w:sz w:val="24"/>
                <w:szCs w:val="24"/>
                <w:highlight w:val="none"/>
              </w:rPr>
              <w:t>说明：</w:t>
            </w:r>
            <w:bookmarkEnd w:id="6"/>
            <w:bookmarkEnd w:id="7"/>
          </w:p>
          <w:p>
            <w:pPr>
              <w:pStyle w:val="3"/>
              <w:spacing w:before="0" w:after="0" w:line="240" w:lineRule="auto"/>
              <w:rPr>
                <w:rFonts w:hint="eastAsia" w:asciiTheme="minorEastAsia" w:hAnsiTheme="minorEastAsia" w:eastAsiaTheme="minorEastAsia" w:cstheme="minorEastAsia"/>
                <w:b/>
                <w:bCs/>
                <w:color w:val="auto"/>
                <w:sz w:val="24"/>
                <w:szCs w:val="24"/>
                <w:highlight w:val="none"/>
              </w:rPr>
            </w:pPr>
            <w:bookmarkStart w:id="8" w:name="_Toc13636"/>
            <w:bookmarkStart w:id="9" w:name="_Toc24175"/>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招标人</w:t>
            </w:r>
            <w:r>
              <w:rPr>
                <w:rFonts w:hint="eastAsia" w:asciiTheme="minorEastAsia" w:hAnsiTheme="minorEastAsia" w:eastAsiaTheme="minorEastAsia" w:cstheme="minorEastAsia"/>
                <w:b/>
                <w:bCs/>
                <w:color w:val="auto"/>
                <w:sz w:val="24"/>
                <w:szCs w:val="24"/>
                <w:highlight w:val="none"/>
              </w:rPr>
              <w:t>将</w:t>
            </w:r>
            <w:r>
              <w:rPr>
                <w:rFonts w:hint="eastAsia" w:asciiTheme="minorEastAsia" w:hAnsiTheme="minorEastAsia" w:eastAsiaTheme="minorEastAsia" w:cstheme="minorEastAsia"/>
                <w:b/>
                <w:bCs/>
                <w:color w:val="auto"/>
                <w:sz w:val="24"/>
                <w:szCs w:val="24"/>
                <w:highlight w:val="none"/>
                <w:lang w:eastAsia="zh-CN"/>
              </w:rPr>
              <w:t>吉利上二村车辆停放管理</w:t>
            </w:r>
            <w:r>
              <w:rPr>
                <w:rFonts w:hint="eastAsia" w:asciiTheme="minorEastAsia" w:hAnsiTheme="minorEastAsia" w:eastAsiaTheme="minorEastAsia" w:cstheme="minorEastAsia"/>
                <w:b/>
                <w:bCs/>
                <w:color w:val="auto"/>
                <w:sz w:val="24"/>
                <w:szCs w:val="24"/>
                <w:highlight w:val="none"/>
              </w:rPr>
              <w:t>交由中标人进行</w:t>
            </w:r>
            <w:r>
              <w:rPr>
                <w:rFonts w:hint="eastAsia" w:asciiTheme="minorEastAsia" w:hAnsiTheme="minorEastAsia" w:eastAsiaTheme="minorEastAsia" w:cstheme="minorEastAsia"/>
                <w:b/>
                <w:bCs/>
                <w:color w:val="auto"/>
                <w:sz w:val="24"/>
                <w:szCs w:val="24"/>
                <w:highlight w:val="none"/>
                <w:lang w:eastAsia="zh-CN"/>
              </w:rPr>
              <w:t>管理</w:t>
            </w:r>
            <w:r>
              <w:rPr>
                <w:rFonts w:hint="eastAsia" w:asciiTheme="minorEastAsia" w:hAnsiTheme="minorEastAsia" w:eastAsiaTheme="minorEastAsia" w:cstheme="minorEastAsia"/>
                <w:b/>
                <w:bCs/>
                <w:color w:val="auto"/>
                <w:sz w:val="24"/>
                <w:szCs w:val="24"/>
                <w:highlight w:val="none"/>
              </w:rPr>
              <w:t>，中标人按中标价向</w:t>
            </w:r>
            <w:r>
              <w:rPr>
                <w:rFonts w:hint="eastAsia" w:asciiTheme="minorEastAsia" w:hAnsiTheme="minorEastAsia" w:eastAsiaTheme="minorEastAsia" w:cstheme="minorEastAsia"/>
                <w:b/>
                <w:bCs/>
                <w:color w:val="auto"/>
                <w:sz w:val="24"/>
                <w:szCs w:val="24"/>
                <w:highlight w:val="none"/>
                <w:lang w:eastAsia="zh-CN"/>
              </w:rPr>
              <w:t>招标人</w:t>
            </w:r>
            <w:r>
              <w:rPr>
                <w:rFonts w:hint="eastAsia" w:asciiTheme="minorEastAsia" w:hAnsiTheme="minorEastAsia" w:eastAsiaTheme="minorEastAsia" w:cstheme="minorEastAsia"/>
                <w:b/>
                <w:bCs/>
                <w:color w:val="auto"/>
                <w:sz w:val="24"/>
                <w:szCs w:val="24"/>
                <w:highlight w:val="none"/>
              </w:rPr>
              <w:t>支付相关</w:t>
            </w:r>
            <w:r>
              <w:rPr>
                <w:rFonts w:hint="eastAsia" w:asciiTheme="minorEastAsia" w:hAnsiTheme="minorEastAsia" w:eastAsiaTheme="minorEastAsia" w:cstheme="minorEastAsia"/>
                <w:b/>
                <w:bCs/>
                <w:color w:val="auto"/>
                <w:sz w:val="24"/>
                <w:szCs w:val="24"/>
                <w:highlight w:val="none"/>
                <w:lang w:eastAsia="zh-CN"/>
              </w:rPr>
              <w:t>费用</w:t>
            </w:r>
            <w:r>
              <w:rPr>
                <w:rFonts w:hint="eastAsia" w:asciiTheme="minorEastAsia" w:hAnsiTheme="minorEastAsia" w:eastAsiaTheme="minorEastAsia" w:cstheme="minorEastAsia"/>
                <w:b/>
                <w:bCs/>
                <w:color w:val="auto"/>
                <w:sz w:val="24"/>
                <w:szCs w:val="24"/>
                <w:highlight w:val="none"/>
              </w:rPr>
              <w:t>；</w:t>
            </w:r>
            <w:bookmarkEnd w:id="8"/>
            <w:bookmarkEnd w:id="9"/>
          </w:p>
          <w:p>
            <w:pPr>
              <w:pStyle w:val="12"/>
              <w:rPr>
                <w:rFonts w:hint="eastAsia" w:asciiTheme="minorEastAsia" w:hAnsiTheme="minorEastAsia" w:eastAsiaTheme="minorEastAsia" w:cstheme="minorEastAsia"/>
                <w:b/>
                <w:bCs/>
                <w:color w:val="auto"/>
                <w:sz w:val="24"/>
                <w:szCs w:val="24"/>
                <w:highlight w:val="none"/>
              </w:rPr>
            </w:pPr>
            <w:bookmarkStart w:id="10" w:name="_Toc22463"/>
            <w:r>
              <w:rPr>
                <w:rFonts w:hint="eastAsia" w:asciiTheme="minorEastAsia" w:hAnsiTheme="minorEastAsia" w:eastAsiaTheme="minorEastAsia" w:cstheme="minorEastAsia"/>
                <w:b/>
                <w:bCs/>
                <w:color w:val="auto"/>
                <w:sz w:val="24"/>
                <w:szCs w:val="24"/>
                <w:highlight w:val="none"/>
              </w:rPr>
              <w:t>2.中标人按</w:t>
            </w:r>
            <w:r>
              <w:rPr>
                <w:rFonts w:hint="eastAsia" w:asciiTheme="minorEastAsia" w:hAnsiTheme="minorEastAsia" w:eastAsiaTheme="minorEastAsia" w:cstheme="minorEastAsia"/>
                <w:b/>
                <w:bCs/>
                <w:color w:val="auto"/>
                <w:sz w:val="24"/>
                <w:szCs w:val="24"/>
                <w:highlight w:val="none"/>
                <w:lang w:eastAsia="zh-CN"/>
              </w:rPr>
              <w:t>招标人</w:t>
            </w:r>
            <w:r>
              <w:rPr>
                <w:rFonts w:hint="eastAsia" w:asciiTheme="minorEastAsia" w:hAnsiTheme="minorEastAsia" w:eastAsiaTheme="minorEastAsia" w:cstheme="minorEastAsia"/>
                <w:b/>
                <w:bCs/>
                <w:color w:val="auto"/>
                <w:sz w:val="24"/>
                <w:szCs w:val="24"/>
                <w:highlight w:val="none"/>
              </w:rPr>
              <w:t>的要求进行</w:t>
            </w:r>
            <w:r>
              <w:rPr>
                <w:rFonts w:hint="eastAsia" w:asciiTheme="minorEastAsia" w:hAnsiTheme="minorEastAsia" w:eastAsiaTheme="minorEastAsia" w:cstheme="minorEastAsia"/>
                <w:b/>
                <w:bCs/>
                <w:color w:val="auto"/>
                <w:sz w:val="24"/>
                <w:szCs w:val="24"/>
                <w:highlight w:val="none"/>
                <w:lang w:eastAsia="zh-CN"/>
              </w:rPr>
              <w:t>管理</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严格按照市、区、相关文件要求进行备案、收费、管理</w:t>
            </w:r>
            <w:bookmarkEnd w:id="10"/>
            <w:r>
              <w:rPr>
                <w:rFonts w:hint="eastAsia" w:asciiTheme="minorEastAsia" w:hAnsiTheme="minorEastAsia" w:eastAsiaTheme="minorEastAsia" w:cstheme="minorEastAsia"/>
                <w:b/>
                <w:bCs/>
                <w:color w:val="auto"/>
                <w:sz w:val="24"/>
                <w:szCs w:val="24"/>
                <w:highlight w:val="none"/>
              </w:rPr>
              <w:t>。</w:t>
            </w:r>
          </w:p>
          <w:p>
            <w:pPr>
              <w:rPr>
                <w:rFonts w:hint="eastAsia"/>
                <w:highlight w:val="none"/>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.中标人必须在中标通知书发出之日起15个工作日内完成本停车场在佛山市停车场管理系统登记备案</w:t>
            </w:r>
            <w:r>
              <w:rPr>
                <w:rFonts w:hint="eastAsia" w:asciiTheme="minorEastAsia" w:hAnsiTheme="minorEastAsia" w:eastAsiaTheme="minorEastAsia" w:cstheme="minorEastAsia"/>
                <w:b/>
                <w:bCs/>
                <w:color w:val="auto"/>
                <w:sz w:val="24"/>
                <w:szCs w:val="24"/>
                <w:highlight w:val="none"/>
                <w:lang w:eastAsia="zh-CN"/>
              </w:rPr>
              <w:t>。</w:t>
            </w:r>
          </w:p>
        </w:tc>
      </w:tr>
    </w:tbl>
    <w:p>
      <w:pPr>
        <w:numPr>
          <w:ilvl w:val="0"/>
          <w:numId w:val="3"/>
        </w:numPr>
        <w:autoSpaceDN w:val="0"/>
        <w:spacing w:line="360" w:lineRule="auto"/>
        <w:ind w:left="425" w:leftChars="0" w:hanging="5" w:firstLineChars="0"/>
        <w:jc w:val="left"/>
        <w:rPr>
          <w:rFonts w:hint="eastAsia" w:ascii="宋体" w:hAnsi="宋体" w:cs="宋体"/>
          <w:color w:val="auto"/>
          <w:sz w:val="24"/>
          <w:highlight w:val="none"/>
        </w:rPr>
      </w:pPr>
      <w:r>
        <w:rPr>
          <w:rFonts w:hint="eastAsia" w:ascii="宋体" w:hAnsi="宋体"/>
          <w:color w:val="auto"/>
          <w:sz w:val="24"/>
          <w:highlight w:val="none"/>
          <w:lang w:eastAsia="zh-CN"/>
        </w:rPr>
        <w:t>服务期</w:t>
      </w: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5年，具体起止日期以合同约定为准。</w:t>
      </w:r>
    </w:p>
    <w:p>
      <w:pPr>
        <w:numPr>
          <w:ilvl w:val="0"/>
          <w:numId w:val="4"/>
        </w:numPr>
        <w:autoSpaceDE w:val="0"/>
        <w:autoSpaceDN w:val="0"/>
        <w:adjustRightInd w:val="0"/>
        <w:snapToGrid w:val="0"/>
        <w:spacing w:line="360" w:lineRule="auto"/>
        <w:ind w:left="0" w:leftChars="0" w:firstLine="0" w:firstLineChars="0"/>
        <w:rPr>
          <w:rFonts w:hint="eastAsia" w:ascii="宋体" w:hAnsi="宋体" w:cs="宋体"/>
          <w:color w:val="auto"/>
          <w:sz w:val="24"/>
          <w:highlight w:val="none"/>
        </w:rPr>
      </w:pPr>
      <w:r>
        <w:rPr>
          <w:rFonts w:hint="eastAsia" w:ascii="宋体" w:hAnsi="宋体" w:cs="宋体"/>
          <w:b/>
          <w:bCs/>
          <w:color w:val="auto"/>
          <w:sz w:val="24"/>
          <w:highlight w:val="none"/>
        </w:rPr>
        <w:t>申请人的资</w:t>
      </w:r>
      <w:r>
        <w:rPr>
          <w:rFonts w:hint="eastAsia" w:ascii="宋体" w:hAnsi="宋体" w:eastAsia="宋体" w:cs="宋体"/>
          <w:b/>
          <w:bCs/>
          <w:color w:val="auto"/>
          <w:sz w:val="24"/>
          <w:highlight w:val="none"/>
        </w:rPr>
        <w:t>格要求</w:t>
      </w:r>
    </w:p>
    <w:p>
      <w:pPr>
        <w:numPr>
          <w:ilvl w:val="0"/>
          <w:numId w:val="5"/>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val="en-US" w:eastAsia="zh-CN"/>
        </w:rPr>
        <w:t>须具有独立法人资格，营业执照处于有效期内；</w:t>
      </w:r>
    </w:p>
    <w:p>
      <w:pPr>
        <w:numPr>
          <w:ilvl w:val="0"/>
          <w:numId w:val="5"/>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本项目不接受联合体竞投。</w:t>
      </w:r>
    </w:p>
    <w:p>
      <w:pPr>
        <w:numPr>
          <w:ilvl w:val="0"/>
          <w:numId w:val="5"/>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法律、行政法规规定的其他条件。</w:t>
      </w:r>
    </w:p>
    <w:p>
      <w:pPr>
        <w:numPr>
          <w:ilvl w:val="0"/>
          <w:numId w:val="6"/>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单位负责人为同一人或者存在直接控股、管理关系的不同投标人，不得同时参加本项目竞投；</w:t>
      </w:r>
    </w:p>
    <w:p>
      <w:pPr>
        <w:numPr>
          <w:ilvl w:val="0"/>
          <w:numId w:val="6"/>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投标单位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numPr>
          <w:ilvl w:val="0"/>
          <w:numId w:val="4"/>
        </w:numPr>
        <w:autoSpaceDE w:val="0"/>
        <w:autoSpaceDN w:val="0"/>
        <w:adjustRightInd w:val="0"/>
        <w:snapToGrid w:val="0"/>
        <w:spacing w:line="360" w:lineRule="auto"/>
        <w:ind w:left="0" w:leftChars="0" w:firstLine="0" w:firstLineChars="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获取</w:t>
      </w:r>
      <w:r>
        <w:rPr>
          <w:rFonts w:hint="eastAsia" w:ascii="宋体" w:hAnsi="宋体" w:cs="宋体"/>
          <w:b/>
          <w:bCs/>
          <w:color w:val="auto"/>
          <w:sz w:val="24"/>
          <w:highlight w:val="none"/>
          <w:lang w:eastAsia="zh-CN"/>
        </w:rPr>
        <w:t>竞投文件</w:t>
      </w:r>
    </w:p>
    <w:p>
      <w:pPr>
        <w:numPr>
          <w:ilvl w:val="0"/>
          <w:numId w:val="0"/>
        </w:numPr>
        <w:autoSpaceDN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凡有意参加</w:t>
      </w:r>
      <w:r>
        <w:rPr>
          <w:rFonts w:hint="eastAsia" w:ascii="宋体" w:hAnsi="宋体" w:cs="宋体"/>
          <w:color w:val="auto"/>
          <w:sz w:val="24"/>
          <w:highlight w:val="none"/>
          <w:lang w:eastAsia="zh-CN"/>
        </w:rPr>
        <w:t>竞投</w:t>
      </w:r>
      <w:r>
        <w:rPr>
          <w:rFonts w:hint="eastAsia" w:ascii="宋体" w:hAnsi="宋体" w:cs="宋体"/>
          <w:color w:val="auto"/>
          <w:sz w:val="24"/>
          <w:highlight w:val="none"/>
        </w:rPr>
        <w:t>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，可于</w:t>
      </w:r>
      <w:r>
        <w:rPr>
          <w:rFonts w:hint="eastAsia" w:ascii="宋体" w:hAnsi="宋体"/>
          <w:color w:val="auto"/>
          <w:sz w:val="24"/>
          <w:highlight w:val="none"/>
          <w:lang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02</w:t>
      </w:r>
      <w:r>
        <w:rPr>
          <w:rFonts w:hint="eastAsia" w:ascii="宋体" w:hAnsi="宋体"/>
          <w:color w:val="auto"/>
          <w:sz w:val="24"/>
          <w:highlight w:val="none"/>
          <w:u w:val="none"/>
          <w:lang w:val="en-US" w:eastAsia="zh-CN"/>
        </w:rPr>
        <w:t>月28日</w:t>
      </w:r>
      <w:r>
        <w:rPr>
          <w:rFonts w:hint="eastAsia" w:ascii="宋体" w:hAnsi="宋体" w:cs="宋体"/>
          <w:color w:val="auto"/>
          <w:sz w:val="24"/>
          <w:highlight w:val="none"/>
        </w:rPr>
        <w:t>至</w:t>
      </w:r>
      <w:r>
        <w:rPr>
          <w:rFonts w:hint="eastAsia" w:ascii="宋体" w:hAnsi="宋体" w:cs="宋体"/>
          <w:color w:val="auto"/>
          <w:sz w:val="24"/>
          <w:highlight w:val="none"/>
          <w:lang w:eastAsia="zh-CN"/>
        </w:rPr>
        <w:t>竞投</w:t>
      </w:r>
      <w:r>
        <w:rPr>
          <w:rFonts w:hint="eastAsia" w:ascii="宋体" w:hAnsi="宋体" w:cs="宋体"/>
          <w:color w:val="auto"/>
          <w:sz w:val="24"/>
          <w:highlight w:val="none"/>
        </w:rPr>
        <w:t>截止时间前登录佛山市禅城区南庄镇人民政府网（http://www.chancheng.gov.cn/nanzhuang/）</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佛山市公共资源交易中心禅城分中心网（http://ccggzy.chancheng.gov.cn/）</w:t>
      </w:r>
      <w:r>
        <w:rPr>
          <w:rFonts w:hint="eastAsia" w:ascii="宋体" w:hAnsi="宋体" w:cs="宋体"/>
          <w:color w:val="auto"/>
          <w:sz w:val="24"/>
          <w:highlight w:val="none"/>
          <w:lang w:eastAsia="zh-CN"/>
        </w:rPr>
        <w:t>、招标代理机构网站（http://www.gdzczb.com/）</w:t>
      </w:r>
      <w:r>
        <w:rPr>
          <w:rFonts w:hint="eastAsia" w:ascii="宋体" w:hAnsi="宋体" w:cs="宋体"/>
          <w:color w:val="auto"/>
          <w:sz w:val="24"/>
          <w:highlight w:val="none"/>
        </w:rPr>
        <w:t>。下载</w:t>
      </w:r>
      <w:r>
        <w:rPr>
          <w:rFonts w:hint="eastAsia" w:ascii="宋体" w:hAnsi="宋体" w:cs="宋体"/>
          <w:color w:val="auto"/>
          <w:sz w:val="24"/>
          <w:highlight w:val="none"/>
          <w:lang w:eastAsia="zh-CN"/>
        </w:rPr>
        <w:t>竞投文件</w:t>
      </w:r>
      <w:r>
        <w:rPr>
          <w:rFonts w:hint="eastAsia" w:ascii="宋体" w:hAnsi="宋体" w:cs="宋体"/>
          <w:color w:val="auto"/>
          <w:sz w:val="24"/>
          <w:highlight w:val="none"/>
        </w:rPr>
        <w:t>等资料。</w:t>
      </w:r>
    </w:p>
    <w:p>
      <w:pPr>
        <w:numPr>
          <w:ilvl w:val="0"/>
          <w:numId w:val="4"/>
        </w:numPr>
        <w:autoSpaceDE w:val="0"/>
        <w:autoSpaceDN w:val="0"/>
        <w:adjustRightInd w:val="0"/>
        <w:snapToGrid w:val="0"/>
        <w:spacing w:line="360" w:lineRule="auto"/>
        <w:ind w:left="0" w:leftChars="0" w:firstLine="0" w:firstLineChars="0"/>
        <w:rPr>
          <w:rFonts w:hint="eastAsia" w:ascii="宋体" w:hAnsi="宋体" w:cs="宋体"/>
          <w:b/>
          <w:bCs/>
          <w:color w:val="auto"/>
          <w:sz w:val="24"/>
          <w:highlight w:val="none"/>
        </w:rPr>
      </w:pPr>
      <w:r>
        <w:rPr>
          <w:rFonts w:hint="eastAsia" w:ascii="宋体" w:hAnsi="宋体" w:cs="宋体"/>
          <w:b/>
          <w:bCs/>
          <w:color w:val="auto"/>
          <w:sz w:val="24"/>
          <w:highlight w:val="none"/>
        </w:rPr>
        <w:t>提交</w:t>
      </w:r>
      <w:r>
        <w:rPr>
          <w:rFonts w:hint="eastAsia" w:ascii="宋体" w:hAnsi="宋体" w:cs="宋体"/>
          <w:b/>
          <w:bCs/>
          <w:color w:val="auto"/>
          <w:sz w:val="24"/>
          <w:highlight w:val="none"/>
          <w:lang w:eastAsia="zh-CN"/>
        </w:rPr>
        <w:t>资格审查</w:t>
      </w:r>
      <w:r>
        <w:rPr>
          <w:rFonts w:hint="eastAsia" w:ascii="宋体" w:hAnsi="宋体" w:cs="宋体"/>
          <w:b/>
          <w:bCs/>
          <w:color w:val="auto"/>
          <w:sz w:val="24"/>
          <w:highlight w:val="none"/>
        </w:rPr>
        <w:t>文件截止时间、开标时间和地点</w:t>
      </w:r>
    </w:p>
    <w:p>
      <w:pPr>
        <w:numPr>
          <w:ilvl w:val="0"/>
          <w:numId w:val="7"/>
        </w:numPr>
        <w:autoSpaceDN w:val="0"/>
        <w:spacing w:line="360" w:lineRule="auto"/>
        <w:ind w:left="425" w:leftChars="0" w:hanging="5" w:firstLineChars="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资格审查</w:t>
      </w:r>
      <w:r>
        <w:rPr>
          <w:rFonts w:hint="eastAsia" w:ascii="宋体" w:hAnsi="宋体"/>
          <w:color w:val="auto"/>
          <w:sz w:val="24"/>
          <w:highlight w:val="none"/>
          <w:lang w:eastAsia="zh-CN"/>
        </w:rPr>
        <w:t>文件递交</w:t>
      </w:r>
      <w:r>
        <w:rPr>
          <w:rFonts w:hint="eastAsia" w:ascii="宋体" w:hAnsi="宋体"/>
          <w:color w:val="auto"/>
          <w:sz w:val="24"/>
          <w:highlight w:val="none"/>
        </w:rPr>
        <w:t>截止时间：</w:t>
      </w:r>
      <w:r>
        <w:rPr>
          <w:rFonts w:hint="eastAsia" w:ascii="宋体" w:hAnsi="宋体"/>
          <w:color w:val="auto"/>
          <w:sz w:val="24"/>
          <w:highlight w:val="none"/>
          <w:lang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03月08日9</w:t>
      </w:r>
      <w:r>
        <w:rPr>
          <w:rFonts w:hint="eastAsia" w:ascii="宋体" w:hAnsi="宋体" w:cs="宋体"/>
          <w:color w:val="auto"/>
          <w:sz w:val="24"/>
          <w:highlight w:val="none"/>
        </w:rPr>
        <w:t>点</w:t>
      </w:r>
      <w:r>
        <w:rPr>
          <w:rFonts w:hint="eastAsia" w:ascii="宋体" w:hAnsi="宋体"/>
          <w:color w:val="auto"/>
          <w:sz w:val="24"/>
          <w:highlight w:val="none"/>
          <w:lang w:val="en-US" w:eastAsia="zh-CN"/>
        </w:rPr>
        <w:t>30</w:t>
      </w:r>
      <w:r>
        <w:rPr>
          <w:rFonts w:hint="eastAsia" w:ascii="宋体" w:hAnsi="宋体" w:cs="宋体"/>
          <w:color w:val="auto"/>
          <w:sz w:val="24"/>
          <w:highlight w:val="none"/>
        </w:rPr>
        <w:t>分（北京时间）</w:t>
      </w:r>
      <w:r>
        <w:rPr>
          <w:rFonts w:hint="eastAsia" w:ascii="宋体" w:hAnsi="宋体" w:cs="宋体"/>
          <w:color w:val="auto"/>
          <w:sz w:val="24"/>
          <w:highlight w:val="none"/>
          <w:lang w:val="en-US" w:eastAsia="zh-CN"/>
        </w:rPr>
        <w:t>。</w:t>
      </w:r>
    </w:p>
    <w:p>
      <w:pPr>
        <w:numPr>
          <w:ilvl w:val="0"/>
          <w:numId w:val="7"/>
        </w:numPr>
        <w:autoSpaceDN w:val="0"/>
        <w:spacing w:line="360" w:lineRule="auto"/>
        <w:ind w:left="425" w:leftChars="0" w:hanging="5" w:firstLineChars="0"/>
        <w:jc w:val="left"/>
        <w:rPr>
          <w:rFonts w:hint="default" w:ascii="宋体" w:hAnsi="宋体" w:eastAsia="宋体"/>
          <w:color w:val="auto"/>
          <w:sz w:val="24"/>
          <w:highlight w:val="none"/>
          <w:lang w:val="en-US" w:eastAsia="zh-CN"/>
        </w:rPr>
      </w:pPr>
      <w:r>
        <w:rPr>
          <w:rFonts w:hint="eastAsia" w:ascii="宋体" w:hAnsi="宋体"/>
          <w:color w:val="auto"/>
          <w:sz w:val="24"/>
          <w:highlight w:val="none"/>
          <w:lang w:eastAsia="zh-CN"/>
        </w:rPr>
        <w:t>资格</w:t>
      </w:r>
      <w:r>
        <w:rPr>
          <w:rFonts w:hint="eastAsia" w:ascii="宋体" w:hAnsi="宋体" w:cs="宋体"/>
          <w:color w:val="auto"/>
          <w:sz w:val="24"/>
          <w:highlight w:val="none"/>
          <w:lang w:eastAsia="zh-CN"/>
        </w:rPr>
        <w:t>审查</w:t>
      </w:r>
      <w:r>
        <w:rPr>
          <w:rFonts w:hint="eastAsia" w:ascii="宋体" w:hAnsi="宋体"/>
          <w:color w:val="auto"/>
          <w:sz w:val="24"/>
          <w:highlight w:val="none"/>
        </w:rPr>
        <w:t>时间：</w:t>
      </w:r>
      <w:r>
        <w:rPr>
          <w:rFonts w:hint="eastAsia" w:ascii="宋体" w:hAnsi="宋体"/>
          <w:color w:val="auto"/>
          <w:sz w:val="24"/>
          <w:highlight w:val="none"/>
          <w:lang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03月08日9</w:t>
      </w:r>
      <w:r>
        <w:rPr>
          <w:rFonts w:hint="eastAsia" w:ascii="宋体" w:hAnsi="宋体"/>
          <w:color w:val="auto"/>
          <w:sz w:val="24"/>
          <w:highlight w:val="none"/>
        </w:rPr>
        <w:t>点</w:t>
      </w:r>
      <w:r>
        <w:rPr>
          <w:rFonts w:hint="eastAsia" w:ascii="宋体" w:hAnsi="宋体"/>
          <w:color w:val="auto"/>
          <w:sz w:val="24"/>
          <w:highlight w:val="none"/>
          <w:lang w:val="en-US" w:eastAsia="zh-CN"/>
        </w:rPr>
        <w:t>30</w:t>
      </w:r>
      <w:r>
        <w:rPr>
          <w:rFonts w:hint="eastAsia" w:ascii="宋体" w:hAnsi="宋体"/>
          <w:color w:val="auto"/>
          <w:sz w:val="24"/>
          <w:highlight w:val="none"/>
        </w:rPr>
        <w:t>分（北京时间）</w:t>
      </w:r>
      <w:r>
        <w:rPr>
          <w:rFonts w:hint="eastAsia" w:ascii="宋体" w:hAnsi="宋体"/>
          <w:color w:val="auto"/>
          <w:sz w:val="24"/>
          <w:highlight w:val="none"/>
          <w:lang w:eastAsia="zh-CN"/>
        </w:rPr>
        <w:t>（</w:t>
      </w:r>
      <w:r>
        <w:rPr>
          <w:rFonts w:hint="eastAsia" w:ascii="宋体" w:hAnsi="宋体" w:cs="宋体"/>
          <w:color w:val="auto"/>
          <w:sz w:val="24"/>
          <w:highlight w:val="none"/>
          <w:lang w:eastAsia="zh-CN"/>
        </w:rPr>
        <w:t>资格审查</w:t>
      </w:r>
      <w:r>
        <w:rPr>
          <w:rFonts w:hint="eastAsia" w:ascii="宋体" w:hAnsi="宋体"/>
          <w:color w:val="auto"/>
          <w:sz w:val="24"/>
          <w:highlight w:val="none"/>
        </w:rPr>
        <w:t>文件递交截止</w:t>
      </w:r>
      <w:r>
        <w:rPr>
          <w:rFonts w:hint="eastAsia" w:ascii="宋体" w:hAnsi="宋体"/>
          <w:color w:val="auto"/>
          <w:sz w:val="24"/>
          <w:highlight w:val="none"/>
          <w:lang w:eastAsia="zh-CN"/>
        </w:rPr>
        <w:t>后马上进行资格审查）。</w:t>
      </w:r>
    </w:p>
    <w:p>
      <w:pPr>
        <w:numPr>
          <w:ilvl w:val="0"/>
          <w:numId w:val="7"/>
        </w:numPr>
        <w:autoSpaceDN w:val="0"/>
        <w:spacing w:line="360" w:lineRule="auto"/>
        <w:ind w:left="425" w:leftChars="0" w:hanging="5" w:firstLineChars="0"/>
        <w:jc w:val="left"/>
        <w:rPr>
          <w:rFonts w:hint="eastAsia" w:ascii="宋体" w:hAnsi="宋体"/>
          <w:color w:val="auto"/>
          <w:sz w:val="24"/>
          <w:highlight w:val="none"/>
        </w:rPr>
      </w:pPr>
      <w:r>
        <w:rPr>
          <w:rFonts w:hint="eastAsia" w:ascii="宋体" w:hAnsi="宋体"/>
          <w:color w:val="auto"/>
          <w:sz w:val="24"/>
          <w:highlight w:val="none"/>
          <w:lang w:eastAsia="zh-CN"/>
        </w:rPr>
        <w:t>竞投地点</w:t>
      </w:r>
      <w:r>
        <w:rPr>
          <w:rFonts w:hint="eastAsia" w:ascii="宋体" w:hAnsi="宋体"/>
          <w:color w:val="auto"/>
          <w:sz w:val="24"/>
          <w:highlight w:val="none"/>
        </w:rPr>
        <w:t>：佛山市禅城区南庄镇紫洞南路106号南庄商业广场A1座四楼南庄镇公共资源交易所开标室（接受</w:t>
      </w:r>
      <w:r>
        <w:rPr>
          <w:rFonts w:hint="eastAsia" w:ascii="宋体" w:hAnsi="宋体"/>
          <w:color w:val="auto"/>
          <w:sz w:val="24"/>
          <w:highlight w:val="none"/>
          <w:lang w:eastAsia="zh-CN"/>
        </w:rPr>
        <w:t>竞投</w:t>
      </w:r>
      <w:r>
        <w:rPr>
          <w:rFonts w:hint="eastAsia" w:ascii="宋体" w:hAnsi="宋体"/>
          <w:color w:val="auto"/>
          <w:sz w:val="24"/>
          <w:highlight w:val="none"/>
        </w:rPr>
        <w:t>文件时间：</w:t>
      </w:r>
      <w:r>
        <w:rPr>
          <w:rFonts w:hint="eastAsia" w:ascii="宋体" w:hAnsi="宋体"/>
          <w:color w:val="auto"/>
          <w:sz w:val="24"/>
          <w:highlight w:val="none"/>
          <w:lang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03月08日9</w:t>
      </w:r>
      <w:r>
        <w:rPr>
          <w:rFonts w:hint="eastAsia" w:ascii="宋体" w:hAnsi="宋体"/>
          <w:color w:val="auto"/>
          <w:sz w:val="24"/>
          <w:highlight w:val="none"/>
        </w:rPr>
        <w:t>时</w:t>
      </w:r>
      <w:r>
        <w:rPr>
          <w:rFonts w:hint="eastAsia" w:ascii="宋体" w:hAnsi="宋体"/>
          <w:color w:val="auto"/>
          <w:sz w:val="24"/>
          <w:highlight w:val="none"/>
          <w:lang w:val="en-US" w:eastAsia="zh-CN"/>
        </w:rPr>
        <w:t>00</w:t>
      </w:r>
      <w:r>
        <w:rPr>
          <w:rFonts w:hint="eastAsia" w:ascii="宋体" w:hAnsi="宋体"/>
          <w:color w:val="auto"/>
          <w:sz w:val="24"/>
          <w:highlight w:val="none"/>
        </w:rPr>
        <w:t>分至</w:t>
      </w:r>
      <w:r>
        <w:rPr>
          <w:rFonts w:hint="eastAsia" w:ascii="宋体" w:hAnsi="宋体"/>
          <w:color w:val="auto"/>
          <w:sz w:val="24"/>
          <w:highlight w:val="none"/>
          <w:lang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03月08 日9</w:t>
      </w:r>
      <w:r>
        <w:rPr>
          <w:rFonts w:hint="eastAsia" w:ascii="宋体" w:hAnsi="宋体"/>
          <w:color w:val="auto"/>
          <w:sz w:val="24"/>
          <w:highlight w:val="none"/>
        </w:rPr>
        <w:t>时</w:t>
      </w:r>
      <w:r>
        <w:rPr>
          <w:rFonts w:hint="eastAsia" w:ascii="宋体" w:hAnsi="宋体"/>
          <w:color w:val="auto"/>
          <w:sz w:val="24"/>
          <w:highlight w:val="none"/>
          <w:lang w:val="en-US" w:eastAsia="zh-CN"/>
        </w:rPr>
        <w:t>30</w:t>
      </w:r>
      <w:r>
        <w:rPr>
          <w:rFonts w:hint="eastAsia" w:ascii="宋体" w:hAnsi="宋体"/>
          <w:color w:val="auto"/>
          <w:sz w:val="24"/>
          <w:highlight w:val="none"/>
        </w:rPr>
        <w:t>分，</w:t>
      </w:r>
      <w:r>
        <w:rPr>
          <w:rFonts w:hint="eastAsia" w:ascii="宋体" w:hAnsi="宋体" w:cs="仿宋_GB2312"/>
          <w:color w:val="auto"/>
          <w:kern w:val="0"/>
          <w:sz w:val="24"/>
          <w:highlight w:val="none"/>
        </w:rPr>
        <w:t>逾期送达或未送达指定地点的</w:t>
      </w:r>
      <w:r>
        <w:rPr>
          <w:rFonts w:hint="eastAsia" w:ascii="宋体" w:hAnsi="宋体" w:cs="仿宋_GB2312"/>
          <w:color w:val="auto"/>
          <w:kern w:val="0"/>
          <w:sz w:val="24"/>
          <w:highlight w:val="none"/>
          <w:lang w:eastAsia="zh-CN"/>
        </w:rPr>
        <w:t>竞投</w:t>
      </w:r>
      <w:r>
        <w:rPr>
          <w:rFonts w:hint="eastAsia" w:ascii="宋体" w:hAnsi="宋体" w:cs="仿宋_GB2312"/>
          <w:color w:val="auto"/>
          <w:kern w:val="0"/>
          <w:sz w:val="24"/>
          <w:highlight w:val="none"/>
        </w:rPr>
        <w:t>文件，招标人将不予受理</w:t>
      </w:r>
      <w:r>
        <w:rPr>
          <w:rFonts w:hint="eastAsia" w:ascii="宋体" w:hAnsi="宋体"/>
          <w:color w:val="auto"/>
          <w:sz w:val="24"/>
          <w:highlight w:val="none"/>
        </w:rPr>
        <w:t>）。</w:t>
      </w:r>
    </w:p>
    <w:p>
      <w:pPr>
        <w:numPr>
          <w:ilvl w:val="0"/>
          <w:numId w:val="4"/>
        </w:numPr>
        <w:autoSpaceDE w:val="0"/>
        <w:autoSpaceDN w:val="0"/>
        <w:adjustRightInd w:val="0"/>
        <w:snapToGrid w:val="0"/>
        <w:spacing w:line="360" w:lineRule="auto"/>
        <w:ind w:left="0" w:leftChars="0" w:firstLine="0" w:firstLineChars="0"/>
        <w:rPr>
          <w:rFonts w:ascii="宋体" w:hAnsi="宋体" w:cs="宋体"/>
          <w:b/>
          <w:bCs/>
          <w:color w:val="auto"/>
          <w:sz w:val="24"/>
          <w:highlight w:val="none"/>
        </w:rPr>
      </w:pPr>
      <w:r>
        <w:rPr>
          <w:rFonts w:hint="eastAsia" w:ascii="宋体" w:hAnsi="宋体" w:cs="宋体"/>
          <w:b/>
          <w:bCs/>
          <w:color w:val="auto"/>
          <w:sz w:val="24"/>
          <w:highlight w:val="none"/>
        </w:rPr>
        <w:t>公告期限</w:t>
      </w:r>
    </w:p>
    <w:p>
      <w:pPr>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pPr>
        <w:numPr>
          <w:ilvl w:val="0"/>
          <w:numId w:val="4"/>
        </w:numPr>
        <w:autoSpaceDE w:val="0"/>
        <w:autoSpaceDN w:val="0"/>
        <w:adjustRightInd w:val="0"/>
        <w:snapToGrid w:val="0"/>
        <w:spacing w:line="360" w:lineRule="auto"/>
        <w:ind w:left="0" w:leftChars="0" w:firstLine="0" w:firstLineChars="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eastAsia="zh-CN"/>
        </w:rPr>
        <w:t>竞投方式：采用一次性报价的暗标方式，价高者得的原则确定中标人。投标人</w:t>
      </w:r>
      <w:r>
        <w:rPr>
          <w:rFonts w:hint="eastAsia" w:ascii="宋体" w:hAnsi="宋体" w:cs="宋体"/>
          <w:b/>
          <w:bCs/>
          <w:color w:val="auto"/>
          <w:sz w:val="24"/>
          <w:highlight w:val="none"/>
        </w:rPr>
        <w:t>所报价格为</w:t>
      </w:r>
      <w:r>
        <w:rPr>
          <w:rFonts w:hint="eastAsia" w:ascii="宋体" w:hAnsi="宋体" w:cs="宋体"/>
          <w:b/>
          <w:bCs/>
          <w:color w:val="auto"/>
          <w:sz w:val="24"/>
          <w:highlight w:val="none"/>
          <w:lang w:eastAsia="zh-CN"/>
        </w:rPr>
        <w:t>向招标人支付管理费用</w:t>
      </w:r>
      <w:r>
        <w:rPr>
          <w:rFonts w:hint="eastAsia" w:ascii="宋体" w:hAnsi="宋体" w:cs="宋体"/>
          <w:b/>
          <w:bCs/>
          <w:color w:val="auto"/>
          <w:sz w:val="24"/>
          <w:highlight w:val="none"/>
          <w:lang w:val="en-US" w:eastAsia="zh-CN"/>
        </w:rPr>
        <w:t>。</w:t>
      </w:r>
    </w:p>
    <w:p>
      <w:pPr>
        <w:numPr>
          <w:ilvl w:val="0"/>
          <w:numId w:val="4"/>
        </w:numPr>
        <w:autoSpaceDE w:val="0"/>
        <w:autoSpaceDN w:val="0"/>
        <w:adjustRightInd w:val="0"/>
        <w:snapToGrid w:val="0"/>
        <w:spacing w:line="360" w:lineRule="auto"/>
        <w:ind w:left="0" w:leftChars="0" w:firstLine="0" w:firstLineChars="0"/>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对本次招标提出询问，请按以下方式联系</w:t>
      </w:r>
    </w:p>
    <w:p>
      <w:pPr>
        <w:numPr>
          <w:ilvl w:val="0"/>
          <w:numId w:val="8"/>
        </w:numPr>
        <w:autoSpaceDN w:val="0"/>
        <w:adjustRightInd/>
        <w:snapToGrid/>
        <w:spacing w:line="360" w:lineRule="auto"/>
        <w:ind w:left="425" w:hanging="5" w:firstLineChars="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信息</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名称：</w:t>
      </w:r>
      <w:r>
        <w:rPr>
          <w:rFonts w:hint="eastAsia" w:ascii="宋体" w:hAnsi="宋体"/>
          <w:color w:val="auto"/>
          <w:sz w:val="24"/>
          <w:szCs w:val="24"/>
          <w:highlight w:val="none"/>
          <w:lang w:eastAsia="zh-CN"/>
        </w:rPr>
        <w:t>佛山市禅城区南庄镇吉利村上二经济合作社</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地址：佛山市禅城区南庄镇</w:t>
      </w:r>
      <w:r>
        <w:rPr>
          <w:rFonts w:hint="eastAsia" w:ascii="宋体" w:hAnsi="宋体"/>
          <w:color w:val="auto"/>
          <w:sz w:val="24"/>
          <w:szCs w:val="24"/>
          <w:highlight w:val="none"/>
          <w:lang w:val="en-US" w:eastAsia="zh-CN"/>
        </w:rPr>
        <w:t>吉利村</w:t>
      </w:r>
    </w:p>
    <w:p>
      <w:p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联系</w:t>
      </w:r>
      <w:r>
        <w:rPr>
          <w:rFonts w:hint="eastAsia" w:ascii="宋体" w:hAnsi="宋体"/>
          <w:color w:val="auto"/>
          <w:sz w:val="24"/>
          <w:szCs w:val="24"/>
          <w:highlight w:val="none"/>
          <w:lang w:eastAsia="zh-CN"/>
        </w:rPr>
        <w:t>人</w:t>
      </w:r>
      <w:r>
        <w:rPr>
          <w:rFonts w:hint="eastAsia" w:ascii="宋体" w:hAnsi="宋体"/>
          <w:color w:val="auto"/>
          <w:sz w:val="24"/>
          <w:szCs w:val="24"/>
          <w:highlight w:val="none"/>
        </w:rPr>
        <w:t>：</w:t>
      </w:r>
      <w:r>
        <w:rPr>
          <w:rFonts w:hint="eastAsia"/>
          <w:color w:val="auto"/>
          <w:highlight w:val="none"/>
          <w:lang w:eastAsia="zh-CN"/>
        </w:rPr>
        <w:t>关先生</w:t>
      </w:r>
    </w:p>
    <w:p>
      <w:pPr>
        <w:spacing w:line="360" w:lineRule="auto"/>
        <w:ind w:firstLine="480" w:firstLineChars="200"/>
        <w:outlineLvl w:val="9"/>
        <w:rPr>
          <w:rFonts w:hint="default" w:ascii="宋体" w:hAnsi="宋体" w:eastAsia="宋体"/>
          <w:color w:val="auto"/>
          <w:sz w:val="24"/>
          <w:szCs w:val="24"/>
          <w:highlight w:val="none"/>
          <w:lang w:val="en-US" w:eastAsia="zh-CN"/>
        </w:rPr>
      </w:pPr>
      <w:bookmarkStart w:id="11" w:name="_Toc24077"/>
      <w:r>
        <w:rPr>
          <w:rFonts w:hint="eastAsia" w:ascii="宋体" w:hAnsi="宋体"/>
          <w:color w:val="auto"/>
          <w:sz w:val="24"/>
          <w:szCs w:val="24"/>
          <w:highlight w:val="none"/>
        </w:rPr>
        <w:t>联系方式：</w:t>
      </w:r>
      <w:bookmarkEnd w:id="11"/>
      <w:r>
        <w:rPr>
          <w:rFonts w:hint="eastAsia" w:ascii="宋体" w:hAnsi="宋体"/>
          <w:color w:val="auto"/>
          <w:sz w:val="24"/>
          <w:szCs w:val="24"/>
          <w:highlight w:val="none"/>
          <w:lang w:val="en-US" w:eastAsia="zh-CN"/>
        </w:rPr>
        <w:t>0757-85398026</w:t>
      </w:r>
    </w:p>
    <w:p>
      <w:pPr>
        <w:numPr>
          <w:ilvl w:val="0"/>
          <w:numId w:val="8"/>
        </w:numPr>
        <w:autoSpaceDN w:val="0"/>
        <w:adjustRightInd/>
        <w:snapToGrid/>
        <w:spacing w:line="360" w:lineRule="auto"/>
        <w:ind w:left="425" w:hanging="5" w:firstLineChars="0"/>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招标代理机构</w:t>
      </w:r>
      <w:r>
        <w:rPr>
          <w:rFonts w:hint="eastAsia" w:ascii="宋体" w:hAnsi="宋体"/>
          <w:color w:val="auto"/>
          <w:sz w:val="24"/>
          <w:szCs w:val="24"/>
          <w:highlight w:val="none"/>
        </w:rPr>
        <w:t>信息</w:t>
      </w:r>
    </w:p>
    <w:p>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名称：</w:t>
      </w:r>
      <w:r>
        <w:rPr>
          <w:rFonts w:hint="eastAsia" w:ascii="宋体" w:hAnsi="宋体"/>
          <w:color w:val="auto"/>
          <w:sz w:val="24"/>
          <w:szCs w:val="24"/>
          <w:highlight w:val="none"/>
          <w:lang w:eastAsia="zh-CN"/>
        </w:rPr>
        <w:t>广东中采招标有限公司</w:t>
      </w:r>
    </w:p>
    <w:p>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地址：</w:t>
      </w:r>
      <w:r>
        <w:rPr>
          <w:rFonts w:hint="eastAsia" w:ascii="宋体" w:hAnsi="宋体"/>
          <w:color w:val="auto"/>
          <w:sz w:val="24"/>
          <w:szCs w:val="24"/>
          <w:highlight w:val="none"/>
          <w:lang w:eastAsia="zh-CN"/>
        </w:rPr>
        <w:t>佛山市禅城区文华北路223号之一栋5层525、526、527单元</w:t>
      </w:r>
    </w:p>
    <w:p>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联系方式：</w:t>
      </w:r>
      <w:r>
        <w:rPr>
          <w:rFonts w:hint="eastAsia" w:ascii="宋体" w:hAnsi="宋体"/>
          <w:color w:val="auto"/>
          <w:sz w:val="24"/>
          <w:szCs w:val="24"/>
          <w:highlight w:val="none"/>
          <w:lang w:val="en-US" w:eastAsia="zh-CN"/>
        </w:rPr>
        <w:t>0757-81993027</w:t>
      </w:r>
    </w:p>
    <w:p>
      <w:pPr>
        <w:numPr>
          <w:ilvl w:val="0"/>
          <w:numId w:val="8"/>
        </w:numPr>
        <w:autoSpaceDN w:val="0"/>
        <w:adjustRightInd/>
        <w:snapToGrid/>
        <w:spacing w:line="360" w:lineRule="auto"/>
        <w:ind w:left="425" w:hanging="5" w:firstLineChars="0"/>
        <w:jc w:val="left"/>
        <w:rPr>
          <w:rFonts w:hint="eastAsia" w:ascii="宋体" w:hAnsi="宋体"/>
          <w:color w:val="auto"/>
          <w:sz w:val="24"/>
          <w:szCs w:val="24"/>
          <w:highlight w:val="none"/>
        </w:rPr>
      </w:pPr>
      <w:r>
        <w:rPr>
          <w:rFonts w:hint="eastAsia" w:ascii="宋体" w:hAnsi="宋体"/>
          <w:color w:val="auto"/>
          <w:sz w:val="24"/>
          <w:szCs w:val="24"/>
          <w:highlight w:val="none"/>
        </w:rPr>
        <w:t>项目联系方式</w:t>
      </w:r>
    </w:p>
    <w:p>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项目联系人：</w:t>
      </w:r>
      <w:r>
        <w:rPr>
          <w:rFonts w:hint="eastAsia" w:ascii="宋体" w:hAnsi="宋体"/>
          <w:color w:val="auto"/>
          <w:sz w:val="24"/>
          <w:szCs w:val="24"/>
          <w:highlight w:val="none"/>
          <w:lang w:val="en-US" w:eastAsia="zh-CN"/>
        </w:rPr>
        <w:t>夏</w:t>
      </w:r>
      <w:r>
        <w:rPr>
          <w:rFonts w:hint="eastAsia" w:ascii="宋体" w:hAnsi="宋体"/>
          <w:color w:val="auto"/>
          <w:sz w:val="24"/>
          <w:szCs w:val="24"/>
          <w:highlight w:val="none"/>
        </w:rPr>
        <w:t>先生</w:t>
      </w:r>
    </w:p>
    <w:p>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联系方式：</w:t>
      </w:r>
      <w:r>
        <w:rPr>
          <w:rFonts w:hint="eastAsia" w:ascii="宋体" w:hAnsi="宋体"/>
          <w:color w:val="auto"/>
          <w:sz w:val="24"/>
          <w:szCs w:val="24"/>
          <w:highlight w:val="none"/>
          <w:lang w:val="en-US" w:eastAsia="zh-CN"/>
        </w:rPr>
        <w:t>0757-81993027</w:t>
      </w:r>
    </w:p>
    <w:p>
      <w:pPr>
        <w:spacing w:line="360" w:lineRule="auto"/>
        <w:ind w:firstLine="480" w:firstLineChars="200"/>
        <w:jc w:val="left"/>
        <w:rPr>
          <w:rFonts w:hint="eastAsia" w:ascii="宋体" w:eastAsia="宋体"/>
          <w:color w:val="auto"/>
          <w:sz w:val="24"/>
          <w:highlight w:val="none"/>
          <w:lang w:eastAsia="zh-CN"/>
        </w:rPr>
      </w:pPr>
    </w:p>
    <w:p>
      <w:pPr>
        <w:spacing w:after="72" w:afterLines="30" w:line="360" w:lineRule="auto"/>
        <w:ind w:firstLine="540" w:firstLineChars="225"/>
        <w:jc w:val="right"/>
        <w:rPr>
          <w:rFonts w:hint="eastAsia" w:ascii="宋体" w:eastAsia="宋体"/>
          <w:color w:val="auto"/>
          <w:sz w:val="24"/>
          <w:highlight w:val="none"/>
          <w:lang w:eastAsia="zh-CN"/>
        </w:rPr>
      </w:pPr>
      <w:r>
        <w:rPr>
          <w:rFonts w:hint="eastAsia" w:ascii="宋体" w:hAnsi="宋体"/>
          <w:color w:val="auto"/>
          <w:sz w:val="24"/>
          <w:highlight w:val="none"/>
          <w:lang w:eastAsia="zh-CN"/>
        </w:rPr>
        <w:t>广东中采招标有限公司</w:t>
      </w:r>
    </w:p>
    <w:p>
      <w:pPr>
        <w:spacing w:after="72" w:afterLines="30" w:line="360" w:lineRule="auto"/>
        <w:ind w:firstLine="540" w:firstLineChars="225"/>
        <w:jc w:val="right"/>
        <w:rPr>
          <w:rFonts w:hint="eastAsia" w:ascii="宋体" w:hAnsi="宋体"/>
          <w:color w:val="auto"/>
          <w:sz w:val="24"/>
          <w:highlight w:val="none"/>
          <w:u w:val="none"/>
        </w:rPr>
      </w:pPr>
      <w:r>
        <w:rPr>
          <w:rFonts w:hint="eastAsia" w:ascii="宋体" w:hAnsi="宋体"/>
          <w:color w:val="auto"/>
          <w:sz w:val="24"/>
          <w:highlight w:val="none"/>
          <w:lang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02</w:t>
      </w:r>
      <w:r>
        <w:rPr>
          <w:rFonts w:hint="eastAsia" w:ascii="宋体" w:hAnsi="宋体"/>
          <w:color w:val="auto"/>
          <w:sz w:val="24"/>
          <w:highlight w:val="none"/>
          <w:u w:val="none"/>
        </w:rPr>
        <w:t>月</w:t>
      </w:r>
      <w:r>
        <w:rPr>
          <w:rFonts w:hint="eastAsia" w:ascii="宋体" w:hAnsi="宋体"/>
          <w:color w:val="auto"/>
          <w:sz w:val="24"/>
          <w:highlight w:val="none"/>
          <w:u w:val="none"/>
          <w:lang w:val="en-US" w:eastAsia="zh-CN"/>
        </w:rPr>
        <w:t>28</w:t>
      </w:r>
      <w:r>
        <w:rPr>
          <w:rFonts w:hint="eastAsia" w:ascii="宋体" w:hAnsi="宋体"/>
          <w:color w:val="auto"/>
          <w:sz w:val="24"/>
          <w:highlight w:val="none"/>
          <w:u w:val="none"/>
        </w:rPr>
        <w:t>日</w:t>
      </w:r>
      <w:bookmarkStart w:id="12" w:name="_Toc334432587"/>
    </w:p>
    <w:p>
      <w:pPr>
        <w:rPr>
          <w:rFonts w:hint="eastAsia" w:ascii="宋体" w:hAnsi="宋体"/>
          <w:color w:val="auto"/>
          <w:sz w:val="24"/>
          <w:highlight w:val="none"/>
          <w:u w:val="none"/>
        </w:rPr>
      </w:pPr>
      <w:r>
        <w:rPr>
          <w:rFonts w:hint="eastAsia" w:ascii="宋体" w:hAnsi="宋体"/>
          <w:color w:val="auto"/>
          <w:sz w:val="24"/>
          <w:highlight w:val="none"/>
          <w:u w:val="none"/>
        </w:rPr>
        <w:br w:type="page"/>
      </w:r>
    </w:p>
    <w:p>
      <w:pPr>
        <w:pStyle w:val="2"/>
        <w:rPr>
          <w:color w:val="auto"/>
          <w:highlight w:val="none"/>
        </w:rPr>
        <w:sectPr>
          <w:footerReference r:id="rId5" w:type="default"/>
          <w:pgSz w:w="11850" w:h="16783"/>
          <w:pgMar w:top="1134" w:right="1134" w:bottom="1134" w:left="1417" w:header="573" w:footer="584" w:gutter="0"/>
          <w:pgBorders>
            <w:top w:val="none" w:sz="0" w:space="0"/>
            <w:left w:val="none" w:sz="0" w:space="0"/>
            <w:bottom w:val="none" w:sz="0" w:space="0"/>
            <w:right w:val="none" w:sz="0" w:space="0"/>
          </w:pgBorders>
          <w:pgNumType w:fmt="decimal"/>
          <w:cols w:space="0" w:num="1"/>
          <w:rtlGutter w:val="0"/>
          <w:docGrid w:linePitch="0" w:charSpace="0"/>
        </w:sectPr>
      </w:pPr>
    </w:p>
    <w:p>
      <w:pPr>
        <w:spacing w:after="120" w:afterLines="50" w:line="360" w:lineRule="auto"/>
        <w:jc w:val="center"/>
        <w:outlineLvl w:val="0"/>
        <w:rPr>
          <w:rFonts w:hint="eastAsia" w:ascii="宋体" w:hAnsi="宋体"/>
          <w:b/>
          <w:color w:val="auto"/>
          <w:sz w:val="36"/>
          <w:szCs w:val="36"/>
          <w:highlight w:val="none"/>
        </w:rPr>
      </w:pPr>
      <w:bookmarkStart w:id="13" w:name="_Toc7214"/>
      <w:bookmarkStart w:id="14" w:name="_Toc19575"/>
      <w:bookmarkStart w:id="15" w:name="_Toc24772"/>
      <w:bookmarkStart w:id="16" w:name="_Toc21591"/>
      <w:r>
        <w:rPr>
          <w:rFonts w:hint="eastAsia" w:ascii="宋体" w:hAnsi="宋体"/>
          <w:b/>
          <w:color w:val="auto"/>
          <w:sz w:val="36"/>
          <w:szCs w:val="36"/>
          <w:highlight w:val="none"/>
          <w:lang w:val="en-US" w:eastAsia="zh-CN"/>
        </w:rPr>
        <w:t>第二部分</w:t>
      </w:r>
      <w:r>
        <w:rPr>
          <w:rFonts w:hint="eastAsia" w:ascii="宋体" w:hAnsi="宋体"/>
          <w:b/>
          <w:color w:val="auto"/>
          <w:sz w:val="36"/>
          <w:szCs w:val="36"/>
          <w:highlight w:val="none"/>
        </w:rPr>
        <w:t>项目内容</w:t>
      </w:r>
      <w:bookmarkEnd w:id="12"/>
      <w:bookmarkEnd w:id="13"/>
      <w:bookmarkEnd w:id="14"/>
      <w:bookmarkEnd w:id="15"/>
      <w:bookmarkEnd w:id="16"/>
      <w:bookmarkStart w:id="17" w:name="_Toc13772"/>
      <w:bookmarkEnd w:id="17"/>
      <w:bookmarkStart w:id="18" w:name="_Toc9845"/>
      <w:bookmarkStart w:id="19" w:name="_Toc11502"/>
      <w:bookmarkStart w:id="20" w:name="_Toc31874"/>
    </w:p>
    <w:p>
      <w:pPr>
        <w:pStyle w:val="6"/>
        <w:rPr>
          <w:color w:val="auto"/>
          <w:highlight w:val="none"/>
        </w:rPr>
      </w:pPr>
    </w:p>
    <w:p>
      <w:pPr>
        <w:widowControl/>
        <w:numPr>
          <w:ilvl w:val="0"/>
          <w:numId w:val="0"/>
        </w:numPr>
        <w:spacing w:line="360" w:lineRule="auto"/>
        <w:jc w:val="center"/>
        <w:outlineLvl w:val="0"/>
        <w:rPr>
          <w:b/>
          <w:color w:val="auto"/>
          <w:sz w:val="32"/>
          <w:highlight w:val="none"/>
        </w:rPr>
      </w:pPr>
      <w:bookmarkStart w:id="21" w:name="_Toc5219"/>
      <w:r>
        <w:rPr>
          <w:rFonts w:hint="eastAsia"/>
          <w:b/>
          <w:color w:val="auto"/>
          <w:sz w:val="32"/>
          <w:highlight w:val="none"/>
        </w:rPr>
        <w:t>一、</w:t>
      </w:r>
      <w:r>
        <w:rPr>
          <w:rFonts w:hint="eastAsia"/>
          <w:b/>
          <w:color w:val="auto"/>
          <w:sz w:val="32"/>
          <w:highlight w:val="none"/>
          <w:lang w:eastAsia="zh-CN"/>
        </w:rPr>
        <w:t>投标人</w:t>
      </w:r>
      <w:r>
        <w:rPr>
          <w:rFonts w:hint="eastAsia"/>
          <w:b/>
          <w:color w:val="auto"/>
          <w:sz w:val="32"/>
          <w:highlight w:val="none"/>
        </w:rPr>
        <w:t>资格要求</w:t>
      </w:r>
      <w:bookmarkEnd w:id="18"/>
      <w:bookmarkEnd w:id="19"/>
      <w:bookmarkEnd w:id="20"/>
      <w:bookmarkEnd w:id="21"/>
    </w:p>
    <w:p>
      <w:pPr>
        <w:numPr>
          <w:ilvl w:val="0"/>
          <w:numId w:val="9"/>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val="en-US" w:eastAsia="zh-CN"/>
        </w:rPr>
        <w:t>须具有独立法人资格，营业执照处于有效期内；</w:t>
      </w:r>
    </w:p>
    <w:p>
      <w:pPr>
        <w:numPr>
          <w:ilvl w:val="0"/>
          <w:numId w:val="9"/>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本项目不接受联合体竞投。</w:t>
      </w:r>
    </w:p>
    <w:p>
      <w:pPr>
        <w:numPr>
          <w:ilvl w:val="0"/>
          <w:numId w:val="9"/>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法律、行政法规规定的其他条件。</w:t>
      </w:r>
    </w:p>
    <w:p>
      <w:pPr>
        <w:numPr>
          <w:ilvl w:val="0"/>
          <w:numId w:val="10"/>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单位负责人为同一人或者存在直接控股、管理关系的不同投标人，不得同时参加本项目竞投；</w:t>
      </w:r>
    </w:p>
    <w:p>
      <w:pPr>
        <w:numPr>
          <w:ilvl w:val="0"/>
          <w:numId w:val="10"/>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投标单位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spacing w:line="460" w:lineRule="exact"/>
        <w:jc w:val="both"/>
        <w:outlineLvl w:val="1"/>
        <w:rPr>
          <w:rFonts w:hint="eastAsia"/>
          <w:b/>
          <w:color w:val="auto"/>
          <w:sz w:val="32"/>
          <w:highlight w:val="none"/>
        </w:rPr>
      </w:pPr>
      <w:bookmarkStart w:id="22" w:name="_Toc18342"/>
      <w:bookmarkStart w:id="23" w:name="_Toc22464"/>
      <w:bookmarkStart w:id="24" w:name="_Toc9938"/>
    </w:p>
    <w:p>
      <w:pPr>
        <w:spacing w:line="460" w:lineRule="exact"/>
        <w:jc w:val="center"/>
        <w:outlineLvl w:val="1"/>
        <w:rPr>
          <w:rFonts w:hint="eastAsia"/>
          <w:b/>
          <w:color w:val="auto"/>
          <w:sz w:val="32"/>
          <w:highlight w:val="none"/>
        </w:rPr>
      </w:pPr>
    </w:p>
    <w:p>
      <w:pPr>
        <w:pStyle w:val="6"/>
        <w:rPr>
          <w:rFonts w:hint="eastAsia"/>
          <w:b/>
          <w:color w:val="auto"/>
          <w:sz w:val="32"/>
          <w:highlight w:val="none"/>
        </w:rPr>
      </w:pPr>
    </w:p>
    <w:p>
      <w:pPr>
        <w:rPr>
          <w:rFonts w:hint="eastAsia"/>
          <w:b/>
          <w:color w:val="auto"/>
          <w:sz w:val="32"/>
          <w:highlight w:val="none"/>
        </w:rPr>
      </w:pPr>
    </w:p>
    <w:p>
      <w:pPr>
        <w:pStyle w:val="6"/>
        <w:rPr>
          <w:rFonts w:hint="eastAsia"/>
          <w:b/>
          <w:color w:val="auto"/>
          <w:sz w:val="32"/>
          <w:highlight w:val="none"/>
        </w:rPr>
      </w:pPr>
    </w:p>
    <w:p>
      <w:pPr>
        <w:rPr>
          <w:rFonts w:hint="eastAsia"/>
          <w:b/>
          <w:color w:val="auto"/>
          <w:sz w:val="32"/>
          <w:highlight w:val="none"/>
        </w:rPr>
        <w:sectPr>
          <w:pgSz w:w="11850" w:h="16783"/>
          <w:pgMar w:top="1134" w:right="1134" w:bottom="1134" w:left="1417" w:header="0" w:footer="0" w:gutter="0"/>
          <w:pgBorders>
            <w:top w:val="none" w:sz="0" w:space="0"/>
            <w:left w:val="none" w:sz="0" w:space="0"/>
            <w:bottom w:val="none" w:sz="0" w:space="0"/>
            <w:right w:val="none" w:sz="0" w:space="0"/>
          </w:pgBorders>
          <w:pgNumType w:fmt="decimal"/>
          <w:cols w:space="0" w:num="1"/>
          <w:rtlGutter w:val="0"/>
          <w:docGrid w:linePitch="360" w:charSpace="0"/>
        </w:sectPr>
      </w:pPr>
    </w:p>
    <w:p>
      <w:pPr>
        <w:spacing w:line="460" w:lineRule="exact"/>
        <w:jc w:val="center"/>
        <w:outlineLvl w:val="1"/>
        <w:rPr>
          <w:b/>
          <w:color w:val="auto"/>
          <w:sz w:val="32"/>
          <w:highlight w:val="none"/>
        </w:rPr>
      </w:pPr>
      <w:bookmarkStart w:id="25" w:name="_Toc5091"/>
      <w:r>
        <w:rPr>
          <w:rFonts w:hint="eastAsia"/>
          <w:b/>
          <w:color w:val="auto"/>
          <w:sz w:val="32"/>
          <w:highlight w:val="none"/>
          <w:lang w:eastAsia="zh-CN"/>
        </w:rPr>
        <w:t>二</w:t>
      </w:r>
      <w:r>
        <w:rPr>
          <w:rFonts w:hint="eastAsia"/>
          <w:b/>
          <w:color w:val="auto"/>
          <w:sz w:val="32"/>
          <w:highlight w:val="none"/>
        </w:rPr>
        <w:t>、项目技术要求</w:t>
      </w:r>
      <w:bookmarkEnd w:id="22"/>
      <w:bookmarkEnd w:id="23"/>
      <w:bookmarkEnd w:id="24"/>
      <w:bookmarkEnd w:id="25"/>
    </w:p>
    <w:p>
      <w:pPr>
        <w:pStyle w:val="30"/>
        <w:numPr>
          <w:ilvl w:val="0"/>
          <w:numId w:val="11"/>
        </w:numPr>
        <w:spacing w:before="240" w:beforeLines="100" w:after="120" w:afterLines="50" w:line="360" w:lineRule="auto"/>
        <w:ind w:left="624" w:leftChars="0" w:hanging="624" w:firstLineChars="0"/>
        <w:rPr>
          <w:rFonts w:hint="eastAsia" w:ascii="宋体" w:hAnsi="宋体" w:eastAsia="宋体" w:cs="宋体"/>
          <w:b/>
          <w:color w:val="auto"/>
          <w:sz w:val="24"/>
          <w:highlight w:val="none"/>
        </w:rPr>
      </w:pPr>
      <w:bookmarkStart w:id="26" w:name="_Toc24252"/>
      <w:bookmarkStart w:id="27" w:name="_Toc334432588"/>
      <w:bookmarkStart w:id="28" w:name="_Toc32011"/>
      <w:bookmarkStart w:id="29" w:name="_Toc17678"/>
      <w:r>
        <w:rPr>
          <w:rFonts w:hint="eastAsia" w:ascii="宋体" w:hAnsi="宋体" w:eastAsia="宋体" w:cs="宋体"/>
          <w:b/>
          <w:color w:val="auto"/>
          <w:sz w:val="24"/>
          <w:highlight w:val="none"/>
        </w:rPr>
        <w:t>项目背景</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根据现行法律法规，招标人将</w:t>
      </w:r>
      <w:r>
        <w:rPr>
          <w:rFonts w:hint="eastAsia" w:ascii="宋体" w:hAnsi="宋体" w:eastAsia="宋体" w:cs="宋体"/>
          <w:color w:val="auto"/>
          <w:sz w:val="24"/>
          <w:szCs w:val="24"/>
          <w:highlight w:val="none"/>
          <w:lang w:eastAsia="zh-CN"/>
        </w:rPr>
        <w:t>位于</w:t>
      </w:r>
      <w:r>
        <w:rPr>
          <w:rFonts w:hint="eastAsia" w:ascii="宋体" w:hAnsi="宋体" w:cs="宋体"/>
          <w:color w:val="auto"/>
          <w:sz w:val="24"/>
          <w:szCs w:val="24"/>
          <w:highlight w:val="none"/>
          <w:lang w:val="en-US" w:eastAsia="zh-CN"/>
        </w:rPr>
        <w:t>吉利上二村车辆停放管理服务</w:t>
      </w:r>
      <w:r>
        <w:rPr>
          <w:rFonts w:hint="eastAsia" w:ascii="宋体" w:hAnsi="宋体" w:eastAsia="宋体" w:cs="宋体"/>
          <w:color w:val="auto"/>
          <w:sz w:val="24"/>
          <w:szCs w:val="24"/>
          <w:highlight w:val="none"/>
          <w:lang w:val="en-US" w:eastAsia="zh-CN"/>
        </w:rPr>
        <w:t>工作委托给中标人经营管理，合同期限为</w:t>
      </w:r>
      <w:r>
        <w:rPr>
          <w:rFonts w:hint="eastAsia" w:ascii="宋体" w:hAnsi="宋体" w:cs="宋体"/>
          <w:color w:val="auto"/>
          <w:sz w:val="24"/>
          <w:szCs w:val="24"/>
          <w:highlight w:val="none"/>
          <w:lang w:val="en-US" w:eastAsia="zh-CN"/>
        </w:rPr>
        <w:t>5年</w:t>
      </w:r>
      <w:r>
        <w:rPr>
          <w:rFonts w:hint="eastAsia" w:ascii="宋体" w:hAnsi="宋体" w:eastAsia="宋体" w:cs="宋体"/>
          <w:color w:val="auto"/>
          <w:sz w:val="24"/>
          <w:szCs w:val="24"/>
          <w:highlight w:val="none"/>
          <w:lang w:val="en-US" w:eastAsia="zh-CN"/>
        </w:rPr>
        <w:t>，中标人须按中标价向招标人支付费用。</w:t>
      </w:r>
    </w:p>
    <w:p>
      <w:pPr>
        <w:pStyle w:val="30"/>
        <w:numPr>
          <w:ilvl w:val="0"/>
          <w:numId w:val="11"/>
        </w:numPr>
        <w:spacing w:line="360" w:lineRule="auto"/>
        <w:ind w:left="417" w:leftChars="0" w:hanging="417" w:hangingChars="17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项目概况</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为解决</w:t>
      </w:r>
      <w:r>
        <w:rPr>
          <w:rFonts w:hint="eastAsia" w:ascii="宋体" w:hAnsi="宋体" w:cs="宋体"/>
          <w:color w:val="auto"/>
          <w:sz w:val="24"/>
          <w:szCs w:val="24"/>
          <w:highlight w:val="none"/>
          <w:lang w:eastAsia="zh-CN"/>
        </w:rPr>
        <w:t>吉利上二村</w:t>
      </w:r>
      <w:r>
        <w:rPr>
          <w:rFonts w:hint="eastAsia" w:ascii="宋体" w:hAnsi="宋体" w:eastAsia="宋体" w:cs="宋体"/>
          <w:color w:val="auto"/>
          <w:sz w:val="24"/>
          <w:szCs w:val="24"/>
          <w:highlight w:val="none"/>
        </w:rPr>
        <w:t>停车需求矛盾和车辆乱停乱放的问题，构建简约高效的停车治理体系，提升精细化停车管理水平，响应《佛山市人民政府办公室关于规范村（社区）停车管理的指导意见》文件精神，现</w:t>
      </w:r>
      <w:r>
        <w:rPr>
          <w:rFonts w:hint="eastAsia" w:ascii="宋体" w:hAnsi="宋体" w:eastAsia="宋体" w:cs="宋体"/>
          <w:color w:val="auto"/>
          <w:sz w:val="24"/>
          <w:szCs w:val="24"/>
          <w:highlight w:val="none"/>
          <w:lang w:eastAsia="zh-CN"/>
        </w:rPr>
        <w:t>吉利</w:t>
      </w:r>
      <w:r>
        <w:rPr>
          <w:rFonts w:hint="eastAsia" w:ascii="宋体" w:hAnsi="宋体" w:cs="宋体"/>
          <w:color w:val="auto"/>
          <w:sz w:val="24"/>
          <w:szCs w:val="24"/>
          <w:highlight w:val="none"/>
          <w:lang w:eastAsia="zh-CN"/>
        </w:rPr>
        <w:t>上二村</w:t>
      </w:r>
      <w:r>
        <w:rPr>
          <w:rFonts w:hint="eastAsia" w:ascii="宋体" w:hAnsi="宋体" w:eastAsia="宋体" w:cs="宋体"/>
          <w:color w:val="auto"/>
          <w:sz w:val="24"/>
          <w:szCs w:val="24"/>
          <w:highlight w:val="none"/>
        </w:rPr>
        <w:t>规划引入第三方停车管理公司进行投资建设及运营管理，拟定以下智能监控和停车场管理方案：</w:t>
      </w:r>
    </w:p>
    <w:p>
      <w:pPr>
        <w:pStyle w:val="30"/>
        <w:numPr>
          <w:ilvl w:val="0"/>
          <w:numId w:val="11"/>
        </w:numPr>
        <w:spacing w:line="360" w:lineRule="auto"/>
        <w:ind w:left="417" w:leftChars="0" w:hanging="417" w:hangingChars="17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项目内容</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范围区域：上二村闸口内的停车范围（已有划线车位约50个，需由中标方划车位线约100个及各闸口网格线、识别区、消防通道路面标识字、标识牌等）；</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设施建设地点：</w:t>
      </w:r>
      <w:r>
        <w:rPr>
          <w:rFonts w:hint="eastAsia" w:ascii="宋体" w:hAnsi="宋体" w:cs="宋体"/>
          <w:b w:val="0"/>
          <w:bCs w:val="0"/>
          <w:color w:val="auto"/>
          <w:sz w:val="24"/>
          <w:szCs w:val="24"/>
          <w:highlight w:val="none"/>
          <w:lang w:eastAsia="zh-CN"/>
        </w:rPr>
        <w:t>上二村路口</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上二村聚鹏美食</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上二村外工村路口</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上二村容树头（靠陶瓷城方向）</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上二村出陶瓷城路口</w:t>
      </w:r>
      <w:r>
        <w:rPr>
          <w:rFonts w:hint="eastAsia" w:ascii="宋体" w:hAnsi="宋体" w:eastAsia="宋体" w:cs="宋体"/>
          <w:b w:val="0"/>
          <w:bCs w:val="0"/>
          <w:color w:val="auto"/>
          <w:sz w:val="24"/>
          <w:szCs w:val="24"/>
          <w:highlight w:val="none"/>
          <w:lang w:eastAsia="zh-CN"/>
        </w:rPr>
        <w:t>出入口等</w:t>
      </w:r>
      <w:r>
        <w:rPr>
          <w:rFonts w:hint="eastAsia" w:ascii="宋体" w:hAnsi="宋体" w:cs="宋体"/>
          <w:b w:val="0"/>
          <w:bCs w:val="0"/>
          <w:color w:val="auto"/>
          <w:sz w:val="24"/>
          <w:szCs w:val="24"/>
          <w:highlight w:val="none"/>
          <w:lang w:val="en-US" w:eastAsia="zh-CN"/>
        </w:rPr>
        <w:t>共计</w:t>
      </w:r>
      <w:r>
        <w:rPr>
          <w:rFonts w:hint="eastAsia" w:ascii="宋体" w:hAnsi="宋体" w:eastAsia="宋体" w:cs="宋体"/>
          <w:b w:val="0"/>
          <w:bCs w:val="0"/>
          <w:color w:val="auto"/>
          <w:sz w:val="24"/>
          <w:szCs w:val="24"/>
          <w:highlight w:val="none"/>
          <w:lang w:eastAsia="zh-CN"/>
        </w:rPr>
        <w:t>5个车辆进出通道点位</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详见下图</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进行智能停车系统建设和管理；</w:t>
      </w:r>
    </w:p>
    <w:p>
      <w:pPr>
        <w:pStyle w:val="30"/>
        <w:numPr>
          <w:ilvl w:val="0"/>
          <w:numId w:val="0"/>
        </w:numPr>
        <w:spacing w:line="360" w:lineRule="auto"/>
        <w:ind w:leftChars="-173" w:firstLine="720" w:firstLineChars="3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点位一：</w:t>
      </w:r>
    </w:p>
    <w:p>
      <w:pPr>
        <w:pStyle w:val="30"/>
        <w:numPr>
          <w:ilvl w:val="0"/>
          <w:numId w:val="0"/>
        </w:numPr>
        <w:spacing w:line="360" w:lineRule="auto"/>
        <w:ind w:leftChars="-173" w:firstLine="720" w:firstLineChars="3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drawing>
          <wp:inline distT="0" distB="0" distL="114300" distR="114300">
            <wp:extent cx="3930650" cy="2923540"/>
            <wp:effectExtent l="0" t="0" r="6350" b="10160"/>
            <wp:docPr id="2" name="图片 2" descr="4f48aad7ebfeb60a4cdd6055319b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f48aad7ebfeb60a4cdd6055319b786"/>
                    <pic:cNvPicPr>
                      <a:picLocks noChangeAspect="1"/>
                    </pic:cNvPicPr>
                  </pic:nvPicPr>
                  <pic:blipFill>
                    <a:blip r:embed="rId9"/>
                    <a:stretch>
                      <a:fillRect/>
                    </a:stretch>
                  </pic:blipFill>
                  <pic:spPr>
                    <a:xfrm>
                      <a:off x="0" y="0"/>
                      <a:ext cx="3930650" cy="2923540"/>
                    </a:xfrm>
                    <a:prstGeom prst="rect">
                      <a:avLst/>
                    </a:prstGeom>
                  </pic:spPr>
                </pic:pic>
              </a:graphicData>
            </a:graphic>
          </wp:inline>
        </w:drawing>
      </w:r>
    </w:p>
    <w:p>
      <w:pP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br w:type="page"/>
      </w:r>
    </w:p>
    <w:p>
      <w:pPr>
        <w:pStyle w:val="30"/>
        <w:numPr>
          <w:ilvl w:val="0"/>
          <w:numId w:val="0"/>
        </w:numPr>
        <w:spacing w:line="360" w:lineRule="auto"/>
        <w:ind w:leftChars="-173" w:firstLine="720" w:firstLineChars="3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点位二：</w:t>
      </w:r>
    </w:p>
    <w:p>
      <w:pPr>
        <w:pStyle w:val="30"/>
        <w:numPr>
          <w:ilvl w:val="0"/>
          <w:numId w:val="0"/>
        </w:numPr>
        <w:spacing w:line="360" w:lineRule="auto"/>
        <w:ind w:leftChars="-173" w:firstLine="720" w:firstLineChars="300"/>
        <w:jc w:val="left"/>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drawing>
          <wp:inline distT="0" distB="0" distL="114300" distR="114300">
            <wp:extent cx="3248660" cy="2433320"/>
            <wp:effectExtent l="0" t="0" r="2540" b="5080"/>
            <wp:docPr id="5" name="图片 5" descr="eef1f7b6274b0f18b27ebdc3b77b5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ef1f7b6274b0f18b27ebdc3b77b5cb"/>
                    <pic:cNvPicPr>
                      <a:picLocks noChangeAspect="1"/>
                    </pic:cNvPicPr>
                  </pic:nvPicPr>
                  <pic:blipFill>
                    <a:blip r:embed="rId10"/>
                    <a:stretch>
                      <a:fillRect/>
                    </a:stretch>
                  </pic:blipFill>
                  <pic:spPr>
                    <a:xfrm>
                      <a:off x="0" y="0"/>
                      <a:ext cx="3248660" cy="2433320"/>
                    </a:xfrm>
                    <a:prstGeom prst="rect">
                      <a:avLst/>
                    </a:prstGeom>
                  </pic:spPr>
                </pic:pic>
              </a:graphicData>
            </a:graphic>
          </wp:inline>
        </w:drawing>
      </w:r>
    </w:p>
    <w:p>
      <w:pPr>
        <w:pStyle w:val="30"/>
        <w:numPr>
          <w:ilvl w:val="0"/>
          <w:numId w:val="0"/>
        </w:numPr>
        <w:spacing w:line="360" w:lineRule="auto"/>
        <w:ind w:leftChars="-173" w:firstLine="720" w:firstLineChars="300"/>
        <w:jc w:val="left"/>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点位三：</w:t>
      </w:r>
    </w:p>
    <w:p>
      <w:pPr>
        <w:pStyle w:val="30"/>
        <w:numPr>
          <w:ilvl w:val="0"/>
          <w:numId w:val="0"/>
        </w:numPr>
        <w:spacing w:line="360" w:lineRule="auto"/>
        <w:ind w:left="218" w:leftChars="104" w:firstLine="0" w:firstLineChars="0"/>
        <w:jc w:val="both"/>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r>
        <w:rPr>
          <w:rFonts w:hint="default" w:ascii="宋体" w:hAnsi="宋体" w:cs="宋体"/>
          <w:b w:val="0"/>
          <w:bCs w:val="0"/>
          <w:color w:val="auto"/>
          <w:sz w:val="24"/>
          <w:szCs w:val="24"/>
          <w:highlight w:val="none"/>
          <w:lang w:val="en-US" w:eastAsia="zh-CN"/>
        </w:rPr>
        <w:drawing>
          <wp:inline distT="0" distB="0" distL="114300" distR="114300">
            <wp:extent cx="3303270" cy="2476500"/>
            <wp:effectExtent l="0" t="0" r="11430" b="0"/>
            <wp:docPr id="6" name="图片 6" descr="a0ab8fd633a0c3b6f90e472b575f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0ab8fd633a0c3b6f90e472b575fa02"/>
                    <pic:cNvPicPr>
                      <a:picLocks noChangeAspect="1"/>
                    </pic:cNvPicPr>
                  </pic:nvPicPr>
                  <pic:blipFill>
                    <a:blip r:embed="rId11"/>
                    <a:stretch>
                      <a:fillRect/>
                    </a:stretch>
                  </pic:blipFill>
                  <pic:spPr>
                    <a:xfrm>
                      <a:off x="0" y="0"/>
                      <a:ext cx="3303270" cy="2476500"/>
                    </a:xfrm>
                    <a:prstGeom prst="rect">
                      <a:avLst/>
                    </a:prstGeom>
                  </pic:spPr>
                </pic:pic>
              </a:graphicData>
            </a:graphic>
          </wp:inline>
        </w:drawing>
      </w:r>
    </w:p>
    <w:p>
      <w:pPr>
        <w:pStyle w:val="30"/>
        <w:numPr>
          <w:ilvl w:val="0"/>
          <w:numId w:val="0"/>
        </w:numPr>
        <w:spacing w:line="360" w:lineRule="auto"/>
        <w:ind w:leftChars="-173"/>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点位四：</w:t>
      </w:r>
    </w:p>
    <w:p>
      <w:pPr>
        <w:pStyle w:val="30"/>
        <w:numPr>
          <w:ilvl w:val="0"/>
          <w:numId w:val="0"/>
        </w:numPr>
        <w:spacing w:line="360" w:lineRule="auto"/>
        <w:ind w:leftChars="-173"/>
        <w:jc w:val="left"/>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r>
        <w:rPr>
          <w:rFonts w:hint="default" w:ascii="宋体" w:hAnsi="宋体" w:cs="宋体"/>
          <w:b w:val="0"/>
          <w:bCs w:val="0"/>
          <w:color w:val="auto"/>
          <w:sz w:val="24"/>
          <w:szCs w:val="24"/>
          <w:highlight w:val="none"/>
          <w:lang w:val="en-US" w:eastAsia="zh-CN"/>
        </w:rPr>
        <w:drawing>
          <wp:inline distT="0" distB="0" distL="114300" distR="114300">
            <wp:extent cx="3161030" cy="2369820"/>
            <wp:effectExtent l="0" t="0" r="1270" b="5080"/>
            <wp:docPr id="7" name="图片 7" descr="edbac4ac2d839492574493146869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dbac4ac2d839492574493146869acc"/>
                    <pic:cNvPicPr>
                      <a:picLocks noChangeAspect="1"/>
                    </pic:cNvPicPr>
                  </pic:nvPicPr>
                  <pic:blipFill>
                    <a:blip r:embed="rId12"/>
                    <a:stretch>
                      <a:fillRect/>
                    </a:stretch>
                  </pic:blipFill>
                  <pic:spPr>
                    <a:xfrm>
                      <a:off x="0" y="0"/>
                      <a:ext cx="3161030" cy="2369820"/>
                    </a:xfrm>
                    <a:prstGeom prst="rect">
                      <a:avLst/>
                    </a:prstGeom>
                  </pic:spPr>
                </pic:pic>
              </a:graphicData>
            </a:graphic>
          </wp:inline>
        </w:drawing>
      </w:r>
    </w:p>
    <w:p>
      <w:pPr>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br w:type="page"/>
      </w:r>
    </w:p>
    <w:p>
      <w:pPr>
        <w:pStyle w:val="30"/>
        <w:numPr>
          <w:ilvl w:val="0"/>
          <w:numId w:val="0"/>
        </w:numPr>
        <w:spacing w:line="360" w:lineRule="auto"/>
        <w:ind w:leftChars="-173" w:firstLine="720" w:firstLineChars="3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点位五：</w:t>
      </w:r>
    </w:p>
    <w:p>
      <w:pPr>
        <w:pStyle w:val="30"/>
        <w:numPr>
          <w:ilvl w:val="0"/>
          <w:numId w:val="0"/>
        </w:numPr>
        <w:spacing w:line="360" w:lineRule="auto"/>
        <w:ind w:leftChars="-173"/>
        <w:jc w:val="left"/>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r>
        <w:rPr>
          <w:rFonts w:hint="default" w:ascii="宋体" w:hAnsi="宋体" w:cs="宋体"/>
          <w:b w:val="0"/>
          <w:bCs w:val="0"/>
          <w:color w:val="auto"/>
          <w:sz w:val="24"/>
          <w:szCs w:val="24"/>
          <w:highlight w:val="none"/>
          <w:lang w:val="en-US" w:eastAsia="zh-CN"/>
        </w:rPr>
        <w:drawing>
          <wp:inline distT="0" distB="0" distL="114300" distR="114300">
            <wp:extent cx="3215005" cy="2411095"/>
            <wp:effectExtent l="0" t="0" r="10795" b="1905"/>
            <wp:docPr id="8" name="图片 8" descr="c71a4c05a99db0c8b8a4ee0e69a91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71a4c05a99db0c8b8a4ee0e69a917e"/>
                    <pic:cNvPicPr>
                      <a:picLocks noChangeAspect="1"/>
                    </pic:cNvPicPr>
                  </pic:nvPicPr>
                  <pic:blipFill>
                    <a:blip r:embed="rId13"/>
                    <a:stretch>
                      <a:fillRect/>
                    </a:stretch>
                  </pic:blipFill>
                  <pic:spPr>
                    <a:xfrm>
                      <a:off x="0" y="0"/>
                      <a:ext cx="3215005" cy="2411095"/>
                    </a:xfrm>
                    <a:prstGeom prst="rect">
                      <a:avLst/>
                    </a:prstGeom>
                  </pic:spPr>
                </pic:pic>
              </a:graphicData>
            </a:graphic>
          </wp:inline>
        </w:drawing>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人员配置：需配备不少于3名人员在现场进行24小时管理。</w:t>
      </w:r>
    </w:p>
    <w:p>
      <w:pPr>
        <w:pStyle w:val="30"/>
        <w:numPr>
          <w:ilvl w:val="1"/>
          <w:numId w:val="11"/>
        </w:numPr>
        <w:spacing w:line="360" w:lineRule="auto"/>
        <w:ind w:left="415" w:leftChars="0" w:hanging="415" w:hangingChars="173"/>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设备和工程量清单</w:t>
      </w:r>
    </w:p>
    <w:tbl>
      <w:tblPr>
        <w:tblStyle w:val="19"/>
        <w:tblW w:w="87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1"/>
        <w:gridCol w:w="1741"/>
        <w:gridCol w:w="636"/>
        <w:gridCol w:w="452"/>
        <w:gridCol w:w="2341"/>
        <w:gridCol w:w="3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68"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上二村车牌识别系统设备清单（9个车道）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一、硬件设备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1、入口设备 （5个车道）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2"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54" w:type="dxa"/>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10" w:type="dxa"/>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452" w:type="dxa"/>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347" w:type="dxa"/>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配置情况</w:t>
            </w:r>
          </w:p>
        </w:tc>
        <w:tc>
          <w:tcPr>
            <w:tcW w:w="3110" w:type="dxa"/>
            <w:tcBorders>
              <w:top w:val="nil"/>
              <w:left w:val="single" w:color="000000" w:sz="4" w:space="0"/>
              <w:bottom w:val="single" w:color="000000" w:sz="4" w:space="0"/>
              <w:right w:val="single" w:color="000000" w:sz="8"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智能道闸</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直杆道闸，直流无刷，开闸时间1.5-6S可调，灰色机身、含空开、含1个单路车检器，可配1.5—4米直杆（最快开闸速度随杆长变化）</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348615</wp:posOffset>
                  </wp:positionH>
                  <wp:positionV relativeFrom="paragraph">
                    <wp:posOffset>40640</wp:posOffset>
                  </wp:positionV>
                  <wp:extent cx="1439545" cy="928370"/>
                  <wp:effectExtent l="0" t="0" r="8255" b="5080"/>
                  <wp:wrapNone/>
                  <wp:docPr id="20" name="图片_21"/>
                  <wp:cNvGraphicFramePr/>
                  <a:graphic xmlns:a="http://schemas.openxmlformats.org/drawingml/2006/main">
                    <a:graphicData uri="http://schemas.openxmlformats.org/drawingml/2006/picture">
                      <pic:pic xmlns:pic="http://schemas.openxmlformats.org/drawingml/2006/picture">
                        <pic:nvPicPr>
                          <pic:cNvPr id="20" name="图片_21"/>
                          <pic:cNvPicPr/>
                        </pic:nvPicPr>
                        <pic:blipFill>
                          <a:blip r:embed="rId14"/>
                          <a:stretch>
                            <a:fillRect/>
                          </a:stretch>
                        </pic:blipFill>
                        <pic:spPr>
                          <a:xfrm>
                            <a:off x="0" y="0"/>
                            <a:ext cx="1439545" cy="9283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地感处理器</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含底座</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PMS控制机</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LED显示屏</w:t>
            </w:r>
          </w:p>
        </w:tc>
        <w:tc>
          <w:tcPr>
            <w:tcW w:w="3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灰色</w:t>
            </w: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一体化机箱</w:t>
            </w: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视频流触发</w:t>
            </w: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CS高清手动变焦镜头</w:t>
            </w:r>
          </w:p>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2.7-13.5mm-F1.4</w:t>
            </w: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268"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2、出口设备  （4个车道）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2" w:type="dxa"/>
            <w:tcBorders>
              <w:top w:val="single" w:color="000000" w:sz="8" w:space="0"/>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54"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10"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452"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347"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配置情况</w:t>
            </w:r>
          </w:p>
        </w:tc>
        <w:tc>
          <w:tcPr>
            <w:tcW w:w="3110" w:type="dxa"/>
            <w:tcBorders>
              <w:top w:val="single" w:color="000000" w:sz="8" w:space="0"/>
              <w:left w:val="single" w:color="000000" w:sz="4" w:space="0"/>
              <w:bottom w:val="single" w:color="000000" w:sz="4" w:space="0"/>
              <w:right w:val="single" w:color="000000" w:sz="8"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智能道闸</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直杆道闸，直流无刷，开闸时间1.5-6S可调，灰色机身、含空开、含1个单路车检器，可配1.5—4米直杆（最快开闸速度随杆长变化）</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地感处理器</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含底座</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PMS控制机</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LED显示屏</w:t>
            </w:r>
          </w:p>
        </w:tc>
        <w:tc>
          <w:tcPr>
            <w:tcW w:w="3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灰色</w:t>
            </w: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一体化机箱</w:t>
            </w: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视频流触发</w:t>
            </w: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CS高清手动变焦镜头</w:t>
            </w:r>
          </w:p>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3.3-10.5mm-F1.4</w:t>
            </w: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268"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3、双路设别配置包（2个车道配置附枪）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2" w:type="dxa"/>
            <w:tcBorders>
              <w:top w:val="single" w:color="000000" w:sz="8" w:space="0"/>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54"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10"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452"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347"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配置情况</w:t>
            </w:r>
          </w:p>
        </w:tc>
        <w:tc>
          <w:tcPr>
            <w:tcW w:w="3110" w:type="dxa"/>
            <w:tcBorders>
              <w:top w:val="single" w:color="000000" w:sz="8" w:space="0"/>
              <w:left w:val="single" w:color="000000" w:sz="4" w:space="0"/>
              <w:bottom w:val="single" w:color="000000" w:sz="4" w:space="0"/>
              <w:right w:val="single" w:color="000000" w:sz="8"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高清枪型网</w:t>
            </w:r>
          </w:p>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络摄像机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变焦</w:t>
            </w:r>
          </w:p>
        </w:tc>
        <w:tc>
          <w:tcPr>
            <w:tcW w:w="3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摄像机立柱组件</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摄像机立柱配件包</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摄像机联接组件</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摄像机抱箍支架组件</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补光灯</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287020</wp:posOffset>
                  </wp:positionH>
                  <wp:positionV relativeFrom="paragraph">
                    <wp:posOffset>0</wp:posOffset>
                  </wp:positionV>
                  <wp:extent cx="152400" cy="9525"/>
                  <wp:effectExtent l="0" t="0" r="0" b="0"/>
                  <wp:wrapNone/>
                  <wp:docPr id="9" name="Shape5"/>
                  <wp:cNvGraphicFramePr/>
                  <a:graphic xmlns:a="http://schemas.openxmlformats.org/drawingml/2006/main">
                    <a:graphicData uri="http://schemas.openxmlformats.org/drawingml/2006/picture">
                      <pic:pic xmlns:pic="http://schemas.openxmlformats.org/drawingml/2006/picture">
                        <pic:nvPicPr>
                          <pic:cNvPr id="9" name="Shape5"/>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b/>
                <w:bCs/>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287020</wp:posOffset>
                  </wp:positionH>
                  <wp:positionV relativeFrom="paragraph">
                    <wp:posOffset>0</wp:posOffset>
                  </wp:positionV>
                  <wp:extent cx="152400" cy="9525"/>
                  <wp:effectExtent l="0" t="0" r="0" b="0"/>
                  <wp:wrapNone/>
                  <wp:docPr id="11" name="Shape3"/>
                  <wp:cNvGraphicFramePr/>
                  <a:graphic xmlns:a="http://schemas.openxmlformats.org/drawingml/2006/main">
                    <a:graphicData uri="http://schemas.openxmlformats.org/drawingml/2006/picture">
                      <pic:pic xmlns:pic="http://schemas.openxmlformats.org/drawingml/2006/picture">
                        <pic:nvPicPr>
                          <pic:cNvPr id="11" name="Shape3"/>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b/>
                <w:bCs/>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287020</wp:posOffset>
                  </wp:positionH>
                  <wp:positionV relativeFrom="paragraph">
                    <wp:posOffset>0</wp:posOffset>
                  </wp:positionV>
                  <wp:extent cx="152400" cy="9525"/>
                  <wp:effectExtent l="0" t="0" r="0" b="0"/>
                  <wp:wrapNone/>
                  <wp:docPr id="18" name="Shape4"/>
                  <wp:cNvGraphicFramePr/>
                  <a:graphic xmlns:a="http://schemas.openxmlformats.org/drawingml/2006/main">
                    <a:graphicData uri="http://schemas.openxmlformats.org/drawingml/2006/picture">
                      <pic:pic xmlns:pic="http://schemas.openxmlformats.org/drawingml/2006/picture">
                        <pic:nvPicPr>
                          <pic:cNvPr id="18" name="Shape4"/>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b/>
                <w:bCs/>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287020</wp:posOffset>
                  </wp:positionH>
                  <wp:positionV relativeFrom="paragraph">
                    <wp:posOffset>0</wp:posOffset>
                  </wp:positionV>
                  <wp:extent cx="152400" cy="9525"/>
                  <wp:effectExtent l="0" t="0" r="0" b="0"/>
                  <wp:wrapNone/>
                  <wp:docPr id="25" name="Shape6"/>
                  <wp:cNvGraphicFramePr/>
                  <a:graphic xmlns:a="http://schemas.openxmlformats.org/drawingml/2006/main">
                    <a:graphicData uri="http://schemas.openxmlformats.org/drawingml/2006/picture">
                      <pic:pic xmlns:pic="http://schemas.openxmlformats.org/drawingml/2006/picture">
                        <pic:nvPicPr>
                          <pic:cNvPr id="25" name="Shape6"/>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b/>
                <w:bCs/>
                <w:i w:val="0"/>
                <w:iCs w:val="0"/>
                <w:color w:val="auto"/>
                <w:kern w:val="0"/>
                <w:sz w:val="21"/>
                <w:szCs w:val="21"/>
                <w:highlight w:val="none"/>
                <w:u w:val="none"/>
                <w:lang w:val="en-US" w:eastAsia="zh-CN" w:bidi="ar"/>
              </w:rPr>
              <w:t>二、停车场管理系统、电脑、网络及相关配件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2" w:type="dxa"/>
            <w:tcBorders>
              <w:top w:val="nil"/>
              <w:left w:val="single" w:color="000000" w:sz="8"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54" w:type="dxa"/>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10" w:type="dxa"/>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452" w:type="dxa"/>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347" w:type="dxa"/>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配置情况</w:t>
            </w:r>
          </w:p>
        </w:tc>
        <w:tc>
          <w:tcPr>
            <w:tcW w:w="3110" w:type="dxa"/>
            <w:tcBorders>
              <w:top w:val="nil"/>
              <w:left w:val="single" w:color="000000" w:sz="4" w:space="0"/>
              <w:bottom w:val="nil"/>
              <w:right w:val="single" w:color="000000" w:sz="8"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工作站电脑</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含显示器和鼠标键盘套件</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停车管理平台</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千兆交换机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16口全千兆交换机</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电源插座</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10A-250V</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54"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防撞柱</w:t>
            </w:r>
          </w:p>
        </w:tc>
        <w:tc>
          <w:tcPr>
            <w:tcW w:w="61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52"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2347"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tcBorders>
              <w:top w:val="nil"/>
              <w:left w:val="single" w:color="000000" w:sz="4" w:space="0"/>
              <w:bottom w:val="nil"/>
              <w:right w:val="nil"/>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2" w:type="dxa"/>
            <w:tcBorders>
              <w:top w:val="single" w:color="000000" w:sz="8" w:space="0"/>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54"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10"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452"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347"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配置情况</w:t>
            </w:r>
          </w:p>
        </w:tc>
        <w:tc>
          <w:tcPr>
            <w:tcW w:w="3110" w:type="dxa"/>
            <w:tcBorders>
              <w:top w:val="single" w:color="000000" w:sz="8" w:space="0"/>
              <w:left w:val="single" w:color="000000" w:sz="4" w:space="0"/>
              <w:bottom w:val="single" w:color="000000" w:sz="4" w:space="0"/>
              <w:right w:val="single" w:color="000000" w:sz="8"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施工材料</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道闸控制</w:t>
            </w: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设备供电</w:t>
            </w: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2.8米一根</w:t>
            </w: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超五类非屏蔽网线</w:t>
            </w: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打磨片、管码、胶塞等</w:t>
            </w: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安装设备</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安装新设备</w:t>
            </w: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土建施工</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含所有开沟、切割地感、综合布管布线等施工。</w:t>
            </w: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安全岛部分工作量(含刷油漆或贴瓷砖)/以实际工程预算核算为准</w:t>
            </w: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3000×500×250mm(2个），1500×500×250mm（3个）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系统调试</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按停车场套数计算/以实际工程预算核算为准</w:t>
            </w: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7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12" name="Shape9"/>
                  <wp:cNvGraphicFramePr/>
                  <a:graphic xmlns:a="http://schemas.openxmlformats.org/drawingml/2006/main">
                    <a:graphicData uri="http://schemas.openxmlformats.org/drawingml/2006/picture">
                      <pic:pic xmlns:pic="http://schemas.openxmlformats.org/drawingml/2006/picture">
                        <pic:nvPicPr>
                          <pic:cNvPr id="12" name="Shape9"/>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13" name="Shape8"/>
                  <wp:cNvGraphicFramePr/>
                  <a:graphic xmlns:a="http://schemas.openxmlformats.org/drawingml/2006/main">
                    <a:graphicData uri="http://schemas.openxmlformats.org/drawingml/2006/picture">
                      <pic:pic xmlns:pic="http://schemas.openxmlformats.org/drawingml/2006/picture">
                        <pic:nvPicPr>
                          <pic:cNvPr id="13" name="Shape8"/>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24" name="Shape10"/>
                  <wp:cNvGraphicFramePr/>
                  <a:graphic xmlns:a="http://schemas.openxmlformats.org/drawingml/2006/main">
                    <a:graphicData uri="http://schemas.openxmlformats.org/drawingml/2006/picture">
                      <pic:pic xmlns:pic="http://schemas.openxmlformats.org/drawingml/2006/picture">
                        <pic:nvPicPr>
                          <pic:cNvPr id="24" name="Shape10"/>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27" name="Shape8_SpCnt_1"/>
                  <wp:cNvGraphicFramePr/>
                  <a:graphic xmlns:a="http://schemas.openxmlformats.org/drawingml/2006/main">
                    <a:graphicData uri="http://schemas.openxmlformats.org/drawingml/2006/picture">
                      <pic:pic xmlns:pic="http://schemas.openxmlformats.org/drawingml/2006/picture">
                        <pic:nvPicPr>
                          <pic:cNvPr id="27" name="Shape8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16" name="Shape9_SpCnt_1"/>
                  <wp:cNvGraphicFramePr/>
                  <a:graphic xmlns:a="http://schemas.openxmlformats.org/drawingml/2006/main">
                    <a:graphicData uri="http://schemas.openxmlformats.org/drawingml/2006/picture">
                      <pic:pic xmlns:pic="http://schemas.openxmlformats.org/drawingml/2006/picture">
                        <pic:nvPicPr>
                          <pic:cNvPr id="16" name="Shape9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19" name="Shape7"/>
                  <wp:cNvGraphicFramePr/>
                  <a:graphic xmlns:a="http://schemas.openxmlformats.org/drawingml/2006/main">
                    <a:graphicData uri="http://schemas.openxmlformats.org/drawingml/2006/picture">
                      <pic:pic xmlns:pic="http://schemas.openxmlformats.org/drawingml/2006/picture">
                        <pic:nvPicPr>
                          <pic:cNvPr id="19" name="Shape7"/>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17" name="Shape7_SpCnt_1"/>
                  <wp:cNvGraphicFramePr/>
                  <a:graphic xmlns:a="http://schemas.openxmlformats.org/drawingml/2006/main">
                    <a:graphicData uri="http://schemas.openxmlformats.org/drawingml/2006/picture">
                      <pic:pic xmlns:pic="http://schemas.openxmlformats.org/drawingml/2006/picture">
                        <pic:nvPicPr>
                          <pic:cNvPr id="17" name="Shape7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21" name="Shape10_SpCnt_1"/>
                  <wp:cNvGraphicFramePr/>
                  <a:graphic xmlns:a="http://schemas.openxmlformats.org/drawingml/2006/main">
                    <a:graphicData uri="http://schemas.openxmlformats.org/drawingml/2006/picture">
                      <pic:pic xmlns:pic="http://schemas.openxmlformats.org/drawingml/2006/picture">
                        <pic:nvPicPr>
                          <pic:cNvPr id="21" name="Shape10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lang w:val="en-US" w:eastAsia="zh-CN" w:bidi="ar"/>
              </w:rPr>
              <w:t>运输费用</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趟</w:t>
            </w:r>
          </w:p>
        </w:tc>
        <w:tc>
          <w:tcPr>
            <w:tcW w:w="23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区域不同、收费不同</w:t>
            </w:r>
          </w:p>
        </w:tc>
        <w:tc>
          <w:tcPr>
            <w:tcW w:w="311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监控系统</w:t>
            </w:r>
          </w:p>
        </w:tc>
        <w:tc>
          <w:tcPr>
            <w:tcW w:w="6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23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含硬盘、录像机、43寸显示屏</w:t>
            </w:r>
          </w:p>
        </w:tc>
        <w:tc>
          <w:tcPr>
            <w:tcW w:w="311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268"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drawing>
                <wp:anchor distT="0" distB="0" distL="114300" distR="114300" simplePos="0" relativeHeight="251659264" behindDoc="0" locked="0" layoutInCell="1" allowOverlap="1">
                  <wp:simplePos x="0" y="0"/>
                  <wp:positionH relativeFrom="column">
                    <wp:posOffset>287020</wp:posOffset>
                  </wp:positionH>
                  <wp:positionV relativeFrom="paragraph">
                    <wp:posOffset>0</wp:posOffset>
                  </wp:positionV>
                  <wp:extent cx="152400" cy="9525"/>
                  <wp:effectExtent l="0" t="0" r="0" b="0"/>
                  <wp:wrapNone/>
                  <wp:docPr id="22" name="Shape6_SpCnt_1"/>
                  <wp:cNvGraphicFramePr/>
                  <a:graphic xmlns:a="http://schemas.openxmlformats.org/drawingml/2006/main">
                    <a:graphicData uri="http://schemas.openxmlformats.org/drawingml/2006/picture">
                      <pic:pic xmlns:pic="http://schemas.openxmlformats.org/drawingml/2006/picture">
                        <pic:nvPicPr>
                          <pic:cNvPr id="22" name="Shape6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b/>
                <w:bCs/>
                <w:i w:val="0"/>
                <w:iCs w:val="0"/>
                <w:color w:val="auto"/>
                <w:kern w:val="0"/>
                <w:sz w:val="21"/>
                <w:szCs w:val="21"/>
                <w:highlight w:val="none"/>
                <w:u w:val="none"/>
                <w:lang w:val="en-US" w:eastAsia="zh-CN" w:bidi="ar"/>
              </w:rPr>
              <w:drawing>
                <wp:anchor distT="0" distB="0" distL="114300" distR="114300" simplePos="0" relativeHeight="251659264" behindDoc="0" locked="0" layoutInCell="1" allowOverlap="1">
                  <wp:simplePos x="0" y="0"/>
                  <wp:positionH relativeFrom="column">
                    <wp:posOffset>287020</wp:posOffset>
                  </wp:positionH>
                  <wp:positionV relativeFrom="paragraph">
                    <wp:posOffset>0</wp:posOffset>
                  </wp:positionV>
                  <wp:extent cx="152400" cy="9525"/>
                  <wp:effectExtent l="0" t="0" r="0" b="0"/>
                  <wp:wrapNone/>
                  <wp:docPr id="10" name="Shape5_SpCnt_1"/>
                  <wp:cNvGraphicFramePr/>
                  <a:graphic xmlns:a="http://schemas.openxmlformats.org/drawingml/2006/main">
                    <a:graphicData uri="http://schemas.openxmlformats.org/drawingml/2006/picture">
                      <pic:pic xmlns:pic="http://schemas.openxmlformats.org/drawingml/2006/picture">
                        <pic:nvPicPr>
                          <pic:cNvPr id="10" name="Shape5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b/>
                <w:bCs/>
                <w:i w:val="0"/>
                <w:iCs w:val="0"/>
                <w:color w:val="auto"/>
                <w:kern w:val="0"/>
                <w:sz w:val="21"/>
                <w:szCs w:val="21"/>
                <w:highlight w:val="none"/>
                <w:u w:val="none"/>
                <w:lang w:val="en-US" w:eastAsia="zh-CN" w:bidi="ar"/>
              </w:rPr>
              <w:drawing>
                <wp:anchor distT="0" distB="0" distL="114300" distR="114300" simplePos="0" relativeHeight="251659264" behindDoc="0" locked="0" layoutInCell="1" allowOverlap="1">
                  <wp:simplePos x="0" y="0"/>
                  <wp:positionH relativeFrom="column">
                    <wp:posOffset>287020</wp:posOffset>
                  </wp:positionH>
                  <wp:positionV relativeFrom="paragraph">
                    <wp:posOffset>0</wp:posOffset>
                  </wp:positionV>
                  <wp:extent cx="152400" cy="9525"/>
                  <wp:effectExtent l="0" t="0" r="0" b="0"/>
                  <wp:wrapNone/>
                  <wp:docPr id="26" name="Shape4_SpCnt_1"/>
                  <wp:cNvGraphicFramePr/>
                  <a:graphic xmlns:a="http://schemas.openxmlformats.org/drawingml/2006/main">
                    <a:graphicData uri="http://schemas.openxmlformats.org/drawingml/2006/picture">
                      <pic:pic xmlns:pic="http://schemas.openxmlformats.org/drawingml/2006/picture">
                        <pic:nvPicPr>
                          <pic:cNvPr id="26" name="Shape4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b/>
                <w:bCs/>
                <w:i w:val="0"/>
                <w:iCs w:val="0"/>
                <w:color w:val="auto"/>
                <w:kern w:val="0"/>
                <w:sz w:val="21"/>
                <w:szCs w:val="21"/>
                <w:highlight w:val="none"/>
                <w:u w:val="none"/>
                <w:lang w:val="en-US" w:eastAsia="zh-CN" w:bidi="ar"/>
              </w:rPr>
              <w:drawing>
                <wp:anchor distT="0" distB="0" distL="114300" distR="114300" simplePos="0" relativeHeight="251659264" behindDoc="0" locked="0" layoutInCell="1" allowOverlap="1">
                  <wp:simplePos x="0" y="0"/>
                  <wp:positionH relativeFrom="column">
                    <wp:posOffset>287020</wp:posOffset>
                  </wp:positionH>
                  <wp:positionV relativeFrom="paragraph">
                    <wp:posOffset>0</wp:posOffset>
                  </wp:positionV>
                  <wp:extent cx="152400" cy="9525"/>
                  <wp:effectExtent l="0" t="0" r="0" b="0"/>
                  <wp:wrapNone/>
                  <wp:docPr id="23" name="Shape3_SpCnt_1"/>
                  <wp:cNvGraphicFramePr/>
                  <a:graphic xmlns:a="http://schemas.openxmlformats.org/drawingml/2006/main">
                    <a:graphicData uri="http://schemas.openxmlformats.org/drawingml/2006/picture">
                      <pic:pic xmlns:pic="http://schemas.openxmlformats.org/drawingml/2006/picture">
                        <pic:nvPicPr>
                          <pic:cNvPr id="23" name="Shape3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b/>
                <w:bCs/>
                <w:i w:val="0"/>
                <w:iCs w:val="0"/>
                <w:color w:val="auto"/>
                <w:kern w:val="0"/>
                <w:sz w:val="21"/>
                <w:szCs w:val="21"/>
                <w:highlight w:val="none"/>
                <w:u w:val="none"/>
                <w:lang w:val="en-US" w:eastAsia="zh-CN" w:bidi="ar"/>
              </w:rPr>
              <w:t>四、车位划线、标识标牌、设备维保费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2" w:type="dxa"/>
            <w:tcBorders>
              <w:top w:val="single" w:color="000000" w:sz="8" w:space="0"/>
              <w:left w:val="single" w:color="000000" w:sz="8"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54" w:type="dxa"/>
            <w:tcBorders>
              <w:top w:val="single" w:color="000000" w:sz="8"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10" w:type="dxa"/>
            <w:tcBorders>
              <w:top w:val="single" w:color="000000" w:sz="8"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452" w:type="dxa"/>
            <w:tcBorders>
              <w:top w:val="single" w:color="000000" w:sz="8"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347" w:type="dxa"/>
            <w:tcBorders>
              <w:top w:val="single" w:color="000000" w:sz="8"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配置情况</w:t>
            </w:r>
          </w:p>
        </w:tc>
        <w:tc>
          <w:tcPr>
            <w:tcW w:w="3110" w:type="dxa"/>
            <w:tcBorders>
              <w:top w:val="single" w:color="000000" w:sz="8" w:space="0"/>
              <w:left w:val="single" w:color="000000" w:sz="4" w:space="0"/>
              <w:bottom w:val="nil"/>
              <w:right w:val="single" w:color="000000" w:sz="8"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车位划线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热熔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网格线、识别区、箭头</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标识标牌</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收费标准牌、限速牌、二维码</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含3米立柱和抱箍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每年设备维保费</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含配件含人工</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r>
    </w:tbl>
    <w:p>
      <w:pPr>
        <w:pStyle w:val="30"/>
        <w:numPr>
          <w:ilvl w:val="0"/>
          <w:numId w:val="0"/>
        </w:numPr>
        <w:tabs>
          <w:tab w:val="left" w:pos="220"/>
        </w:tabs>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备注：（1）智能停车系统设备采购、安装及维保费用总预算约为270000元内(大写:人民币贰拾柒万元整），其中智能停车系统设备采购、安装及车位、闸口网格线、识别区、消防通道路面标识字、标识牌画线费用约为205000元，5年的维保费用约为65000元，以中标人实际支出费用为准），智能停车系统设备采购、安装、画线及维保等一切费用已包含在中标价内由中标人负责，招标人不再另行支出</w:t>
      </w:r>
      <w:r>
        <w:rPr>
          <w:rFonts w:hint="eastAsia" w:ascii="宋体" w:hAnsi="宋体" w:eastAsia="宋体" w:cs="宋体"/>
          <w:b w:val="0"/>
          <w:bCs w:val="0"/>
          <w:color w:val="auto"/>
          <w:sz w:val="24"/>
          <w:szCs w:val="24"/>
          <w:highlight w:val="none"/>
          <w:lang w:val="en-US" w:eastAsia="zh-CN"/>
        </w:rPr>
        <w:t>。</w:t>
      </w:r>
    </w:p>
    <w:p>
      <w:pPr>
        <w:pStyle w:val="30"/>
        <w:numPr>
          <w:ilvl w:val="0"/>
          <w:numId w:val="0"/>
        </w:numPr>
        <w:tabs>
          <w:tab w:val="left" w:pos="220"/>
        </w:tabs>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质量标准：清单中第一部分“硬件部分”设备参考品牌为艾科、捷顺或同等质量以上的品牌，且必须提供厂家授权书，质保期5年。中标人拟投入的设备清单（含品牌、型号等）须招标人确认后才能实施安装，否则视为中标人违约。</w:t>
      </w:r>
    </w:p>
    <w:p>
      <w:pPr>
        <w:pStyle w:val="30"/>
        <w:numPr>
          <w:ilvl w:val="0"/>
          <w:numId w:val="11"/>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停</w:t>
      </w:r>
      <w:r>
        <w:rPr>
          <w:rFonts w:hint="eastAsia" w:ascii="宋体" w:hAnsi="宋体" w:eastAsia="宋体" w:cs="宋体"/>
          <w:b/>
          <w:bCs/>
          <w:color w:val="auto"/>
          <w:sz w:val="24"/>
          <w:szCs w:val="24"/>
          <w:highlight w:val="none"/>
          <w:lang w:val="en-US" w:eastAsia="zh-CN"/>
        </w:rPr>
        <w:t>泊位设置</w:t>
      </w:r>
    </w:p>
    <w:p>
      <w:pPr>
        <w:pStyle w:val="30"/>
        <w:numPr>
          <w:ilvl w:val="0"/>
          <w:numId w:val="0"/>
        </w:numPr>
        <w:tabs>
          <w:tab w:val="left" w:pos="220"/>
        </w:tabs>
        <w:spacing w:line="360" w:lineRule="auto"/>
        <w:ind w:left="0" w:leftChars="0" w:firstLine="420" w:firstLineChars="175"/>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目前吉利</w:t>
      </w:r>
      <w:r>
        <w:rPr>
          <w:rFonts w:hint="eastAsia" w:ascii="宋体" w:hAnsi="宋体" w:cs="宋体"/>
          <w:b w:val="0"/>
          <w:bCs w:val="0"/>
          <w:color w:val="auto"/>
          <w:sz w:val="24"/>
          <w:szCs w:val="24"/>
          <w:highlight w:val="none"/>
          <w:lang w:val="en-US" w:eastAsia="zh-CN"/>
        </w:rPr>
        <w:t>上二村</w:t>
      </w:r>
      <w:r>
        <w:rPr>
          <w:rFonts w:hint="eastAsia" w:ascii="宋体" w:hAnsi="宋体" w:eastAsia="宋体" w:cs="宋体"/>
          <w:b w:val="0"/>
          <w:bCs w:val="0"/>
          <w:color w:val="auto"/>
          <w:sz w:val="24"/>
          <w:szCs w:val="24"/>
          <w:highlight w:val="none"/>
          <w:lang w:val="en-US" w:eastAsia="zh-CN"/>
        </w:rPr>
        <w:t>已有划线车位约</w:t>
      </w:r>
      <w:r>
        <w:rPr>
          <w:rFonts w:hint="eastAsia" w:ascii="宋体" w:hAnsi="宋体" w:cs="宋体"/>
          <w:b w:val="0"/>
          <w:bCs w:val="0"/>
          <w:color w:val="auto"/>
          <w:sz w:val="24"/>
          <w:szCs w:val="24"/>
          <w:highlight w:val="none"/>
          <w:lang w:val="en-US" w:eastAsia="zh-CN"/>
        </w:rPr>
        <w:t>50</w:t>
      </w:r>
      <w:r>
        <w:rPr>
          <w:rFonts w:hint="eastAsia" w:ascii="宋体" w:hAnsi="宋体" w:eastAsia="宋体" w:cs="宋体"/>
          <w:b w:val="0"/>
          <w:bCs w:val="0"/>
          <w:color w:val="auto"/>
          <w:sz w:val="24"/>
          <w:szCs w:val="24"/>
          <w:highlight w:val="none"/>
          <w:lang w:val="en-US" w:eastAsia="zh-CN"/>
        </w:rPr>
        <w:t>个，需由</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划车位线约100个及各闸口网格线、识别区、消防通道路面标识字、标识牌等</w:t>
      </w:r>
      <w:r>
        <w:rPr>
          <w:rFonts w:hint="eastAsia" w:ascii="宋体" w:hAnsi="宋体" w:cs="宋体"/>
          <w:b w:val="0"/>
          <w:bCs w:val="0"/>
          <w:color w:val="auto"/>
          <w:sz w:val="24"/>
          <w:szCs w:val="24"/>
          <w:highlight w:val="none"/>
          <w:lang w:val="en-US" w:eastAsia="zh-CN"/>
        </w:rPr>
        <w:t>，具体停泊车位的设置位置须经招标人确认才能划线，</w:t>
      </w:r>
      <w:r>
        <w:rPr>
          <w:rFonts w:hint="eastAsia" w:ascii="宋体" w:hAnsi="宋体" w:eastAsia="宋体" w:cs="宋体"/>
          <w:b w:val="0"/>
          <w:bCs w:val="0"/>
          <w:color w:val="auto"/>
          <w:sz w:val="24"/>
          <w:szCs w:val="24"/>
          <w:highlight w:val="none"/>
          <w:lang w:val="en-US" w:eastAsia="zh-CN"/>
        </w:rPr>
        <w:t>如需增加或减少车位，需提交可行性方案报招标人审批后方可进行操作。</w:t>
      </w:r>
    </w:p>
    <w:p>
      <w:pPr>
        <w:pStyle w:val="30"/>
        <w:numPr>
          <w:ilvl w:val="0"/>
          <w:numId w:val="0"/>
        </w:numPr>
        <w:tabs>
          <w:tab w:val="left" w:pos="220"/>
        </w:tabs>
        <w:spacing w:line="360" w:lineRule="auto"/>
        <w:ind w:left="0" w:leftChars="0" w:firstLine="420" w:firstLineChars="175"/>
        <w:rPr>
          <w:rFonts w:hint="eastAsia" w:ascii="宋体" w:hAnsi="宋体" w:eastAsia="宋体" w:cs="宋体"/>
          <w:b w:val="0"/>
          <w:bCs w:val="0"/>
          <w:color w:val="auto"/>
          <w:sz w:val="24"/>
          <w:szCs w:val="24"/>
          <w:highlight w:val="none"/>
          <w:lang w:val="en-US" w:eastAsia="zh-CN"/>
        </w:rPr>
      </w:pPr>
    </w:p>
    <w:p>
      <w:pPr>
        <w:pStyle w:val="30"/>
        <w:numPr>
          <w:ilvl w:val="0"/>
          <w:numId w:val="11"/>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运营管理</w:t>
      </w:r>
    </w:p>
    <w:p>
      <w:pPr>
        <w:pStyle w:val="6"/>
        <w:ind w:left="415" w:leftChars="0" w:hanging="415" w:hangingChars="173"/>
        <w:rPr>
          <w:rFonts w:hint="eastAsia" w:ascii="宋体" w:hAnsi="宋体" w:eastAsia="宋体" w:cs="宋体"/>
          <w:color w:val="auto"/>
          <w:sz w:val="24"/>
          <w:szCs w:val="24"/>
          <w:highlight w:val="none"/>
        </w:rPr>
      </w:pPr>
    </w:p>
    <w:p>
      <w:pPr>
        <w:pStyle w:val="30"/>
        <w:numPr>
          <w:ilvl w:val="1"/>
          <w:numId w:val="11"/>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停车收费方案</w:t>
      </w:r>
    </w:p>
    <w:p>
      <w:pPr>
        <w:pStyle w:val="30"/>
        <w:numPr>
          <w:ilvl w:val="2"/>
          <w:numId w:val="11"/>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服务期</w:t>
      </w:r>
      <w:r>
        <w:rPr>
          <w:rFonts w:hint="eastAsia" w:ascii="宋体" w:hAnsi="宋体" w:eastAsia="宋体" w:cs="宋体"/>
          <w:b w:val="0"/>
          <w:bCs w:val="0"/>
          <w:color w:val="auto"/>
          <w:sz w:val="24"/>
          <w:szCs w:val="24"/>
          <w:highlight w:val="none"/>
          <w:lang w:val="en-US" w:eastAsia="zh-CN"/>
        </w:rPr>
        <w:t>为</w:t>
      </w:r>
      <w:r>
        <w:rPr>
          <w:rFonts w:hint="eastAsia" w:ascii="宋体" w:hAnsi="宋体" w:cs="宋体"/>
          <w:b w:val="0"/>
          <w:bCs w:val="0"/>
          <w:color w:val="auto"/>
          <w:sz w:val="24"/>
          <w:szCs w:val="24"/>
          <w:highlight w:val="none"/>
          <w:lang w:val="en-US" w:eastAsia="zh-CN"/>
        </w:rPr>
        <w:t>5年</w:t>
      </w:r>
      <w:r>
        <w:rPr>
          <w:rFonts w:hint="eastAsia" w:ascii="宋体" w:hAnsi="宋体" w:eastAsia="宋体" w:cs="宋体"/>
          <w:b w:val="0"/>
          <w:bCs w:val="0"/>
          <w:color w:val="auto"/>
          <w:sz w:val="24"/>
          <w:szCs w:val="24"/>
          <w:highlight w:val="none"/>
          <w:lang w:val="en-US" w:eastAsia="zh-CN"/>
        </w:rPr>
        <w:t>，中标人同</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签署车辆停放管理合同书，按照中标金额向</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缴纳车辆停放管理服务维护费。</w:t>
      </w:r>
      <w:r>
        <w:rPr>
          <w:rFonts w:hint="eastAsia" w:ascii="宋体" w:hAnsi="宋体" w:cs="宋体"/>
          <w:b w:val="0"/>
          <w:bCs w:val="0"/>
          <w:color w:val="auto"/>
          <w:sz w:val="24"/>
          <w:szCs w:val="24"/>
          <w:highlight w:val="none"/>
          <w:lang w:val="en-US" w:eastAsia="zh-CN"/>
        </w:rPr>
        <w:t>自第一年起，</w:t>
      </w:r>
      <w:r>
        <w:rPr>
          <w:rFonts w:hint="eastAsia" w:ascii="宋体" w:hAnsi="宋体" w:eastAsia="宋体" w:cs="宋体"/>
          <w:b w:val="0"/>
          <w:bCs w:val="0"/>
          <w:color w:val="auto"/>
          <w:sz w:val="24"/>
          <w:szCs w:val="24"/>
          <w:highlight w:val="none"/>
          <w:lang w:val="en-US" w:eastAsia="zh-CN"/>
        </w:rPr>
        <w:t>每两年为一个周期，每个周期内的年度管理费在上一个周期的基础上按8%固定递增</w:t>
      </w:r>
      <w:r>
        <w:rPr>
          <w:rFonts w:hint="eastAsia" w:ascii="宋体" w:hAnsi="宋体" w:cs="宋体"/>
          <w:color w:val="auto"/>
          <w:sz w:val="24"/>
          <w:highlight w:val="none"/>
          <w:lang w:val="en-US" w:eastAsia="zh-CN"/>
        </w:rPr>
        <w:t>（比如首年15万，第1-2年为第一个周期（第一个周期内的年度管理费均为15万），第3-4年为第二个周期，第二个周期（第3-4年）内的年度管理费是15万</w:t>
      </w:r>
      <w:r>
        <w:rPr>
          <w:rFonts w:hint="default" w:ascii="Arial" w:hAnsi="Arial" w:cs="Arial"/>
          <w:color w:val="auto"/>
          <w:sz w:val="24"/>
          <w:highlight w:val="none"/>
          <w:lang w:val="en-US" w:eastAsia="zh-CN"/>
        </w:rPr>
        <w:t>×</w:t>
      </w:r>
      <w:r>
        <w:rPr>
          <w:rFonts w:hint="eastAsia" w:ascii="宋体" w:hAnsi="宋体" w:cs="宋体"/>
          <w:color w:val="auto"/>
          <w:sz w:val="24"/>
          <w:highlight w:val="none"/>
          <w:lang w:val="en-US" w:eastAsia="zh-CN"/>
        </w:rPr>
        <w:t>（100%+8%）=16.2万，第5年为第三个周期，第三个周期在第二个周期的基础上，增加8%，即16.2</w:t>
      </w:r>
      <w:r>
        <w:rPr>
          <w:rFonts w:hint="default" w:ascii="Arial" w:hAnsi="Arial" w:cs="Arial"/>
          <w:color w:val="auto"/>
          <w:sz w:val="24"/>
          <w:highlight w:val="none"/>
          <w:lang w:val="en-US" w:eastAsia="zh-CN"/>
        </w:rPr>
        <w:t>×</w:t>
      </w:r>
      <w:r>
        <w:rPr>
          <w:rFonts w:hint="eastAsia" w:ascii="宋体" w:hAnsi="宋体" w:cs="宋体"/>
          <w:color w:val="auto"/>
          <w:sz w:val="24"/>
          <w:highlight w:val="none"/>
          <w:lang w:val="en-US" w:eastAsia="zh-CN"/>
        </w:rPr>
        <w:t>（100%+8%）=17.496万）</w:t>
      </w:r>
      <w:r>
        <w:rPr>
          <w:rFonts w:hint="eastAsia" w:ascii="宋体" w:hAnsi="宋体" w:eastAsia="宋体" w:cs="宋体"/>
          <w:b w:val="0"/>
          <w:bCs w:val="0"/>
          <w:color w:val="auto"/>
          <w:sz w:val="24"/>
          <w:szCs w:val="24"/>
          <w:highlight w:val="none"/>
          <w:lang w:val="en-US" w:eastAsia="zh-CN"/>
        </w:rPr>
        <w:t>，每次缴纳的车辆停放管理服务维护费由</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开具有效的租金收据给中标人。停车费收取对象为临时停放车辆和外地月租车，按</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制定收费标准收取停车费。政府或下辖单位办公的车辆由</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统一登记后送中标人录入车牌免费。与</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存在合同关系的车辆免费。</w:t>
      </w:r>
    </w:p>
    <w:p>
      <w:pPr>
        <w:pStyle w:val="30"/>
        <w:numPr>
          <w:ilvl w:val="2"/>
          <w:numId w:val="11"/>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村民自有车辆进行实名登记。</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村民登记区域停车位必须是</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户籍村民，办理必须出示</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村民身份证、户口本等证明及属于本人的行驶证资料。如出现亲属关系的由</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出示相关证明方可办理，例如嫁入</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但户口未迁入等情况。村民出租屋租户车辆办理月租车位必须出示本人车辆相关证明，由出租屋屋主统一收集提供租户车牌信息，并登记出租屋屋主联系电话。</w:t>
      </w:r>
    </w:p>
    <w:p>
      <w:pPr>
        <w:pStyle w:val="30"/>
        <w:numPr>
          <w:ilvl w:val="2"/>
          <w:numId w:val="11"/>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停车位的安排：先满足</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村民车辆停放，</w:t>
      </w:r>
      <w:r>
        <w:rPr>
          <w:rFonts w:hint="eastAsia" w:ascii="宋体" w:hAnsi="宋体" w:cs="宋体"/>
          <w:b w:val="0"/>
          <w:bCs w:val="0"/>
          <w:color w:val="auto"/>
          <w:sz w:val="24"/>
          <w:szCs w:val="24"/>
          <w:highlight w:val="none"/>
          <w:lang w:val="en-US" w:eastAsia="zh-CN"/>
        </w:rPr>
        <w:t>其次为</w:t>
      </w:r>
      <w:r>
        <w:rPr>
          <w:rFonts w:hint="eastAsia" w:ascii="宋体" w:hAnsi="宋体" w:eastAsia="宋体" w:cs="宋体"/>
          <w:b w:val="0"/>
          <w:bCs w:val="0"/>
          <w:color w:val="auto"/>
          <w:sz w:val="24"/>
          <w:szCs w:val="24"/>
          <w:highlight w:val="none"/>
          <w:lang w:val="en-US" w:eastAsia="zh-CN"/>
        </w:rPr>
        <w:t>村集体物业租户车辆，最后再安排其他外来车辆停放。村集体物业租户车辆、其他外来车辆均为临停车辆，中标人收取外来车辆停放场地占用费</w:t>
      </w:r>
      <w:r>
        <w:rPr>
          <w:rFonts w:hint="eastAsia" w:ascii="宋体" w:hAnsi="宋体" w:cs="宋体"/>
          <w:b w:val="0"/>
          <w:bCs w:val="0"/>
          <w:color w:val="auto"/>
          <w:sz w:val="24"/>
          <w:szCs w:val="24"/>
          <w:highlight w:val="none"/>
          <w:lang w:val="en-US" w:eastAsia="zh-CN"/>
        </w:rPr>
        <w:t>。</w:t>
      </w:r>
    </w:p>
    <w:p>
      <w:pPr>
        <w:pStyle w:val="30"/>
        <w:numPr>
          <w:ilvl w:val="2"/>
          <w:numId w:val="11"/>
        </w:numPr>
        <w:spacing w:line="360" w:lineRule="auto"/>
        <w:ind w:left="415" w:hanging="417" w:hangingChars="173"/>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临时停车收费标准：</w:t>
      </w:r>
      <w:r>
        <w:rPr>
          <w:rFonts w:hint="eastAsia" w:ascii="宋体" w:hAnsi="宋体" w:eastAsia="宋体" w:cs="宋体"/>
          <w:color w:val="auto"/>
          <w:kern w:val="0"/>
          <w:sz w:val="24"/>
          <w:szCs w:val="24"/>
          <w:highlight w:val="none"/>
          <w:lang w:val="en-US" w:eastAsia="zh-CN"/>
        </w:rPr>
        <w:t> </w:t>
      </w:r>
    </w:p>
    <w:p>
      <w:pPr>
        <w:pStyle w:val="30"/>
        <w:numPr>
          <w:ilvl w:val="-1"/>
          <w:numId w:val="0"/>
        </w:numPr>
        <w:spacing w:line="360" w:lineRule="auto"/>
        <w:ind w:firstLine="420" w:firstLineChars="175"/>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小车类：3小时内免费，超3小时后按5元计算，第4小时后每小时增3元（不足1小时的按1小时计算）,每天24小时内最高限价25元，停放超过24小时以上按上述标准累加收费；车辆缴费后，需在15分钟内离场，超时则重新计时收费。（免费停车时长如有调整，以</w:t>
      </w:r>
      <w:r>
        <w:rPr>
          <w:rFonts w:hint="eastAsia" w:ascii="宋体" w:hAnsi="宋体" w:cs="宋体"/>
          <w:color w:val="auto"/>
          <w:kern w:val="2"/>
          <w:sz w:val="24"/>
          <w:szCs w:val="24"/>
          <w:highlight w:val="none"/>
          <w:lang w:val="en-US" w:eastAsia="zh-CN"/>
        </w:rPr>
        <w:t>招标人</w:t>
      </w:r>
      <w:r>
        <w:rPr>
          <w:rFonts w:hint="eastAsia" w:ascii="宋体" w:hAnsi="宋体" w:eastAsia="宋体" w:cs="宋体"/>
          <w:color w:val="auto"/>
          <w:kern w:val="2"/>
          <w:sz w:val="24"/>
          <w:szCs w:val="24"/>
          <w:highlight w:val="none"/>
          <w:lang w:val="en-US" w:eastAsia="zh-CN"/>
        </w:rPr>
        <w:t>书面通知为准）</w:t>
      </w:r>
    </w:p>
    <w:p>
      <w:pPr>
        <w:pStyle w:val="30"/>
        <w:numPr>
          <w:ilvl w:val="-1"/>
          <w:numId w:val="0"/>
        </w:numPr>
        <w:spacing w:line="360" w:lineRule="auto"/>
        <w:ind w:firstLine="420" w:firstLineChars="175"/>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（2）每辆车每天累计免费停车时长为3小时。</w:t>
      </w:r>
    </w:p>
    <w:p>
      <w:pPr>
        <w:pStyle w:val="30"/>
        <w:keepNext w:val="0"/>
        <w:keepLines w:val="0"/>
        <w:pageBreakBefore w:val="0"/>
        <w:widowControl/>
        <w:numPr>
          <w:ilvl w:val="2"/>
          <w:numId w:val="11"/>
        </w:numPr>
        <w:kinsoku/>
        <w:wordWrap/>
        <w:overflowPunct/>
        <w:topLinePunct w:val="0"/>
        <w:autoSpaceDE/>
        <w:autoSpaceDN/>
        <w:bidi w:val="0"/>
        <w:adjustRightInd/>
        <w:snapToGrid/>
        <w:spacing w:line="360" w:lineRule="auto"/>
        <w:ind w:left="417" w:leftChars="0" w:hanging="417" w:hangingChars="17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月租类收费标准：</w:t>
      </w:r>
      <w:r>
        <w:rPr>
          <w:rFonts w:hint="eastAsia" w:ascii="宋体" w:hAnsi="宋体" w:eastAsia="宋体" w:cs="宋体"/>
          <w:color w:val="auto"/>
          <w:kern w:val="0"/>
          <w:sz w:val="24"/>
          <w:szCs w:val="24"/>
          <w:highlight w:val="none"/>
          <w:lang w:val="en-US" w:eastAsia="zh-CN"/>
        </w:rPr>
        <w:t>符合以下条件的车辆可办理月卡（按季度收取），月租办理最多可办理一年，村内外来车辆可按以下方案享有以下优惠</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小车：最高不超过170元/月/辆（一次性缴纳的按1年优惠2个月）。车位优先满足吉利上二村村民需求。</w:t>
      </w:r>
    </w:p>
    <w:p>
      <w:pPr>
        <w:pStyle w:val="30"/>
        <w:keepNext w:val="0"/>
        <w:keepLines w:val="0"/>
        <w:pageBreakBefore w:val="0"/>
        <w:widowControl/>
        <w:numPr>
          <w:ilvl w:val="2"/>
          <w:numId w:val="11"/>
        </w:numPr>
        <w:kinsoku/>
        <w:wordWrap/>
        <w:overflowPunct/>
        <w:topLinePunct w:val="0"/>
        <w:autoSpaceDE/>
        <w:autoSpaceDN/>
        <w:bidi w:val="0"/>
        <w:adjustRightInd/>
        <w:snapToGrid/>
        <w:spacing w:line="360" w:lineRule="auto"/>
        <w:ind w:left="415" w:hanging="415" w:hangingChars="17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重要节假日免收停车费，如春节（年二十八凌晨至正月初九凌晨）、清明节等节日免收费。</w:t>
      </w:r>
    </w:p>
    <w:p>
      <w:pPr>
        <w:pStyle w:val="30"/>
        <w:keepNext w:val="0"/>
        <w:keepLines w:val="0"/>
        <w:pageBreakBefore w:val="0"/>
        <w:widowControl/>
        <w:numPr>
          <w:ilvl w:val="2"/>
          <w:numId w:val="11"/>
        </w:numPr>
        <w:kinsoku/>
        <w:wordWrap/>
        <w:overflowPunct/>
        <w:topLinePunct w:val="0"/>
        <w:autoSpaceDE/>
        <w:autoSpaceDN/>
        <w:bidi w:val="0"/>
        <w:adjustRightInd/>
        <w:snapToGrid/>
        <w:spacing w:line="360" w:lineRule="auto"/>
        <w:ind w:left="415" w:hanging="415" w:hangingChars="17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村内重要传统节日及村民生日、婚庆、弥月、丧事等亲友车辆需要在村内停放的，可向上二村队委报备，报备后车辆给予免费，并由车场管理处统一安排在临时停车位内停放。并由乙方提供二维码给办事村民专用，时间由村民自定，二维码有效期一般不超过一个星期，超期后二维码自动作废。</w:t>
      </w:r>
    </w:p>
    <w:p>
      <w:pPr>
        <w:pStyle w:val="30"/>
        <w:keepNext w:val="0"/>
        <w:keepLines w:val="0"/>
        <w:pageBreakBefore w:val="0"/>
        <w:widowControl/>
        <w:numPr>
          <w:ilvl w:val="2"/>
          <w:numId w:val="11"/>
        </w:numPr>
        <w:kinsoku/>
        <w:wordWrap/>
        <w:overflowPunct/>
        <w:topLinePunct w:val="0"/>
        <w:autoSpaceDE/>
        <w:autoSpaceDN/>
        <w:bidi w:val="0"/>
        <w:adjustRightInd/>
        <w:snapToGrid/>
        <w:spacing w:line="360" w:lineRule="auto"/>
        <w:ind w:left="415" w:hanging="415" w:hangingChars="17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户籍村民或非本村户籍嫁入本村的村民驾驶非本人名下的车辆时，需由本人及村队委和中标人三方核实后，可报备登记视为临时户籍车辆，若发现该车辆不是自用，而是为他人谎报的，中标人把该车辆列入黑名单，禁止该车进入本村。</w:t>
      </w:r>
    </w:p>
    <w:p>
      <w:pPr>
        <w:pStyle w:val="30"/>
        <w:keepNext w:val="0"/>
        <w:keepLines w:val="0"/>
        <w:pageBreakBefore w:val="0"/>
        <w:widowControl/>
        <w:numPr>
          <w:ilvl w:val="2"/>
          <w:numId w:val="11"/>
        </w:numPr>
        <w:kinsoku/>
        <w:wordWrap/>
        <w:overflowPunct/>
        <w:topLinePunct w:val="0"/>
        <w:autoSpaceDE/>
        <w:autoSpaceDN/>
        <w:bidi w:val="0"/>
        <w:adjustRightInd/>
        <w:snapToGrid/>
        <w:spacing w:line="360" w:lineRule="auto"/>
        <w:ind w:left="415" w:hanging="415" w:hangingChars="17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村民建房需要堆放建筑材料，按建房户数（一户）可免费提供3至4个车位，如超过5个车位，则当外来车临停收费。</w:t>
      </w:r>
    </w:p>
    <w:p>
      <w:pPr>
        <w:pStyle w:val="30"/>
        <w:keepNext w:val="0"/>
        <w:keepLines w:val="0"/>
        <w:pageBreakBefore w:val="0"/>
        <w:widowControl/>
        <w:numPr>
          <w:ilvl w:val="2"/>
          <w:numId w:val="11"/>
        </w:numPr>
        <w:kinsoku/>
        <w:wordWrap/>
        <w:overflowPunct/>
        <w:topLinePunct w:val="0"/>
        <w:autoSpaceDE/>
        <w:autoSpaceDN/>
        <w:bidi w:val="0"/>
        <w:adjustRightInd/>
        <w:snapToGrid/>
        <w:spacing w:line="360" w:lineRule="auto"/>
        <w:ind w:left="415" w:hanging="415" w:hangingChars="17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医院、公安、消防、供电、供水、政府部门等进村办事车辆及吉利村委会和吉利市政等车辆全天免费停车。</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中标人负责投资安装各车道出入口智能车辆识别设备</w:t>
      </w:r>
      <w:r>
        <w:rPr>
          <w:rFonts w:hint="eastAsia" w:ascii="宋体" w:hAnsi="宋体" w:cs="宋体"/>
          <w:color w:val="auto"/>
          <w:sz w:val="24"/>
          <w:szCs w:val="24"/>
          <w:highlight w:val="none"/>
          <w:lang w:val="en-US" w:eastAsia="zh-CN"/>
        </w:rPr>
        <w:t>（按上述4.3设备和工程量清单）</w:t>
      </w:r>
      <w:r>
        <w:rPr>
          <w:rFonts w:hint="eastAsia" w:ascii="宋体" w:hAnsi="宋体" w:eastAsia="宋体" w:cs="宋体"/>
          <w:color w:val="auto"/>
          <w:sz w:val="24"/>
          <w:szCs w:val="24"/>
          <w:highlight w:val="none"/>
          <w:lang w:val="en-US" w:eastAsia="zh-CN"/>
        </w:rPr>
        <w:t>，各车道出入口必须加装1个以上监控设备，合同到期后，所有设备无偿归</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所有，中标人保证设备完好并无条件移交给</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中标人办理临时停车收费业务，每次办理的停车收费期限不能超过12个月，且收费期限不能超过本合同的服务期，若合同服务期满后，中标人还有多收取的停车费用，多出部分中标人必须退还给付款人后，</w:t>
      </w:r>
      <w:r>
        <w:rPr>
          <w:rFonts w:hint="eastAsia" w:ascii="宋体" w:hAnsi="宋体" w:cs="宋体"/>
          <w:color w:val="auto"/>
          <w:sz w:val="24"/>
          <w:szCs w:val="24"/>
          <w:highlight w:val="none"/>
          <w:lang w:val="en-US" w:eastAsia="zh-CN"/>
        </w:rPr>
        <w:t>招标人将本项目的履约保证金</w:t>
      </w:r>
      <w:r>
        <w:rPr>
          <w:rFonts w:hint="eastAsia" w:ascii="宋体" w:hAnsi="宋体" w:eastAsia="宋体" w:cs="宋体"/>
          <w:color w:val="auto"/>
          <w:sz w:val="24"/>
          <w:szCs w:val="24"/>
          <w:highlight w:val="none"/>
          <w:lang w:val="en-US" w:eastAsia="zh-CN"/>
        </w:rPr>
        <w:t>退给中标人。</w:t>
      </w:r>
    </w:p>
    <w:p>
      <w:pPr>
        <w:pStyle w:val="30"/>
        <w:numPr>
          <w:ilvl w:val="1"/>
          <w:numId w:val="11"/>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停车管理要求</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禁止一切货车及有货箱的车辆停放（基建建设或临时施工除外），严禁装有易燃易爆等危险、化学物品的车辆进村及停放。</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必须登记好本村的车辆号牌，电话号码，停放地点，车位使用人，住址等，外地的车辆月租车也必须登记其号牌，电话号码等，而且必须停在按规定划好的车位上，外地月租车和临时车按划好的车位有序停放。</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必须与停车位使用人签订车位承诺责任书，对停车实行规范化管理。巡逻人员24小时巡逻车场并确保各停车位正常使用，督促所有车辆正确使用行车线和停车位，维持停车秩序，保证各车道、车场出入周围道路畅通。文明管理车场，不得以任何理由或形式向车主或司机索取任何利益或报酬。文明礼貌，用语规范，文明服务。在经营管理中如发生纠纷，由中标人自行处理。</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进行车辆停放管理工作，</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为保证村容村貌和交通顺畅，对于个别车辆不遵守“村区内停放规定”同时不服从工作人员协调，屡教不改乱停乱放的车辆，由</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拉入黑名单处理（写保证书确保以后不发生同类情况的可以放行，超过3次不允许进入本村区内停车），如有必要村委治安队可协助</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处理。</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所有停放在消防通道的车辆进行拉入黑名单处理（写保证书确保以后不发生同类情况的可以放行，超过3次不允许进入本村区内停车）。</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占用车位、消防通道、行车行人通道的乱摆卖问题处理方法：派放和张贴宣传单张进行不间断推广，不准占用位置乱摆卖，发现有此情况的，进行发放警告通知单，限定时间撤离现场。警告通知后拒绝撤离现场的，拉入黑名单或</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通知执法相关部门协调进行处理。</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规范停车常见办法：积分制度，优惠取消，黑名单制度。</w:t>
      </w:r>
    </w:p>
    <w:p>
      <w:pPr>
        <w:pStyle w:val="30"/>
        <w:numPr>
          <w:ilvl w:val="2"/>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系统需具备有智能巡检App，每次村内违停，巡检人员可以拍照上传到系统，前</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lang w:eastAsia="zh-CN"/>
        </w:rPr>
        <w:t>次可以告知和劝解，如果3次以上违规停车，取消车主对应的停车优惠。</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在设置停车收费规则时，可以公示优惠后的价格，一旦违规按照原价收费。多次劝告无效的可以拉入黑名单，限制出入时间，优惠月票的购买等。</w:t>
      </w:r>
    </w:p>
    <w:p>
      <w:pPr>
        <w:pStyle w:val="30"/>
        <w:numPr>
          <w:ilvl w:val="0"/>
          <w:numId w:val="11"/>
        </w:numPr>
        <w:spacing w:line="360" w:lineRule="auto"/>
        <w:ind w:left="417" w:leftChars="0" w:hanging="417" w:hangingChars="173"/>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停车应急预案</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救援</w:t>
      </w:r>
      <w:r>
        <w:rPr>
          <w:rFonts w:hint="eastAsia" w:ascii="宋体" w:hAnsi="宋体" w:cs="宋体"/>
          <w:b w:val="0"/>
          <w:bCs w:val="0"/>
          <w:color w:val="auto"/>
          <w:sz w:val="24"/>
          <w:szCs w:val="24"/>
          <w:highlight w:val="none"/>
          <w:lang w:val="en-US" w:eastAsia="zh-CN"/>
        </w:rPr>
        <w:t>车辆</w:t>
      </w:r>
      <w:r>
        <w:rPr>
          <w:rFonts w:hint="eastAsia" w:ascii="宋体" w:hAnsi="宋体" w:eastAsia="宋体" w:cs="宋体"/>
          <w:b w:val="0"/>
          <w:bCs w:val="0"/>
          <w:color w:val="auto"/>
          <w:sz w:val="24"/>
          <w:szCs w:val="24"/>
          <w:highlight w:val="none"/>
          <w:lang w:val="en-US" w:eastAsia="zh-CN"/>
        </w:rPr>
        <w:t>，提前远程开闸放行。警车，消防车等车辆默认设置自动放行。特殊情况，人为远程放</w:t>
      </w:r>
      <w:r>
        <w:rPr>
          <w:rFonts w:hint="eastAsia" w:ascii="宋体" w:hAnsi="宋体" w:eastAsia="宋体" w:cs="宋体"/>
          <w:color w:val="auto"/>
          <w:sz w:val="24"/>
          <w:szCs w:val="24"/>
          <w:highlight w:val="none"/>
          <w:lang w:val="en-US" w:eastAsia="zh-CN"/>
        </w:rPr>
        <w:t>行。</w:t>
      </w:r>
    </w:p>
    <w:p>
      <w:pPr>
        <w:pStyle w:val="30"/>
        <w:numPr>
          <w:ilvl w:val="1"/>
          <w:numId w:val="11"/>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停车系统可以接入消防联动信号，一旦有消防信号，所有停车闸杆自动抬杆。</w:t>
      </w:r>
    </w:p>
    <w:p>
      <w:pPr>
        <w:pStyle w:val="30"/>
        <w:numPr>
          <w:ilvl w:val="1"/>
          <w:numId w:val="11"/>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水灾，爆炸等异常情况发生时，24小时远程监控中心都会及时发现，巡检人员就近前往人工处理。保证道路畅行。</w:t>
      </w:r>
    </w:p>
    <w:p>
      <w:pPr>
        <w:pStyle w:val="30"/>
        <w:numPr>
          <w:ilvl w:val="0"/>
          <w:numId w:val="11"/>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其他约定：①中标人必须在</w:t>
      </w:r>
      <w:r>
        <w:rPr>
          <w:rFonts w:hint="eastAsia" w:ascii="宋体" w:hAnsi="宋体" w:cs="宋体"/>
          <w:b/>
          <w:bCs/>
          <w:color w:val="auto"/>
          <w:sz w:val="24"/>
          <w:szCs w:val="24"/>
          <w:highlight w:val="none"/>
          <w:lang w:val="en-US" w:eastAsia="zh-CN"/>
        </w:rPr>
        <w:t>成交通知书</w:t>
      </w:r>
      <w:r>
        <w:rPr>
          <w:rFonts w:hint="eastAsia" w:ascii="宋体" w:hAnsi="宋体" w:eastAsia="宋体" w:cs="宋体"/>
          <w:b/>
          <w:bCs/>
          <w:color w:val="auto"/>
          <w:sz w:val="24"/>
          <w:szCs w:val="24"/>
          <w:highlight w:val="none"/>
          <w:lang w:val="en-US" w:eastAsia="zh-CN"/>
        </w:rPr>
        <w:t>发出之日起15个工作日内完成本停车场在佛山市停车场管理系统登记备案。②另外</w:t>
      </w:r>
      <w:r>
        <w:rPr>
          <w:rFonts w:hint="eastAsia"/>
          <w:color w:val="auto"/>
          <w:highlight w:val="none"/>
          <w:lang w:eastAsia="zh-CN"/>
        </w:rPr>
        <w:t>，</w:t>
      </w:r>
      <w:r>
        <w:rPr>
          <w:rFonts w:hint="eastAsia" w:ascii="宋体" w:hAnsi="宋体" w:cs="宋体"/>
          <w:b/>
          <w:bCs/>
          <w:color w:val="auto"/>
          <w:sz w:val="24"/>
          <w:highlight w:val="none"/>
          <w:lang w:val="en-US" w:eastAsia="zh-CN"/>
        </w:rPr>
        <w:t>在合同期内</w:t>
      </w:r>
      <w:r>
        <w:rPr>
          <w:rFonts w:hint="eastAsia" w:ascii="宋体" w:hAnsi="宋体" w:eastAsia="宋体" w:cs="宋体"/>
          <w:b/>
          <w:bCs/>
          <w:color w:val="auto"/>
          <w:sz w:val="24"/>
          <w:szCs w:val="24"/>
          <w:highlight w:val="none"/>
          <w:lang w:val="en-US" w:eastAsia="zh-CN"/>
        </w:rPr>
        <w:t>中标人需负责上二村内街灯的日常更换及维保工作。</w:t>
      </w:r>
      <w:r>
        <w:rPr>
          <w:rFonts w:hint="eastAsia" w:ascii="宋体" w:hAnsi="宋体" w:cs="宋体"/>
          <w:b/>
          <w:bCs/>
          <w:color w:val="auto"/>
          <w:sz w:val="24"/>
          <w:highlight w:val="none"/>
          <w:lang w:val="en-US" w:eastAsia="zh-CN"/>
        </w:rPr>
        <w:t>③中标人须开放停车管理系统的权限给招标人，以便招标人行使监督权利。</w:t>
      </w:r>
    </w:p>
    <w:p>
      <w:pPr>
        <w:pStyle w:val="30"/>
        <w:numPr>
          <w:ilvl w:val="0"/>
          <w:numId w:val="11"/>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考核标准和办法</w:t>
      </w:r>
    </w:p>
    <w:tbl>
      <w:tblPr>
        <w:tblStyle w:val="19"/>
        <w:tblW w:w="9389" w:type="dxa"/>
        <w:tblInd w:w="0" w:type="dxa"/>
        <w:shd w:val="clear" w:color="auto" w:fill="auto"/>
        <w:tblLayout w:type="fixed"/>
        <w:tblCellMar>
          <w:top w:w="0" w:type="dxa"/>
          <w:left w:w="10" w:type="dxa"/>
          <w:bottom w:w="0" w:type="dxa"/>
          <w:right w:w="10" w:type="dxa"/>
        </w:tblCellMar>
      </w:tblPr>
      <w:tblGrid>
        <w:gridCol w:w="643"/>
        <w:gridCol w:w="1373"/>
        <w:gridCol w:w="3437"/>
        <w:gridCol w:w="2715"/>
        <w:gridCol w:w="1221"/>
      </w:tblGrid>
      <w:tr>
        <w:tblPrEx>
          <w:shd w:val="clear" w:color="auto" w:fill="auto"/>
          <w:tblCellMar>
            <w:top w:w="0" w:type="dxa"/>
            <w:left w:w="10" w:type="dxa"/>
            <w:bottom w:w="0" w:type="dxa"/>
            <w:right w:w="10" w:type="dxa"/>
          </w:tblCellMar>
        </w:tblPrEx>
        <w:trPr>
          <w:trHeight w:val="562" w:hRule="exact"/>
        </w:trPr>
        <w:tc>
          <w:tcPr>
            <w:tcW w:w="20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lang w:val="en-US" w:eastAsia="zh-CN"/>
              </w:rPr>
              <w:t>考核</w:t>
            </w:r>
            <w:r>
              <w:rPr>
                <w:rFonts w:hint="eastAsia" w:ascii="宋体" w:hAnsi="宋体" w:eastAsia="宋体" w:cs="宋体"/>
                <w:color w:val="auto"/>
                <w:spacing w:val="0"/>
                <w:w w:val="100"/>
                <w:position w:val="0"/>
                <w:sz w:val="24"/>
                <w:szCs w:val="24"/>
                <w:highlight w:val="none"/>
              </w:rPr>
              <w:t>项目</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考核标准</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考核办法</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w w:val="100"/>
                <w:position w:val="0"/>
                <w:sz w:val="24"/>
                <w:szCs w:val="24"/>
                <w:highlight w:val="none"/>
              </w:rPr>
              <w:t>考核</w:t>
            </w:r>
            <w:r>
              <w:rPr>
                <w:rFonts w:hint="eastAsia" w:ascii="宋体" w:hAnsi="宋体" w:eastAsia="宋体" w:cs="宋体"/>
                <w:color w:val="auto"/>
                <w:spacing w:val="0"/>
                <w:w w:val="100"/>
                <w:position w:val="0"/>
                <w:sz w:val="24"/>
                <w:szCs w:val="24"/>
                <w:highlight w:val="none"/>
                <w:lang w:val="en-US" w:eastAsia="zh-CN"/>
              </w:rPr>
              <w:t>人员</w:t>
            </w:r>
          </w:p>
        </w:tc>
      </w:tr>
      <w:tr>
        <w:tblPrEx>
          <w:tblCellMar>
            <w:top w:w="0" w:type="dxa"/>
            <w:left w:w="10" w:type="dxa"/>
            <w:bottom w:w="0" w:type="dxa"/>
            <w:right w:w="10" w:type="dxa"/>
          </w:tblCellMar>
        </w:tblPrEx>
        <w:trPr>
          <w:trHeight w:val="1020" w:hRule="exact"/>
        </w:trPr>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质量</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人员资质</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从业人员要按时到岗、统一服装，</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文明礼貌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不符合要求的每项每人每次扣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c>
          <w:tcPr>
            <w:tcW w:w="12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招标人村两委干部及相关工作人员</w:t>
            </w:r>
          </w:p>
        </w:tc>
      </w:tr>
      <w:tr>
        <w:tblPrEx>
          <w:tblCellMar>
            <w:top w:w="0" w:type="dxa"/>
            <w:left w:w="10" w:type="dxa"/>
            <w:bottom w:w="0" w:type="dxa"/>
            <w:right w:w="10" w:type="dxa"/>
          </w:tblCellMar>
        </w:tblPrEx>
        <w:trPr>
          <w:trHeight w:val="1219"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从业人员熟练</w:t>
            </w:r>
            <w:r>
              <w:rPr>
                <w:rFonts w:hint="eastAsia" w:ascii="宋体" w:hAnsi="宋体" w:eastAsia="宋体" w:cs="宋体"/>
                <w:color w:val="auto"/>
                <w:sz w:val="24"/>
                <w:szCs w:val="24"/>
                <w:highlight w:val="none"/>
                <w:lang w:val="en-US" w:eastAsia="zh-CN"/>
              </w:rPr>
              <w:t>掌握业务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如村民群众对停车管理有疑问，</w:t>
            </w:r>
            <w:r>
              <w:rPr>
                <w:rFonts w:hint="eastAsia" w:ascii="宋体" w:hAnsi="宋体" w:eastAsia="宋体" w:cs="宋体"/>
                <w:color w:val="auto"/>
                <w:sz w:val="24"/>
                <w:szCs w:val="24"/>
                <w:highlight w:val="none"/>
              </w:rPr>
              <w:t>能够耐心细致解答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避免产生矛盾</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不符合要求的每人每次扣1分。</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4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设备管理</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定期</w:t>
            </w:r>
            <w:r>
              <w:rPr>
                <w:rFonts w:hint="eastAsia" w:ascii="宋体" w:hAnsi="宋体" w:eastAsia="宋体" w:cs="宋体"/>
                <w:color w:val="auto"/>
                <w:sz w:val="24"/>
                <w:szCs w:val="24"/>
                <w:highlight w:val="none"/>
              </w:rPr>
              <w:t>对设备运行情况进行检查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若设备产生故障，必须在24小时内完成维修</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因设备问题造成拥堵或其他影响的</w:t>
            </w:r>
            <w:r>
              <w:rPr>
                <w:rFonts w:hint="eastAsia" w:ascii="宋体" w:hAnsi="宋体" w:eastAsia="宋体" w:cs="宋体"/>
                <w:color w:val="auto"/>
                <w:sz w:val="24"/>
                <w:szCs w:val="24"/>
                <w:highlight w:val="none"/>
              </w:rPr>
              <w:t>，每次扣1分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71"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交通</w:t>
            </w:r>
            <w:r>
              <w:rPr>
                <w:rFonts w:hint="eastAsia" w:ascii="宋体" w:hAnsi="宋体" w:eastAsia="宋体" w:cs="宋体"/>
                <w:color w:val="auto"/>
                <w:sz w:val="24"/>
                <w:szCs w:val="24"/>
                <w:highlight w:val="none"/>
                <w:lang w:val="en-US" w:eastAsia="zh-CN"/>
              </w:rPr>
              <w:t>及停车场</w:t>
            </w:r>
            <w:r>
              <w:rPr>
                <w:rFonts w:hint="eastAsia" w:ascii="宋体" w:hAnsi="宋体" w:eastAsia="宋体" w:cs="宋体"/>
                <w:color w:val="auto"/>
                <w:sz w:val="24"/>
                <w:szCs w:val="24"/>
                <w:highlight w:val="none"/>
              </w:rPr>
              <w:t>设施标识完好。</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缺失一处</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en-US"/>
              </w:rPr>
              <w:t>0.5</w:t>
            </w:r>
            <w:r>
              <w:rPr>
                <w:rFonts w:hint="eastAsia" w:ascii="宋体" w:hAnsi="宋体" w:eastAsia="宋体" w:cs="宋体"/>
                <w:color w:val="auto"/>
                <w:sz w:val="24"/>
                <w:szCs w:val="24"/>
                <w:highlight w:val="none"/>
              </w:rPr>
              <w:t>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950"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案作规程</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在车辆管理中不得扣押车辆停放者证件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财物</w:t>
            </w:r>
            <w:r>
              <w:rPr>
                <w:rFonts w:hint="eastAsia" w:ascii="宋体" w:hAnsi="宋体" w:eastAsia="宋体" w:cs="宋体"/>
                <w:color w:val="auto"/>
                <w:sz w:val="24"/>
                <w:szCs w:val="24"/>
                <w:highlight w:val="none"/>
                <w:lang w:val="en-US" w:eastAsia="zh-CN"/>
              </w:rPr>
              <w:t>等私人物品</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发生</w:t>
            </w:r>
            <w:r>
              <w:rPr>
                <w:rFonts w:hint="eastAsia" w:ascii="宋体" w:hAnsi="宋体" w:eastAsia="宋体" w:cs="宋体"/>
                <w:color w:val="auto"/>
                <w:sz w:val="24"/>
                <w:szCs w:val="24"/>
                <w:highlight w:val="none"/>
              </w:rPr>
              <w:t>一次扣2分。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5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按与招标人约定收费标准对停放车辆进行收费及开具有效发票。</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w:t>
            </w:r>
            <w:r>
              <w:rPr>
                <w:rFonts w:hint="eastAsia" w:ascii="宋体" w:hAnsi="宋体" w:eastAsia="宋体" w:cs="宋体"/>
                <w:color w:val="auto"/>
                <w:sz w:val="24"/>
                <w:szCs w:val="24"/>
                <w:highlight w:val="none"/>
              </w:rPr>
              <w:t>一次扣2分。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667"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在停车场</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发生汽车车损</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事故</w:t>
            </w:r>
            <w:r>
              <w:rPr>
                <w:rFonts w:hint="eastAsia" w:ascii="宋体" w:hAnsi="宋体" w:eastAsia="宋体" w:cs="宋体"/>
                <w:color w:val="auto"/>
                <w:sz w:val="24"/>
                <w:szCs w:val="24"/>
                <w:highlight w:val="none"/>
                <w:lang w:val="en-US" w:eastAsia="zh-CN"/>
              </w:rPr>
              <w:t>等时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需主动</w:t>
            </w:r>
            <w:r>
              <w:rPr>
                <w:rFonts w:hint="eastAsia" w:ascii="宋体" w:hAnsi="宋体" w:eastAsia="宋体" w:cs="宋体"/>
                <w:color w:val="auto"/>
                <w:sz w:val="24"/>
                <w:szCs w:val="24"/>
                <w:highlight w:val="none"/>
              </w:rPr>
              <w:t>报警处</w:t>
            </w:r>
            <w:r>
              <w:rPr>
                <w:rFonts w:hint="eastAsia" w:ascii="宋体" w:hAnsi="宋体" w:eastAsia="宋体" w:cs="宋体"/>
                <w:color w:val="auto"/>
                <w:sz w:val="24"/>
                <w:szCs w:val="24"/>
                <w:highlight w:val="none"/>
                <w:lang w:val="en-US" w:eastAsia="zh-CN"/>
              </w:rPr>
              <w:t>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val="en-US" w:eastAsia="zh-CN"/>
              </w:rPr>
              <w:t>事故造成车辆</w:t>
            </w:r>
            <w:r>
              <w:rPr>
                <w:rFonts w:hint="eastAsia" w:ascii="宋体" w:hAnsi="宋体" w:eastAsia="宋体" w:cs="宋体"/>
                <w:color w:val="auto"/>
                <w:sz w:val="24"/>
                <w:szCs w:val="24"/>
                <w:highlight w:val="none"/>
              </w:rPr>
              <w:t>拥堵的，必须及时协调处理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分钟内</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rPr>
              <w:t>疏通。</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违反一次</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931"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要切实履行防火安全、门前三包、</w:t>
            </w:r>
            <w:r>
              <w:rPr>
                <w:rFonts w:hint="eastAsia" w:ascii="宋体" w:hAnsi="宋体" w:eastAsia="宋体" w:cs="宋体"/>
                <w:color w:val="auto"/>
                <w:sz w:val="24"/>
                <w:szCs w:val="24"/>
                <w:highlight w:val="none"/>
                <w:lang w:val="en-US" w:eastAsia="zh-CN"/>
              </w:rPr>
              <w:t>治安安全等</w:t>
            </w:r>
            <w:r>
              <w:rPr>
                <w:rFonts w:hint="eastAsia" w:ascii="宋体" w:hAnsi="宋体" w:eastAsia="宋体" w:cs="宋体"/>
                <w:color w:val="auto"/>
                <w:sz w:val="24"/>
                <w:szCs w:val="24"/>
                <w:highlight w:val="none"/>
              </w:rPr>
              <w:t>义务。</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产生问题一次</w:t>
            </w:r>
            <w:r>
              <w:rPr>
                <w:rFonts w:hint="eastAsia" w:ascii="宋体" w:hAnsi="宋体" w:eastAsia="宋体" w:cs="宋体"/>
                <w:color w:val="auto"/>
                <w:sz w:val="24"/>
                <w:szCs w:val="24"/>
                <w:highlight w:val="none"/>
              </w:rPr>
              <w:t>扣1分。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43" w:hRule="exact"/>
        </w:trPr>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单项</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w:t>
            </w: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若因服</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lang w:val="en-US" w:eastAsia="zh-CN"/>
              </w:rPr>
              <w:t>问题产生</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且经核实为有效投诉的</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每</w:t>
            </w:r>
            <w:r>
              <w:rPr>
                <w:rFonts w:hint="eastAsia" w:ascii="宋体" w:hAnsi="宋体" w:eastAsia="宋体" w:cs="宋体"/>
                <w:color w:val="auto"/>
                <w:sz w:val="24"/>
                <w:szCs w:val="24"/>
                <w:highlight w:val="none"/>
              </w:rPr>
              <w:t>次扣3分。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412"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必须具备进行停车场管理运营及收费的资质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且办理相关许可证及备案手续，</w:t>
            </w:r>
            <w:r>
              <w:rPr>
                <w:rFonts w:hint="eastAsia" w:ascii="宋体" w:hAnsi="宋体" w:eastAsia="宋体" w:cs="宋体"/>
                <w:color w:val="auto"/>
                <w:sz w:val="24"/>
                <w:szCs w:val="24"/>
                <w:highlight w:val="none"/>
              </w:rPr>
              <w:t>按税收管理制度</w:t>
            </w:r>
            <w:r>
              <w:rPr>
                <w:rFonts w:hint="eastAsia" w:ascii="宋体" w:hAnsi="宋体" w:eastAsia="宋体" w:cs="宋体"/>
                <w:color w:val="auto"/>
                <w:sz w:val="24"/>
                <w:szCs w:val="24"/>
                <w:highlight w:val="none"/>
                <w:lang w:val="en-US" w:eastAsia="zh-CN"/>
              </w:rPr>
              <w:t>开具</w:t>
            </w:r>
            <w:r>
              <w:rPr>
                <w:rFonts w:hint="eastAsia" w:ascii="宋体" w:hAnsi="宋体" w:eastAsia="宋体" w:cs="宋体"/>
                <w:color w:val="auto"/>
                <w:sz w:val="24"/>
                <w:szCs w:val="24"/>
                <w:highlight w:val="none"/>
              </w:rPr>
              <w:t>发票。不得使用假票和涂改及与单位不相符的票</w:t>
            </w:r>
            <w:r>
              <w:rPr>
                <w:rFonts w:hint="eastAsia" w:ascii="宋体" w:hAnsi="宋体" w:eastAsia="宋体" w:cs="宋体"/>
                <w:color w:val="auto"/>
                <w:sz w:val="24"/>
                <w:szCs w:val="24"/>
                <w:highlight w:val="none"/>
                <w:lang w:val="en-US" w:eastAsia="zh-CN"/>
              </w:rPr>
              <w:t>证</w:t>
            </w:r>
            <w:r>
              <w:rPr>
                <w:rFonts w:hint="eastAsia" w:ascii="宋体" w:hAnsi="宋体" w:eastAsia="宋体" w:cs="宋体"/>
                <w:color w:val="auto"/>
                <w:sz w:val="24"/>
                <w:szCs w:val="24"/>
                <w:highlight w:val="none"/>
              </w:rPr>
              <w:t>，不得伪造有关证照和票据。</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发生</w:t>
            </w:r>
            <w:r>
              <w:rPr>
                <w:rFonts w:hint="eastAsia" w:ascii="宋体" w:hAnsi="宋体" w:eastAsia="宋体" w:cs="宋体"/>
                <w:color w:val="auto"/>
                <w:sz w:val="24"/>
                <w:szCs w:val="24"/>
                <w:highlight w:val="none"/>
              </w:rPr>
              <w:t>一次扣3分。</w:t>
            </w:r>
          </w:p>
        </w:tc>
        <w:tc>
          <w:tcPr>
            <w:tcW w:w="1221"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5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因设备或管理原因</w:t>
            </w:r>
            <w:r>
              <w:rPr>
                <w:rFonts w:hint="eastAsia" w:ascii="宋体" w:hAnsi="宋体" w:eastAsia="宋体" w:cs="宋体"/>
                <w:color w:val="auto"/>
                <w:sz w:val="24"/>
                <w:szCs w:val="24"/>
                <w:highlight w:val="none"/>
              </w:rPr>
              <w:t>导致</w:t>
            </w:r>
            <w:r>
              <w:rPr>
                <w:rFonts w:hint="eastAsia" w:ascii="宋体" w:hAnsi="宋体" w:eastAsia="宋体" w:cs="宋体"/>
                <w:color w:val="auto"/>
                <w:sz w:val="24"/>
                <w:szCs w:val="24"/>
                <w:highlight w:val="none"/>
                <w:lang w:val="en-US" w:eastAsia="zh-CN"/>
              </w:rPr>
              <w:t>停放</w:t>
            </w:r>
            <w:r>
              <w:rPr>
                <w:rFonts w:hint="eastAsia" w:ascii="宋体" w:hAnsi="宋体" w:eastAsia="宋体" w:cs="宋体"/>
                <w:color w:val="auto"/>
                <w:sz w:val="24"/>
                <w:szCs w:val="24"/>
                <w:highlight w:val="none"/>
              </w:rPr>
              <w:t>车辆损坏</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5分钟内</w:t>
            </w:r>
            <w:r>
              <w:rPr>
                <w:rFonts w:hint="eastAsia" w:ascii="宋体" w:hAnsi="宋体" w:eastAsia="宋体" w:cs="宋体"/>
                <w:color w:val="auto"/>
                <w:sz w:val="24"/>
                <w:szCs w:val="24"/>
                <w:highlight w:val="none"/>
                <w:lang w:val="en-US" w:eastAsia="zh-CN"/>
              </w:rPr>
              <w:t>到场</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val="en-US" w:eastAsia="zh-CN"/>
              </w:rPr>
              <w:t>化</w:t>
            </w:r>
            <w:r>
              <w:rPr>
                <w:rFonts w:hint="eastAsia" w:ascii="宋体" w:hAnsi="宋体" w:eastAsia="宋体" w:cs="宋体"/>
                <w:color w:val="auto"/>
                <w:sz w:val="24"/>
                <w:szCs w:val="24"/>
                <w:highlight w:val="none"/>
              </w:rPr>
              <w:t>解。</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w:t>
            </w:r>
            <w:r>
              <w:rPr>
                <w:rFonts w:hint="eastAsia" w:ascii="宋体" w:hAnsi="宋体" w:eastAsia="宋体" w:cs="宋体"/>
                <w:color w:val="auto"/>
                <w:sz w:val="24"/>
                <w:szCs w:val="24"/>
                <w:highlight w:val="none"/>
              </w:rPr>
              <w:t>一次1分。</w:t>
            </w:r>
          </w:p>
        </w:tc>
        <w:tc>
          <w:tcPr>
            <w:tcW w:w="1221"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375"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若有建</w:t>
            </w:r>
            <w:r>
              <w:rPr>
                <w:rFonts w:hint="eastAsia" w:ascii="宋体" w:hAnsi="宋体" w:eastAsia="宋体" w:cs="宋体"/>
                <w:color w:val="auto"/>
                <w:sz w:val="24"/>
                <w:szCs w:val="24"/>
                <w:highlight w:val="none"/>
              </w:rPr>
              <w:t>筑</w:t>
            </w:r>
            <w:r>
              <w:rPr>
                <w:rFonts w:hint="eastAsia" w:ascii="宋体" w:hAnsi="宋体" w:eastAsia="宋体" w:cs="宋体"/>
                <w:color w:val="auto"/>
                <w:sz w:val="24"/>
                <w:szCs w:val="24"/>
                <w:highlight w:val="none"/>
                <w:lang w:val="en-US" w:eastAsia="zh-CN"/>
              </w:rPr>
              <w:t>杂物</w:t>
            </w:r>
            <w:r>
              <w:rPr>
                <w:rFonts w:hint="eastAsia" w:ascii="宋体" w:hAnsi="宋体" w:eastAsia="宋体" w:cs="宋体"/>
                <w:color w:val="auto"/>
                <w:sz w:val="24"/>
                <w:szCs w:val="24"/>
                <w:highlight w:val="none"/>
              </w:rPr>
              <w:t>、乱摆卖摊</w:t>
            </w:r>
            <w:r>
              <w:rPr>
                <w:rFonts w:hint="eastAsia" w:ascii="宋体" w:hAnsi="宋体" w:eastAsia="宋体" w:cs="宋体"/>
                <w:color w:val="auto"/>
                <w:sz w:val="24"/>
                <w:szCs w:val="24"/>
                <w:highlight w:val="none"/>
                <w:lang w:val="en-US" w:eastAsia="zh-CN"/>
              </w:rPr>
              <w:t>档等占用</w:t>
            </w:r>
            <w:r>
              <w:rPr>
                <w:rFonts w:hint="eastAsia" w:ascii="宋体" w:hAnsi="宋体" w:eastAsia="宋体" w:cs="宋体"/>
                <w:color w:val="auto"/>
                <w:sz w:val="24"/>
                <w:szCs w:val="24"/>
                <w:highlight w:val="none"/>
              </w:rPr>
              <w:t>停车位、消防通道、行车通道</w:t>
            </w:r>
            <w:r>
              <w:rPr>
                <w:rFonts w:hint="eastAsia" w:ascii="宋体" w:hAnsi="宋体" w:eastAsia="宋体" w:cs="宋体"/>
                <w:color w:val="auto"/>
                <w:sz w:val="24"/>
                <w:szCs w:val="24"/>
                <w:highlight w:val="none"/>
                <w:lang w:val="en-US" w:eastAsia="zh-CN"/>
              </w:rPr>
              <w:t>等情况的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需5分钟内到场处理；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3次以上</w:t>
            </w:r>
            <w:r>
              <w:rPr>
                <w:rFonts w:hint="eastAsia" w:ascii="宋体" w:hAnsi="宋体" w:eastAsia="宋体" w:cs="宋体"/>
                <w:color w:val="auto"/>
                <w:sz w:val="24"/>
                <w:szCs w:val="24"/>
                <w:highlight w:val="none"/>
              </w:rPr>
              <w:t>占用</w:t>
            </w:r>
            <w:r>
              <w:rPr>
                <w:rFonts w:hint="eastAsia" w:ascii="宋体" w:hAnsi="宋体" w:eastAsia="宋体" w:cs="宋体"/>
                <w:color w:val="auto"/>
                <w:sz w:val="24"/>
                <w:szCs w:val="24"/>
                <w:highlight w:val="none"/>
                <w:lang w:val="en-US" w:eastAsia="zh-CN"/>
              </w:rPr>
              <w:t>行车通道</w:t>
            </w:r>
            <w:r>
              <w:rPr>
                <w:rFonts w:hint="eastAsia" w:ascii="宋体" w:hAnsi="宋体" w:eastAsia="宋体" w:cs="宋体"/>
                <w:color w:val="auto"/>
                <w:sz w:val="24"/>
                <w:szCs w:val="24"/>
                <w:highlight w:val="none"/>
              </w:rPr>
              <w:t>、消防通道</w:t>
            </w:r>
            <w:r>
              <w:rPr>
                <w:rFonts w:hint="eastAsia" w:ascii="宋体" w:hAnsi="宋体" w:eastAsia="宋体" w:cs="宋体"/>
                <w:color w:val="auto"/>
                <w:sz w:val="24"/>
                <w:szCs w:val="24"/>
                <w:highlight w:val="none"/>
                <w:lang w:val="en-US" w:eastAsia="zh-CN"/>
              </w:rPr>
              <w:t>等的车辆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lang w:val="en-US" w:eastAsia="zh-CN"/>
              </w:rPr>
              <w:t>处理，</w:t>
            </w:r>
            <w:r>
              <w:rPr>
                <w:rFonts w:hint="eastAsia" w:ascii="宋体" w:hAnsi="宋体" w:eastAsia="宋体" w:cs="宋体"/>
                <w:color w:val="auto"/>
                <w:sz w:val="24"/>
                <w:szCs w:val="24"/>
                <w:highlight w:val="none"/>
              </w:rPr>
              <w:t>禁止</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车辆进入村内。</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未按要求处理</w:t>
            </w:r>
            <w:r>
              <w:rPr>
                <w:rFonts w:hint="eastAsia" w:ascii="宋体" w:hAnsi="宋体" w:eastAsia="宋体" w:cs="宋体"/>
                <w:color w:val="auto"/>
                <w:sz w:val="24"/>
                <w:szCs w:val="24"/>
                <w:highlight w:val="none"/>
              </w:rPr>
              <w:t>一次</w:t>
            </w:r>
            <w:r>
              <w:rPr>
                <w:rFonts w:hint="eastAsia" w:ascii="宋体" w:hAnsi="宋体" w:eastAsia="宋体" w:cs="宋体"/>
                <w:color w:val="auto"/>
                <w:sz w:val="24"/>
                <w:szCs w:val="24"/>
                <w:highlight w:val="none"/>
                <w:lang w:val="en-US" w:eastAsia="zh-CN"/>
              </w:rPr>
              <w:t>扣</w:t>
            </w:r>
            <w:r>
              <w:rPr>
                <w:rFonts w:hint="eastAsia" w:ascii="宋体" w:hAnsi="宋体" w:eastAsia="宋体" w:cs="宋体"/>
                <w:color w:val="auto"/>
                <w:sz w:val="24"/>
                <w:szCs w:val="24"/>
                <w:highlight w:val="none"/>
              </w:rPr>
              <w:t>1分</w:t>
            </w:r>
          </w:p>
        </w:tc>
        <w:tc>
          <w:tcPr>
            <w:tcW w:w="1221" w:type="dxa"/>
            <w:vMerge w:val="continue"/>
            <w:tcBorders>
              <w:left w:val="single" w:color="auto" w:sz="4" w:space="0"/>
              <w:bottom w:val="single" w:color="auto" w:sz="4" w:space="0"/>
              <w:right w:val="single" w:color="auto" w:sz="4" w:space="0"/>
            </w:tcBorders>
            <w:shd w:val="clear" w:color="auto" w:fill="auto"/>
            <w:vAlign w:val="top"/>
          </w:tcPr>
          <w:p>
            <w:pPr>
              <w:widowControl w:val="0"/>
              <w:rPr>
                <w:rFonts w:hint="eastAsia" w:ascii="宋体" w:hAnsi="宋体" w:eastAsia="宋体" w:cs="宋体"/>
                <w:color w:val="auto"/>
                <w:sz w:val="24"/>
                <w:szCs w:val="24"/>
                <w:highlight w:val="none"/>
              </w:rPr>
            </w:pPr>
          </w:p>
        </w:tc>
      </w:tr>
    </w:tbl>
    <w:p>
      <w:pPr>
        <w:pStyle w:val="30"/>
        <w:numPr>
          <w:ilvl w:val="0"/>
          <w:numId w:val="0"/>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每季度考核一次，考核总分为100分，具体考核制度</w:t>
      </w:r>
      <w:r>
        <w:rPr>
          <w:rFonts w:hint="eastAsia" w:ascii="宋体" w:hAnsi="宋体" w:eastAsia="宋体" w:cs="宋体"/>
          <w:color w:val="auto"/>
          <w:sz w:val="24"/>
          <w:szCs w:val="24"/>
          <w:highlight w:val="none"/>
          <w:lang w:val="en-US" w:eastAsia="zh-CN"/>
        </w:rPr>
        <w:t>和</w:t>
      </w:r>
      <w:r>
        <w:rPr>
          <w:rFonts w:hint="eastAsia" w:ascii="宋体" w:hAnsi="宋体" w:eastAsia="宋体" w:cs="宋体"/>
          <w:b/>
          <w:bCs/>
          <w:color w:val="auto"/>
          <w:sz w:val="24"/>
          <w:szCs w:val="24"/>
          <w:highlight w:val="none"/>
          <w:lang w:val="en-US" w:eastAsia="zh-CN"/>
        </w:rPr>
        <w:t>监管惩罚金额</w:t>
      </w:r>
      <w:r>
        <w:rPr>
          <w:rFonts w:hint="eastAsia" w:ascii="宋体" w:hAnsi="宋体" w:eastAsia="宋体" w:cs="宋体"/>
          <w:color w:val="auto"/>
          <w:sz w:val="24"/>
          <w:szCs w:val="24"/>
          <w:highlight w:val="none"/>
        </w:rPr>
        <w:t>如下:</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若合同签订之日起半年内出现一次考核得分低于80分的为不达标，招标人可以单方解除本合同，并</w:t>
      </w:r>
      <w:r>
        <w:rPr>
          <w:rFonts w:hint="eastAsia" w:ascii="宋体" w:hAnsi="宋体" w:cs="宋体"/>
          <w:color w:val="auto"/>
          <w:sz w:val="24"/>
          <w:szCs w:val="24"/>
          <w:highlight w:val="none"/>
          <w:lang w:eastAsia="zh-CN"/>
        </w:rPr>
        <w:t>不予退还中标人履约保证金</w:t>
      </w:r>
      <w:r>
        <w:rPr>
          <w:rFonts w:hint="eastAsia" w:ascii="宋体" w:hAnsi="宋体" w:eastAsia="宋体" w:cs="宋体"/>
          <w:color w:val="auto"/>
          <w:sz w:val="24"/>
          <w:szCs w:val="24"/>
          <w:highlight w:val="none"/>
        </w:rPr>
        <w:t>和不退回已交的服务费，且中标人投入建设安装的一切设施设备无偿归招标人所有。</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若当年有2个或以上季度考核得分低于80分，</w:t>
      </w:r>
      <w:r>
        <w:rPr>
          <w:rFonts w:hint="eastAsia" w:ascii="宋体" w:hAnsi="宋体" w:cs="宋体"/>
          <w:color w:val="auto"/>
          <w:sz w:val="24"/>
          <w:szCs w:val="24"/>
          <w:highlight w:val="none"/>
          <w:lang w:eastAsia="zh-CN"/>
        </w:rPr>
        <w:t>招</w:t>
      </w:r>
      <w:r>
        <w:rPr>
          <w:rFonts w:hint="eastAsia" w:ascii="宋体" w:hAnsi="宋体" w:eastAsia="宋体" w:cs="宋体"/>
          <w:color w:val="auto"/>
          <w:sz w:val="24"/>
          <w:szCs w:val="24"/>
          <w:highlight w:val="none"/>
        </w:rPr>
        <w:t>标人可以单方解除本合同，并</w:t>
      </w:r>
      <w:r>
        <w:rPr>
          <w:rFonts w:hint="eastAsia" w:ascii="宋体" w:hAnsi="宋体" w:cs="宋体"/>
          <w:color w:val="auto"/>
          <w:sz w:val="24"/>
          <w:szCs w:val="24"/>
          <w:highlight w:val="none"/>
          <w:lang w:eastAsia="zh-CN"/>
        </w:rPr>
        <w:t>不予退还中标人履约保证金</w:t>
      </w:r>
      <w:r>
        <w:rPr>
          <w:rFonts w:hint="eastAsia" w:ascii="宋体" w:hAnsi="宋体" w:eastAsia="宋体" w:cs="宋体"/>
          <w:color w:val="auto"/>
          <w:sz w:val="24"/>
          <w:szCs w:val="24"/>
          <w:highlight w:val="none"/>
        </w:rPr>
        <w:t>和不退回已交的服务费，且中标人投入建设安装的一切设施设备无偿归招标人所有。</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有权监督中标人依据双方约定事项进行日常管理：若因服务问题工作人员工作不积极而导致管理不善致道路因乱停放的现象多，产生堵塞而被村民投诉或拍照影相不符合停车要求的，且经由村干部核实为有效投诉的，将由招标人对中标人进行金额惩罚，惩罚金额200元或以上最终解释权归招标人。</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可对中标人进行约谈，要求加强巡查整改，如因中标人工作人员态度不好导致处事不公而引发纠纷案或投诉案多的，招标人有权要求中标人在限期内整改并更换人员，如中标人限期拒不整改的，视为中标人根本违约，招标人有权单方面解除合同，</w:t>
      </w:r>
      <w:r>
        <w:rPr>
          <w:rFonts w:hint="eastAsia" w:ascii="宋体" w:hAnsi="宋体" w:cs="宋体"/>
          <w:color w:val="auto"/>
          <w:sz w:val="24"/>
          <w:szCs w:val="24"/>
          <w:highlight w:val="none"/>
          <w:lang w:eastAsia="zh-CN"/>
        </w:rPr>
        <w:t>不予退还中标人履约保证金</w:t>
      </w:r>
      <w:r>
        <w:rPr>
          <w:rFonts w:hint="eastAsia" w:ascii="宋体" w:hAnsi="宋体" w:eastAsia="宋体" w:cs="宋体"/>
          <w:color w:val="auto"/>
          <w:sz w:val="24"/>
          <w:szCs w:val="24"/>
          <w:highlight w:val="none"/>
        </w:rPr>
        <w:t>和不退回已交的服务费，中标人投入建设安装的一切设施设备无偿归招标人所有。</w:t>
      </w:r>
    </w:p>
    <w:p>
      <w:pPr>
        <w:pStyle w:val="30"/>
        <w:numPr>
          <w:ilvl w:val="1"/>
          <w:numId w:val="11"/>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招标人有权监督中标人依据双方约定事项进行日常管理</w:t>
      </w:r>
      <w:r>
        <w:rPr>
          <w:rStyle w:val="37"/>
          <w:rFonts w:hint="eastAsia" w:ascii="宋体" w:hAnsi="宋体" w:eastAsia="宋体" w:cs="宋体"/>
          <w:b w:val="0"/>
          <w:color w:val="auto"/>
          <w:sz w:val="24"/>
          <w:szCs w:val="24"/>
          <w:highlight w:val="none"/>
        </w:rPr>
        <w:t>。</w:t>
      </w:r>
    </w:p>
    <w:p>
      <w:pPr>
        <w:spacing w:line="460" w:lineRule="exact"/>
        <w:ind w:left="417" w:leftChars="0" w:hanging="417" w:hangingChars="173"/>
        <w:jc w:val="center"/>
        <w:outlineLvl w:val="1"/>
        <w:rPr>
          <w:rFonts w:hint="eastAsia" w:ascii="宋体" w:hAnsi="宋体" w:eastAsia="宋体" w:cs="宋体"/>
          <w:b/>
          <w:color w:val="auto"/>
          <w:sz w:val="24"/>
          <w:szCs w:val="24"/>
          <w:highlight w:val="none"/>
          <w:lang w:eastAsia="zh-CN"/>
        </w:rPr>
      </w:pPr>
    </w:p>
    <w:p>
      <w:pPr>
        <w:spacing w:line="240" w:lineRule="auto"/>
        <w:ind w:left="0" w:leftChars="0" w:firstLine="0" w:firstLineChars="0"/>
        <w:jc w:val="left"/>
        <w:outlineLvl w:val="9"/>
        <w:rPr>
          <w:rFonts w:hint="eastAsia" w:ascii="宋体" w:hAnsi="宋体" w:eastAsia="宋体" w:cs="宋体"/>
          <w:b/>
          <w:color w:val="auto"/>
          <w:sz w:val="24"/>
          <w:szCs w:val="24"/>
          <w:highlight w:val="none"/>
          <w:lang w:eastAsia="zh-CN"/>
        </w:rPr>
      </w:pPr>
      <w:bookmarkStart w:id="30" w:name="_Toc10156"/>
      <w:r>
        <w:rPr>
          <w:rFonts w:hint="eastAsia" w:ascii="宋体" w:hAnsi="宋体" w:eastAsia="宋体" w:cs="宋体"/>
          <w:b/>
          <w:color w:val="auto"/>
          <w:sz w:val="24"/>
          <w:szCs w:val="24"/>
          <w:highlight w:val="none"/>
          <w:lang w:eastAsia="zh-CN"/>
        </w:rPr>
        <w:br w:type="page"/>
      </w:r>
    </w:p>
    <w:p>
      <w:pPr>
        <w:spacing w:line="460" w:lineRule="exact"/>
        <w:ind w:left="417" w:leftChars="0" w:hanging="417" w:hangingChars="173"/>
        <w:jc w:val="center"/>
        <w:outlineLvl w:val="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三、项目商务要求</w:t>
      </w:r>
      <w:bookmarkEnd w:id="30"/>
    </w:p>
    <w:p>
      <w:pPr>
        <w:pStyle w:val="6"/>
        <w:ind w:left="415" w:leftChars="0" w:hanging="415" w:hangingChars="173"/>
        <w:rPr>
          <w:rFonts w:hint="eastAsia" w:ascii="宋体" w:hAnsi="宋体" w:eastAsia="宋体" w:cs="宋体"/>
          <w:color w:val="auto"/>
          <w:sz w:val="24"/>
          <w:szCs w:val="24"/>
          <w:highlight w:val="none"/>
        </w:rPr>
      </w:pPr>
    </w:p>
    <w:p>
      <w:pPr>
        <w:pStyle w:val="30"/>
        <w:numPr>
          <w:ilvl w:val="0"/>
          <w:numId w:val="12"/>
        </w:numPr>
        <w:spacing w:line="360" w:lineRule="auto"/>
        <w:ind w:left="624" w:leftChars="0" w:hanging="624"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★基本商务要求一览表</w:t>
      </w:r>
    </w:p>
    <w:tbl>
      <w:tblPr>
        <w:tblStyle w:val="19"/>
        <w:tblW w:w="9318" w:type="dxa"/>
        <w:tblInd w:w="-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45"/>
        <w:gridCol w:w="2050"/>
        <w:gridCol w:w="65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w:t>
            </w:r>
          </w:p>
        </w:tc>
        <w:tc>
          <w:tcPr>
            <w:tcW w:w="6523"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2050" w:type="dxa"/>
            <w:tcBorders>
              <w:tl2br w:val="nil"/>
              <w:tr2bl w:val="nil"/>
            </w:tcBorders>
            <w:noWrap w:val="0"/>
            <w:vAlign w:val="center"/>
          </w:tcPr>
          <w:p>
            <w:pPr>
              <w:ind w:left="415" w:leftChars="0" w:hanging="415" w:hangingChars="17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最低限价（由中标</w:t>
            </w:r>
          </w:p>
          <w:p>
            <w:pPr>
              <w:ind w:left="415" w:leftChars="0" w:hanging="415" w:hangingChars="17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支付）</w:t>
            </w:r>
          </w:p>
        </w:tc>
        <w:tc>
          <w:tcPr>
            <w:tcW w:w="6523" w:type="dxa"/>
            <w:tcBorders>
              <w:tl2br w:val="nil"/>
              <w:tr2bl w:val="nil"/>
            </w:tcBorders>
            <w:noWrap w:val="0"/>
            <w:vAlign w:val="center"/>
          </w:tcPr>
          <w:p>
            <w:pPr>
              <w:ind w:left="415" w:leftChars="0" w:hanging="415" w:hangingChars="173"/>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100,000.00元/年</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6523" w:type="dxa"/>
            <w:tcBorders>
              <w:tl2br w:val="nil"/>
              <w:tr2bl w:val="nil"/>
            </w:tcBorders>
            <w:noWrap w:val="0"/>
            <w:vAlign w:val="center"/>
          </w:tcPr>
          <w:p>
            <w:pPr>
              <w:numPr>
                <w:ilvl w:val="0"/>
                <w:numId w:val="13"/>
              </w:numPr>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报价不得低于本项目的最低限价，否则为无效报价。</w:t>
            </w:r>
          </w:p>
          <w:p>
            <w:pPr>
              <w:numPr>
                <w:ilvl w:val="0"/>
                <w:numId w:val="13"/>
              </w:numPr>
              <w:ind w:left="425" w:leftChars="0" w:hanging="425" w:firstLineChars="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固定总价包干。投标报价为中标方支付给招标方的车辆管理服务维护费用。包括但不限于以下各项的支出费用由中标方另外自行承担：（1）工人工资、福利：人工费、劳工意外保险、工伤、医疗、失业、养老保险、其他福利待遇、特殊人员体检费；（2）劳保用品、服装费：一切劳保用品、服装费用；（3）培训费：全体人员一切专业培训、办证费用；（4）员工的住宿及住宿费用；（5）项目运营、停车管理、软硬件投资建设和维护及服务等所发生的一切费用；（6）提供停车费全额含税发票；（7）合同实施过程中的应预见和不可预见费用；（8）设别设施所产生的一切电费由中标方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65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5年，具体起止日期以合同约定为准。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11"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停车费收取方式</w:t>
            </w:r>
          </w:p>
        </w:tc>
        <w:tc>
          <w:tcPr>
            <w:tcW w:w="6523"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中标人按照本合同制定的车辆管理费收费标准，对进入</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辖区内停放的外来车辆收取车辆管理维护</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费。</w:t>
            </w:r>
          </w:p>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中标人在合同期内按季度向</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支付</w:t>
            </w:r>
            <w:r>
              <w:rPr>
                <w:rFonts w:hint="eastAsia" w:ascii="宋体" w:hAnsi="宋体" w:cs="宋体"/>
                <w:color w:val="auto"/>
                <w:sz w:val="24"/>
                <w:szCs w:val="24"/>
                <w:highlight w:val="none"/>
                <w:lang w:eastAsia="zh-CN"/>
              </w:rPr>
              <w:t>车辆停放管理服务维护费</w:t>
            </w:r>
            <w:r>
              <w:rPr>
                <w:rFonts w:hint="eastAsia" w:ascii="宋体" w:hAnsi="宋体" w:eastAsia="宋体" w:cs="宋体"/>
                <w:color w:val="auto"/>
                <w:sz w:val="24"/>
                <w:szCs w:val="24"/>
                <w:highlight w:val="none"/>
              </w:rPr>
              <w:t>：</w:t>
            </w:r>
          </w:p>
          <w:p>
            <w:pPr>
              <w:numPr>
                <w:ilvl w:val="0"/>
                <w:numId w:val="14"/>
              </w:numPr>
              <w:ind w:left="415" w:leftChars="0" w:hanging="415" w:hangingChars="17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按季度支付管理车辆维护服务费，中标人须在合同签订之日起5天内向</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支付</w:t>
            </w:r>
            <w:r>
              <w:rPr>
                <w:rFonts w:hint="eastAsia" w:ascii="宋体" w:hAnsi="宋体" w:cs="宋体"/>
                <w:color w:val="auto"/>
                <w:sz w:val="24"/>
                <w:szCs w:val="24"/>
                <w:highlight w:val="none"/>
                <w:lang w:val="en-US" w:eastAsia="zh-CN"/>
              </w:rPr>
              <w:t>第一季度</w:t>
            </w:r>
            <w:r>
              <w:rPr>
                <w:rFonts w:hint="eastAsia" w:ascii="宋体" w:hAnsi="宋体" w:eastAsia="宋体" w:cs="宋体"/>
                <w:color w:val="auto"/>
                <w:sz w:val="24"/>
                <w:szCs w:val="24"/>
                <w:highlight w:val="none"/>
              </w:rPr>
              <w:t>管理车辆维护服务费</w:t>
            </w:r>
            <w:r>
              <w:rPr>
                <w:rFonts w:hint="eastAsia" w:ascii="宋体" w:hAnsi="宋体" w:cs="宋体"/>
                <w:color w:val="auto"/>
                <w:sz w:val="24"/>
                <w:szCs w:val="24"/>
                <w:highlight w:val="none"/>
                <w:lang w:eastAsia="zh-CN"/>
              </w:rPr>
              <w:t>。</w:t>
            </w:r>
          </w:p>
          <w:p>
            <w:pPr>
              <w:numPr>
                <w:ilvl w:val="0"/>
                <w:numId w:val="14"/>
              </w:numPr>
              <w:ind w:left="415" w:leftChars="0" w:hanging="415" w:hangingChars="17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按先支付后管理使用原则，逾期15日未付清的视作根本性违约，</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有权单方解除本合同，并</w:t>
            </w:r>
            <w:r>
              <w:rPr>
                <w:rFonts w:hint="eastAsia" w:ascii="宋体" w:hAnsi="宋体" w:cs="宋体"/>
                <w:color w:val="auto"/>
                <w:sz w:val="24"/>
                <w:szCs w:val="24"/>
                <w:highlight w:val="none"/>
                <w:lang w:eastAsia="zh-CN"/>
              </w:rPr>
              <w:t>不予退还中标人履约全部履约</w:t>
            </w:r>
            <w:r>
              <w:rPr>
                <w:rFonts w:hint="eastAsia" w:ascii="宋体" w:hAnsi="宋体" w:eastAsia="宋体" w:cs="宋体"/>
                <w:color w:val="auto"/>
                <w:sz w:val="24"/>
                <w:szCs w:val="24"/>
                <w:highlight w:val="none"/>
              </w:rPr>
              <w:t>保证金，中标人投入建设安装的一切设施设备无偿归</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所有。</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在收取服务费时只提供</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开具的收据，如需要开具发票，所产生的税费由中标人承担。</w:t>
            </w:r>
          </w:p>
          <w:p>
            <w:pPr>
              <w:numPr>
                <w:ilvl w:val="0"/>
                <w:numId w:val="14"/>
              </w:numPr>
              <w:ind w:left="415" w:leftChars="0" w:hanging="415" w:hangingChars="17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如租户需要开具发票以及所产生的税费也由中标人承担。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74"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523"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自提交投标文件的截止之日起</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投标有效期延至合同验收之日。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144"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合同履约保证金</w:t>
            </w:r>
          </w:p>
        </w:tc>
        <w:tc>
          <w:tcPr>
            <w:tcW w:w="6523"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履约保证金为</w:t>
            </w:r>
            <w:r>
              <w:rPr>
                <w:rFonts w:hint="eastAsia" w:ascii="宋体" w:hAnsi="宋体" w:cs="宋体"/>
                <w:color w:val="auto"/>
                <w:sz w:val="24"/>
                <w:szCs w:val="24"/>
                <w:highlight w:val="none"/>
                <w:lang w:val="en-US" w:eastAsia="zh-CN"/>
              </w:rPr>
              <w:t>3万元</w:t>
            </w:r>
            <w:r>
              <w:rPr>
                <w:rFonts w:hint="eastAsia" w:ascii="宋体" w:hAnsi="宋体" w:eastAsia="宋体" w:cs="宋体"/>
                <w:color w:val="auto"/>
                <w:sz w:val="24"/>
                <w:szCs w:val="24"/>
                <w:highlight w:val="none"/>
              </w:rPr>
              <w:t>。中标人在</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发出3个工作日内，应以银行转账的方式向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交纳履约保证金。如中标人无违约行为的，服务期结束后30日内，</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将履约保证金全额无息退还给中标人。中标人不按要求提交履约保证金的，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有权解除合同，取消中标人的成交资格，</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不予退还。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7</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6523" w:type="dxa"/>
            <w:tcBorders>
              <w:tl2br w:val="nil"/>
              <w:tr2bl w:val="nil"/>
            </w:tcBorders>
            <w:noWrap w:val="0"/>
            <w:vAlign w:val="center"/>
          </w:tcPr>
          <w:p>
            <w:pPr>
              <w:numPr>
                <w:ilvl w:val="-1"/>
                <w:numId w:val="0"/>
              </w:numPr>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合同期结束或由于其他原因导致合同终止安装的设施设备归</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所有，合同结束设施设备交付给</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时设施设备必须保证完整，状态完好，能正常使用，否则保证金不作退回。</w:t>
            </w:r>
          </w:p>
        </w:tc>
      </w:tr>
    </w:tbl>
    <w:p>
      <w:pPr>
        <w:spacing w:after="100" w:afterAutospacing="1"/>
        <w:ind w:left="415" w:leftChars="0" w:hanging="415" w:hangingChars="173"/>
        <w:rPr>
          <w:rFonts w:hint="eastAsia" w:ascii="宋体" w:hAnsi="宋体" w:eastAsia="宋体" w:cs="宋体"/>
          <w:color w:val="auto"/>
          <w:sz w:val="24"/>
          <w:szCs w:val="24"/>
          <w:highlight w:val="none"/>
          <w:lang w:eastAsia="zh-CN"/>
        </w:rPr>
      </w:pPr>
    </w:p>
    <w:p>
      <w:pPr>
        <w:pStyle w:val="30"/>
        <w:numPr>
          <w:ilvl w:val="0"/>
          <w:numId w:val="12"/>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本项目</w:t>
      </w:r>
      <w:r>
        <w:rPr>
          <w:rFonts w:hint="eastAsia" w:ascii="宋体" w:hAnsi="宋体" w:eastAsia="宋体" w:cs="宋体"/>
          <w:b/>
          <w:color w:val="auto"/>
          <w:sz w:val="24"/>
          <w:szCs w:val="24"/>
          <w:highlight w:val="none"/>
        </w:rPr>
        <w:t>验收要求</w:t>
      </w:r>
    </w:p>
    <w:p>
      <w:pPr>
        <w:pStyle w:val="30"/>
        <w:numPr>
          <w:ilvl w:val="1"/>
          <w:numId w:val="12"/>
        </w:numPr>
        <w:spacing w:line="360" w:lineRule="auto"/>
        <w:ind w:left="624" w:leftChars="0" w:hanging="624"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（乙方）须为验收提供必需的一切条件及相关费用。</w:t>
      </w:r>
    </w:p>
    <w:p>
      <w:pPr>
        <w:pStyle w:val="30"/>
        <w:numPr>
          <w:ilvl w:val="0"/>
          <w:numId w:val="12"/>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项目验收依次序对照执行标准</w:t>
      </w:r>
    </w:p>
    <w:p>
      <w:pPr>
        <w:pStyle w:val="30"/>
        <w:numPr>
          <w:ilvl w:val="1"/>
          <w:numId w:val="12"/>
        </w:numPr>
        <w:spacing w:line="360" w:lineRule="auto"/>
        <w:ind w:left="624" w:leftChars="0" w:hanging="624"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符合中华人民共和国国家和履约地相关安全质量标准、行业技术规范标准。</w:t>
      </w:r>
    </w:p>
    <w:p>
      <w:pPr>
        <w:pStyle w:val="30"/>
        <w:numPr>
          <w:ilvl w:val="1"/>
          <w:numId w:val="12"/>
        </w:numPr>
        <w:spacing w:line="360" w:lineRule="auto"/>
        <w:ind w:left="624" w:leftChars="0" w:hanging="624"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符合招标文件和投标承诺中各方共同认可的各项合理要求；</w:t>
      </w:r>
    </w:p>
    <w:p>
      <w:pPr>
        <w:pStyle w:val="30"/>
        <w:numPr>
          <w:ilvl w:val="1"/>
          <w:numId w:val="12"/>
        </w:numPr>
        <w:spacing w:line="360" w:lineRule="auto"/>
        <w:ind w:left="624" w:leftChars="0" w:hanging="624"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上述各类标准与法规必须是有关官方机构最新发布的现行标准版本</w:t>
      </w:r>
      <w:r>
        <w:rPr>
          <w:rFonts w:hint="eastAsia" w:ascii="宋体" w:hAnsi="宋体" w:eastAsia="宋体" w:cs="宋体"/>
          <w:color w:val="auto"/>
          <w:sz w:val="24"/>
          <w:szCs w:val="24"/>
          <w:highlight w:val="none"/>
          <w:lang w:val="zh-CN"/>
        </w:rPr>
        <w:t>。</w:t>
      </w:r>
    </w:p>
    <w:p>
      <w:pPr>
        <w:pStyle w:val="30"/>
        <w:numPr>
          <w:ilvl w:val="0"/>
          <w:numId w:val="12"/>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招标人</w:t>
      </w:r>
      <w:r>
        <w:rPr>
          <w:rFonts w:hint="eastAsia" w:ascii="宋体" w:hAnsi="宋体" w:eastAsia="宋体" w:cs="宋体"/>
          <w:b/>
          <w:color w:val="auto"/>
          <w:sz w:val="24"/>
          <w:szCs w:val="24"/>
          <w:highlight w:val="none"/>
        </w:rPr>
        <w:t>的权利和义务</w:t>
      </w:r>
    </w:p>
    <w:p>
      <w:pPr>
        <w:pStyle w:val="30"/>
        <w:numPr>
          <w:ilvl w:val="1"/>
          <w:numId w:val="12"/>
        </w:numPr>
        <w:spacing w:line="360" w:lineRule="auto"/>
        <w:ind w:left="624" w:leftChars="0" w:hanging="624"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提出采购项目服务的意见和建议</w:t>
      </w:r>
      <w:r>
        <w:rPr>
          <w:rFonts w:hint="eastAsia" w:ascii="宋体" w:hAnsi="宋体" w:eastAsia="宋体" w:cs="宋体"/>
          <w:color w:val="auto"/>
          <w:sz w:val="24"/>
          <w:szCs w:val="24"/>
          <w:highlight w:val="none"/>
          <w:lang w:eastAsia="zh-CN"/>
        </w:rPr>
        <w:t>。</w:t>
      </w:r>
    </w:p>
    <w:p>
      <w:pPr>
        <w:pStyle w:val="30"/>
        <w:numPr>
          <w:ilvl w:val="1"/>
          <w:numId w:val="12"/>
        </w:numPr>
        <w:spacing w:line="360" w:lineRule="auto"/>
        <w:ind w:left="624" w:leftChars="0" w:hanging="6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招标人有义务配合中标人做好各项日常管理工作，中标人应根据招标人建议制定有关管理制度和措施执行。招标人有权对中标人的管理方案进行检查及合理修改，共同优化管理工作。</w:t>
      </w:r>
    </w:p>
    <w:p>
      <w:pPr>
        <w:pStyle w:val="30"/>
        <w:numPr>
          <w:ilvl w:val="1"/>
          <w:numId w:val="12"/>
        </w:numPr>
        <w:spacing w:line="360" w:lineRule="auto"/>
        <w:ind w:left="624" w:leftChars="0" w:hanging="6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有权对中标人的日常管理工作进行监管检查，每季度进行一次全面考核评定，如中标人因管理不善或管理失误，给招标人造成严重负面影响或导致经济受损的，招标人有权单方面终止合同，并视中标人根本违约处理（</w:t>
      </w:r>
      <w:r>
        <w:rPr>
          <w:rFonts w:hint="eastAsia" w:ascii="宋体" w:hAnsi="宋体" w:cs="宋体"/>
          <w:color w:val="auto"/>
          <w:sz w:val="24"/>
          <w:szCs w:val="24"/>
          <w:highlight w:val="none"/>
          <w:lang w:eastAsia="zh-CN"/>
        </w:rPr>
        <w:t>不予退还中标人履约</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val="en-US" w:eastAsia="zh-CN"/>
        </w:rPr>
        <w:t>和不退回已交的服务费，中标人投入建设安装的一切设施设备无偿归招标人所有，并赔偿招标人的经济损失）。</w:t>
      </w:r>
    </w:p>
    <w:p>
      <w:pPr>
        <w:pStyle w:val="30"/>
        <w:numPr>
          <w:ilvl w:val="1"/>
          <w:numId w:val="12"/>
        </w:numPr>
        <w:spacing w:line="360" w:lineRule="auto"/>
        <w:ind w:left="624" w:leftChars="0" w:hanging="6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为确保其依法具有收取车辆管理费的资格及权利，已严格按照有关法律程序研究制定出相关的收费及管理的村规民约，并经党员及村民代表大会表决通过及予以公布后实施，以便于中标人按规定管理及收费。在收费过程中所产生的纠纷投诉，中标人应自行负责处理。重大事件招标人有义务协助处理。</w:t>
      </w:r>
    </w:p>
    <w:p>
      <w:pPr>
        <w:pStyle w:val="30"/>
        <w:numPr>
          <w:ilvl w:val="1"/>
          <w:numId w:val="12"/>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招标人对本辖区内的所有土地拥有使用权，中标人如需规划增设停车位置时必经招标人同意。设置停车位置的土地，如遇招标人开发使用时，中标人无条件配合执行</w:t>
      </w:r>
      <w:r>
        <w:rPr>
          <w:rFonts w:hint="eastAsia" w:ascii="宋体" w:hAnsi="宋体" w:eastAsia="宋体" w:cs="宋体"/>
          <w:color w:val="auto"/>
          <w:sz w:val="24"/>
          <w:szCs w:val="24"/>
          <w:highlight w:val="none"/>
        </w:rPr>
        <w:t>。</w:t>
      </w:r>
    </w:p>
    <w:p>
      <w:pPr>
        <w:pStyle w:val="30"/>
        <w:numPr>
          <w:ilvl w:val="0"/>
          <w:numId w:val="12"/>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中标人</w:t>
      </w:r>
      <w:r>
        <w:rPr>
          <w:rFonts w:hint="eastAsia" w:ascii="宋体" w:hAnsi="宋体" w:eastAsia="宋体" w:cs="宋体"/>
          <w:b/>
          <w:color w:val="auto"/>
          <w:sz w:val="24"/>
          <w:szCs w:val="24"/>
          <w:highlight w:val="none"/>
        </w:rPr>
        <w:t>的权利和义务</w:t>
      </w:r>
    </w:p>
    <w:p>
      <w:pPr>
        <w:pStyle w:val="30"/>
        <w:numPr>
          <w:ilvl w:val="1"/>
          <w:numId w:val="12"/>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要根据国家的有关法律、法规、政策及本合同的有关规定，在不违反本合同规定的基础上，自行制定有关规章制度车辆管理办法、实施细则等规定，中标人的管理工作不得影响招标人工作人员的日常正常工作。</w:t>
      </w:r>
    </w:p>
    <w:p>
      <w:pPr>
        <w:pStyle w:val="30"/>
        <w:numPr>
          <w:ilvl w:val="1"/>
          <w:numId w:val="12"/>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要严格按照招标人制定的车辆管理收费标准进行收取车辆管理费。并提供优质的停车管理及道路交通管理服务，不得出现只收费不服务或多收费少服务的行为，如发现有，经指出不改的，视为中标人根本违约，招标人有权单方面解除合同，</w:t>
      </w:r>
      <w:r>
        <w:rPr>
          <w:rFonts w:hint="eastAsia" w:ascii="宋体" w:hAnsi="宋体" w:cs="宋体"/>
          <w:color w:val="auto"/>
          <w:sz w:val="24"/>
          <w:szCs w:val="24"/>
          <w:highlight w:val="none"/>
          <w:lang w:val="en-US" w:eastAsia="zh-CN"/>
        </w:rPr>
        <w:t>并</w:t>
      </w:r>
      <w:r>
        <w:rPr>
          <w:rFonts w:hint="eastAsia" w:ascii="宋体" w:hAnsi="宋体" w:cs="宋体"/>
          <w:color w:val="auto"/>
          <w:sz w:val="24"/>
          <w:szCs w:val="24"/>
          <w:highlight w:val="none"/>
          <w:lang w:eastAsia="zh-CN"/>
        </w:rPr>
        <w:t>不予退还中标人履约</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val="en-US" w:eastAsia="zh-CN"/>
        </w:rPr>
        <w:t>和不退回已交的服务费，中标人投入建设安装的一切设施设备无偿归招标人所有。</w:t>
      </w:r>
    </w:p>
    <w:p>
      <w:pPr>
        <w:pStyle w:val="30"/>
        <w:numPr>
          <w:ilvl w:val="1"/>
          <w:numId w:val="12"/>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了日常管理工作能正常运作，中标人必须根据工作需要配置足够的工作人员（不少于3人）并办理好用工手续及购买意外保险。中标人员工不纳入招标人用工编制，不享受招标人员工的福利待遇，与招标人不成立劳动或劳务关系。中标人工作人员在合同期内所发生的安全事故、工伤及劳资纠纷等均由中标人负责，一切责任与招标人无关，如屡屡出现人手不足的现象，视为中标人根本违约，招标人有权单方面解除合同，</w:t>
      </w:r>
      <w:r>
        <w:rPr>
          <w:rFonts w:hint="eastAsia" w:ascii="宋体" w:hAnsi="宋体" w:cs="宋体"/>
          <w:color w:val="auto"/>
          <w:sz w:val="24"/>
          <w:szCs w:val="24"/>
          <w:highlight w:val="none"/>
          <w:lang w:val="en-US" w:eastAsia="zh-CN"/>
        </w:rPr>
        <w:t>并</w:t>
      </w:r>
      <w:r>
        <w:rPr>
          <w:rFonts w:hint="eastAsia" w:ascii="宋体" w:hAnsi="宋体" w:cs="宋体"/>
          <w:color w:val="auto"/>
          <w:sz w:val="24"/>
          <w:szCs w:val="24"/>
          <w:highlight w:val="none"/>
          <w:lang w:eastAsia="zh-CN"/>
        </w:rPr>
        <w:t>不予退还中标人履约</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val="en-US" w:eastAsia="zh-CN"/>
        </w:rPr>
        <w:t>和不退回已交的服务费，中标人投入建设安装的一切设施设备无偿归招标人所有。</w:t>
      </w:r>
    </w:p>
    <w:p>
      <w:pPr>
        <w:pStyle w:val="30"/>
        <w:numPr>
          <w:ilvl w:val="1"/>
          <w:numId w:val="12"/>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要严格督促工作人员做好辖区内的日常道路交通管理巡查工作，确保村内各道闸出入口及各大小村道时刻保持畅通无阻，不得出现有车辆因乱停放而导致阻塞交通的现象发生。如出现有阻塞现象应派人到现场及时处理，如出现有15分钟后还没有人处理的现象，招标人有权收取中标人每次人民币200元的违约金。</w:t>
      </w:r>
    </w:p>
    <w:p>
      <w:pPr>
        <w:pStyle w:val="30"/>
        <w:numPr>
          <w:ilvl w:val="1"/>
          <w:numId w:val="12"/>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工作人员上班时要着装统一，工作要吃苦耐劳，勤巡勤查，待人处事需热情服务，如出现有因工作人员礼貌不周或处事不公而导致发生纠纷案和投诉案的，中标人要自行及时设法处理，事后要自查自纠，吸取教训及时整改。合同期内出现三次投诉的，招标人有权解除本合同，并视中标人违约</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不予退还中标人履约</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val="en-US" w:eastAsia="zh-CN"/>
        </w:rPr>
        <w:t>以作为招标人的经济补偿。</w:t>
      </w:r>
    </w:p>
    <w:p>
      <w:pPr>
        <w:pStyle w:val="30"/>
        <w:numPr>
          <w:ilvl w:val="1"/>
          <w:numId w:val="12"/>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为了切实做好车辆的有序停放管理，中标人要适时对辖区内的停车位进行合理规划设置。将本地车位与外地临时车位进行区分管理，中标人应严格管理控制禁止外来车辆在本地车位上停放过夜。</w:t>
      </w:r>
      <w:r>
        <w:rPr>
          <w:rFonts w:hint="eastAsia" w:ascii="宋体" w:hAnsi="宋体" w:cs="宋体"/>
          <w:color w:val="auto"/>
          <w:sz w:val="24"/>
          <w:szCs w:val="24"/>
          <w:highlight w:val="none"/>
          <w:lang w:val="en-US" w:eastAsia="zh-CN"/>
        </w:rPr>
        <w:t>吉利上二村</w:t>
      </w:r>
      <w:r>
        <w:rPr>
          <w:rFonts w:hint="eastAsia" w:ascii="宋体" w:hAnsi="宋体" w:eastAsia="宋体" w:cs="宋体"/>
          <w:color w:val="auto"/>
          <w:sz w:val="24"/>
          <w:szCs w:val="24"/>
          <w:highlight w:val="none"/>
          <w:lang w:val="en-US" w:eastAsia="zh-CN"/>
        </w:rPr>
        <w:t>辖区内的村民住宅以外的车位均为共享车位，禁止私装地锁或摆设物品霸占，否则中标人有权没收处理。</w:t>
      </w:r>
    </w:p>
    <w:p>
      <w:pPr>
        <w:pStyle w:val="30"/>
        <w:numPr>
          <w:ilvl w:val="1"/>
          <w:numId w:val="12"/>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在签订合同后，根据现时村内情况，对辖区内破旧车位重新划热熔线（破旧车位数待定），并完善所有道路标识、道路监控以及部分停车位设施。统一完善后，中标人也要对车位划线、道路标识、停车设施等定期检查及维护更新，对危险路段及停车场等做好交通标志指示牌的安装，以起到警示作用（如禁停牌、限速牌、限重牌、停车场标识、凸面广角镜等）。上述所产生的一切费用均由中标人承担。</w:t>
      </w:r>
    </w:p>
    <w:p>
      <w:pPr>
        <w:pStyle w:val="30"/>
        <w:numPr>
          <w:ilvl w:val="1"/>
          <w:numId w:val="12"/>
        </w:numPr>
        <w:tabs>
          <w:tab w:val="left" w:pos="420"/>
        </w:tabs>
        <w:spacing w:line="360" w:lineRule="auto"/>
        <w:ind w:left="424" w:leftChars="0" w:hanging="424"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平时需对所有设备进行维护、保养以确保其正常运行工作。在合同期内，中标人对车辆管理的设备维护更新或增设等费用均由中标人承担。合同期满后，中标人须要将所有设备（含新建和原有的硬件与软件）及各类管理档案资料等正常完好地无偿移交给招标人。如有损坏，招标人有权请人进行修复，但所产生费用均由中标人支付或从</w:t>
      </w:r>
      <w:r>
        <w:rPr>
          <w:rFonts w:hint="eastAsia" w:ascii="宋体" w:hAnsi="宋体" w:cs="宋体"/>
          <w:color w:val="auto"/>
          <w:sz w:val="24"/>
          <w:szCs w:val="24"/>
          <w:highlight w:val="none"/>
          <w:lang w:val="en-US" w:eastAsia="zh-CN"/>
        </w:rPr>
        <w:t>履约</w:t>
      </w:r>
      <w:r>
        <w:rPr>
          <w:rFonts w:hint="eastAsia" w:ascii="宋体" w:hAnsi="宋体" w:eastAsia="宋体" w:cs="宋体"/>
          <w:color w:val="auto"/>
          <w:sz w:val="24"/>
          <w:szCs w:val="24"/>
          <w:highlight w:val="none"/>
          <w:lang w:val="en-US" w:eastAsia="zh-CN"/>
        </w:rPr>
        <w:t>保证金处扣除。</w:t>
      </w:r>
    </w:p>
    <w:p>
      <w:pPr>
        <w:jc w:val="left"/>
        <w:rPr>
          <w:rFonts w:hint="eastAsia" w:ascii="宋体" w:hAnsi="宋体" w:eastAsia="宋体" w:cs="Times New Roman"/>
          <w:b/>
          <w:color w:val="auto"/>
          <w:kern w:val="2"/>
          <w:sz w:val="36"/>
          <w:szCs w:val="36"/>
          <w:highlight w:val="none"/>
          <w:lang w:val="en-US" w:eastAsia="zh-CN" w:bidi="ar-SA"/>
        </w:rPr>
      </w:pPr>
      <w:r>
        <w:rPr>
          <w:rFonts w:hint="eastAsia" w:ascii="宋体" w:hAnsi="宋体" w:eastAsia="宋体" w:cs="Times New Roman"/>
          <w:b/>
          <w:color w:val="auto"/>
          <w:kern w:val="2"/>
          <w:sz w:val="36"/>
          <w:szCs w:val="36"/>
          <w:highlight w:val="none"/>
          <w:lang w:val="en-US" w:eastAsia="zh-CN" w:bidi="ar-SA"/>
        </w:rPr>
        <w:br w:type="page"/>
      </w:r>
    </w:p>
    <w:p>
      <w:pPr>
        <w:jc w:val="center"/>
        <w:rPr>
          <w:rFonts w:hint="eastAsia" w:ascii="宋体" w:hAnsi="宋体" w:eastAsia="宋体" w:cs="Times New Roman"/>
          <w:b/>
          <w:color w:val="auto"/>
          <w:kern w:val="2"/>
          <w:sz w:val="36"/>
          <w:szCs w:val="36"/>
          <w:highlight w:val="none"/>
          <w:lang w:val="en-US" w:eastAsia="zh-CN" w:bidi="ar-SA"/>
        </w:rPr>
      </w:pPr>
      <w:r>
        <w:rPr>
          <w:rFonts w:hint="eastAsia" w:ascii="宋体" w:hAnsi="宋体" w:eastAsia="宋体" w:cs="Times New Roman"/>
          <w:b/>
          <w:color w:val="auto"/>
          <w:kern w:val="2"/>
          <w:sz w:val="36"/>
          <w:szCs w:val="36"/>
          <w:highlight w:val="none"/>
          <w:lang w:val="en-US" w:eastAsia="zh-CN" w:bidi="ar-SA"/>
        </w:rPr>
        <w:t>第三部分</w:t>
      </w:r>
      <w:r>
        <w:rPr>
          <w:rFonts w:hint="eastAsia" w:ascii="宋体" w:hAnsi="宋体" w:cs="Times New Roman"/>
          <w:b/>
          <w:color w:val="auto"/>
          <w:kern w:val="2"/>
          <w:sz w:val="36"/>
          <w:szCs w:val="36"/>
          <w:highlight w:val="none"/>
          <w:lang w:val="en-US" w:eastAsia="zh-CN" w:bidi="ar-SA"/>
        </w:rPr>
        <w:t>投标人</w:t>
      </w:r>
      <w:r>
        <w:rPr>
          <w:rFonts w:hint="eastAsia" w:ascii="宋体" w:hAnsi="宋体" w:eastAsia="宋体" w:cs="Times New Roman"/>
          <w:b/>
          <w:color w:val="auto"/>
          <w:kern w:val="2"/>
          <w:sz w:val="36"/>
          <w:szCs w:val="36"/>
          <w:highlight w:val="none"/>
          <w:lang w:val="en-US" w:eastAsia="zh-CN" w:bidi="ar-SA"/>
        </w:rPr>
        <w:t>须知</w:t>
      </w:r>
      <w:bookmarkEnd w:id="26"/>
      <w:bookmarkEnd w:id="27"/>
      <w:bookmarkEnd w:id="28"/>
      <w:bookmarkEnd w:id="29"/>
    </w:p>
    <w:p>
      <w:pPr>
        <w:spacing w:after="72" w:afterLines="30" w:line="336" w:lineRule="auto"/>
        <w:ind w:right="-178" w:rightChars="-85"/>
        <w:jc w:val="center"/>
        <w:outlineLvl w:val="1"/>
        <w:rPr>
          <w:rFonts w:ascii="宋体"/>
          <w:b/>
          <w:color w:val="auto"/>
          <w:sz w:val="28"/>
          <w:szCs w:val="28"/>
          <w:highlight w:val="none"/>
        </w:rPr>
      </w:pPr>
      <w:bookmarkStart w:id="31" w:name="_Toc488"/>
      <w:bookmarkStart w:id="32" w:name="_Toc14893"/>
      <w:bookmarkStart w:id="33" w:name="_Toc4244"/>
      <w:bookmarkStart w:id="34" w:name="_Toc334432589"/>
      <w:bookmarkStart w:id="35" w:name="_Toc519"/>
      <w:r>
        <w:rPr>
          <w:rFonts w:hint="eastAsia" w:ascii="宋体" w:hAnsi="宋体"/>
          <w:b/>
          <w:color w:val="auto"/>
          <w:sz w:val="28"/>
          <w:szCs w:val="28"/>
          <w:highlight w:val="none"/>
        </w:rPr>
        <w:t>一、</w:t>
      </w:r>
      <w:r>
        <w:rPr>
          <w:rFonts w:hint="eastAsia" w:ascii="宋体" w:hAnsi="宋体"/>
          <w:b/>
          <w:color w:val="auto"/>
          <w:sz w:val="28"/>
          <w:szCs w:val="28"/>
          <w:highlight w:val="none"/>
          <w:lang w:eastAsia="zh-CN"/>
        </w:rPr>
        <w:t>投标</w:t>
      </w:r>
      <w:r>
        <w:rPr>
          <w:rFonts w:hint="eastAsia" w:ascii="宋体" w:hAnsi="宋体"/>
          <w:b/>
          <w:color w:val="auto"/>
          <w:sz w:val="28"/>
          <w:szCs w:val="28"/>
          <w:highlight w:val="none"/>
        </w:rPr>
        <w:t>须知前附表</w:t>
      </w:r>
      <w:bookmarkEnd w:id="31"/>
      <w:bookmarkEnd w:id="32"/>
      <w:bookmarkEnd w:id="33"/>
      <w:bookmarkEnd w:id="34"/>
      <w:bookmarkEnd w:id="35"/>
    </w:p>
    <w:tbl>
      <w:tblPr>
        <w:tblStyle w:val="19"/>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9"/>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709" w:type="dxa"/>
            <w:shd w:val="clear" w:color="auto" w:fill="E6E6E6"/>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1849" w:type="dxa"/>
            <w:shd w:val="clear" w:color="auto" w:fill="E6E6E6"/>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内容</w:t>
            </w:r>
          </w:p>
        </w:tc>
        <w:tc>
          <w:tcPr>
            <w:tcW w:w="7194" w:type="dxa"/>
            <w:shd w:val="clear" w:color="auto" w:fill="E6E6E6"/>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09" w:type="dxa"/>
            <w:noWrap w:val="0"/>
            <w:vAlign w:val="center"/>
          </w:tcPr>
          <w:p>
            <w:pPr>
              <w:numPr>
                <w:ilvl w:val="0"/>
                <w:numId w:val="15"/>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w:t>
            </w: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b/>
            </w:r>
          </w:p>
        </w:tc>
        <w:tc>
          <w:tcPr>
            <w:tcW w:w="7194" w:type="dxa"/>
            <w:noWrap w:val="0"/>
            <w:vAlign w:val="center"/>
          </w:tcPr>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保证金的金额（人民币）：</w:t>
            </w:r>
            <w:r>
              <w:rPr>
                <w:rFonts w:hint="eastAsia" w:asciiTheme="minorEastAsia" w:hAnsiTheme="minorEastAsia" w:eastAsiaTheme="minorEastAsia" w:cstheme="minorEastAsia"/>
                <w:color w:val="auto"/>
                <w:sz w:val="24"/>
                <w:szCs w:val="24"/>
                <w:highlight w:val="none"/>
                <w:lang w:val="en-US" w:eastAsia="zh-CN"/>
              </w:rPr>
              <w:t>3万</w:t>
            </w:r>
            <w:r>
              <w:rPr>
                <w:rFonts w:hint="eastAsia" w:asciiTheme="minorEastAsia" w:hAnsiTheme="minorEastAsia" w:eastAsiaTheme="minorEastAsia" w:cstheme="minorEastAsia"/>
                <w:color w:val="auto"/>
                <w:sz w:val="24"/>
                <w:szCs w:val="24"/>
                <w:highlight w:val="none"/>
              </w:rPr>
              <w:t>元</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保证金的缴纳形式及要求：</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以银行转账方式提交</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w:t>
            </w:r>
          </w:p>
          <w:p>
            <w:pPr>
              <w:tabs>
                <w:tab w:val="left" w:pos="459"/>
                <w:tab w:val="left" w:pos="601"/>
              </w:tabs>
              <w:adjustRightInd w:val="0"/>
              <w:snapToGrid w:val="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缴纳方式：</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lang w:val="en-US" w:eastAsia="zh-CN"/>
              </w:rPr>
              <w:t>为法人：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截止时间之前（以银行到账时间为准），从本单位的基本账户通过银行汇款或转账的形式，将</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保证金按规定金额从基本账户一次性转入或汇入到指定银行账户，否则</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无效。</w:t>
            </w:r>
          </w:p>
          <w:p>
            <w:pPr>
              <w:pStyle w:val="2"/>
              <w:rPr>
                <w:rFonts w:hint="default" w:eastAsia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为自然人，应在竞投截止时间之前（以银行到账时间为准），（1）从本人账户通过银行汇款或转账的形式或（2）银行柜台现金缴存方式，将竞投保证金按规定金额一次性转入或汇入到指定银行账户，否则竞投无效。（本项目不适用）</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保证金请按以下账号提供并以该银行到账时间为准：</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开户名称：佛山市禅城区南庄镇公共资源交易所</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账号：44536501040028342</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开户银行名称：中国农业银行股份有限公司佛山南庄支行</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保证金的金额（人民币）：</w:t>
            </w:r>
            <w:r>
              <w:rPr>
                <w:rFonts w:hint="eastAsia" w:asciiTheme="minorEastAsia" w:hAnsiTheme="minorEastAsia" w:eastAsiaTheme="minorEastAsia" w:cstheme="minorEastAsia"/>
                <w:color w:val="auto"/>
                <w:sz w:val="24"/>
                <w:szCs w:val="24"/>
                <w:highlight w:val="none"/>
                <w:lang w:val="en-US" w:eastAsia="zh-CN"/>
              </w:rPr>
              <w:t>3万</w:t>
            </w:r>
            <w:r>
              <w:rPr>
                <w:rFonts w:hint="eastAsia" w:asciiTheme="minorEastAsia" w:hAnsiTheme="minorEastAsia" w:eastAsiaTheme="minorEastAsia" w:cstheme="minorEastAsia"/>
                <w:color w:val="auto"/>
                <w:sz w:val="24"/>
                <w:szCs w:val="24"/>
                <w:highlight w:val="none"/>
              </w:rPr>
              <w:t>元</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（2）在办理转账时，请在转账摘要上注明“</w:t>
            </w:r>
            <w:r>
              <w:rPr>
                <w:rFonts w:hint="eastAsia" w:asciiTheme="minorEastAsia" w:hAnsiTheme="minorEastAsia" w:eastAsiaTheme="minorEastAsia" w:cstheme="minorEastAsia"/>
                <w:color w:val="auto"/>
                <w:sz w:val="24"/>
                <w:szCs w:val="24"/>
                <w:highlight w:val="none"/>
                <w:lang w:val="en-US" w:eastAsia="zh-CN"/>
              </w:rPr>
              <w:t>62400091</w:t>
            </w:r>
            <w:r>
              <w:rPr>
                <w:rFonts w:hint="eastAsia"/>
                <w:color w:val="auto"/>
                <w:highlight w:val="none"/>
              </w:rPr>
              <w:t>吉利上二村</w:t>
            </w:r>
            <w:r>
              <w:rPr>
                <w:rFonts w:hint="eastAsia" w:asciiTheme="minorEastAsia" w:hAnsiTheme="minorEastAsia" w:eastAsiaTheme="minorEastAsia" w:cstheme="minorEastAsia"/>
                <w:color w:val="auto"/>
                <w:sz w:val="24"/>
                <w:szCs w:val="24"/>
                <w:highlight w:val="none"/>
              </w:rPr>
              <w:t>”字样，若转账单上没有相应备注，则视为无效</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（3）公共资源交易所在接到招标人退还保证金通知书后5个工作日内退还给</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应提前办理</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保证金手续，自行承担银行到账延误风险。</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（5）采用银行转账提交</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保证金的应在递交</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文件时提交转账凭证供核对。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09" w:type="dxa"/>
            <w:noWrap w:val="0"/>
            <w:vAlign w:val="center"/>
          </w:tcPr>
          <w:p>
            <w:pPr>
              <w:numPr>
                <w:ilvl w:val="0"/>
                <w:numId w:val="15"/>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竞投文件</w:t>
            </w:r>
            <w:r>
              <w:rPr>
                <w:rFonts w:hint="eastAsia" w:asciiTheme="minorEastAsia" w:hAnsiTheme="minorEastAsia" w:eastAsiaTheme="minorEastAsia" w:cstheme="minorEastAsia"/>
                <w:color w:val="auto"/>
                <w:sz w:val="24"/>
                <w:szCs w:val="24"/>
                <w:highlight w:val="none"/>
              </w:rPr>
              <w:t>的澄清</w:t>
            </w:r>
          </w:p>
        </w:tc>
        <w:tc>
          <w:tcPr>
            <w:tcW w:w="7194" w:type="dxa"/>
            <w:noWrap w:val="0"/>
            <w:vAlign w:val="center"/>
          </w:tcPr>
          <w:p>
            <w:pPr>
              <w:numPr>
                <w:ilvl w:val="0"/>
                <w:numId w:val="16"/>
              </w:numPr>
              <w:tabs>
                <w:tab w:val="left" w:pos="432"/>
              </w:tabs>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不统一组织答疑会；</w:t>
            </w:r>
          </w:p>
          <w:p>
            <w:pPr>
              <w:numPr>
                <w:ilvl w:val="0"/>
                <w:numId w:val="16"/>
              </w:numPr>
              <w:tabs>
                <w:tab w:val="left" w:pos="432"/>
              </w:tabs>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提出疑问期限：在</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截止日期前2日；</w:t>
            </w:r>
          </w:p>
          <w:p>
            <w:pPr>
              <w:numPr>
                <w:ilvl w:val="0"/>
                <w:numId w:val="16"/>
              </w:numPr>
              <w:tabs>
                <w:tab w:val="left" w:pos="432"/>
              </w:tabs>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澄清、修改或答疑期限：在</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截止日期前1日。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09" w:type="dxa"/>
            <w:noWrap w:val="0"/>
            <w:vAlign w:val="center"/>
          </w:tcPr>
          <w:p>
            <w:pPr>
              <w:numPr>
                <w:ilvl w:val="0"/>
                <w:numId w:val="15"/>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递交</w:t>
            </w:r>
            <w:r>
              <w:rPr>
                <w:rFonts w:hint="eastAsia" w:asciiTheme="minorEastAsia" w:hAnsiTheme="minorEastAsia" w:eastAsiaTheme="minorEastAsia" w:cstheme="minorEastAsia"/>
                <w:color w:val="auto"/>
                <w:sz w:val="24"/>
                <w:szCs w:val="24"/>
                <w:highlight w:val="none"/>
                <w:lang w:eastAsia="zh-CN"/>
              </w:rPr>
              <w:t>资格审查</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时须提交的资料</w:t>
            </w:r>
          </w:p>
        </w:tc>
        <w:tc>
          <w:tcPr>
            <w:tcW w:w="7194" w:type="dxa"/>
            <w:noWrap w:val="0"/>
            <w:vAlign w:val="center"/>
          </w:tcPr>
          <w:p>
            <w:pPr>
              <w:spacing w:line="300" w:lineRule="auto"/>
              <w:rPr>
                <w:rFonts w:hint="eastAsia"/>
                <w:color w:val="auto"/>
                <w:sz w:val="24"/>
                <w:szCs w:val="32"/>
                <w:highlight w:val="none"/>
                <w:lang w:val="zh-CN"/>
              </w:rPr>
            </w:pPr>
            <w:r>
              <w:rPr>
                <w:rFonts w:hint="eastAsia"/>
                <w:color w:val="auto"/>
                <w:sz w:val="24"/>
                <w:szCs w:val="32"/>
                <w:highlight w:val="none"/>
                <w:lang w:val="zh-CN"/>
              </w:rPr>
              <w:t>投标人应凭以下资料递交</w:t>
            </w:r>
            <w:r>
              <w:rPr>
                <w:rFonts w:hint="eastAsia"/>
                <w:color w:val="auto"/>
                <w:sz w:val="24"/>
                <w:szCs w:val="32"/>
                <w:highlight w:val="none"/>
                <w:lang w:eastAsia="zh-CN"/>
              </w:rPr>
              <w:t>资格审查</w:t>
            </w:r>
            <w:r>
              <w:rPr>
                <w:rFonts w:hint="eastAsia"/>
                <w:color w:val="auto"/>
                <w:sz w:val="24"/>
                <w:szCs w:val="32"/>
                <w:highlight w:val="none"/>
                <w:lang w:val="zh-CN"/>
              </w:rPr>
              <w:t>文件（加盖投标人公章），否则，招标代理机构将有权拒收（</w:t>
            </w:r>
            <w:r>
              <w:rPr>
                <w:rFonts w:hint="eastAsia"/>
                <w:color w:val="auto"/>
                <w:sz w:val="24"/>
                <w:szCs w:val="32"/>
                <w:highlight w:val="none"/>
              </w:rPr>
              <w:t>用于递交</w:t>
            </w:r>
            <w:r>
              <w:rPr>
                <w:rFonts w:hint="eastAsia"/>
                <w:color w:val="auto"/>
                <w:sz w:val="24"/>
                <w:szCs w:val="32"/>
                <w:highlight w:val="none"/>
                <w:lang w:eastAsia="zh-CN"/>
              </w:rPr>
              <w:t>竞投</w:t>
            </w:r>
            <w:r>
              <w:rPr>
                <w:rFonts w:hint="eastAsia"/>
                <w:color w:val="auto"/>
                <w:sz w:val="24"/>
                <w:szCs w:val="32"/>
                <w:highlight w:val="none"/>
              </w:rPr>
              <w:t>文件的以下证明文件不得密封在</w:t>
            </w:r>
            <w:r>
              <w:rPr>
                <w:rFonts w:hint="eastAsia"/>
                <w:color w:val="auto"/>
                <w:sz w:val="24"/>
                <w:szCs w:val="32"/>
                <w:highlight w:val="none"/>
                <w:lang w:eastAsia="zh-CN"/>
              </w:rPr>
              <w:t>竞投</w:t>
            </w:r>
            <w:r>
              <w:rPr>
                <w:rFonts w:hint="eastAsia"/>
                <w:color w:val="auto"/>
                <w:sz w:val="24"/>
                <w:szCs w:val="32"/>
                <w:highlight w:val="none"/>
              </w:rPr>
              <w:t>文件包装袋内</w:t>
            </w:r>
            <w:r>
              <w:rPr>
                <w:rFonts w:hint="eastAsia"/>
                <w:color w:val="auto"/>
                <w:sz w:val="24"/>
                <w:szCs w:val="32"/>
                <w:highlight w:val="none"/>
                <w:lang w:val="zh-CN"/>
              </w:rPr>
              <w:t>）：</w:t>
            </w:r>
          </w:p>
          <w:p>
            <w:pPr>
              <w:pStyle w:val="2"/>
              <w:rPr>
                <w:rFonts w:hint="default"/>
                <w:color w:val="auto"/>
                <w:sz w:val="24"/>
                <w:szCs w:val="32"/>
                <w:highlight w:val="none"/>
                <w:lang w:val="en-US" w:eastAsia="zh-CN"/>
              </w:rPr>
            </w:pPr>
            <w:r>
              <w:rPr>
                <w:rFonts w:hint="eastAsia"/>
                <w:color w:val="auto"/>
                <w:sz w:val="24"/>
                <w:szCs w:val="32"/>
                <w:highlight w:val="none"/>
                <w:lang w:val="en-US" w:eastAsia="zh-CN"/>
              </w:rPr>
              <w:t>如为法人：</w:t>
            </w:r>
          </w:p>
          <w:p>
            <w:pPr>
              <w:numPr>
                <w:ilvl w:val="0"/>
                <w:numId w:val="17"/>
              </w:numPr>
              <w:tabs>
                <w:tab w:val="left" w:pos="432"/>
              </w:tabs>
              <w:spacing w:line="300" w:lineRule="auto"/>
              <w:ind w:left="425" w:leftChars="0" w:hanging="425" w:firstLineChars="0"/>
              <w:rPr>
                <w:rFonts w:hint="eastAsia"/>
                <w:color w:val="auto"/>
                <w:sz w:val="24"/>
                <w:szCs w:val="32"/>
                <w:highlight w:val="none"/>
                <w:lang w:val="zh-CN" w:eastAsia="zh-CN"/>
              </w:rPr>
            </w:pPr>
            <w:r>
              <w:rPr>
                <w:rFonts w:hint="eastAsia"/>
                <w:color w:val="auto"/>
                <w:sz w:val="24"/>
                <w:szCs w:val="32"/>
                <w:highlight w:val="none"/>
                <w:lang w:val="zh-CN" w:eastAsia="zh-CN"/>
              </w:rPr>
              <w:t>法定代表人/负责人资格证明书原件；</w:t>
            </w:r>
          </w:p>
          <w:p>
            <w:pPr>
              <w:numPr>
                <w:ilvl w:val="0"/>
                <w:numId w:val="17"/>
              </w:numPr>
              <w:tabs>
                <w:tab w:val="left" w:pos="432"/>
              </w:tabs>
              <w:spacing w:line="300" w:lineRule="auto"/>
              <w:ind w:left="425" w:leftChars="0" w:hanging="425" w:firstLineChars="0"/>
              <w:rPr>
                <w:rFonts w:hint="eastAsia"/>
                <w:color w:val="auto"/>
                <w:sz w:val="24"/>
                <w:szCs w:val="32"/>
                <w:highlight w:val="none"/>
                <w:lang w:val="zh-CN" w:eastAsia="zh-CN"/>
              </w:rPr>
            </w:pPr>
            <w:r>
              <w:rPr>
                <w:rFonts w:hint="eastAsia"/>
                <w:color w:val="auto"/>
                <w:sz w:val="24"/>
                <w:szCs w:val="32"/>
                <w:highlight w:val="none"/>
                <w:lang w:val="zh-CN" w:eastAsia="zh-CN"/>
              </w:rPr>
              <w:t>法定代表人/负责人授权书原件【</w:t>
            </w:r>
            <w:r>
              <w:rPr>
                <w:rFonts w:hint="eastAsia"/>
                <w:color w:val="auto"/>
                <w:sz w:val="24"/>
                <w:szCs w:val="32"/>
                <w:highlight w:val="none"/>
                <w:lang w:eastAsia="zh-CN"/>
              </w:rPr>
              <w:t>由投标人</w:t>
            </w:r>
            <w:r>
              <w:rPr>
                <w:rFonts w:hint="eastAsia"/>
                <w:color w:val="auto"/>
                <w:sz w:val="24"/>
                <w:szCs w:val="32"/>
                <w:highlight w:val="none"/>
                <w:lang w:val="zh-CN" w:eastAsia="zh-CN"/>
              </w:rPr>
              <w:t>法定代表人/负责人</w:t>
            </w:r>
            <w:r>
              <w:rPr>
                <w:rFonts w:hint="eastAsia"/>
                <w:color w:val="auto"/>
                <w:sz w:val="24"/>
                <w:szCs w:val="32"/>
                <w:highlight w:val="none"/>
                <w:lang w:eastAsia="zh-CN"/>
              </w:rPr>
              <w:t>的授权代表递交竞投文件时</w:t>
            </w:r>
            <w:r>
              <w:rPr>
                <w:rFonts w:hint="eastAsia"/>
                <w:color w:val="auto"/>
                <w:sz w:val="24"/>
                <w:szCs w:val="32"/>
                <w:highlight w:val="none"/>
                <w:lang w:val="zh-CN" w:eastAsia="zh-CN"/>
              </w:rPr>
              <w:t>须提供】；</w:t>
            </w:r>
          </w:p>
          <w:p>
            <w:pPr>
              <w:numPr>
                <w:ilvl w:val="0"/>
                <w:numId w:val="17"/>
              </w:numPr>
              <w:tabs>
                <w:tab w:val="left" w:pos="432"/>
              </w:tabs>
              <w:spacing w:line="300" w:lineRule="auto"/>
              <w:ind w:left="425" w:leftChars="0" w:hanging="425" w:firstLineChars="0"/>
              <w:rPr>
                <w:rFonts w:hint="eastAsia"/>
                <w:color w:val="auto"/>
                <w:sz w:val="24"/>
                <w:szCs w:val="32"/>
                <w:highlight w:val="none"/>
                <w:lang w:val="zh-CN" w:eastAsia="zh-CN"/>
              </w:rPr>
            </w:pPr>
            <w:r>
              <w:rPr>
                <w:rFonts w:hint="eastAsia"/>
                <w:color w:val="auto"/>
                <w:sz w:val="24"/>
                <w:szCs w:val="32"/>
                <w:highlight w:val="none"/>
                <w:lang w:val="zh-CN" w:eastAsia="zh-CN"/>
              </w:rPr>
              <w:t>法定代表人/负责人或授权代表本人身份证原件；</w:t>
            </w:r>
          </w:p>
          <w:p>
            <w:pPr>
              <w:numPr>
                <w:ilvl w:val="0"/>
                <w:numId w:val="17"/>
              </w:numPr>
              <w:tabs>
                <w:tab w:val="left" w:pos="432"/>
              </w:tabs>
              <w:spacing w:line="300" w:lineRule="auto"/>
              <w:ind w:left="425" w:leftChars="0" w:hanging="425" w:firstLineChars="0"/>
              <w:rPr>
                <w:rFonts w:hint="eastAsia"/>
                <w:color w:val="auto"/>
                <w:sz w:val="24"/>
                <w:szCs w:val="32"/>
                <w:highlight w:val="none"/>
              </w:rPr>
            </w:pPr>
            <w:r>
              <w:rPr>
                <w:rFonts w:hint="eastAsia"/>
                <w:color w:val="auto"/>
                <w:sz w:val="24"/>
                <w:szCs w:val="32"/>
                <w:highlight w:val="none"/>
                <w:lang w:eastAsia="zh-CN"/>
              </w:rPr>
              <w:t>竞投保证金递交凭证的原件或者复印件加盖单位公章。</w:t>
            </w:r>
          </w:p>
          <w:p>
            <w:pPr>
              <w:pStyle w:val="2"/>
              <w:rPr>
                <w:rFonts w:hint="eastAsia"/>
                <w:color w:val="auto"/>
                <w:sz w:val="24"/>
                <w:szCs w:val="32"/>
                <w:highlight w:val="none"/>
                <w:lang w:val="en-US" w:eastAsia="zh-CN"/>
              </w:rPr>
            </w:pPr>
            <w:r>
              <w:rPr>
                <w:rFonts w:hint="eastAsia"/>
                <w:color w:val="auto"/>
                <w:sz w:val="24"/>
                <w:szCs w:val="32"/>
                <w:highlight w:val="none"/>
                <w:lang w:val="en-US" w:eastAsia="zh-CN"/>
              </w:rPr>
              <w:t>如为自然人：（本项目不适用）</w:t>
            </w:r>
          </w:p>
          <w:p>
            <w:pPr>
              <w:numPr>
                <w:ilvl w:val="0"/>
                <w:numId w:val="18"/>
              </w:numPr>
              <w:tabs>
                <w:tab w:val="left" w:pos="432"/>
              </w:tabs>
              <w:spacing w:line="300" w:lineRule="auto"/>
              <w:ind w:left="425" w:leftChars="0" w:hanging="425" w:firstLineChars="0"/>
              <w:rPr>
                <w:rFonts w:hint="default"/>
                <w:color w:val="auto"/>
                <w:sz w:val="24"/>
                <w:szCs w:val="32"/>
                <w:highlight w:val="none"/>
                <w:lang w:val="en-US"/>
              </w:rPr>
            </w:pPr>
            <w:r>
              <w:rPr>
                <w:rFonts w:hint="eastAsia" w:eastAsia="宋体"/>
                <w:color w:val="auto"/>
                <w:sz w:val="24"/>
                <w:szCs w:val="32"/>
                <w:highlight w:val="none"/>
                <w:lang w:val="en-US" w:eastAsia="zh-CN"/>
              </w:rPr>
              <w:t>自然人</w:t>
            </w:r>
            <w:r>
              <w:rPr>
                <w:rFonts w:hint="eastAsia"/>
                <w:color w:val="auto"/>
                <w:sz w:val="24"/>
                <w:szCs w:val="32"/>
                <w:highlight w:val="none"/>
                <w:lang w:val="zh-CN" w:eastAsia="zh-CN"/>
              </w:rPr>
              <w:t>身份证原件；</w:t>
            </w:r>
          </w:p>
          <w:p>
            <w:pPr>
              <w:numPr>
                <w:ilvl w:val="0"/>
                <w:numId w:val="18"/>
              </w:numPr>
              <w:tabs>
                <w:tab w:val="left" w:pos="432"/>
              </w:tabs>
              <w:spacing w:line="300" w:lineRule="auto"/>
              <w:ind w:left="425" w:leftChars="0" w:hanging="425" w:firstLineChars="0"/>
              <w:rPr>
                <w:rFonts w:hint="eastAsia"/>
                <w:color w:val="auto"/>
                <w:highlight w:val="none"/>
              </w:rPr>
            </w:pPr>
            <w:r>
              <w:rPr>
                <w:rFonts w:hint="eastAsia"/>
                <w:color w:val="auto"/>
                <w:sz w:val="24"/>
                <w:szCs w:val="32"/>
                <w:highlight w:val="none"/>
                <w:lang w:val="zh-CN" w:eastAsia="zh-CN"/>
              </w:rPr>
              <w:t>竞投保证金递交凭证的原件</w:t>
            </w:r>
            <w:r>
              <w:rPr>
                <w:rFonts w:hint="eastAsia"/>
                <w:color w:val="auto"/>
                <w:sz w:val="24"/>
                <w:szCs w:val="32"/>
                <w:highlight w:val="none"/>
                <w:lang w:val="en-US" w:eastAsia="zh-CN"/>
              </w:rPr>
              <w:t>或复印件</w:t>
            </w:r>
            <w:r>
              <w:rPr>
                <w:rFonts w:hint="eastAsia"/>
                <w:color w:val="auto"/>
                <w:sz w:val="24"/>
                <w:szCs w:val="32"/>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noWrap w:val="0"/>
            <w:vAlign w:val="center"/>
          </w:tcPr>
          <w:p>
            <w:pPr>
              <w:numPr>
                <w:ilvl w:val="0"/>
                <w:numId w:val="15"/>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资格审查</w:t>
            </w:r>
            <w:r>
              <w:rPr>
                <w:rFonts w:hint="eastAsia" w:asciiTheme="minorEastAsia" w:hAnsiTheme="minorEastAsia" w:eastAsiaTheme="minorEastAsia" w:cstheme="minorEastAsia"/>
                <w:color w:val="auto"/>
                <w:sz w:val="24"/>
                <w:szCs w:val="24"/>
                <w:highlight w:val="none"/>
              </w:rPr>
              <w:t>文件递交数量</w:t>
            </w:r>
          </w:p>
        </w:tc>
        <w:tc>
          <w:tcPr>
            <w:tcW w:w="7194" w:type="dxa"/>
            <w:noWrap w:val="0"/>
            <w:vAlign w:val="center"/>
          </w:tcPr>
          <w:p>
            <w:pPr>
              <w:spacing w:after="72" w:afterLines="30" w:line="30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u w:val="single"/>
                <w:lang w:val="en-GB"/>
              </w:rPr>
              <w:t>1份</w:t>
            </w:r>
            <w:r>
              <w:rPr>
                <w:rFonts w:hint="eastAsia" w:asciiTheme="minorEastAsia" w:hAnsiTheme="minorEastAsia" w:eastAsiaTheme="minorEastAsia" w:cstheme="minorEastAsia"/>
                <w:b/>
                <w:color w:val="auto"/>
                <w:sz w:val="24"/>
                <w:szCs w:val="24"/>
                <w:highlight w:val="none"/>
                <w:lang w:val="en-GB"/>
              </w:rPr>
              <w:t>正本、</w:t>
            </w:r>
            <w:r>
              <w:rPr>
                <w:rFonts w:hint="eastAsia" w:asciiTheme="minorEastAsia" w:hAnsiTheme="minorEastAsia" w:eastAsiaTheme="minorEastAsia" w:cstheme="minorEastAsia"/>
                <w:b/>
                <w:color w:val="auto"/>
                <w:sz w:val="24"/>
                <w:szCs w:val="24"/>
                <w:highlight w:val="none"/>
                <w:u w:val="single"/>
                <w:lang w:val="en-US" w:eastAsia="zh-CN"/>
              </w:rPr>
              <w:t>3</w:t>
            </w:r>
            <w:r>
              <w:rPr>
                <w:rFonts w:hint="eastAsia" w:asciiTheme="minorEastAsia" w:hAnsiTheme="minorEastAsia" w:eastAsiaTheme="minorEastAsia" w:cstheme="minorEastAsia"/>
                <w:b/>
                <w:color w:val="auto"/>
                <w:sz w:val="24"/>
                <w:szCs w:val="24"/>
                <w:highlight w:val="none"/>
                <w:u w:val="single"/>
                <w:lang w:val="en-GB"/>
              </w:rPr>
              <w:t>份</w:t>
            </w:r>
            <w:r>
              <w:rPr>
                <w:rFonts w:hint="eastAsia" w:asciiTheme="minorEastAsia" w:hAnsiTheme="minorEastAsia" w:eastAsiaTheme="minorEastAsia" w:cstheme="minorEastAsia"/>
                <w:b/>
                <w:color w:val="auto"/>
                <w:sz w:val="24"/>
                <w:szCs w:val="24"/>
                <w:highlight w:val="none"/>
                <w:lang w:val="en-GB"/>
              </w:rPr>
              <w:t>副本和</w:t>
            </w:r>
            <w:r>
              <w:rPr>
                <w:rFonts w:hint="eastAsia" w:asciiTheme="minorEastAsia" w:hAnsiTheme="minorEastAsia" w:eastAsiaTheme="minorEastAsia" w:cstheme="minorEastAsia"/>
                <w:b/>
                <w:color w:val="auto"/>
                <w:sz w:val="24"/>
                <w:szCs w:val="24"/>
                <w:highlight w:val="none"/>
                <w:u w:val="single"/>
              </w:rPr>
              <w:t>2份</w:t>
            </w:r>
            <w:r>
              <w:rPr>
                <w:rFonts w:hint="eastAsia" w:asciiTheme="minorEastAsia" w:hAnsiTheme="minorEastAsia" w:eastAsiaTheme="minorEastAsia" w:cstheme="minorEastAsia"/>
                <w:b/>
                <w:color w:val="auto"/>
                <w:sz w:val="24"/>
                <w:szCs w:val="24"/>
                <w:highlight w:val="none"/>
              </w:rPr>
              <w:t>电子光盘</w:t>
            </w:r>
          </w:p>
          <w:p>
            <w:pPr>
              <w:rPr>
                <w:rFonts w:hint="eastAsia" w:asciiTheme="minorEastAsia" w:hAnsiTheme="minorEastAsia" w:eastAsiaTheme="minorEastAsia" w:cstheme="minorEastAsia"/>
                <w:b/>
                <w:color w:val="auto"/>
                <w:sz w:val="24"/>
                <w:szCs w:val="24"/>
                <w:highlight w:val="none"/>
                <w:lang w:val="en-GB"/>
              </w:rPr>
            </w:pPr>
            <w:r>
              <w:rPr>
                <w:rFonts w:hint="eastAsia" w:asciiTheme="minorEastAsia" w:hAnsiTheme="minorEastAsia" w:eastAsiaTheme="minorEastAsia" w:cstheme="minorEastAsia"/>
                <w:b/>
                <w:color w:val="auto"/>
                <w:sz w:val="24"/>
                <w:szCs w:val="24"/>
                <w:highlight w:val="none"/>
                <w:lang w:val="en-GB"/>
              </w:rPr>
              <w:t>说明：</w:t>
            </w:r>
          </w:p>
          <w:p>
            <w:pPr>
              <w:numPr>
                <w:ilvl w:val="0"/>
                <w:numId w:val="19"/>
              </w:numPr>
              <w:ind w:left="0" w:leftChars="0" w:firstLine="0" w:firstLineChars="0"/>
              <w:rPr>
                <w:rFonts w:hint="eastAsia" w:asciiTheme="minorEastAsia" w:hAnsiTheme="minorEastAsia" w:eastAsiaTheme="minorEastAsia" w:cstheme="minorEastAsia"/>
                <w:b/>
                <w:color w:val="auto"/>
                <w:sz w:val="24"/>
                <w:szCs w:val="24"/>
                <w:highlight w:val="none"/>
                <w:lang w:val="en-GB"/>
              </w:rPr>
            </w:pPr>
            <w:r>
              <w:rPr>
                <w:rFonts w:hint="eastAsia" w:asciiTheme="minorEastAsia" w:hAnsiTheme="minorEastAsia" w:eastAsiaTheme="minorEastAsia" w:cstheme="minorEastAsia"/>
                <w:b/>
                <w:color w:val="auto"/>
                <w:sz w:val="24"/>
                <w:szCs w:val="24"/>
                <w:highlight w:val="none"/>
                <w:lang w:val="en-GB"/>
              </w:rPr>
              <w:t>资格审查文件的正本、副本、电子光盘，均应密封在同一密封包中。若上述资料确实无法密封在同一密封包中，则可按实际情况分开密封，但须在密封包装上标明密封内容。</w:t>
            </w:r>
          </w:p>
          <w:p>
            <w:pPr>
              <w:numPr>
                <w:ilvl w:val="0"/>
                <w:numId w:val="19"/>
              </w:numPr>
              <w:ind w:left="0" w:leftChars="0" w:firstLine="0" w:firstLineChars="0"/>
              <w:rPr>
                <w:rFonts w:hint="eastAsia" w:asciiTheme="minorEastAsia" w:hAnsiTheme="minorEastAsia" w:eastAsiaTheme="minorEastAsia" w:cstheme="minorEastAsia"/>
                <w:b/>
                <w:color w:val="auto"/>
                <w:sz w:val="24"/>
                <w:szCs w:val="24"/>
                <w:highlight w:val="none"/>
                <w:lang w:val="en-GB"/>
              </w:rPr>
            </w:pPr>
            <w:r>
              <w:rPr>
                <w:rFonts w:hint="eastAsia" w:asciiTheme="minorEastAsia" w:hAnsiTheme="minorEastAsia" w:eastAsiaTheme="minorEastAsia" w:cstheme="minorEastAsia"/>
                <w:b/>
                <w:color w:val="auto"/>
                <w:sz w:val="24"/>
                <w:szCs w:val="24"/>
                <w:highlight w:val="none"/>
                <w:lang w:val="en-GB"/>
              </w:rPr>
              <w:t>电子光盘内容：</w:t>
            </w:r>
            <w:r>
              <w:rPr>
                <w:rFonts w:hint="eastAsia" w:asciiTheme="minorEastAsia" w:hAnsiTheme="minorEastAsia" w:eastAsiaTheme="minorEastAsia" w:cstheme="minorEastAsia"/>
                <w:b/>
                <w:color w:val="auto"/>
                <w:sz w:val="24"/>
                <w:szCs w:val="24"/>
                <w:highlight w:val="none"/>
                <w:lang w:val="en-GB" w:eastAsia="zh-CN"/>
              </w:rPr>
              <w:t>竞投</w:t>
            </w:r>
            <w:r>
              <w:rPr>
                <w:rFonts w:hint="eastAsia" w:asciiTheme="minorEastAsia" w:hAnsiTheme="minorEastAsia" w:eastAsiaTheme="minorEastAsia" w:cstheme="minorEastAsia"/>
                <w:b/>
                <w:color w:val="auto"/>
                <w:sz w:val="24"/>
                <w:szCs w:val="24"/>
                <w:highlight w:val="none"/>
                <w:lang w:val="en-GB"/>
              </w:rPr>
              <w:t>文件正本的所有内容，WORD版可编辑文档格式。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09" w:type="dxa"/>
            <w:noWrap w:val="0"/>
            <w:vAlign w:val="center"/>
          </w:tcPr>
          <w:p>
            <w:pPr>
              <w:numPr>
                <w:ilvl w:val="0"/>
                <w:numId w:val="15"/>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资格审查文件的制作要求及密封要求</w:t>
            </w:r>
          </w:p>
        </w:tc>
        <w:tc>
          <w:tcPr>
            <w:tcW w:w="7194" w:type="dxa"/>
            <w:noWrap w:val="0"/>
            <w:vAlign w:val="center"/>
          </w:tcPr>
          <w:p>
            <w:pPr>
              <w:numPr>
                <w:ilvl w:val="0"/>
                <w:numId w:val="20"/>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《资格审查文件》装订为一册。</w:t>
            </w:r>
          </w:p>
          <w:p>
            <w:pPr>
              <w:numPr>
                <w:ilvl w:val="0"/>
                <w:numId w:val="20"/>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《资格审查文件》【正本】和【副本】的封面须加盖</w:t>
            </w:r>
            <w:r>
              <w:rPr>
                <w:rFonts w:hint="eastAsia" w:asciiTheme="minorEastAsia" w:hAnsiTheme="minorEastAsia" w:eastAsiaTheme="minorEastAsia" w:cstheme="minorEastAsia"/>
                <w:color w:val="auto"/>
                <w:sz w:val="24"/>
                <w:szCs w:val="24"/>
                <w:highlight w:val="none"/>
                <w:lang w:val="en-GB" w:eastAsia="zh-CN"/>
              </w:rPr>
              <w:t>投标人</w:t>
            </w:r>
            <w:r>
              <w:rPr>
                <w:rFonts w:hint="eastAsia" w:asciiTheme="minorEastAsia" w:hAnsiTheme="minorEastAsia" w:eastAsiaTheme="minorEastAsia" w:cstheme="minorEastAsia"/>
                <w:color w:val="auto"/>
                <w:sz w:val="24"/>
                <w:szCs w:val="24"/>
                <w:highlight w:val="none"/>
                <w:lang w:val="en-GB"/>
              </w:rPr>
              <w:t>公章，【副本】可为【正本】的复印件。</w:t>
            </w:r>
          </w:p>
          <w:p>
            <w:pPr>
              <w:numPr>
                <w:ilvl w:val="0"/>
                <w:numId w:val="20"/>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资格审查文件的【正本】、【副本】、【电子光盘】，均应密封在同一密封包中。若上述资料确实无法密封在同一密封包中，则可按实际情况分开密封，但须在密封包装上标明密封内容。</w:t>
            </w:r>
          </w:p>
          <w:p>
            <w:pPr>
              <w:numPr>
                <w:ilvl w:val="0"/>
                <w:numId w:val="20"/>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电子光盘内容：</w:t>
            </w:r>
            <w:r>
              <w:rPr>
                <w:rFonts w:hint="eastAsia" w:asciiTheme="minorEastAsia" w:hAnsiTheme="minorEastAsia" w:eastAsiaTheme="minorEastAsia" w:cstheme="minorEastAsia"/>
                <w:color w:val="auto"/>
                <w:sz w:val="24"/>
                <w:szCs w:val="24"/>
                <w:highlight w:val="none"/>
                <w:lang w:val="en-GB" w:eastAsia="zh-CN"/>
              </w:rPr>
              <w:t>竞投</w:t>
            </w:r>
            <w:r>
              <w:rPr>
                <w:rFonts w:hint="eastAsia" w:asciiTheme="minorEastAsia" w:hAnsiTheme="minorEastAsia" w:eastAsiaTheme="minorEastAsia" w:cstheme="minorEastAsia"/>
                <w:color w:val="auto"/>
                <w:sz w:val="24"/>
                <w:szCs w:val="24"/>
                <w:highlight w:val="none"/>
                <w:lang w:val="en-GB"/>
              </w:rPr>
              <w:t>文件正本的所有内容，WORD版可编辑文档格式。</w:t>
            </w:r>
          </w:p>
          <w:p>
            <w:pPr>
              <w:numPr>
                <w:ilvl w:val="0"/>
                <w:numId w:val="20"/>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密封各文件资料时，应在密封包装的封口处加盖</w:t>
            </w:r>
            <w:r>
              <w:rPr>
                <w:rFonts w:hint="eastAsia" w:asciiTheme="minorEastAsia" w:hAnsiTheme="minorEastAsia" w:eastAsiaTheme="minorEastAsia" w:cstheme="minorEastAsia"/>
                <w:color w:val="auto"/>
                <w:sz w:val="24"/>
                <w:szCs w:val="24"/>
                <w:highlight w:val="none"/>
                <w:lang w:val="en-GB" w:eastAsia="zh-CN"/>
              </w:rPr>
              <w:t>投标人</w:t>
            </w:r>
            <w:r>
              <w:rPr>
                <w:rFonts w:hint="eastAsia" w:asciiTheme="minorEastAsia" w:hAnsiTheme="minorEastAsia" w:eastAsiaTheme="minorEastAsia" w:cstheme="minorEastAsia"/>
                <w:color w:val="auto"/>
                <w:sz w:val="24"/>
                <w:szCs w:val="24"/>
                <w:highlight w:val="none"/>
                <w:lang w:val="en-GB"/>
              </w:rPr>
              <w:t>公章。所有密封文件封套正面统一按“文件包装袋封面”格式填写标贴。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09" w:type="dxa"/>
            <w:noWrap w:val="0"/>
            <w:vAlign w:val="center"/>
          </w:tcPr>
          <w:p>
            <w:pPr>
              <w:numPr>
                <w:ilvl w:val="0"/>
                <w:numId w:val="15"/>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资格审查文件有效期</w:t>
            </w:r>
          </w:p>
        </w:tc>
        <w:tc>
          <w:tcPr>
            <w:tcW w:w="7194" w:type="dxa"/>
            <w:noWrap w:val="0"/>
            <w:vAlign w:val="center"/>
          </w:tcPr>
          <w:p>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递交资格审查文件截止日起</w:t>
            </w:r>
            <w:r>
              <w:rPr>
                <w:rFonts w:hint="eastAsia" w:asciiTheme="minorEastAsia" w:hAnsiTheme="minorEastAsia" w:eastAsiaTheme="minorEastAsia" w:cstheme="minorEastAsia"/>
                <w:color w:val="auto"/>
                <w:sz w:val="24"/>
                <w:szCs w:val="24"/>
                <w:highlight w:val="none"/>
                <w:lang w:val="en-US" w:eastAsia="zh-CN"/>
              </w:rPr>
              <w:t>60</w:t>
            </w:r>
            <w:r>
              <w:rPr>
                <w:rFonts w:hint="eastAsia" w:asciiTheme="minorEastAsia" w:hAnsiTheme="minorEastAsia" w:eastAsiaTheme="minorEastAsia" w:cstheme="minorEastAsia"/>
                <w:color w:val="auto"/>
                <w:sz w:val="24"/>
                <w:szCs w:val="24"/>
                <w:highlight w:val="none"/>
              </w:rPr>
              <w:t>天内有效，中标单位的有效期延续到项目验收之日。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09" w:type="dxa"/>
            <w:noWrap w:val="0"/>
            <w:vAlign w:val="center"/>
          </w:tcPr>
          <w:p>
            <w:pPr>
              <w:numPr>
                <w:ilvl w:val="0"/>
                <w:numId w:val="15"/>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定标</w:t>
            </w:r>
            <w:r>
              <w:rPr>
                <w:rFonts w:hint="eastAsia" w:asciiTheme="minorEastAsia" w:hAnsiTheme="minorEastAsia" w:eastAsiaTheme="minorEastAsia" w:cstheme="minorEastAsia"/>
                <w:color w:val="auto"/>
                <w:sz w:val="24"/>
                <w:szCs w:val="24"/>
                <w:highlight w:val="none"/>
              </w:rPr>
              <w:t>方法</w:t>
            </w:r>
          </w:p>
        </w:tc>
        <w:tc>
          <w:tcPr>
            <w:tcW w:w="7194" w:type="dxa"/>
            <w:noWrap w:val="0"/>
            <w:vAlign w:val="center"/>
          </w:tcPr>
          <w:p>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eastAsia="zh-CN"/>
              </w:rPr>
              <w:t>采用一次性报价的暗标方式，价高者得的原则确定中标人。投标人</w:t>
            </w:r>
            <w:r>
              <w:rPr>
                <w:rFonts w:hint="eastAsia" w:asciiTheme="minorEastAsia" w:hAnsiTheme="minorEastAsia" w:eastAsiaTheme="minorEastAsia" w:cstheme="minorEastAsia"/>
                <w:b/>
                <w:bCs/>
                <w:color w:val="auto"/>
                <w:kern w:val="0"/>
                <w:sz w:val="24"/>
                <w:szCs w:val="24"/>
                <w:highlight w:val="none"/>
              </w:rPr>
              <w:t>所报价格为</w:t>
            </w:r>
            <w:r>
              <w:rPr>
                <w:rFonts w:hint="eastAsia" w:asciiTheme="minorEastAsia" w:hAnsiTheme="minorEastAsia" w:eastAsiaTheme="minorEastAsia" w:cstheme="minorEastAsia"/>
                <w:b/>
                <w:bCs/>
                <w:color w:val="auto"/>
                <w:kern w:val="0"/>
                <w:sz w:val="24"/>
                <w:szCs w:val="24"/>
                <w:highlight w:val="none"/>
                <w:lang w:eastAsia="zh-CN"/>
              </w:rPr>
              <w:t>向招标人支付管理费用的基数</w:t>
            </w:r>
            <w:r>
              <w:rPr>
                <w:rFonts w:hint="eastAsia" w:asciiTheme="minorEastAsia" w:hAnsiTheme="minorEastAsia" w:eastAsiaTheme="minorEastAsia" w:cstheme="minorEastAsia"/>
                <w:b/>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09" w:type="dxa"/>
            <w:noWrap w:val="0"/>
            <w:vAlign w:val="center"/>
          </w:tcPr>
          <w:p>
            <w:pPr>
              <w:numPr>
                <w:ilvl w:val="0"/>
                <w:numId w:val="15"/>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中标服务费</w:t>
            </w:r>
          </w:p>
        </w:tc>
        <w:tc>
          <w:tcPr>
            <w:tcW w:w="7194" w:type="dxa"/>
            <w:noWrap w:val="0"/>
            <w:vAlign w:val="center"/>
          </w:tcPr>
          <w:p>
            <w:pPr>
              <w:numPr>
                <w:ilvl w:val="0"/>
                <w:numId w:val="21"/>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成交通知书</w:t>
            </w:r>
            <w:r>
              <w:rPr>
                <w:rFonts w:hint="eastAsia" w:asciiTheme="minorEastAsia" w:hAnsiTheme="minorEastAsia" w:eastAsiaTheme="minorEastAsia" w:cstheme="minorEastAsia"/>
                <w:color w:val="auto"/>
                <w:sz w:val="24"/>
                <w:szCs w:val="24"/>
                <w:highlight w:val="none"/>
              </w:rPr>
              <w:t>》发出后三个工作日内一次性向</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支付</w:t>
            </w:r>
            <w:r>
              <w:rPr>
                <w:rFonts w:hint="eastAsia" w:asciiTheme="minorEastAsia" w:hAnsiTheme="minorEastAsia" w:eastAsiaTheme="minorEastAsia" w:cstheme="minorEastAsia"/>
                <w:color w:val="auto"/>
                <w:sz w:val="24"/>
                <w:szCs w:val="24"/>
                <w:highlight w:val="none"/>
                <w:lang w:val="en-GB"/>
              </w:rPr>
              <w:t>中标</w:t>
            </w:r>
            <w:r>
              <w:rPr>
                <w:rFonts w:hint="eastAsia" w:asciiTheme="minorEastAsia" w:hAnsiTheme="minorEastAsia" w:eastAsiaTheme="minorEastAsia" w:cstheme="minorEastAsia"/>
                <w:color w:val="auto"/>
                <w:sz w:val="24"/>
                <w:szCs w:val="24"/>
                <w:highlight w:val="none"/>
              </w:rPr>
              <w:t>服务费</w:t>
            </w:r>
            <w:r>
              <w:rPr>
                <w:rFonts w:hint="eastAsia" w:asciiTheme="minorEastAsia" w:hAnsiTheme="minorEastAsia" w:eastAsiaTheme="minorEastAsia" w:cstheme="minorEastAsia"/>
                <w:color w:val="auto"/>
                <w:sz w:val="24"/>
                <w:szCs w:val="24"/>
                <w:highlight w:val="none"/>
                <w:lang w:eastAsia="zh-CN"/>
              </w:rPr>
              <w:t>。</w:t>
            </w:r>
          </w:p>
          <w:p>
            <w:pPr>
              <w:numPr>
                <w:ilvl w:val="0"/>
                <w:numId w:val="21"/>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GB"/>
              </w:rPr>
              <w:t>中标</w:t>
            </w:r>
            <w:r>
              <w:rPr>
                <w:rFonts w:hint="eastAsia" w:asciiTheme="minorEastAsia" w:hAnsiTheme="minorEastAsia" w:eastAsiaTheme="minorEastAsia" w:cstheme="minorEastAsia"/>
                <w:color w:val="auto"/>
                <w:sz w:val="24"/>
                <w:szCs w:val="24"/>
                <w:highlight w:val="none"/>
              </w:rPr>
              <w:t>服务费</w:t>
            </w:r>
            <w:r>
              <w:rPr>
                <w:rFonts w:hint="eastAsia" w:asciiTheme="minorEastAsia" w:hAnsiTheme="minorEastAsia" w:eastAsiaTheme="minorEastAsia" w:cstheme="minorEastAsia"/>
                <w:color w:val="auto"/>
                <w:sz w:val="24"/>
                <w:szCs w:val="24"/>
                <w:highlight w:val="none"/>
                <w:lang w:val="en-US" w:eastAsia="zh-CN"/>
              </w:rPr>
              <w:t>定额收取5000元。</w:t>
            </w:r>
          </w:p>
          <w:p>
            <w:pPr>
              <w:numPr>
                <w:ilvl w:val="0"/>
                <w:numId w:val="21"/>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GB"/>
              </w:rPr>
              <w:t>支付</w:t>
            </w:r>
            <w:r>
              <w:rPr>
                <w:rFonts w:hint="eastAsia" w:asciiTheme="minorEastAsia" w:hAnsiTheme="minorEastAsia" w:eastAsiaTheme="minorEastAsia" w:cstheme="minorEastAsia"/>
                <w:color w:val="auto"/>
                <w:sz w:val="24"/>
                <w:szCs w:val="24"/>
                <w:highlight w:val="none"/>
              </w:rPr>
              <w:t>中标服务费银行账户信息如下：</w:t>
            </w:r>
          </w:p>
          <w:p>
            <w:pPr>
              <w:pStyle w:val="33"/>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开户名称：</w:t>
            </w:r>
            <w:r>
              <w:rPr>
                <w:rFonts w:hint="eastAsia" w:asciiTheme="minorEastAsia" w:hAnsiTheme="minorEastAsia" w:eastAsiaTheme="minorEastAsia" w:cstheme="minorEastAsia"/>
                <w:color w:val="auto"/>
                <w:sz w:val="24"/>
                <w:szCs w:val="24"/>
                <w:highlight w:val="none"/>
                <w:lang w:eastAsia="zh-CN"/>
              </w:rPr>
              <w:t>广东中采招标有限公司</w:t>
            </w:r>
          </w:p>
          <w:p>
            <w:pPr>
              <w:pStyle w:val="33"/>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开户行名称：兴业银行股份有限公司佛山分行</w:t>
            </w:r>
          </w:p>
          <w:p>
            <w:pPr>
              <w:pStyle w:val="33"/>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银行账号：392060100100155323</w:t>
            </w:r>
          </w:p>
          <w:p>
            <w:pPr>
              <w:numPr>
                <w:ilvl w:val="0"/>
                <w:numId w:val="21"/>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在办理转账时，请在转账摘要上注明“</w:t>
            </w:r>
            <w:r>
              <w:rPr>
                <w:rFonts w:hint="eastAsia" w:asciiTheme="minorEastAsia" w:hAnsiTheme="minorEastAsia" w:eastAsiaTheme="minorEastAsia" w:cstheme="minorEastAsia"/>
                <w:color w:val="auto"/>
                <w:sz w:val="24"/>
                <w:highlight w:val="none"/>
                <w:u w:val="single"/>
              </w:rPr>
              <w:t>吉利上二村</w:t>
            </w:r>
            <w:r>
              <w:rPr>
                <w:rFonts w:hint="eastAsia" w:asciiTheme="minorEastAsia" w:hAnsiTheme="minorEastAsia" w:eastAsiaTheme="minorEastAsia" w:cstheme="minorEastAsia"/>
                <w:color w:val="auto"/>
                <w:sz w:val="24"/>
                <w:szCs w:val="24"/>
                <w:highlight w:val="none"/>
              </w:rPr>
              <w:t>”字样。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09" w:type="dxa"/>
            <w:noWrap w:val="0"/>
            <w:vAlign w:val="center"/>
          </w:tcPr>
          <w:p>
            <w:pPr>
              <w:numPr>
                <w:ilvl w:val="0"/>
                <w:numId w:val="15"/>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相关公告发布媒介</w:t>
            </w:r>
          </w:p>
        </w:tc>
        <w:tc>
          <w:tcPr>
            <w:tcW w:w="7194" w:type="dxa"/>
            <w:noWrap w:val="0"/>
            <w:vAlign w:val="center"/>
          </w:tcPr>
          <w:p>
            <w:pPr>
              <w:wordWrap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佛山市公共资源交易中心禅城分中心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"http://ccggzy.chancheng.gov.cn/"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http://ccggzy.chancheng.gov.cn/</w:t>
            </w:r>
            <w:r>
              <w:rPr>
                <w:rFonts w:hint="eastAsia" w:asciiTheme="minorEastAsia" w:hAnsiTheme="minorEastAsia" w:eastAsiaTheme="minorEastAsia" w:cstheme="minorEastAsia"/>
                <w:color w:val="auto"/>
                <w:sz w:val="24"/>
                <w:szCs w:val="24"/>
                <w:highlight w:val="none"/>
              </w:rPr>
              <w:fldChar w:fldCharType="end"/>
            </w:r>
          </w:p>
          <w:p>
            <w:pPr>
              <w:wordWrap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highlight w:val="none"/>
              </w:rPr>
              <w:t>佛山市禅城区</w:t>
            </w:r>
            <w:r>
              <w:rPr>
                <w:rFonts w:hint="eastAsia" w:asciiTheme="minorEastAsia" w:hAnsiTheme="minorEastAsia" w:eastAsiaTheme="minorEastAsia" w:cstheme="minorEastAsia"/>
                <w:color w:val="auto"/>
                <w:sz w:val="24"/>
                <w:szCs w:val="24"/>
                <w:highlight w:val="none"/>
              </w:rPr>
              <w:t>南庄镇政府：</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"http://www.chancheng.gov.cn/nanzhuang/" </w:instrText>
            </w:r>
            <w:r>
              <w:rPr>
                <w:rFonts w:hint="eastAsia" w:asciiTheme="minorEastAsia" w:hAnsiTheme="minorEastAsia" w:eastAsiaTheme="minorEastAsia" w:cstheme="minorEastAsia"/>
                <w:color w:val="auto"/>
                <w:sz w:val="24"/>
                <w:szCs w:val="24"/>
                <w:highlight w:val="none"/>
              </w:rPr>
              <w:fldChar w:fldCharType="separate"/>
            </w:r>
            <w:r>
              <w:rPr>
                <w:rStyle w:val="23"/>
                <w:rFonts w:hint="eastAsia" w:asciiTheme="minorEastAsia" w:hAnsiTheme="minorEastAsia" w:eastAsiaTheme="minorEastAsia" w:cstheme="minorEastAsia"/>
                <w:color w:val="auto"/>
                <w:sz w:val="24"/>
                <w:szCs w:val="24"/>
                <w:highlight w:val="none"/>
              </w:rPr>
              <w:t>http://www.chancheng.gov.cn/nanzhuang/</w:t>
            </w:r>
            <w:r>
              <w:rPr>
                <w:rFonts w:hint="eastAsia" w:asciiTheme="minorEastAsia" w:hAnsiTheme="minorEastAsia" w:eastAsiaTheme="minorEastAsia" w:cstheme="minorEastAsia"/>
                <w:color w:val="auto"/>
                <w:sz w:val="24"/>
                <w:szCs w:val="24"/>
                <w:highlight w:val="none"/>
              </w:rPr>
              <w:fldChar w:fldCharType="end"/>
            </w:r>
          </w:p>
          <w:p>
            <w:pPr>
              <w:pStyle w:val="2"/>
              <w:wordWrap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网站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（http://www.gdzczb.com/）</w:t>
            </w:r>
          </w:p>
        </w:tc>
      </w:tr>
    </w:tbl>
    <w:p>
      <w:pPr>
        <w:snapToGrid w:val="0"/>
        <w:ind w:right="-178" w:rightChars="-85"/>
        <w:rPr>
          <w:rFonts w:ascii="宋体"/>
          <w:b/>
          <w:color w:val="auto"/>
          <w:sz w:val="18"/>
          <w:szCs w:val="18"/>
          <w:highlight w:val="none"/>
        </w:rPr>
      </w:pPr>
    </w:p>
    <w:p>
      <w:pPr>
        <w:pStyle w:val="12"/>
        <w:rPr>
          <w:color w:val="auto"/>
          <w:highlight w:val="none"/>
        </w:rPr>
      </w:pPr>
      <w:bookmarkStart w:id="36" w:name="_Toc334432590"/>
    </w:p>
    <w:p>
      <w:pPr>
        <w:pStyle w:val="12"/>
        <w:rPr>
          <w:color w:val="auto"/>
          <w:highlight w:val="none"/>
        </w:rPr>
      </w:pPr>
    </w:p>
    <w:p>
      <w:pPr>
        <w:spacing w:after="72" w:afterLines="30" w:line="336" w:lineRule="auto"/>
        <w:ind w:right="-178" w:rightChars="-85"/>
        <w:jc w:val="center"/>
        <w:outlineLvl w:val="1"/>
        <w:rPr>
          <w:rFonts w:ascii="宋体"/>
          <w:b/>
          <w:color w:val="auto"/>
          <w:sz w:val="28"/>
          <w:szCs w:val="28"/>
          <w:highlight w:val="none"/>
        </w:rPr>
      </w:pPr>
      <w:r>
        <w:rPr>
          <w:rFonts w:ascii="宋体"/>
          <w:b/>
          <w:color w:val="auto"/>
          <w:sz w:val="28"/>
          <w:szCs w:val="28"/>
          <w:highlight w:val="none"/>
        </w:rPr>
        <w:br w:type="page"/>
      </w:r>
      <w:bookmarkStart w:id="37" w:name="_Toc3357"/>
      <w:bookmarkStart w:id="38" w:name="_Toc12687"/>
      <w:bookmarkStart w:id="39" w:name="_Toc17337"/>
      <w:bookmarkStart w:id="40" w:name="_Toc3020"/>
      <w:r>
        <w:rPr>
          <w:rFonts w:hint="eastAsia" w:ascii="宋体" w:hAnsi="宋体"/>
          <w:b/>
          <w:color w:val="auto"/>
          <w:sz w:val="28"/>
          <w:szCs w:val="28"/>
          <w:highlight w:val="none"/>
        </w:rPr>
        <w:t>二、总则及概念释义</w:t>
      </w:r>
      <w:bookmarkEnd w:id="36"/>
      <w:bookmarkEnd w:id="37"/>
      <w:bookmarkEnd w:id="38"/>
      <w:bookmarkEnd w:id="39"/>
      <w:bookmarkEnd w:id="40"/>
    </w:p>
    <w:p>
      <w:pPr>
        <w:numPr>
          <w:ilvl w:val="0"/>
          <w:numId w:val="22"/>
        </w:numPr>
        <w:tabs>
          <w:tab w:val="left" w:pos="540"/>
        </w:tabs>
        <w:spacing w:line="360" w:lineRule="auto"/>
        <w:ind w:left="420" w:leftChars="0" w:hanging="420" w:firstLineChars="0"/>
        <w:rPr>
          <w:rFonts w:ascii="宋体"/>
          <w:color w:val="auto"/>
          <w:sz w:val="24"/>
          <w:highlight w:val="none"/>
        </w:rPr>
      </w:pPr>
      <w:r>
        <w:rPr>
          <w:rFonts w:hint="eastAsia" w:ascii="宋体" w:hAnsi="宋体"/>
          <w:b/>
          <w:color w:val="auto"/>
          <w:sz w:val="24"/>
          <w:highlight w:val="none"/>
        </w:rPr>
        <w:t>招标适用范围：</w:t>
      </w:r>
      <w:r>
        <w:rPr>
          <w:rFonts w:hint="eastAsia" w:ascii="宋体" w:hAnsi="宋体"/>
          <w:color w:val="auto"/>
          <w:sz w:val="24"/>
          <w:highlight w:val="none"/>
        </w:rPr>
        <w:t>本</w:t>
      </w:r>
      <w:r>
        <w:rPr>
          <w:rFonts w:hint="eastAsia" w:ascii="宋体" w:hAnsi="宋体"/>
          <w:color w:val="auto"/>
          <w:sz w:val="24"/>
          <w:highlight w:val="none"/>
          <w:lang w:eastAsia="zh-CN"/>
        </w:rPr>
        <w:t>竞投文件</w:t>
      </w:r>
      <w:r>
        <w:rPr>
          <w:rFonts w:hint="eastAsia" w:ascii="宋体" w:hAnsi="宋体"/>
          <w:color w:val="auto"/>
          <w:sz w:val="24"/>
          <w:highlight w:val="none"/>
        </w:rPr>
        <w:t>仅适用于本次</w:t>
      </w:r>
      <w:r>
        <w:rPr>
          <w:rFonts w:hint="eastAsia" w:ascii="宋体" w:hAnsi="宋体"/>
          <w:color w:val="auto"/>
          <w:sz w:val="24"/>
          <w:highlight w:val="none"/>
          <w:lang w:eastAsia="zh-CN"/>
        </w:rPr>
        <w:t>竞</w:t>
      </w:r>
      <w:r>
        <w:rPr>
          <w:rFonts w:hint="eastAsia" w:ascii="宋体" w:hAnsi="宋体" w:cs="Times New Roman"/>
          <w:color w:val="auto"/>
          <w:sz w:val="24"/>
          <w:highlight w:val="none"/>
          <w:lang w:eastAsia="zh-CN"/>
        </w:rPr>
        <w:t>投公告中所叙述的项目内容及相关伴随服务。本次招标采用公开招标一次性报价暗标竞投的方式，价高者得的原则确定中标人。投标人所报价格为向招标人支付管理费用。</w:t>
      </w:r>
    </w:p>
    <w:p>
      <w:pPr>
        <w:numPr>
          <w:ilvl w:val="0"/>
          <w:numId w:val="22"/>
        </w:numPr>
        <w:tabs>
          <w:tab w:val="left" w:pos="540"/>
        </w:tabs>
        <w:spacing w:before="120" w:beforeLines="50" w:line="360" w:lineRule="auto"/>
        <w:ind w:left="420" w:leftChars="0" w:hanging="420" w:firstLineChars="0"/>
        <w:rPr>
          <w:rFonts w:ascii="宋体"/>
          <w:b/>
          <w:color w:val="auto"/>
          <w:sz w:val="24"/>
          <w:highlight w:val="none"/>
        </w:rPr>
      </w:pPr>
      <w:r>
        <w:rPr>
          <w:rFonts w:hint="eastAsia" w:ascii="宋体" w:hAnsi="宋体"/>
          <w:b/>
          <w:color w:val="auto"/>
          <w:sz w:val="24"/>
          <w:highlight w:val="none"/>
        </w:rPr>
        <w:t>本《</w:t>
      </w:r>
      <w:r>
        <w:rPr>
          <w:rFonts w:hint="eastAsia" w:ascii="宋体" w:hAnsi="宋体"/>
          <w:b/>
          <w:color w:val="auto"/>
          <w:sz w:val="24"/>
          <w:highlight w:val="none"/>
          <w:lang w:eastAsia="zh-CN"/>
        </w:rPr>
        <w:t>竞投文件</w:t>
      </w:r>
      <w:r>
        <w:rPr>
          <w:rFonts w:hint="eastAsia" w:ascii="宋体" w:hAnsi="宋体"/>
          <w:b/>
          <w:color w:val="auto"/>
          <w:sz w:val="24"/>
          <w:highlight w:val="none"/>
        </w:rPr>
        <w:t>》使用的词语有如下定义：</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2.1</w:t>
      </w:r>
      <w:r>
        <w:rPr>
          <w:rFonts w:hint="eastAsia" w:asciiTheme="minorEastAsia" w:hAnsiTheme="minorEastAsia" w:eastAsiaTheme="minorEastAsia" w:cstheme="minorEastAsia"/>
          <w:color w:val="auto"/>
          <w:sz w:val="24"/>
          <w:highlight w:val="none"/>
        </w:rPr>
        <w:t>本项目的</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是</w:t>
      </w:r>
      <w:r>
        <w:rPr>
          <w:rFonts w:hint="eastAsia" w:asciiTheme="minorEastAsia" w:hAnsiTheme="minorEastAsia" w:eastAsiaTheme="minorEastAsia" w:cstheme="minorEastAsia"/>
          <w:b/>
          <w:color w:val="auto"/>
          <w:sz w:val="24"/>
          <w:highlight w:val="none"/>
          <w:u w:val="single"/>
          <w:lang w:eastAsia="zh-CN"/>
        </w:rPr>
        <w:t>佛山市禅城区南庄镇吉利村上二经济合作社</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他是</w:t>
      </w:r>
      <w:r>
        <w:rPr>
          <w:rFonts w:hint="eastAsia" w:asciiTheme="minorEastAsia" w:hAnsiTheme="minorEastAsia" w:eastAsiaTheme="minorEastAsia" w:cstheme="minorEastAsia"/>
          <w:color w:val="auto"/>
          <w:sz w:val="24"/>
          <w:highlight w:val="none"/>
          <w:lang w:val="en-GB" w:eastAsia="zh-CN"/>
        </w:rPr>
        <w:t>竞投</w:t>
      </w:r>
      <w:r>
        <w:rPr>
          <w:rFonts w:hint="eastAsia" w:asciiTheme="minorEastAsia" w:hAnsiTheme="minorEastAsia" w:eastAsiaTheme="minorEastAsia" w:cstheme="minorEastAsia"/>
          <w:color w:val="auto"/>
          <w:sz w:val="24"/>
          <w:highlight w:val="none"/>
          <w:lang w:val="en-GB"/>
        </w:rPr>
        <w:t>活动当事人之一，负责项目的整体规划、技术方案可行性设计论证与实施，作为合同用户的主体承担质疑回复、履行合同义务、验收与评价等义务。</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2.2</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”系指</w:t>
      </w:r>
      <w:r>
        <w:rPr>
          <w:rFonts w:hint="eastAsia" w:asciiTheme="minorEastAsia" w:hAnsiTheme="minorEastAsia" w:eastAsiaTheme="minorEastAsia" w:cstheme="minorEastAsia"/>
          <w:b/>
          <w:bCs/>
          <w:color w:val="auto"/>
          <w:sz w:val="24"/>
          <w:highlight w:val="none"/>
          <w:u w:val="single"/>
          <w:lang w:eastAsia="zh-CN"/>
        </w:rPr>
        <w:t>广东中采招标有限公司</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是整个</w:t>
      </w:r>
      <w:r>
        <w:rPr>
          <w:rFonts w:hint="eastAsia" w:asciiTheme="minorEastAsia" w:hAnsiTheme="minorEastAsia" w:eastAsiaTheme="minorEastAsia" w:cstheme="minorEastAsia"/>
          <w:color w:val="auto"/>
          <w:sz w:val="24"/>
          <w:highlight w:val="none"/>
          <w:lang w:val="en-GB" w:eastAsia="zh-CN"/>
        </w:rPr>
        <w:t>竞投</w:t>
      </w:r>
      <w:r>
        <w:rPr>
          <w:rFonts w:hint="eastAsia" w:asciiTheme="minorEastAsia" w:hAnsiTheme="minorEastAsia" w:eastAsiaTheme="minorEastAsia" w:cstheme="minorEastAsia"/>
          <w:color w:val="auto"/>
          <w:sz w:val="24"/>
          <w:highlight w:val="none"/>
          <w:lang w:val="en-GB"/>
        </w:rPr>
        <w:t>活动的组织者，依法负责编制和发布</w:t>
      </w:r>
      <w:r>
        <w:rPr>
          <w:rFonts w:hint="eastAsia" w:asciiTheme="minorEastAsia" w:hAnsiTheme="minorEastAsia" w:eastAsiaTheme="minorEastAsia" w:cstheme="minorEastAsia"/>
          <w:color w:val="auto"/>
          <w:sz w:val="24"/>
          <w:highlight w:val="none"/>
          <w:lang w:val="en-GB" w:eastAsia="zh-CN"/>
        </w:rPr>
        <w:t>竞投文件</w:t>
      </w:r>
      <w:r>
        <w:rPr>
          <w:rFonts w:hint="eastAsia" w:asciiTheme="minorEastAsia" w:hAnsiTheme="minorEastAsia" w:eastAsiaTheme="minorEastAsia" w:cstheme="minorEastAsia"/>
          <w:color w:val="auto"/>
          <w:sz w:val="24"/>
          <w:highlight w:val="none"/>
          <w:lang w:val="en-GB"/>
        </w:rPr>
        <w:t>，对</w:t>
      </w:r>
      <w:r>
        <w:rPr>
          <w:rFonts w:hint="eastAsia" w:asciiTheme="minorEastAsia" w:hAnsiTheme="minorEastAsia" w:eastAsiaTheme="minorEastAsia" w:cstheme="minorEastAsia"/>
          <w:color w:val="auto"/>
          <w:sz w:val="24"/>
          <w:highlight w:val="none"/>
          <w:lang w:val="en-GB" w:eastAsia="zh-CN"/>
        </w:rPr>
        <w:t>竞投文件</w:t>
      </w:r>
      <w:r>
        <w:rPr>
          <w:rFonts w:hint="eastAsia" w:asciiTheme="minorEastAsia" w:hAnsiTheme="minorEastAsia" w:eastAsiaTheme="minorEastAsia" w:cstheme="minorEastAsia"/>
          <w:color w:val="auto"/>
          <w:sz w:val="24"/>
          <w:highlight w:val="none"/>
          <w:lang w:val="en-GB"/>
        </w:rPr>
        <w:t>拥有最终的解释权。</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”系指响应招标、参加</w:t>
      </w:r>
      <w:r>
        <w:rPr>
          <w:rFonts w:hint="eastAsia" w:asciiTheme="minorEastAsia" w:hAnsiTheme="minorEastAsia" w:eastAsiaTheme="minorEastAsia" w:cstheme="minorEastAsia"/>
          <w:color w:val="auto"/>
          <w:sz w:val="24"/>
          <w:highlight w:val="none"/>
          <w:lang w:eastAsia="zh-CN"/>
        </w:rPr>
        <w:t>竞投</w:t>
      </w:r>
      <w:r>
        <w:rPr>
          <w:rFonts w:hint="eastAsia" w:asciiTheme="minorEastAsia" w:hAnsiTheme="minorEastAsia" w:eastAsiaTheme="minorEastAsia" w:cstheme="minorEastAsia"/>
          <w:color w:val="auto"/>
          <w:sz w:val="24"/>
          <w:highlight w:val="none"/>
        </w:rPr>
        <w:t>竞争的法人、其他组织或个人。</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2.4</w:t>
      </w:r>
      <w:r>
        <w:rPr>
          <w:rFonts w:hint="eastAsia" w:asciiTheme="minorEastAsia" w:hAnsiTheme="minorEastAsia" w:eastAsiaTheme="minorEastAsia" w:cstheme="minorEastAsia"/>
          <w:color w:val="auto"/>
          <w:sz w:val="24"/>
          <w:highlight w:val="none"/>
        </w:rPr>
        <w:t>“中标人”系指由评标委员会按本《</w:t>
      </w:r>
      <w:r>
        <w:rPr>
          <w:rFonts w:hint="eastAsia" w:asciiTheme="minorEastAsia" w:hAnsiTheme="minorEastAsia" w:eastAsiaTheme="minorEastAsia" w:cstheme="minorEastAsia"/>
          <w:color w:val="auto"/>
          <w:sz w:val="24"/>
          <w:highlight w:val="none"/>
          <w:lang w:eastAsia="zh-CN"/>
        </w:rPr>
        <w:t>竞投文件</w:t>
      </w:r>
      <w:r>
        <w:rPr>
          <w:rFonts w:hint="eastAsia" w:asciiTheme="minorEastAsia" w:hAnsiTheme="minorEastAsia" w:eastAsiaTheme="minorEastAsia" w:cstheme="minorEastAsia"/>
          <w:color w:val="auto"/>
          <w:sz w:val="24"/>
          <w:highlight w:val="none"/>
        </w:rPr>
        <w:t>》所列述的相关标准，评审推荐，经法定程序确定获得本项目中标资格的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竞投文件</w:t>
      </w:r>
      <w:r>
        <w:rPr>
          <w:rFonts w:hint="eastAsia" w:asciiTheme="minorEastAsia" w:hAnsiTheme="minorEastAsia" w:eastAsiaTheme="minorEastAsia" w:cstheme="minorEastAsia"/>
          <w:color w:val="auto"/>
          <w:sz w:val="24"/>
          <w:highlight w:val="none"/>
        </w:rPr>
        <w:t>”系指由</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依法发布的本</w:t>
      </w:r>
      <w:r>
        <w:rPr>
          <w:rFonts w:hint="eastAsia" w:asciiTheme="minorEastAsia" w:hAnsiTheme="minorEastAsia" w:eastAsiaTheme="minorEastAsia" w:cstheme="minorEastAsia"/>
          <w:color w:val="auto"/>
          <w:sz w:val="24"/>
          <w:highlight w:val="none"/>
          <w:lang w:eastAsia="zh-CN"/>
        </w:rPr>
        <w:t>竞投文件</w:t>
      </w:r>
      <w:r>
        <w:rPr>
          <w:rFonts w:hint="eastAsia" w:asciiTheme="minorEastAsia" w:hAnsiTheme="minorEastAsia" w:eastAsiaTheme="minorEastAsia" w:cstheme="minorEastAsia"/>
          <w:color w:val="auto"/>
          <w:sz w:val="24"/>
          <w:highlight w:val="none"/>
        </w:rPr>
        <w:t>，包括全部章节和附件。</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资格审查</w:t>
      </w:r>
      <w:r>
        <w:rPr>
          <w:rFonts w:hint="eastAsia" w:asciiTheme="minorEastAsia" w:hAnsiTheme="minorEastAsia" w:eastAsiaTheme="minorEastAsia" w:cstheme="minorEastAsia"/>
          <w:color w:val="auto"/>
          <w:sz w:val="24"/>
          <w:highlight w:val="none"/>
        </w:rPr>
        <w:t>文件”系指</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根据本</w:t>
      </w:r>
      <w:r>
        <w:rPr>
          <w:rFonts w:hint="eastAsia" w:asciiTheme="minorEastAsia" w:hAnsiTheme="minorEastAsia" w:eastAsiaTheme="minorEastAsia" w:cstheme="minorEastAsia"/>
          <w:color w:val="auto"/>
          <w:sz w:val="24"/>
          <w:highlight w:val="none"/>
          <w:lang w:eastAsia="zh-CN"/>
        </w:rPr>
        <w:t>竞投文件</w:t>
      </w:r>
      <w:r>
        <w:rPr>
          <w:rFonts w:hint="eastAsia" w:asciiTheme="minorEastAsia" w:hAnsiTheme="minorEastAsia" w:eastAsiaTheme="minorEastAsia" w:cstheme="minorEastAsia"/>
          <w:color w:val="auto"/>
          <w:sz w:val="24"/>
          <w:highlight w:val="none"/>
        </w:rPr>
        <w:t>向</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提交的全部文件。</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“合同”系指由本次</w:t>
      </w:r>
      <w:r>
        <w:rPr>
          <w:rFonts w:hint="eastAsia" w:asciiTheme="minorEastAsia" w:hAnsiTheme="minorEastAsia" w:eastAsiaTheme="minorEastAsia" w:cstheme="minorEastAsia"/>
          <w:color w:val="auto"/>
          <w:sz w:val="24"/>
          <w:highlight w:val="none"/>
          <w:lang w:eastAsia="zh-CN"/>
        </w:rPr>
        <w:t>竞投</w:t>
      </w:r>
      <w:r>
        <w:rPr>
          <w:rFonts w:hint="eastAsia" w:asciiTheme="minorEastAsia" w:hAnsiTheme="minorEastAsia" w:eastAsiaTheme="minorEastAsia" w:cstheme="minorEastAsia"/>
          <w:color w:val="auto"/>
          <w:sz w:val="24"/>
          <w:highlight w:val="none"/>
        </w:rPr>
        <w:t>所产生的合同或合约文件。</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2.8</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日期</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天数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w:t>
      </w: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lang w:val="en-GB"/>
        </w:rPr>
        <w:t>在无特别说明时</w:t>
      </w: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lang w:val="en-GB"/>
        </w:rPr>
        <w:t>指公历日及北京时间。</w:t>
      </w:r>
    </w:p>
    <w:p>
      <w:pPr>
        <w:numPr>
          <w:ilvl w:val="0"/>
          <w:numId w:val="22"/>
        </w:numPr>
        <w:tabs>
          <w:tab w:val="left" w:pos="540"/>
        </w:tabs>
        <w:spacing w:before="120" w:beforeLines="50" w:line="360" w:lineRule="auto"/>
        <w:ind w:left="420" w:leftChars="0" w:hanging="420" w:firstLineChars="0"/>
        <w:rPr>
          <w:rFonts w:ascii="宋体"/>
          <w:b/>
          <w:color w:val="auto"/>
          <w:sz w:val="24"/>
          <w:highlight w:val="none"/>
        </w:rPr>
      </w:pPr>
      <w:r>
        <w:rPr>
          <w:rFonts w:hint="eastAsia" w:ascii="宋体" w:hAnsi="宋体"/>
          <w:b/>
          <w:color w:val="auto"/>
          <w:sz w:val="24"/>
          <w:highlight w:val="none"/>
        </w:rPr>
        <w:t>合格的</w:t>
      </w:r>
      <w:r>
        <w:rPr>
          <w:rFonts w:hint="eastAsia" w:ascii="宋体" w:hAnsi="宋体"/>
          <w:b/>
          <w:color w:val="auto"/>
          <w:sz w:val="24"/>
          <w:highlight w:val="none"/>
          <w:lang w:eastAsia="zh-CN"/>
        </w:rPr>
        <w:t>投标人</w:t>
      </w:r>
      <w:r>
        <w:rPr>
          <w:rFonts w:hint="eastAsia" w:ascii="宋体" w:hAnsi="宋体"/>
          <w:b/>
          <w:color w:val="auto"/>
          <w:sz w:val="24"/>
          <w:highlight w:val="none"/>
        </w:rPr>
        <w:t>：</w:t>
      </w:r>
    </w:p>
    <w:p>
      <w:pPr>
        <w:numPr>
          <w:ilvl w:val="0"/>
          <w:numId w:val="0"/>
        </w:numPr>
        <w:tabs>
          <w:tab w:val="left" w:pos="540"/>
        </w:tabs>
        <w:spacing w:line="360" w:lineRule="auto"/>
        <w:ind w:left="480" w:hanging="480" w:hanging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3.1投标人必须符合以下资格条件：</w:t>
      </w:r>
    </w:p>
    <w:p>
      <w:pPr>
        <w:pStyle w:val="2"/>
        <w:numPr>
          <w:ilvl w:val="0"/>
          <w:numId w:val="23"/>
        </w:numPr>
        <w:spacing w:line="450" w:lineRule="exact"/>
        <w:ind w:left="425" w:leftChars="0" w:hanging="425" w:firstLineChars="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须具有独立法人资格，营业执照处于有效期内。</w:t>
      </w:r>
    </w:p>
    <w:p>
      <w:pPr>
        <w:pStyle w:val="2"/>
        <w:numPr>
          <w:ilvl w:val="0"/>
          <w:numId w:val="23"/>
        </w:numPr>
        <w:spacing w:line="450" w:lineRule="exact"/>
        <w:ind w:left="425" w:leftChars="0" w:hanging="425" w:firstLineChars="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本项目不接受联合体竞投。</w:t>
      </w:r>
    </w:p>
    <w:p>
      <w:pPr>
        <w:pStyle w:val="2"/>
        <w:numPr>
          <w:ilvl w:val="0"/>
          <w:numId w:val="23"/>
        </w:numPr>
        <w:spacing w:line="450" w:lineRule="exact"/>
        <w:ind w:left="425" w:leftChars="0" w:hanging="425" w:firstLineChars="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法律、行政法规规定的其他条件。</w:t>
      </w:r>
    </w:p>
    <w:p>
      <w:pPr>
        <w:numPr>
          <w:ilvl w:val="0"/>
          <w:numId w:val="24"/>
        </w:numPr>
        <w:tabs>
          <w:tab w:val="left" w:pos="284"/>
        </w:tabs>
        <w:autoSpaceDE w:val="0"/>
        <w:autoSpaceDN w:val="0"/>
        <w:adjustRightInd w:val="0"/>
        <w:snapToGrid w:val="0"/>
        <w:spacing w:line="360" w:lineRule="auto"/>
        <w:ind w:left="425" w:leftChars="0" w:hanging="425" w:firstLineChars="0"/>
        <w:rPr>
          <w:rFonts w:hint="eastAsia" w:cs="宋体"/>
          <w:color w:val="auto"/>
          <w:sz w:val="24"/>
          <w:szCs w:val="24"/>
          <w:highlight w:val="none"/>
          <w:lang w:eastAsia="zh-CN"/>
        </w:rPr>
      </w:pPr>
      <w:r>
        <w:rPr>
          <w:rFonts w:hint="eastAsia" w:cs="宋体"/>
          <w:color w:val="auto"/>
          <w:sz w:val="24"/>
          <w:szCs w:val="24"/>
          <w:highlight w:val="none"/>
          <w:lang w:eastAsia="zh-CN"/>
        </w:rPr>
        <w:t>单位负责人为同一人或者存在直接控股、管理关系的不同投标人，不得同时参加本项目竞投；</w:t>
      </w:r>
    </w:p>
    <w:p>
      <w:pPr>
        <w:numPr>
          <w:ilvl w:val="0"/>
          <w:numId w:val="24"/>
        </w:numPr>
        <w:tabs>
          <w:tab w:val="left" w:pos="284"/>
        </w:tabs>
        <w:autoSpaceDE w:val="0"/>
        <w:autoSpaceDN w:val="0"/>
        <w:adjustRightInd w:val="0"/>
        <w:snapToGrid w:val="0"/>
        <w:spacing w:line="360" w:lineRule="auto"/>
        <w:ind w:left="425" w:leftChars="0" w:hanging="425" w:firstLineChars="0"/>
        <w:rPr>
          <w:rFonts w:ascii="宋体"/>
          <w:color w:val="auto"/>
          <w:sz w:val="24"/>
          <w:szCs w:val="24"/>
          <w:highlight w:val="none"/>
        </w:rPr>
      </w:pPr>
      <w:r>
        <w:rPr>
          <w:rFonts w:hint="eastAsia" w:cs="宋体"/>
          <w:color w:val="auto"/>
          <w:sz w:val="24"/>
          <w:szCs w:val="24"/>
          <w:highlight w:val="none"/>
          <w:lang w:eastAsia="zh-CN"/>
        </w:rPr>
        <w:t>投标单位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numPr>
          <w:ilvl w:val="0"/>
          <w:numId w:val="0"/>
        </w:numPr>
        <w:tabs>
          <w:tab w:val="left" w:pos="540"/>
        </w:tabs>
        <w:spacing w:line="360" w:lineRule="auto"/>
        <w:ind w:left="0" w:firstLine="0"/>
        <w:rPr>
          <w:rFonts w:ascii="宋体"/>
          <w:color w:val="auto"/>
          <w:sz w:val="24"/>
          <w:szCs w:val="24"/>
          <w:highlight w:val="none"/>
        </w:rPr>
      </w:pPr>
      <w:r>
        <w:rPr>
          <w:rFonts w:hint="eastAsia" w:ascii="宋体" w:hAnsi="宋体"/>
          <w:color w:val="auto"/>
          <w:sz w:val="24"/>
          <w:szCs w:val="24"/>
          <w:highlight w:val="none"/>
          <w:lang w:val="en-US" w:eastAsia="zh-CN"/>
        </w:rPr>
        <w:t>3.2</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必须购买了</w:t>
      </w:r>
      <w:r>
        <w:rPr>
          <w:rFonts w:hint="eastAsia" w:ascii="宋体" w:hAnsi="宋体"/>
          <w:color w:val="auto"/>
          <w:sz w:val="24"/>
          <w:szCs w:val="24"/>
          <w:highlight w:val="none"/>
          <w:lang w:eastAsia="zh-CN"/>
        </w:rPr>
        <w:t>竞投文件</w:t>
      </w:r>
      <w:r>
        <w:rPr>
          <w:rFonts w:hint="eastAsia" w:ascii="宋体" w:hAnsi="宋体"/>
          <w:color w:val="auto"/>
          <w:sz w:val="24"/>
          <w:szCs w:val="24"/>
          <w:highlight w:val="none"/>
        </w:rPr>
        <w:t>。</w:t>
      </w:r>
    </w:p>
    <w:p>
      <w:pPr>
        <w:numPr>
          <w:ilvl w:val="0"/>
          <w:numId w:val="0"/>
        </w:numPr>
        <w:tabs>
          <w:tab w:val="left" w:pos="540"/>
        </w:tabs>
        <w:spacing w:line="360" w:lineRule="auto"/>
        <w:ind w:left="480" w:hanging="480" w:hangingChars="200"/>
        <w:rPr>
          <w:rFonts w:ascii="宋体"/>
          <w:color w:val="auto"/>
          <w:sz w:val="24"/>
          <w:szCs w:val="24"/>
          <w:highlight w:val="none"/>
        </w:rPr>
      </w:pPr>
      <w:r>
        <w:rPr>
          <w:rFonts w:hint="eastAsia" w:ascii="宋体" w:hAnsi="宋体"/>
          <w:color w:val="auto"/>
          <w:sz w:val="24"/>
          <w:szCs w:val="24"/>
          <w:highlight w:val="none"/>
          <w:lang w:val="en-US" w:eastAsia="zh-CN"/>
        </w:rPr>
        <w:t>3.3</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获取了本</w:t>
      </w:r>
      <w:r>
        <w:rPr>
          <w:rFonts w:hint="eastAsia" w:ascii="宋体" w:hAnsi="宋体"/>
          <w:color w:val="auto"/>
          <w:sz w:val="24"/>
          <w:szCs w:val="24"/>
          <w:highlight w:val="none"/>
          <w:lang w:eastAsia="zh-CN"/>
        </w:rPr>
        <w:t>竞投文件</w:t>
      </w:r>
      <w:r>
        <w:rPr>
          <w:rFonts w:hint="eastAsia" w:ascii="宋体" w:hAnsi="宋体"/>
          <w:color w:val="auto"/>
          <w:sz w:val="24"/>
          <w:szCs w:val="24"/>
          <w:highlight w:val="none"/>
        </w:rPr>
        <w:t>并非意味着满足了合格、有效</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的基本条件，一切均以</w:t>
      </w:r>
      <w:r>
        <w:rPr>
          <w:rFonts w:hint="eastAsia" w:ascii="宋体" w:hAnsi="宋体"/>
          <w:color w:val="auto"/>
          <w:sz w:val="24"/>
          <w:szCs w:val="24"/>
          <w:highlight w:val="none"/>
          <w:lang w:eastAsia="zh-CN"/>
        </w:rPr>
        <w:t>招标人代表与招标代理机构代表</w:t>
      </w:r>
      <w:r>
        <w:rPr>
          <w:rFonts w:hint="eastAsia" w:ascii="宋体" w:hAnsi="宋体"/>
          <w:color w:val="auto"/>
          <w:sz w:val="24"/>
          <w:szCs w:val="24"/>
          <w:highlight w:val="none"/>
        </w:rPr>
        <w:t>共同评定确认的结果为准。不合格的</w:t>
      </w:r>
      <w:r>
        <w:rPr>
          <w:rFonts w:hint="eastAsia" w:ascii="宋体" w:hAnsi="宋体"/>
          <w:color w:val="auto"/>
          <w:sz w:val="24"/>
          <w:szCs w:val="24"/>
          <w:highlight w:val="none"/>
          <w:lang w:eastAsia="zh-CN"/>
        </w:rPr>
        <w:t>投标人招标人拒绝其参加竞投</w:t>
      </w:r>
      <w:r>
        <w:rPr>
          <w:rFonts w:hint="eastAsia" w:ascii="宋体" w:hAnsi="宋体"/>
          <w:color w:val="auto"/>
          <w:sz w:val="24"/>
          <w:szCs w:val="24"/>
          <w:highlight w:val="none"/>
        </w:rPr>
        <w:t>，且</w:t>
      </w:r>
      <w:r>
        <w:rPr>
          <w:rFonts w:hint="eastAsia" w:ascii="宋体" w:hAnsi="宋体"/>
          <w:color w:val="auto"/>
          <w:sz w:val="24"/>
          <w:szCs w:val="24"/>
          <w:highlight w:val="none"/>
          <w:lang w:eastAsia="zh-CN"/>
        </w:rPr>
        <w:t>不退还竞投文件费和</w:t>
      </w:r>
      <w:r>
        <w:rPr>
          <w:rFonts w:hint="eastAsia" w:ascii="宋体" w:hAnsi="宋体"/>
          <w:color w:val="auto"/>
          <w:sz w:val="24"/>
          <w:szCs w:val="24"/>
          <w:highlight w:val="none"/>
        </w:rPr>
        <w:t>不予支付任何费用。</w:t>
      </w:r>
    </w:p>
    <w:p>
      <w:pPr>
        <w:numPr>
          <w:ilvl w:val="0"/>
          <w:numId w:val="22"/>
        </w:numPr>
        <w:tabs>
          <w:tab w:val="left" w:pos="540"/>
        </w:tabs>
        <w:spacing w:before="120" w:beforeLines="50" w:line="360" w:lineRule="auto"/>
        <w:ind w:left="420" w:leftChars="0" w:hanging="420" w:firstLineChars="0"/>
        <w:rPr>
          <w:rFonts w:ascii="宋体"/>
          <w:color w:val="auto"/>
          <w:sz w:val="24"/>
          <w:szCs w:val="24"/>
          <w:highlight w:val="none"/>
        </w:rPr>
      </w:pPr>
      <w:r>
        <w:rPr>
          <w:rFonts w:hint="eastAsia" w:ascii="宋体" w:hAnsi="宋体"/>
          <w:b/>
          <w:color w:val="auto"/>
          <w:sz w:val="24"/>
          <w:szCs w:val="24"/>
          <w:highlight w:val="none"/>
          <w:lang w:val="zh-CN"/>
        </w:rPr>
        <w:t>竞投费用：</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应承担所有与准备和参加</w:t>
      </w:r>
      <w:r>
        <w:rPr>
          <w:rFonts w:hint="eastAsia" w:ascii="宋体" w:hAnsi="宋体"/>
          <w:color w:val="auto"/>
          <w:sz w:val="24"/>
          <w:szCs w:val="24"/>
          <w:highlight w:val="none"/>
          <w:lang w:eastAsia="zh-CN"/>
        </w:rPr>
        <w:t>竞投</w:t>
      </w:r>
      <w:r>
        <w:rPr>
          <w:rFonts w:hint="eastAsia" w:ascii="宋体" w:hAnsi="宋体"/>
          <w:color w:val="auto"/>
          <w:sz w:val="24"/>
          <w:szCs w:val="24"/>
          <w:highlight w:val="none"/>
        </w:rPr>
        <w:t>所涉及的一切费用。不论</w:t>
      </w:r>
      <w:r>
        <w:rPr>
          <w:rFonts w:hint="eastAsia" w:ascii="宋体" w:hAnsi="宋体"/>
          <w:color w:val="auto"/>
          <w:sz w:val="24"/>
          <w:szCs w:val="24"/>
          <w:highlight w:val="none"/>
          <w:lang w:eastAsia="zh-CN"/>
        </w:rPr>
        <w:t>竞投</w:t>
      </w:r>
      <w:r>
        <w:rPr>
          <w:rFonts w:hint="eastAsia" w:ascii="宋体" w:hAnsi="宋体"/>
          <w:color w:val="auto"/>
          <w:sz w:val="24"/>
          <w:szCs w:val="24"/>
          <w:highlight w:val="none"/>
        </w:rPr>
        <w:t>的结果如何，</w:t>
      </w:r>
      <w:r>
        <w:rPr>
          <w:rFonts w:hint="eastAsia" w:ascii="宋体" w:hAnsi="宋体"/>
          <w:color w:val="auto"/>
          <w:sz w:val="24"/>
          <w:szCs w:val="24"/>
          <w:highlight w:val="none"/>
          <w:lang w:eastAsia="zh-CN"/>
        </w:rPr>
        <w:t>招标代理机构</w:t>
      </w:r>
      <w:r>
        <w:rPr>
          <w:rFonts w:hint="eastAsia" w:ascii="宋体" w:hAnsi="宋体"/>
          <w:color w:val="auto"/>
          <w:sz w:val="24"/>
          <w:szCs w:val="24"/>
          <w:highlight w:val="none"/>
        </w:rPr>
        <w:t>和</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均无义务和责任承担这些费用。</w:t>
      </w:r>
    </w:p>
    <w:p>
      <w:pPr>
        <w:numPr>
          <w:ilvl w:val="0"/>
          <w:numId w:val="22"/>
        </w:numPr>
        <w:tabs>
          <w:tab w:val="left" w:pos="540"/>
        </w:tabs>
        <w:spacing w:before="120" w:beforeLines="50" w:line="360" w:lineRule="auto"/>
        <w:ind w:left="420" w:leftChars="0" w:hanging="420" w:firstLineChars="0"/>
        <w:rPr>
          <w:rFonts w:ascii="宋体"/>
          <w:color w:val="auto"/>
          <w:sz w:val="24"/>
          <w:highlight w:val="none"/>
        </w:rPr>
      </w:pPr>
      <w:r>
        <w:rPr>
          <w:rFonts w:hint="eastAsia" w:ascii="宋体" w:hAnsi="宋体"/>
          <w:b/>
          <w:color w:val="auto"/>
          <w:sz w:val="24"/>
          <w:highlight w:val="none"/>
          <w:lang w:val="zh-CN"/>
        </w:rPr>
        <w:t>纪律与保密事项：</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5.1</w:t>
      </w:r>
      <w:r>
        <w:rPr>
          <w:rFonts w:hint="eastAsia" w:ascii="宋体" w:hAnsi="宋体"/>
          <w:color w:val="auto"/>
          <w:sz w:val="24"/>
          <w:szCs w:val="24"/>
          <w:highlight w:val="none"/>
          <w:lang w:eastAsia="zh-CN"/>
        </w:rPr>
        <w:t>投标人不得相互串通竞投报价，或以不正当的手段妨碍、排挤其他投标人，扰乱招标市场，破坏公平竞争原则，不得损害招标人或其他投标人的合法权益，投标人不得以向招标人行贿或者采取其他不正当手段谋取中标。</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5.2</w:t>
      </w:r>
      <w:r>
        <w:rPr>
          <w:rFonts w:hint="eastAsia" w:ascii="宋体" w:hAnsi="宋体"/>
          <w:color w:val="auto"/>
          <w:sz w:val="24"/>
          <w:szCs w:val="24"/>
          <w:highlight w:val="none"/>
          <w:lang w:eastAsia="zh-CN"/>
        </w:rPr>
        <w:t>获得本竞投文件者，应对文件进行保密，不得用作本次竞投以外的任何用途。若有要求，开标后，投标人应归还竞投文件中保密的文件和资料。</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5.3</w:t>
      </w:r>
      <w:r>
        <w:rPr>
          <w:rFonts w:hint="eastAsia" w:ascii="宋体" w:hAnsi="宋体"/>
          <w:color w:val="auto"/>
          <w:sz w:val="24"/>
          <w:szCs w:val="24"/>
          <w:highlight w:val="none"/>
          <w:lang w:eastAsia="zh-CN"/>
        </w:rPr>
        <w:t>由招标人向投标人提供的图纸、详细资料、样品、模型、模件和所有其他资料，被视为保密资料，仅被用于它所规定的用途。除非得到招标人的同意，不能向任何第三方透露。开标结束后，应招标人要求，投标人应归还所有从招标人处获得的保密资料。</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5.4</w:t>
      </w:r>
      <w:r>
        <w:rPr>
          <w:rFonts w:hint="eastAsia" w:ascii="宋体" w:hAnsi="宋体"/>
          <w:color w:val="auto"/>
          <w:sz w:val="24"/>
          <w:szCs w:val="24"/>
          <w:highlight w:val="none"/>
          <w:lang w:eastAsia="zh-CN"/>
        </w:rPr>
        <w:t>除投标人被要求对竞投文件进行澄清外，在确定中标人之前，投标人不得与招标人就竞投价格、竞投方案等实质性内容进行谈判。</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5.5</w:t>
      </w:r>
      <w:r>
        <w:rPr>
          <w:rFonts w:hint="eastAsia" w:ascii="宋体" w:hAnsi="宋体"/>
          <w:color w:val="auto"/>
          <w:sz w:val="24"/>
          <w:szCs w:val="24"/>
          <w:highlight w:val="none"/>
          <w:lang w:eastAsia="zh-CN"/>
        </w:rPr>
        <w:t>从递交资格审查文件截止之日起至授予合同期间，在资格审查文件的审查、澄清阶段，投标人试图对招标代理机构施加任何影响或对招标人的比较及授予合同的决定产生影响，都可能导致其取消资格。</w:t>
      </w:r>
    </w:p>
    <w:p>
      <w:pPr>
        <w:numPr>
          <w:ilvl w:val="0"/>
          <w:numId w:val="22"/>
        </w:numPr>
        <w:tabs>
          <w:tab w:val="left" w:pos="540"/>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勘探现场及咨询答疑会：</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6.1</w:t>
      </w:r>
      <w:r>
        <w:rPr>
          <w:rFonts w:hint="eastAsia" w:ascii="宋体" w:hAnsi="宋体"/>
          <w:color w:val="auto"/>
          <w:sz w:val="24"/>
          <w:szCs w:val="24"/>
          <w:highlight w:val="none"/>
          <w:lang w:val="zh-CN" w:eastAsia="zh-CN"/>
        </w:rPr>
        <w:t>投标人应充分重视和仔细地进行这种考察，以便获取那些须投标人自己负责的有关编制资格审查文件和签署合同所涉及现场所有的资料。一旦中标，这种考察即被认为其结果已在中标文件中得到充分反映。</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6.2</w:t>
      </w:r>
      <w:r>
        <w:rPr>
          <w:rFonts w:hint="eastAsia" w:ascii="宋体" w:hAnsi="宋体"/>
          <w:color w:val="auto"/>
          <w:sz w:val="24"/>
          <w:szCs w:val="24"/>
          <w:highlight w:val="none"/>
          <w:lang w:val="zh-CN" w:eastAsia="zh-CN"/>
        </w:rPr>
        <w:t>招标人向投标人提供的有关现场的数据和资料，是招标人现有的能被投标人利用的资料，招标人对投标人做出的任何推论、理解和结论均不负责任。</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6.3</w:t>
      </w:r>
      <w:r>
        <w:rPr>
          <w:rFonts w:hint="eastAsia" w:ascii="宋体" w:hAnsi="宋体"/>
          <w:color w:val="auto"/>
          <w:sz w:val="24"/>
          <w:szCs w:val="24"/>
          <w:highlight w:val="none"/>
          <w:lang w:val="zh-CN" w:eastAsia="zh-CN"/>
        </w:rPr>
        <w:t>经招标人允许，投标人可为踏勘目的进入招标人的项目现场。在考察过程中，投标人及其代表必须承担那些进入现场后，由于他们的行为所造成的人身伤害（不管是否致命）、财产损失或损坏，以及其他任何原因造成的损失、损坏或费用，投标人不得因此使招标人承担有关的责任和蒙受损失。</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6.4</w:t>
      </w:r>
      <w:r>
        <w:rPr>
          <w:rFonts w:hint="eastAsia" w:ascii="宋体" w:hAnsi="宋体"/>
          <w:color w:val="auto"/>
          <w:sz w:val="24"/>
          <w:szCs w:val="24"/>
          <w:highlight w:val="none"/>
          <w:lang w:val="zh-CN" w:eastAsia="zh-CN"/>
        </w:rPr>
        <w:t>本项目不集中统一举行现场勘探，投标人可自行考察现场，因此而产生的费用由投标人自己承担。</w:t>
      </w:r>
    </w:p>
    <w:p>
      <w:pPr>
        <w:spacing w:line="312" w:lineRule="auto"/>
        <w:rPr>
          <w:rFonts w:ascii="宋体"/>
          <w:color w:val="auto"/>
          <w:sz w:val="24"/>
          <w:highlight w:val="none"/>
        </w:rPr>
      </w:pPr>
    </w:p>
    <w:p>
      <w:pPr>
        <w:spacing w:after="72" w:afterLines="30" w:line="336" w:lineRule="auto"/>
        <w:ind w:right="-178" w:rightChars="-85"/>
        <w:jc w:val="center"/>
        <w:outlineLvl w:val="1"/>
        <w:rPr>
          <w:rFonts w:ascii="宋体"/>
          <w:b/>
          <w:color w:val="auto"/>
          <w:sz w:val="28"/>
          <w:szCs w:val="28"/>
          <w:highlight w:val="none"/>
        </w:rPr>
      </w:pPr>
      <w:bookmarkStart w:id="41" w:name="_Toc19884"/>
      <w:bookmarkStart w:id="42" w:name="_Toc21830"/>
      <w:bookmarkStart w:id="43" w:name="_Toc334432591"/>
      <w:bookmarkStart w:id="44" w:name="_Toc6537"/>
      <w:bookmarkStart w:id="45" w:name="_Toc10095"/>
      <w:r>
        <w:rPr>
          <w:rFonts w:hint="eastAsia" w:ascii="宋体" w:hAnsi="宋体"/>
          <w:b/>
          <w:color w:val="auto"/>
          <w:sz w:val="28"/>
          <w:szCs w:val="28"/>
          <w:highlight w:val="none"/>
        </w:rPr>
        <w:t>三、</w:t>
      </w:r>
      <w:r>
        <w:rPr>
          <w:rFonts w:hint="eastAsia" w:ascii="宋体" w:hAnsi="宋体"/>
          <w:b/>
          <w:color w:val="auto"/>
          <w:sz w:val="28"/>
          <w:szCs w:val="28"/>
          <w:highlight w:val="none"/>
          <w:lang w:eastAsia="zh-CN"/>
        </w:rPr>
        <w:t>竞投文件</w:t>
      </w:r>
      <w:r>
        <w:rPr>
          <w:rFonts w:hint="eastAsia" w:ascii="宋体" w:hAnsi="宋体"/>
          <w:b/>
          <w:color w:val="auto"/>
          <w:sz w:val="28"/>
          <w:szCs w:val="28"/>
          <w:highlight w:val="none"/>
        </w:rPr>
        <w:t>说明</w:t>
      </w:r>
      <w:bookmarkEnd w:id="41"/>
      <w:bookmarkEnd w:id="42"/>
      <w:bookmarkEnd w:id="43"/>
      <w:bookmarkEnd w:id="44"/>
      <w:bookmarkEnd w:id="45"/>
    </w:p>
    <w:p>
      <w:pPr>
        <w:numPr>
          <w:ilvl w:val="0"/>
          <w:numId w:val="22"/>
        </w:numPr>
        <w:tabs>
          <w:tab w:val="left" w:pos="540"/>
        </w:tabs>
        <w:spacing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竞投文件的构成</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7.1</w:t>
      </w:r>
      <w:r>
        <w:rPr>
          <w:rFonts w:hint="eastAsia" w:ascii="宋体" w:hAnsi="宋体"/>
          <w:color w:val="auto"/>
          <w:sz w:val="24"/>
          <w:szCs w:val="24"/>
          <w:highlight w:val="none"/>
          <w:lang w:val="en-GB" w:eastAsia="zh-CN"/>
        </w:rPr>
        <w:t>本竞投文件是招标人作为阐明项目内容及相应的伴随服务的基本要求，竞投文件、资格审查文件、资格审查结果、竞投结果、合同书和相关承诺确认文件均作为任何一方当事人履约的重要依据。投标人获得竞投文件后，应仔细检查竞投文件的所有内容，如有残缺等问题应在获得竞投文件1天内向招标代理机构（或招标人）提出，否则，由此引起的损失由投标人自己承担。</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7.2</w:t>
      </w:r>
      <w:r>
        <w:rPr>
          <w:rFonts w:hint="eastAsia" w:ascii="宋体" w:hAnsi="宋体"/>
          <w:color w:val="auto"/>
          <w:sz w:val="24"/>
          <w:szCs w:val="24"/>
          <w:highlight w:val="none"/>
          <w:lang w:val="zh-CN" w:eastAsia="zh-CN"/>
        </w:rPr>
        <w:t>本竞投文件由①竞投公告、②项目内容、③投标人须知、④合同书范本、⑤资格审查文件格式共五部分组成。</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7.3</w:t>
      </w:r>
      <w:r>
        <w:rPr>
          <w:rFonts w:hint="eastAsia" w:ascii="宋体" w:hAnsi="宋体"/>
          <w:color w:val="auto"/>
          <w:sz w:val="24"/>
          <w:szCs w:val="24"/>
          <w:highlight w:val="none"/>
          <w:lang w:val="zh-CN" w:eastAsia="zh-CN"/>
        </w:rPr>
        <w:t>投标人应仔细阅读、并充分理解竞投文件的全部内容（包括所有的补充、修改内容、重要事项、格式、条款和技术规范、参数及要求等）。按照竞投文件的要求编制资格审查文件和提交全部资料，并对竞投文件提出的实质性和条件作出响应。</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7.2</w:t>
      </w:r>
      <w:r>
        <w:rPr>
          <w:rFonts w:hint="eastAsia" w:ascii="宋体" w:hAnsi="宋体"/>
          <w:color w:val="auto"/>
          <w:sz w:val="24"/>
          <w:szCs w:val="24"/>
          <w:highlight w:val="none"/>
          <w:lang w:val="zh-CN" w:eastAsia="zh-CN"/>
        </w:rPr>
        <w:t>投标人没有按照竞投文件要求提交全部资料，或者资格审查文件没有对竞投文件在各方面都做出实质性响应是投标人的风险，有可能导致其资格审查不通过，或被认定为无效竞投或被确定为竞投无效。</w:t>
      </w:r>
    </w:p>
    <w:p>
      <w:pPr>
        <w:numPr>
          <w:ilvl w:val="0"/>
          <w:numId w:val="22"/>
        </w:numPr>
        <w:tabs>
          <w:tab w:val="left" w:pos="540"/>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竞投文件的澄清</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8.1</w:t>
      </w:r>
      <w:r>
        <w:rPr>
          <w:rFonts w:hint="eastAsia" w:ascii="宋体" w:hAnsi="宋体"/>
          <w:color w:val="auto"/>
          <w:sz w:val="24"/>
          <w:szCs w:val="24"/>
          <w:highlight w:val="none"/>
          <w:lang w:val="zh-CN" w:eastAsia="zh-CN"/>
        </w:rPr>
        <w:t>投标人对本竞投文件如有疑问，请按竞投公告载明的地址以书面形式【包括信函或传真等（应加盖公章），下同】向招标代理机构提出澄清要求,招标代理机构对收到的任何澄清要求以书面形式予以答复。</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8.2</w:t>
      </w:r>
      <w:r>
        <w:rPr>
          <w:rFonts w:hint="eastAsia" w:ascii="宋体" w:hAnsi="宋体"/>
          <w:color w:val="auto"/>
          <w:sz w:val="24"/>
          <w:szCs w:val="24"/>
          <w:highlight w:val="none"/>
          <w:lang w:val="zh-CN" w:eastAsia="zh-CN"/>
        </w:rPr>
        <w:t>根据需要，招标代理机构和招标人在收到投标人递交的书面疑问或澄清要求后，将以书面形式解答或通过信息发布网站发布答疑或澄清文件。答疑或澄清文件将作为竞投文件的组成部分，如与竞投文件内容不一致的，应以最终的答疑或澄清文件的内容为准。</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8.3</w:t>
      </w:r>
      <w:r>
        <w:rPr>
          <w:rFonts w:hint="eastAsia" w:ascii="宋体" w:hAnsi="宋体"/>
          <w:color w:val="auto"/>
          <w:sz w:val="24"/>
          <w:szCs w:val="24"/>
          <w:highlight w:val="none"/>
          <w:lang w:val="zh-CN" w:eastAsia="zh-CN"/>
        </w:rPr>
        <w:t>投标人在规定的时间内，未对发布的澄清内容或答疑内容作出回复时，招标代理机构和招标人将视其为无异议。</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8.4</w:t>
      </w:r>
      <w:r>
        <w:rPr>
          <w:rFonts w:hint="eastAsia" w:ascii="宋体" w:hAnsi="宋体"/>
          <w:color w:val="auto"/>
          <w:sz w:val="24"/>
          <w:szCs w:val="24"/>
          <w:highlight w:val="none"/>
          <w:lang w:val="zh-CN" w:eastAsia="zh-CN"/>
        </w:rPr>
        <w:t>招标过程中的一切修改文件或补充文件一旦确认后与竞投文件具有同等法律效力，投标人有责任履行相应的义务。</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8.5澄清的内容可能影响资格审查文件编制的，招标人或者招标代理机构应当在竞投截止时间至少1日前，</w:t>
      </w:r>
      <w:r>
        <w:rPr>
          <w:rFonts w:hint="eastAsia" w:ascii="宋体" w:hAnsi="宋体"/>
          <w:color w:val="auto"/>
          <w:sz w:val="24"/>
          <w:szCs w:val="24"/>
          <w:highlight w:val="none"/>
          <w:lang w:val="zh-CN" w:eastAsia="zh-CN"/>
        </w:rPr>
        <w:t>在</w:t>
      </w:r>
      <w:r>
        <w:rPr>
          <w:rFonts w:hint="eastAsia" w:ascii="宋体" w:hAnsi="宋体"/>
          <w:color w:val="auto"/>
          <w:sz w:val="24"/>
          <w:szCs w:val="24"/>
          <w:highlight w:val="none"/>
          <w:lang w:val="en-US" w:eastAsia="zh-CN"/>
        </w:rPr>
        <w:t>佛山市公共资源交易中心禅城分中心网页发布</w:t>
      </w:r>
      <w:r>
        <w:rPr>
          <w:rFonts w:hint="eastAsia" w:ascii="宋体" w:hAnsi="宋体"/>
          <w:color w:val="auto"/>
          <w:sz w:val="24"/>
          <w:szCs w:val="24"/>
          <w:highlight w:val="none"/>
          <w:lang w:val="zh-CN" w:eastAsia="zh-CN"/>
        </w:rPr>
        <w:t>通知</w:t>
      </w:r>
      <w:r>
        <w:rPr>
          <w:rFonts w:hint="eastAsia" w:ascii="宋体" w:hAnsi="宋体"/>
          <w:color w:val="auto"/>
          <w:sz w:val="24"/>
          <w:szCs w:val="24"/>
          <w:highlight w:val="none"/>
          <w:lang w:val="en-US" w:eastAsia="zh-CN"/>
        </w:rPr>
        <w:t>潜在投标人；不足1日的，招标人或者招标代理机构应当顺延提交资格审查文件的截止时间。</w:t>
      </w:r>
    </w:p>
    <w:p>
      <w:pPr>
        <w:numPr>
          <w:ilvl w:val="0"/>
          <w:numId w:val="22"/>
        </w:numPr>
        <w:tabs>
          <w:tab w:val="left" w:pos="540"/>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竞投文件的修改</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9.1</w:t>
      </w:r>
      <w:r>
        <w:rPr>
          <w:rFonts w:hint="eastAsia" w:ascii="宋体" w:hAnsi="宋体"/>
          <w:color w:val="auto"/>
          <w:sz w:val="24"/>
          <w:szCs w:val="24"/>
          <w:highlight w:val="none"/>
          <w:lang w:val="zh-CN" w:eastAsia="zh-CN"/>
        </w:rPr>
        <w:t>在递交资格审查文件截止日期前的任何时候，无论何故，招标代理机构可主动地或在答复投标人提出澄清的问题时对竞投文件进行修改。</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9.2</w:t>
      </w:r>
      <w:r>
        <w:rPr>
          <w:rFonts w:hint="eastAsia" w:ascii="宋体" w:hAnsi="宋体"/>
          <w:color w:val="auto"/>
          <w:sz w:val="24"/>
          <w:szCs w:val="24"/>
          <w:highlight w:val="none"/>
          <w:lang w:val="zh-CN" w:eastAsia="zh-CN"/>
        </w:rPr>
        <w:t>竞投文件的修改将在</w:t>
      </w:r>
      <w:r>
        <w:rPr>
          <w:rFonts w:hint="eastAsia" w:ascii="宋体" w:hAnsi="宋体"/>
          <w:color w:val="auto"/>
          <w:sz w:val="24"/>
          <w:szCs w:val="24"/>
          <w:highlight w:val="none"/>
          <w:lang w:val="en-US" w:eastAsia="zh-CN"/>
        </w:rPr>
        <w:t>佛山市公共资源交易中心禅城分中心网页发布，投标人自行查看，一经发布则视作全体投标人均已知悉</w:t>
      </w:r>
      <w:r>
        <w:rPr>
          <w:rFonts w:hint="eastAsia" w:ascii="宋体" w:hAnsi="宋体"/>
          <w:color w:val="auto"/>
          <w:sz w:val="24"/>
          <w:szCs w:val="24"/>
          <w:highlight w:val="none"/>
          <w:lang w:val="zh-CN" w:eastAsia="zh-CN"/>
        </w:rPr>
        <w:t>。</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9.3</w:t>
      </w:r>
      <w:r>
        <w:rPr>
          <w:rFonts w:hint="eastAsia" w:ascii="宋体" w:hAnsi="宋体"/>
          <w:color w:val="auto"/>
          <w:sz w:val="24"/>
          <w:szCs w:val="24"/>
          <w:highlight w:val="none"/>
          <w:lang w:val="zh-CN" w:eastAsia="zh-CN"/>
        </w:rPr>
        <w:t>必要时，为使投标人在准备资格审查文件时有合理的时间考虑竞投文件的修改，招标代理机构可酌情推迟本项目递交资格审查文件截止日期，但应发布公告并书面通知所有购买竞投文件的潜在投标人。</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9.4</w:t>
      </w:r>
      <w:r>
        <w:rPr>
          <w:rFonts w:hint="eastAsia" w:ascii="宋体" w:hAnsi="宋体"/>
          <w:color w:val="auto"/>
          <w:sz w:val="24"/>
          <w:szCs w:val="24"/>
          <w:highlight w:val="none"/>
          <w:lang w:val="zh-CN" w:eastAsia="zh-CN"/>
        </w:rPr>
        <w:t>修改的内容可能影响资格审查文件编制的，招标人或者招标代理机构应当在竞投截止时间至少</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val="zh-CN" w:eastAsia="zh-CN"/>
        </w:rPr>
        <w:t>日前，在</w:t>
      </w:r>
      <w:r>
        <w:rPr>
          <w:rFonts w:hint="eastAsia" w:ascii="宋体" w:hAnsi="宋体"/>
          <w:color w:val="auto"/>
          <w:sz w:val="24"/>
          <w:szCs w:val="24"/>
          <w:highlight w:val="none"/>
          <w:lang w:val="en-US" w:eastAsia="zh-CN"/>
        </w:rPr>
        <w:t>佛山市公共资源交易中心禅城分中心网页发布</w:t>
      </w:r>
      <w:r>
        <w:rPr>
          <w:rFonts w:hint="eastAsia" w:ascii="宋体" w:hAnsi="宋体"/>
          <w:color w:val="auto"/>
          <w:sz w:val="24"/>
          <w:szCs w:val="24"/>
          <w:highlight w:val="none"/>
          <w:lang w:val="zh-CN" w:eastAsia="zh-CN"/>
        </w:rPr>
        <w:t>通知</w:t>
      </w:r>
      <w:r>
        <w:rPr>
          <w:rFonts w:hint="eastAsia" w:ascii="宋体" w:hAnsi="宋体"/>
          <w:color w:val="auto"/>
          <w:sz w:val="24"/>
          <w:szCs w:val="24"/>
          <w:highlight w:val="none"/>
          <w:lang w:val="en-US" w:eastAsia="zh-CN"/>
        </w:rPr>
        <w:t>潜在投标人</w:t>
      </w:r>
      <w:r>
        <w:rPr>
          <w:rFonts w:hint="eastAsia" w:ascii="宋体" w:hAnsi="宋体"/>
          <w:color w:val="auto"/>
          <w:sz w:val="24"/>
          <w:szCs w:val="24"/>
          <w:highlight w:val="none"/>
          <w:lang w:val="zh-CN" w:eastAsia="zh-CN"/>
        </w:rPr>
        <w:t>；不足</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val="zh-CN" w:eastAsia="zh-CN"/>
        </w:rPr>
        <w:t>日的，招标人或者招标代理机构应当顺延提交资格审查文件的截止时间。</w:t>
      </w:r>
    </w:p>
    <w:p>
      <w:pPr>
        <w:spacing w:after="72" w:afterLines="30" w:line="336" w:lineRule="auto"/>
        <w:ind w:right="-178" w:rightChars="-85"/>
        <w:jc w:val="center"/>
        <w:rPr>
          <w:rFonts w:hint="eastAsia" w:ascii="宋体" w:hAnsi="宋体"/>
          <w:b/>
          <w:color w:val="auto"/>
          <w:sz w:val="28"/>
          <w:szCs w:val="28"/>
          <w:highlight w:val="none"/>
        </w:rPr>
      </w:pPr>
      <w:bookmarkStart w:id="46" w:name="_Toc31024"/>
      <w:bookmarkStart w:id="47" w:name="_Toc334432592"/>
    </w:p>
    <w:p>
      <w:pPr>
        <w:spacing w:after="72" w:afterLines="30" w:line="336" w:lineRule="auto"/>
        <w:ind w:right="-178" w:rightChars="-85"/>
        <w:jc w:val="center"/>
        <w:outlineLvl w:val="1"/>
        <w:rPr>
          <w:rFonts w:ascii="宋体"/>
          <w:b/>
          <w:color w:val="auto"/>
          <w:sz w:val="28"/>
          <w:szCs w:val="28"/>
          <w:highlight w:val="none"/>
        </w:rPr>
      </w:pPr>
      <w:bookmarkStart w:id="48" w:name="_Toc29099"/>
      <w:bookmarkStart w:id="49" w:name="_Toc18892"/>
      <w:bookmarkStart w:id="50" w:name="_Toc5541"/>
      <w:r>
        <w:rPr>
          <w:rFonts w:hint="eastAsia" w:ascii="宋体" w:hAnsi="宋体"/>
          <w:b/>
          <w:color w:val="auto"/>
          <w:sz w:val="28"/>
          <w:szCs w:val="28"/>
          <w:highlight w:val="none"/>
        </w:rPr>
        <w:t>四、</w:t>
      </w:r>
      <w:r>
        <w:rPr>
          <w:rFonts w:hint="eastAsia" w:ascii="宋体" w:hAnsi="宋体"/>
          <w:b/>
          <w:color w:val="auto"/>
          <w:sz w:val="28"/>
          <w:szCs w:val="28"/>
          <w:highlight w:val="none"/>
          <w:lang w:eastAsia="zh-CN"/>
        </w:rPr>
        <w:t>资格审查</w:t>
      </w:r>
      <w:r>
        <w:rPr>
          <w:rFonts w:hint="eastAsia" w:ascii="宋体" w:hAnsi="宋体"/>
          <w:b/>
          <w:color w:val="auto"/>
          <w:sz w:val="28"/>
          <w:szCs w:val="28"/>
          <w:highlight w:val="none"/>
        </w:rPr>
        <w:t>文件说明</w:t>
      </w:r>
      <w:bookmarkEnd w:id="46"/>
      <w:bookmarkEnd w:id="47"/>
      <w:bookmarkEnd w:id="48"/>
      <w:bookmarkEnd w:id="49"/>
      <w:bookmarkEnd w:id="50"/>
    </w:p>
    <w:p>
      <w:pPr>
        <w:numPr>
          <w:ilvl w:val="0"/>
          <w:numId w:val="22"/>
        </w:numPr>
        <w:tabs>
          <w:tab w:val="left" w:pos="540"/>
        </w:tabs>
        <w:spacing w:line="374"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原则</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10.1</w:t>
      </w:r>
      <w:r>
        <w:rPr>
          <w:rFonts w:hint="eastAsia" w:ascii="宋体" w:hAnsi="宋体"/>
          <w:color w:val="auto"/>
          <w:sz w:val="24"/>
          <w:szCs w:val="24"/>
          <w:highlight w:val="none"/>
          <w:lang w:val="en-GB" w:eastAsia="zh-CN"/>
        </w:rPr>
        <w:t>资格审查文件应突出重点，精简扼要。所提供的资料必须符合诚实信用、客观真实的原则，对弄虚作假或违背诚信的违法行为，应自行承担相应的后果及法律责任。</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10.2</w:t>
      </w:r>
      <w:r>
        <w:rPr>
          <w:rFonts w:hint="eastAsia" w:ascii="宋体" w:hAnsi="宋体"/>
          <w:color w:val="auto"/>
          <w:sz w:val="24"/>
          <w:szCs w:val="24"/>
          <w:highlight w:val="none"/>
          <w:lang w:val="zh-CN" w:eastAsia="zh-CN"/>
        </w:rPr>
        <w:t>无论采购结果如何，投标人自行承担因参加本次竞投而发生的一切费用。</w:t>
      </w:r>
    </w:p>
    <w:p>
      <w:pPr>
        <w:numPr>
          <w:ilvl w:val="0"/>
          <w:numId w:val="22"/>
        </w:numPr>
        <w:tabs>
          <w:tab w:val="left" w:pos="540"/>
        </w:tabs>
        <w:spacing w:before="120" w:beforeLines="50" w:line="374" w:lineRule="auto"/>
        <w:ind w:left="420" w:leftChars="0" w:hanging="420" w:firstLineChars="0"/>
        <w:rPr>
          <w:rFonts w:ascii="宋体"/>
          <w:b/>
          <w:color w:val="auto"/>
          <w:sz w:val="24"/>
          <w:highlight w:val="none"/>
          <w:lang w:val="zh-CN"/>
        </w:rPr>
      </w:pPr>
      <w:bookmarkStart w:id="51" w:name="_Toc142985643"/>
      <w:bookmarkStart w:id="52" w:name="_Toc136682646"/>
      <w:bookmarkStart w:id="53" w:name="_Toc136663328"/>
      <w:bookmarkStart w:id="54" w:name="_Toc168310815"/>
      <w:bookmarkStart w:id="55" w:name="_Toc149106628"/>
      <w:bookmarkStart w:id="56" w:name="_Toc136684235"/>
      <w:bookmarkStart w:id="57" w:name="_Toc148948833"/>
      <w:bookmarkStart w:id="58" w:name="_Toc119321129"/>
      <w:bookmarkStart w:id="59" w:name="_Toc136659020"/>
      <w:r>
        <w:rPr>
          <w:rFonts w:hint="eastAsia" w:ascii="宋体" w:hAnsi="宋体"/>
          <w:b/>
          <w:color w:val="auto"/>
          <w:sz w:val="24"/>
          <w:highlight w:val="none"/>
          <w:lang w:val="zh-CN"/>
        </w:rPr>
        <w:t>资格审查文件的组成与制作要求</w:t>
      </w:r>
      <w:bookmarkEnd w:id="51"/>
      <w:bookmarkEnd w:id="52"/>
      <w:bookmarkEnd w:id="53"/>
      <w:bookmarkEnd w:id="54"/>
      <w:bookmarkEnd w:id="55"/>
      <w:bookmarkEnd w:id="56"/>
      <w:bookmarkEnd w:id="57"/>
      <w:bookmarkEnd w:id="58"/>
      <w:bookmarkEnd w:id="59"/>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11.1</w:t>
      </w:r>
      <w:r>
        <w:rPr>
          <w:rFonts w:hint="eastAsia" w:ascii="宋体" w:hAnsi="宋体"/>
          <w:color w:val="auto"/>
          <w:sz w:val="24"/>
          <w:szCs w:val="24"/>
          <w:highlight w:val="none"/>
          <w:lang w:val="en-GB" w:eastAsia="zh-CN"/>
        </w:rPr>
        <w:t>具体按竞投文件中第五部分“资格审查文件格式”的要求统一编制。</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11.2</w:t>
      </w:r>
      <w:r>
        <w:rPr>
          <w:rFonts w:hint="eastAsia" w:ascii="宋体" w:hAnsi="宋体"/>
          <w:color w:val="auto"/>
          <w:sz w:val="24"/>
          <w:szCs w:val="24"/>
          <w:highlight w:val="none"/>
          <w:lang w:val="en-GB" w:eastAsia="zh-CN"/>
        </w:rPr>
        <w:t>投标人应以A4版面统一编制《资格审查文件》。《资格审查文件》的电子文档应采用word格式或PDF格式制作</w:t>
      </w:r>
      <w:r>
        <w:rPr>
          <w:rFonts w:hint="eastAsia" w:ascii="宋体" w:hAnsi="宋体"/>
          <w:color w:val="auto"/>
          <w:sz w:val="24"/>
          <w:szCs w:val="24"/>
          <w:highlight w:val="none"/>
          <w:lang w:val="en-US" w:eastAsia="zh-CN"/>
        </w:rPr>
        <w:t>，并统一刻录在两份光盘内。</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11.3</w:t>
      </w:r>
      <w:r>
        <w:rPr>
          <w:rFonts w:hint="eastAsia" w:ascii="宋体" w:hAnsi="宋体"/>
          <w:color w:val="auto"/>
          <w:sz w:val="24"/>
          <w:szCs w:val="24"/>
          <w:highlight w:val="none"/>
          <w:lang w:val="en-GB" w:eastAsia="zh-CN"/>
        </w:rPr>
        <w:t>资格审查文件递交的内容和数量详见《投标须知前附表》要求。</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11.4</w:t>
      </w:r>
      <w:r>
        <w:rPr>
          <w:rFonts w:hint="eastAsia" w:ascii="宋体" w:hAnsi="宋体"/>
          <w:color w:val="auto"/>
          <w:sz w:val="24"/>
          <w:szCs w:val="24"/>
          <w:highlight w:val="none"/>
          <w:lang w:val="en-GB" w:eastAsia="zh-CN"/>
        </w:rPr>
        <w:t>资格审查文件的制作以及投标人与招标代理机构就有关竞投的所有来往函电均应使用简体中文。投标人提交的支持文件或印刷的资料可以用另一种语言，但相应内容须附有中文译注，对不同文字文本竞投文件的解释发生异议的，以中文文本为准。对中文翻译有异议的，以权威机构的译本为准。</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11.5</w:t>
      </w:r>
      <w:r>
        <w:rPr>
          <w:rFonts w:hint="eastAsia" w:ascii="宋体" w:hAnsi="宋体"/>
          <w:color w:val="auto"/>
          <w:sz w:val="24"/>
          <w:szCs w:val="24"/>
          <w:highlight w:val="none"/>
          <w:lang w:val="en-GB" w:eastAsia="zh-CN"/>
        </w:rPr>
        <w:t>资格审查文件使用的度量衡单位采用中华人民共和国法定计量单位。</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11.6</w:t>
      </w:r>
      <w:r>
        <w:rPr>
          <w:rFonts w:hint="eastAsia" w:ascii="宋体" w:hAnsi="宋体"/>
          <w:color w:val="auto"/>
          <w:sz w:val="24"/>
          <w:szCs w:val="24"/>
          <w:highlight w:val="none"/>
          <w:lang w:val="en-GB" w:eastAsia="zh-CN"/>
        </w:rPr>
        <w:t>资格审查文件所使用的公章必须为企事业法人公章，且与投标人名称一致。需签名之处必须由法定代表人或授权代表亲笔签署（或签章）。</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11.7</w:t>
      </w:r>
      <w:r>
        <w:rPr>
          <w:rFonts w:hint="eastAsia" w:ascii="宋体" w:hAnsi="宋体"/>
          <w:color w:val="auto"/>
          <w:sz w:val="24"/>
          <w:szCs w:val="24"/>
          <w:highlight w:val="none"/>
          <w:lang w:val="en-GB" w:eastAsia="zh-CN"/>
        </w:rPr>
        <w:t>资格审查文件自制部分必须打印（副本文件可由正本文件复印而成），且整册装订牢固可靠且不能轻易脱落。如因装订问题而出现漏页或缺页，由此产生的一切后果由投标人自行承担。</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11.8</w:t>
      </w:r>
      <w:r>
        <w:rPr>
          <w:rFonts w:hint="eastAsia" w:ascii="宋体" w:hAnsi="宋体"/>
          <w:color w:val="auto"/>
          <w:sz w:val="24"/>
          <w:szCs w:val="24"/>
          <w:highlight w:val="none"/>
          <w:lang w:val="en-GB" w:eastAsia="zh-CN"/>
        </w:rPr>
        <w:t>任何行间插字、涂改和增删（如有）必须由投标人代表签字确认并加盖投标人公章后方为有效。</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11.9</w:t>
      </w:r>
      <w:r>
        <w:rPr>
          <w:rFonts w:hint="eastAsia" w:ascii="宋体" w:hAnsi="宋体"/>
          <w:color w:val="auto"/>
          <w:sz w:val="24"/>
          <w:szCs w:val="24"/>
          <w:highlight w:val="none"/>
          <w:lang w:val="en-GB" w:eastAsia="zh-CN"/>
        </w:rPr>
        <w:t>资格审查文件【正本】和【副本】的封面须加盖投标人公章。</w:t>
      </w:r>
    </w:p>
    <w:p>
      <w:pPr>
        <w:numPr>
          <w:ilvl w:val="0"/>
          <w:numId w:val="0"/>
        </w:numPr>
        <w:tabs>
          <w:tab w:val="left" w:pos="540"/>
        </w:tabs>
        <w:spacing w:line="360" w:lineRule="auto"/>
        <w:ind w:left="480" w:hanging="480" w:hangingChars="200"/>
        <w:rPr>
          <w:color w:val="auto"/>
          <w:sz w:val="24"/>
          <w:highlight w:val="none"/>
          <w:lang w:val="en-GB"/>
        </w:rPr>
      </w:pPr>
      <w:r>
        <w:rPr>
          <w:rFonts w:hint="eastAsia" w:ascii="宋体" w:hAnsi="宋体"/>
          <w:color w:val="auto"/>
          <w:sz w:val="24"/>
          <w:highlight w:val="none"/>
          <w:lang w:val="en-US" w:eastAsia="zh-CN"/>
        </w:rPr>
        <w:t>11.10</w:t>
      </w:r>
      <w:r>
        <w:rPr>
          <w:rFonts w:hint="eastAsia" w:ascii="宋体" w:hAnsi="宋体"/>
          <w:color w:val="auto"/>
          <w:sz w:val="24"/>
          <w:szCs w:val="24"/>
          <w:highlight w:val="none"/>
          <w:lang w:val="en-GB" w:eastAsia="zh-CN"/>
        </w:rPr>
        <w:t>资格</w:t>
      </w:r>
      <w:r>
        <w:rPr>
          <w:rFonts w:hint="eastAsia" w:hAnsi="宋体"/>
          <w:color w:val="auto"/>
          <w:sz w:val="24"/>
          <w:highlight w:val="none"/>
          <w:lang w:val="en-GB" w:eastAsia="zh-CN"/>
        </w:rPr>
        <w:t>审查</w:t>
      </w:r>
      <w:r>
        <w:rPr>
          <w:rFonts w:hint="eastAsia" w:ascii="宋体" w:hAnsi="宋体"/>
          <w:color w:val="auto"/>
          <w:sz w:val="24"/>
          <w:highlight w:val="none"/>
          <w:lang w:val="en-GB"/>
        </w:rPr>
        <w:t>文件应包含正本、副本、相对应的电子文档，每一份</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文件上应明确注明</w:t>
      </w:r>
      <w:r>
        <w:rPr>
          <w:rFonts w:hint="eastAsia" w:ascii="宋体"/>
          <w:color w:val="auto"/>
          <w:sz w:val="24"/>
          <w:highlight w:val="none"/>
          <w:lang w:val="en-GB"/>
        </w:rPr>
        <w:t>“</w:t>
      </w:r>
      <w:r>
        <w:rPr>
          <w:rFonts w:hint="eastAsia" w:ascii="宋体" w:hAnsi="宋体"/>
          <w:color w:val="auto"/>
          <w:sz w:val="24"/>
          <w:highlight w:val="none"/>
          <w:lang w:val="en-GB"/>
        </w:rPr>
        <w:t>正本</w:t>
      </w:r>
      <w:r>
        <w:rPr>
          <w:rFonts w:hint="eastAsia" w:ascii="宋体"/>
          <w:color w:val="auto"/>
          <w:sz w:val="24"/>
          <w:highlight w:val="none"/>
          <w:lang w:val="en-GB"/>
        </w:rPr>
        <w:t>”</w:t>
      </w:r>
      <w:r>
        <w:rPr>
          <w:rFonts w:hint="eastAsia" w:ascii="宋体" w:hAnsi="宋体"/>
          <w:color w:val="auto"/>
          <w:sz w:val="24"/>
          <w:highlight w:val="none"/>
          <w:lang w:val="en-GB"/>
        </w:rPr>
        <w:t>或</w:t>
      </w:r>
      <w:r>
        <w:rPr>
          <w:rFonts w:hint="eastAsia" w:ascii="宋体"/>
          <w:color w:val="auto"/>
          <w:sz w:val="24"/>
          <w:highlight w:val="none"/>
          <w:lang w:val="en-GB"/>
        </w:rPr>
        <w:t>“</w:t>
      </w:r>
      <w:r>
        <w:rPr>
          <w:rFonts w:hint="eastAsia" w:ascii="宋体" w:hAnsi="宋体"/>
          <w:color w:val="auto"/>
          <w:sz w:val="24"/>
          <w:highlight w:val="none"/>
          <w:lang w:val="en-GB"/>
        </w:rPr>
        <w:t>副本</w:t>
      </w:r>
      <w:r>
        <w:rPr>
          <w:rFonts w:hint="eastAsia" w:ascii="宋体"/>
          <w:color w:val="auto"/>
          <w:sz w:val="24"/>
          <w:highlight w:val="none"/>
          <w:lang w:val="en-GB"/>
        </w:rPr>
        <w:t>”</w:t>
      </w:r>
      <w:r>
        <w:rPr>
          <w:rFonts w:hint="eastAsia" w:ascii="宋体" w:hAnsi="宋体"/>
          <w:color w:val="auto"/>
          <w:sz w:val="24"/>
          <w:highlight w:val="none"/>
          <w:lang w:val="en-GB"/>
        </w:rPr>
        <w:t>字样，“电子文档”（光盘）表面须标明</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名称，并</w:t>
      </w:r>
      <w:r>
        <w:rPr>
          <w:rFonts w:hint="eastAsia" w:ascii="宋体" w:hAnsi="宋体"/>
          <w:b/>
          <w:color w:val="auto"/>
          <w:sz w:val="24"/>
          <w:highlight w:val="none"/>
          <w:lang w:val="en-GB"/>
        </w:rPr>
        <w:t>应将上述资料密封在同一密封包中</w:t>
      </w:r>
      <w:r>
        <w:rPr>
          <w:rFonts w:hint="eastAsia" w:ascii="宋体" w:hAnsi="宋体"/>
          <w:color w:val="auto"/>
          <w:sz w:val="24"/>
          <w:highlight w:val="none"/>
          <w:lang w:val="en-GB"/>
        </w:rPr>
        <w:t>，若上述资料确实无法密封在同一密封包中，则可按实际情况分开密封，但须在密封包装上标明密封内容。密封各文件资料时，应在密封包装的封口处加盖</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公章，同时</w:t>
      </w:r>
      <w:r>
        <w:rPr>
          <w:rFonts w:hint="eastAsia" w:hAnsi="宋体"/>
          <w:color w:val="auto"/>
          <w:sz w:val="24"/>
          <w:highlight w:val="none"/>
          <w:lang w:val="en-GB" w:eastAsia="zh-CN"/>
        </w:rPr>
        <w:t>资格审查</w:t>
      </w:r>
      <w:r>
        <w:rPr>
          <w:rFonts w:hint="eastAsia" w:ascii="宋体" w:hAnsi="宋体"/>
          <w:color w:val="auto"/>
          <w:sz w:val="24"/>
          <w:highlight w:val="none"/>
          <w:lang w:val="en-GB"/>
        </w:rPr>
        <w:t>文件应在规定时间内递交。</w:t>
      </w:r>
    </w:p>
    <w:p>
      <w:pPr>
        <w:numPr>
          <w:ilvl w:val="0"/>
          <w:numId w:val="0"/>
        </w:numPr>
        <w:tabs>
          <w:tab w:val="left" w:pos="540"/>
        </w:tabs>
        <w:spacing w:line="360" w:lineRule="auto"/>
        <w:ind w:left="480" w:hanging="480" w:hangingChars="200"/>
        <w:rPr>
          <w:color w:val="auto"/>
          <w:sz w:val="24"/>
          <w:highlight w:val="none"/>
          <w:lang w:val="en-GB"/>
        </w:rPr>
      </w:pPr>
      <w:r>
        <w:rPr>
          <w:rFonts w:hint="eastAsia" w:ascii="宋体" w:hAnsi="宋体"/>
          <w:color w:val="auto"/>
          <w:sz w:val="24"/>
          <w:highlight w:val="none"/>
          <w:lang w:val="en-US" w:eastAsia="zh-CN"/>
        </w:rPr>
        <w:t>11.11</w:t>
      </w:r>
      <w:r>
        <w:rPr>
          <w:rFonts w:hint="eastAsia" w:ascii="宋体" w:hAnsi="宋体"/>
          <w:color w:val="auto"/>
          <w:sz w:val="24"/>
          <w:highlight w:val="none"/>
          <w:lang w:val="en-GB"/>
        </w:rPr>
        <w:t>一旦</w:t>
      </w:r>
      <w:r>
        <w:rPr>
          <w:rFonts w:hint="eastAsia" w:hAnsi="宋体"/>
          <w:color w:val="auto"/>
          <w:sz w:val="24"/>
          <w:highlight w:val="none"/>
          <w:lang w:val="en-GB" w:eastAsia="zh-CN"/>
        </w:rPr>
        <w:t>资格审查</w:t>
      </w:r>
      <w:r>
        <w:rPr>
          <w:rFonts w:hint="eastAsia" w:ascii="宋体" w:hAnsi="宋体"/>
          <w:color w:val="auto"/>
          <w:sz w:val="24"/>
          <w:highlight w:val="none"/>
          <w:lang w:val="en-GB"/>
        </w:rPr>
        <w:t>文件的正本和副本及电子文档内容有差异，均以正本为准。</w:t>
      </w:r>
    </w:p>
    <w:p>
      <w:pPr>
        <w:numPr>
          <w:ilvl w:val="0"/>
          <w:numId w:val="0"/>
        </w:numPr>
        <w:tabs>
          <w:tab w:val="left" w:pos="540"/>
        </w:tabs>
        <w:spacing w:line="360" w:lineRule="auto"/>
        <w:ind w:left="480" w:hanging="482" w:hangingChars="200"/>
        <w:rPr>
          <w:rFonts w:hint="eastAsia" w:asciiTheme="minorEastAsia" w:hAnsiTheme="minorEastAsia" w:eastAsiaTheme="minorEastAsia" w:cstheme="minorEastAsia"/>
          <w:b/>
          <w:color w:val="auto"/>
          <w:sz w:val="24"/>
          <w:highlight w:val="none"/>
          <w:lang w:val="en-GB"/>
        </w:rPr>
      </w:pPr>
      <w:r>
        <w:rPr>
          <w:rFonts w:hint="eastAsia" w:asciiTheme="minorEastAsia" w:hAnsiTheme="minorEastAsia" w:eastAsiaTheme="minorEastAsia" w:cstheme="minorEastAsia"/>
          <w:b/>
          <w:color w:val="auto"/>
          <w:sz w:val="24"/>
          <w:highlight w:val="none"/>
          <w:lang w:val="en-US" w:eastAsia="zh-CN"/>
        </w:rPr>
        <w:t>11.12</w:t>
      </w:r>
      <w:r>
        <w:rPr>
          <w:rFonts w:hint="eastAsia" w:asciiTheme="minorEastAsia" w:hAnsiTheme="minorEastAsia" w:eastAsiaTheme="minorEastAsia" w:cstheme="minorEastAsia"/>
          <w:b/>
          <w:color w:val="auto"/>
          <w:sz w:val="24"/>
          <w:highlight w:val="none"/>
          <w:lang w:val="en-GB"/>
        </w:rPr>
        <w:t>所有密封文件封套正面统一按“文件包装袋封面”格式填写标贴。</w:t>
      </w:r>
    </w:p>
    <w:p>
      <w:pPr>
        <w:numPr>
          <w:ilvl w:val="0"/>
          <w:numId w:val="0"/>
        </w:numPr>
        <w:tabs>
          <w:tab w:val="left" w:pos="540"/>
        </w:tabs>
        <w:spacing w:line="360" w:lineRule="auto"/>
        <w:ind w:left="480" w:hanging="480" w:hangingChars="200"/>
        <w:rPr>
          <w:color w:val="auto"/>
          <w:sz w:val="24"/>
          <w:highlight w:val="none"/>
          <w:lang w:val="en-GB"/>
        </w:rPr>
      </w:pPr>
      <w:r>
        <w:rPr>
          <w:rFonts w:hint="eastAsia" w:asciiTheme="minorEastAsia" w:hAnsiTheme="minorEastAsia" w:eastAsiaTheme="minorEastAsia" w:cstheme="minorEastAsia"/>
          <w:color w:val="auto"/>
          <w:sz w:val="24"/>
          <w:highlight w:val="none"/>
          <w:lang w:val="en-US" w:eastAsia="zh-CN"/>
        </w:rPr>
        <w:t>11.13</w:t>
      </w:r>
      <w:r>
        <w:rPr>
          <w:rFonts w:hint="eastAsia" w:asciiTheme="minorEastAsia" w:hAnsiTheme="minorEastAsia" w:eastAsiaTheme="minorEastAsia" w:cstheme="minorEastAsia"/>
          <w:color w:val="auto"/>
          <w:sz w:val="24"/>
          <w:highlight w:val="none"/>
          <w:lang w:val="en-GB" w:eastAsia="zh-CN"/>
        </w:rPr>
        <w:t>招标</w:t>
      </w:r>
      <w:r>
        <w:rPr>
          <w:rFonts w:hint="eastAsia" w:asciiTheme="minorEastAsia" w:hAnsiTheme="minorEastAsia" w:eastAsiaTheme="minorEastAsia" w:cstheme="minorEastAsia"/>
          <w:b w:val="0"/>
          <w:bCs/>
          <w:color w:val="auto"/>
          <w:sz w:val="24"/>
          <w:highlight w:val="none"/>
          <w:lang w:val="en-GB" w:eastAsia="zh-CN"/>
        </w:rPr>
        <w:t>代理</w:t>
      </w:r>
      <w:r>
        <w:rPr>
          <w:rFonts w:hint="eastAsia" w:asciiTheme="minorEastAsia" w:hAnsiTheme="minorEastAsia" w:eastAsiaTheme="minorEastAsia" w:cstheme="minorEastAsia"/>
          <w:color w:val="auto"/>
          <w:sz w:val="24"/>
          <w:highlight w:val="none"/>
          <w:lang w:val="en-GB" w:eastAsia="zh-CN"/>
        </w:rPr>
        <w:t>机构</w:t>
      </w:r>
      <w:r>
        <w:rPr>
          <w:rFonts w:hint="eastAsia" w:asciiTheme="minorEastAsia" w:hAnsiTheme="minorEastAsia" w:eastAsiaTheme="minorEastAsia" w:cstheme="minorEastAsia"/>
          <w:color w:val="auto"/>
          <w:sz w:val="24"/>
          <w:highlight w:val="none"/>
          <w:lang w:val="en-GB"/>
        </w:rPr>
        <w:t>拒绝接</w:t>
      </w:r>
      <w:r>
        <w:rPr>
          <w:rFonts w:hint="eastAsia" w:hAnsi="宋体"/>
          <w:color w:val="auto"/>
          <w:sz w:val="24"/>
          <w:highlight w:val="none"/>
          <w:lang w:val="en-GB"/>
        </w:rPr>
        <w:t>受</w:t>
      </w:r>
      <w:r>
        <w:rPr>
          <w:rFonts w:hint="eastAsia" w:hAnsi="宋体"/>
          <w:color w:val="auto"/>
          <w:sz w:val="24"/>
          <w:highlight w:val="none"/>
          <w:lang w:val="en-GB" w:eastAsia="zh-CN"/>
        </w:rPr>
        <w:t>竞投</w:t>
      </w:r>
      <w:r>
        <w:rPr>
          <w:rFonts w:hint="eastAsia" w:hAnsi="宋体"/>
          <w:color w:val="auto"/>
          <w:sz w:val="24"/>
          <w:highlight w:val="none"/>
          <w:lang w:val="en-GB"/>
        </w:rPr>
        <w:t>的情形：</w:t>
      </w:r>
    </w:p>
    <w:p>
      <w:pPr>
        <w:numPr>
          <w:ilvl w:val="0"/>
          <w:numId w:val="25"/>
        </w:numPr>
        <w:tabs>
          <w:tab w:val="left" w:pos="540"/>
          <w:tab w:val="clear" w:pos="420"/>
        </w:tabs>
        <w:spacing w:line="374" w:lineRule="auto"/>
        <w:ind w:left="1260" w:hanging="720"/>
        <w:rPr>
          <w:rFonts w:ascii="宋体"/>
          <w:color w:val="auto"/>
          <w:sz w:val="24"/>
          <w:highlight w:val="none"/>
          <w:lang w:val="en-GB"/>
        </w:rPr>
      </w:pPr>
      <w:r>
        <w:rPr>
          <w:rFonts w:hint="eastAsia" w:ascii="宋体" w:hAnsi="宋体"/>
          <w:color w:val="auto"/>
          <w:sz w:val="24"/>
          <w:highlight w:val="none"/>
          <w:lang w:val="en-GB"/>
        </w:rPr>
        <w:t>以电报、电话传真形式</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w:t>
      </w:r>
    </w:p>
    <w:p>
      <w:pPr>
        <w:numPr>
          <w:ilvl w:val="0"/>
          <w:numId w:val="25"/>
        </w:numPr>
        <w:tabs>
          <w:tab w:val="left" w:pos="540"/>
          <w:tab w:val="clear" w:pos="420"/>
        </w:tabs>
        <w:spacing w:line="374" w:lineRule="auto"/>
        <w:ind w:left="1260" w:hanging="720"/>
        <w:rPr>
          <w:rFonts w:ascii="宋体"/>
          <w:color w:val="auto"/>
          <w:sz w:val="24"/>
          <w:highlight w:val="none"/>
          <w:lang w:val="en-GB"/>
        </w:rPr>
      </w:pPr>
      <w:r>
        <w:rPr>
          <w:rFonts w:hint="eastAsia" w:ascii="宋体" w:hAnsi="宋体"/>
          <w:color w:val="auto"/>
          <w:sz w:val="24"/>
          <w:highlight w:val="none"/>
          <w:lang w:val="en-GB"/>
        </w:rPr>
        <w:t>密封、数量、规格、册装不合要求或逾期提交的</w:t>
      </w:r>
      <w:r>
        <w:rPr>
          <w:rFonts w:hint="eastAsia" w:hAnsi="宋体"/>
          <w:color w:val="auto"/>
          <w:sz w:val="24"/>
          <w:highlight w:val="none"/>
          <w:lang w:val="en-GB" w:eastAsia="zh-CN"/>
        </w:rPr>
        <w:t>资格审查</w:t>
      </w:r>
      <w:r>
        <w:rPr>
          <w:rFonts w:hint="eastAsia" w:ascii="宋体" w:hAnsi="宋体"/>
          <w:color w:val="auto"/>
          <w:sz w:val="24"/>
          <w:highlight w:val="none"/>
          <w:lang w:val="en-GB"/>
        </w:rPr>
        <w:t>文件；</w:t>
      </w:r>
    </w:p>
    <w:p>
      <w:pPr>
        <w:numPr>
          <w:ilvl w:val="0"/>
          <w:numId w:val="25"/>
        </w:numPr>
        <w:tabs>
          <w:tab w:val="left" w:pos="540"/>
          <w:tab w:val="clear" w:pos="420"/>
        </w:tabs>
        <w:spacing w:line="374" w:lineRule="auto"/>
        <w:ind w:left="840" w:hanging="300"/>
        <w:rPr>
          <w:rFonts w:ascii="宋体"/>
          <w:color w:val="auto"/>
          <w:sz w:val="24"/>
          <w:highlight w:val="none"/>
          <w:lang w:val="en-GB"/>
        </w:rPr>
      </w:pPr>
      <w:r>
        <w:rPr>
          <w:rFonts w:hint="eastAsia" w:ascii="宋体" w:hAnsi="宋体"/>
          <w:color w:val="auto"/>
          <w:sz w:val="24"/>
          <w:highlight w:val="none"/>
          <w:lang w:val="en-GB"/>
        </w:rPr>
        <w:t>未按要求</w:t>
      </w:r>
      <w:r>
        <w:rPr>
          <w:rFonts w:hint="eastAsia" w:ascii="宋体" w:hAnsi="宋体"/>
          <w:color w:val="auto"/>
          <w:sz w:val="24"/>
          <w:highlight w:val="none"/>
        </w:rPr>
        <w:t>购买</w:t>
      </w:r>
      <w:r>
        <w:rPr>
          <w:rFonts w:hint="eastAsia" w:ascii="宋体" w:hAnsi="宋体"/>
          <w:color w:val="auto"/>
          <w:sz w:val="24"/>
          <w:highlight w:val="none"/>
          <w:lang w:eastAsia="zh-CN"/>
        </w:rPr>
        <w:t>竞投文件</w:t>
      </w:r>
      <w:r>
        <w:rPr>
          <w:rFonts w:hint="eastAsia" w:ascii="宋体" w:hAnsi="宋体"/>
          <w:color w:val="auto"/>
          <w:sz w:val="24"/>
          <w:highlight w:val="none"/>
          <w:lang w:val="en-GB"/>
        </w:rPr>
        <w:t>或已</w:t>
      </w:r>
      <w:r>
        <w:rPr>
          <w:rFonts w:hint="eastAsia" w:ascii="宋体" w:hAnsi="宋体"/>
          <w:color w:val="auto"/>
          <w:sz w:val="24"/>
          <w:highlight w:val="none"/>
        </w:rPr>
        <w:t>购买</w:t>
      </w:r>
      <w:r>
        <w:rPr>
          <w:rFonts w:hint="eastAsia" w:ascii="宋体" w:hAnsi="宋体"/>
          <w:color w:val="auto"/>
          <w:sz w:val="24"/>
          <w:highlight w:val="none"/>
          <w:lang w:eastAsia="zh-CN"/>
        </w:rPr>
        <w:t>竞投文件</w:t>
      </w:r>
      <w:r>
        <w:rPr>
          <w:rFonts w:hint="eastAsia" w:ascii="宋体" w:hAnsi="宋体"/>
          <w:color w:val="auto"/>
          <w:sz w:val="24"/>
          <w:highlight w:val="none"/>
          <w:lang w:val="en-GB"/>
        </w:rPr>
        <w:t>但不按时交纳足额</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保证金；</w:t>
      </w:r>
    </w:p>
    <w:p>
      <w:pPr>
        <w:numPr>
          <w:ilvl w:val="0"/>
          <w:numId w:val="25"/>
        </w:numPr>
        <w:tabs>
          <w:tab w:val="left" w:pos="540"/>
          <w:tab w:val="clear" w:pos="420"/>
        </w:tabs>
        <w:spacing w:line="374" w:lineRule="auto"/>
        <w:ind w:left="1260" w:hanging="720"/>
        <w:rPr>
          <w:rFonts w:ascii="宋体"/>
          <w:color w:val="auto"/>
          <w:sz w:val="24"/>
          <w:highlight w:val="none"/>
          <w:lang w:val="en-GB"/>
        </w:rPr>
      </w:pPr>
      <w:r>
        <w:rPr>
          <w:rFonts w:hint="eastAsia" w:ascii="宋体" w:hAnsi="宋体"/>
          <w:color w:val="auto"/>
          <w:sz w:val="24"/>
          <w:highlight w:val="none"/>
          <w:lang w:val="zh-CN"/>
        </w:rPr>
        <w:t>投标人代表未准时出席开标会或未按要求签到的。</w:t>
      </w:r>
    </w:p>
    <w:p>
      <w:pPr>
        <w:numPr>
          <w:ilvl w:val="0"/>
          <w:numId w:val="22"/>
        </w:numPr>
        <w:tabs>
          <w:tab w:val="left" w:pos="540"/>
        </w:tabs>
        <w:spacing w:before="120" w:beforeLines="50" w:line="374"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竞投报价</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12.1</w:t>
      </w:r>
      <w:r>
        <w:rPr>
          <w:rFonts w:hint="eastAsia" w:ascii="宋体" w:hAnsi="宋体"/>
          <w:color w:val="auto"/>
          <w:sz w:val="24"/>
          <w:highlight w:val="none"/>
          <w:lang w:val="en-GB"/>
        </w:rPr>
        <w:t>本次</w:t>
      </w:r>
      <w:r>
        <w:rPr>
          <w:rFonts w:hint="eastAsia" w:ascii="宋体" w:hAnsi="宋体"/>
          <w:color w:val="auto"/>
          <w:sz w:val="24"/>
          <w:highlight w:val="none"/>
          <w:lang w:val="en-US" w:eastAsia="zh-CN"/>
        </w:rPr>
        <w:t>竞投</w:t>
      </w:r>
      <w:r>
        <w:rPr>
          <w:rFonts w:hint="eastAsia" w:ascii="宋体" w:hAnsi="宋体"/>
          <w:color w:val="auto"/>
          <w:sz w:val="24"/>
          <w:highlight w:val="none"/>
          <w:lang w:val="en-GB"/>
        </w:rPr>
        <w:t>必须对项目要求的全部内容进行报价，</w:t>
      </w:r>
      <w:r>
        <w:rPr>
          <w:rFonts w:hint="eastAsia" w:ascii="宋体" w:hAnsi="宋体"/>
          <w:color w:val="auto"/>
          <w:sz w:val="24"/>
          <w:highlight w:val="none"/>
          <w:lang w:val="en-GB" w:eastAsia="zh-CN"/>
        </w:rPr>
        <w:t>经审查合格的投标人，只要确认领取本项目报价书参加竞投，即视为完全响应竞投文件的全部内容</w:t>
      </w:r>
      <w:r>
        <w:rPr>
          <w:rFonts w:hint="eastAsia" w:ascii="宋体" w:hAnsi="宋体"/>
          <w:color w:val="auto"/>
          <w:sz w:val="24"/>
          <w:highlight w:val="none"/>
          <w:lang w:val="en-GB"/>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12.1.1本次竞投会采取填写报价书和公布报价的方式进行。竞投人填好的报价书必须由法定代表人或授权代表填写，签名确认；报价书应密封，在密封袋上写明招标人名称，在密封处由法人或授权代表人签名。报价书一经递交，不得撤回或修改。</w:t>
      </w:r>
    </w:p>
    <w:p>
      <w:pPr>
        <w:numPr>
          <w:ilvl w:val="0"/>
          <w:numId w:val="0"/>
        </w:numPr>
        <w:tabs>
          <w:tab w:val="left" w:pos="540"/>
        </w:tabs>
        <w:spacing w:line="360" w:lineRule="auto"/>
        <w:ind w:left="480" w:hanging="480" w:hanging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12.1.2本项目所报价格不得低于本项目设定的最低限价，若报价金额低于设定的最低限价，则报价无效；若报价金额不低于本项目设定的最低限价，则采取价高者得的原则确定中标人。若出现最高报价相同的，按提交报价书的先后顺序确定中标人</w:t>
      </w:r>
      <w:r>
        <w:rPr>
          <w:rFonts w:hint="eastAsia" w:ascii="宋体" w:hAnsi="宋体"/>
          <w:b/>
          <w:bCs/>
          <w:color w:val="auto"/>
          <w:sz w:val="24"/>
          <w:highlight w:val="none"/>
          <w:lang w:val="en-US" w:eastAsia="zh-CN"/>
        </w:rPr>
        <w:t>（即最先提交报价书者为中标人）</w:t>
      </w:r>
      <w:r>
        <w:rPr>
          <w:rFonts w:hint="eastAsia" w:ascii="宋体" w:hAnsi="宋体"/>
          <w:color w:val="auto"/>
          <w:sz w:val="24"/>
          <w:highlight w:val="none"/>
          <w:lang w:val="en-US" w:eastAsia="zh-CN"/>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12.2</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总价是以</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可独立履行本项目合同义务，并在通过准确核算后，可满足预期实施效果、验收标准和符合自身合法利益的前提下所作出的综合性合理报价，对在</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文件和合同书中未有明确列述、设计遗漏失误、市场剧变、汇率、利率因素、应预见和不可预见的费用等均视为已完全考虑到并包括在</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总价之内。</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12.3</w:t>
      </w:r>
      <w:r>
        <w:rPr>
          <w:rFonts w:hint="eastAsia" w:ascii="宋体" w:hAnsi="宋体"/>
          <w:color w:val="auto"/>
          <w:sz w:val="24"/>
          <w:highlight w:val="none"/>
          <w:lang w:val="en-GB"/>
        </w:rPr>
        <w:t>如果</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在中标并签署合同后，在提供招标范围内的服务工作中出现的任何遗漏，均由中标人免费提供，</w:t>
      </w:r>
      <w:r>
        <w:rPr>
          <w:rFonts w:hint="eastAsia" w:ascii="宋体" w:hAnsi="宋体"/>
          <w:color w:val="auto"/>
          <w:sz w:val="24"/>
          <w:highlight w:val="none"/>
          <w:lang w:val="en-GB" w:eastAsia="zh-CN"/>
        </w:rPr>
        <w:t>招标人</w:t>
      </w:r>
      <w:r>
        <w:rPr>
          <w:rFonts w:hint="eastAsia" w:ascii="宋体" w:hAnsi="宋体"/>
          <w:color w:val="auto"/>
          <w:sz w:val="24"/>
          <w:highlight w:val="none"/>
          <w:lang w:val="en-GB"/>
        </w:rPr>
        <w:t>将不再支付任何费用。</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12.4</w:t>
      </w:r>
      <w:r>
        <w:rPr>
          <w:rFonts w:hint="eastAsia" w:ascii="宋体" w:hAnsi="宋体"/>
          <w:color w:val="auto"/>
          <w:sz w:val="24"/>
          <w:highlight w:val="none"/>
          <w:lang w:val="en-GB"/>
        </w:rPr>
        <w:t>合同项下，</w:t>
      </w:r>
      <w:r>
        <w:rPr>
          <w:rFonts w:hint="eastAsia" w:ascii="宋体" w:hAnsi="宋体"/>
          <w:color w:val="auto"/>
          <w:sz w:val="24"/>
          <w:highlight w:val="none"/>
          <w:lang w:val="en-GB" w:eastAsia="zh-CN"/>
        </w:rPr>
        <w:t>招标人</w:t>
      </w:r>
      <w:r>
        <w:rPr>
          <w:rFonts w:hint="eastAsia" w:ascii="宋体" w:hAnsi="宋体"/>
          <w:color w:val="auto"/>
          <w:sz w:val="24"/>
          <w:highlight w:val="none"/>
          <w:lang w:val="en-GB"/>
        </w:rPr>
        <w:t>需要的货物和附带备品、配件所需的费用，如果</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是另外单独报价，且未计入</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总价内的</w:t>
      </w:r>
      <w:r>
        <w:rPr>
          <w:rFonts w:hint="eastAsia" w:ascii="宋体" w:hAnsi="宋体"/>
          <w:color w:val="auto"/>
          <w:sz w:val="24"/>
          <w:highlight w:val="none"/>
          <w:lang w:val="en-GB" w:eastAsia="zh-CN"/>
        </w:rPr>
        <w:t>投标人将被取消资格</w:t>
      </w:r>
      <w:r>
        <w:rPr>
          <w:rFonts w:hint="eastAsia" w:ascii="宋体" w:hAnsi="宋体"/>
          <w:color w:val="auto"/>
          <w:sz w:val="24"/>
          <w:highlight w:val="none"/>
          <w:lang w:val="en-GB"/>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12.5</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应根据企业自身实力、费用指标，本项目</w:t>
      </w:r>
      <w:r>
        <w:rPr>
          <w:rFonts w:hint="eastAsia" w:ascii="宋体" w:hAnsi="宋体"/>
          <w:color w:val="auto"/>
          <w:sz w:val="24"/>
          <w:highlight w:val="none"/>
          <w:lang w:val="en-GB" w:eastAsia="zh-CN"/>
        </w:rPr>
        <w:t>竞投文件</w:t>
      </w:r>
      <w:r>
        <w:rPr>
          <w:rFonts w:hint="eastAsia" w:ascii="宋体" w:hAnsi="宋体"/>
          <w:color w:val="auto"/>
          <w:sz w:val="24"/>
          <w:highlight w:val="none"/>
          <w:lang w:val="en-GB"/>
        </w:rPr>
        <w:t>、主要合同条款、现场踏勘及市场情况、风险因素和拟采用的服务方案等进行自主报价，</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报价应是完成本</w:t>
      </w:r>
      <w:r>
        <w:rPr>
          <w:rFonts w:hint="eastAsia" w:ascii="宋体" w:hAnsi="宋体"/>
          <w:color w:val="auto"/>
          <w:sz w:val="24"/>
          <w:highlight w:val="none"/>
          <w:lang w:val="en-GB" w:eastAsia="zh-CN"/>
        </w:rPr>
        <w:t>竞投文件</w:t>
      </w:r>
      <w:r>
        <w:rPr>
          <w:rFonts w:hint="eastAsia" w:ascii="宋体" w:hAnsi="宋体"/>
          <w:color w:val="auto"/>
          <w:sz w:val="24"/>
          <w:highlight w:val="none"/>
          <w:lang w:val="en-GB"/>
        </w:rPr>
        <w:t>和合同条款上所列招标范围及工期等内容的全部，不得以任何理由予以重复，作为</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计算单价或总价的依据。</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12.6</w:t>
      </w:r>
      <w:r>
        <w:rPr>
          <w:rFonts w:hint="eastAsia" w:ascii="宋体" w:hAnsi="宋体"/>
          <w:color w:val="auto"/>
          <w:sz w:val="24"/>
          <w:highlight w:val="none"/>
          <w:lang w:val="en-GB" w:eastAsia="zh-CN"/>
        </w:rPr>
        <w:t>招标人</w:t>
      </w:r>
      <w:r>
        <w:rPr>
          <w:rFonts w:hint="eastAsia" w:ascii="宋体" w:hAnsi="宋体"/>
          <w:color w:val="auto"/>
          <w:sz w:val="24"/>
          <w:highlight w:val="none"/>
          <w:lang w:val="en-GB"/>
        </w:rPr>
        <w:t>有权根据项目实际需要对服务方案进行优化，由于服务方案的优化所造成增加或减少部分内容，</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必须无条件接受，不得拒绝或要求调整任何收费。如果方案优化后，有部分服务内容超越了本项目中标单位的服务范围，则该部分内容</w:t>
      </w:r>
      <w:r>
        <w:rPr>
          <w:rFonts w:hint="eastAsia" w:ascii="宋体" w:hAnsi="宋体"/>
          <w:color w:val="auto"/>
          <w:sz w:val="24"/>
          <w:highlight w:val="none"/>
          <w:lang w:val="en-GB" w:eastAsia="zh-CN"/>
        </w:rPr>
        <w:t>招标人</w:t>
      </w:r>
      <w:r>
        <w:rPr>
          <w:rFonts w:hint="eastAsia" w:ascii="宋体" w:hAnsi="宋体"/>
          <w:color w:val="auto"/>
          <w:sz w:val="24"/>
          <w:highlight w:val="none"/>
          <w:lang w:val="en-GB"/>
        </w:rPr>
        <w:t>有权另行组织采购。</w:t>
      </w:r>
    </w:p>
    <w:p>
      <w:pPr>
        <w:numPr>
          <w:ilvl w:val="0"/>
          <w:numId w:val="22"/>
        </w:numPr>
        <w:tabs>
          <w:tab w:val="left" w:pos="540"/>
        </w:tabs>
        <w:spacing w:before="120" w:beforeLines="50" w:line="374"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竞投保证金</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eastAsia="zh-CN"/>
        </w:rPr>
      </w:pPr>
      <w:r>
        <w:rPr>
          <w:rFonts w:hint="eastAsia" w:ascii="宋体" w:hAnsi="宋体"/>
          <w:color w:val="auto"/>
          <w:sz w:val="24"/>
          <w:highlight w:val="none"/>
          <w:lang w:val="zh-CN" w:eastAsia="zh-CN"/>
        </w:rPr>
        <w:t>本项目需提交竞投保证金：</w:t>
      </w:r>
      <w:r>
        <w:rPr>
          <w:rFonts w:hint="eastAsia" w:ascii="宋体" w:hAnsi="宋体"/>
          <w:color w:val="auto"/>
          <w:sz w:val="24"/>
          <w:highlight w:val="none"/>
          <w:lang w:val="en-US" w:eastAsia="zh-CN"/>
        </w:rPr>
        <w:t>人民币3万元</w:t>
      </w:r>
      <w:r>
        <w:rPr>
          <w:rFonts w:hint="eastAsia" w:ascii="宋体" w:hAnsi="宋体"/>
          <w:color w:val="auto"/>
          <w:sz w:val="24"/>
          <w:highlight w:val="none"/>
          <w:lang w:val="en-GB" w:eastAsia="zh-CN"/>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13.1</w:t>
      </w:r>
      <w:r>
        <w:rPr>
          <w:rFonts w:hint="eastAsia" w:ascii="宋体" w:hAnsi="宋体"/>
          <w:color w:val="auto"/>
          <w:sz w:val="24"/>
          <w:highlight w:val="none"/>
          <w:lang w:val="zh-CN" w:eastAsia="zh-CN"/>
        </w:rPr>
        <w:t>对约定需要交纳竞投保证金时，投标人应在竞投截止时间前按竞投文件要求交纳竞投保证金，并作为其竞投的一部分。竞投保证金应以投标人名义按竞投须知前附表的要求递交。</w:t>
      </w:r>
    </w:p>
    <w:p>
      <w:pPr>
        <w:tabs>
          <w:tab w:val="left" w:pos="540"/>
        </w:tabs>
        <w:spacing w:line="374" w:lineRule="auto"/>
        <w:ind w:firstLine="482" w:firstLineChars="200"/>
        <w:rPr>
          <w:color w:val="auto"/>
          <w:sz w:val="24"/>
          <w:highlight w:val="none"/>
          <w:lang w:val="zh-CN"/>
        </w:rPr>
      </w:pPr>
      <w:r>
        <w:rPr>
          <w:rFonts w:hint="eastAsia"/>
          <w:b/>
          <w:bCs/>
          <w:color w:val="auto"/>
          <w:sz w:val="24"/>
          <w:highlight w:val="none"/>
          <w:lang w:val="zh-CN"/>
        </w:rPr>
        <w:t>凡没有按照本须知第</w:t>
      </w:r>
      <w:r>
        <w:rPr>
          <w:b/>
          <w:bCs/>
          <w:color w:val="auto"/>
          <w:sz w:val="24"/>
          <w:highlight w:val="none"/>
          <w:lang w:val="zh-CN"/>
        </w:rPr>
        <w:t>1</w:t>
      </w:r>
      <w:r>
        <w:rPr>
          <w:rFonts w:hint="eastAsia"/>
          <w:b/>
          <w:bCs/>
          <w:color w:val="auto"/>
          <w:sz w:val="24"/>
          <w:highlight w:val="none"/>
          <w:lang w:val="en-US" w:eastAsia="zh-CN"/>
        </w:rPr>
        <w:t>3</w:t>
      </w:r>
      <w:r>
        <w:rPr>
          <w:b/>
          <w:bCs/>
          <w:color w:val="auto"/>
          <w:sz w:val="24"/>
          <w:highlight w:val="none"/>
          <w:lang w:val="zh-CN"/>
        </w:rPr>
        <w:t>.1</w:t>
      </w:r>
      <w:r>
        <w:rPr>
          <w:rFonts w:hint="eastAsia"/>
          <w:b/>
          <w:bCs/>
          <w:color w:val="auto"/>
          <w:sz w:val="24"/>
          <w:highlight w:val="none"/>
          <w:lang w:val="zh-CN"/>
        </w:rPr>
        <w:t>条的规定随附有效的竞投保证金的竞投，视为资格审查不合格，被拒绝参加竞投。</w:t>
      </w:r>
    </w:p>
    <w:p>
      <w:pPr>
        <w:numPr>
          <w:ilvl w:val="0"/>
          <w:numId w:val="0"/>
        </w:numPr>
        <w:tabs>
          <w:tab w:val="left" w:pos="540"/>
        </w:tabs>
        <w:spacing w:line="360" w:lineRule="auto"/>
        <w:ind w:left="480" w:hanging="480" w:hangingChars="20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13.2</w:t>
      </w:r>
      <w:r>
        <w:rPr>
          <w:rFonts w:hint="eastAsia" w:ascii="宋体" w:hAnsi="宋体"/>
          <w:color w:val="auto"/>
          <w:sz w:val="24"/>
          <w:highlight w:val="none"/>
          <w:lang w:val="zh-CN" w:eastAsia="zh-CN"/>
        </w:rPr>
        <w:t>竞投保证金是用于保护本次招标免受投标人的行为而引起的风险，下列任何一种情况发生时，不予退还竞投保证金，因此而造成招标人的损失须由投标人承担：</w:t>
      </w:r>
    </w:p>
    <w:p>
      <w:pPr>
        <w:numPr>
          <w:ilvl w:val="1"/>
          <w:numId w:val="26"/>
        </w:numPr>
        <w:tabs>
          <w:tab w:val="left" w:pos="900"/>
          <w:tab w:val="clear" w:pos="840"/>
        </w:tabs>
        <w:spacing w:line="374" w:lineRule="auto"/>
        <w:ind w:left="900" w:hanging="360"/>
        <w:rPr>
          <w:rFonts w:ascii="宋体"/>
          <w:color w:val="auto"/>
          <w:sz w:val="24"/>
          <w:highlight w:val="none"/>
        </w:rPr>
      </w:pPr>
      <w:r>
        <w:rPr>
          <w:rFonts w:hint="eastAsia" w:ascii="宋体" w:hAnsi="宋体"/>
          <w:color w:val="auto"/>
          <w:sz w:val="24"/>
          <w:highlight w:val="none"/>
          <w:lang w:eastAsia="zh-CN"/>
        </w:rPr>
        <w:t>资格审查</w:t>
      </w:r>
      <w:r>
        <w:rPr>
          <w:rFonts w:hint="eastAsia" w:ascii="宋体" w:hAnsi="宋体"/>
          <w:color w:val="auto"/>
          <w:sz w:val="24"/>
          <w:highlight w:val="none"/>
        </w:rPr>
        <w:t>文件中提供伪造、虚假的材料；</w:t>
      </w:r>
    </w:p>
    <w:p>
      <w:pPr>
        <w:numPr>
          <w:ilvl w:val="1"/>
          <w:numId w:val="26"/>
        </w:numPr>
        <w:tabs>
          <w:tab w:val="left" w:pos="900"/>
          <w:tab w:val="clear" w:pos="840"/>
        </w:tabs>
        <w:spacing w:line="374" w:lineRule="auto"/>
        <w:ind w:left="900" w:hanging="360"/>
        <w:rPr>
          <w:rFonts w:ascii="宋体"/>
          <w:color w:val="auto"/>
          <w:sz w:val="24"/>
          <w:highlight w:val="none"/>
        </w:rPr>
      </w:pPr>
      <w:r>
        <w:rPr>
          <w:rFonts w:hint="eastAsia" w:ascii="宋体" w:hAnsi="宋体"/>
          <w:color w:val="auto"/>
          <w:sz w:val="24"/>
          <w:highlight w:val="none"/>
        </w:rPr>
        <w:t>在</w:t>
      </w:r>
      <w:r>
        <w:rPr>
          <w:rFonts w:hint="eastAsia" w:ascii="宋体" w:hAnsi="宋体"/>
          <w:color w:val="auto"/>
          <w:sz w:val="24"/>
          <w:highlight w:val="none"/>
          <w:lang w:eastAsia="zh-CN"/>
        </w:rPr>
        <w:t>资格审查</w:t>
      </w:r>
      <w:r>
        <w:rPr>
          <w:rFonts w:hint="eastAsia" w:ascii="宋体" w:hAnsi="宋体"/>
          <w:color w:val="auto"/>
          <w:sz w:val="24"/>
          <w:highlight w:val="none"/>
        </w:rPr>
        <w:t>期间，使用不正当手段试图影响、改变</w:t>
      </w:r>
      <w:r>
        <w:rPr>
          <w:rFonts w:hint="eastAsia" w:ascii="宋体" w:hAnsi="宋体"/>
          <w:color w:val="auto"/>
          <w:sz w:val="24"/>
          <w:highlight w:val="none"/>
          <w:lang w:eastAsia="zh-CN"/>
        </w:rPr>
        <w:t>资格审查</w:t>
      </w:r>
      <w:r>
        <w:rPr>
          <w:rFonts w:hint="eastAsia" w:ascii="宋体" w:hAnsi="宋体"/>
          <w:color w:val="auto"/>
          <w:sz w:val="24"/>
          <w:highlight w:val="none"/>
        </w:rPr>
        <w:t>结果；</w:t>
      </w:r>
    </w:p>
    <w:p>
      <w:pPr>
        <w:numPr>
          <w:ilvl w:val="1"/>
          <w:numId w:val="26"/>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rPr>
        <w:t>恶意串通或捏造事实，对其竞争对手进行诋毁、排挤、攻击；</w:t>
      </w:r>
    </w:p>
    <w:p>
      <w:pPr>
        <w:numPr>
          <w:ilvl w:val="1"/>
          <w:numId w:val="26"/>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lang w:val="zh-CN"/>
        </w:rPr>
        <w:t>中标人在规定期限内未能根据《竞投文件》要求或《成交通知书》的规定签订合同</w:t>
      </w:r>
      <w:r>
        <w:rPr>
          <w:rFonts w:hint="eastAsia" w:ascii="宋体" w:hAnsi="宋体"/>
          <w:color w:val="auto"/>
          <w:sz w:val="24"/>
          <w:highlight w:val="none"/>
        </w:rPr>
        <w:t>，或拒绝、拖延、没有完全履行</w:t>
      </w:r>
      <w:r>
        <w:rPr>
          <w:rFonts w:hint="eastAsia" w:ascii="宋体" w:hAnsi="宋体"/>
          <w:color w:val="auto"/>
          <w:sz w:val="24"/>
          <w:highlight w:val="none"/>
          <w:lang w:eastAsia="zh-CN"/>
        </w:rPr>
        <w:t>竞投</w:t>
      </w:r>
      <w:r>
        <w:rPr>
          <w:rFonts w:hint="eastAsia" w:ascii="宋体" w:hAnsi="宋体"/>
          <w:color w:val="auto"/>
          <w:sz w:val="24"/>
          <w:highlight w:val="none"/>
        </w:rPr>
        <w:t>承诺（不可抗力除外）；</w:t>
      </w:r>
    </w:p>
    <w:p>
      <w:pPr>
        <w:numPr>
          <w:ilvl w:val="1"/>
          <w:numId w:val="26"/>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lang w:val="zh-CN"/>
        </w:rPr>
        <w:t>中标后未按竞投文件中的规定缴付招标代理费和评估费；</w:t>
      </w:r>
    </w:p>
    <w:p>
      <w:pPr>
        <w:numPr>
          <w:ilvl w:val="1"/>
          <w:numId w:val="26"/>
        </w:numPr>
        <w:tabs>
          <w:tab w:val="left" w:pos="900"/>
          <w:tab w:val="clear" w:pos="840"/>
        </w:tabs>
        <w:spacing w:line="374" w:lineRule="auto"/>
        <w:ind w:left="900" w:hanging="360"/>
        <w:rPr>
          <w:rFonts w:ascii="宋体"/>
          <w:color w:val="auto"/>
          <w:sz w:val="24"/>
          <w:highlight w:val="none"/>
        </w:rPr>
      </w:pPr>
      <w:r>
        <w:rPr>
          <w:rFonts w:hint="eastAsia" w:ascii="宋体" w:hAnsi="宋体"/>
          <w:color w:val="auto"/>
          <w:sz w:val="24"/>
          <w:highlight w:val="none"/>
        </w:rPr>
        <w:t>擅自将中标项目或主体关键性内容分包转让他人；</w:t>
      </w:r>
    </w:p>
    <w:p>
      <w:pPr>
        <w:numPr>
          <w:ilvl w:val="1"/>
          <w:numId w:val="26"/>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rPr>
        <w:t>获中标通知后，无法如期履行承诺按</w:t>
      </w:r>
      <w:r>
        <w:rPr>
          <w:rFonts w:hint="eastAsia" w:ascii="宋体" w:hAnsi="宋体"/>
          <w:color w:val="auto"/>
          <w:sz w:val="24"/>
          <w:highlight w:val="none"/>
          <w:lang w:eastAsia="zh-CN"/>
        </w:rPr>
        <w:t>招标人</w:t>
      </w:r>
      <w:r>
        <w:rPr>
          <w:rFonts w:hint="eastAsia" w:ascii="宋体" w:hAnsi="宋体"/>
          <w:color w:val="auto"/>
          <w:sz w:val="24"/>
          <w:highlight w:val="none"/>
        </w:rPr>
        <w:t>的要求提供合法有效的重要证明材料原件；</w:t>
      </w:r>
    </w:p>
    <w:p>
      <w:pPr>
        <w:numPr>
          <w:ilvl w:val="1"/>
          <w:numId w:val="26"/>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lang w:val="zh-CN"/>
        </w:rPr>
        <w:t>有违反国家有关法律法规的行为。</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13.3</w:t>
      </w:r>
      <w:r>
        <w:rPr>
          <w:rFonts w:hint="eastAsia" w:asciiTheme="minorEastAsia" w:hAnsiTheme="minorEastAsia" w:eastAsiaTheme="minorEastAsia" w:cstheme="minorEastAsia"/>
          <w:color w:val="auto"/>
          <w:sz w:val="24"/>
          <w:highlight w:val="none"/>
          <w:lang w:val="zh-CN"/>
        </w:rPr>
        <w:t>未中标的投标人的竞投保证金，于</w:t>
      </w:r>
      <w:r>
        <w:rPr>
          <w:rFonts w:hint="eastAsia" w:asciiTheme="minorEastAsia" w:hAnsiTheme="minorEastAsia" w:eastAsiaTheme="minorEastAsia" w:cstheme="minorEastAsia"/>
          <w:color w:val="auto"/>
          <w:sz w:val="24"/>
          <w:highlight w:val="none"/>
          <w:lang w:val="en-GB" w:eastAsia="zh-CN"/>
        </w:rPr>
        <w:t>成交通知书</w:t>
      </w:r>
      <w:r>
        <w:rPr>
          <w:rFonts w:hint="eastAsia" w:asciiTheme="minorEastAsia" w:hAnsiTheme="minorEastAsia" w:eastAsiaTheme="minorEastAsia" w:cstheme="minorEastAsia"/>
          <w:color w:val="auto"/>
          <w:sz w:val="24"/>
          <w:highlight w:val="none"/>
          <w:lang w:val="en-GB"/>
        </w:rPr>
        <w:t>发出后</w:t>
      </w:r>
      <w:r>
        <w:rPr>
          <w:rFonts w:hint="eastAsia" w:asciiTheme="minorEastAsia" w:hAnsiTheme="minorEastAsia" w:eastAsiaTheme="minorEastAsia" w:cstheme="minorEastAsia"/>
          <w:color w:val="auto"/>
          <w:sz w:val="24"/>
          <w:highlight w:val="none"/>
          <w:lang w:val="zh-CN"/>
        </w:rPr>
        <w:t>五个工作日内按规定退还。</w:t>
      </w:r>
    </w:p>
    <w:p>
      <w:pPr>
        <w:numPr>
          <w:ilvl w:val="0"/>
          <w:numId w:val="0"/>
        </w:numPr>
        <w:tabs>
          <w:tab w:val="left" w:pos="540"/>
        </w:tabs>
        <w:spacing w:line="374" w:lineRule="auto"/>
        <w:ind w:left="0" w:firstLine="0"/>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US" w:eastAsia="zh-CN"/>
        </w:rPr>
        <w:t>13.4</w:t>
      </w:r>
      <w:r>
        <w:rPr>
          <w:rFonts w:hint="eastAsia" w:asciiTheme="minorEastAsia" w:hAnsiTheme="minorEastAsia" w:eastAsiaTheme="minorEastAsia" w:cstheme="minorEastAsia"/>
          <w:color w:val="auto"/>
          <w:sz w:val="24"/>
          <w:highlight w:val="none"/>
          <w:lang w:val="zh-CN"/>
        </w:rPr>
        <w:t>中标人的竞投保证金将在其与招标人签订合同后五个工作日内按规定退还</w:t>
      </w:r>
      <w:r>
        <w:rPr>
          <w:rFonts w:hint="eastAsia" w:asciiTheme="minorEastAsia" w:hAnsiTheme="minorEastAsia" w:eastAsiaTheme="minorEastAsia" w:cstheme="minorEastAsia"/>
          <w:color w:val="auto"/>
          <w:sz w:val="24"/>
          <w:highlight w:val="none"/>
          <w:lang w:val="en-GB"/>
        </w:rPr>
        <w:t>。</w:t>
      </w:r>
    </w:p>
    <w:p>
      <w:pPr>
        <w:numPr>
          <w:ilvl w:val="0"/>
          <w:numId w:val="22"/>
        </w:numPr>
        <w:tabs>
          <w:tab w:val="left" w:pos="540"/>
        </w:tabs>
        <w:spacing w:before="120" w:beforeLines="50" w:line="374" w:lineRule="auto"/>
        <w:ind w:left="420" w:leftChars="0" w:hanging="420" w:firstLineChars="0"/>
        <w:rPr>
          <w:rFonts w:hint="eastAsia" w:asciiTheme="minorEastAsia" w:hAnsiTheme="minorEastAsia" w:eastAsiaTheme="minorEastAsia" w:cstheme="minorEastAsia"/>
          <w:b/>
          <w:color w:val="auto"/>
          <w:sz w:val="24"/>
          <w:highlight w:val="none"/>
          <w:lang w:val="zh-CN"/>
        </w:rPr>
      </w:pPr>
      <w:r>
        <w:rPr>
          <w:rFonts w:hint="eastAsia" w:asciiTheme="minorEastAsia" w:hAnsiTheme="minorEastAsia" w:eastAsiaTheme="minorEastAsia" w:cstheme="minorEastAsia"/>
          <w:b/>
          <w:color w:val="auto"/>
          <w:sz w:val="24"/>
          <w:highlight w:val="none"/>
          <w:lang w:val="en-US" w:eastAsia="zh-CN"/>
        </w:rPr>
        <w:t>投标</w:t>
      </w:r>
      <w:r>
        <w:rPr>
          <w:rFonts w:hint="eastAsia" w:asciiTheme="minorEastAsia" w:hAnsiTheme="minorEastAsia" w:eastAsiaTheme="minorEastAsia" w:cstheme="minorEastAsia"/>
          <w:b/>
          <w:color w:val="auto"/>
          <w:sz w:val="24"/>
          <w:highlight w:val="none"/>
          <w:lang w:val="zh-CN"/>
        </w:rPr>
        <w:t>有效期</w:t>
      </w:r>
    </w:p>
    <w:p>
      <w:pPr>
        <w:numPr>
          <w:ilvl w:val="0"/>
          <w:numId w:val="0"/>
        </w:numPr>
        <w:tabs>
          <w:tab w:val="left" w:pos="540"/>
        </w:tabs>
        <w:spacing w:line="374" w:lineRule="auto"/>
        <w:ind w:left="0" w:firstLine="0"/>
        <w:rPr>
          <w:rFonts w:ascii="宋体"/>
          <w:b/>
          <w:color w:val="auto"/>
          <w:sz w:val="24"/>
          <w:highlight w:val="none"/>
          <w:lang w:val="en-GB"/>
        </w:rPr>
      </w:pPr>
      <w:r>
        <w:rPr>
          <w:rFonts w:hint="eastAsia" w:asciiTheme="minorEastAsia" w:hAnsiTheme="minorEastAsia" w:eastAsiaTheme="minorEastAsia" w:cstheme="minorEastAsia"/>
          <w:color w:val="auto"/>
          <w:sz w:val="24"/>
          <w:highlight w:val="none"/>
          <w:lang w:val="en-US" w:eastAsia="zh-CN"/>
        </w:rPr>
        <w:t>14.1</w:t>
      </w:r>
      <w:r>
        <w:rPr>
          <w:rFonts w:hint="eastAsia" w:ascii="宋体" w:hAnsi="宋体"/>
          <w:color w:val="auto"/>
          <w:sz w:val="24"/>
          <w:highlight w:val="none"/>
          <w:lang w:val="en-US" w:eastAsia="zh-CN"/>
        </w:rPr>
        <w:t>投标</w:t>
      </w:r>
      <w:r>
        <w:rPr>
          <w:rFonts w:hint="eastAsia" w:ascii="宋体" w:hAnsi="宋体"/>
          <w:color w:val="auto"/>
          <w:sz w:val="24"/>
          <w:highlight w:val="none"/>
          <w:lang w:val="en-GB" w:eastAsia="zh-CN"/>
        </w:rPr>
        <w:t>有效期为自递交资格审查文件截止之日起</w:t>
      </w:r>
      <w:r>
        <w:rPr>
          <w:rFonts w:hint="eastAsia" w:ascii="宋体" w:hAnsi="宋体"/>
          <w:color w:val="auto"/>
          <w:sz w:val="24"/>
          <w:highlight w:val="none"/>
          <w:lang w:val="en-US" w:eastAsia="zh-CN"/>
        </w:rPr>
        <w:t>60</w:t>
      </w:r>
      <w:r>
        <w:rPr>
          <w:rFonts w:hint="eastAsia" w:ascii="宋体" w:hAnsi="宋体"/>
          <w:color w:val="auto"/>
          <w:sz w:val="24"/>
          <w:highlight w:val="none"/>
          <w:lang w:val="en-GB" w:eastAsia="zh-CN"/>
        </w:rPr>
        <w:t>天，中标单位投标有效期则顺延至项目完成验收之日，在此有效期内未经招标人或招标代理机构同意，资格审查文件的一切内容和补充承诺均为持续有效且不予</w:t>
      </w:r>
      <w:r>
        <w:rPr>
          <w:rFonts w:hint="eastAsia" w:ascii="宋体" w:hAnsi="宋体"/>
          <w:color w:val="auto"/>
          <w:sz w:val="24"/>
          <w:highlight w:val="none"/>
          <w:lang w:val="en-GB"/>
        </w:rPr>
        <w:t>改变。</w:t>
      </w:r>
      <w:r>
        <w:rPr>
          <w:rFonts w:hint="eastAsia" w:ascii="宋体" w:hAnsi="宋体"/>
          <w:b/>
          <w:color w:val="auto"/>
          <w:sz w:val="24"/>
          <w:highlight w:val="none"/>
          <w:lang w:val="en-GB" w:eastAsia="zh-CN"/>
        </w:rPr>
        <w:t>投标有效期</w:t>
      </w:r>
      <w:r>
        <w:rPr>
          <w:rFonts w:hint="eastAsia" w:ascii="宋体" w:hAnsi="宋体"/>
          <w:b/>
          <w:color w:val="auto"/>
          <w:sz w:val="24"/>
          <w:highlight w:val="none"/>
          <w:lang w:val="en-GB"/>
        </w:rPr>
        <w:t>比规定时间短的将被视为</w:t>
      </w:r>
      <w:r>
        <w:rPr>
          <w:rFonts w:hint="eastAsia" w:ascii="宋体" w:hAnsi="宋体"/>
          <w:b/>
          <w:color w:val="auto"/>
          <w:sz w:val="24"/>
          <w:highlight w:val="none"/>
          <w:lang w:val="en-GB" w:eastAsia="zh-CN"/>
        </w:rPr>
        <w:t>资格审查不合格</w:t>
      </w:r>
      <w:r>
        <w:rPr>
          <w:rFonts w:hint="eastAsia" w:ascii="宋体" w:hAnsi="宋体"/>
          <w:b/>
          <w:color w:val="auto"/>
          <w:sz w:val="24"/>
          <w:highlight w:val="none"/>
          <w:lang w:val="en-GB"/>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eastAsia="zh-CN"/>
        </w:rPr>
      </w:pPr>
      <w:r>
        <w:rPr>
          <w:rFonts w:hint="eastAsia" w:ascii="宋体" w:hAnsi="宋体"/>
          <w:color w:val="auto"/>
          <w:sz w:val="24"/>
          <w:highlight w:val="none"/>
          <w:lang w:val="en-US" w:eastAsia="zh-CN"/>
        </w:rPr>
        <w:t>14.2</w:t>
      </w:r>
      <w:r>
        <w:rPr>
          <w:rFonts w:hint="eastAsia" w:ascii="宋体" w:hAnsi="宋体"/>
          <w:color w:val="auto"/>
          <w:sz w:val="24"/>
          <w:highlight w:val="none"/>
          <w:lang w:val="en-GB" w:eastAsia="zh-CN"/>
        </w:rPr>
        <w:t>特殊情况下招标代理机构或招标人可于投标有效期期满前，要求投标人延长其竞投文件有效期。投标人可以拒绝或同意上述要求，延长投标有效期的要求与答复均要求为书面形式。不同意该要求的投标人将视为自动放弃</w:t>
      </w:r>
      <w:r>
        <w:rPr>
          <w:rFonts w:hint="eastAsia" w:ascii="宋体" w:hAnsi="宋体"/>
          <w:color w:val="auto"/>
          <w:sz w:val="24"/>
          <w:highlight w:val="none"/>
          <w:lang w:val="zh-CN" w:eastAsia="zh-CN"/>
        </w:rPr>
        <w:t>竞投资格</w:t>
      </w:r>
      <w:r>
        <w:rPr>
          <w:rFonts w:hint="eastAsia" w:ascii="宋体" w:hAnsi="宋体"/>
          <w:color w:val="auto"/>
          <w:sz w:val="24"/>
          <w:highlight w:val="none"/>
          <w:lang w:val="en-GB" w:eastAsia="zh-CN"/>
        </w:rPr>
        <w:t>，其竞投保证金将予以退还。</w:t>
      </w:r>
    </w:p>
    <w:p>
      <w:pPr>
        <w:tabs>
          <w:tab w:val="left" w:pos="540"/>
          <w:tab w:val="left" w:pos="720"/>
          <w:tab w:val="left" w:pos="840"/>
        </w:tabs>
        <w:spacing w:after="72" w:afterLines="30" w:line="336" w:lineRule="auto"/>
        <w:ind w:right="-178" w:rightChars="-85"/>
        <w:jc w:val="center"/>
        <w:outlineLvl w:val="1"/>
        <w:rPr>
          <w:rFonts w:ascii="宋体"/>
          <w:b/>
          <w:color w:val="auto"/>
          <w:sz w:val="28"/>
          <w:szCs w:val="28"/>
          <w:highlight w:val="none"/>
        </w:rPr>
      </w:pPr>
      <w:r>
        <w:rPr>
          <w:rFonts w:ascii="宋体"/>
          <w:color w:val="auto"/>
          <w:sz w:val="24"/>
          <w:highlight w:val="none"/>
          <w:lang w:val="en-GB"/>
        </w:rPr>
        <w:br w:type="page"/>
      </w:r>
      <w:bookmarkStart w:id="60" w:name="_Toc20538"/>
      <w:bookmarkStart w:id="61" w:name="_Toc19881"/>
      <w:bookmarkStart w:id="62" w:name="_Toc27501"/>
      <w:bookmarkStart w:id="63" w:name="_Toc334432593"/>
      <w:bookmarkStart w:id="64" w:name="_Toc27249"/>
      <w:r>
        <w:rPr>
          <w:rFonts w:hint="eastAsia" w:ascii="宋体" w:hAnsi="宋体"/>
          <w:b/>
          <w:color w:val="auto"/>
          <w:sz w:val="28"/>
          <w:szCs w:val="28"/>
          <w:highlight w:val="none"/>
        </w:rPr>
        <w:t>五、</w:t>
      </w:r>
      <w:r>
        <w:rPr>
          <w:rFonts w:hint="eastAsia" w:ascii="宋体" w:hAnsi="宋体"/>
          <w:b/>
          <w:color w:val="auto"/>
          <w:sz w:val="28"/>
          <w:szCs w:val="28"/>
          <w:highlight w:val="none"/>
          <w:lang w:eastAsia="zh-CN"/>
        </w:rPr>
        <w:t>资格审查</w:t>
      </w:r>
      <w:r>
        <w:rPr>
          <w:rFonts w:hint="eastAsia" w:ascii="宋体" w:hAnsi="宋体"/>
          <w:b/>
          <w:color w:val="auto"/>
          <w:sz w:val="28"/>
          <w:szCs w:val="28"/>
          <w:highlight w:val="none"/>
        </w:rPr>
        <w:t>程序</w:t>
      </w:r>
      <w:bookmarkEnd w:id="60"/>
      <w:bookmarkEnd w:id="61"/>
      <w:bookmarkEnd w:id="62"/>
      <w:bookmarkEnd w:id="63"/>
      <w:bookmarkEnd w:id="64"/>
    </w:p>
    <w:p>
      <w:pPr>
        <w:numPr>
          <w:ilvl w:val="0"/>
          <w:numId w:val="22"/>
        </w:numPr>
        <w:tabs>
          <w:tab w:val="left" w:pos="540"/>
        </w:tabs>
        <w:spacing w:line="377"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资格审查文件的递交</w:t>
      </w:r>
    </w:p>
    <w:p>
      <w:pPr>
        <w:numPr>
          <w:ilvl w:val="0"/>
          <w:numId w:val="0"/>
        </w:numPr>
        <w:tabs>
          <w:tab w:val="left" w:pos="540"/>
        </w:tabs>
        <w:spacing w:line="374" w:lineRule="auto"/>
        <w:ind w:left="0" w:firstLine="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15.1</w:t>
      </w:r>
      <w:r>
        <w:rPr>
          <w:rFonts w:hint="eastAsia" w:ascii="宋体" w:hAnsi="宋体"/>
          <w:color w:val="auto"/>
          <w:sz w:val="24"/>
          <w:highlight w:val="none"/>
          <w:lang w:val="zh-CN" w:eastAsia="zh-CN"/>
        </w:rPr>
        <w:t>投标人代表应按《竞投公告》所规定的时间和地点递交资格审查文件。</w:t>
      </w:r>
    </w:p>
    <w:p>
      <w:pPr>
        <w:numPr>
          <w:ilvl w:val="0"/>
          <w:numId w:val="0"/>
        </w:numPr>
        <w:tabs>
          <w:tab w:val="left" w:pos="540"/>
        </w:tabs>
        <w:spacing w:line="374" w:lineRule="auto"/>
        <w:ind w:left="0" w:firstLine="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15.2</w:t>
      </w:r>
      <w:r>
        <w:rPr>
          <w:rFonts w:hint="eastAsia" w:ascii="宋体" w:hAnsi="宋体"/>
          <w:color w:val="auto"/>
          <w:sz w:val="24"/>
          <w:highlight w:val="none"/>
          <w:lang w:val="zh-CN" w:eastAsia="zh-CN"/>
        </w:rPr>
        <w:t>递交资格审查文件时间宣布截止后，招标代理机构将不接收任何资格审查文件。</w:t>
      </w:r>
    </w:p>
    <w:p>
      <w:pPr>
        <w:numPr>
          <w:ilvl w:val="0"/>
          <w:numId w:val="22"/>
        </w:numPr>
        <w:tabs>
          <w:tab w:val="left" w:pos="540"/>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评审流程及相关事项</w:t>
      </w:r>
    </w:p>
    <w:p>
      <w:pPr>
        <w:numPr>
          <w:ilvl w:val="0"/>
          <w:numId w:val="0"/>
        </w:numPr>
        <w:tabs>
          <w:tab w:val="left" w:pos="540"/>
        </w:tabs>
        <w:spacing w:line="374" w:lineRule="auto"/>
        <w:ind w:left="0" w:firstLine="0"/>
        <w:rPr>
          <w:rFonts w:hint="default" w:ascii="宋体" w:hAnsi="宋体"/>
          <w:color w:val="auto"/>
          <w:sz w:val="24"/>
          <w:highlight w:val="none"/>
          <w:lang w:val="en-US" w:eastAsia="zh-CN"/>
        </w:rPr>
      </w:pPr>
      <w:r>
        <w:rPr>
          <w:rFonts w:hint="eastAsia" w:ascii="宋体" w:hAnsi="宋体"/>
          <w:color w:val="auto"/>
          <w:sz w:val="24"/>
          <w:highlight w:val="none"/>
          <w:lang w:val="en-US" w:eastAsia="zh-CN"/>
        </w:rPr>
        <w:t>16.1由招标人代表和招标代理机构负责审查。</w:t>
      </w:r>
    </w:p>
    <w:p>
      <w:pPr>
        <w:numPr>
          <w:ilvl w:val="0"/>
          <w:numId w:val="0"/>
        </w:numPr>
        <w:tabs>
          <w:tab w:val="left" w:pos="540"/>
        </w:tabs>
        <w:spacing w:line="374" w:lineRule="auto"/>
        <w:ind w:left="0" w:firstLine="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16.2</w:t>
      </w:r>
      <w:r>
        <w:rPr>
          <w:rFonts w:hint="eastAsia" w:ascii="宋体" w:hAnsi="宋体"/>
          <w:color w:val="auto"/>
          <w:sz w:val="24"/>
          <w:highlight w:val="none"/>
          <w:lang w:val="zh-CN" w:eastAsia="zh-CN"/>
        </w:rPr>
        <w:t>评审方法：合格制，合资格的投标人全部通过。</w:t>
      </w:r>
    </w:p>
    <w:p>
      <w:pPr>
        <w:numPr>
          <w:ilvl w:val="0"/>
          <w:numId w:val="0"/>
        </w:numPr>
        <w:tabs>
          <w:tab w:val="left" w:pos="540"/>
        </w:tabs>
        <w:spacing w:line="374" w:lineRule="auto"/>
        <w:ind w:left="0" w:firstLine="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16.3</w:t>
      </w:r>
      <w:r>
        <w:rPr>
          <w:rFonts w:hint="eastAsia" w:ascii="宋体" w:hAnsi="宋体"/>
          <w:color w:val="auto"/>
          <w:sz w:val="24"/>
          <w:highlight w:val="none"/>
          <w:lang w:val="zh-CN" w:eastAsia="zh-CN"/>
        </w:rPr>
        <w:t>评审程序：</w:t>
      </w:r>
    </w:p>
    <w:p>
      <w:pPr>
        <w:numPr>
          <w:ilvl w:val="0"/>
          <w:numId w:val="0"/>
        </w:numPr>
        <w:tabs>
          <w:tab w:val="left" w:pos="540"/>
        </w:tabs>
        <w:spacing w:line="374" w:lineRule="auto"/>
        <w:ind w:left="0" w:firstLine="0"/>
        <w:rPr>
          <w:rFonts w:ascii="宋体"/>
          <w:color w:val="auto"/>
          <w:sz w:val="24"/>
          <w:highlight w:val="none"/>
          <w:lang w:val="zh-CN"/>
        </w:rPr>
      </w:pPr>
      <w:r>
        <w:rPr>
          <w:rFonts w:hint="eastAsia" w:ascii="宋体" w:hAnsi="宋体"/>
          <w:color w:val="auto"/>
          <w:sz w:val="24"/>
          <w:highlight w:val="none"/>
          <w:lang w:val="zh-CN" w:eastAsia="zh-CN"/>
        </w:rPr>
        <w:t>对投标人的资格性检查：由招标人或招标代理机构根据本项目《竞投文件》的规定，对照《资格审</w:t>
      </w:r>
      <w:r>
        <w:rPr>
          <w:rFonts w:hint="eastAsia" w:ascii="宋体" w:hAnsi="宋体"/>
          <w:color w:val="auto"/>
          <w:sz w:val="24"/>
          <w:highlight w:val="none"/>
          <w:lang w:val="zh-CN"/>
        </w:rPr>
        <w:t>查文件》中</w:t>
      </w:r>
      <w:r>
        <w:rPr>
          <w:rFonts w:hint="eastAsia" w:ascii="宋体" w:hAnsi="宋体"/>
          <w:b/>
          <w:color w:val="auto"/>
          <w:sz w:val="24"/>
          <w:highlight w:val="none"/>
          <w:u w:val="single"/>
          <w:lang w:val="zh-CN"/>
        </w:rPr>
        <w:t>“资格性文件清单”</w:t>
      </w:r>
      <w:r>
        <w:rPr>
          <w:rFonts w:hint="eastAsia" w:ascii="宋体" w:hAnsi="宋体"/>
          <w:color w:val="auto"/>
          <w:sz w:val="24"/>
          <w:highlight w:val="none"/>
          <w:lang w:val="zh-CN"/>
        </w:rPr>
        <w:t>的内容和要求进行审查，以确定投标人是否符合竞投资格。通过资格性检查，可判定投标人的资格审查文件是否符合竞投文件的要求。对于上述审查内容，投标人必须响应，否则其资格审查文件作无效处理。</w:t>
      </w:r>
    </w:p>
    <w:p>
      <w:pPr>
        <w:numPr>
          <w:ilvl w:val="0"/>
          <w:numId w:val="22"/>
        </w:numPr>
        <w:tabs>
          <w:tab w:val="left" w:pos="540"/>
          <w:tab w:val="left" w:pos="987"/>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废标条件</w:t>
      </w:r>
    </w:p>
    <w:p>
      <w:pPr>
        <w:numPr>
          <w:ilvl w:val="0"/>
          <w:numId w:val="0"/>
        </w:numPr>
        <w:tabs>
          <w:tab w:val="left" w:pos="540"/>
        </w:tabs>
        <w:spacing w:line="374" w:lineRule="auto"/>
        <w:ind w:left="0" w:firstLine="0"/>
        <w:rPr>
          <w:color w:val="auto"/>
          <w:sz w:val="24"/>
          <w:highlight w:val="none"/>
          <w:lang w:val="en-GB"/>
        </w:rPr>
      </w:pPr>
      <w:r>
        <w:rPr>
          <w:rFonts w:hint="eastAsia"/>
          <w:color w:val="auto"/>
          <w:sz w:val="24"/>
          <w:highlight w:val="none"/>
          <w:lang w:val="en-GB"/>
        </w:rPr>
        <w:t>本项目</w:t>
      </w:r>
      <w:r>
        <w:rPr>
          <w:rFonts w:hint="eastAsia"/>
          <w:color w:val="auto"/>
          <w:sz w:val="24"/>
          <w:szCs w:val="20"/>
          <w:highlight w:val="none"/>
        </w:rPr>
        <w:t>出现</w:t>
      </w:r>
      <w:r>
        <w:rPr>
          <w:rFonts w:hint="eastAsia" w:ascii="宋体" w:hAnsi="宋体"/>
          <w:color w:val="auto"/>
          <w:sz w:val="24"/>
          <w:highlight w:val="none"/>
          <w:lang w:val="en-US" w:eastAsia="zh-CN"/>
        </w:rPr>
        <w:t>下列</w:t>
      </w:r>
      <w:r>
        <w:rPr>
          <w:rFonts w:hint="eastAsia"/>
          <w:color w:val="auto"/>
          <w:sz w:val="24"/>
          <w:szCs w:val="20"/>
          <w:highlight w:val="none"/>
        </w:rPr>
        <w:t>条件之一则对应定作废标：</w:t>
      </w:r>
    </w:p>
    <w:p>
      <w:pPr>
        <w:numPr>
          <w:ilvl w:val="0"/>
          <w:numId w:val="27"/>
        </w:numPr>
        <w:spacing w:line="360" w:lineRule="auto"/>
        <w:ind w:left="993" w:hanging="709"/>
        <w:rPr>
          <w:rFonts w:ascii="宋体" w:hAnsi="宋体"/>
          <w:color w:val="auto"/>
          <w:sz w:val="24"/>
          <w:highlight w:val="none"/>
          <w:lang w:val="en-GB"/>
        </w:rPr>
      </w:pPr>
      <w:r>
        <w:rPr>
          <w:rFonts w:hint="eastAsia" w:ascii="宋体" w:hAnsi="宋体"/>
          <w:color w:val="auto"/>
          <w:sz w:val="24"/>
          <w:highlight w:val="none"/>
          <w:lang w:val="en-GB" w:eastAsia="zh-CN"/>
        </w:rPr>
        <w:t>竞投</w:t>
      </w:r>
      <w:r>
        <w:rPr>
          <w:rFonts w:ascii="宋体" w:hAnsi="宋体"/>
          <w:color w:val="auto"/>
          <w:sz w:val="24"/>
          <w:highlight w:val="none"/>
          <w:lang w:val="en-GB"/>
        </w:rPr>
        <w:t>过程出现影响公平竞争的违法、违规行为</w:t>
      </w:r>
      <w:r>
        <w:rPr>
          <w:rFonts w:hint="eastAsia" w:ascii="宋体" w:hAnsi="宋体"/>
          <w:color w:val="auto"/>
          <w:sz w:val="24"/>
          <w:highlight w:val="none"/>
          <w:lang w:val="en-GB"/>
        </w:rPr>
        <w:t>。</w:t>
      </w:r>
    </w:p>
    <w:p>
      <w:pPr>
        <w:numPr>
          <w:ilvl w:val="0"/>
          <w:numId w:val="27"/>
        </w:numPr>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因重大变故，</w:t>
      </w:r>
      <w:r>
        <w:rPr>
          <w:rFonts w:hint="eastAsia" w:ascii="宋体" w:hAnsi="宋体"/>
          <w:color w:val="auto"/>
          <w:sz w:val="24"/>
          <w:highlight w:val="none"/>
          <w:lang w:val="en-GB"/>
        </w:rPr>
        <w:t>采购</w:t>
      </w:r>
      <w:r>
        <w:rPr>
          <w:rFonts w:ascii="宋体" w:hAnsi="宋体"/>
          <w:color w:val="auto"/>
          <w:sz w:val="24"/>
          <w:highlight w:val="none"/>
          <w:lang w:val="en-GB"/>
        </w:rPr>
        <w:t>任务取消的。</w:t>
      </w:r>
    </w:p>
    <w:p>
      <w:pPr>
        <w:numPr>
          <w:ilvl w:val="0"/>
          <w:numId w:val="27"/>
        </w:numPr>
        <w:spacing w:line="360" w:lineRule="auto"/>
        <w:ind w:left="993" w:hanging="709"/>
        <w:rPr>
          <w:highlight w:val="none"/>
          <w:lang w:val="en-GB"/>
        </w:rPr>
      </w:pPr>
      <w:r>
        <w:rPr>
          <w:rFonts w:hint="eastAsia" w:ascii="宋体" w:hAnsi="宋体" w:eastAsia="宋体" w:cs="宋体"/>
          <w:sz w:val="24"/>
          <w:szCs w:val="24"/>
          <w:highlight w:val="none"/>
          <w:lang w:val="en-US" w:eastAsia="zh-CN"/>
        </w:rPr>
        <w:t>有效投标人不足三家的；</w:t>
      </w:r>
    </w:p>
    <w:p>
      <w:pPr>
        <w:numPr>
          <w:ilvl w:val="0"/>
          <w:numId w:val="27"/>
        </w:numPr>
        <w:spacing w:line="360" w:lineRule="auto"/>
        <w:ind w:left="993" w:hanging="709"/>
        <w:rPr>
          <w:highlight w:val="none"/>
          <w:lang w:val="en-GB"/>
        </w:rPr>
      </w:pPr>
      <w:r>
        <w:rPr>
          <w:rFonts w:hint="eastAsia" w:ascii="宋体" w:hAnsi="宋体" w:eastAsia="宋体" w:cs="宋体"/>
          <w:sz w:val="24"/>
          <w:szCs w:val="24"/>
          <w:highlight w:val="none"/>
          <w:lang w:val="en-US" w:eastAsia="zh-CN"/>
        </w:rPr>
        <w:t>竞投过程无人报价或所有报价均低于最低限价的</w:t>
      </w:r>
    </w:p>
    <w:p>
      <w:pPr>
        <w:numPr>
          <w:ilvl w:val="0"/>
          <w:numId w:val="22"/>
        </w:numPr>
        <w:tabs>
          <w:tab w:val="left" w:pos="540"/>
          <w:tab w:val="left" w:pos="987"/>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无效竞投</w:t>
      </w:r>
    </w:p>
    <w:p>
      <w:pPr>
        <w:numPr>
          <w:ilvl w:val="0"/>
          <w:numId w:val="0"/>
        </w:numPr>
        <w:tabs>
          <w:tab w:val="left" w:pos="540"/>
        </w:tabs>
        <w:spacing w:line="374" w:lineRule="auto"/>
        <w:ind w:left="0" w:firstLine="0"/>
        <w:rPr>
          <w:rFonts w:hint="eastAsia" w:ascii="宋体" w:hAnsi="宋体"/>
          <w:color w:val="auto"/>
          <w:sz w:val="24"/>
          <w:highlight w:val="none"/>
          <w:lang w:val="en-GB" w:eastAsia="zh-CN"/>
        </w:rPr>
      </w:pPr>
      <w:r>
        <w:rPr>
          <w:rFonts w:hint="eastAsia" w:ascii="宋体" w:hAnsi="宋体"/>
          <w:color w:val="auto"/>
          <w:sz w:val="24"/>
          <w:highlight w:val="none"/>
          <w:lang w:val="en-US" w:eastAsia="zh-CN"/>
        </w:rPr>
        <w:t>18.1无效竞投行为的认定，投标人存在下列情况之一的，竞投无效：</w:t>
      </w:r>
    </w:p>
    <w:p>
      <w:pPr>
        <w:numPr>
          <w:ilvl w:val="0"/>
          <w:numId w:val="28"/>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未按照</w:t>
      </w:r>
      <w:r>
        <w:rPr>
          <w:rFonts w:hint="eastAsia" w:ascii="宋体" w:hAnsi="宋体"/>
          <w:color w:val="auto"/>
          <w:sz w:val="24"/>
          <w:highlight w:val="none"/>
          <w:lang w:val="en-GB" w:eastAsia="zh-CN"/>
        </w:rPr>
        <w:t>竞投文件</w:t>
      </w:r>
      <w:r>
        <w:rPr>
          <w:rFonts w:ascii="宋体" w:hAnsi="宋体"/>
          <w:color w:val="auto"/>
          <w:sz w:val="24"/>
          <w:highlight w:val="none"/>
          <w:lang w:val="en-GB"/>
        </w:rPr>
        <w:t>的规定提交保证金的。</w:t>
      </w:r>
    </w:p>
    <w:p>
      <w:pPr>
        <w:numPr>
          <w:ilvl w:val="0"/>
          <w:numId w:val="28"/>
        </w:numPr>
        <w:tabs>
          <w:tab w:val="left" w:pos="170"/>
        </w:tabs>
        <w:spacing w:line="360" w:lineRule="auto"/>
        <w:ind w:left="993" w:hanging="709"/>
        <w:rPr>
          <w:rFonts w:ascii="宋体" w:hAnsi="宋体"/>
          <w:color w:val="auto"/>
          <w:sz w:val="24"/>
          <w:highlight w:val="none"/>
          <w:lang w:val="en-GB"/>
        </w:rPr>
      </w:pPr>
      <w:r>
        <w:rPr>
          <w:rFonts w:hint="eastAsia" w:ascii="宋体" w:hAnsi="宋体"/>
          <w:color w:val="auto"/>
          <w:sz w:val="24"/>
          <w:highlight w:val="none"/>
          <w:lang w:val="en-GB" w:eastAsia="zh-CN"/>
        </w:rPr>
        <w:t>资格审查</w:t>
      </w:r>
      <w:r>
        <w:rPr>
          <w:rFonts w:ascii="宋体" w:hAnsi="宋体"/>
          <w:color w:val="auto"/>
          <w:sz w:val="24"/>
          <w:highlight w:val="none"/>
          <w:lang w:val="en-GB"/>
        </w:rPr>
        <w:t>文件未按</w:t>
      </w:r>
      <w:r>
        <w:rPr>
          <w:rFonts w:hint="eastAsia" w:ascii="宋体" w:hAnsi="宋体"/>
          <w:color w:val="auto"/>
          <w:sz w:val="24"/>
          <w:highlight w:val="none"/>
          <w:lang w:val="en-GB" w:eastAsia="zh-CN"/>
        </w:rPr>
        <w:t>竞投文件</w:t>
      </w:r>
      <w:r>
        <w:rPr>
          <w:rFonts w:ascii="宋体" w:hAnsi="宋体"/>
          <w:color w:val="auto"/>
          <w:sz w:val="24"/>
          <w:highlight w:val="none"/>
          <w:lang w:val="en-GB"/>
        </w:rPr>
        <w:t>要求签署、盖章的。</w:t>
      </w:r>
    </w:p>
    <w:p>
      <w:pPr>
        <w:numPr>
          <w:ilvl w:val="0"/>
          <w:numId w:val="28"/>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不具备</w:t>
      </w:r>
      <w:r>
        <w:rPr>
          <w:rFonts w:hint="eastAsia" w:ascii="宋体" w:hAnsi="宋体"/>
          <w:color w:val="auto"/>
          <w:sz w:val="24"/>
          <w:highlight w:val="none"/>
          <w:lang w:val="en-GB" w:eastAsia="zh-CN"/>
        </w:rPr>
        <w:t>竞投文件</w:t>
      </w:r>
      <w:r>
        <w:rPr>
          <w:rFonts w:ascii="宋体" w:hAnsi="宋体"/>
          <w:color w:val="auto"/>
          <w:sz w:val="24"/>
          <w:highlight w:val="none"/>
          <w:lang w:val="en-GB"/>
        </w:rPr>
        <w:t>规定的资格要求的。</w:t>
      </w:r>
    </w:p>
    <w:p>
      <w:pPr>
        <w:numPr>
          <w:ilvl w:val="0"/>
          <w:numId w:val="28"/>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报价</w:t>
      </w:r>
      <w:r>
        <w:rPr>
          <w:rFonts w:hint="eastAsia" w:ascii="宋体" w:hAnsi="宋体"/>
          <w:color w:val="auto"/>
          <w:sz w:val="24"/>
          <w:highlight w:val="none"/>
          <w:lang w:val="en-GB" w:eastAsia="zh-CN"/>
        </w:rPr>
        <w:t>低于竞投文件</w:t>
      </w:r>
      <w:r>
        <w:rPr>
          <w:rFonts w:ascii="宋体" w:hAnsi="宋体"/>
          <w:color w:val="auto"/>
          <w:sz w:val="24"/>
          <w:highlight w:val="none"/>
          <w:lang w:val="en-GB"/>
        </w:rPr>
        <w:t>中规定的</w:t>
      </w:r>
      <w:r>
        <w:rPr>
          <w:rFonts w:hint="eastAsia" w:ascii="宋体" w:hAnsi="宋体"/>
          <w:color w:val="auto"/>
          <w:sz w:val="24"/>
          <w:highlight w:val="none"/>
          <w:lang w:val="en-US" w:eastAsia="zh-CN"/>
        </w:rPr>
        <w:t>底</w:t>
      </w:r>
      <w:r>
        <w:rPr>
          <w:rFonts w:ascii="宋体" w:hAnsi="宋体"/>
          <w:color w:val="auto"/>
          <w:sz w:val="24"/>
          <w:highlight w:val="none"/>
          <w:lang w:val="en-GB"/>
        </w:rPr>
        <w:t>价的。</w:t>
      </w:r>
    </w:p>
    <w:p>
      <w:pPr>
        <w:numPr>
          <w:ilvl w:val="0"/>
          <w:numId w:val="28"/>
        </w:numPr>
        <w:tabs>
          <w:tab w:val="left" w:pos="170"/>
        </w:tabs>
        <w:spacing w:line="360" w:lineRule="auto"/>
        <w:ind w:left="993" w:hanging="709"/>
        <w:rPr>
          <w:rFonts w:ascii="宋体" w:hAnsi="宋体"/>
          <w:color w:val="auto"/>
          <w:sz w:val="24"/>
          <w:highlight w:val="none"/>
          <w:lang w:val="en-GB"/>
        </w:rPr>
      </w:pPr>
      <w:r>
        <w:rPr>
          <w:rFonts w:hint="eastAsia" w:ascii="宋体" w:hAnsi="宋体"/>
          <w:color w:val="auto"/>
          <w:sz w:val="24"/>
          <w:highlight w:val="none"/>
          <w:lang w:val="en-GB" w:eastAsia="zh-CN"/>
        </w:rPr>
        <w:t>资格审查</w:t>
      </w:r>
      <w:r>
        <w:rPr>
          <w:rFonts w:ascii="宋体" w:hAnsi="宋体"/>
          <w:color w:val="auto"/>
          <w:sz w:val="24"/>
          <w:highlight w:val="none"/>
          <w:lang w:val="en-GB"/>
        </w:rPr>
        <w:t>文件含有</w:t>
      </w:r>
      <w:r>
        <w:rPr>
          <w:rFonts w:hint="eastAsia" w:ascii="宋体" w:hAnsi="宋体"/>
          <w:color w:val="auto"/>
          <w:sz w:val="24"/>
          <w:highlight w:val="none"/>
          <w:lang w:val="en-GB" w:eastAsia="zh-CN"/>
        </w:rPr>
        <w:t>招标人</w:t>
      </w:r>
      <w:r>
        <w:rPr>
          <w:rFonts w:ascii="宋体" w:hAnsi="宋体"/>
          <w:color w:val="auto"/>
          <w:sz w:val="24"/>
          <w:highlight w:val="none"/>
          <w:lang w:val="en-GB"/>
        </w:rPr>
        <w:t>不能接受的附加条件的。</w:t>
      </w:r>
    </w:p>
    <w:p>
      <w:pPr>
        <w:numPr>
          <w:ilvl w:val="0"/>
          <w:numId w:val="28"/>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法律、法规或</w:t>
      </w:r>
      <w:r>
        <w:rPr>
          <w:rFonts w:hint="eastAsia" w:ascii="宋体" w:hAnsi="宋体"/>
          <w:color w:val="auto"/>
          <w:sz w:val="24"/>
          <w:highlight w:val="none"/>
          <w:lang w:val="en-GB" w:eastAsia="zh-CN"/>
        </w:rPr>
        <w:t>竞投文件</w:t>
      </w:r>
      <w:r>
        <w:rPr>
          <w:rFonts w:ascii="宋体" w:hAnsi="宋体"/>
          <w:color w:val="auto"/>
          <w:sz w:val="24"/>
          <w:highlight w:val="none"/>
          <w:lang w:val="en-GB"/>
        </w:rPr>
        <w:t>规定的其他无效情形的。</w:t>
      </w:r>
    </w:p>
    <w:p>
      <w:pPr>
        <w:numPr>
          <w:ilvl w:val="0"/>
          <w:numId w:val="0"/>
        </w:numPr>
        <w:tabs>
          <w:tab w:val="left" w:pos="540"/>
        </w:tabs>
        <w:spacing w:line="374" w:lineRule="auto"/>
        <w:ind w:left="0" w:firstLine="0"/>
        <w:rPr>
          <w:rFonts w:hint="eastAsia" w:ascii="宋体" w:hAnsi="宋体"/>
          <w:color w:val="auto"/>
          <w:sz w:val="24"/>
          <w:highlight w:val="none"/>
          <w:lang w:val="en-GB" w:eastAsia="zh-CN"/>
        </w:rPr>
      </w:pPr>
      <w:r>
        <w:rPr>
          <w:rFonts w:hint="eastAsia" w:ascii="宋体" w:hAnsi="宋体"/>
          <w:color w:val="auto"/>
          <w:sz w:val="24"/>
          <w:highlight w:val="none"/>
          <w:lang w:val="en-US" w:eastAsia="zh-CN"/>
        </w:rPr>
        <w:t>18.2</w:t>
      </w:r>
      <w:r>
        <w:rPr>
          <w:rFonts w:hint="eastAsia" w:ascii="宋体" w:hAnsi="宋体"/>
          <w:color w:val="auto"/>
          <w:sz w:val="24"/>
          <w:highlight w:val="none"/>
          <w:lang w:val="en-GB" w:eastAsia="zh-CN"/>
        </w:rPr>
        <w:t>有下列情形之一的，视为投标人串通竞投，其竞投无效：</w:t>
      </w:r>
    </w:p>
    <w:p>
      <w:pPr>
        <w:numPr>
          <w:ilvl w:val="0"/>
          <w:numId w:val="29"/>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的</w:t>
      </w:r>
      <w:r>
        <w:rPr>
          <w:rFonts w:hint="eastAsia" w:ascii="宋体" w:hAnsi="宋体"/>
          <w:color w:val="auto"/>
          <w:sz w:val="24"/>
          <w:highlight w:val="none"/>
          <w:lang w:val="en-GB" w:eastAsia="zh-CN"/>
        </w:rPr>
        <w:t>资格审查</w:t>
      </w:r>
      <w:r>
        <w:rPr>
          <w:rFonts w:ascii="宋体" w:hAnsi="宋体"/>
          <w:color w:val="auto"/>
          <w:sz w:val="24"/>
          <w:highlight w:val="none"/>
          <w:lang w:val="en-GB"/>
        </w:rPr>
        <w:t>文件由同一单位或者个人编制。</w:t>
      </w:r>
    </w:p>
    <w:p>
      <w:pPr>
        <w:numPr>
          <w:ilvl w:val="0"/>
          <w:numId w:val="29"/>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委托同一单位或者个人办理</w:t>
      </w:r>
      <w:r>
        <w:rPr>
          <w:rFonts w:hint="eastAsia" w:ascii="宋体" w:hAnsi="宋体"/>
          <w:color w:val="auto"/>
          <w:sz w:val="24"/>
          <w:highlight w:val="none"/>
          <w:lang w:val="en-GB" w:eastAsia="zh-CN"/>
        </w:rPr>
        <w:t>竞投</w:t>
      </w:r>
      <w:r>
        <w:rPr>
          <w:rFonts w:ascii="宋体" w:hAnsi="宋体"/>
          <w:color w:val="auto"/>
          <w:sz w:val="24"/>
          <w:highlight w:val="none"/>
          <w:lang w:val="en-GB"/>
        </w:rPr>
        <w:t>事宜。</w:t>
      </w:r>
    </w:p>
    <w:p>
      <w:pPr>
        <w:numPr>
          <w:ilvl w:val="0"/>
          <w:numId w:val="29"/>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的</w:t>
      </w:r>
      <w:r>
        <w:rPr>
          <w:rFonts w:hint="eastAsia" w:ascii="宋体" w:hAnsi="宋体"/>
          <w:color w:val="auto"/>
          <w:sz w:val="24"/>
          <w:highlight w:val="none"/>
          <w:lang w:val="en-GB" w:eastAsia="zh-CN"/>
        </w:rPr>
        <w:t>资格审查</w:t>
      </w:r>
      <w:r>
        <w:rPr>
          <w:rFonts w:ascii="宋体" w:hAnsi="宋体"/>
          <w:color w:val="auto"/>
          <w:sz w:val="24"/>
          <w:highlight w:val="none"/>
          <w:lang w:val="en-GB"/>
        </w:rPr>
        <w:t>文件载明的</w:t>
      </w:r>
      <w:r>
        <w:rPr>
          <w:rFonts w:hint="eastAsia" w:ascii="宋体" w:hAnsi="宋体"/>
          <w:color w:val="auto"/>
          <w:sz w:val="24"/>
          <w:highlight w:val="none"/>
          <w:lang w:val="en-GB" w:eastAsia="zh-CN"/>
        </w:rPr>
        <w:t>授权代理人</w:t>
      </w:r>
      <w:r>
        <w:rPr>
          <w:rFonts w:ascii="宋体" w:hAnsi="宋体"/>
          <w:color w:val="auto"/>
          <w:sz w:val="24"/>
          <w:highlight w:val="none"/>
          <w:lang w:val="en-GB"/>
        </w:rPr>
        <w:t>或者联系人员为同一人。</w:t>
      </w:r>
    </w:p>
    <w:p>
      <w:pPr>
        <w:numPr>
          <w:ilvl w:val="0"/>
          <w:numId w:val="29"/>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的</w:t>
      </w:r>
      <w:r>
        <w:rPr>
          <w:rFonts w:hint="eastAsia" w:ascii="宋体" w:hAnsi="宋体"/>
          <w:color w:val="auto"/>
          <w:sz w:val="24"/>
          <w:highlight w:val="none"/>
          <w:lang w:val="en-GB" w:eastAsia="zh-CN"/>
        </w:rPr>
        <w:t>资格审查</w:t>
      </w:r>
      <w:r>
        <w:rPr>
          <w:rFonts w:ascii="宋体" w:hAnsi="宋体"/>
          <w:color w:val="auto"/>
          <w:sz w:val="24"/>
          <w:highlight w:val="none"/>
          <w:lang w:val="en-GB"/>
        </w:rPr>
        <w:t>文件相互混装。</w:t>
      </w:r>
    </w:p>
    <w:p>
      <w:pPr>
        <w:numPr>
          <w:ilvl w:val="0"/>
          <w:numId w:val="29"/>
        </w:numPr>
        <w:tabs>
          <w:tab w:val="left" w:pos="420"/>
          <w:tab w:val="left" w:pos="72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的</w:t>
      </w:r>
      <w:r>
        <w:rPr>
          <w:rFonts w:hint="eastAsia" w:ascii="宋体" w:hAnsi="宋体"/>
          <w:color w:val="auto"/>
          <w:sz w:val="24"/>
          <w:highlight w:val="none"/>
          <w:lang w:val="en-GB" w:eastAsia="zh-CN"/>
        </w:rPr>
        <w:t>竞投</w:t>
      </w:r>
      <w:r>
        <w:rPr>
          <w:rFonts w:ascii="宋体" w:hAnsi="宋体"/>
          <w:color w:val="auto"/>
          <w:sz w:val="24"/>
          <w:highlight w:val="none"/>
          <w:lang w:val="en-GB"/>
        </w:rPr>
        <w:t>保证金从同一单位或者个人的账户转出。</w:t>
      </w:r>
    </w:p>
    <w:p>
      <w:pPr>
        <w:tabs>
          <w:tab w:val="left" w:pos="420"/>
        </w:tabs>
        <w:autoSpaceDE w:val="0"/>
        <w:autoSpaceDN w:val="0"/>
        <w:adjustRightInd w:val="0"/>
        <w:snapToGrid w:val="0"/>
        <w:spacing w:line="360" w:lineRule="auto"/>
        <w:ind w:right="32"/>
        <w:rPr>
          <w:rFonts w:hint="eastAsia" w:ascii="宋体" w:hAnsi="宋体"/>
          <w:color w:val="auto"/>
          <w:sz w:val="24"/>
          <w:highlight w:val="none"/>
        </w:rPr>
      </w:pPr>
    </w:p>
    <w:p>
      <w:pPr>
        <w:spacing w:after="72" w:afterLines="30" w:line="336" w:lineRule="auto"/>
        <w:ind w:right="-178" w:rightChars="-85"/>
        <w:jc w:val="center"/>
        <w:outlineLvl w:val="1"/>
        <w:rPr>
          <w:rFonts w:hint="eastAsia" w:ascii="宋体" w:eastAsia="宋体"/>
          <w:b/>
          <w:color w:val="auto"/>
          <w:sz w:val="28"/>
          <w:szCs w:val="28"/>
          <w:highlight w:val="none"/>
          <w:lang w:eastAsia="zh-CN"/>
        </w:rPr>
      </w:pPr>
      <w:bookmarkStart w:id="65" w:name="_Toc29156"/>
      <w:bookmarkStart w:id="66" w:name="_Toc28243"/>
      <w:bookmarkStart w:id="67" w:name="_Toc11501"/>
      <w:bookmarkStart w:id="68" w:name="_Toc334432594"/>
      <w:bookmarkStart w:id="69" w:name="_Toc6827"/>
      <w:r>
        <w:rPr>
          <w:rFonts w:hint="eastAsia" w:ascii="宋体" w:hAnsi="宋体"/>
          <w:b/>
          <w:color w:val="auto"/>
          <w:sz w:val="28"/>
          <w:szCs w:val="28"/>
          <w:highlight w:val="none"/>
        </w:rPr>
        <w:t>六、</w:t>
      </w:r>
      <w:bookmarkEnd w:id="65"/>
      <w:bookmarkEnd w:id="66"/>
      <w:bookmarkEnd w:id="67"/>
      <w:bookmarkEnd w:id="68"/>
      <w:r>
        <w:rPr>
          <w:rFonts w:hint="eastAsia" w:ascii="宋体" w:hAnsi="宋体"/>
          <w:b/>
          <w:color w:val="auto"/>
          <w:sz w:val="28"/>
          <w:szCs w:val="28"/>
          <w:highlight w:val="none"/>
          <w:lang w:eastAsia="zh-CN"/>
        </w:rPr>
        <w:t>竞投方式</w:t>
      </w:r>
      <w:bookmarkEnd w:id="69"/>
    </w:p>
    <w:p>
      <w:pPr>
        <w:numPr>
          <w:ilvl w:val="0"/>
          <w:numId w:val="22"/>
        </w:numPr>
        <w:tabs>
          <w:tab w:val="left" w:pos="540"/>
        </w:tabs>
        <w:spacing w:line="360" w:lineRule="auto"/>
        <w:ind w:left="420" w:leftChars="0" w:hanging="420" w:firstLineChars="0"/>
        <w:rPr>
          <w:color w:val="auto"/>
          <w:sz w:val="24"/>
          <w:highlight w:val="none"/>
        </w:rPr>
      </w:pPr>
      <w:bookmarkStart w:id="70" w:name="_Toc374378411"/>
      <w:bookmarkStart w:id="71" w:name="_Toc119321139"/>
      <w:r>
        <w:rPr>
          <w:rFonts w:hint="eastAsia" w:hAnsi="宋体"/>
          <w:b/>
          <w:color w:val="auto"/>
          <w:sz w:val="24"/>
          <w:highlight w:val="none"/>
          <w:lang w:eastAsia="zh-CN"/>
        </w:rPr>
        <w:t>竞投</w:t>
      </w:r>
      <w:bookmarkEnd w:id="70"/>
      <w:bookmarkEnd w:id="71"/>
      <w:r>
        <w:rPr>
          <w:rFonts w:hint="eastAsia" w:hAnsi="宋体"/>
          <w:b/>
          <w:color w:val="auto"/>
          <w:sz w:val="24"/>
          <w:highlight w:val="none"/>
          <w:lang w:eastAsia="zh-CN"/>
        </w:rPr>
        <w:t>方式：</w:t>
      </w:r>
    </w:p>
    <w:p>
      <w:pPr>
        <w:numPr>
          <w:ilvl w:val="0"/>
          <w:numId w:val="0"/>
        </w:numPr>
        <w:tabs>
          <w:tab w:val="left" w:pos="540"/>
        </w:tabs>
        <w:spacing w:line="374" w:lineRule="auto"/>
        <w:ind w:left="0" w:firstLine="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19.1本次竞投会采取填写报价书和公布报价的方式进行。竞投人的报价书必须由法定代表人或授权代表填写，签名确认；报价书应密封，在密封袋上写明招标人名称，在密封处由法人或授权代表人签名。报价书一经递交，不得撤回或修改。</w:t>
      </w:r>
    </w:p>
    <w:p>
      <w:pPr>
        <w:numPr>
          <w:ilvl w:val="0"/>
          <w:numId w:val="0"/>
        </w:numPr>
        <w:tabs>
          <w:tab w:val="left" w:pos="540"/>
        </w:tabs>
        <w:spacing w:line="374" w:lineRule="auto"/>
        <w:ind w:left="0" w:firstLine="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19.2本项目采取一次性报价，所报价格不得低于本项目设定的最低限价。若报价金额低于设定的最低限价，则报价无效；若报价金额不低于本项目设定的最低限价，则采取价高者得的原则确定中标人。</w:t>
      </w:r>
      <w:r>
        <w:rPr>
          <w:rFonts w:hint="eastAsia" w:ascii="宋体" w:hAnsi="宋体"/>
          <w:b/>
          <w:bCs/>
          <w:color w:val="auto"/>
          <w:sz w:val="24"/>
          <w:highlight w:val="none"/>
          <w:lang w:val="en-US" w:eastAsia="zh-CN"/>
        </w:rPr>
        <w:t>若出现最高报价相同的，按提交报价书的先后顺序确定中标人（即最先提交报价书者为中标人）</w:t>
      </w:r>
      <w:r>
        <w:rPr>
          <w:rFonts w:hint="eastAsia" w:ascii="宋体" w:hAnsi="宋体"/>
          <w:color w:val="auto"/>
          <w:sz w:val="24"/>
          <w:highlight w:val="none"/>
          <w:lang w:val="en-US" w:eastAsia="zh-CN"/>
        </w:rPr>
        <w:t>。</w:t>
      </w:r>
    </w:p>
    <w:p>
      <w:pPr>
        <w:rPr>
          <w:rFonts w:hint="eastAsia" w:ascii="宋体" w:hAnsi="宋体"/>
          <w:color w:val="auto"/>
          <w:sz w:val="24"/>
          <w:highlight w:val="none"/>
          <w:lang w:val="en-US" w:eastAsia="zh-CN"/>
        </w:rPr>
      </w:pPr>
      <w:r>
        <w:rPr>
          <w:rFonts w:hint="eastAsia" w:ascii="宋体" w:hAnsi="宋体"/>
          <w:color w:val="auto"/>
          <w:sz w:val="24"/>
          <w:highlight w:val="none"/>
          <w:lang w:val="en-US" w:eastAsia="zh-CN"/>
        </w:rPr>
        <w:br w:type="page"/>
      </w:r>
    </w:p>
    <w:p>
      <w:pPr>
        <w:pStyle w:val="2"/>
        <w:rPr>
          <w:rFonts w:hint="eastAsia"/>
          <w:color w:val="auto"/>
          <w:highlight w:val="none"/>
          <w:lang w:val="en-US" w:eastAsia="zh-CN"/>
        </w:rPr>
      </w:pPr>
    </w:p>
    <w:p>
      <w:pPr>
        <w:spacing w:after="120" w:afterLines="50" w:line="360" w:lineRule="auto"/>
        <w:jc w:val="center"/>
        <w:outlineLvl w:val="0"/>
        <w:rPr>
          <w:rFonts w:ascii="宋体"/>
          <w:b/>
          <w:color w:val="auto"/>
          <w:sz w:val="36"/>
          <w:szCs w:val="36"/>
          <w:highlight w:val="none"/>
          <w:lang w:val="zh-CN"/>
        </w:rPr>
      </w:pPr>
      <w:bookmarkStart w:id="72" w:name="_Toc30654"/>
      <w:bookmarkStart w:id="73" w:name="_Toc27419"/>
      <w:bookmarkStart w:id="74" w:name="_Toc8823"/>
      <w:bookmarkStart w:id="75" w:name="_Toc15468"/>
      <w:bookmarkStart w:id="76" w:name="_Toc334432596"/>
      <w:r>
        <w:rPr>
          <w:rFonts w:hint="eastAsia" w:ascii="宋体" w:hAnsi="宋体" w:eastAsia="宋体" w:cs="Times New Roman"/>
          <w:b/>
          <w:color w:val="auto"/>
          <w:kern w:val="2"/>
          <w:sz w:val="36"/>
          <w:szCs w:val="36"/>
          <w:highlight w:val="none"/>
          <w:lang w:val="en-US" w:eastAsia="zh-CN" w:bidi="ar-SA"/>
        </w:rPr>
        <w:t>第四部分合同书范本</w:t>
      </w:r>
      <w:bookmarkEnd w:id="72"/>
      <w:bookmarkEnd w:id="73"/>
      <w:bookmarkEnd w:id="74"/>
      <w:bookmarkEnd w:id="75"/>
      <w:bookmarkEnd w:id="76"/>
    </w:p>
    <w:p>
      <w:pPr>
        <w:spacing w:line="360" w:lineRule="auto"/>
        <w:ind w:left="46" w:leftChars="22"/>
        <w:rPr>
          <w:rFonts w:hAnsi="宋体"/>
          <w:color w:val="auto"/>
          <w:sz w:val="24"/>
          <w:szCs w:val="24"/>
          <w:highlight w:val="none"/>
        </w:rPr>
      </w:pPr>
      <w:r>
        <w:rPr>
          <w:rFonts w:hint="eastAsia" w:hAnsi="宋体"/>
          <w:bCs/>
          <w:color w:val="auto"/>
          <w:kern w:val="44"/>
          <w:sz w:val="24"/>
          <w:szCs w:val="24"/>
          <w:highlight w:val="none"/>
          <w:lang w:val="zh-CN"/>
        </w:rPr>
        <w:t>注：</w:t>
      </w:r>
      <w:r>
        <w:rPr>
          <w:rFonts w:hint="eastAsia" w:ascii="宋体" w:hAnsi="宋体"/>
          <w:color w:val="auto"/>
          <w:sz w:val="24"/>
          <w:szCs w:val="24"/>
          <w:highlight w:val="none"/>
        </w:rPr>
        <w:t>在不违背各方认可的文件内容前提下，对个别非实质性条款可由合同当事人协商修订，</w:t>
      </w:r>
      <w:r>
        <w:rPr>
          <w:rFonts w:hint="eastAsia" w:hAnsi="宋体"/>
          <w:bCs/>
          <w:color w:val="auto"/>
          <w:kern w:val="44"/>
          <w:sz w:val="24"/>
          <w:szCs w:val="24"/>
          <w:highlight w:val="none"/>
          <w:lang w:val="zh-CN"/>
        </w:rPr>
        <w:t>最终以甲、乙双方签订的合同为准。合同封面也可按甲乙双方意愿，自行编制修订。</w:t>
      </w:r>
    </w:p>
    <w:p>
      <w:pPr>
        <w:spacing w:line="360" w:lineRule="auto"/>
        <w:jc w:val="center"/>
        <w:rPr>
          <w:rFonts w:hAnsi="宋体"/>
          <w:color w:val="auto"/>
          <w:sz w:val="24"/>
          <w:szCs w:val="24"/>
          <w:highlight w:val="none"/>
        </w:rPr>
      </w:pPr>
    </w:p>
    <w:p>
      <w:pPr>
        <w:rPr>
          <w:color w:val="auto"/>
          <w:sz w:val="24"/>
          <w:highlight w:val="none"/>
        </w:rPr>
      </w:pPr>
    </w:p>
    <w:p>
      <w:pPr>
        <w:jc w:val="center"/>
        <w:rPr>
          <w:rFonts w:eastAsia="黑体"/>
          <w:color w:val="auto"/>
          <w:sz w:val="52"/>
          <w:highlight w:val="none"/>
        </w:rPr>
      </w:pPr>
    </w:p>
    <w:p>
      <w:pPr>
        <w:spacing w:line="776" w:lineRule="exact"/>
        <w:ind w:right="-453"/>
        <w:jc w:val="center"/>
        <w:rPr>
          <w:rFonts w:ascii="宋体"/>
          <w:color w:val="auto"/>
          <w:sz w:val="68"/>
          <w:highlight w:val="none"/>
        </w:rPr>
      </w:pPr>
      <w:r>
        <w:rPr>
          <w:rFonts w:ascii="宋体"/>
          <w:color w:val="auto"/>
          <w:sz w:val="68"/>
          <w:highlight w:val="none"/>
        </w:rPr>
        <w:br w:type="page"/>
      </w:r>
    </w:p>
    <w:p>
      <w:pPr>
        <w:spacing w:line="776" w:lineRule="exact"/>
        <w:ind w:right="-453"/>
        <w:jc w:val="center"/>
        <w:rPr>
          <w:rFonts w:ascii="宋体"/>
          <w:color w:val="auto"/>
          <w:sz w:val="68"/>
          <w:highlight w:val="none"/>
        </w:rPr>
      </w:pPr>
    </w:p>
    <w:p>
      <w:pPr>
        <w:spacing w:line="776" w:lineRule="exact"/>
        <w:ind w:right="-453"/>
        <w:jc w:val="center"/>
        <w:rPr>
          <w:rFonts w:hint="eastAsia" w:ascii="宋体" w:hAnsi="宋体" w:eastAsia="宋体"/>
          <w:color w:val="auto"/>
          <w:sz w:val="68"/>
          <w:highlight w:val="none"/>
          <w:lang w:eastAsia="zh-CN"/>
        </w:rPr>
      </w:pPr>
      <w:r>
        <w:rPr>
          <w:rFonts w:hint="eastAsia" w:ascii="宋体" w:hAnsi="宋体"/>
          <w:color w:val="auto"/>
          <w:sz w:val="68"/>
          <w:highlight w:val="none"/>
          <w:lang w:eastAsia="zh-CN"/>
        </w:rPr>
        <w:t>吉利上二村车辆停放管理服务</w:t>
      </w:r>
    </w:p>
    <w:p>
      <w:pPr>
        <w:spacing w:line="200" w:lineRule="exact"/>
        <w:rPr>
          <w:rFonts w:eastAsia="Times New Roman"/>
          <w:color w:val="auto"/>
          <w:highlight w:val="none"/>
        </w:rPr>
      </w:pPr>
    </w:p>
    <w:p>
      <w:pPr>
        <w:spacing w:line="347" w:lineRule="exact"/>
        <w:rPr>
          <w:rFonts w:eastAsia="Times New Roman"/>
          <w:color w:val="auto"/>
          <w:highlight w:val="none"/>
        </w:rPr>
      </w:pPr>
    </w:p>
    <w:p>
      <w:pPr>
        <w:spacing w:line="776" w:lineRule="exact"/>
        <w:ind w:right="-453"/>
        <w:jc w:val="center"/>
        <w:rPr>
          <w:rFonts w:ascii="宋体" w:hAnsi="宋体"/>
          <w:color w:val="auto"/>
          <w:sz w:val="68"/>
          <w:highlight w:val="none"/>
        </w:rPr>
      </w:pPr>
      <w:r>
        <w:rPr>
          <w:rFonts w:ascii="宋体" w:hAnsi="宋体"/>
          <w:color w:val="auto"/>
          <w:sz w:val="68"/>
          <w:highlight w:val="none"/>
        </w:rPr>
        <w:t>合同书</w:t>
      </w:r>
    </w:p>
    <w:p>
      <w:pPr>
        <w:spacing w:line="200" w:lineRule="exact"/>
        <w:rPr>
          <w:rFonts w:eastAsia="Times New Roman"/>
          <w:color w:val="auto"/>
          <w:highlight w:val="none"/>
        </w:rPr>
      </w:pPr>
    </w:p>
    <w:p>
      <w:pPr>
        <w:spacing w:line="360" w:lineRule="auto"/>
        <w:rPr>
          <w:rFonts w:eastAsia="Times New Roman"/>
          <w:color w:val="auto"/>
          <w:highlight w:val="none"/>
        </w:rPr>
      </w:pPr>
    </w:p>
    <w:p>
      <w:pPr>
        <w:spacing w:line="360" w:lineRule="auto"/>
        <w:rPr>
          <w:rFonts w:eastAsia="Times New Roman"/>
          <w:color w:val="auto"/>
          <w:sz w:val="24"/>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32" w:lineRule="exact"/>
        <w:rPr>
          <w:rFonts w:eastAsia="Times New Roman"/>
          <w:color w:val="auto"/>
          <w:highlight w:val="none"/>
        </w:rPr>
      </w:pPr>
    </w:p>
    <w:tbl>
      <w:tblPr>
        <w:tblStyle w:val="19"/>
        <w:tblW w:w="7682" w:type="dxa"/>
        <w:tblInd w:w="1040" w:type="dxa"/>
        <w:tblLayout w:type="fixed"/>
        <w:tblCellMar>
          <w:top w:w="0" w:type="dxa"/>
          <w:left w:w="0" w:type="dxa"/>
          <w:bottom w:w="0" w:type="dxa"/>
          <w:right w:w="0" w:type="dxa"/>
        </w:tblCellMar>
      </w:tblPr>
      <w:tblGrid>
        <w:gridCol w:w="1488"/>
        <w:gridCol w:w="6194"/>
      </w:tblGrid>
      <w:tr>
        <w:tblPrEx>
          <w:tblCellMar>
            <w:top w:w="0" w:type="dxa"/>
            <w:left w:w="0" w:type="dxa"/>
            <w:bottom w:w="0" w:type="dxa"/>
            <w:right w:w="0" w:type="dxa"/>
          </w:tblCellMar>
        </w:tblPrEx>
        <w:trPr>
          <w:trHeight w:val="575" w:hRule="atLeast"/>
        </w:trPr>
        <w:tc>
          <w:tcPr>
            <w:tcW w:w="1488" w:type="dxa"/>
            <w:noWrap w:val="0"/>
            <w:vAlign w:val="bottom"/>
          </w:tcPr>
          <w:p>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p>
        </w:tc>
        <w:tc>
          <w:tcPr>
            <w:tcW w:w="6194" w:type="dxa"/>
            <w:tcBorders>
              <w:bottom w:val="single" w:color="auto" w:sz="4" w:space="0"/>
            </w:tcBorders>
            <w:noWrap w:val="0"/>
            <w:vAlign w:val="bottom"/>
          </w:tcPr>
          <w:p>
            <w:pPr>
              <w:spacing w:line="320" w:lineRule="exact"/>
              <w:jc w:val="center"/>
              <w:rPr>
                <w:rFonts w:hint="eastAsia" w:ascii="宋体" w:hAnsi="宋体" w:eastAsia="宋体" w:cs="宋体"/>
                <w:color w:val="auto"/>
                <w:w w:val="99"/>
                <w:sz w:val="32"/>
                <w:szCs w:val="32"/>
                <w:highlight w:val="none"/>
                <w:lang w:eastAsia="zh-CN"/>
              </w:rPr>
            </w:pPr>
            <w:r>
              <w:rPr>
                <w:rFonts w:hint="eastAsia" w:ascii="宋体" w:hAnsi="宋体" w:cs="宋体"/>
                <w:color w:val="auto"/>
                <w:w w:val="99"/>
                <w:sz w:val="32"/>
                <w:szCs w:val="32"/>
                <w:highlight w:val="none"/>
                <w:lang w:eastAsia="zh-CN"/>
              </w:rPr>
              <w:t>佛山市禅城区南庄镇吉利村上二经济合作社</w:t>
            </w:r>
          </w:p>
        </w:tc>
      </w:tr>
      <w:tr>
        <w:tblPrEx>
          <w:tblCellMar>
            <w:top w:w="0" w:type="dxa"/>
            <w:left w:w="0" w:type="dxa"/>
            <w:bottom w:w="0" w:type="dxa"/>
            <w:right w:w="0" w:type="dxa"/>
          </w:tblCellMar>
        </w:tblPrEx>
        <w:trPr>
          <w:trHeight w:val="726" w:hRule="atLeast"/>
        </w:trPr>
        <w:tc>
          <w:tcPr>
            <w:tcW w:w="1488" w:type="dxa"/>
            <w:noWrap w:val="0"/>
            <w:vAlign w:val="bottom"/>
          </w:tcPr>
          <w:p>
            <w:pPr>
              <w:spacing w:line="313"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w:t>
            </w:r>
          </w:p>
        </w:tc>
        <w:tc>
          <w:tcPr>
            <w:tcW w:w="6194" w:type="dxa"/>
            <w:tcBorders>
              <w:top w:val="single" w:color="auto" w:sz="4" w:space="0"/>
              <w:bottom w:val="single" w:color="auto" w:sz="4" w:space="0"/>
            </w:tcBorders>
            <w:noWrap w:val="0"/>
            <w:vAlign w:val="bottom"/>
          </w:tcPr>
          <w:p>
            <w:pPr>
              <w:spacing w:line="313" w:lineRule="exact"/>
              <w:jc w:val="center"/>
              <w:rPr>
                <w:rFonts w:hint="eastAsia" w:ascii="宋体" w:hAnsi="宋体" w:eastAsia="宋体" w:cs="宋体"/>
                <w:color w:val="auto"/>
                <w:w w:val="99"/>
                <w:sz w:val="32"/>
                <w:szCs w:val="32"/>
                <w:highlight w:val="none"/>
              </w:rPr>
            </w:pPr>
            <w:r>
              <w:rPr>
                <w:rFonts w:hint="eastAsia" w:ascii="宋体" w:hAnsi="宋体" w:eastAsia="宋体" w:cs="宋体"/>
                <w:color w:val="auto"/>
                <w:w w:val="99"/>
                <w:sz w:val="32"/>
                <w:szCs w:val="32"/>
                <w:highlight w:val="none"/>
              </w:rPr>
              <w:t>（中标</w:t>
            </w:r>
            <w:r>
              <w:rPr>
                <w:rFonts w:hint="eastAsia" w:ascii="宋体" w:hAnsi="宋体" w:eastAsia="宋体" w:cs="宋体"/>
                <w:color w:val="auto"/>
                <w:w w:val="99"/>
                <w:sz w:val="32"/>
                <w:szCs w:val="32"/>
                <w:highlight w:val="none"/>
                <w:lang w:eastAsia="zh-CN"/>
              </w:rPr>
              <w:t>人</w:t>
            </w:r>
            <w:r>
              <w:rPr>
                <w:rFonts w:hint="eastAsia" w:ascii="宋体" w:hAnsi="宋体" w:eastAsia="宋体" w:cs="宋体"/>
                <w:color w:val="auto"/>
                <w:w w:val="99"/>
                <w:sz w:val="32"/>
                <w:szCs w:val="32"/>
                <w:highlight w:val="none"/>
              </w:rPr>
              <w:t>）</w:t>
            </w:r>
          </w:p>
        </w:tc>
      </w:tr>
      <w:tr>
        <w:tblPrEx>
          <w:tblCellMar>
            <w:top w:w="0" w:type="dxa"/>
            <w:left w:w="0" w:type="dxa"/>
            <w:bottom w:w="0" w:type="dxa"/>
            <w:right w:w="0" w:type="dxa"/>
          </w:tblCellMar>
        </w:tblPrEx>
        <w:trPr>
          <w:trHeight w:val="749" w:hRule="atLeast"/>
        </w:trPr>
        <w:tc>
          <w:tcPr>
            <w:tcW w:w="1488" w:type="dxa"/>
            <w:noWrap w:val="0"/>
            <w:vAlign w:val="bottom"/>
          </w:tcPr>
          <w:p>
            <w:pPr>
              <w:spacing w:line="316" w:lineRule="exact"/>
              <w:jc w:val="right"/>
              <w:rPr>
                <w:rFonts w:hint="eastAsia" w:ascii="宋体" w:hAnsi="宋体" w:eastAsia="宋体" w:cs="宋体"/>
                <w:color w:val="auto"/>
                <w:w w:val="98"/>
                <w:sz w:val="28"/>
                <w:szCs w:val="28"/>
                <w:highlight w:val="none"/>
              </w:rPr>
            </w:pPr>
            <w:r>
              <w:rPr>
                <w:rFonts w:hint="eastAsia" w:ascii="宋体" w:hAnsi="宋体" w:eastAsia="宋体" w:cs="宋体"/>
                <w:color w:val="auto"/>
                <w:w w:val="98"/>
                <w:sz w:val="28"/>
                <w:szCs w:val="28"/>
                <w:highlight w:val="none"/>
              </w:rPr>
              <w:t>签订日期：</w:t>
            </w:r>
          </w:p>
        </w:tc>
        <w:tc>
          <w:tcPr>
            <w:tcW w:w="6194" w:type="dxa"/>
            <w:tcBorders>
              <w:top w:val="single" w:color="auto" w:sz="4" w:space="0"/>
              <w:bottom w:val="single" w:color="auto" w:sz="8" w:space="0"/>
            </w:tcBorders>
            <w:noWrap w:val="0"/>
            <w:vAlign w:val="bottom"/>
          </w:tcPr>
          <w:p>
            <w:pPr>
              <w:spacing w:line="316" w:lineRule="exact"/>
              <w:ind w:left="252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年月日</w:t>
            </w:r>
          </w:p>
        </w:tc>
      </w:tr>
    </w:tbl>
    <w:p>
      <w:pPr>
        <w:rPr>
          <w:rFonts w:eastAsia="Times New Roman"/>
          <w:color w:val="auto"/>
          <w:sz w:val="19"/>
          <w:highlight w:val="none"/>
        </w:rPr>
        <w:sectPr>
          <w:pgSz w:w="11850" w:h="16783"/>
          <w:pgMar w:top="1134" w:right="1134" w:bottom="1134" w:left="1417" w:header="567" w:footer="567" w:gutter="0"/>
          <w:pgBorders>
            <w:top w:val="none" w:sz="0" w:space="0"/>
            <w:left w:val="none" w:sz="0" w:space="0"/>
            <w:bottom w:val="none" w:sz="0" w:space="0"/>
            <w:right w:val="none" w:sz="0" w:space="0"/>
          </w:pgBorders>
          <w:pgNumType w:fmt="decimal"/>
          <w:cols w:space="0" w:num="1"/>
          <w:rtlGutter w:val="0"/>
          <w:docGrid w:linePitch="360" w:charSpace="0"/>
        </w:sect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25" w:lineRule="exact"/>
        <w:rPr>
          <w:rFonts w:eastAsia="Times New Roman"/>
          <w:color w:val="auto"/>
          <w:highlight w:val="none"/>
        </w:rPr>
      </w:pPr>
    </w:p>
    <w:p>
      <w:pPr>
        <w:spacing w:line="0" w:lineRule="atLeast"/>
        <w:ind w:right="-473"/>
        <w:jc w:val="center"/>
        <w:rPr>
          <w:rFonts w:eastAsia="Times New Roman"/>
          <w:color w:val="auto"/>
          <w:sz w:val="18"/>
          <w:highlight w:val="none"/>
        </w:rPr>
        <w:sectPr>
          <w:type w:val="continuous"/>
          <w:pgSz w:w="11850" w:h="16783"/>
          <w:pgMar w:top="1134" w:right="1134" w:bottom="1134" w:left="1417" w:header="0" w:footer="0" w:gutter="0"/>
          <w:pgBorders>
            <w:top w:val="none" w:sz="0" w:space="0"/>
            <w:left w:val="none" w:sz="0" w:space="0"/>
            <w:bottom w:val="none" w:sz="0" w:space="0"/>
            <w:right w:val="none" w:sz="0" w:space="0"/>
          </w:pgBorders>
          <w:pgNumType w:fmt="decimal"/>
          <w:cols w:space="0" w:num="1"/>
          <w:rtlGutter w:val="0"/>
          <w:docGrid w:linePitch="360" w:charSpace="0"/>
        </w:sectPr>
      </w:pPr>
    </w:p>
    <w:p>
      <w:pPr>
        <w:pStyle w:val="34"/>
        <w:pageBreakBefore/>
        <w:spacing w:line="360" w:lineRule="auto"/>
        <w:jc w:val="center"/>
        <w:rPr>
          <w:b/>
          <w:color w:val="auto"/>
          <w:kern w:val="0"/>
          <w:sz w:val="44"/>
          <w:szCs w:val="44"/>
          <w:highlight w:val="none"/>
        </w:rPr>
      </w:pPr>
      <w:bookmarkStart w:id="77" w:name="page77"/>
      <w:bookmarkEnd w:id="77"/>
      <w:r>
        <w:rPr>
          <w:rFonts w:hint="eastAsia"/>
          <w:b/>
          <w:color w:val="auto"/>
          <w:kern w:val="0"/>
          <w:sz w:val="44"/>
          <w:szCs w:val="44"/>
          <w:highlight w:val="none"/>
        </w:rPr>
        <w:t>南庄镇农村采购项目合同书</w:t>
      </w:r>
    </w:p>
    <w:p>
      <w:pPr>
        <w:pStyle w:val="34"/>
        <w:spacing w:line="360" w:lineRule="auto"/>
        <w:rPr>
          <w:color w:val="auto"/>
          <w:szCs w:val="22"/>
          <w:highlight w:val="none"/>
        </w:rPr>
      </w:pPr>
    </w:p>
    <w:tbl>
      <w:tblPr>
        <w:tblStyle w:val="19"/>
        <w:tblW w:w="8580" w:type="dxa"/>
        <w:tblInd w:w="0" w:type="dxa"/>
        <w:tblLayout w:type="fixed"/>
        <w:tblCellMar>
          <w:top w:w="0" w:type="dxa"/>
          <w:left w:w="108" w:type="dxa"/>
          <w:bottom w:w="0" w:type="dxa"/>
          <w:right w:w="108" w:type="dxa"/>
        </w:tblCellMar>
      </w:tblPr>
      <w:tblGrid>
        <w:gridCol w:w="1470"/>
        <w:gridCol w:w="7110"/>
      </w:tblGrid>
      <w:tr>
        <w:tblPrEx>
          <w:tblCellMar>
            <w:top w:w="0" w:type="dxa"/>
            <w:left w:w="108" w:type="dxa"/>
            <w:bottom w:w="0" w:type="dxa"/>
            <w:right w:w="108" w:type="dxa"/>
          </w:tblCellMar>
        </w:tblPrEx>
        <w:trPr>
          <w:trHeight w:val="470" w:hRule="atLeast"/>
        </w:trPr>
        <w:tc>
          <w:tcPr>
            <w:tcW w:w="1470" w:type="dxa"/>
            <w:noWrap w:val="0"/>
            <w:vAlign w:val="center"/>
          </w:tcPr>
          <w:p>
            <w:pPr>
              <w:pStyle w:val="34"/>
              <w:spacing w:line="360" w:lineRule="auto"/>
              <w:rPr>
                <w:b/>
                <w:color w:val="auto"/>
                <w:sz w:val="24"/>
                <w:szCs w:val="24"/>
                <w:highlight w:val="none"/>
              </w:rPr>
            </w:pPr>
            <w:r>
              <w:rPr>
                <w:rFonts w:hint="eastAsia"/>
                <w:b/>
                <w:color w:val="auto"/>
                <w:sz w:val="24"/>
                <w:szCs w:val="24"/>
                <w:highlight w:val="none"/>
              </w:rPr>
              <w:t>项目名称：</w:t>
            </w:r>
          </w:p>
        </w:tc>
        <w:tc>
          <w:tcPr>
            <w:tcW w:w="7110" w:type="dxa"/>
            <w:tcBorders>
              <w:top w:val="nil"/>
              <w:left w:val="nil"/>
              <w:bottom w:val="single" w:color="auto" w:sz="4" w:space="0"/>
              <w:right w:val="nil"/>
            </w:tcBorders>
            <w:noWrap w:val="0"/>
            <w:vAlign w:val="center"/>
          </w:tcPr>
          <w:p>
            <w:pPr>
              <w:pStyle w:val="34"/>
              <w:widowControl/>
              <w:spacing w:line="360" w:lineRule="auto"/>
              <w:jc w:val="both"/>
              <w:rPr>
                <w:rFonts w:hint="eastAsia" w:eastAsia="宋体"/>
                <w:color w:val="auto"/>
                <w:kern w:val="0"/>
                <w:sz w:val="24"/>
                <w:szCs w:val="24"/>
                <w:highlight w:val="none"/>
                <w:lang w:eastAsia="zh-CN"/>
              </w:rPr>
            </w:pPr>
            <w:r>
              <w:rPr>
                <w:rFonts w:hint="eastAsia" w:ascii="宋体" w:hAnsi="宋体"/>
                <w:color w:val="auto"/>
                <w:sz w:val="24"/>
                <w:szCs w:val="24"/>
                <w:highlight w:val="none"/>
                <w:lang w:eastAsia="zh-CN"/>
              </w:rPr>
              <w:t>吉利上二村车辆停放管理服务（二次）</w:t>
            </w:r>
          </w:p>
        </w:tc>
      </w:tr>
      <w:tr>
        <w:tblPrEx>
          <w:tblCellMar>
            <w:top w:w="0" w:type="dxa"/>
            <w:left w:w="108" w:type="dxa"/>
            <w:bottom w:w="0" w:type="dxa"/>
            <w:right w:w="108" w:type="dxa"/>
          </w:tblCellMar>
        </w:tblPrEx>
        <w:trPr>
          <w:trHeight w:val="480" w:hRule="atLeast"/>
        </w:trPr>
        <w:tc>
          <w:tcPr>
            <w:tcW w:w="1470" w:type="dxa"/>
            <w:noWrap w:val="0"/>
            <w:vAlign w:val="center"/>
          </w:tcPr>
          <w:p>
            <w:pPr>
              <w:pStyle w:val="34"/>
              <w:spacing w:line="360" w:lineRule="auto"/>
              <w:rPr>
                <w:b/>
                <w:color w:val="auto"/>
                <w:sz w:val="24"/>
                <w:szCs w:val="24"/>
                <w:highlight w:val="none"/>
              </w:rPr>
            </w:pPr>
            <w:r>
              <w:rPr>
                <w:rFonts w:hint="eastAsia"/>
                <w:b/>
                <w:color w:val="auto"/>
                <w:sz w:val="24"/>
                <w:szCs w:val="24"/>
                <w:highlight w:val="none"/>
              </w:rPr>
              <w:t>交易编号：</w:t>
            </w:r>
          </w:p>
        </w:tc>
        <w:tc>
          <w:tcPr>
            <w:tcW w:w="7110" w:type="dxa"/>
            <w:tcBorders>
              <w:top w:val="nil"/>
              <w:left w:val="nil"/>
              <w:bottom w:val="single" w:color="auto" w:sz="4" w:space="0"/>
              <w:right w:val="nil"/>
            </w:tcBorders>
            <w:noWrap w:val="0"/>
            <w:vAlign w:val="center"/>
          </w:tcPr>
          <w:p>
            <w:pPr>
              <w:pStyle w:val="34"/>
              <w:widowControl/>
              <w:spacing w:line="360" w:lineRule="auto"/>
              <w:jc w:val="both"/>
              <w:rPr>
                <w:rFonts w:hint="eastAsia" w:eastAsia="宋体"/>
                <w:color w:val="auto"/>
                <w:kern w:val="0"/>
                <w:sz w:val="24"/>
                <w:szCs w:val="24"/>
                <w:highlight w:val="none"/>
                <w:lang w:eastAsia="zh-CN"/>
              </w:rPr>
            </w:pPr>
            <w:r>
              <w:rPr>
                <w:rFonts w:hint="eastAsia" w:ascii="宋体" w:hAnsi="宋体"/>
                <w:color w:val="auto"/>
                <w:sz w:val="24"/>
                <w:szCs w:val="24"/>
                <w:highlight w:val="none"/>
                <w:lang w:eastAsia="zh-CN"/>
              </w:rPr>
              <w:t>GDZC-23JT234</w:t>
            </w:r>
          </w:p>
        </w:tc>
      </w:tr>
      <w:tr>
        <w:tblPrEx>
          <w:tblCellMar>
            <w:top w:w="0" w:type="dxa"/>
            <w:left w:w="108" w:type="dxa"/>
            <w:bottom w:w="0" w:type="dxa"/>
            <w:right w:w="108" w:type="dxa"/>
          </w:tblCellMar>
        </w:tblPrEx>
        <w:trPr>
          <w:trHeight w:val="480" w:hRule="atLeast"/>
        </w:trPr>
        <w:tc>
          <w:tcPr>
            <w:tcW w:w="1470" w:type="dxa"/>
            <w:noWrap w:val="0"/>
            <w:vAlign w:val="center"/>
          </w:tcPr>
          <w:p>
            <w:pPr>
              <w:pStyle w:val="34"/>
              <w:spacing w:line="360" w:lineRule="auto"/>
              <w:rPr>
                <w:b/>
                <w:color w:val="auto"/>
                <w:sz w:val="24"/>
                <w:szCs w:val="24"/>
                <w:highlight w:val="none"/>
              </w:rPr>
            </w:pPr>
            <w:r>
              <w:rPr>
                <w:rFonts w:hint="eastAsia"/>
                <w:b/>
                <w:color w:val="auto"/>
                <w:sz w:val="24"/>
                <w:szCs w:val="24"/>
                <w:highlight w:val="none"/>
              </w:rPr>
              <w:t>甲方：</w:t>
            </w:r>
          </w:p>
        </w:tc>
        <w:tc>
          <w:tcPr>
            <w:tcW w:w="7110" w:type="dxa"/>
            <w:tcBorders>
              <w:top w:val="single" w:color="auto" w:sz="4" w:space="0"/>
              <w:left w:val="nil"/>
              <w:bottom w:val="single" w:color="auto" w:sz="4" w:space="0"/>
              <w:right w:val="nil"/>
            </w:tcBorders>
            <w:noWrap w:val="0"/>
            <w:vAlign w:val="center"/>
          </w:tcPr>
          <w:p>
            <w:pPr>
              <w:pStyle w:val="35"/>
              <w:jc w:val="both"/>
              <w:rPr>
                <w:rFonts w:hint="eastAsia" w:eastAsia="宋体"/>
                <w:color w:val="auto"/>
                <w:sz w:val="24"/>
                <w:szCs w:val="24"/>
                <w:highlight w:val="none"/>
                <w:lang w:eastAsia="zh-CN"/>
              </w:rPr>
            </w:pPr>
            <w:r>
              <w:rPr>
                <w:rFonts w:hint="eastAsia"/>
                <w:color w:val="auto"/>
                <w:sz w:val="24"/>
                <w:szCs w:val="24"/>
                <w:highlight w:val="none"/>
                <w:lang w:eastAsia="zh-CN"/>
              </w:rPr>
              <w:t>佛山市禅城区南庄镇吉利村上二经济合作社</w:t>
            </w:r>
          </w:p>
        </w:tc>
      </w:tr>
      <w:tr>
        <w:tblPrEx>
          <w:tblCellMar>
            <w:top w:w="0" w:type="dxa"/>
            <w:left w:w="108" w:type="dxa"/>
            <w:bottom w:w="0" w:type="dxa"/>
            <w:right w:w="108" w:type="dxa"/>
          </w:tblCellMar>
        </w:tblPrEx>
        <w:trPr>
          <w:trHeight w:val="491" w:hRule="atLeast"/>
        </w:trPr>
        <w:tc>
          <w:tcPr>
            <w:tcW w:w="1470" w:type="dxa"/>
            <w:noWrap w:val="0"/>
            <w:vAlign w:val="center"/>
          </w:tcPr>
          <w:p>
            <w:pPr>
              <w:pStyle w:val="34"/>
              <w:spacing w:line="360" w:lineRule="auto"/>
              <w:rPr>
                <w:b/>
                <w:color w:val="auto"/>
                <w:sz w:val="24"/>
                <w:szCs w:val="24"/>
                <w:highlight w:val="none"/>
              </w:rPr>
            </w:pPr>
            <w:r>
              <w:rPr>
                <w:rFonts w:hint="eastAsia" w:ascii="宋体" w:hAnsi="宋体"/>
                <w:b/>
                <w:color w:val="auto"/>
                <w:sz w:val="24"/>
                <w:szCs w:val="24"/>
                <w:highlight w:val="none"/>
              </w:rPr>
              <w:t>乙方：</w:t>
            </w:r>
          </w:p>
        </w:tc>
        <w:tc>
          <w:tcPr>
            <w:tcW w:w="7110" w:type="dxa"/>
            <w:tcBorders>
              <w:top w:val="single" w:color="auto" w:sz="4" w:space="0"/>
              <w:left w:val="nil"/>
              <w:bottom w:val="single" w:color="auto" w:sz="4" w:space="0"/>
              <w:right w:val="nil"/>
            </w:tcBorders>
            <w:noWrap w:val="0"/>
            <w:vAlign w:val="center"/>
          </w:tcPr>
          <w:p>
            <w:pPr>
              <w:pStyle w:val="34"/>
              <w:spacing w:line="360" w:lineRule="auto"/>
              <w:jc w:val="both"/>
              <w:rPr>
                <w:rFonts w:ascii="宋体" w:hAnsi="宋体"/>
                <w:b/>
                <w:color w:val="auto"/>
                <w:sz w:val="24"/>
                <w:szCs w:val="24"/>
                <w:highlight w:val="none"/>
              </w:rPr>
            </w:pPr>
            <w:r>
              <w:rPr>
                <w:rFonts w:hint="eastAsia" w:ascii="宋体" w:hAnsi="宋体"/>
                <w:b/>
                <w:color w:val="auto"/>
                <w:sz w:val="24"/>
                <w:szCs w:val="24"/>
                <w:highlight w:val="none"/>
              </w:rPr>
              <w:t>（</w:t>
            </w:r>
            <w:r>
              <w:rPr>
                <w:rFonts w:hint="eastAsia" w:ascii="宋体" w:hAnsi="宋体"/>
                <w:b/>
                <w:color w:val="auto"/>
                <w:sz w:val="24"/>
                <w:szCs w:val="24"/>
                <w:highlight w:val="none"/>
                <w:lang w:eastAsia="zh-CN"/>
              </w:rPr>
              <w:t>中标人</w:t>
            </w:r>
            <w:r>
              <w:rPr>
                <w:rFonts w:hint="eastAsia" w:ascii="宋体" w:hAnsi="宋体"/>
                <w:b/>
                <w:color w:val="auto"/>
                <w:sz w:val="24"/>
                <w:szCs w:val="24"/>
                <w:highlight w:val="none"/>
              </w:rPr>
              <w:t>）</w:t>
            </w:r>
          </w:p>
        </w:tc>
      </w:tr>
    </w:tbl>
    <w:p>
      <w:pPr>
        <w:pStyle w:val="34"/>
        <w:spacing w:line="360" w:lineRule="auto"/>
        <w:rPr>
          <w:color w:val="auto"/>
          <w:szCs w:val="22"/>
          <w:highlight w:val="none"/>
        </w:rPr>
      </w:pPr>
    </w:p>
    <w:p>
      <w:pPr>
        <w:pStyle w:val="36"/>
        <w:spacing w:line="360" w:lineRule="auto"/>
        <w:ind w:firstLine="420"/>
        <w:rPr>
          <w:color w:val="auto"/>
          <w:szCs w:val="21"/>
          <w:highlight w:val="none"/>
        </w:rPr>
      </w:pPr>
      <w:r>
        <w:rPr>
          <w:rFonts w:hint="eastAsia"/>
          <w:color w:val="auto"/>
          <w:sz w:val="24"/>
          <w:szCs w:val="24"/>
          <w:highlight w:val="none"/>
        </w:rPr>
        <w:t>根据《中华人民共和国民法典》、本项目采购文件的要求，</w:t>
      </w:r>
      <w:r>
        <w:rPr>
          <w:rFonts w:hint="eastAsia"/>
          <w:color w:val="auto"/>
          <w:kern w:val="28"/>
          <w:sz w:val="24"/>
          <w:szCs w:val="24"/>
          <w:highlight w:val="none"/>
        </w:rPr>
        <w:t>经双方协商，</w:t>
      </w:r>
      <w:r>
        <w:rPr>
          <w:rFonts w:hint="eastAsia"/>
          <w:color w:val="auto"/>
          <w:sz w:val="24"/>
          <w:szCs w:val="24"/>
          <w:highlight w:val="none"/>
        </w:rPr>
        <w:t>本着平等互利和诚实信用的原则，</w:t>
      </w:r>
      <w:r>
        <w:rPr>
          <w:rFonts w:hint="eastAsia"/>
          <w:color w:val="auto"/>
          <w:kern w:val="28"/>
          <w:sz w:val="24"/>
          <w:szCs w:val="24"/>
          <w:highlight w:val="none"/>
        </w:rPr>
        <w:t>一致同意签订本合同如下。</w:t>
      </w:r>
    </w:p>
    <w:p>
      <w:pPr>
        <w:pStyle w:val="35"/>
        <w:numPr>
          <w:ilvl w:val="0"/>
          <w:numId w:val="30"/>
        </w:numPr>
        <w:spacing w:before="240" w:beforeLines="100" w:after="120" w:afterLines="50" w:line="360" w:lineRule="auto"/>
        <w:rPr>
          <w:rFonts w:hint="default" w:asciiTheme="minorEastAsia" w:hAnsiTheme="minorEastAsia" w:eastAsiaTheme="minorEastAsia" w:cstheme="minorEastAsia"/>
          <w:b/>
          <w:bCs/>
          <w:color w:val="auto"/>
          <w:sz w:val="24"/>
          <w:szCs w:val="24"/>
          <w:highlight w:val="none"/>
          <w:lang w:val="en-US" w:eastAsia="zh-CN"/>
        </w:rPr>
      </w:pPr>
      <w:bookmarkStart w:id="78" w:name="_Toc78604605"/>
      <w:r>
        <w:rPr>
          <w:rFonts w:hint="eastAsia" w:asciiTheme="minorEastAsia" w:hAnsiTheme="minorEastAsia" w:eastAsiaTheme="minorEastAsia" w:cstheme="minorEastAsia"/>
          <w:b/>
          <w:bCs/>
          <w:color w:val="auto"/>
          <w:sz w:val="24"/>
          <w:szCs w:val="24"/>
          <w:highlight w:val="none"/>
          <w:lang w:val="en-US" w:eastAsia="zh-CN"/>
        </w:rPr>
        <w:t>项目概况</w:t>
      </w:r>
    </w:p>
    <w:p>
      <w:pPr>
        <w:pStyle w:val="35"/>
        <w:numPr>
          <w:ilvl w:val="-1"/>
          <w:numId w:val="0"/>
        </w:numPr>
        <w:spacing w:before="240" w:beforeLines="100" w:after="120" w:afterLines="50" w:line="360" w:lineRule="auto"/>
        <w:ind w:left="0" w:leftChars="0" w:firstLine="480" w:firstLineChars="200"/>
        <w:rPr>
          <w:rFonts w:hint="default" w:asciiTheme="minorEastAsia" w:hAnsiTheme="minorEastAsia" w:eastAsiaTheme="minorEastAsia" w:cstheme="minorEastAsia"/>
          <w:b/>
          <w:bCs/>
          <w:color w:val="auto"/>
          <w:sz w:val="24"/>
          <w:szCs w:val="24"/>
          <w:highlight w:val="none"/>
          <w:lang w:val="en-US" w:eastAsia="zh-CN"/>
        </w:rPr>
      </w:pP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lang w:eastAsia="zh-CN"/>
        </w:rPr>
        <w:t>位于</w:t>
      </w:r>
      <w:r>
        <w:rPr>
          <w:rFonts w:hint="eastAsia" w:ascii="宋体" w:hAnsi="宋体" w:cs="宋体"/>
          <w:color w:val="auto"/>
          <w:sz w:val="24"/>
          <w:szCs w:val="24"/>
          <w:highlight w:val="none"/>
          <w:lang w:val="en-US" w:eastAsia="zh-CN"/>
        </w:rPr>
        <w:t>吉利上二村车辆停放管理服务</w:t>
      </w:r>
      <w:r>
        <w:rPr>
          <w:rFonts w:hint="eastAsia" w:ascii="宋体" w:hAnsi="宋体" w:eastAsia="宋体" w:cs="宋体"/>
          <w:color w:val="auto"/>
          <w:sz w:val="24"/>
          <w:szCs w:val="24"/>
          <w:highlight w:val="none"/>
          <w:lang w:val="en-US" w:eastAsia="zh-CN"/>
        </w:rPr>
        <w:t>工作委托给</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经营管理，合同期限为</w:t>
      </w:r>
      <w:r>
        <w:rPr>
          <w:rFonts w:hint="eastAsia" w:ascii="宋体" w:hAnsi="宋体" w:cs="宋体"/>
          <w:color w:val="auto"/>
          <w:sz w:val="24"/>
          <w:szCs w:val="24"/>
          <w:highlight w:val="none"/>
          <w:lang w:val="en-US" w:eastAsia="zh-CN"/>
        </w:rPr>
        <w:t>5年</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须按</w:t>
      </w:r>
      <w:r>
        <w:rPr>
          <w:rFonts w:hint="eastAsia" w:ascii="宋体" w:hAnsi="宋体" w:cs="宋体"/>
          <w:color w:val="auto"/>
          <w:sz w:val="24"/>
          <w:szCs w:val="24"/>
          <w:highlight w:val="none"/>
          <w:lang w:val="en-US" w:eastAsia="zh-CN"/>
        </w:rPr>
        <w:t>合同</w:t>
      </w:r>
      <w:r>
        <w:rPr>
          <w:rFonts w:hint="eastAsia" w:ascii="宋体" w:hAnsi="宋体" w:eastAsia="宋体" w:cs="宋体"/>
          <w:color w:val="auto"/>
          <w:sz w:val="24"/>
          <w:szCs w:val="24"/>
          <w:highlight w:val="none"/>
          <w:lang w:val="en-US" w:eastAsia="zh-CN"/>
        </w:rPr>
        <w:t>价向</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支付费用</w:t>
      </w:r>
      <w:r>
        <w:rPr>
          <w:rFonts w:hint="eastAsia" w:ascii="宋体" w:hAnsi="宋体" w:cs="宋体"/>
          <w:color w:val="auto"/>
          <w:sz w:val="24"/>
          <w:szCs w:val="24"/>
          <w:highlight w:val="none"/>
          <w:lang w:val="en-US" w:eastAsia="zh-CN"/>
        </w:rPr>
        <w:t>。乙方必须在中标通知书发出之日起15个工作日内完成本停车场在佛山市停车场管理系统登记备案。</w:t>
      </w:r>
    </w:p>
    <w:p>
      <w:pPr>
        <w:pStyle w:val="35"/>
        <w:numPr>
          <w:ilvl w:val="0"/>
          <w:numId w:val="30"/>
        </w:numPr>
        <w:spacing w:before="240" w:beforeLines="100" w:after="120" w:afterLines="50" w:line="360" w:lineRule="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范围区域</w:t>
      </w:r>
    </w:p>
    <w:p>
      <w:pPr>
        <w:pStyle w:val="36"/>
        <w:spacing w:line="360" w:lineRule="auto"/>
        <w:ind w:firstLine="420"/>
        <w:rPr>
          <w:rFonts w:hint="default"/>
          <w:color w:val="auto"/>
          <w:sz w:val="24"/>
          <w:szCs w:val="24"/>
          <w:highlight w:val="none"/>
          <w:lang w:val="en-US" w:eastAsia="zh-CN"/>
        </w:rPr>
      </w:pPr>
      <w:r>
        <w:rPr>
          <w:rFonts w:hint="default"/>
          <w:color w:val="auto"/>
          <w:sz w:val="24"/>
          <w:szCs w:val="24"/>
          <w:highlight w:val="none"/>
          <w:lang w:val="en-US" w:eastAsia="zh-CN"/>
        </w:rPr>
        <w:t>上二村闸口内的停车范围（已有划线车位约50个，需由</w:t>
      </w:r>
      <w:r>
        <w:rPr>
          <w:rFonts w:hint="eastAsia"/>
          <w:color w:val="auto"/>
          <w:sz w:val="24"/>
          <w:szCs w:val="24"/>
          <w:highlight w:val="none"/>
          <w:lang w:val="en-US" w:eastAsia="zh-CN"/>
        </w:rPr>
        <w:t>乙方</w:t>
      </w:r>
      <w:r>
        <w:rPr>
          <w:rFonts w:hint="default"/>
          <w:color w:val="auto"/>
          <w:sz w:val="24"/>
          <w:szCs w:val="24"/>
          <w:highlight w:val="none"/>
          <w:lang w:val="en-US" w:eastAsia="zh-CN"/>
        </w:rPr>
        <w:t>划车位线约100个及各闸口网格线、识别区、消防通道路面标识字、标识牌等）；</w:t>
      </w:r>
    </w:p>
    <w:p>
      <w:pPr>
        <w:pStyle w:val="35"/>
        <w:numPr>
          <w:ilvl w:val="0"/>
          <w:numId w:val="30"/>
        </w:numPr>
        <w:spacing w:before="240" w:beforeLines="100" w:after="120" w:afterLines="50" w:line="360" w:lineRule="auto"/>
        <w:rPr>
          <w:b/>
          <w:bCs/>
          <w:color w:val="auto"/>
          <w:sz w:val="24"/>
          <w:szCs w:val="24"/>
          <w:highlight w:val="none"/>
        </w:rPr>
      </w:pPr>
      <w:r>
        <w:rPr>
          <w:rFonts w:hint="eastAsia"/>
          <w:b/>
          <w:bCs/>
          <w:color w:val="auto"/>
          <w:sz w:val="24"/>
          <w:szCs w:val="24"/>
          <w:highlight w:val="none"/>
        </w:rPr>
        <w:t>设施建设地点</w:t>
      </w:r>
    </w:p>
    <w:p>
      <w:pPr>
        <w:pStyle w:val="30"/>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lang w:eastAsia="zh-CN"/>
        </w:rPr>
        <w:t>上二村路口</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上二村聚鹏美食</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上二村外工村路口</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上二村容树头（靠陶瓷城方向）</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上二村出陶瓷城路口</w:t>
      </w:r>
      <w:r>
        <w:rPr>
          <w:rFonts w:hint="eastAsia" w:ascii="宋体" w:hAnsi="宋体" w:eastAsia="宋体" w:cs="宋体"/>
          <w:b w:val="0"/>
          <w:bCs w:val="0"/>
          <w:color w:val="auto"/>
          <w:sz w:val="24"/>
          <w:szCs w:val="24"/>
          <w:highlight w:val="none"/>
          <w:lang w:eastAsia="zh-CN"/>
        </w:rPr>
        <w:t>出入口等</w:t>
      </w:r>
      <w:r>
        <w:rPr>
          <w:rFonts w:hint="eastAsia" w:ascii="宋体" w:hAnsi="宋体" w:cs="宋体"/>
          <w:b w:val="0"/>
          <w:bCs w:val="0"/>
          <w:color w:val="auto"/>
          <w:sz w:val="24"/>
          <w:szCs w:val="24"/>
          <w:highlight w:val="none"/>
          <w:lang w:val="en-US" w:eastAsia="zh-CN"/>
        </w:rPr>
        <w:t>共计</w:t>
      </w:r>
      <w:r>
        <w:rPr>
          <w:rFonts w:hint="eastAsia" w:ascii="宋体" w:hAnsi="宋体" w:eastAsia="宋体" w:cs="宋体"/>
          <w:b w:val="0"/>
          <w:bCs w:val="0"/>
          <w:color w:val="auto"/>
          <w:sz w:val="24"/>
          <w:szCs w:val="24"/>
          <w:highlight w:val="none"/>
          <w:lang w:eastAsia="zh-CN"/>
        </w:rPr>
        <w:t>5个车辆进出通道点位</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详见下图</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进行智能停车系统建设和管理；</w:t>
      </w:r>
    </w:p>
    <w:p>
      <w:pPr>
        <w:ind w:firstLine="1440" w:firstLineChars="6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点位一：                               点位二：</w:t>
      </w:r>
    </w:p>
    <w:p>
      <w:pPr>
        <w:pStyle w:val="30"/>
        <w:numPr>
          <w:ilvl w:val="0"/>
          <w:numId w:val="0"/>
        </w:numPr>
        <w:spacing w:line="360" w:lineRule="auto"/>
        <w:ind w:leftChars="-173" w:firstLine="720" w:firstLineChars="3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drawing>
          <wp:inline distT="0" distB="0" distL="114300" distR="114300">
            <wp:extent cx="1917065" cy="1426210"/>
            <wp:effectExtent l="0" t="0" r="6985" b="2540"/>
            <wp:docPr id="28" name="图片 28" descr="4f48aad7ebfeb60a4cdd6055319b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4f48aad7ebfeb60a4cdd6055319b786"/>
                    <pic:cNvPicPr>
                      <a:picLocks noChangeAspect="1"/>
                    </pic:cNvPicPr>
                  </pic:nvPicPr>
                  <pic:blipFill>
                    <a:blip r:embed="rId9"/>
                    <a:stretch>
                      <a:fillRect/>
                    </a:stretch>
                  </pic:blipFill>
                  <pic:spPr>
                    <a:xfrm>
                      <a:off x="0" y="0"/>
                      <a:ext cx="1917065" cy="1426210"/>
                    </a:xfrm>
                    <a:prstGeom prst="rect">
                      <a:avLst/>
                    </a:prstGeom>
                  </pic:spPr>
                </pic:pic>
              </a:graphicData>
            </a:graphic>
          </wp:inline>
        </w:drawing>
      </w:r>
      <w:r>
        <w:rPr>
          <w:rFonts w:hint="eastAsia" w:ascii="宋体" w:hAnsi="宋体" w:cs="宋体"/>
          <w:b w:val="0"/>
          <w:bCs w:val="0"/>
          <w:color w:val="auto"/>
          <w:sz w:val="24"/>
          <w:szCs w:val="24"/>
          <w:highlight w:val="none"/>
          <w:lang w:val="en-US" w:eastAsia="zh-CN"/>
        </w:rPr>
        <w:t xml:space="preserve">            </w:t>
      </w:r>
      <w:r>
        <w:rPr>
          <w:rFonts w:hint="default" w:ascii="宋体" w:hAnsi="宋体" w:cs="宋体"/>
          <w:b w:val="0"/>
          <w:bCs w:val="0"/>
          <w:color w:val="auto"/>
          <w:sz w:val="24"/>
          <w:szCs w:val="24"/>
          <w:highlight w:val="none"/>
          <w:lang w:val="en-US" w:eastAsia="zh-CN"/>
        </w:rPr>
        <w:drawing>
          <wp:inline distT="0" distB="0" distL="114300" distR="114300">
            <wp:extent cx="1923415" cy="1440815"/>
            <wp:effectExtent l="0" t="0" r="635" b="6985"/>
            <wp:docPr id="14" name="图片 14" descr="eef1f7b6274b0f18b27ebdc3b77b5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ef1f7b6274b0f18b27ebdc3b77b5cb"/>
                    <pic:cNvPicPr>
                      <a:picLocks noChangeAspect="1"/>
                    </pic:cNvPicPr>
                  </pic:nvPicPr>
                  <pic:blipFill>
                    <a:blip r:embed="rId10"/>
                    <a:stretch>
                      <a:fillRect/>
                    </a:stretch>
                  </pic:blipFill>
                  <pic:spPr>
                    <a:xfrm>
                      <a:off x="0" y="0"/>
                      <a:ext cx="1923415" cy="1440815"/>
                    </a:xfrm>
                    <a:prstGeom prst="rect">
                      <a:avLst/>
                    </a:prstGeom>
                  </pic:spPr>
                </pic:pic>
              </a:graphicData>
            </a:graphic>
          </wp:inline>
        </w:drawing>
      </w:r>
    </w:p>
    <w:p>
      <w:pP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br w:type="page"/>
      </w:r>
    </w:p>
    <w:p>
      <w:pPr>
        <w:pStyle w:val="30"/>
        <w:numPr>
          <w:ilvl w:val="0"/>
          <w:numId w:val="0"/>
        </w:numPr>
        <w:spacing w:line="360" w:lineRule="auto"/>
        <w:ind w:leftChars="-173" w:firstLine="1680" w:firstLineChars="7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点位三：                                点位四：</w:t>
      </w:r>
    </w:p>
    <w:p>
      <w:pPr>
        <w:pStyle w:val="30"/>
        <w:numPr>
          <w:ilvl w:val="0"/>
          <w:numId w:val="0"/>
        </w:numPr>
        <w:spacing w:line="360" w:lineRule="auto"/>
        <w:ind w:left="218" w:leftChars="104" w:firstLine="0" w:firstLineChars="0"/>
        <w:jc w:val="both"/>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r>
        <w:rPr>
          <w:rFonts w:hint="default" w:ascii="宋体" w:hAnsi="宋体" w:cs="宋体"/>
          <w:b w:val="0"/>
          <w:bCs w:val="0"/>
          <w:color w:val="auto"/>
          <w:sz w:val="24"/>
          <w:szCs w:val="24"/>
          <w:highlight w:val="none"/>
          <w:lang w:val="en-US" w:eastAsia="zh-CN"/>
        </w:rPr>
        <w:drawing>
          <wp:inline distT="0" distB="0" distL="114300" distR="114300">
            <wp:extent cx="1797050" cy="1347470"/>
            <wp:effectExtent l="0" t="0" r="12700" b="5080"/>
            <wp:docPr id="29" name="图片 29" descr="a0ab8fd633a0c3b6f90e472b575f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a0ab8fd633a0c3b6f90e472b575fa02"/>
                    <pic:cNvPicPr>
                      <a:picLocks noChangeAspect="1"/>
                    </pic:cNvPicPr>
                  </pic:nvPicPr>
                  <pic:blipFill>
                    <a:blip r:embed="rId11"/>
                    <a:stretch>
                      <a:fillRect/>
                    </a:stretch>
                  </pic:blipFill>
                  <pic:spPr>
                    <a:xfrm>
                      <a:off x="0" y="0"/>
                      <a:ext cx="1797050" cy="1347470"/>
                    </a:xfrm>
                    <a:prstGeom prst="rect">
                      <a:avLst/>
                    </a:prstGeom>
                  </pic:spPr>
                </pic:pic>
              </a:graphicData>
            </a:graphic>
          </wp:inline>
        </w:drawing>
      </w:r>
      <w:r>
        <w:rPr>
          <w:rFonts w:hint="eastAsia" w:ascii="宋体" w:hAnsi="宋体" w:cs="宋体"/>
          <w:b w:val="0"/>
          <w:bCs w:val="0"/>
          <w:color w:val="auto"/>
          <w:sz w:val="24"/>
          <w:szCs w:val="24"/>
          <w:highlight w:val="none"/>
          <w:lang w:val="en-US" w:eastAsia="zh-CN"/>
        </w:rPr>
        <w:t xml:space="preserve">               </w:t>
      </w:r>
      <w:r>
        <w:rPr>
          <w:rFonts w:hint="default" w:ascii="宋体" w:hAnsi="宋体" w:cs="宋体"/>
          <w:b w:val="0"/>
          <w:bCs w:val="0"/>
          <w:color w:val="auto"/>
          <w:sz w:val="24"/>
          <w:szCs w:val="24"/>
          <w:highlight w:val="none"/>
          <w:lang w:val="en-US" w:eastAsia="zh-CN"/>
        </w:rPr>
        <w:drawing>
          <wp:inline distT="0" distB="0" distL="114300" distR="114300">
            <wp:extent cx="1790700" cy="1342390"/>
            <wp:effectExtent l="0" t="0" r="0" b="10160"/>
            <wp:docPr id="30" name="图片 30" descr="edbac4ac2d839492574493146869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edbac4ac2d839492574493146869acc"/>
                    <pic:cNvPicPr>
                      <a:picLocks noChangeAspect="1"/>
                    </pic:cNvPicPr>
                  </pic:nvPicPr>
                  <pic:blipFill>
                    <a:blip r:embed="rId12"/>
                    <a:stretch>
                      <a:fillRect/>
                    </a:stretch>
                  </pic:blipFill>
                  <pic:spPr>
                    <a:xfrm>
                      <a:off x="0" y="0"/>
                      <a:ext cx="1790700" cy="1342390"/>
                    </a:xfrm>
                    <a:prstGeom prst="rect">
                      <a:avLst/>
                    </a:prstGeom>
                  </pic:spPr>
                </pic:pic>
              </a:graphicData>
            </a:graphic>
          </wp:inline>
        </w:drawing>
      </w:r>
    </w:p>
    <w:p>
      <w:pPr>
        <w:pStyle w:val="30"/>
        <w:numPr>
          <w:ilvl w:val="0"/>
          <w:numId w:val="0"/>
        </w:numPr>
        <w:spacing w:line="360" w:lineRule="auto"/>
        <w:ind w:leftChars="-173"/>
        <w:jc w:val="left"/>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p>
    <w:p>
      <w:pPr>
        <w:pStyle w:val="30"/>
        <w:numPr>
          <w:ilvl w:val="0"/>
          <w:numId w:val="0"/>
        </w:numPr>
        <w:spacing w:line="360" w:lineRule="auto"/>
        <w:ind w:leftChars="-173" w:firstLine="1680" w:firstLineChars="7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点位五：</w:t>
      </w:r>
    </w:p>
    <w:p>
      <w:pPr>
        <w:pStyle w:val="30"/>
        <w:numPr>
          <w:ilvl w:val="0"/>
          <w:numId w:val="0"/>
        </w:numPr>
        <w:spacing w:line="360" w:lineRule="auto"/>
        <w:ind w:leftChars="-173"/>
        <w:jc w:val="left"/>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r>
        <w:rPr>
          <w:rFonts w:hint="default" w:ascii="宋体" w:hAnsi="宋体" w:cs="宋体"/>
          <w:b w:val="0"/>
          <w:bCs w:val="0"/>
          <w:color w:val="auto"/>
          <w:sz w:val="24"/>
          <w:szCs w:val="24"/>
          <w:highlight w:val="none"/>
          <w:lang w:val="en-US" w:eastAsia="zh-CN"/>
        </w:rPr>
        <w:drawing>
          <wp:inline distT="0" distB="0" distL="114300" distR="114300">
            <wp:extent cx="1795780" cy="1346835"/>
            <wp:effectExtent l="0" t="0" r="13970" b="5715"/>
            <wp:docPr id="54" name="图片 54" descr="c71a4c05a99db0c8b8a4ee0e69a91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c71a4c05a99db0c8b8a4ee0e69a917e"/>
                    <pic:cNvPicPr>
                      <a:picLocks noChangeAspect="1"/>
                    </pic:cNvPicPr>
                  </pic:nvPicPr>
                  <pic:blipFill>
                    <a:blip r:embed="rId13"/>
                    <a:stretch>
                      <a:fillRect/>
                    </a:stretch>
                  </pic:blipFill>
                  <pic:spPr>
                    <a:xfrm>
                      <a:off x="0" y="0"/>
                      <a:ext cx="1795780" cy="1346835"/>
                    </a:xfrm>
                    <a:prstGeom prst="rect">
                      <a:avLst/>
                    </a:prstGeom>
                  </pic:spPr>
                </pic:pic>
              </a:graphicData>
            </a:graphic>
          </wp:inline>
        </w:drawing>
      </w:r>
    </w:p>
    <w:bookmarkEnd w:id="78"/>
    <w:p>
      <w:pPr>
        <w:pStyle w:val="35"/>
        <w:numPr>
          <w:ilvl w:val="0"/>
          <w:numId w:val="30"/>
        </w:numPr>
        <w:spacing w:before="240" w:beforeLines="100" w:after="120" w:afterLines="50" w:line="360" w:lineRule="auto"/>
        <w:rPr>
          <w:b/>
          <w:bCs/>
          <w:color w:val="auto"/>
          <w:sz w:val="24"/>
          <w:szCs w:val="24"/>
          <w:highlight w:val="none"/>
        </w:rPr>
      </w:pPr>
      <w:r>
        <w:rPr>
          <w:rFonts w:hint="eastAsia"/>
          <w:b/>
          <w:bCs/>
          <w:color w:val="auto"/>
          <w:sz w:val="24"/>
          <w:szCs w:val="24"/>
          <w:highlight w:val="none"/>
        </w:rPr>
        <w:t>人员配置：需配备不少于3名人员在现场进行24小时管理</w:t>
      </w:r>
    </w:p>
    <w:p>
      <w:pPr>
        <w:pStyle w:val="35"/>
        <w:numPr>
          <w:ilvl w:val="0"/>
          <w:numId w:val="30"/>
        </w:numPr>
        <w:spacing w:before="240" w:beforeLines="100" w:after="120" w:afterLines="50" w:line="360" w:lineRule="auto"/>
        <w:rPr>
          <w:b/>
          <w:bCs/>
          <w:color w:val="auto"/>
          <w:sz w:val="24"/>
          <w:szCs w:val="24"/>
          <w:highlight w:val="none"/>
        </w:rPr>
      </w:pPr>
      <w:r>
        <w:rPr>
          <w:rFonts w:hint="eastAsia"/>
          <w:b/>
          <w:bCs/>
          <w:color w:val="auto"/>
          <w:sz w:val="24"/>
          <w:szCs w:val="24"/>
          <w:highlight w:val="none"/>
        </w:rPr>
        <w:t>设备和工程量清单</w:t>
      </w:r>
      <w:r>
        <w:rPr>
          <w:rFonts w:hint="eastAsia"/>
          <w:b/>
          <w:bCs/>
          <w:color w:val="auto"/>
          <w:sz w:val="24"/>
          <w:szCs w:val="24"/>
          <w:highlight w:val="none"/>
          <w:lang w:eastAsia="zh-CN"/>
        </w:rPr>
        <w:t>（详见附件）</w:t>
      </w:r>
    </w:p>
    <w:p>
      <w:pPr>
        <w:pStyle w:val="30"/>
        <w:numPr>
          <w:ilvl w:val="0"/>
          <w:numId w:val="0"/>
        </w:numPr>
        <w:tabs>
          <w:tab w:val="left" w:pos="220"/>
        </w:tabs>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智能停车系统设备采购、安装及维保费用总预算约为270000元内(大写:人民币贰拾柒万元整），其中智能停车系统设备采购、安装及车位、闸口网格线、识别区、消防通道路面标识字、标识牌画线费用约为205000元，5年的维保费用约为65000元，以乙方实际支出费用为准），智能停车系统设备采购、安装、画线及维保等一切费用已包含在合同价内由乙方负责，甲方不再另行支出</w:t>
      </w:r>
      <w:r>
        <w:rPr>
          <w:rFonts w:hint="eastAsia" w:ascii="宋体" w:hAnsi="宋体" w:eastAsia="宋体" w:cs="宋体"/>
          <w:b w:val="0"/>
          <w:bCs w:val="0"/>
          <w:color w:val="auto"/>
          <w:sz w:val="24"/>
          <w:szCs w:val="24"/>
          <w:highlight w:val="none"/>
          <w:lang w:val="en-US" w:eastAsia="zh-CN"/>
        </w:rPr>
        <w:t>。</w:t>
      </w:r>
    </w:p>
    <w:p>
      <w:pPr>
        <w:pStyle w:val="30"/>
        <w:numPr>
          <w:ilvl w:val="0"/>
          <w:numId w:val="0"/>
        </w:numPr>
        <w:tabs>
          <w:tab w:val="left" w:pos="220"/>
        </w:tabs>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质量标准：清单中第一部分“硬件部分”设备参考品牌为艾科、捷顺或同等质量以上的品牌，且必须提供厂家授权书，质保期5年。乙方拟投入的设备清单（含品牌、型号等）须甲方确认后才能实施安装，否则视为乙方违约。</w:t>
      </w:r>
    </w:p>
    <w:p>
      <w:pPr>
        <w:pStyle w:val="35"/>
        <w:numPr>
          <w:ilvl w:val="0"/>
          <w:numId w:val="30"/>
        </w:numPr>
        <w:spacing w:before="240" w:beforeLines="100" w:after="120" w:afterLines="50" w:line="360" w:lineRule="auto"/>
        <w:rPr>
          <w:b/>
          <w:bCs/>
          <w:color w:val="auto"/>
          <w:sz w:val="24"/>
          <w:szCs w:val="24"/>
          <w:highlight w:val="none"/>
        </w:rPr>
      </w:pPr>
      <w:r>
        <w:rPr>
          <w:rFonts w:hint="eastAsia"/>
          <w:b/>
          <w:bCs/>
          <w:color w:val="auto"/>
          <w:sz w:val="24"/>
          <w:szCs w:val="24"/>
          <w:highlight w:val="none"/>
        </w:rPr>
        <w:t>停泊位设置</w:t>
      </w:r>
    </w:p>
    <w:p>
      <w:pPr>
        <w:pStyle w:val="35"/>
        <w:numPr>
          <w:ilvl w:val="0"/>
          <w:numId w:val="0"/>
        </w:numPr>
        <w:spacing w:before="240" w:beforeLines="100" w:after="120" w:afterLines="50" w:line="360" w:lineRule="auto"/>
        <w:ind w:leftChars="0" w:firstLine="480" w:firstLineChars="200"/>
        <w:rPr>
          <w:b/>
          <w:bCs/>
          <w:color w:val="auto"/>
          <w:sz w:val="24"/>
          <w:szCs w:val="24"/>
          <w:highlight w:val="none"/>
        </w:rPr>
      </w:pPr>
      <w:r>
        <w:rPr>
          <w:rFonts w:hint="eastAsia" w:ascii="宋体" w:hAnsi="宋体" w:eastAsia="宋体" w:cs="宋体"/>
          <w:b w:val="0"/>
          <w:bCs w:val="0"/>
          <w:color w:val="auto"/>
          <w:sz w:val="24"/>
          <w:szCs w:val="24"/>
          <w:highlight w:val="none"/>
          <w:lang w:val="en-US" w:eastAsia="zh-CN"/>
        </w:rPr>
        <w:t>目前吉利</w:t>
      </w:r>
      <w:r>
        <w:rPr>
          <w:rFonts w:hint="eastAsia" w:ascii="宋体" w:hAnsi="宋体" w:cs="宋体"/>
          <w:b w:val="0"/>
          <w:bCs w:val="0"/>
          <w:color w:val="auto"/>
          <w:sz w:val="24"/>
          <w:szCs w:val="24"/>
          <w:highlight w:val="none"/>
          <w:lang w:val="en-US" w:eastAsia="zh-CN"/>
        </w:rPr>
        <w:t>上二村</w:t>
      </w:r>
      <w:r>
        <w:rPr>
          <w:rFonts w:hint="eastAsia" w:ascii="宋体" w:hAnsi="宋体" w:eastAsia="宋体" w:cs="宋体"/>
          <w:b w:val="0"/>
          <w:bCs w:val="0"/>
          <w:color w:val="auto"/>
          <w:sz w:val="24"/>
          <w:szCs w:val="24"/>
          <w:highlight w:val="none"/>
          <w:lang w:val="en-US" w:eastAsia="zh-CN"/>
        </w:rPr>
        <w:t>已有划线车位约</w:t>
      </w:r>
      <w:r>
        <w:rPr>
          <w:rFonts w:hint="eastAsia" w:ascii="宋体" w:hAnsi="宋体" w:cs="宋体"/>
          <w:b w:val="0"/>
          <w:bCs w:val="0"/>
          <w:color w:val="auto"/>
          <w:sz w:val="24"/>
          <w:szCs w:val="24"/>
          <w:highlight w:val="none"/>
          <w:lang w:val="en-US" w:eastAsia="zh-CN"/>
        </w:rPr>
        <w:t>50</w:t>
      </w:r>
      <w:r>
        <w:rPr>
          <w:rFonts w:hint="eastAsia" w:ascii="宋体" w:hAnsi="宋体" w:eastAsia="宋体" w:cs="宋体"/>
          <w:b w:val="0"/>
          <w:bCs w:val="0"/>
          <w:color w:val="auto"/>
          <w:sz w:val="24"/>
          <w:szCs w:val="24"/>
          <w:highlight w:val="none"/>
          <w:lang w:val="en-US" w:eastAsia="zh-CN"/>
        </w:rPr>
        <w:t>个，需由中标方划车位线约100个及各闸口网格线、识别区、消防通道路面标识字、标识牌等</w:t>
      </w:r>
      <w:r>
        <w:rPr>
          <w:rFonts w:hint="eastAsia" w:ascii="宋体" w:hAnsi="宋体" w:cs="宋体"/>
          <w:b w:val="0"/>
          <w:bCs w:val="0"/>
          <w:color w:val="auto"/>
          <w:sz w:val="24"/>
          <w:szCs w:val="24"/>
          <w:highlight w:val="none"/>
          <w:lang w:val="en-US" w:eastAsia="zh-CN"/>
        </w:rPr>
        <w:t>，具体停泊车位的设置位置须经甲方确认才能划线，</w:t>
      </w:r>
      <w:r>
        <w:rPr>
          <w:rFonts w:hint="eastAsia" w:ascii="宋体" w:hAnsi="宋体" w:eastAsia="宋体" w:cs="宋体"/>
          <w:b w:val="0"/>
          <w:bCs w:val="0"/>
          <w:color w:val="auto"/>
          <w:sz w:val="24"/>
          <w:szCs w:val="24"/>
          <w:highlight w:val="none"/>
          <w:lang w:val="en-US" w:eastAsia="zh-CN"/>
        </w:rPr>
        <w:t>如需增加或减少车位，需提交可行性方案报</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审批后方可进行操作。</w:t>
      </w:r>
    </w:p>
    <w:p>
      <w:pPr>
        <w:pStyle w:val="35"/>
        <w:numPr>
          <w:ilvl w:val="0"/>
          <w:numId w:val="30"/>
        </w:numPr>
        <w:spacing w:before="240" w:beforeLines="100" w:after="120" w:afterLines="50" w:line="360" w:lineRule="auto"/>
        <w:rPr>
          <w:b/>
          <w:bCs/>
          <w:color w:val="auto"/>
          <w:sz w:val="24"/>
          <w:szCs w:val="24"/>
          <w:highlight w:val="none"/>
        </w:rPr>
      </w:pPr>
      <w:r>
        <w:rPr>
          <w:rFonts w:hint="eastAsia"/>
          <w:b/>
          <w:bCs/>
          <w:color w:val="auto"/>
          <w:sz w:val="24"/>
          <w:szCs w:val="24"/>
          <w:highlight w:val="none"/>
          <w:lang w:eastAsia="zh-CN"/>
        </w:rPr>
        <w:t>停车收费要求</w:t>
      </w:r>
    </w:p>
    <w:p>
      <w:pPr>
        <w:pStyle w:val="30"/>
        <w:numPr>
          <w:ilvl w:val="0"/>
          <w:numId w:val="31"/>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服务期</w:t>
      </w:r>
      <w:r>
        <w:rPr>
          <w:rFonts w:hint="eastAsia" w:ascii="宋体" w:hAnsi="宋体" w:eastAsia="宋体" w:cs="宋体"/>
          <w:b w:val="0"/>
          <w:bCs w:val="0"/>
          <w:color w:val="auto"/>
          <w:sz w:val="24"/>
          <w:szCs w:val="24"/>
          <w:highlight w:val="none"/>
          <w:lang w:val="en-US" w:eastAsia="zh-CN"/>
        </w:rPr>
        <w:t>为</w:t>
      </w:r>
      <w:r>
        <w:rPr>
          <w:rFonts w:hint="eastAsia" w:ascii="宋体" w:hAnsi="宋体" w:cs="宋体"/>
          <w:b w:val="0"/>
          <w:bCs w:val="0"/>
          <w:color w:val="auto"/>
          <w:sz w:val="24"/>
          <w:szCs w:val="24"/>
          <w:highlight w:val="none"/>
          <w:lang w:val="en-US" w:eastAsia="zh-CN"/>
        </w:rPr>
        <w:t>5年</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同</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签署车辆停放管理合同书，按照中标金额向</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缴纳车辆停放管理服务维护费。</w:t>
      </w:r>
      <w:r>
        <w:rPr>
          <w:rFonts w:hint="eastAsia" w:ascii="宋体" w:hAnsi="宋体" w:cs="宋体"/>
          <w:b w:val="0"/>
          <w:bCs w:val="0"/>
          <w:color w:val="auto"/>
          <w:sz w:val="24"/>
          <w:szCs w:val="24"/>
          <w:highlight w:val="none"/>
          <w:lang w:val="en-US" w:eastAsia="zh-CN"/>
        </w:rPr>
        <w:t>自第一年起，</w:t>
      </w:r>
      <w:r>
        <w:rPr>
          <w:rFonts w:hint="eastAsia" w:ascii="宋体" w:hAnsi="宋体" w:eastAsia="宋体" w:cs="宋体"/>
          <w:b w:val="0"/>
          <w:bCs w:val="0"/>
          <w:color w:val="auto"/>
          <w:sz w:val="24"/>
          <w:szCs w:val="24"/>
          <w:highlight w:val="none"/>
          <w:lang w:val="en-US" w:eastAsia="zh-CN"/>
        </w:rPr>
        <w:t>每两年为一个周期，每个周期内的年度管理费在上一个周期的基础上按8%固定递增</w:t>
      </w:r>
      <w:r>
        <w:rPr>
          <w:rFonts w:hint="eastAsia" w:ascii="宋体" w:hAnsi="宋体" w:cs="宋体"/>
          <w:color w:val="auto"/>
          <w:sz w:val="24"/>
          <w:highlight w:val="none"/>
          <w:lang w:val="en-US" w:eastAsia="zh-CN"/>
        </w:rPr>
        <w:t>（比如首年15万，第1-2年为第一个周期（第一个周期内的年度管理费均为15万），第3-4年为第二个周期，第二个周期（第3-4年）内的年度管理费是15万</w:t>
      </w:r>
      <w:r>
        <w:rPr>
          <w:rFonts w:hint="default" w:ascii="Arial" w:hAnsi="Arial" w:cs="Arial"/>
          <w:color w:val="auto"/>
          <w:sz w:val="24"/>
          <w:highlight w:val="none"/>
          <w:lang w:val="en-US" w:eastAsia="zh-CN"/>
        </w:rPr>
        <w:t>×</w:t>
      </w:r>
      <w:r>
        <w:rPr>
          <w:rFonts w:hint="eastAsia" w:ascii="宋体" w:hAnsi="宋体" w:cs="宋体"/>
          <w:color w:val="auto"/>
          <w:sz w:val="24"/>
          <w:highlight w:val="none"/>
          <w:lang w:val="en-US" w:eastAsia="zh-CN"/>
        </w:rPr>
        <w:t>（100%+8%）=16.2万，第5年为第三个周期，第三个周期在第二个周期的基础上，增加8%，即16.2</w:t>
      </w:r>
      <w:r>
        <w:rPr>
          <w:rFonts w:hint="default" w:ascii="Arial" w:hAnsi="Arial" w:cs="Arial"/>
          <w:color w:val="auto"/>
          <w:sz w:val="24"/>
          <w:highlight w:val="none"/>
          <w:lang w:val="en-US" w:eastAsia="zh-CN"/>
        </w:rPr>
        <w:t>×</w:t>
      </w:r>
      <w:r>
        <w:rPr>
          <w:rFonts w:hint="eastAsia" w:ascii="宋体" w:hAnsi="宋体" w:cs="宋体"/>
          <w:color w:val="auto"/>
          <w:sz w:val="24"/>
          <w:highlight w:val="none"/>
          <w:lang w:val="en-US" w:eastAsia="zh-CN"/>
        </w:rPr>
        <w:t>（100%+8%）=17.496万）</w:t>
      </w:r>
      <w:r>
        <w:rPr>
          <w:rFonts w:hint="eastAsia" w:ascii="宋体" w:hAnsi="宋体" w:eastAsia="宋体" w:cs="宋体"/>
          <w:b w:val="0"/>
          <w:bCs w:val="0"/>
          <w:color w:val="auto"/>
          <w:sz w:val="24"/>
          <w:szCs w:val="24"/>
          <w:highlight w:val="none"/>
          <w:lang w:val="en-US" w:eastAsia="zh-CN"/>
        </w:rPr>
        <w:t>，每次缴纳的车辆停放管理服务维护费由</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开具有效的租金收据给</w:t>
      </w:r>
      <w:r>
        <w:rPr>
          <w:rFonts w:hint="eastAsia" w:ascii="宋体" w:hAnsi="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。停车费收取对象为临时停放车辆和外地月租车，按</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制定收费标准收取停车费。政府或下辖单位办公的车辆由</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统一登记后送</w:t>
      </w:r>
      <w:r>
        <w:rPr>
          <w:rFonts w:hint="eastAsia" w:ascii="宋体" w:hAnsi="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录入车牌免费。与</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存在合同关系的车辆免费。</w:t>
      </w:r>
    </w:p>
    <w:p>
      <w:pPr>
        <w:pStyle w:val="30"/>
        <w:numPr>
          <w:ilvl w:val="0"/>
          <w:numId w:val="31"/>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村民自有车辆进行实名登记。</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村民登记区域停车位必须是</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户籍村民，办理必须出示</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村民身份证、户口本等证明及属于本人的行驶证资料。如出现亲属关系的由</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出示相关证明方可办理，例如嫁入</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但户口未迁入等情况。村民出租屋租户车辆办理月租车位必须出示本人车辆相关证明，由出租屋屋主统一收集提供租户车牌信息，并登记出租屋屋主联系电话。</w:t>
      </w:r>
    </w:p>
    <w:p>
      <w:pPr>
        <w:pStyle w:val="30"/>
        <w:numPr>
          <w:ilvl w:val="0"/>
          <w:numId w:val="31"/>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停车位的安排：先满足</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村民车辆停放，</w:t>
      </w:r>
      <w:r>
        <w:rPr>
          <w:rFonts w:hint="eastAsia" w:ascii="宋体" w:hAnsi="宋体" w:cs="宋体"/>
          <w:b w:val="0"/>
          <w:bCs w:val="0"/>
          <w:color w:val="auto"/>
          <w:sz w:val="24"/>
          <w:szCs w:val="24"/>
          <w:highlight w:val="none"/>
          <w:lang w:val="en-US" w:eastAsia="zh-CN"/>
        </w:rPr>
        <w:t>其次为</w:t>
      </w:r>
      <w:r>
        <w:rPr>
          <w:rFonts w:hint="eastAsia" w:ascii="宋体" w:hAnsi="宋体" w:eastAsia="宋体" w:cs="宋体"/>
          <w:b w:val="0"/>
          <w:bCs w:val="0"/>
          <w:color w:val="auto"/>
          <w:sz w:val="24"/>
          <w:szCs w:val="24"/>
          <w:highlight w:val="none"/>
          <w:lang w:val="en-US" w:eastAsia="zh-CN"/>
        </w:rPr>
        <w:t>村集体物业租户车辆，最后再安排其他外来车辆停放。村集体物业租户车辆、其他外来车辆均为临停车辆，</w:t>
      </w:r>
      <w:r>
        <w:rPr>
          <w:rFonts w:hint="eastAsia" w:ascii="宋体" w:hAnsi="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收取外来车辆停放场地占用费</w:t>
      </w:r>
      <w:r>
        <w:rPr>
          <w:rFonts w:hint="eastAsia" w:ascii="宋体" w:hAnsi="宋体" w:cs="宋体"/>
          <w:b w:val="0"/>
          <w:bCs w:val="0"/>
          <w:color w:val="auto"/>
          <w:sz w:val="24"/>
          <w:szCs w:val="24"/>
          <w:highlight w:val="none"/>
          <w:lang w:val="en-US" w:eastAsia="zh-CN"/>
        </w:rPr>
        <w:t>。</w:t>
      </w:r>
    </w:p>
    <w:p>
      <w:pPr>
        <w:pStyle w:val="30"/>
        <w:numPr>
          <w:ilvl w:val="0"/>
          <w:numId w:val="31"/>
        </w:numPr>
        <w:spacing w:line="360" w:lineRule="auto"/>
        <w:ind w:firstLine="420"/>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临时停车收费标准：</w:t>
      </w:r>
      <w:r>
        <w:rPr>
          <w:rFonts w:hint="eastAsia" w:ascii="宋体" w:hAnsi="宋体" w:eastAsia="宋体" w:cs="宋体"/>
          <w:color w:val="auto"/>
          <w:kern w:val="0"/>
          <w:sz w:val="24"/>
          <w:szCs w:val="24"/>
          <w:highlight w:val="none"/>
          <w:lang w:val="en-US" w:eastAsia="zh-CN"/>
        </w:rPr>
        <w:t>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小车类：3小时内免费，超3小时后按5元计算，第4小时后每小时增3元（不足1小时的按1小时计算）,每天24小时内最高限价25元，停放超过24小时以上按上述标准累加收费；车辆缴费后，需在15分钟内离场，超时则重新计时收费。（免费停车时长如有调整，以甲方书面通知为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（2）每辆车每天累计免费停车时长为3小时。</w:t>
      </w:r>
    </w:p>
    <w:p>
      <w:pPr>
        <w:pStyle w:val="30"/>
        <w:numPr>
          <w:ilvl w:val="0"/>
          <w:numId w:val="31"/>
        </w:numPr>
        <w:spacing w:line="360" w:lineRule="auto"/>
        <w:ind w:firstLine="420"/>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月租类收费标准：</w:t>
      </w:r>
      <w:r>
        <w:rPr>
          <w:rFonts w:hint="eastAsia" w:ascii="宋体" w:hAnsi="宋体" w:eastAsia="宋体" w:cs="宋体"/>
          <w:color w:val="auto"/>
          <w:kern w:val="0"/>
          <w:sz w:val="24"/>
          <w:szCs w:val="24"/>
          <w:highlight w:val="none"/>
          <w:lang w:val="en-US" w:eastAsia="zh-CN"/>
        </w:rPr>
        <w:t>符合以下条件的车辆可办理月卡（按季度收取），月租办理最多可办理一年，村内外来车辆可按以下方案享有以下优惠。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小车：最高不超过170元/月/辆（一次性缴纳的按1年优惠2个月）。车位优先满足吉利上二村村民需求。</w:t>
      </w:r>
    </w:p>
    <w:p>
      <w:pPr>
        <w:pStyle w:val="30"/>
        <w:numPr>
          <w:ilvl w:val="0"/>
          <w:numId w:val="31"/>
        </w:numPr>
        <w:spacing w:line="360" w:lineRule="auto"/>
        <w:ind w:firstLine="42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重要节假日免收停车费，如春节（年二十八凌晨至正月初九凌晨）、清明节等节日免收费。</w:t>
      </w:r>
    </w:p>
    <w:p>
      <w:pPr>
        <w:pStyle w:val="30"/>
        <w:numPr>
          <w:ilvl w:val="0"/>
          <w:numId w:val="31"/>
        </w:numPr>
        <w:spacing w:line="360" w:lineRule="auto"/>
        <w:ind w:firstLine="42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村内重要传统节日及村民生日、婚庆、弥月、丧事等亲友车辆需要在村内停放的，可向上二村队委报备，报备后车辆给予免费，并由车场管理处统一安排在临时停车位内停放。并由乙方提供二维码给办事村民专用，时间由村民自定，二维码有效期一般不超过一个星期，超期后二维码自动作废。</w:t>
      </w:r>
    </w:p>
    <w:p>
      <w:pPr>
        <w:pStyle w:val="30"/>
        <w:numPr>
          <w:ilvl w:val="0"/>
          <w:numId w:val="31"/>
        </w:numPr>
        <w:spacing w:line="360" w:lineRule="auto"/>
        <w:ind w:firstLine="42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户籍村民或非本村户籍嫁入本村的村民驾驶非本人名下的车辆时，需由本人及村队委和</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三方核实后，可报备登记视为临时户籍车辆，若发现该车辆不是自用，而是为他人谎报的，</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把该车辆列入黑名单，禁止该车进入本村。</w:t>
      </w:r>
    </w:p>
    <w:p>
      <w:pPr>
        <w:pStyle w:val="30"/>
        <w:numPr>
          <w:ilvl w:val="0"/>
          <w:numId w:val="31"/>
        </w:numPr>
        <w:spacing w:line="360" w:lineRule="auto"/>
        <w:ind w:firstLine="42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村民建房需要堆放建筑材料，按建房户数（一户）可免费提供3至4个车位，如超过5个车位，则当外来车临停收费。</w:t>
      </w:r>
    </w:p>
    <w:p>
      <w:pPr>
        <w:pStyle w:val="30"/>
        <w:numPr>
          <w:ilvl w:val="0"/>
          <w:numId w:val="31"/>
        </w:numPr>
        <w:spacing w:line="360" w:lineRule="auto"/>
        <w:ind w:firstLine="42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医院、公安、消防、供电、供水、政府部门等进村办事车辆及吉利村委会和吉利市政等车辆全天免费停车。</w:t>
      </w:r>
    </w:p>
    <w:p>
      <w:pPr>
        <w:pStyle w:val="30"/>
        <w:numPr>
          <w:ilvl w:val="0"/>
          <w:numId w:val="31"/>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负责投资安装各车道出入口智能车辆识别设备</w:t>
      </w:r>
      <w:r>
        <w:rPr>
          <w:rFonts w:hint="eastAsia" w:ascii="宋体" w:hAnsi="宋体" w:cs="宋体"/>
          <w:color w:val="auto"/>
          <w:sz w:val="24"/>
          <w:szCs w:val="24"/>
          <w:highlight w:val="none"/>
          <w:lang w:val="en-US" w:eastAsia="zh-CN"/>
        </w:rPr>
        <w:t>（按上述4.3设备和工程量清单）</w:t>
      </w:r>
      <w:r>
        <w:rPr>
          <w:rFonts w:hint="eastAsia" w:ascii="宋体" w:hAnsi="宋体" w:eastAsia="宋体" w:cs="宋体"/>
          <w:color w:val="auto"/>
          <w:sz w:val="24"/>
          <w:szCs w:val="24"/>
          <w:highlight w:val="none"/>
          <w:lang w:val="en-US" w:eastAsia="zh-CN"/>
        </w:rPr>
        <w:t>，各车道出入口必须加装1个以上监控设备，合同到期后，所有设备无偿归</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所有，</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保证设备完好并无条件移交给</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w:t>
      </w:r>
    </w:p>
    <w:p>
      <w:pPr>
        <w:pStyle w:val="30"/>
        <w:numPr>
          <w:ilvl w:val="0"/>
          <w:numId w:val="31"/>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办理临时停车收费业务，每次办理的停车收费期限不能超过12个月，且收费期限不能超过本合同的服务期，若合同服务期满后，</w:t>
      </w:r>
      <w:r>
        <w:rPr>
          <w:rFonts w:hint="eastAsia" w:ascii="宋体" w:hAnsi="宋体" w:eastAsia="宋体" w:cs="宋体"/>
          <w:color w:val="auto"/>
          <w:sz w:val="24"/>
          <w:szCs w:val="24"/>
          <w:highlight w:val="none"/>
          <w:lang w:val="en-US" w:eastAsia="zh-CN"/>
        </w:rPr>
        <w:tab/>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还有多收取的停车费用，多出部分</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必须退还给付款人后，</w:t>
      </w:r>
      <w:r>
        <w:rPr>
          <w:rFonts w:hint="eastAsia" w:ascii="宋体" w:hAnsi="宋体" w:cs="宋体"/>
          <w:color w:val="auto"/>
          <w:sz w:val="24"/>
          <w:szCs w:val="24"/>
          <w:highlight w:val="none"/>
          <w:lang w:val="en-US" w:eastAsia="zh-CN"/>
        </w:rPr>
        <w:t>甲方将本项目的履约保证金</w:t>
      </w:r>
      <w:r>
        <w:rPr>
          <w:rFonts w:hint="eastAsia" w:ascii="宋体" w:hAnsi="宋体" w:eastAsia="宋体" w:cs="宋体"/>
          <w:color w:val="auto"/>
          <w:sz w:val="24"/>
          <w:szCs w:val="24"/>
          <w:highlight w:val="none"/>
          <w:lang w:val="en-US" w:eastAsia="zh-CN"/>
        </w:rPr>
        <w:t>退给</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w:t>
      </w:r>
    </w:p>
    <w:p>
      <w:pPr>
        <w:pStyle w:val="35"/>
        <w:numPr>
          <w:ilvl w:val="0"/>
          <w:numId w:val="30"/>
        </w:numPr>
        <w:spacing w:before="240" w:beforeLines="100" w:after="120" w:afterLines="50" w:line="360" w:lineRule="auto"/>
        <w:rPr>
          <w:b/>
          <w:bCs/>
          <w:color w:val="auto"/>
          <w:sz w:val="24"/>
          <w:szCs w:val="24"/>
          <w:highlight w:val="none"/>
        </w:rPr>
      </w:pPr>
      <w:r>
        <w:rPr>
          <w:rFonts w:hint="eastAsia"/>
          <w:b/>
          <w:bCs/>
          <w:color w:val="auto"/>
          <w:sz w:val="24"/>
          <w:szCs w:val="24"/>
          <w:highlight w:val="none"/>
          <w:lang w:eastAsia="zh-CN"/>
        </w:rPr>
        <w:t>停车管理要求</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禁止一切货车及有货箱的车辆停放（基建建设或临时施工除外），严禁装有易燃易爆等危险、化学物品的车辆进村及停放。</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必须登记好本村的车辆号牌，电话号码，停放地点，车位使用人，住址等，外地的车辆月租车也必须登记其号牌，电话号码等，而且必须停在按规定划好的车位上，外地月租车和临时车按划好的车位有序停放。</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必须与停车位使用人签订车位承诺责任书，对停车实行规范化管理。巡逻人员24小时巡逻车场并确保各停车位正常使用，督促所有车辆正确使用行车线和停车位，维持停车秩序，保证各车道、车场出入周围道路畅通。文明管理车场，不得以任何理由或形式向车主或司机索取任何利益或报酬。文明礼貌，用语规范，文明服务。在经营管理中如发生纠纷，由</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自行处理。</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进行车辆停放管理工作，</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为保证村容村貌和交通顺畅，对于个别车辆不遵守“村区内停放规定”同时不服从工作人员协调，屡教不改乱停乱放的车辆，由</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拉入黑名单处理（写保证书确保以后不发生同类情况的可以放行，超过3次不允许进入本村区内停车），如有必要村委治安队可协助</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处理。</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所有停放在消防通道的车辆进行拉入黑名单处理（写保证书确保以后不发生同类情况的可以放行，超过3次不允许进入本村区内停车）。</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占用车位、消防通道、行车行人通道的乱摆卖问题处理方法：派放和张贴宣传单张进行不间断推广，不准占用位置乱摆卖，发现有此情况的，进行发放警告通知单，限定时间撤离现场。警告通知后拒绝撤离现场的，拉入黑名单或</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通知执法相关部门协调进行处理。</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规范停车常见办法：积分制度，优惠取消，黑名单制度。</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系统需具备有智能巡检App，每次村内违停，巡检人员可以拍照上传到系统，前几次可以告知和劝解，如果3次以上违规停车，取消车主对应的停车优惠。</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在设置停车收费规则时，可以公示优惠后的价格，一旦违规按照原价收费。多次劝告无效的可以拉入黑名单，限制出入时间，优惠月票的购买等。</w:t>
      </w:r>
    </w:p>
    <w:p>
      <w:pPr>
        <w:pStyle w:val="35"/>
        <w:numPr>
          <w:ilvl w:val="0"/>
          <w:numId w:val="30"/>
        </w:numPr>
        <w:spacing w:before="240" w:beforeLines="100" w:after="120" w:afterLines="50" w:line="360" w:lineRule="auto"/>
        <w:rPr>
          <w:rFonts w:hint="eastAsia"/>
          <w:b/>
          <w:bCs/>
          <w:color w:val="auto"/>
          <w:sz w:val="24"/>
          <w:szCs w:val="24"/>
          <w:highlight w:val="none"/>
          <w:lang w:eastAsia="zh-CN"/>
        </w:rPr>
      </w:pPr>
      <w:r>
        <w:rPr>
          <w:rFonts w:hint="eastAsia"/>
          <w:b/>
          <w:bCs/>
          <w:color w:val="auto"/>
          <w:sz w:val="24"/>
          <w:szCs w:val="24"/>
          <w:highlight w:val="none"/>
          <w:lang w:eastAsia="zh-CN"/>
        </w:rPr>
        <w:t>停车应急预案</w:t>
      </w:r>
    </w:p>
    <w:p>
      <w:pPr>
        <w:pStyle w:val="30"/>
        <w:numPr>
          <w:ilvl w:val="0"/>
          <w:numId w:val="33"/>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救援</w:t>
      </w:r>
      <w:r>
        <w:rPr>
          <w:rFonts w:hint="eastAsia" w:ascii="宋体" w:hAnsi="宋体" w:cs="宋体"/>
          <w:b w:val="0"/>
          <w:bCs w:val="0"/>
          <w:color w:val="auto"/>
          <w:sz w:val="24"/>
          <w:szCs w:val="24"/>
          <w:highlight w:val="none"/>
          <w:lang w:val="en-US" w:eastAsia="zh-CN"/>
        </w:rPr>
        <w:t>车辆</w:t>
      </w:r>
      <w:r>
        <w:rPr>
          <w:rFonts w:hint="eastAsia" w:ascii="宋体" w:hAnsi="宋体" w:eastAsia="宋体" w:cs="宋体"/>
          <w:b w:val="0"/>
          <w:bCs w:val="0"/>
          <w:color w:val="auto"/>
          <w:sz w:val="24"/>
          <w:szCs w:val="24"/>
          <w:highlight w:val="none"/>
          <w:lang w:val="en-US" w:eastAsia="zh-CN"/>
        </w:rPr>
        <w:t>，提前远程开闸放行。警车，消防车等车辆默认设置自动放行。特殊情况，人为远程放</w:t>
      </w:r>
      <w:r>
        <w:rPr>
          <w:rFonts w:hint="eastAsia" w:ascii="宋体" w:hAnsi="宋体" w:eastAsia="宋体" w:cs="宋体"/>
          <w:color w:val="auto"/>
          <w:sz w:val="24"/>
          <w:szCs w:val="24"/>
          <w:highlight w:val="none"/>
          <w:lang w:val="en-US" w:eastAsia="zh-CN"/>
        </w:rPr>
        <w:t>行。</w:t>
      </w:r>
    </w:p>
    <w:p>
      <w:pPr>
        <w:pStyle w:val="30"/>
        <w:numPr>
          <w:ilvl w:val="0"/>
          <w:numId w:val="33"/>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停车系统可以接入消防联动信号，一旦有消防信号，所有停车闸杆自动抬杆。</w:t>
      </w:r>
    </w:p>
    <w:p>
      <w:pPr>
        <w:pStyle w:val="30"/>
        <w:numPr>
          <w:ilvl w:val="0"/>
          <w:numId w:val="33"/>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水灾，爆炸等异常情况发生时，24小时远程监控中心都会及时发现，巡检人员就近前往人工处理。保证道路畅行。</w:t>
      </w:r>
    </w:p>
    <w:p>
      <w:pPr>
        <w:pStyle w:val="35"/>
        <w:numPr>
          <w:ilvl w:val="0"/>
          <w:numId w:val="30"/>
        </w:numPr>
        <w:spacing w:before="240" w:beforeLines="100" w:after="120" w:afterLines="5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其他约定：</w:t>
      </w:r>
    </w:p>
    <w:p>
      <w:pPr>
        <w:pStyle w:val="30"/>
        <w:numPr>
          <w:ilvl w:val="0"/>
          <w:numId w:val="34"/>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必须在</w:t>
      </w:r>
      <w:r>
        <w:rPr>
          <w:rFonts w:hint="eastAsia" w:ascii="宋体" w:hAnsi="宋体" w:cs="宋体"/>
          <w:b w:val="0"/>
          <w:bCs w:val="0"/>
          <w:color w:val="auto"/>
          <w:sz w:val="24"/>
          <w:szCs w:val="24"/>
          <w:highlight w:val="none"/>
          <w:lang w:val="en-US" w:eastAsia="zh-CN"/>
        </w:rPr>
        <w:t>成交通知书</w:t>
      </w:r>
      <w:r>
        <w:rPr>
          <w:rFonts w:hint="eastAsia" w:ascii="宋体" w:hAnsi="宋体" w:eastAsia="宋体" w:cs="宋体"/>
          <w:b w:val="0"/>
          <w:bCs w:val="0"/>
          <w:color w:val="auto"/>
          <w:sz w:val="24"/>
          <w:szCs w:val="24"/>
          <w:highlight w:val="none"/>
          <w:lang w:val="en-US" w:eastAsia="zh-CN"/>
        </w:rPr>
        <w:t>发出之日起15个工作日内完成本停车场在佛山市停车场管理系统登记备案。</w:t>
      </w:r>
    </w:p>
    <w:p>
      <w:pPr>
        <w:pStyle w:val="30"/>
        <w:numPr>
          <w:ilvl w:val="0"/>
          <w:numId w:val="34"/>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另外</w:t>
      </w:r>
      <w:r>
        <w:rPr>
          <w:rFonts w:hint="eastAsia" w:ascii="宋体" w:hAnsi="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需负责上二村内街灯的日常更换及维保工作。</w:t>
      </w:r>
    </w:p>
    <w:p>
      <w:pPr>
        <w:pStyle w:val="30"/>
        <w:numPr>
          <w:ilvl w:val="0"/>
          <w:numId w:val="34"/>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须开放停车管理系统的权限给</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，以便</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行使监督权利。</w:t>
      </w:r>
    </w:p>
    <w:p>
      <w:pPr>
        <w:pStyle w:val="35"/>
        <w:numPr>
          <w:ilvl w:val="0"/>
          <w:numId w:val="30"/>
        </w:numPr>
        <w:spacing w:before="240" w:beforeLines="100" w:after="120" w:afterLines="5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考核标准和办法</w:t>
      </w:r>
    </w:p>
    <w:tbl>
      <w:tblPr>
        <w:tblStyle w:val="19"/>
        <w:tblW w:w="9389" w:type="dxa"/>
        <w:tblInd w:w="0" w:type="dxa"/>
        <w:shd w:val="clear" w:color="auto" w:fill="auto"/>
        <w:tblLayout w:type="fixed"/>
        <w:tblCellMar>
          <w:top w:w="0" w:type="dxa"/>
          <w:left w:w="10" w:type="dxa"/>
          <w:bottom w:w="0" w:type="dxa"/>
          <w:right w:w="10" w:type="dxa"/>
        </w:tblCellMar>
      </w:tblPr>
      <w:tblGrid>
        <w:gridCol w:w="643"/>
        <w:gridCol w:w="1373"/>
        <w:gridCol w:w="3437"/>
        <w:gridCol w:w="2715"/>
        <w:gridCol w:w="1221"/>
      </w:tblGrid>
      <w:tr>
        <w:tblPrEx>
          <w:shd w:val="clear" w:color="auto" w:fill="auto"/>
          <w:tblCellMar>
            <w:top w:w="0" w:type="dxa"/>
            <w:left w:w="10" w:type="dxa"/>
            <w:bottom w:w="0" w:type="dxa"/>
            <w:right w:w="10" w:type="dxa"/>
          </w:tblCellMar>
        </w:tblPrEx>
        <w:trPr>
          <w:trHeight w:val="562" w:hRule="exact"/>
        </w:trPr>
        <w:tc>
          <w:tcPr>
            <w:tcW w:w="20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lang w:val="en-US" w:eastAsia="zh-CN"/>
              </w:rPr>
              <w:t>考核</w:t>
            </w:r>
            <w:r>
              <w:rPr>
                <w:rFonts w:hint="eastAsia" w:ascii="宋体" w:hAnsi="宋体" w:eastAsia="宋体" w:cs="宋体"/>
                <w:color w:val="auto"/>
                <w:spacing w:val="0"/>
                <w:w w:val="100"/>
                <w:position w:val="0"/>
                <w:sz w:val="24"/>
                <w:szCs w:val="24"/>
                <w:highlight w:val="none"/>
              </w:rPr>
              <w:t>项目</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考核标准</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考核办法</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w w:val="100"/>
                <w:position w:val="0"/>
                <w:sz w:val="24"/>
                <w:szCs w:val="24"/>
                <w:highlight w:val="none"/>
              </w:rPr>
              <w:t>考核</w:t>
            </w:r>
            <w:r>
              <w:rPr>
                <w:rFonts w:hint="eastAsia" w:ascii="宋体" w:hAnsi="宋体" w:eastAsia="宋体" w:cs="宋体"/>
                <w:color w:val="auto"/>
                <w:spacing w:val="0"/>
                <w:w w:val="100"/>
                <w:position w:val="0"/>
                <w:sz w:val="24"/>
                <w:szCs w:val="24"/>
                <w:highlight w:val="none"/>
                <w:lang w:val="en-US" w:eastAsia="zh-CN"/>
              </w:rPr>
              <w:t>人员</w:t>
            </w:r>
          </w:p>
        </w:tc>
      </w:tr>
      <w:tr>
        <w:tblPrEx>
          <w:tblCellMar>
            <w:top w:w="0" w:type="dxa"/>
            <w:left w:w="10" w:type="dxa"/>
            <w:bottom w:w="0" w:type="dxa"/>
            <w:right w:w="10" w:type="dxa"/>
          </w:tblCellMar>
        </w:tblPrEx>
        <w:trPr>
          <w:trHeight w:val="1020" w:hRule="exact"/>
        </w:trPr>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质量</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人员资质</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从业人员要按时到岗、统一服装，</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文明礼貌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不符合要求的每项每人每次扣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c>
          <w:tcPr>
            <w:tcW w:w="12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村两委干部及相关工作人员</w:t>
            </w:r>
          </w:p>
        </w:tc>
      </w:tr>
      <w:tr>
        <w:tblPrEx>
          <w:tblCellMar>
            <w:top w:w="0" w:type="dxa"/>
            <w:left w:w="10" w:type="dxa"/>
            <w:bottom w:w="0" w:type="dxa"/>
            <w:right w:w="10" w:type="dxa"/>
          </w:tblCellMar>
        </w:tblPrEx>
        <w:trPr>
          <w:trHeight w:val="1219"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从业人员熟练</w:t>
            </w:r>
            <w:r>
              <w:rPr>
                <w:rFonts w:hint="eastAsia" w:ascii="宋体" w:hAnsi="宋体" w:eastAsia="宋体" w:cs="宋体"/>
                <w:color w:val="auto"/>
                <w:sz w:val="24"/>
                <w:szCs w:val="24"/>
                <w:highlight w:val="none"/>
                <w:lang w:val="en-US" w:eastAsia="zh-CN"/>
              </w:rPr>
              <w:t>掌握业务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如村民群众对停车管理有疑问，</w:t>
            </w:r>
            <w:r>
              <w:rPr>
                <w:rFonts w:hint="eastAsia" w:ascii="宋体" w:hAnsi="宋体" w:eastAsia="宋体" w:cs="宋体"/>
                <w:color w:val="auto"/>
                <w:sz w:val="24"/>
                <w:szCs w:val="24"/>
                <w:highlight w:val="none"/>
              </w:rPr>
              <w:t>能够耐心细致解答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避免产生矛盾</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不符合要求的每人每次扣1分。</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4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设备管理</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定期</w:t>
            </w:r>
            <w:r>
              <w:rPr>
                <w:rFonts w:hint="eastAsia" w:ascii="宋体" w:hAnsi="宋体" w:eastAsia="宋体" w:cs="宋体"/>
                <w:color w:val="auto"/>
                <w:sz w:val="24"/>
                <w:szCs w:val="24"/>
                <w:highlight w:val="none"/>
              </w:rPr>
              <w:t>对设备运行情况进行检查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若设备产生故障，必须在24小时内完成维修</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因设备问题造成拥堵或其他影响的</w:t>
            </w:r>
            <w:r>
              <w:rPr>
                <w:rFonts w:hint="eastAsia" w:ascii="宋体" w:hAnsi="宋体" w:eastAsia="宋体" w:cs="宋体"/>
                <w:color w:val="auto"/>
                <w:sz w:val="24"/>
                <w:szCs w:val="24"/>
                <w:highlight w:val="none"/>
              </w:rPr>
              <w:t>，每次扣1分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71"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交通</w:t>
            </w:r>
            <w:r>
              <w:rPr>
                <w:rFonts w:hint="eastAsia" w:ascii="宋体" w:hAnsi="宋体" w:eastAsia="宋体" w:cs="宋体"/>
                <w:color w:val="auto"/>
                <w:sz w:val="24"/>
                <w:szCs w:val="24"/>
                <w:highlight w:val="none"/>
                <w:lang w:val="en-US" w:eastAsia="zh-CN"/>
              </w:rPr>
              <w:t>及停车场</w:t>
            </w:r>
            <w:r>
              <w:rPr>
                <w:rFonts w:hint="eastAsia" w:ascii="宋体" w:hAnsi="宋体" w:eastAsia="宋体" w:cs="宋体"/>
                <w:color w:val="auto"/>
                <w:sz w:val="24"/>
                <w:szCs w:val="24"/>
                <w:highlight w:val="none"/>
              </w:rPr>
              <w:t>设施标识完好。</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缺失一处</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en-US"/>
              </w:rPr>
              <w:t>0.5</w:t>
            </w:r>
            <w:r>
              <w:rPr>
                <w:rFonts w:hint="eastAsia" w:ascii="宋体" w:hAnsi="宋体" w:eastAsia="宋体" w:cs="宋体"/>
                <w:color w:val="auto"/>
                <w:sz w:val="24"/>
                <w:szCs w:val="24"/>
                <w:highlight w:val="none"/>
              </w:rPr>
              <w:t>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950"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案作规程</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在车辆管理中不得扣押车辆停放者证件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财物</w:t>
            </w:r>
            <w:r>
              <w:rPr>
                <w:rFonts w:hint="eastAsia" w:ascii="宋体" w:hAnsi="宋体" w:eastAsia="宋体" w:cs="宋体"/>
                <w:color w:val="auto"/>
                <w:sz w:val="24"/>
                <w:szCs w:val="24"/>
                <w:highlight w:val="none"/>
                <w:lang w:val="en-US" w:eastAsia="zh-CN"/>
              </w:rPr>
              <w:t>等私人物品</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发生</w:t>
            </w:r>
            <w:r>
              <w:rPr>
                <w:rFonts w:hint="eastAsia" w:ascii="宋体" w:hAnsi="宋体" w:eastAsia="宋体" w:cs="宋体"/>
                <w:color w:val="auto"/>
                <w:sz w:val="24"/>
                <w:szCs w:val="24"/>
                <w:highlight w:val="none"/>
              </w:rPr>
              <w:t>一次扣2分。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5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按与</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约定收费标准对停放车辆进行收费及开具有效发票。</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w:t>
            </w:r>
            <w:r>
              <w:rPr>
                <w:rFonts w:hint="eastAsia" w:ascii="宋体" w:hAnsi="宋体" w:eastAsia="宋体" w:cs="宋体"/>
                <w:color w:val="auto"/>
                <w:sz w:val="24"/>
                <w:szCs w:val="24"/>
                <w:highlight w:val="none"/>
              </w:rPr>
              <w:t>一次扣2分。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667"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在停车场</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发生汽车车损</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事故</w:t>
            </w:r>
            <w:r>
              <w:rPr>
                <w:rFonts w:hint="eastAsia" w:ascii="宋体" w:hAnsi="宋体" w:eastAsia="宋体" w:cs="宋体"/>
                <w:color w:val="auto"/>
                <w:sz w:val="24"/>
                <w:szCs w:val="24"/>
                <w:highlight w:val="none"/>
                <w:lang w:val="en-US" w:eastAsia="zh-CN"/>
              </w:rPr>
              <w:t>等时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需主动</w:t>
            </w:r>
            <w:r>
              <w:rPr>
                <w:rFonts w:hint="eastAsia" w:ascii="宋体" w:hAnsi="宋体" w:eastAsia="宋体" w:cs="宋体"/>
                <w:color w:val="auto"/>
                <w:sz w:val="24"/>
                <w:szCs w:val="24"/>
                <w:highlight w:val="none"/>
              </w:rPr>
              <w:t>报警处</w:t>
            </w:r>
            <w:r>
              <w:rPr>
                <w:rFonts w:hint="eastAsia" w:ascii="宋体" w:hAnsi="宋体" w:eastAsia="宋体" w:cs="宋体"/>
                <w:color w:val="auto"/>
                <w:sz w:val="24"/>
                <w:szCs w:val="24"/>
                <w:highlight w:val="none"/>
                <w:lang w:val="en-US" w:eastAsia="zh-CN"/>
              </w:rPr>
              <w:t>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val="en-US" w:eastAsia="zh-CN"/>
              </w:rPr>
              <w:t>事故造成车辆</w:t>
            </w:r>
            <w:r>
              <w:rPr>
                <w:rFonts w:hint="eastAsia" w:ascii="宋体" w:hAnsi="宋体" w:eastAsia="宋体" w:cs="宋体"/>
                <w:color w:val="auto"/>
                <w:sz w:val="24"/>
                <w:szCs w:val="24"/>
                <w:highlight w:val="none"/>
              </w:rPr>
              <w:t>拥堵的，必须及时协调处理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分钟内</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rPr>
              <w:t>疏通。</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违反一次</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931"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要切实履行防火安全、门前三包、</w:t>
            </w:r>
            <w:r>
              <w:rPr>
                <w:rFonts w:hint="eastAsia" w:ascii="宋体" w:hAnsi="宋体" w:eastAsia="宋体" w:cs="宋体"/>
                <w:color w:val="auto"/>
                <w:sz w:val="24"/>
                <w:szCs w:val="24"/>
                <w:highlight w:val="none"/>
                <w:lang w:val="en-US" w:eastAsia="zh-CN"/>
              </w:rPr>
              <w:t>治安安全等</w:t>
            </w:r>
            <w:r>
              <w:rPr>
                <w:rFonts w:hint="eastAsia" w:ascii="宋体" w:hAnsi="宋体" w:eastAsia="宋体" w:cs="宋体"/>
                <w:color w:val="auto"/>
                <w:sz w:val="24"/>
                <w:szCs w:val="24"/>
                <w:highlight w:val="none"/>
              </w:rPr>
              <w:t>义务。</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产生问题一次</w:t>
            </w:r>
            <w:r>
              <w:rPr>
                <w:rFonts w:hint="eastAsia" w:ascii="宋体" w:hAnsi="宋体" w:eastAsia="宋体" w:cs="宋体"/>
                <w:color w:val="auto"/>
                <w:sz w:val="24"/>
                <w:szCs w:val="24"/>
                <w:highlight w:val="none"/>
              </w:rPr>
              <w:t>扣1分。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43" w:hRule="exact"/>
        </w:trPr>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单项</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w:t>
            </w: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若因服</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lang w:val="en-US" w:eastAsia="zh-CN"/>
              </w:rPr>
              <w:t>问题产生</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且经核实为有效投诉的</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每</w:t>
            </w:r>
            <w:r>
              <w:rPr>
                <w:rFonts w:hint="eastAsia" w:ascii="宋体" w:hAnsi="宋体" w:eastAsia="宋体" w:cs="宋体"/>
                <w:color w:val="auto"/>
                <w:sz w:val="24"/>
                <w:szCs w:val="24"/>
                <w:highlight w:val="none"/>
              </w:rPr>
              <w:t>次扣3分。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412"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必须具备进行停车场管理运营及收费的资质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且办理相关许可证及备案手续，</w:t>
            </w:r>
            <w:r>
              <w:rPr>
                <w:rFonts w:hint="eastAsia" w:ascii="宋体" w:hAnsi="宋体" w:eastAsia="宋体" w:cs="宋体"/>
                <w:color w:val="auto"/>
                <w:sz w:val="24"/>
                <w:szCs w:val="24"/>
                <w:highlight w:val="none"/>
              </w:rPr>
              <w:t>按税收管理制度</w:t>
            </w:r>
            <w:r>
              <w:rPr>
                <w:rFonts w:hint="eastAsia" w:ascii="宋体" w:hAnsi="宋体" w:eastAsia="宋体" w:cs="宋体"/>
                <w:color w:val="auto"/>
                <w:sz w:val="24"/>
                <w:szCs w:val="24"/>
                <w:highlight w:val="none"/>
                <w:lang w:val="en-US" w:eastAsia="zh-CN"/>
              </w:rPr>
              <w:t>开具</w:t>
            </w:r>
            <w:r>
              <w:rPr>
                <w:rFonts w:hint="eastAsia" w:ascii="宋体" w:hAnsi="宋体" w:eastAsia="宋体" w:cs="宋体"/>
                <w:color w:val="auto"/>
                <w:sz w:val="24"/>
                <w:szCs w:val="24"/>
                <w:highlight w:val="none"/>
              </w:rPr>
              <w:t>发票。不得使用假票和涂改及与单位不相符的票</w:t>
            </w:r>
            <w:r>
              <w:rPr>
                <w:rFonts w:hint="eastAsia" w:ascii="宋体" w:hAnsi="宋体" w:eastAsia="宋体" w:cs="宋体"/>
                <w:color w:val="auto"/>
                <w:sz w:val="24"/>
                <w:szCs w:val="24"/>
                <w:highlight w:val="none"/>
                <w:lang w:val="en-US" w:eastAsia="zh-CN"/>
              </w:rPr>
              <w:t>证</w:t>
            </w:r>
            <w:r>
              <w:rPr>
                <w:rFonts w:hint="eastAsia" w:ascii="宋体" w:hAnsi="宋体" w:eastAsia="宋体" w:cs="宋体"/>
                <w:color w:val="auto"/>
                <w:sz w:val="24"/>
                <w:szCs w:val="24"/>
                <w:highlight w:val="none"/>
              </w:rPr>
              <w:t>，不得伪造有关证照和票据。</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发生</w:t>
            </w:r>
            <w:r>
              <w:rPr>
                <w:rFonts w:hint="eastAsia" w:ascii="宋体" w:hAnsi="宋体" w:eastAsia="宋体" w:cs="宋体"/>
                <w:color w:val="auto"/>
                <w:sz w:val="24"/>
                <w:szCs w:val="24"/>
                <w:highlight w:val="none"/>
              </w:rPr>
              <w:t>一次扣3分。</w:t>
            </w:r>
          </w:p>
        </w:tc>
        <w:tc>
          <w:tcPr>
            <w:tcW w:w="1221"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5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因设备或管理原因</w:t>
            </w:r>
            <w:r>
              <w:rPr>
                <w:rFonts w:hint="eastAsia" w:ascii="宋体" w:hAnsi="宋体" w:eastAsia="宋体" w:cs="宋体"/>
                <w:color w:val="auto"/>
                <w:sz w:val="24"/>
                <w:szCs w:val="24"/>
                <w:highlight w:val="none"/>
              </w:rPr>
              <w:t>导致</w:t>
            </w:r>
            <w:r>
              <w:rPr>
                <w:rFonts w:hint="eastAsia" w:ascii="宋体" w:hAnsi="宋体" w:eastAsia="宋体" w:cs="宋体"/>
                <w:color w:val="auto"/>
                <w:sz w:val="24"/>
                <w:szCs w:val="24"/>
                <w:highlight w:val="none"/>
                <w:lang w:val="en-US" w:eastAsia="zh-CN"/>
              </w:rPr>
              <w:t>停放</w:t>
            </w:r>
            <w:r>
              <w:rPr>
                <w:rFonts w:hint="eastAsia" w:ascii="宋体" w:hAnsi="宋体" w:eastAsia="宋体" w:cs="宋体"/>
                <w:color w:val="auto"/>
                <w:sz w:val="24"/>
                <w:szCs w:val="24"/>
                <w:highlight w:val="none"/>
              </w:rPr>
              <w:t>车辆损坏</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5分钟内</w:t>
            </w:r>
            <w:r>
              <w:rPr>
                <w:rFonts w:hint="eastAsia" w:ascii="宋体" w:hAnsi="宋体" w:eastAsia="宋体" w:cs="宋体"/>
                <w:color w:val="auto"/>
                <w:sz w:val="24"/>
                <w:szCs w:val="24"/>
                <w:highlight w:val="none"/>
                <w:lang w:val="en-US" w:eastAsia="zh-CN"/>
              </w:rPr>
              <w:t>到场</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val="en-US" w:eastAsia="zh-CN"/>
              </w:rPr>
              <w:t>化</w:t>
            </w:r>
            <w:r>
              <w:rPr>
                <w:rFonts w:hint="eastAsia" w:ascii="宋体" w:hAnsi="宋体" w:eastAsia="宋体" w:cs="宋体"/>
                <w:color w:val="auto"/>
                <w:sz w:val="24"/>
                <w:szCs w:val="24"/>
                <w:highlight w:val="none"/>
              </w:rPr>
              <w:t>解。</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w:t>
            </w:r>
            <w:r>
              <w:rPr>
                <w:rFonts w:hint="eastAsia" w:ascii="宋体" w:hAnsi="宋体" w:eastAsia="宋体" w:cs="宋体"/>
                <w:color w:val="auto"/>
                <w:sz w:val="24"/>
                <w:szCs w:val="24"/>
                <w:highlight w:val="none"/>
              </w:rPr>
              <w:t>一次1分。</w:t>
            </w:r>
          </w:p>
        </w:tc>
        <w:tc>
          <w:tcPr>
            <w:tcW w:w="1221"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375"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若有建</w:t>
            </w:r>
            <w:r>
              <w:rPr>
                <w:rFonts w:hint="eastAsia" w:ascii="宋体" w:hAnsi="宋体" w:eastAsia="宋体" w:cs="宋体"/>
                <w:color w:val="auto"/>
                <w:sz w:val="24"/>
                <w:szCs w:val="24"/>
                <w:highlight w:val="none"/>
              </w:rPr>
              <w:t>筑</w:t>
            </w:r>
            <w:r>
              <w:rPr>
                <w:rFonts w:hint="eastAsia" w:ascii="宋体" w:hAnsi="宋体" w:eastAsia="宋体" w:cs="宋体"/>
                <w:color w:val="auto"/>
                <w:sz w:val="24"/>
                <w:szCs w:val="24"/>
                <w:highlight w:val="none"/>
                <w:lang w:val="en-US" w:eastAsia="zh-CN"/>
              </w:rPr>
              <w:t>杂物</w:t>
            </w:r>
            <w:r>
              <w:rPr>
                <w:rFonts w:hint="eastAsia" w:ascii="宋体" w:hAnsi="宋体" w:eastAsia="宋体" w:cs="宋体"/>
                <w:color w:val="auto"/>
                <w:sz w:val="24"/>
                <w:szCs w:val="24"/>
                <w:highlight w:val="none"/>
              </w:rPr>
              <w:t>、乱摆卖摊</w:t>
            </w:r>
            <w:r>
              <w:rPr>
                <w:rFonts w:hint="eastAsia" w:ascii="宋体" w:hAnsi="宋体" w:eastAsia="宋体" w:cs="宋体"/>
                <w:color w:val="auto"/>
                <w:sz w:val="24"/>
                <w:szCs w:val="24"/>
                <w:highlight w:val="none"/>
                <w:lang w:val="en-US" w:eastAsia="zh-CN"/>
              </w:rPr>
              <w:t>档等占用</w:t>
            </w:r>
            <w:r>
              <w:rPr>
                <w:rFonts w:hint="eastAsia" w:ascii="宋体" w:hAnsi="宋体" w:eastAsia="宋体" w:cs="宋体"/>
                <w:color w:val="auto"/>
                <w:sz w:val="24"/>
                <w:szCs w:val="24"/>
                <w:highlight w:val="none"/>
              </w:rPr>
              <w:t>停车位、消防通道、行车通道</w:t>
            </w:r>
            <w:r>
              <w:rPr>
                <w:rFonts w:hint="eastAsia" w:ascii="宋体" w:hAnsi="宋体" w:eastAsia="宋体" w:cs="宋体"/>
                <w:color w:val="auto"/>
                <w:sz w:val="24"/>
                <w:szCs w:val="24"/>
                <w:highlight w:val="none"/>
                <w:lang w:val="en-US" w:eastAsia="zh-CN"/>
              </w:rPr>
              <w:t>等情况的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需5分钟内到场处理；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3次以上</w:t>
            </w:r>
            <w:r>
              <w:rPr>
                <w:rFonts w:hint="eastAsia" w:ascii="宋体" w:hAnsi="宋体" w:eastAsia="宋体" w:cs="宋体"/>
                <w:color w:val="auto"/>
                <w:sz w:val="24"/>
                <w:szCs w:val="24"/>
                <w:highlight w:val="none"/>
              </w:rPr>
              <w:t>占用</w:t>
            </w:r>
            <w:r>
              <w:rPr>
                <w:rFonts w:hint="eastAsia" w:ascii="宋体" w:hAnsi="宋体" w:eastAsia="宋体" w:cs="宋体"/>
                <w:color w:val="auto"/>
                <w:sz w:val="24"/>
                <w:szCs w:val="24"/>
                <w:highlight w:val="none"/>
                <w:lang w:val="en-US" w:eastAsia="zh-CN"/>
              </w:rPr>
              <w:t>行车通道</w:t>
            </w:r>
            <w:r>
              <w:rPr>
                <w:rFonts w:hint="eastAsia" w:ascii="宋体" w:hAnsi="宋体" w:eastAsia="宋体" w:cs="宋体"/>
                <w:color w:val="auto"/>
                <w:sz w:val="24"/>
                <w:szCs w:val="24"/>
                <w:highlight w:val="none"/>
              </w:rPr>
              <w:t>、消防通道</w:t>
            </w:r>
            <w:r>
              <w:rPr>
                <w:rFonts w:hint="eastAsia" w:ascii="宋体" w:hAnsi="宋体" w:eastAsia="宋体" w:cs="宋体"/>
                <w:color w:val="auto"/>
                <w:sz w:val="24"/>
                <w:szCs w:val="24"/>
                <w:highlight w:val="none"/>
                <w:lang w:val="en-US" w:eastAsia="zh-CN"/>
              </w:rPr>
              <w:t>等的车辆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lang w:val="en-US" w:eastAsia="zh-CN"/>
              </w:rPr>
              <w:t>处理，</w:t>
            </w:r>
            <w:r>
              <w:rPr>
                <w:rFonts w:hint="eastAsia" w:ascii="宋体" w:hAnsi="宋体" w:eastAsia="宋体" w:cs="宋体"/>
                <w:color w:val="auto"/>
                <w:sz w:val="24"/>
                <w:szCs w:val="24"/>
                <w:highlight w:val="none"/>
              </w:rPr>
              <w:t>禁止</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车辆进入村内。</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未按要求处理</w:t>
            </w:r>
            <w:r>
              <w:rPr>
                <w:rFonts w:hint="eastAsia" w:ascii="宋体" w:hAnsi="宋体" w:eastAsia="宋体" w:cs="宋体"/>
                <w:color w:val="auto"/>
                <w:sz w:val="24"/>
                <w:szCs w:val="24"/>
                <w:highlight w:val="none"/>
              </w:rPr>
              <w:t>一次</w:t>
            </w:r>
            <w:r>
              <w:rPr>
                <w:rFonts w:hint="eastAsia" w:ascii="宋体" w:hAnsi="宋体" w:eastAsia="宋体" w:cs="宋体"/>
                <w:color w:val="auto"/>
                <w:sz w:val="24"/>
                <w:szCs w:val="24"/>
                <w:highlight w:val="none"/>
                <w:lang w:val="en-US" w:eastAsia="zh-CN"/>
              </w:rPr>
              <w:t>扣</w:t>
            </w:r>
            <w:r>
              <w:rPr>
                <w:rFonts w:hint="eastAsia" w:ascii="宋体" w:hAnsi="宋体" w:eastAsia="宋体" w:cs="宋体"/>
                <w:color w:val="auto"/>
                <w:sz w:val="24"/>
                <w:szCs w:val="24"/>
                <w:highlight w:val="none"/>
              </w:rPr>
              <w:t>1分</w:t>
            </w:r>
          </w:p>
        </w:tc>
        <w:tc>
          <w:tcPr>
            <w:tcW w:w="1221" w:type="dxa"/>
            <w:vMerge w:val="continue"/>
            <w:tcBorders>
              <w:left w:val="single" w:color="auto" w:sz="4" w:space="0"/>
              <w:bottom w:val="single" w:color="auto" w:sz="4" w:space="0"/>
              <w:right w:val="single" w:color="auto" w:sz="4" w:space="0"/>
            </w:tcBorders>
            <w:shd w:val="clear" w:color="auto" w:fill="auto"/>
            <w:vAlign w:val="top"/>
          </w:tcPr>
          <w:p>
            <w:pPr>
              <w:widowControl w:val="0"/>
              <w:rPr>
                <w:rFonts w:hint="eastAsia" w:ascii="宋体" w:hAnsi="宋体" w:eastAsia="宋体" w:cs="宋体"/>
                <w:color w:val="auto"/>
                <w:sz w:val="24"/>
                <w:szCs w:val="24"/>
                <w:highlight w:val="none"/>
              </w:rPr>
            </w:pPr>
          </w:p>
        </w:tc>
      </w:tr>
    </w:tbl>
    <w:p>
      <w:pPr>
        <w:pStyle w:val="30"/>
        <w:numPr>
          <w:ilvl w:val="0"/>
          <w:numId w:val="0"/>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每季度考核一次，考核总分为100分，具体考核制度</w:t>
      </w:r>
      <w:r>
        <w:rPr>
          <w:rFonts w:hint="eastAsia" w:ascii="宋体" w:hAnsi="宋体" w:eastAsia="宋体" w:cs="宋体"/>
          <w:color w:val="auto"/>
          <w:sz w:val="24"/>
          <w:szCs w:val="24"/>
          <w:highlight w:val="none"/>
          <w:lang w:val="en-US" w:eastAsia="zh-CN"/>
        </w:rPr>
        <w:t>和</w:t>
      </w:r>
      <w:r>
        <w:rPr>
          <w:rFonts w:hint="eastAsia" w:ascii="宋体" w:hAnsi="宋体" w:eastAsia="宋体" w:cs="宋体"/>
          <w:b/>
          <w:bCs/>
          <w:color w:val="auto"/>
          <w:sz w:val="24"/>
          <w:szCs w:val="24"/>
          <w:highlight w:val="none"/>
          <w:lang w:val="en-US" w:eastAsia="zh-CN"/>
        </w:rPr>
        <w:t>监管惩罚金额</w:t>
      </w:r>
      <w:r>
        <w:rPr>
          <w:rFonts w:hint="eastAsia" w:ascii="宋体" w:hAnsi="宋体" w:eastAsia="宋体" w:cs="宋体"/>
          <w:color w:val="auto"/>
          <w:sz w:val="24"/>
          <w:szCs w:val="24"/>
          <w:highlight w:val="none"/>
        </w:rPr>
        <w:t>如下:</w:t>
      </w:r>
    </w:p>
    <w:p>
      <w:pPr>
        <w:pStyle w:val="30"/>
        <w:numPr>
          <w:ilvl w:val="0"/>
          <w:numId w:val="3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若合同签订之日起半年内出现一次考核得分低于80分的为不达标，</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可以单方解除本合同，并</w:t>
      </w:r>
      <w:r>
        <w:rPr>
          <w:rFonts w:hint="eastAsia" w:ascii="宋体" w:hAnsi="宋体" w:cs="宋体"/>
          <w:color w:val="auto"/>
          <w:sz w:val="24"/>
          <w:szCs w:val="24"/>
          <w:highlight w:val="none"/>
          <w:lang w:eastAsia="zh-CN"/>
        </w:rPr>
        <w:t>不予退还乙方履约保证金</w:t>
      </w:r>
      <w:r>
        <w:rPr>
          <w:rFonts w:hint="eastAsia" w:ascii="宋体" w:hAnsi="宋体" w:eastAsia="宋体" w:cs="宋体"/>
          <w:color w:val="auto"/>
          <w:sz w:val="24"/>
          <w:szCs w:val="24"/>
          <w:highlight w:val="none"/>
        </w:rPr>
        <w:t>和不退回已交的服务费，且</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投入建设安装的一切设施设备无偿归</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所有。</w:t>
      </w:r>
    </w:p>
    <w:p>
      <w:pPr>
        <w:pStyle w:val="30"/>
        <w:numPr>
          <w:ilvl w:val="0"/>
          <w:numId w:val="3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若当年有2个或以上季度考核得分低于80分，</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可以单方解除本合同，并</w:t>
      </w:r>
      <w:r>
        <w:rPr>
          <w:rFonts w:hint="eastAsia" w:ascii="宋体" w:hAnsi="宋体" w:eastAsia="宋体" w:cs="宋体"/>
          <w:color w:val="auto"/>
          <w:sz w:val="24"/>
          <w:szCs w:val="24"/>
          <w:highlight w:val="none"/>
          <w:lang w:eastAsia="zh-CN"/>
        </w:rPr>
        <w:t>不予退还</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履约保证金</w:t>
      </w:r>
      <w:r>
        <w:rPr>
          <w:rFonts w:hint="eastAsia" w:ascii="宋体" w:hAnsi="宋体" w:eastAsia="宋体" w:cs="宋体"/>
          <w:color w:val="auto"/>
          <w:sz w:val="24"/>
          <w:szCs w:val="24"/>
          <w:highlight w:val="none"/>
        </w:rPr>
        <w:t>和不退回已交的服务费，且</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投入建设安装的一切设施设备无偿归</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所有。</w:t>
      </w:r>
    </w:p>
    <w:p>
      <w:pPr>
        <w:pStyle w:val="30"/>
        <w:numPr>
          <w:ilvl w:val="0"/>
          <w:numId w:val="3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有权监督</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依据双方约定事项进行日常管理：若因服务问题工作人员工作不积极而导致管理不善致道路因乱停放的现象多，产生堵塞而被村民投诉或拍照影相不符合停车要求的，且经由村干部核实为有效投诉的，将由</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进行金额惩罚，惩罚金额200元或以上最终解释权归</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w:t>
      </w:r>
    </w:p>
    <w:p>
      <w:pPr>
        <w:pStyle w:val="30"/>
        <w:numPr>
          <w:ilvl w:val="0"/>
          <w:numId w:val="3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可对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进行约谈，要求加强巡查整改，如因</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工作人员态度不好导致处事不公而引发纠纷案或投诉案多的，</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有权要求</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在限期内整改并更换人员，如</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限期拒不整改的，视为</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根本违约，</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有权单方面解除合同，</w:t>
      </w:r>
      <w:r>
        <w:rPr>
          <w:rFonts w:hint="eastAsia" w:ascii="宋体" w:hAnsi="宋体" w:eastAsia="宋体" w:cs="宋体"/>
          <w:color w:val="auto"/>
          <w:sz w:val="24"/>
          <w:szCs w:val="24"/>
          <w:highlight w:val="none"/>
          <w:lang w:eastAsia="zh-CN"/>
        </w:rPr>
        <w:t>不予退还</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履约保证金</w:t>
      </w:r>
      <w:r>
        <w:rPr>
          <w:rFonts w:hint="eastAsia" w:ascii="宋体" w:hAnsi="宋体" w:eastAsia="宋体" w:cs="宋体"/>
          <w:color w:val="auto"/>
          <w:sz w:val="24"/>
          <w:szCs w:val="24"/>
          <w:highlight w:val="none"/>
        </w:rPr>
        <w:t>和不退回已交的服务费，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投入建设安装的一切设施设备无偿归</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所有。</w:t>
      </w:r>
    </w:p>
    <w:p>
      <w:pPr>
        <w:pStyle w:val="30"/>
        <w:numPr>
          <w:ilvl w:val="0"/>
          <w:numId w:val="35"/>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有权监督</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依据双方约定事项进行日常管理。</w:t>
      </w:r>
    </w:p>
    <w:p>
      <w:pPr>
        <w:pStyle w:val="35"/>
        <w:numPr>
          <w:ilvl w:val="0"/>
          <w:numId w:val="30"/>
        </w:numPr>
        <w:spacing w:before="240" w:beforeLines="100" w:after="120" w:afterLines="50" w:line="360" w:lineRule="auto"/>
        <w:rPr>
          <w:b/>
          <w:bCs/>
          <w:color w:val="auto"/>
          <w:sz w:val="24"/>
          <w:szCs w:val="24"/>
          <w:highlight w:val="none"/>
        </w:rPr>
      </w:pPr>
      <w:r>
        <w:rPr>
          <w:b/>
          <w:bCs/>
          <w:color w:val="auto"/>
          <w:sz w:val="24"/>
          <w:szCs w:val="24"/>
          <w:highlight w:val="none"/>
        </w:rPr>
        <w:t>关键合同条款一览表</w:t>
      </w:r>
    </w:p>
    <w:tbl>
      <w:tblPr>
        <w:tblStyle w:val="19"/>
        <w:tblW w:w="8322"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21"/>
        <w:gridCol w:w="1776"/>
        <w:gridCol w:w="582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color w:val="auto"/>
                <w:sz w:val="24"/>
                <w:szCs w:val="24"/>
                <w:highlight w:val="none"/>
              </w:rPr>
            </w:pPr>
            <w:r>
              <w:rPr>
                <w:rFonts w:ascii="宋体" w:hAnsi="宋体" w:cs="宋体"/>
                <w:color w:val="auto"/>
                <w:sz w:val="24"/>
                <w:szCs w:val="24"/>
                <w:highlight w:val="none"/>
              </w:rPr>
              <w:t>序号</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color w:val="auto"/>
                <w:sz w:val="24"/>
                <w:szCs w:val="24"/>
                <w:highlight w:val="none"/>
              </w:rPr>
            </w:pPr>
            <w:r>
              <w:rPr>
                <w:rFonts w:ascii="宋体" w:hAnsi="宋体" w:cs="宋体"/>
                <w:color w:val="auto"/>
                <w:sz w:val="24"/>
                <w:szCs w:val="24"/>
                <w:highlight w:val="none"/>
              </w:rPr>
              <w:t>商务条款</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jc w:val="center"/>
              <w:rPr>
                <w:color w:val="auto"/>
                <w:sz w:val="24"/>
                <w:szCs w:val="24"/>
                <w:highlight w:val="none"/>
              </w:rPr>
            </w:pPr>
            <w:r>
              <w:rPr>
                <w:rFonts w:ascii="宋体" w:hAnsi="宋体" w:cs="宋体"/>
                <w:color w:val="auto"/>
                <w:sz w:val="24"/>
                <w:szCs w:val="24"/>
                <w:highlight w:val="none"/>
              </w:rPr>
              <w:t>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18" w:hRule="atLeast"/>
        </w:trPr>
        <w:tc>
          <w:tcPr>
            <w:tcW w:w="721" w:type="dxa"/>
            <w:tcBorders>
              <w:top w:val="outset" w:color="auto" w:sz="6" w:space="0"/>
              <w:left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76" w:type="dxa"/>
            <w:tcBorders>
              <w:top w:val="outset" w:color="auto" w:sz="6" w:space="0"/>
              <w:left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合同金额（不含税，税费由乙方另行承担</w:t>
            </w:r>
            <w:r>
              <w:rPr>
                <w:rFonts w:hint="eastAsia" w:ascii="宋体" w:hAnsi="宋体" w:cs="宋体"/>
                <w:color w:val="auto"/>
                <w:sz w:val="24"/>
                <w:szCs w:val="24"/>
                <w:highlight w:val="none"/>
                <w:lang w:eastAsia="zh-CN"/>
              </w:rPr>
              <w:t>）</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年度管理费金额：</w:t>
            </w:r>
            <w:r>
              <w:rPr>
                <w:rFonts w:hint="eastAsia" w:ascii="宋体" w:hAnsi="宋体" w:eastAsia="宋体" w:cs="宋体"/>
                <w:color w:val="auto"/>
                <w:sz w:val="24"/>
                <w:szCs w:val="24"/>
                <w:highlight w:val="none"/>
              </w:rPr>
              <w:t>小写：</w:t>
            </w:r>
            <w:r>
              <w:rPr>
                <w:rFonts w:hint="eastAsia" w:ascii="宋体" w:hAnsi="宋体" w:cs="宋体"/>
                <w:color w:val="auto"/>
                <w:sz w:val="24"/>
                <w:szCs w:val="24"/>
                <w:highlight w:val="none"/>
                <w:lang w:eastAsia="zh-CN"/>
              </w:rPr>
              <w:t>；大写</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122" w:hRule="atLeast"/>
        </w:trPr>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合同金额内容</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numPr>
                <w:ilvl w:val="0"/>
                <w:numId w:val="0"/>
              </w:numPr>
              <w:ind w:leftChars="0"/>
              <w:jc w:val="left"/>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支付给</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费用。包括但不限于以下各项的支出费用由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另外自行承担：（1）工人工资、福利：人工费、劳工意外保险、工伤、医疗、</w:t>
            </w:r>
            <w:r>
              <w:rPr>
                <w:rFonts w:hint="eastAsia" w:asciiTheme="minorEastAsia" w:hAnsiTheme="minorEastAsia" w:eastAsiaTheme="minorEastAsia" w:cstheme="minorEastAsia"/>
                <w:color w:val="auto"/>
                <w:sz w:val="24"/>
                <w:szCs w:val="24"/>
                <w:highlight w:val="none"/>
                <w:lang w:eastAsia="zh-CN"/>
              </w:rPr>
              <w:t>失业</w:t>
            </w:r>
            <w:r>
              <w:rPr>
                <w:rFonts w:hint="eastAsia" w:asciiTheme="minorEastAsia" w:hAnsiTheme="minorEastAsia" w:eastAsiaTheme="minorEastAsia" w:cstheme="minorEastAsia"/>
                <w:color w:val="auto"/>
                <w:sz w:val="24"/>
                <w:szCs w:val="24"/>
                <w:highlight w:val="none"/>
              </w:rPr>
              <w:t>、养老保险、其他福利待遇、特殊人员体检费；（2）劳保用品、服装费：一切劳保用品、服装费用；（3）培训费：全体人员一切专业培训、办证费用；（4）员工的住宿及住宿费用；（5）项目运营、停车管理、软硬件投资建设和维护及服务等所发生的一切费用；（6）提供停车费全额含税发票；（7）合同实施过程中的应预见和不可预见费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8" w:hRule="atLeast"/>
        </w:trPr>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5年，</w:t>
            </w:r>
            <w:r>
              <w:rPr>
                <w:rFonts w:hint="eastAsia" w:asciiTheme="minorEastAsia" w:hAnsiTheme="minorEastAsia" w:eastAsiaTheme="minorEastAsia" w:cstheme="minorEastAsia"/>
                <w:color w:val="auto"/>
                <w:sz w:val="24"/>
                <w:szCs w:val="24"/>
                <w:highlight w:val="none"/>
              </w:rPr>
              <w:t>合同期限</w:t>
            </w:r>
            <w:r>
              <w:rPr>
                <w:rFonts w:hint="eastAsia" w:asciiTheme="minorEastAsia" w:hAnsiTheme="minorEastAsia" w:eastAsiaTheme="minorEastAsia" w:cstheme="minorEastAsia"/>
                <w:color w:val="auto"/>
                <w:sz w:val="24"/>
                <w:szCs w:val="24"/>
                <w:highlight w:val="none"/>
                <w:lang w:eastAsia="zh-CN"/>
              </w:rPr>
              <w:t>自</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日至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日止</w:t>
            </w:r>
            <w:r>
              <w:rPr>
                <w:rFonts w:hint="eastAsia" w:asciiTheme="minorEastAsia" w:hAnsiTheme="minorEastAsia" w:eastAsiaTheme="minorEastAsia" w:cstheme="minorEastAsia"/>
                <w:color w:val="auto"/>
                <w:sz w:val="24"/>
                <w:szCs w:val="24"/>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停车费收取方式</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按照本合同制定的车辆管理费收费标准，对进入甲方辖区内停放的外来车辆收取车辆管理维护</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费。</w:t>
            </w:r>
          </w:p>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在合同期内按季度向</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支付</w:t>
            </w:r>
            <w:r>
              <w:rPr>
                <w:rFonts w:hint="eastAsia" w:asciiTheme="minorEastAsia" w:hAnsiTheme="minorEastAsia" w:eastAsiaTheme="minorEastAsia" w:cstheme="minorEastAsia"/>
                <w:color w:val="auto"/>
                <w:sz w:val="24"/>
                <w:szCs w:val="24"/>
                <w:highlight w:val="none"/>
                <w:lang w:eastAsia="zh-CN"/>
              </w:rPr>
              <w:t>车辆停放管理服务维护费</w:t>
            </w:r>
            <w:r>
              <w:rPr>
                <w:rFonts w:hint="eastAsia" w:asciiTheme="minorEastAsia" w:hAnsiTheme="minorEastAsia" w:eastAsiaTheme="minorEastAsia" w:cstheme="minorEastAsia"/>
                <w:color w:val="auto"/>
                <w:sz w:val="24"/>
                <w:szCs w:val="24"/>
                <w:highlight w:val="none"/>
              </w:rPr>
              <w:t>：</w:t>
            </w:r>
          </w:p>
          <w:p>
            <w:pPr>
              <w:numPr>
                <w:ilvl w:val="0"/>
                <w:numId w:val="36"/>
              </w:numPr>
              <w:ind w:left="415" w:leftChars="0" w:hanging="415" w:hangingChars="173"/>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按季度支付管理车辆维护服务费，</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须在合同签订之日起5天内向</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支付</w:t>
            </w:r>
            <w:r>
              <w:rPr>
                <w:rFonts w:hint="eastAsia" w:ascii="宋体" w:hAnsi="宋体" w:eastAsia="宋体" w:cs="宋体"/>
                <w:color w:val="auto"/>
                <w:sz w:val="24"/>
                <w:szCs w:val="24"/>
                <w:highlight w:val="none"/>
              </w:rPr>
              <w:t>管理车辆维护服务费</w:t>
            </w:r>
            <w:r>
              <w:rPr>
                <w:rFonts w:hint="eastAsia" w:asciiTheme="minorEastAsia" w:hAnsiTheme="minorEastAsia" w:eastAsiaTheme="minorEastAsia" w:cstheme="minorEastAsia"/>
                <w:color w:val="auto"/>
                <w:sz w:val="24"/>
                <w:szCs w:val="24"/>
                <w:highlight w:val="none"/>
              </w:rPr>
              <w:t>；</w:t>
            </w:r>
          </w:p>
          <w:p>
            <w:pPr>
              <w:numPr>
                <w:ilvl w:val="0"/>
                <w:numId w:val="36"/>
              </w:numPr>
              <w:ind w:left="415" w:leftChars="0" w:hanging="415" w:hangingChars="173"/>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按先支付后管理使用原则，逾期15日未付清的视作根本性违约，</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有权单方解除本合同，</w:t>
            </w:r>
            <w:r>
              <w:rPr>
                <w:rFonts w:hint="eastAsia" w:ascii="宋体" w:hAnsi="宋体" w:cs="宋体"/>
                <w:color w:val="auto"/>
                <w:sz w:val="24"/>
                <w:szCs w:val="24"/>
                <w:highlight w:val="none"/>
                <w:lang w:eastAsia="zh-CN"/>
              </w:rPr>
              <w:t>不予退还乙方履约全部履约</w:t>
            </w:r>
            <w:r>
              <w:rPr>
                <w:rFonts w:hint="eastAsia" w:ascii="宋体" w:hAnsi="宋体" w:eastAsia="宋体" w:cs="宋体"/>
                <w:color w:val="auto"/>
                <w:sz w:val="24"/>
                <w:szCs w:val="24"/>
                <w:highlight w:val="none"/>
              </w:rPr>
              <w:t>保证金</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投入建设安装的一切设施设备无偿归甲方所有。</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在收取服务费时只提供</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开具的收据，如需要开具发票，所产生的税费由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承担。</w:t>
            </w:r>
          </w:p>
          <w:p>
            <w:pPr>
              <w:numPr>
                <w:ilvl w:val="0"/>
                <w:numId w:val="36"/>
              </w:numPr>
              <w:ind w:left="415" w:leftChars="0" w:hanging="415" w:hangingChars="173"/>
              <w:jc w:val="left"/>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如租户需要开具发票以及所产生的税费也由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承担。</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合同履约保证金</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480" w:firstLineChars="200"/>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履约保证金为</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万元。</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通知书发出3个工作日内，应以银行转账的方式向</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交纳履约保证金。如</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无违约行为的，服务期结束后30日内，</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将履约保证金全额无息退还给</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不按要求提交履约保证金的，</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有权解除合同，取消</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的成交资格，</w:t>
            </w:r>
            <w:r>
              <w:rPr>
                <w:rFonts w:hint="eastAsia" w:asciiTheme="minorEastAsia" w:hAnsiTheme="minorEastAsia" w:eastAsiaTheme="minorEastAsia" w:cstheme="minorEastAsia"/>
                <w:color w:val="auto"/>
                <w:sz w:val="24"/>
                <w:szCs w:val="24"/>
                <w:highlight w:val="none"/>
                <w:lang w:eastAsia="zh-CN"/>
              </w:rPr>
              <w:t>竞投保证金</w:t>
            </w:r>
            <w:r>
              <w:rPr>
                <w:rFonts w:hint="eastAsia" w:asciiTheme="minorEastAsia" w:hAnsiTheme="minorEastAsia" w:eastAsiaTheme="minorEastAsia" w:cstheme="minorEastAsia"/>
                <w:color w:val="auto"/>
                <w:sz w:val="24"/>
                <w:szCs w:val="24"/>
                <w:highlight w:val="none"/>
              </w:rPr>
              <w:t>不予退还。</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numPr>
                <w:ilvl w:val="0"/>
                <w:numId w:val="0"/>
              </w:numPr>
              <w:ind w:leftChars="0" w:firstLine="480" w:firstLineChars="200"/>
              <w:jc w:val="left"/>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合同期结束或由于其他原因导致合同终止安装的设施设备归</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所有，合同结束设施设备交付给</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时设施设备必须保证完整，状态完好，能正常使用，否则保证金不作退回。</w:t>
            </w:r>
          </w:p>
        </w:tc>
      </w:tr>
    </w:tbl>
    <w:p>
      <w:pPr>
        <w:pStyle w:val="35"/>
        <w:numPr>
          <w:ilvl w:val="0"/>
          <w:numId w:val="30"/>
        </w:numPr>
        <w:spacing w:before="240" w:beforeLines="100" w:after="120" w:afterLines="50" w:line="360" w:lineRule="auto"/>
        <w:rPr>
          <w:b/>
          <w:color w:val="auto"/>
          <w:sz w:val="24"/>
          <w:szCs w:val="24"/>
          <w:highlight w:val="none"/>
        </w:rPr>
      </w:pPr>
      <w:r>
        <w:rPr>
          <w:rFonts w:hint="eastAsia"/>
          <w:b/>
          <w:color w:val="auto"/>
          <w:sz w:val="24"/>
          <w:szCs w:val="24"/>
          <w:highlight w:val="none"/>
          <w:lang w:eastAsia="zh-CN"/>
        </w:rPr>
        <w:t>本项目</w:t>
      </w:r>
      <w:r>
        <w:rPr>
          <w:rFonts w:hint="eastAsia"/>
          <w:b/>
          <w:color w:val="auto"/>
          <w:sz w:val="24"/>
          <w:szCs w:val="24"/>
          <w:highlight w:val="none"/>
        </w:rPr>
        <w:t>验收要求</w:t>
      </w:r>
    </w:p>
    <w:p>
      <w:pPr>
        <w:pStyle w:val="35"/>
        <w:numPr>
          <w:ilvl w:val="1"/>
          <w:numId w:val="30"/>
        </w:numPr>
        <w:spacing w:before="240" w:beforeLines="100" w:after="120" w:afterLines="50" w:line="360" w:lineRule="auto"/>
        <w:ind w:left="624" w:leftChars="0" w:hanging="624" w:firstLineChars="0"/>
        <w:rPr>
          <w:color w:val="auto"/>
          <w:sz w:val="24"/>
          <w:szCs w:val="24"/>
          <w:highlight w:val="none"/>
        </w:rPr>
      </w:pPr>
      <w:r>
        <w:rPr>
          <w:rFonts w:hint="eastAsia"/>
          <w:color w:val="auto"/>
          <w:sz w:val="24"/>
          <w:szCs w:val="24"/>
          <w:highlight w:val="none"/>
        </w:rPr>
        <w:t>乙方须为验收提供必需的一切条件及相关费用。</w:t>
      </w:r>
    </w:p>
    <w:p>
      <w:pPr>
        <w:pStyle w:val="35"/>
        <w:numPr>
          <w:ilvl w:val="0"/>
          <w:numId w:val="30"/>
        </w:numPr>
        <w:spacing w:before="240" w:beforeLines="100" w:after="120" w:afterLines="50" w:line="360" w:lineRule="auto"/>
        <w:rPr>
          <w:rFonts w:hint="eastAsia"/>
          <w:b/>
          <w:color w:val="auto"/>
          <w:sz w:val="24"/>
          <w:szCs w:val="24"/>
          <w:highlight w:val="none"/>
        </w:rPr>
      </w:pPr>
      <w:r>
        <w:rPr>
          <w:rFonts w:hint="eastAsia"/>
          <w:b/>
          <w:color w:val="auto"/>
          <w:sz w:val="24"/>
          <w:szCs w:val="24"/>
          <w:highlight w:val="none"/>
        </w:rPr>
        <w:t>项目验收依次序对照执行标准</w:t>
      </w:r>
    </w:p>
    <w:p>
      <w:pPr>
        <w:pStyle w:val="30"/>
        <w:numPr>
          <w:ilvl w:val="0"/>
          <w:numId w:val="37"/>
        </w:numPr>
        <w:spacing w:line="360" w:lineRule="auto"/>
        <w:ind w:left="0" w:leftChars="0" w:firstLine="420" w:firstLineChars="0"/>
        <w:rPr>
          <w:rFonts w:hint="eastAsia"/>
          <w:color w:val="auto"/>
          <w:sz w:val="24"/>
          <w:szCs w:val="24"/>
          <w:highlight w:val="none"/>
        </w:rPr>
      </w:pPr>
      <w:r>
        <w:rPr>
          <w:rFonts w:hint="eastAsia"/>
          <w:color w:val="auto"/>
          <w:sz w:val="24"/>
          <w:szCs w:val="24"/>
          <w:highlight w:val="none"/>
        </w:rPr>
        <w:t>符合中华人民共和国国家和履约地相关安全质量标准、行业技术规范标准、环保</w:t>
      </w:r>
      <w:r>
        <w:rPr>
          <w:rFonts w:hint="eastAsia" w:ascii="Times New Roman" w:hAnsi="Times New Roman" w:eastAsia="宋体" w:cs="Times New Roman"/>
          <w:color w:val="auto"/>
          <w:sz w:val="24"/>
          <w:szCs w:val="24"/>
          <w:highlight w:val="none"/>
        </w:rPr>
        <w:t>节能</w:t>
      </w:r>
      <w:r>
        <w:rPr>
          <w:rFonts w:hint="eastAsia"/>
          <w:color w:val="auto"/>
          <w:sz w:val="24"/>
          <w:szCs w:val="24"/>
          <w:highlight w:val="none"/>
        </w:rPr>
        <w:t>标准；</w:t>
      </w:r>
    </w:p>
    <w:p>
      <w:pPr>
        <w:pStyle w:val="30"/>
        <w:numPr>
          <w:ilvl w:val="0"/>
          <w:numId w:val="37"/>
        </w:numPr>
        <w:spacing w:line="360" w:lineRule="auto"/>
        <w:ind w:left="0" w:leftChars="0" w:firstLine="420" w:firstLineChars="0"/>
        <w:rPr>
          <w:rFonts w:hint="eastAsia"/>
          <w:color w:val="auto"/>
          <w:sz w:val="24"/>
          <w:szCs w:val="24"/>
          <w:highlight w:val="none"/>
        </w:rPr>
      </w:pPr>
      <w:r>
        <w:rPr>
          <w:rFonts w:hint="eastAsia"/>
          <w:color w:val="auto"/>
          <w:sz w:val="24"/>
          <w:szCs w:val="24"/>
          <w:highlight w:val="none"/>
        </w:rPr>
        <w:t>符合采购文件和响应承诺中各方共同认可的各项要求；</w:t>
      </w:r>
    </w:p>
    <w:p>
      <w:pPr>
        <w:pStyle w:val="30"/>
        <w:numPr>
          <w:ilvl w:val="0"/>
          <w:numId w:val="37"/>
        </w:numPr>
        <w:spacing w:line="360" w:lineRule="auto"/>
        <w:ind w:left="0" w:leftChars="0" w:firstLine="420"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上述各类标准与法规必须是有关官方机构最新发布的现行标准版本。</w:t>
      </w:r>
    </w:p>
    <w:p>
      <w:pPr>
        <w:pStyle w:val="35"/>
        <w:numPr>
          <w:ilvl w:val="0"/>
          <w:numId w:val="30"/>
        </w:numPr>
        <w:spacing w:before="240" w:beforeLines="100" w:after="120" w:afterLines="50" w:line="360" w:lineRule="auto"/>
        <w:rPr>
          <w:rFonts w:hint="eastAsia"/>
          <w:b/>
          <w:color w:val="auto"/>
          <w:sz w:val="24"/>
          <w:szCs w:val="24"/>
          <w:highlight w:val="none"/>
        </w:rPr>
      </w:pPr>
      <w:r>
        <w:rPr>
          <w:rFonts w:hint="eastAsia"/>
          <w:b/>
          <w:color w:val="auto"/>
          <w:sz w:val="24"/>
          <w:szCs w:val="24"/>
          <w:highlight w:val="none"/>
        </w:rPr>
        <w:t>甲方的权利和义务</w:t>
      </w:r>
    </w:p>
    <w:p>
      <w:pPr>
        <w:pStyle w:val="30"/>
        <w:numPr>
          <w:ilvl w:val="0"/>
          <w:numId w:val="38"/>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甲方有权向乙方提出采购项目服务的意见和建议。</w:t>
      </w:r>
    </w:p>
    <w:p>
      <w:pPr>
        <w:pStyle w:val="30"/>
        <w:numPr>
          <w:ilvl w:val="0"/>
          <w:numId w:val="38"/>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甲方有义务配合乙方做好各项日常管理工作，乙方应根据甲方建议制定有关管理制度和措施执行。甲方有权对乙方的管理方案进行检查及合理修改，共同优化管理工作。</w:t>
      </w:r>
    </w:p>
    <w:p>
      <w:pPr>
        <w:pStyle w:val="30"/>
        <w:numPr>
          <w:ilvl w:val="0"/>
          <w:numId w:val="38"/>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甲方有权对乙方的日常管理工作进行监管检查，每季度进行一次全面考核评定，如乙方因管理不善或管理失误，给甲方造成严重负面影响或导致经济受损的，甲方有权单方面终止合同，并视乙方根本违约处理（不予退还</w:t>
      </w:r>
      <w:r>
        <w:rPr>
          <w:rFonts w:hint="eastAsia" w:ascii="Times New Roman" w:hAnsi="Times New Roman" w:eastAsia="宋体" w:cs="Times New Roman"/>
          <w:color w:val="auto"/>
          <w:sz w:val="24"/>
          <w:szCs w:val="24"/>
          <w:highlight w:val="none"/>
        </w:rPr>
        <w:t>乙方</w:t>
      </w:r>
      <w:r>
        <w:rPr>
          <w:rFonts w:hint="eastAsia" w:ascii="Times New Roman" w:hAnsi="Times New Roman" w:eastAsia="宋体" w:cs="Times New Roman"/>
          <w:color w:val="auto"/>
          <w:sz w:val="24"/>
          <w:szCs w:val="24"/>
          <w:highlight w:val="none"/>
          <w:lang w:eastAsia="zh-CN"/>
        </w:rPr>
        <w:t>履约</w:t>
      </w:r>
      <w:r>
        <w:rPr>
          <w:rFonts w:hint="eastAsia" w:ascii="Times New Roman" w:hAnsi="Times New Roman" w:eastAsia="宋体" w:cs="Times New Roman"/>
          <w:color w:val="auto"/>
          <w:sz w:val="24"/>
          <w:szCs w:val="24"/>
          <w:highlight w:val="none"/>
        </w:rPr>
        <w:t>保证金</w:t>
      </w:r>
      <w:r>
        <w:rPr>
          <w:rFonts w:hint="eastAsia" w:ascii="Times New Roman" w:hAnsi="Times New Roman" w:eastAsia="宋体" w:cs="Times New Roman"/>
          <w:color w:val="auto"/>
          <w:sz w:val="24"/>
          <w:szCs w:val="24"/>
          <w:highlight w:val="none"/>
          <w:lang w:eastAsia="zh-CN"/>
        </w:rPr>
        <w:t>和不退回已交的服务费，乙方投入建设安装的一切设施设备无偿归甲方所有，并赔偿甲方的经济损失）。</w:t>
      </w:r>
    </w:p>
    <w:p>
      <w:pPr>
        <w:pStyle w:val="30"/>
        <w:numPr>
          <w:ilvl w:val="0"/>
          <w:numId w:val="38"/>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甲方为确保其依法具有收取车辆管理费的资格及权利，已严格按照有关法律程序研究制定出相关的收费及管理的村规民约，并经党员及村民代表大会表决通过及予以公布后实施，以便于乙方按规定管理及收费。在收费过程中所产生的纠纷投诉，乙方应自行负责处理。重大事件甲方有义务协助处理。</w:t>
      </w:r>
    </w:p>
    <w:p>
      <w:pPr>
        <w:pStyle w:val="30"/>
        <w:numPr>
          <w:ilvl w:val="0"/>
          <w:numId w:val="38"/>
        </w:numPr>
        <w:spacing w:line="360" w:lineRule="auto"/>
        <w:ind w:left="0" w:leftChars="0" w:firstLine="420"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甲方对本辖区内的所有土地拥有使用权，乙方如需规划增设停车位置时必经甲方同意。设置停车位置的土地，如遇甲方开发使用时，乙方无条件配合执行</w:t>
      </w:r>
      <w:r>
        <w:rPr>
          <w:rFonts w:hint="eastAsia" w:ascii="Times New Roman" w:hAnsi="Times New Roman" w:eastAsia="宋体" w:cs="Times New Roman"/>
          <w:color w:val="auto"/>
          <w:sz w:val="24"/>
          <w:szCs w:val="24"/>
          <w:highlight w:val="none"/>
        </w:rPr>
        <w:t>。</w:t>
      </w:r>
    </w:p>
    <w:p>
      <w:pPr>
        <w:pStyle w:val="35"/>
        <w:numPr>
          <w:ilvl w:val="0"/>
          <w:numId w:val="30"/>
        </w:numPr>
        <w:spacing w:before="240" w:beforeLines="100" w:after="120" w:afterLines="50" w:line="360" w:lineRule="auto"/>
        <w:rPr>
          <w:rFonts w:hint="eastAsia"/>
          <w:b/>
          <w:color w:val="auto"/>
          <w:sz w:val="24"/>
          <w:szCs w:val="24"/>
          <w:highlight w:val="none"/>
        </w:rPr>
      </w:pPr>
      <w:r>
        <w:rPr>
          <w:rFonts w:hint="eastAsia"/>
          <w:b/>
          <w:color w:val="auto"/>
          <w:sz w:val="24"/>
          <w:szCs w:val="24"/>
          <w:highlight w:val="none"/>
        </w:rPr>
        <w:t>乙方的权利和义务</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乙方要根据国家的有关法律、法规、政策及本合同的有关规定，在不违反本合同规定的基础上，自行制定有关规章制度车辆管理办法、实施细则等规定，乙方的管理工作不得影响甲方工作人员的日常正常工作。</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要严格按照甲方制定的车辆管理收费标准进行收取车辆管理费。并提供优质的停车管理及道路交通管理服务，不得出现只收费不服务或多收费少服务的行为，如发现有，经指出不改的，视为乙方根本违约，甲方有权单方面解除合同，不予退还乙方履约保证金和不退回已交的服务费，乙方投入建设安装的一切设施设备无偿归甲方所有。</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为了日常管理工作能正常运作，乙方必须根据工作需要配置足够的工作人员（不少于3人）并办理好用工手续及购买意外保险。乙方员工不纳入甲方用工编制，不享受甲方员工的福利待遇，与甲方不成立劳动或劳务关系。乙方工作人员在合同期内所发生的安全事故、工伤及劳资纠纷等均由乙方负责，一切责任与甲方无关，如屡屡出现人手不足的现象，视为乙方根本违约，甲方有权单方面解除合同，不予退还乙方履约保证金和不退回已交的服务费，乙方投入建设安装的一切设施设备无偿归甲方所有。</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要严格督促工作人员做好辖区内的日常道路交通管理巡查工作，确保村内各道闸出入口及各大小村道时刻保持畅通无阻，不得出现有车辆因乱停放而导致阻塞交通的现象发生。如出现有阻塞现象应派人到现场及时处理，如出现有15分钟后还没有人处理的现象，甲方有权收取乙方每次人民币200元的违约金。</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工作人员上班时要着装统一，工作要吃苦耐劳，勤巡勤查，待人处事需热情服务，如出现有因工作人员礼貌不周或处事不公而导致发生纠纷案和投诉案的，乙方要自行及时设法处理，事后要自查自纠，吸取教训及时整改。合同期内出现三次投诉的，甲方有权解除本合同，并视乙方违约，不予退还乙方履约保证金以作为甲方的经济补偿。</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为了切实做好车辆的有序停放管理，乙方要适时对辖区内的停车位进行合理规划设置。将本地车位与外地临时车位进行区分管理，乙方应严格管理控制禁止外来车辆在本地车位上停放过夜。吉利上二村辖区内的村民住宅以外的车位均为共享车位，禁止私装地锁或摆设物品霸占，否则乙方有权没收处理。</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在签订合同后，根据现时村内情况，对辖区内破旧车位重新划热熔线（破旧车位数待定），并完善所有道路标识、道路监控以及部分停车位设施。统一完善后，乙方也要对车位划线、道路标识、停车设施等定期检查及维护更新，对危险路段及停车场等做好交通标志指示牌的安装，以起到警示作用（如禁停牌、限速牌、限重牌、停车场标识、凸面广角镜等）。上述所产生的一切费用均由乙方承担。</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平时需对所有设备进行维护、保养以确保其正常运行工作。在合同期内，乙方对车辆管理的设备维护更新或增设等费用均由乙方承担。合同期满后，乙方须要将所有设备（含新建和原有的硬件与软件）及各类管理档案资料等正常完好地无偿移交给甲方。如有损坏，甲方有权请人进行修复，但所产生费用均由乙方支付或从保证金处扣除。</w:t>
      </w:r>
    </w:p>
    <w:p>
      <w:pPr>
        <w:pStyle w:val="35"/>
        <w:numPr>
          <w:ilvl w:val="0"/>
          <w:numId w:val="30"/>
        </w:numPr>
        <w:spacing w:before="240" w:beforeLines="100" w:after="120" w:afterLines="50" w:line="360" w:lineRule="auto"/>
        <w:rPr>
          <w:rFonts w:hint="eastAsia"/>
          <w:b/>
          <w:color w:val="auto"/>
          <w:sz w:val="24"/>
          <w:szCs w:val="24"/>
          <w:highlight w:val="none"/>
        </w:rPr>
      </w:pPr>
      <w:r>
        <w:rPr>
          <w:rFonts w:hint="eastAsia"/>
          <w:b/>
          <w:color w:val="auto"/>
          <w:sz w:val="24"/>
          <w:szCs w:val="24"/>
          <w:highlight w:val="none"/>
        </w:rPr>
        <w:t>售后服务要求</w:t>
      </w:r>
    </w:p>
    <w:p>
      <w:pPr>
        <w:pStyle w:val="35"/>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乙方售后服务机构名称及地址：</w:t>
      </w:r>
    </w:p>
    <w:p>
      <w:pPr>
        <w:pStyle w:val="35"/>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联系人1：，联系电话：，手机：，传真：</w:t>
      </w:r>
    </w:p>
    <w:p>
      <w:pPr>
        <w:pStyle w:val="35"/>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联系人2：，联系电话：，手机：，传真：</w:t>
      </w:r>
    </w:p>
    <w:p>
      <w:pPr>
        <w:pStyle w:val="35"/>
        <w:numPr>
          <w:ilvl w:val="0"/>
          <w:numId w:val="30"/>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违约责任</w:t>
      </w:r>
    </w:p>
    <w:p>
      <w:pPr>
        <w:pStyle w:val="30"/>
        <w:numPr>
          <w:ilvl w:val="0"/>
          <w:numId w:val="40"/>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乙方不能拆解分包，转包他人经营，更不能有包上包行为。若在经营过程中发现此情况，甲方有权</w:t>
      </w:r>
      <w:r>
        <w:rPr>
          <w:rFonts w:hint="eastAsia" w:ascii="宋体" w:hAnsi="宋体" w:cs="宋体"/>
          <w:color w:val="auto"/>
          <w:sz w:val="24"/>
          <w:szCs w:val="24"/>
          <w:highlight w:val="none"/>
          <w:lang w:eastAsia="zh-CN"/>
        </w:rPr>
        <w:t>不予退还</w:t>
      </w:r>
      <w:r>
        <w:rPr>
          <w:rFonts w:hint="eastAsia" w:ascii="宋体" w:hAnsi="宋体" w:eastAsia="宋体" w:cs="宋体"/>
          <w:color w:val="auto"/>
          <w:sz w:val="24"/>
          <w:szCs w:val="24"/>
          <w:highlight w:val="none"/>
        </w:rPr>
        <w:t>乙方履约保证金及管理设备，并依法追究相关责任人法律责任。乙方未按要求履行合同义务时，对逾期支付服务费的，从逾期之日起每日按合同总额的2‰比例向甲方支付违约金；逾期15日以上时，甲方有权单方面解除合同，</w:t>
      </w:r>
      <w:r>
        <w:rPr>
          <w:rFonts w:hint="eastAsia" w:ascii="宋体" w:hAnsi="宋体" w:cs="宋体"/>
          <w:color w:val="auto"/>
          <w:sz w:val="24"/>
          <w:szCs w:val="24"/>
          <w:highlight w:val="none"/>
          <w:lang w:eastAsia="zh-CN"/>
        </w:rPr>
        <w:t>不予退还乙方履约保证金</w:t>
      </w:r>
      <w:r>
        <w:rPr>
          <w:rFonts w:hint="eastAsia" w:ascii="宋体" w:hAnsi="宋体" w:eastAsia="宋体" w:cs="宋体"/>
          <w:color w:val="auto"/>
          <w:sz w:val="24"/>
          <w:szCs w:val="24"/>
          <w:highlight w:val="none"/>
        </w:rPr>
        <w:t>，乙方投入建设安装的一切设施设备无偿归甲方所有，由此造成甲方的经济损失由乙方承担，违约金不足以弥补损失的，乙方应按全额赔偿。</w:t>
      </w:r>
    </w:p>
    <w:p>
      <w:pPr>
        <w:pStyle w:val="30"/>
        <w:numPr>
          <w:ilvl w:val="0"/>
          <w:numId w:val="40"/>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合同期内因违反本服务合同的约定，无法向甲方提供正常服务时，甲方有权要求乙方限期整改，并向乙方提交书面整改通知书，具体的整改时间届时按事故的大小在通知书内定明，如乙方逾期未能整改而造成甲方损失的，甲方将依照乙方的权利和义务确定乙方责任，依照本合同书约定由乙方承担相应的经济赔偿，如乙方概不履行责任时，视为乙方根本违约，甲方有权单方面解除合同，</w:t>
      </w:r>
      <w:r>
        <w:rPr>
          <w:rFonts w:hint="eastAsia" w:ascii="宋体" w:hAnsi="宋体" w:cs="宋体"/>
          <w:color w:val="auto"/>
          <w:sz w:val="24"/>
          <w:szCs w:val="24"/>
          <w:highlight w:val="none"/>
          <w:lang w:eastAsia="zh-CN"/>
        </w:rPr>
        <w:t>不予退还乙方履约保证金</w:t>
      </w:r>
      <w:r>
        <w:rPr>
          <w:rFonts w:hint="eastAsia" w:ascii="宋体" w:hAnsi="宋体" w:eastAsia="宋体" w:cs="宋体"/>
          <w:color w:val="auto"/>
          <w:sz w:val="24"/>
          <w:szCs w:val="24"/>
          <w:highlight w:val="none"/>
        </w:rPr>
        <w:t>和不退回已交的服务费，乙方投入建设安装的一切设施设备无偿归甲方所有。</w:t>
      </w:r>
    </w:p>
    <w:p>
      <w:pPr>
        <w:pStyle w:val="30"/>
        <w:numPr>
          <w:ilvl w:val="0"/>
          <w:numId w:val="40"/>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甲方的原因致使乙方无法提供正常服务时，乙方有权要求甲方在一定期限内解决并向甲方提交限期解决通知书，解决时间届时按事故大小在整改通知书上定明，如属甲方责任，甲方应给予乙方合理经济赔偿。如遇不可抗力及双方认定的特殊情况双方可协商处理。</w:t>
      </w:r>
    </w:p>
    <w:p>
      <w:pPr>
        <w:pStyle w:val="30"/>
        <w:numPr>
          <w:ilvl w:val="0"/>
          <w:numId w:val="40"/>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在经表决的方案范围内制定停车管理细则，管理细则需报甲方同意，并在停车场及公共地方进行公示。乙方与甲方严格执行合同规定，若在实际管理中有与以上条文冲突的情况，为更好地服务村民，在不改变大框架的情况下，经双方协商进行适当调整相关内容，调整的相关内容需经相关民主议事决定，做好相关记录，并在村内公示，经公示无异议后，双方另外签订补充协议。</w:t>
      </w:r>
    </w:p>
    <w:p>
      <w:pPr>
        <w:pStyle w:val="30"/>
        <w:numPr>
          <w:ilvl w:val="0"/>
          <w:numId w:val="40"/>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出租屋业主未交年度垃圾费的，其属下租凭的租客的车辆不能录入登记。</w:t>
      </w:r>
    </w:p>
    <w:p>
      <w:pPr>
        <w:pStyle w:val="30"/>
        <w:numPr>
          <w:ilvl w:val="0"/>
          <w:numId w:val="40"/>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为缓解停车位压力，经甲方同意，乙方可充分利用村内指定的闲置地规划停车位，若日后甲方对该闲置地有发展规划需要，乙方需无条件配合。如本方案与相关法律法规有冲突的，则按照法律法规适当调整</w:t>
      </w:r>
      <w:r>
        <w:rPr>
          <w:rFonts w:hint="eastAsia" w:ascii="宋体" w:hAnsi="宋体" w:cs="宋体"/>
          <w:color w:val="auto"/>
          <w:sz w:val="24"/>
          <w:szCs w:val="24"/>
          <w:highlight w:val="none"/>
          <w:lang w:eastAsia="zh-CN"/>
        </w:rPr>
        <w:t>。</w:t>
      </w:r>
    </w:p>
    <w:p>
      <w:pPr>
        <w:pStyle w:val="35"/>
        <w:numPr>
          <w:ilvl w:val="0"/>
          <w:numId w:val="30"/>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提出异议的时间和方法</w:t>
      </w:r>
    </w:p>
    <w:p>
      <w:pPr>
        <w:pStyle w:val="30"/>
        <w:numPr>
          <w:ilvl w:val="0"/>
          <w:numId w:val="41"/>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甲方在服务期内如对服务质量有异议时，即向乙方提出书面异议。</w:t>
      </w:r>
    </w:p>
    <w:p>
      <w:pPr>
        <w:pStyle w:val="30"/>
        <w:numPr>
          <w:ilvl w:val="0"/>
          <w:numId w:val="41"/>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乙方在甲方提出书面异议之日起3天内负责处理并函复甲方处理情况，否则，即视为默认甲方提出的异议和处理意见。</w:t>
      </w:r>
    </w:p>
    <w:p>
      <w:pPr>
        <w:pStyle w:val="30"/>
        <w:numPr>
          <w:ilvl w:val="0"/>
          <w:numId w:val="41"/>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利用专业优势和信息不对称之便，以不道德的手段，故意隐瞒和掩盖自身缔约过失，违背投标承诺和未尽义务，损害了甲方的合法权益，甲方在任何时候均可追究乙方的违约责任并索取赔偿，且不受验收程序、质保期和合同时效的限制。</w:t>
      </w:r>
    </w:p>
    <w:p>
      <w:pPr>
        <w:pStyle w:val="35"/>
        <w:numPr>
          <w:ilvl w:val="0"/>
          <w:numId w:val="30"/>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争议的解决</w:t>
      </w:r>
    </w:p>
    <w:p>
      <w:pPr>
        <w:pStyle w:val="30"/>
        <w:numPr>
          <w:ilvl w:val="0"/>
          <w:numId w:val="42"/>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合同履行过程中发生的任何争议，如双方未能通过友好协商解决，应向甲方所在地的人民法院提起诉讼。</w:t>
      </w:r>
    </w:p>
    <w:p>
      <w:pPr>
        <w:pStyle w:val="30"/>
        <w:numPr>
          <w:ilvl w:val="0"/>
          <w:numId w:val="42"/>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法院审理期间，除提交法院审理的事项外，其它无争议的事项和条款仍应继续履行。</w:t>
      </w:r>
    </w:p>
    <w:p>
      <w:pPr>
        <w:pStyle w:val="35"/>
        <w:numPr>
          <w:ilvl w:val="0"/>
          <w:numId w:val="30"/>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不可抗力</w:t>
      </w:r>
    </w:p>
    <w:p>
      <w:pPr>
        <w:pStyle w:val="35"/>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pPr>
        <w:pStyle w:val="35"/>
        <w:numPr>
          <w:ilvl w:val="0"/>
          <w:numId w:val="30"/>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税费</w:t>
      </w:r>
    </w:p>
    <w:p>
      <w:pPr>
        <w:pStyle w:val="35"/>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与本合同相关的一切税费及不可预见费用均由乙方负担。</w:t>
      </w:r>
    </w:p>
    <w:p>
      <w:pPr>
        <w:pStyle w:val="35"/>
        <w:numPr>
          <w:ilvl w:val="0"/>
          <w:numId w:val="30"/>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合同生效</w:t>
      </w:r>
    </w:p>
    <w:p>
      <w:pPr>
        <w:pStyle w:val="35"/>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本合同自甲乙双方法定代表人或其授权代表签字并盖章之日起生效。</w:t>
      </w:r>
    </w:p>
    <w:p>
      <w:pPr>
        <w:pStyle w:val="35"/>
        <w:numPr>
          <w:ilvl w:val="0"/>
          <w:numId w:val="30"/>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其它</w:t>
      </w:r>
    </w:p>
    <w:p>
      <w:pPr>
        <w:pStyle w:val="30"/>
        <w:numPr>
          <w:ilvl w:val="0"/>
          <w:numId w:val="43"/>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所有经一方或双方签署确认的文件（包括会议纪要、补充协议、往来信函）、采购文件、要约文件和响应承诺文件、合同附件及《</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》均为本合同不可分割的有效组成部分，具有法律效力和履约义务，其缔约生效日期为有效签署或盖章确认之日期。</w:t>
      </w:r>
    </w:p>
    <w:p>
      <w:pPr>
        <w:pStyle w:val="30"/>
        <w:numPr>
          <w:ilvl w:val="0"/>
          <w:numId w:val="43"/>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如一方地址、电话、传真号码有变更，应在变更当日内书面通知对方，否则，应承担相应责任。</w:t>
      </w:r>
    </w:p>
    <w:p>
      <w:pPr>
        <w:pStyle w:val="30"/>
        <w:numPr>
          <w:ilvl w:val="0"/>
          <w:numId w:val="43"/>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未经甲方书面同意，乙方不得擅自向第三方转让本合同任何义务。</w:t>
      </w:r>
    </w:p>
    <w:p>
      <w:pPr>
        <w:pStyle w:val="30"/>
        <w:numPr>
          <w:ilvl w:val="0"/>
          <w:numId w:val="43"/>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本合同一式份，甲方执份、乙方执份。</w:t>
      </w:r>
    </w:p>
    <w:p>
      <w:pPr>
        <w:pStyle w:val="30"/>
        <w:numPr>
          <w:ilvl w:val="0"/>
          <w:numId w:val="43"/>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本合同共计页A4纸张，缺页之合同为无效合同。</w:t>
      </w:r>
    </w:p>
    <w:p>
      <w:pPr>
        <w:pStyle w:val="30"/>
        <w:numPr>
          <w:ilvl w:val="0"/>
          <w:numId w:val="43"/>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本合同签约履约地点：广东省佛山市</w:t>
      </w:r>
      <w:r>
        <w:rPr>
          <w:rFonts w:hint="eastAsia" w:ascii="宋体" w:hAnsi="宋体" w:cs="宋体"/>
          <w:color w:val="auto"/>
          <w:sz w:val="24"/>
          <w:szCs w:val="24"/>
          <w:highlight w:val="none"/>
          <w:lang w:eastAsia="zh-CN"/>
        </w:rPr>
        <w:t>禅城区</w:t>
      </w:r>
      <w:r>
        <w:rPr>
          <w:rFonts w:hint="eastAsia" w:ascii="宋体" w:hAnsi="宋体" w:eastAsia="宋体" w:cs="宋体"/>
          <w:color w:val="auto"/>
          <w:sz w:val="24"/>
          <w:szCs w:val="24"/>
          <w:highlight w:val="none"/>
        </w:rPr>
        <w:t>。</w:t>
      </w:r>
    </w:p>
    <w:p>
      <w:pPr>
        <w:pStyle w:val="30"/>
        <w:numPr>
          <w:ilvl w:val="0"/>
          <w:numId w:val="43"/>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双方均已对以上各条款及附件作充分了解，并明确理解由此而产生的相关权责。</w:t>
      </w:r>
    </w:p>
    <w:p>
      <w:pPr>
        <w:pStyle w:val="35"/>
        <w:spacing w:line="360" w:lineRule="auto"/>
        <w:rPr>
          <w:rFonts w:hint="eastAsia" w:eastAsia="宋体"/>
          <w:color w:val="auto"/>
          <w:sz w:val="24"/>
          <w:szCs w:val="24"/>
          <w:highlight w:val="none"/>
          <w:lang w:eastAsia="zh-CN"/>
        </w:rPr>
      </w:pPr>
    </w:p>
    <w:tbl>
      <w:tblPr>
        <w:tblStyle w:val="19"/>
        <w:tblW w:w="9360" w:type="dxa"/>
        <w:tblInd w:w="-72" w:type="dxa"/>
        <w:tblLayout w:type="fixed"/>
        <w:tblCellMar>
          <w:top w:w="0" w:type="dxa"/>
          <w:left w:w="108" w:type="dxa"/>
          <w:bottom w:w="0" w:type="dxa"/>
          <w:right w:w="108" w:type="dxa"/>
        </w:tblCellMar>
      </w:tblPr>
      <w:tblGrid>
        <w:gridCol w:w="4680"/>
        <w:gridCol w:w="4680"/>
      </w:tblGrid>
      <w:tr>
        <w:tblPrEx>
          <w:tblCellMar>
            <w:top w:w="0" w:type="dxa"/>
            <w:left w:w="108" w:type="dxa"/>
            <w:bottom w:w="0" w:type="dxa"/>
            <w:right w:w="108" w:type="dxa"/>
          </w:tblCellMar>
        </w:tblPrEx>
        <w:trPr>
          <w:trHeight w:val="2565" w:hRule="atLeast"/>
        </w:trPr>
        <w:tc>
          <w:tcPr>
            <w:tcW w:w="4680" w:type="dxa"/>
            <w:tcBorders>
              <w:top w:val="single" w:color="auto" w:sz="4" w:space="0"/>
              <w:left w:val="single" w:color="auto" w:sz="4" w:space="0"/>
              <w:bottom w:val="single" w:color="auto" w:sz="4" w:space="0"/>
              <w:right w:val="single" w:color="auto" w:sz="4" w:space="0"/>
            </w:tcBorders>
            <w:noWrap w:val="0"/>
            <w:vAlign w:val="top"/>
          </w:tcPr>
          <w:p>
            <w:pPr>
              <w:pStyle w:val="35"/>
              <w:spacing w:line="480" w:lineRule="auto"/>
              <w:rPr>
                <w:rFonts w:hint="eastAsia"/>
                <w:b/>
                <w:bCs/>
                <w:color w:val="auto"/>
                <w:sz w:val="24"/>
                <w:szCs w:val="24"/>
                <w:highlight w:val="none"/>
              </w:rPr>
            </w:pPr>
            <w:r>
              <w:rPr>
                <w:rFonts w:hint="eastAsia"/>
                <w:b/>
                <w:bCs/>
                <w:color w:val="auto"/>
                <w:sz w:val="24"/>
                <w:szCs w:val="24"/>
                <w:highlight w:val="none"/>
              </w:rPr>
              <w:t>甲方（盖章）：</w:t>
            </w:r>
          </w:p>
          <w:p>
            <w:pPr>
              <w:pStyle w:val="35"/>
              <w:spacing w:line="360" w:lineRule="auto"/>
              <w:rPr>
                <w:color w:val="auto"/>
                <w:sz w:val="24"/>
                <w:szCs w:val="24"/>
                <w:highlight w:val="none"/>
                <w:u w:val="dotted"/>
              </w:rPr>
            </w:pPr>
            <w:r>
              <w:rPr>
                <w:rFonts w:hint="eastAsia"/>
                <w:color w:val="auto"/>
                <w:sz w:val="24"/>
                <w:szCs w:val="24"/>
                <w:highlight w:val="none"/>
              </w:rPr>
              <w:t>代表：</w:t>
            </w:r>
            <w:r>
              <w:rPr>
                <w:color w:val="auto"/>
                <w:sz w:val="24"/>
                <w:szCs w:val="24"/>
                <w:highlight w:val="none"/>
              </w:rPr>
              <w:t> </w:t>
            </w:r>
          </w:p>
          <w:p>
            <w:pPr>
              <w:pStyle w:val="35"/>
              <w:rPr>
                <w:color w:val="auto"/>
                <w:sz w:val="24"/>
                <w:szCs w:val="24"/>
                <w:highlight w:val="none"/>
              </w:rPr>
            </w:pPr>
            <w:r>
              <w:rPr>
                <w:rFonts w:hint="eastAsia"/>
                <w:color w:val="auto"/>
                <w:sz w:val="24"/>
                <w:szCs w:val="24"/>
                <w:highlight w:val="none"/>
              </w:rPr>
              <w:t>地址：</w:t>
            </w:r>
          </w:p>
          <w:p>
            <w:pPr>
              <w:pStyle w:val="35"/>
              <w:rPr>
                <w:color w:val="auto"/>
                <w:sz w:val="24"/>
                <w:szCs w:val="24"/>
                <w:highlight w:val="none"/>
              </w:rPr>
            </w:pPr>
            <w:r>
              <w:rPr>
                <w:rFonts w:hint="eastAsia"/>
                <w:color w:val="auto"/>
                <w:sz w:val="24"/>
                <w:szCs w:val="24"/>
                <w:highlight w:val="none"/>
              </w:rPr>
              <w:t>电话：</w:t>
            </w:r>
          </w:p>
          <w:p>
            <w:pPr>
              <w:pStyle w:val="35"/>
              <w:rPr>
                <w:color w:val="auto"/>
                <w:sz w:val="24"/>
                <w:szCs w:val="24"/>
                <w:highlight w:val="none"/>
              </w:rPr>
            </w:pPr>
            <w:r>
              <w:rPr>
                <w:rFonts w:hint="eastAsia"/>
                <w:color w:val="auto"/>
                <w:sz w:val="24"/>
                <w:szCs w:val="24"/>
                <w:highlight w:val="none"/>
              </w:rPr>
              <w:t>传真：</w:t>
            </w:r>
          </w:p>
          <w:p>
            <w:pPr>
              <w:pStyle w:val="35"/>
              <w:spacing w:line="360" w:lineRule="auto"/>
              <w:rPr>
                <w:b/>
                <w:bCs/>
                <w:color w:val="auto"/>
                <w:sz w:val="24"/>
                <w:szCs w:val="24"/>
                <w:highlight w:val="none"/>
              </w:rPr>
            </w:pPr>
            <w:r>
              <w:rPr>
                <w:rFonts w:hint="eastAsia"/>
                <w:color w:val="auto"/>
                <w:sz w:val="24"/>
                <w:szCs w:val="24"/>
                <w:highlight w:val="none"/>
              </w:rPr>
              <w:t>日期：年月日</w:t>
            </w:r>
          </w:p>
        </w:tc>
        <w:tc>
          <w:tcPr>
            <w:tcW w:w="4680" w:type="dxa"/>
            <w:tcBorders>
              <w:top w:val="single" w:color="auto" w:sz="4" w:space="0"/>
              <w:left w:val="nil"/>
              <w:bottom w:val="single" w:color="auto" w:sz="4" w:space="0"/>
              <w:right w:val="single" w:color="auto" w:sz="4" w:space="0"/>
            </w:tcBorders>
            <w:noWrap w:val="0"/>
            <w:vAlign w:val="top"/>
          </w:tcPr>
          <w:p>
            <w:pPr>
              <w:pStyle w:val="35"/>
              <w:spacing w:line="480" w:lineRule="auto"/>
              <w:rPr>
                <w:b/>
                <w:bCs/>
                <w:color w:val="auto"/>
                <w:sz w:val="24"/>
                <w:szCs w:val="24"/>
                <w:highlight w:val="none"/>
              </w:rPr>
            </w:pPr>
            <w:r>
              <w:rPr>
                <w:rFonts w:hint="eastAsia"/>
                <w:b/>
                <w:bCs/>
                <w:color w:val="auto"/>
                <w:sz w:val="24"/>
                <w:szCs w:val="24"/>
                <w:highlight w:val="none"/>
              </w:rPr>
              <w:t>乙方（盖章）：</w:t>
            </w:r>
          </w:p>
          <w:p>
            <w:pPr>
              <w:pStyle w:val="35"/>
              <w:spacing w:line="360" w:lineRule="auto"/>
              <w:rPr>
                <w:rFonts w:hint="eastAsia" w:eastAsia="宋体"/>
                <w:color w:val="auto"/>
                <w:sz w:val="24"/>
                <w:szCs w:val="24"/>
                <w:highlight w:val="none"/>
                <w:u w:val="dotted"/>
                <w:lang w:eastAsia="zh-CN"/>
              </w:rPr>
            </w:pPr>
            <w:r>
              <w:rPr>
                <w:rFonts w:hint="eastAsia"/>
                <w:color w:val="auto"/>
                <w:sz w:val="24"/>
                <w:szCs w:val="24"/>
                <w:highlight w:val="none"/>
              </w:rPr>
              <w:t>代表：</w:t>
            </w:r>
          </w:p>
          <w:p>
            <w:pPr>
              <w:pStyle w:val="35"/>
              <w:rPr>
                <w:color w:val="auto"/>
                <w:sz w:val="24"/>
                <w:szCs w:val="24"/>
                <w:highlight w:val="none"/>
              </w:rPr>
            </w:pPr>
            <w:r>
              <w:rPr>
                <w:rFonts w:hint="eastAsia"/>
                <w:color w:val="auto"/>
                <w:sz w:val="24"/>
                <w:szCs w:val="24"/>
                <w:highlight w:val="none"/>
              </w:rPr>
              <w:t>地址：</w:t>
            </w:r>
          </w:p>
          <w:p>
            <w:pPr>
              <w:pStyle w:val="35"/>
              <w:rPr>
                <w:color w:val="auto"/>
                <w:sz w:val="24"/>
                <w:szCs w:val="24"/>
                <w:highlight w:val="none"/>
              </w:rPr>
            </w:pPr>
            <w:r>
              <w:rPr>
                <w:rFonts w:hint="eastAsia"/>
                <w:color w:val="auto"/>
                <w:sz w:val="24"/>
                <w:szCs w:val="24"/>
                <w:highlight w:val="none"/>
              </w:rPr>
              <w:t>电话：</w:t>
            </w:r>
          </w:p>
          <w:p>
            <w:pPr>
              <w:pStyle w:val="35"/>
              <w:rPr>
                <w:color w:val="auto"/>
                <w:sz w:val="24"/>
                <w:szCs w:val="24"/>
                <w:highlight w:val="none"/>
              </w:rPr>
            </w:pPr>
            <w:r>
              <w:rPr>
                <w:rFonts w:hint="eastAsia"/>
                <w:color w:val="auto"/>
                <w:sz w:val="24"/>
                <w:szCs w:val="24"/>
                <w:highlight w:val="none"/>
              </w:rPr>
              <w:t>传真：</w:t>
            </w:r>
          </w:p>
          <w:p>
            <w:pPr>
              <w:pStyle w:val="35"/>
              <w:spacing w:line="360" w:lineRule="auto"/>
              <w:rPr>
                <w:b/>
                <w:bCs/>
                <w:color w:val="auto"/>
                <w:sz w:val="24"/>
                <w:szCs w:val="24"/>
                <w:highlight w:val="none"/>
              </w:rPr>
            </w:pPr>
            <w:r>
              <w:rPr>
                <w:rFonts w:hint="eastAsia"/>
                <w:color w:val="auto"/>
                <w:sz w:val="24"/>
                <w:szCs w:val="24"/>
                <w:highlight w:val="none"/>
              </w:rPr>
              <w:t>日期：年月日</w:t>
            </w:r>
          </w:p>
        </w:tc>
      </w:tr>
      <w:tr>
        <w:tblPrEx>
          <w:tblCellMar>
            <w:top w:w="0" w:type="dxa"/>
            <w:left w:w="108" w:type="dxa"/>
            <w:bottom w:w="0" w:type="dxa"/>
            <w:right w:w="108" w:type="dxa"/>
          </w:tblCellMar>
        </w:tblPrEx>
        <w:trPr>
          <w:trHeight w:val="1695" w:hRule="atLeast"/>
        </w:trPr>
        <w:tc>
          <w:tcPr>
            <w:tcW w:w="9360" w:type="dxa"/>
            <w:gridSpan w:val="2"/>
            <w:tcBorders>
              <w:top w:val="single" w:color="auto" w:sz="4" w:space="0"/>
              <w:left w:val="single" w:color="auto" w:sz="4" w:space="0"/>
              <w:bottom w:val="single" w:color="auto" w:sz="4" w:space="0"/>
              <w:right w:val="single" w:color="auto" w:sz="4" w:space="0"/>
            </w:tcBorders>
            <w:noWrap w:val="0"/>
            <w:vAlign w:val="top"/>
          </w:tcPr>
          <w:p>
            <w:pPr>
              <w:pStyle w:val="35"/>
              <w:rPr>
                <w:color w:val="auto"/>
                <w:sz w:val="24"/>
                <w:szCs w:val="24"/>
                <w:highlight w:val="none"/>
              </w:rPr>
            </w:pPr>
          </w:p>
          <w:p>
            <w:pPr>
              <w:pStyle w:val="35"/>
              <w:rPr>
                <w:b/>
                <w:bCs/>
                <w:color w:val="auto"/>
                <w:sz w:val="24"/>
                <w:szCs w:val="24"/>
                <w:highlight w:val="none"/>
              </w:rPr>
            </w:pPr>
            <w:r>
              <w:rPr>
                <w:rFonts w:hint="eastAsia"/>
                <w:b/>
                <w:bCs/>
                <w:color w:val="auto"/>
                <w:sz w:val="24"/>
                <w:szCs w:val="24"/>
                <w:highlight w:val="none"/>
                <w:lang w:eastAsia="zh-CN"/>
              </w:rPr>
              <w:t>甲方收款</w:t>
            </w:r>
            <w:r>
              <w:rPr>
                <w:rFonts w:hint="eastAsia"/>
                <w:b/>
                <w:bCs/>
                <w:color w:val="auto"/>
                <w:sz w:val="24"/>
                <w:szCs w:val="24"/>
                <w:highlight w:val="none"/>
              </w:rPr>
              <w:t>专户为：</w:t>
            </w:r>
          </w:p>
          <w:p>
            <w:pPr>
              <w:pStyle w:val="35"/>
              <w:rPr>
                <w:color w:val="auto"/>
                <w:sz w:val="24"/>
                <w:szCs w:val="24"/>
                <w:highlight w:val="none"/>
              </w:rPr>
            </w:pPr>
          </w:p>
          <w:p>
            <w:pPr>
              <w:pStyle w:val="35"/>
              <w:rPr>
                <w:b/>
                <w:bCs/>
                <w:color w:val="auto"/>
                <w:sz w:val="24"/>
                <w:szCs w:val="24"/>
                <w:highlight w:val="none"/>
              </w:rPr>
            </w:pPr>
            <w:r>
              <w:rPr>
                <w:rFonts w:hint="eastAsia"/>
                <w:color w:val="auto"/>
                <w:sz w:val="24"/>
                <w:szCs w:val="24"/>
                <w:highlight w:val="none"/>
              </w:rPr>
              <w:t>开户名称：</w:t>
            </w:r>
          </w:p>
          <w:p>
            <w:pPr>
              <w:pStyle w:val="35"/>
              <w:rPr>
                <w:b/>
                <w:bCs/>
                <w:color w:val="auto"/>
                <w:sz w:val="24"/>
                <w:szCs w:val="24"/>
                <w:highlight w:val="none"/>
              </w:rPr>
            </w:pPr>
            <w:r>
              <w:rPr>
                <w:rFonts w:hint="eastAsia"/>
                <w:color w:val="auto"/>
                <w:sz w:val="24"/>
                <w:szCs w:val="24"/>
                <w:highlight w:val="none"/>
              </w:rPr>
              <w:t>银行</w:t>
            </w:r>
            <w:r>
              <w:rPr>
                <w:rFonts w:hint="eastAsia"/>
                <w:color w:val="auto"/>
                <w:sz w:val="24"/>
                <w:szCs w:val="24"/>
                <w:highlight w:val="none"/>
                <w:lang w:eastAsia="zh-CN"/>
              </w:rPr>
              <w:t>账号</w:t>
            </w:r>
            <w:r>
              <w:rPr>
                <w:rFonts w:hint="eastAsia"/>
                <w:color w:val="auto"/>
                <w:sz w:val="24"/>
                <w:szCs w:val="24"/>
                <w:highlight w:val="none"/>
              </w:rPr>
              <w:t>：</w:t>
            </w:r>
          </w:p>
          <w:p>
            <w:pPr>
              <w:pStyle w:val="35"/>
              <w:spacing w:line="360" w:lineRule="auto"/>
              <w:rPr>
                <w:b/>
                <w:bCs/>
                <w:color w:val="auto"/>
                <w:sz w:val="24"/>
                <w:szCs w:val="24"/>
                <w:highlight w:val="none"/>
              </w:rPr>
            </w:pPr>
            <w:r>
              <w:rPr>
                <w:rFonts w:hint="eastAsia"/>
                <w:color w:val="auto"/>
                <w:sz w:val="24"/>
                <w:szCs w:val="24"/>
                <w:highlight w:val="none"/>
              </w:rPr>
              <w:t>开</w:t>
            </w:r>
            <w:r>
              <w:rPr>
                <w:color w:val="auto"/>
                <w:sz w:val="24"/>
                <w:szCs w:val="24"/>
                <w:highlight w:val="none"/>
              </w:rPr>
              <w:t> </w:t>
            </w:r>
            <w:r>
              <w:rPr>
                <w:rFonts w:hint="eastAsia"/>
                <w:color w:val="auto"/>
                <w:sz w:val="24"/>
                <w:szCs w:val="24"/>
                <w:highlight w:val="none"/>
              </w:rPr>
              <w:t>户</w:t>
            </w:r>
            <w:r>
              <w:rPr>
                <w:color w:val="auto"/>
                <w:sz w:val="24"/>
                <w:szCs w:val="24"/>
                <w:highlight w:val="none"/>
              </w:rPr>
              <w:t> </w:t>
            </w:r>
            <w:r>
              <w:rPr>
                <w:rFonts w:hint="eastAsia"/>
                <w:color w:val="auto"/>
                <w:sz w:val="24"/>
                <w:szCs w:val="24"/>
                <w:highlight w:val="none"/>
              </w:rPr>
              <w:t>行：</w:t>
            </w:r>
          </w:p>
        </w:tc>
      </w:tr>
    </w:tbl>
    <w:p>
      <w:pPr>
        <w:spacing w:line="432" w:lineRule="auto"/>
        <w:rPr>
          <w:rFonts w:ascii="宋体" w:hAnsi="宋体"/>
          <w:color w:val="auto"/>
          <w:highlight w:val="none"/>
        </w:rPr>
      </w:pPr>
    </w:p>
    <w:p>
      <w:pPr>
        <w:rPr>
          <w:rFonts w:ascii="宋体" w:hAnsi="宋体"/>
          <w:color w:val="auto"/>
          <w:highlight w:val="none"/>
        </w:rPr>
      </w:pPr>
    </w:p>
    <w:p>
      <w:pPr>
        <w:spacing w:line="360" w:lineRule="auto"/>
        <w:rPr>
          <w:color w:val="auto"/>
          <w:sz w:val="24"/>
          <w:szCs w:val="24"/>
          <w:highlight w:val="none"/>
        </w:rPr>
      </w:pPr>
      <w:r>
        <w:rPr>
          <w:rFonts w:hint="eastAsia"/>
          <w:b/>
          <w:bCs/>
          <w:color w:val="auto"/>
          <w:sz w:val="24"/>
          <w:szCs w:val="24"/>
          <w:highlight w:val="none"/>
        </w:rPr>
        <w:t>合同附件清单</w:t>
      </w:r>
      <w:r>
        <w:rPr>
          <w:rFonts w:hint="eastAsia"/>
          <w:color w:val="auto"/>
          <w:sz w:val="24"/>
          <w:szCs w:val="24"/>
          <w:highlight w:val="none"/>
        </w:rPr>
        <w:t>（如有，附后；若没有，可删除此部分内容）：</w:t>
      </w:r>
    </w:p>
    <w:p>
      <w:pPr>
        <w:numPr>
          <w:ilvl w:val="0"/>
          <w:numId w:val="44"/>
        </w:numPr>
        <w:tabs>
          <w:tab w:val="left" w:pos="420"/>
        </w:tabs>
        <w:snapToGrid w:val="0"/>
        <w:spacing w:line="360" w:lineRule="auto"/>
        <w:ind w:left="425" w:leftChars="0" w:hanging="425" w:firstLineChars="0"/>
        <w:rPr>
          <w:rFonts w:ascii="宋体" w:hAnsi="宋体"/>
          <w:color w:val="auto"/>
          <w:sz w:val="24"/>
          <w:szCs w:val="24"/>
          <w:highlight w:val="none"/>
          <w:lang w:val="en-GB"/>
        </w:rPr>
      </w:pPr>
      <w:r>
        <w:rPr>
          <w:rFonts w:hint="eastAsia" w:ascii="宋体" w:hAnsi="宋体"/>
          <w:color w:val="auto"/>
          <w:sz w:val="24"/>
          <w:szCs w:val="24"/>
          <w:highlight w:val="none"/>
          <w:lang w:val="en-GB"/>
        </w:rPr>
        <w:t>本合同所有附件均在签订合同时编制，确立依据为</w:t>
      </w:r>
      <w:r>
        <w:rPr>
          <w:rFonts w:hint="eastAsia" w:ascii="宋体" w:hAnsi="宋体"/>
          <w:color w:val="auto"/>
          <w:sz w:val="24"/>
          <w:szCs w:val="24"/>
          <w:highlight w:val="none"/>
          <w:lang w:val="en-GB" w:eastAsia="zh-CN"/>
        </w:rPr>
        <w:t>竞投文件</w:t>
      </w:r>
      <w:r>
        <w:rPr>
          <w:rFonts w:hint="eastAsia" w:ascii="宋体" w:hAnsi="宋体"/>
          <w:color w:val="auto"/>
          <w:sz w:val="24"/>
          <w:szCs w:val="24"/>
          <w:highlight w:val="none"/>
          <w:lang w:val="en-GB"/>
        </w:rPr>
        <w:t>和乙方的</w:t>
      </w:r>
      <w:r>
        <w:rPr>
          <w:rFonts w:hint="eastAsia" w:ascii="宋体" w:hAnsi="宋体"/>
          <w:color w:val="auto"/>
          <w:sz w:val="24"/>
          <w:szCs w:val="24"/>
          <w:highlight w:val="none"/>
          <w:lang w:val="en-GB" w:eastAsia="zh-CN"/>
        </w:rPr>
        <w:t>资格审查</w:t>
      </w:r>
      <w:r>
        <w:rPr>
          <w:rFonts w:hint="eastAsia" w:ascii="宋体" w:hAnsi="宋体"/>
          <w:color w:val="auto"/>
          <w:sz w:val="24"/>
          <w:szCs w:val="24"/>
          <w:highlight w:val="none"/>
          <w:lang w:val="en-GB"/>
        </w:rPr>
        <w:t>文件及相关确认文件；合同附件内容由甲乙双方共同协商确定。</w:t>
      </w:r>
    </w:p>
    <w:p>
      <w:pPr>
        <w:numPr>
          <w:ilvl w:val="0"/>
          <w:numId w:val="44"/>
        </w:numPr>
        <w:tabs>
          <w:tab w:val="left" w:pos="420"/>
        </w:tabs>
        <w:snapToGrid w:val="0"/>
        <w:spacing w:line="360" w:lineRule="auto"/>
        <w:ind w:left="425" w:leftChars="0" w:hanging="425" w:firstLineChars="0"/>
        <w:rPr>
          <w:rFonts w:hint="eastAsia" w:ascii="宋体" w:hAnsi="宋体"/>
          <w:color w:val="auto"/>
          <w:sz w:val="24"/>
          <w:szCs w:val="24"/>
          <w:highlight w:val="none"/>
          <w:lang w:val="en-GB"/>
        </w:rPr>
      </w:pPr>
      <w:r>
        <w:rPr>
          <w:rFonts w:hint="eastAsia" w:ascii="宋体" w:hAnsi="宋体"/>
          <w:color w:val="auto"/>
          <w:sz w:val="24"/>
          <w:szCs w:val="24"/>
          <w:highlight w:val="none"/>
          <w:lang w:val="en-GB"/>
        </w:rPr>
        <w:t>项目重要内容（如：经甲方审核的项目实施方案、项目标的主要内容、乙方提供的参与本项目实施的项目负责人和其他技术人员名单、项目组人员的职称证书和资格证书、项目组人员的联系方式、需求变更说明、培训方案等）可作为附件。</w:t>
      </w:r>
      <w:bookmarkStart w:id="79" w:name="_Toc15627"/>
      <w:bookmarkStart w:id="80" w:name="_Toc13130"/>
      <w:bookmarkStart w:id="81" w:name="_Toc13502"/>
      <w:bookmarkStart w:id="82" w:name="_Toc334432597"/>
    </w:p>
    <w:p>
      <w:pPr>
        <w:rPr>
          <w:rFonts w:hint="eastAsia" w:ascii="宋体" w:hAnsi="宋体"/>
          <w:color w:val="auto"/>
          <w:sz w:val="24"/>
          <w:szCs w:val="24"/>
          <w:highlight w:val="none"/>
          <w:lang w:val="en-GB"/>
        </w:rPr>
      </w:pPr>
      <w:r>
        <w:rPr>
          <w:rFonts w:hint="eastAsia" w:ascii="宋体" w:hAnsi="宋体"/>
          <w:color w:val="auto"/>
          <w:sz w:val="24"/>
          <w:szCs w:val="24"/>
          <w:highlight w:val="none"/>
          <w:lang w:val="en-GB"/>
        </w:rPr>
        <w:br w:type="page"/>
      </w:r>
    </w:p>
    <w:p>
      <w:pPr>
        <w:pStyle w:val="2"/>
        <w:rPr>
          <w:rFonts w:hint="eastAsia"/>
          <w:color w:val="auto"/>
          <w:highlight w:val="none"/>
          <w:lang w:val="en-GB"/>
        </w:rPr>
      </w:pPr>
    </w:p>
    <w:p>
      <w:pPr>
        <w:spacing w:after="120" w:afterLines="50" w:line="360" w:lineRule="auto"/>
        <w:jc w:val="center"/>
        <w:outlineLvl w:val="0"/>
        <w:rPr>
          <w:rFonts w:hint="eastAsia" w:ascii="宋体" w:hAnsi="宋体" w:eastAsia="宋体" w:cs="Times New Roman"/>
          <w:b/>
          <w:color w:val="auto"/>
          <w:kern w:val="2"/>
          <w:sz w:val="36"/>
          <w:szCs w:val="36"/>
          <w:highlight w:val="none"/>
          <w:lang w:val="en-US" w:eastAsia="zh-CN" w:bidi="ar-SA"/>
        </w:rPr>
      </w:pPr>
      <w:bookmarkStart w:id="83" w:name="_Toc27266"/>
      <w:r>
        <w:rPr>
          <w:rFonts w:hint="eastAsia" w:ascii="宋体" w:hAnsi="宋体" w:eastAsia="宋体" w:cs="Times New Roman"/>
          <w:b/>
          <w:color w:val="auto"/>
          <w:kern w:val="2"/>
          <w:sz w:val="36"/>
          <w:szCs w:val="36"/>
          <w:highlight w:val="none"/>
          <w:lang w:val="en-US" w:eastAsia="zh-CN" w:bidi="ar-SA"/>
        </w:rPr>
        <w:t>第五部分资格审查文件格式</w:t>
      </w:r>
      <w:bookmarkEnd w:id="79"/>
      <w:bookmarkEnd w:id="80"/>
      <w:bookmarkEnd w:id="81"/>
      <w:bookmarkEnd w:id="82"/>
      <w:bookmarkEnd w:id="83"/>
    </w:p>
    <w:p>
      <w:pPr>
        <w:widowControl/>
        <w:jc w:val="left"/>
        <w:rPr>
          <w:color w:val="auto"/>
          <w:highlight w:val="none"/>
        </w:rPr>
      </w:pPr>
    </w:p>
    <w:p>
      <w:pPr>
        <w:spacing w:line="360" w:lineRule="auto"/>
        <w:jc w:val="center"/>
        <w:rPr>
          <w:b/>
          <w:color w:val="auto"/>
          <w:sz w:val="32"/>
          <w:szCs w:val="32"/>
          <w:highlight w:val="none"/>
        </w:rPr>
      </w:pPr>
      <w:r>
        <w:rPr>
          <w:rFonts w:hint="eastAsia"/>
          <w:b/>
          <w:color w:val="auto"/>
          <w:sz w:val="32"/>
          <w:szCs w:val="32"/>
          <w:highlight w:val="none"/>
          <w:lang w:eastAsia="zh-CN"/>
        </w:rPr>
        <w:t>资格审查</w:t>
      </w:r>
      <w:r>
        <w:rPr>
          <w:rFonts w:hint="eastAsia"/>
          <w:b/>
          <w:color w:val="auto"/>
          <w:sz w:val="32"/>
          <w:szCs w:val="32"/>
          <w:highlight w:val="none"/>
        </w:rPr>
        <w:t>文件封面及目录部分</w:t>
      </w:r>
    </w:p>
    <w:p>
      <w:pPr>
        <w:spacing w:line="312" w:lineRule="auto"/>
        <w:ind w:firstLine="275" w:firstLineChars="98"/>
        <w:rPr>
          <w:b/>
          <w:color w:val="auto"/>
          <w:sz w:val="28"/>
          <w:szCs w:val="28"/>
          <w:highlight w:val="none"/>
        </w:rPr>
      </w:pPr>
    </w:p>
    <w:p>
      <w:pPr>
        <w:numPr>
          <w:ilvl w:val="0"/>
          <w:numId w:val="45"/>
        </w:numPr>
        <w:tabs>
          <w:tab w:val="left" w:pos="720"/>
        </w:tabs>
        <w:spacing w:line="480" w:lineRule="auto"/>
        <w:ind w:left="720" w:leftChars="0" w:hanging="540" w:firstLineChars="0"/>
        <w:rPr>
          <w:b/>
          <w:color w:val="auto"/>
          <w:sz w:val="28"/>
          <w:szCs w:val="28"/>
          <w:highlight w:val="none"/>
        </w:rPr>
      </w:pPr>
      <w:r>
        <w:rPr>
          <w:rFonts w:hint="eastAsia"/>
          <w:b/>
          <w:color w:val="auto"/>
          <w:sz w:val="28"/>
          <w:szCs w:val="28"/>
          <w:highlight w:val="none"/>
          <w:lang w:eastAsia="zh-CN"/>
        </w:rPr>
        <w:t>投标人</w:t>
      </w:r>
      <w:r>
        <w:rPr>
          <w:rFonts w:hint="eastAsia"/>
          <w:b/>
          <w:color w:val="auto"/>
          <w:sz w:val="28"/>
          <w:szCs w:val="28"/>
          <w:highlight w:val="none"/>
        </w:rPr>
        <w:t>应按本《</w:t>
      </w:r>
      <w:r>
        <w:rPr>
          <w:rFonts w:hint="eastAsia"/>
          <w:b/>
          <w:color w:val="auto"/>
          <w:sz w:val="28"/>
          <w:szCs w:val="28"/>
          <w:highlight w:val="none"/>
          <w:lang w:eastAsia="zh-CN"/>
        </w:rPr>
        <w:t>竞投文件</w:t>
      </w:r>
      <w:r>
        <w:rPr>
          <w:rFonts w:hint="eastAsia"/>
          <w:b/>
          <w:color w:val="auto"/>
          <w:sz w:val="28"/>
          <w:szCs w:val="28"/>
          <w:highlight w:val="none"/>
        </w:rPr>
        <w:t>》要求，自行设计和编制</w:t>
      </w:r>
      <w:r>
        <w:rPr>
          <w:rFonts w:hint="eastAsia"/>
          <w:b/>
          <w:color w:val="auto"/>
          <w:sz w:val="28"/>
          <w:szCs w:val="28"/>
          <w:highlight w:val="none"/>
          <w:lang w:eastAsia="zh-CN"/>
        </w:rPr>
        <w:t>资格审查</w:t>
      </w:r>
      <w:r>
        <w:rPr>
          <w:rFonts w:hint="eastAsia"/>
          <w:b/>
          <w:color w:val="auto"/>
          <w:sz w:val="28"/>
          <w:szCs w:val="28"/>
          <w:highlight w:val="none"/>
        </w:rPr>
        <w:t>文件的封面和目录部分。</w:t>
      </w:r>
    </w:p>
    <w:p>
      <w:pPr>
        <w:numPr>
          <w:ilvl w:val="0"/>
          <w:numId w:val="45"/>
        </w:numPr>
        <w:tabs>
          <w:tab w:val="left" w:pos="720"/>
        </w:tabs>
        <w:spacing w:line="480" w:lineRule="auto"/>
        <w:ind w:left="720" w:leftChars="0" w:hanging="540" w:firstLineChars="0"/>
        <w:rPr>
          <w:b/>
          <w:color w:val="auto"/>
          <w:sz w:val="28"/>
          <w:szCs w:val="28"/>
          <w:highlight w:val="none"/>
        </w:rPr>
      </w:pPr>
      <w:r>
        <w:rPr>
          <w:rFonts w:hint="eastAsia"/>
          <w:b/>
          <w:color w:val="auto"/>
          <w:sz w:val="28"/>
          <w:szCs w:val="28"/>
          <w:highlight w:val="none"/>
          <w:lang w:eastAsia="zh-CN"/>
        </w:rPr>
        <w:t>资格审查</w:t>
      </w:r>
      <w:r>
        <w:rPr>
          <w:rFonts w:hint="eastAsia"/>
          <w:b/>
          <w:color w:val="auto"/>
          <w:sz w:val="28"/>
          <w:szCs w:val="28"/>
          <w:highlight w:val="none"/>
        </w:rPr>
        <w:t>文件封面上须包含但不限于以下内容：</w:t>
      </w:r>
    </w:p>
    <w:p>
      <w:pPr>
        <w:numPr>
          <w:ilvl w:val="0"/>
          <w:numId w:val="46"/>
        </w:numPr>
        <w:tabs>
          <w:tab w:val="left" w:pos="1440"/>
        </w:tabs>
        <w:spacing w:line="480" w:lineRule="auto"/>
        <w:ind w:left="454" w:leftChars="0" w:hanging="34" w:firstLineChars="0"/>
        <w:rPr>
          <w:rFonts w:ascii="宋体"/>
          <w:color w:val="auto"/>
          <w:sz w:val="24"/>
          <w:highlight w:val="none"/>
          <w:lang w:val="en-GB"/>
        </w:rPr>
      </w:pPr>
      <w:r>
        <w:rPr>
          <w:rFonts w:hint="eastAsia" w:ascii="宋体" w:hAnsi="宋体"/>
          <w:color w:val="auto"/>
          <w:sz w:val="24"/>
          <w:highlight w:val="none"/>
          <w:lang w:val="en-GB"/>
        </w:rPr>
        <w:t>项目名称；</w:t>
      </w:r>
    </w:p>
    <w:p>
      <w:pPr>
        <w:numPr>
          <w:ilvl w:val="0"/>
          <w:numId w:val="46"/>
        </w:numPr>
        <w:tabs>
          <w:tab w:val="left" w:pos="1440"/>
        </w:tabs>
        <w:spacing w:line="480" w:lineRule="auto"/>
        <w:ind w:left="454" w:leftChars="0" w:hanging="34" w:firstLineChars="0"/>
        <w:rPr>
          <w:rFonts w:ascii="宋体"/>
          <w:color w:val="auto"/>
          <w:sz w:val="24"/>
          <w:highlight w:val="none"/>
          <w:lang w:val="en-GB"/>
        </w:rPr>
      </w:pP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名称；</w:t>
      </w:r>
    </w:p>
    <w:p>
      <w:pPr>
        <w:numPr>
          <w:ilvl w:val="0"/>
          <w:numId w:val="46"/>
        </w:numPr>
        <w:tabs>
          <w:tab w:val="left" w:pos="1440"/>
        </w:tabs>
        <w:spacing w:line="480" w:lineRule="auto"/>
        <w:ind w:left="454" w:leftChars="0" w:hanging="34" w:firstLineChars="0"/>
        <w:rPr>
          <w:rFonts w:ascii="宋体"/>
          <w:color w:val="auto"/>
          <w:sz w:val="24"/>
          <w:highlight w:val="none"/>
          <w:lang w:val="en-GB"/>
        </w:rPr>
      </w:pPr>
      <w:r>
        <w:rPr>
          <w:rFonts w:hint="eastAsia" w:ascii="宋体" w:hAnsi="宋体"/>
          <w:color w:val="auto"/>
          <w:sz w:val="24"/>
          <w:highlight w:val="none"/>
        </w:rPr>
        <w:t>法定代表人</w:t>
      </w:r>
      <w:r>
        <w:rPr>
          <w:rFonts w:ascii="宋体" w:hAnsi="宋体"/>
          <w:color w:val="auto"/>
          <w:sz w:val="24"/>
          <w:highlight w:val="none"/>
        </w:rPr>
        <w:t>/</w:t>
      </w:r>
      <w:r>
        <w:rPr>
          <w:rFonts w:hint="eastAsia" w:ascii="宋体" w:hAnsi="宋体"/>
          <w:color w:val="auto"/>
          <w:sz w:val="24"/>
          <w:highlight w:val="none"/>
        </w:rPr>
        <w:t>负责人或</w:t>
      </w:r>
      <w:r>
        <w:rPr>
          <w:rFonts w:hint="eastAsia" w:ascii="宋体" w:hAnsi="宋体"/>
          <w:color w:val="auto"/>
          <w:sz w:val="24"/>
          <w:highlight w:val="none"/>
          <w:lang w:val="en-GB"/>
        </w:rPr>
        <w:t>授权代表姓名及联系电话（含传真号码）；</w:t>
      </w:r>
    </w:p>
    <w:p>
      <w:pPr>
        <w:numPr>
          <w:ilvl w:val="0"/>
          <w:numId w:val="46"/>
        </w:numPr>
        <w:tabs>
          <w:tab w:val="left" w:pos="1440"/>
        </w:tabs>
        <w:spacing w:line="480" w:lineRule="auto"/>
        <w:ind w:left="454" w:leftChars="0" w:hanging="34" w:firstLineChars="0"/>
        <w:rPr>
          <w:rFonts w:ascii="宋体"/>
          <w:color w:val="auto"/>
          <w:sz w:val="24"/>
          <w:highlight w:val="none"/>
          <w:lang w:val="en-GB"/>
        </w:rPr>
      </w:pPr>
      <w:r>
        <w:rPr>
          <w:rFonts w:hint="eastAsia" w:ascii="宋体" w:hAnsi="宋体"/>
          <w:color w:val="auto"/>
          <w:sz w:val="24"/>
          <w:highlight w:val="none"/>
          <w:lang w:val="en-GB"/>
        </w:rPr>
        <w:t>注明“正本”或“副本”字样。</w:t>
      </w:r>
    </w:p>
    <w:p>
      <w:pPr>
        <w:numPr>
          <w:ilvl w:val="0"/>
          <w:numId w:val="45"/>
        </w:numPr>
        <w:tabs>
          <w:tab w:val="left" w:pos="720"/>
        </w:tabs>
        <w:spacing w:line="480" w:lineRule="auto"/>
        <w:ind w:left="720" w:leftChars="0" w:hanging="540" w:firstLineChars="0"/>
        <w:rPr>
          <w:color w:val="auto"/>
          <w:highlight w:val="none"/>
        </w:rPr>
      </w:pPr>
      <w:r>
        <w:rPr>
          <w:rFonts w:hint="eastAsia"/>
          <w:b/>
          <w:color w:val="auto"/>
          <w:sz w:val="28"/>
          <w:szCs w:val="28"/>
          <w:highlight w:val="none"/>
          <w:lang w:eastAsia="zh-CN"/>
        </w:rPr>
        <w:t>资格审查</w:t>
      </w:r>
      <w:r>
        <w:rPr>
          <w:rFonts w:hint="eastAsia"/>
          <w:b/>
          <w:color w:val="auto"/>
          <w:sz w:val="28"/>
          <w:szCs w:val="28"/>
          <w:highlight w:val="none"/>
        </w:rPr>
        <w:t>文件必须编制目录，且目录必须清晰、准确，与</w:t>
      </w:r>
      <w:r>
        <w:rPr>
          <w:rFonts w:hint="eastAsia"/>
          <w:b/>
          <w:color w:val="auto"/>
          <w:sz w:val="28"/>
          <w:szCs w:val="28"/>
          <w:highlight w:val="none"/>
          <w:lang w:eastAsia="zh-CN"/>
        </w:rPr>
        <w:t>资格审查</w:t>
      </w:r>
      <w:r>
        <w:rPr>
          <w:rFonts w:hint="eastAsia"/>
          <w:b/>
          <w:color w:val="auto"/>
          <w:sz w:val="28"/>
          <w:szCs w:val="28"/>
          <w:highlight w:val="none"/>
        </w:rPr>
        <w:t>文件中的每页所加注的页码相对应。</w:t>
      </w:r>
    </w:p>
    <w:p>
      <w:pPr>
        <w:numPr>
          <w:ilvl w:val="0"/>
          <w:numId w:val="45"/>
        </w:numPr>
        <w:tabs>
          <w:tab w:val="left" w:pos="720"/>
        </w:tabs>
        <w:spacing w:line="480" w:lineRule="auto"/>
        <w:ind w:left="720" w:leftChars="0" w:hanging="540" w:firstLineChars="0"/>
        <w:rPr>
          <w:b/>
          <w:color w:val="auto"/>
          <w:sz w:val="28"/>
          <w:szCs w:val="28"/>
          <w:highlight w:val="none"/>
        </w:rPr>
      </w:pPr>
      <w:r>
        <w:rPr>
          <w:rFonts w:hint="eastAsia"/>
          <w:b/>
          <w:color w:val="auto"/>
          <w:sz w:val="28"/>
          <w:szCs w:val="28"/>
          <w:highlight w:val="none"/>
          <w:lang w:eastAsia="zh-CN"/>
        </w:rPr>
        <w:t>资格审查</w:t>
      </w:r>
      <w:r>
        <w:rPr>
          <w:rFonts w:hint="eastAsia"/>
          <w:b/>
          <w:color w:val="auto"/>
          <w:sz w:val="28"/>
          <w:szCs w:val="28"/>
          <w:highlight w:val="none"/>
        </w:rPr>
        <w:t>文件【正本】和【副本】的封面须加盖</w:t>
      </w:r>
      <w:r>
        <w:rPr>
          <w:rFonts w:hint="eastAsia"/>
          <w:b/>
          <w:color w:val="auto"/>
          <w:sz w:val="28"/>
          <w:szCs w:val="28"/>
          <w:highlight w:val="none"/>
          <w:lang w:eastAsia="zh-CN"/>
        </w:rPr>
        <w:t>投标人</w:t>
      </w:r>
      <w:r>
        <w:rPr>
          <w:rFonts w:hint="eastAsia"/>
          <w:b/>
          <w:color w:val="auto"/>
          <w:sz w:val="28"/>
          <w:szCs w:val="28"/>
          <w:highlight w:val="none"/>
        </w:rPr>
        <w:t>公章。</w:t>
      </w:r>
    </w:p>
    <w:p>
      <w:pPr>
        <w:spacing w:line="480" w:lineRule="auto"/>
        <w:ind w:left="180"/>
        <w:rPr>
          <w:color w:val="auto"/>
          <w:highlight w:val="none"/>
        </w:rPr>
      </w:pPr>
    </w:p>
    <w:p>
      <w:pPr>
        <w:spacing w:line="312" w:lineRule="auto"/>
        <w:ind w:firstLine="600" w:firstLineChars="250"/>
        <w:rPr>
          <w:color w:val="auto"/>
          <w:sz w:val="24"/>
          <w:highlight w:val="none"/>
        </w:rPr>
      </w:pPr>
    </w:p>
    <w:p>
      <w:pPr>
        <w:spacing w:line="312" w:lineRule="auto"/>
        <w:ind w:firstLine="600" w:firstLineChars="250"/>
        <w:rPr>
          <w:color w:val="auto"/>
          <w:sz w:val="24"/>
          <w:highlight w:val="none"/>
        </w:rPr>
      </w:pPr>
    </w:p>
    <w:p>
      <w:pPr>
        <w:spacing w:line="360" w:lineRule="auto"/>
        <w:ind w:left="551" w:hanging="551" w:hangingChars="196"/>
        <w:rPr>
          <w:rFonts w:ascii="宋体"/>
          <w:b/>
          <w:bCs/>
          <w:color w:val="auto"/>
          <w:sz w:val="28"/>
          <w:szCs w:val="28"/>
          <w:highlight w:val="none"/>
        </w:rPr>
      </w:pPr>
      <w:r>
        <w:rPr>
          <w:rFonts w:hint="eastAsia" w:ascii="宋体" w:hAnsi="宋体"/>
          <w:b/>
          <w:bCs/>
          <w:color w:val="auto"/>
          <w:sz w:val="28"/>
          <w:szCs w:val="28"/>
          <w:highlight w:val="none"/>
        </w:rPr>
        <w:t>注：</w:t>
      </w:r>
      <w:r>
        <w:rPr>
          <w:rFonts w:hint="eastAsia" w:ascii="宋体" w:hAnsi="宋体"/>
          <w:b/>
          <w:bCs/>
          <w:color w:val="auto"/>
          <w:sz w:val="28"/>
          <w:szCs w:val="28"/>
          <w:highlight w:val="none"/>
          <w:lang w:eastAsia="zh-CN"/>
        </w:rPr>
        <w:t>投标人</w:t>
      </w:r>
      <w:r>
        <w:rPr>
          <w:rFonts w:hint="eastAsia" w:ascii="宋体" w:hAnsi="宋体"/>
          <w:b/>
          <w:bCs/>
          <w:color w:val="auto"/>
          <w:sz w:val="28"/>
          <w:szCs w:val="28"/>
          <w:highlight w:val="none"/>
        </w:rPr>
        <w:t>应按本部分的格式内容进行排版和编制《</w:t>
      </w:r>
      <w:r>
        <w:rPr>
          <w:rFonts w:hint="eastAsia" w:ascii="宋体" w:hAnsi="宋体"/>
          <w:b/>
          <w:bCs/>
          <w:color w:val="auto"/>
          <w:sz w:val="28"/>
          <w:szCs w:val="28"/>
          <w:highlight w:val="none"/>
          <w:lang w:eastAsia="zh-CN"/>
        </w:rPr>
        <w:t>资格审查</w:t>
      </w:r>
      <w:r>
        <w:rPr>
          <w:rFonts w:hint="eastAsia" w:ascii="宋体" w:hAnsi="宋体"/>
          <w:b/>
          <w:bCs/>
          <w:color w:val="auto"/>
          <w:sz w:val="28"/>
          <w:szCs w:val="28"/>
          <w:highlight w:val="none"/>
        </w:rPr>
        <w:t>文件》，如属于格式外的，或本部分未提供具体格式的，</w:t>
      </w:r>
      <w:r>
        <w:rPr>
          <w:rFonts w:hint="eastAsia" w:ascii="宋体" w:hAnsi="宋体"/>
          <w:b/>
          <w:bCs/>
          <w:color w:val="auto"/>
          <w:sz w:val="28"/>
          <w:szCs w:val="28"/>
          <w:highlight w:val="none"/>
          <w:lang w:eastAsia="zh-CN"/>
        </w:rPr>
        <w:t>投标人</w:t>
      </w:r>
      <w:r>
        <w:rPr>
          <w:rFonts w:hint="eastAsia" w:ascii="宋体" w:hAnsi="宋体"/>
          <w:b/>
          <w:bCs/>
          <w:color w:val="auto"/>
          <w:sz w:val="28"/>
          <w:szCs w:val="28"/>
          <w:highlight w:val="none"/>
        </w:rPr>
        <w:t>可根据</w:t>
      </w:r>
      <w:r>
        <w:rPr>
          <w:rFonts w:hint="eastAsia" w:ascii="宋体" w:hAnsi="宋体"/>
          <w:b/>
          <w:bCs/>
          <w:color w:val="auto"/>
          <w:sz w:val="28"/>
          <w:szCs w:val="28"/>
          <w:highlight w:val="none"/>
          <w:lang w:eastAsia="zh-CN"/>
        </w:rPr>
        <w:t>竞投</w:t>
      </w:r>
      <w:r>
        <w:rPr>
          <w:rFonts w:hint="eastAsia" w:ascii="宋体" w:hAnsi="宋体"/>
          <w:b/>
          <w:bCs/>
          <w:color w:val="auto"/>
          <w:sz w:val="28"/>
          <w:szCs w:val="28"/>
          <w:highlight w:val="none"/>
        </w:rPr>
        <w:t>方案或内容，针对评审子项要求，自行拟定具体格式和设计排版。</w:t>
      </w:r>
    </w:p>
    <w:p>
      <w:pPr>
        <w:spacing w:line="360" w:lineRule="auto"/>
        <w:ind w:left="551" w:hanging="551" w:hangingChars="196"/>
        <w:jc w:val="center"/>
        <w:outlineLvl w:val="1"/>
        <w:rPr>
          <w:rFonts w:ascii="宋体"/>
          <w:b/>
          <w:color w:val="auto"/>
          <w:sz w:val="36"/>
          <w:szCs w:val="36"/>
          <w:highlight w:val="none"/>
        </w:rPr>
      </w:pPr>
      <w:r>
        <w:rPr>
          <w:rFonts w:ascii="宋体"/>
          <w:b/>
          <w:bCs/>
          <w:color w:val="auto"/>
          <w:sz w:val="28"/>
          <w:szCs w:val="28"/>
          <w:highlight w:val="none"/>
        </w:rPr>
        <w:br w:type="page"/>
      </w:r>
      <w:bookmarkStart w:id="84" w:name="_Toc10343"/>
      <w:bookmarkStart w:id="85" w:name="_Toc30381"/>
      <w:bookmarkStart w:id="86" w:name="_Toc334432598"/>
      <w:bookmarkStart w:id="87" w:name="_Toc1019"/>
      <w:bookmarkStart w:id="88" w:name="_Toc24041"/>
      <w:bookmarkStart w:id="89" w:name="_Toc29336"/>
      <w:bookmarkStart w:id="90" w:name="_Toc28252"/>
      <w:bookmarkStart w:id="91" w:name="_Toc31603"/>
      <w:r>
        <w:rPr>
          <w:rFonts w:hint="eastAsia" w:ascii="宋体" w:hAnsi="宋体"/>
          <w:b/>
          <w:bCs/>
          <w:color w:val="auto"/>
          <w:sz w:val="36"/>
          <w:szCs w:val="36"/>
          <w:highlight w:val="none"/>
        </w:rPr>
        <w:t>资格性文件</w:t>
      </w:r>
      <w:bookmarkEnd w:id="84"/>
      <w:bookmarkEnd w:id="85"/>
      <w:bookmarkEnd w:id="86"/>
      <w:bookmarkEnd w:id="87"/>
      <w:bookmarkEnd w:id="88"/>
      <w:bookmarkEnd w:id="89"/>
      <w:bookmarkEnd w:id="90"/>
      <w:bookmarkEnd w:id="91"/>
      <w:bookmarkStart w:id="92" w:name="OLE_LINK1"/>
    </w:p>
    <w:p>
      <w:pPr>
        <w:snapToGrid w:val="0"/>
        <w:spacing w:line="300" w:lineRule="auto"/>
        <w:jc w:val="center"/>
        <w:rPr>
          <w:rFonts w:ascii="宋体"/>
          <w:b/>
          <w:color w:val="auto"/>
          <w:sz w:val="32"/>
          <w:szCs w:val="32"/>
          <w:highlight w:val="none"/>
        </w:rPr>
      </w:pPr>
      <w:r>
        <w:rPr>
          <w:rFonts w:hint="eastAsia" w:ascii="宋体" w:hAnsi="宋体"/>
          <w:b/>
          <w:color w:val="auto"/>
          <w:sz w:val="32"/>
          <w:szCs w:val="32"/>
          <w:highlight w:val="none"/>
        </w:rPr>
        <w:t>资格性文件清单</w:t>
      </w:r>
    </w:p>
    <w:tbl>
      <w:tblPr>
        <w:tblStyle w:val="19"/>
        <w:tblW w:w="9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204"/>
        <w:gridCol w:w="4898"/>
        <w:gridCol w:w="871"/>
        <w:gridCol w:w="11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9" w:hRule="atLeast"/>
          <w:jc w:val="center"/>
        </w:trPr>
        <w:tc>
          <w:tcPr>
            <w:tcW w:w="675" w:type="dxa"/>
            <w:shd w:val="clear" w:color="auto" w:fill="F3F3F3"/>
            <w:noWrap w:val="0"/>
            <w:vAlign w:val="center"/>
          </w:tcPr>
          <w:p>
            <w:pPr>
              <w:ind w:left="-10" w:leftChars="-40" w:right="-99" w:rightChars="-47" w:hanging="74" w:hangingChars="35"/>
              <w:jc w:val="center"/>
              <w:rPr>
                <w:rFonts w:ascii="宋体"/>
                <w:b/>
                <w:bCs/>
                <w:color w:val="auto"/>
                <w:szCs w:val="21"/>
                <w:highlight w:val="none"/>
              </w:rPr>
            </w:pPr>
            <w:r>
              <w:rPr>
                <w:rFonts w:hint="eastAsia" w:ascii="宋体" w:hAnsi="宋体"/>
                <w:b/>
                <w:bCs/>
                <w:color w:val="auto"/>
                <w:szCs w:val="21"/>
                <w:highlight w:val="none"/>
              </w:rPr>
              <w:t>序号</w:t>
            </w:r>
          </w:p>
        </w:tc>
        <w:tc>
          <w:tcPr>
            <w:tcW w:w="2204" w:type="dxa"/>
            <w:tcBorders>
              <w:right w:val="single" w:color="auto" w:sz="4" w:space="0"/>
            </w:tcBorders>
            <w:shd w:val="clear" w:color="auto" w:fill="F3F3F3"/>
            <w:noWrap w:val="0"/>
            <w:vAlign w:val="center"/>
          </w:tcPr>
          <w:p>
            <w:pPr>
              <w:pStyle w:val="26"/>
              <w:keepNext w:val="0"/>
              <w:adjustRightInd/>
              <w:spacing w:before="0" w:after="0" w:line="240" w:lineRule="auto"/>
              <w:ind w:firstLine="422"/>
              <w:textAlignment w:val="auto"/>
              <w:rPr>
                <w:rFonts w:ascii="宋体"/>
                <w:b/>
                <w:bCs/>
                <w:color w:val="auto"/>
                <w:spacing w:val="0"/>
                <w:kern w:val="2"/>
                <w:sz w:val="21"/>
                <w:szCs w:val="21"/>
                <w:highlight w:val="none"/>
              </w:rPr>
            </w:pPr>
            <w:r>
              <w:rPr>
                <w:rFonts w:hint="eastAsia" w:ascii="宋体" w:hAnsi="宋体"/>
                <w:b/>
                <w:bCs/>
                <w:color w:val="auto"/>
                <w:spacing w:val="0"/>
                <w:kern w:val="2"/>
                <w:sz w:val="21"/>
                <w:szCs w:val="21"/>
                <w:highlight w:val="none"/>
              </w:rPr>
              <w:t>文件名称</w:t>
            </w:r>
          </w:p>
        </w:tc>
        <w:tc>
          <w:tcPr>
            <w:tcW w:w="4898" w:type="dxa"/>
            <w:tcBorders>
              <w:left w:val="single" w:color="auto" w:sz="4" w:space="0"/>
            </w:tcBorders>
            <w:shd w:val="clear" w:color="auto" w:fill="F3F3F3"/>
            <w:noWrap w:val="0"/>
            <w:vAlign w:val="center"/>
          </w:tcPr>
          <w:p>
            <w:pPr>
              <w:pStyle w:val="26"/>
              <w:keepNext w:val="0"/>
              <w:adjustRightInd/>
              <w:spacing w:before="0" w:after="0" w:line="240" w:lineRule="auto"/>
              <w:ind w:firstLine="422"/>
              <w:textAlignment w:val="auto"/>
              <w:rPr>
                <w:rFonts w:ascii="宋体"/>
                <w:b/>
                <w:bCs/>
                <w:color w:val="auto"/>
                <w:spacing w:val="0"/>
                <w:kern w:val="2"/>
                <w:sz w:val="21"/>
                <w:szCs w:val="21"/>
                <w:highlight w:val="none"/>
              </w:rPr>
            </w:pPr>
            <w:r>
              <w:rPr>
                <w:rFonts w:hint="eastAsia" w:ascii="宋体" w:hAnsi="宋体"/>
                <w:b/>
                <w:bCs/>
                <w:color w:val="auto"/>
                <w:spacing w:val="0"/>
                <w:kern w:val="2"/>
                <w:sz w:val="21"/>
                <w:szCs w:val="21"/>
                <w:highlight w:val="none"/>
              </w:rPr>
              <w:t>文件内容要求</w:t>
            </w:r>
          </w:p>
        </w:tc>
        <w:tc>
          <w:tcPr>
            <w:tcW w:w="871" w:type="dxa"/>
            <w:shd w:val="clear" w:color="auto" w:fill="F3F3F3"/>
            <w:noWrap w:val="0"/>
            <w:vAlign w:val="center"/>
          </w:tcPr>
          <w:p>
            <w:pPr>
              <w:jc w:val="center"/>
              <w:rPr>
                <w:rFonts w:ascii="宋体"/>
                <w:b/>
                <w:bCs/>
                <w:color w:val="auto"/>
                <w:szCs w:val="21"/>
                <w:highlight w:val="none"/>
              </w:rPr>
            </w:pPr>
            <w:r>
              <w:rPr>
                <w:rFonts w:hint="eastAsia" w:ascii="宋体" w:hAnsi="宋体"/>
                <w:b/>
                <w:bCs/>
                <w:color w:val="auto"/>
                <w:szCs w:val="21"/>
                <w:highlight w:val="none"/>
              </w:rPr>
              <w:t>数量</w:t>
            </w:r>
          </w:p>
        </w:tc>
        <w:tc>
          <w:tcPr>
            <w:tcW w:w="1147" w:type="dxa"/>
            <w:shd w:val="clear" w:color="auto" w:fill="F3F3F3"/>
            <w:noWrap w:val="0"/>
            <w:vAlign w:val="center"/>
          </w:tcPr>
          <w:p>
            <w:pPr>
              <w:jc w:val="center"/>
              <w:rPr>
                <w:rFonts w:ascii="宋体"/>
                <w:b/>
                <w:bCs/>
                <w:color w:val="auto"/>
                <w:szCs w:val="21"/>
                <w:highlight w:val="none"/>
              </w:rPr>
            </w:pPr>
            <w:r>
              <w:rPr>
                <w:rFonts w:hint="eastAsia" w:ascii="宋体" w:hAnsi="宋体"/>
                <w:b/>
                <w:bCs/>
                <w:color w:val="auto"/>
                <w:szCs w:val="21"/>
                <w:highlight w:val="none"/>
              </w:rPr>
              <w:t>文件属性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675" w:type="dxa"/>
            <w:noWrap w:val="0"/>
            <w:vAlign w:val="center"/>
          </w:tcPr>
          <w:p>
            <w:pPr>
              <w:rPr>
                <w:rFonts w:ascii="宋体"/>
                <w:color w:val="auto"/>
                <w:szCs w:val="21"/>
                <w:highlight w:val="none"/>
              </w:rPr>
            </w:pPr>
            <w:r>
              <w:rPr>
                <w:rFonts w:ascii="宋体" w:hAnsi="宋体"/>
                <w:color w:val="auto"/>
                <w:szCs w:val="21"/>
                <w:highlight w:val="none"/>
              </w:rPr>
              <w:t>1.1</w:t>
            </w:r>
          </w:p>
        </w:tc>
        <w:tc>
          <w:tcPr>
            <w:tcW w:w="2204" w:type="dxa"/>
            <w:tcBorders>
              <w:righ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法定代表人</w:t>
            </w:r>
            <w:r>
              <w:rPr>
                <w:rFonts w:ascii="宋体" w:hAnsi="宋体"/>
                <w:color w:val="auto"/>
                <w:sz w:val="24"/>
                <w:szCs w:val="24"/>
                <w:highlight w:val="none"/>
              </w:rPr>
              <w:t>/</w:t>
            </w:r>
            <w:r>
              <w:rPr>
                <w:rFonts w:hint="eastAsia" w:ascii="宋体" w:hAnsi="宋体"/>
                <w:color w:val="auto"/>
                <w:sz w:val="24"/>
                <w:szCs w:val="24"/>
                <w:highlight w:val="none"/>
              </w:rPr>
              <w:t>负责人资格证明书</w:t>
            </w:r>
          </w:p>
        </w:tc>
        <w:tc>
          <w:tcPr>
            <w:tcW w:w="4898" w:type="dxa"/>
            <w:tcBorders>
              <w:lef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按对应格式文件签署、盖章</w:t>
            </w:r>
          </w:p>
        </w:tc>
        <w:tc>
          <w:tcPr>
            <w:tcW w:w="871" w:type="dxa"/>
            <w:noWrap w:val="0"/>
            <w:vAlign w:val="center"/>
          </w:tcPr>
          <w:p>
            <w:pPr>
              <w:jc w:val="center"/>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1" w:hRule="atLeast"/>
          <w:jc w:val="center"/>
        </w:trPr>
        <w:tc>
          <w:tcPr>
            <w:tcW w:w="675" w:type="dxa"/>
            <w:noWrap w:val="0"/>
            <w:vAlign w:val="center"/>
          </w:tcPr>
          <w:p>
            <w:pPr>
              <w:rPr>
                <w:rFonts w:ascii="宋体"/>
                <w:color w:val="auto"/>
                <w:szCs w:val="21"/>
                <w:highlight w:val="none"/>
              </w:rPr>
            </w:pPr>
            <w:r>
              <w:rPr>
                <w:rFonts w:ascii="宋体" w:hAnsi="宋体"/>
                <w:color w:val="auto"/>
                <w:szCs w:val="21"/>
                <w:highlight w:val="none"/>
              </w:rPr>
              <w:t>1.2</w:t>
            </w:r>
          </w:p>
        </w:tc>
        <w:tc>
          <w:tcPr>
            <w:tcW w:w="2204" w:type="dxa"/>
            <w:tcBorders>
              <w:righ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法定代表人授权书</w:t>
            </w:r>
          </w:p>
        </w:tc>
        <w:tc>
          <w:tcPr>
            <w:tcW w:w="4898" w:type="dxa"/>
            <w:tcBorders>
              <w:lef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按对应格式文件签署、盖章</w:t>
            </w:r>
          </w:p>
        </w:tc>
        <w:tc>
          <w:tcPr>
            <w:tcW w:w="871" w:type="dxa"/>
            <w:noWrap w:val="0"/>
            <w:vAlign w:val="center"/>
          </w:tcPr>
          <w:p>
            <w:pPr>
              <w:jc w:val="center"/>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675" w:type="dxa"/>
            <w:noWrap w:val="0"/>
            <w:vAlign w:val="center"/>
          </w:tcPr>
          <w:p>
            <w:pPr>
              <w:rPr>
                <w:rFonts w:ascii="宋体"/>
                <w:color w:val="auto"/>
                <w:szCs w:val="21"/>
                <w:highlight w:val="none"/>
              </w:rPr>
            </w:pPr>
            <w:r>
              <w:rPr>
                <w:rFonts w:ascii="宋体" w:hAnsi="宋体"/>
                <w:color w:val="auto"/>
                <w:szCs w:val="21"/>
                <w:highlight w:val="none"/>
              </w:rPr>
              <w:t>1.3</w:t>
            </w:r>
          </w:p>
        </w:tc>
        <w:tc>
          <w:tcPr>
            <w:tcW w:w="2204" w:type="dxa"/>
            <w:tcBorders>
              <w:righ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lang w:eastAsia="zh-CN"/>
              </w:rPr>
              <w:t>竞投</w:t>
            </w:r>
            <w:r>
              <w:rPr>
                <w:rFonts w:hint="eastAsia" w:ascii="宋体" w:hAnsi="宋体"/>
                <w:color w:val="auto"/>
                <w:sz w:val="24"/>
                <w:szCs w:val="24"/>
                <w:highlight w:val="none"/>
              </w:rPr>
              <w:t>承诺函</w:t>
            </w:r>
          </w:p>
        </w:tc>
        <w:tc>
          <w:tcPr>
            <w:tcW w:w="4898" w:type="dxa"/>
            <w:tcBorders>
              <w:lef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按对应格式文件签署、盖章</w:t>
            </w:r>
          </w:p>
        </w:tc>
        <w:tc>
          <w:tcPr>
            <w:tcW w:w="871" w:type="dxa"/>
            <w:noWrap w:val="0"/>
            <w:vAlign w:val="center"/>
          </w:tcPr>
          <w:p>
            <w:pPr>
              <w:jc w:val="center"/>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8" w:hRule="atLeast"/>
          <w:jc w:val="center"/>
        </w:trPr>
        <w:tc>
          <w:tcPr>
            <w:tcW w:w="675" w:type="dxa"/>
            <w:vMerge w:val="restart"/>
            <w:noWrap w:val="0"/>
            <w:vAlign w:val="center"/>
          </w:tcPr>
          <w:p>
            <w:pPr>
              <w:tabs>
                <w:tab w:val="left" w:pos="180"/>
              </w:tabs>
              <w:rPr>
                <w:rFonts w:ascii="宋体"/>
                <w:color w:val="auto"/>
                <w:szCs w:val="21"/>
                <w:highlight w:val="none"/>
              </w:rPr>
            </w:pPr>
            <w:r>
              <w:rPr>
                <w:rFonts w:ascii="宋体" w:hAnsi="宋体"/>
                <w:color w:val="auto"/>
                <w:szCs w:val="21"/>
                <w:highlight w:val="none"/>
              </w:rPr>
              <w:t>1.4</w:t>
            </w:r>
          </w:p>
        </w:tc>
        <w:tc>
          <w:tcPr>
            <w:tcW w:w="2204" w:type="dxa"/>
            <w:tcBorders>
              <w:righ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lang w:eastAsia="zh-CN"/>
              </w:rPr>
              <w:t>投标人资格声明函</w:t>
            </w:r>
          </w:p>
        </w:tc>
        <w:tc>
          <w:tcPr>
            <w:tcW w:w="4898" w:type="dxa"/>
            <w:tcBorders>
              <w:lef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按对应格式文件签署、盖章</w:t>
            </w:r>
          </w:p>
        </w:tc>
        <w:tc>
          <w:tcPr>
            <w:tcW w:w="871" w:type="dxa"/>
            <w:noWrap w:val="0"/>
            <w:vAlign w:val="center"/>
          </w:tcPr>
          <w:p>
            <w:pPr>
              <w:jc w:val="center"/>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8" w:hRule="atLeast"/>
          <w:jc w:val="center"/>
        </w:trPr>
        <w:tc>
          <w:tcPr>
            <w:tcW w:w="675" w:type="dxa"/>
            <w:vMerge w:val="continue"/>
            <w:noWrap w:val="0"/>
            <w:vAlign w:val="center"/>
          </w:tcPr>
          <w:p>
            <w:pPr>
              <w:tabs>
                <w:tab w:val="left" w:pos="180"/>
              </w:tabs>
              <w:rPr>
                <w:rFonts w:ascii="宋体" w:hAnsi="宋体"/>
                <w:color w:val="auto"/>
                <w:szCs w:val="21"/>
                <w:highlight w:val="none"/>
              </w:rPr>
            </w:pPr>
          </w:p>
        </w:tc>
        <w:tc>
          <w:tcPr>
            <w:tcW w:w="2204" w:type="dxa"/>
            <w:tcBorders>
              <w:right w:val="single" w:color="auto" w:sz="4" w:space="0"/>
            </w:tcBorders>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lang w:eastAsia="zh-CN"/>
              </w:rPr>
              <w:t>投标人资格声明函附件资料</w:t>
            </w:r>
          </w:p>
        </w:tc>
        <w:tc>
          <w:tcPr>
            <w:tcW w:w="4898" w:type="dxa"/>
            <w:tcBorders>
              <w:left w:val="single" w:color="auto" w:sz="4" w:space="0"/>
            </w:tcBorders>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1.营业执照副本复印件</w:t>
            </w:r>
          </w:p>
          <w:p>
            <w:pPr>
              <w:jc w:val="center"/>
              <w:rPr>
                <w:rFonts w:ascii="宋体"/>
                <w:color w:val="auto"/>
                <w:sz w:val="24"/>
                <w:szCs w:val="24"/>
                <w:highlight w:val="none"/>
              </w:rPr>
            </w:pPr>
            <w:r>
              <w:rPr>
                <w:rFonts w:hint="eastAsia" w:ascii="宋体" w:hAnsi="宋体"/>
                <w:color w:val="auto"/>
                <w:sz w:val="24"/>
                <w:szCs w:val="24"/>
                <w:highlight w:val="none"/>
              </w:rPr>
              <w:t>2.相关信用证明文件</w:t>
            </w:r>
          </w:p>
        </w:tc>
        <w:tc>
          <w:tcPr>
            <w:tcW w:w="871"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lang w:eastAsia="zh-CN"/>
              </w:rPr>
              <w:t>各</w:t>
            </w:r>
            <w:r>
              <w:rPr>
                <w:rFonts w:hint="eastAsia" w:ascii="宋体" w:hAnsi="宋体"/>
                <w:color w:val="auto"/>
                <w:sz w:val="24"/>
                <w:szCs w:val="24"/>
                <w:highlight w:val="none"/>
                <w:lang w:val="en-US" w:eastAsia="zh-CN"/>
              </w:rPr>
              <w:t>1份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lang w:eastAsia="zh-CN"/>
              </w:rPr>
              <w:t>复印件</w:t>
            </w:r>
          </w:p>
        </w:tc>
      </w:tr>
    </w:tbl>
    <w:p>
      <w:pPr>
        <w:pStyle w:val="8"/>
        <w:spacing w:afterLines="50" w:line="360" w:lineRule="auto"/>
        <w:rPr>
          <w:b/>
          <w:bCs/>
          <w:color w:val="auto"/>
          <w:sz w:val="24"/>
          <w:szCs w:val="24"/>
          <w:highlight w:val="none"/>
        </w:rPr>
      </w:pPr>
      <w:r>
        <w:rPr>
          <w:rFonts w:hint="eastAsia"/>
          <w:b/>
          <w:bCs/>
          <w:color w:val="auto"/>
          <w:sz w:val="24"/>
          <w:szCs w:val="24"/>
          <w:highlight w:val="none"/>
        </w:rPr>
        <w:t>特别提示与要求！</w:t>
      </w:r>
    </w:p>
    <w:p>
      <w:pPr>
        <w:snapToGrid w:val="0"/>
        <w:rPr>
          <w:rFonts w:ascii="宋体"/>
          <w:b/>
          <w:color w:val="auto"/>
          <w:sz w:val="44"/>
          <w:szCs w:val="44"/>
          <w:highlight w:val="none"/>
        </w:rPr>
      </w:pPr>
      <w:r>
        <w:rPr>
          <w:rFonts w:hint="eastAsia"/>
          <w:b/>
          <w:bCs/>
          <w:color w:val="auto"/>
          <w:sz w:val="24"/>
          <w:highlight w:val="none"/>
        </w:rPr>
        <w:t>以上材料将作为</w:t>
      </w:r>
      <w:r>
        <w:rPr>
          <w:rFonts w:hint="eastAsia"/>
          <w:b/>
          <w:bCs/>
          <w:color w:val="auto"/>
          <w:sz w:val="24"/>
          <w:highlight w:val="none"/>
          <w:lang w:eastAsia="zh-CN"/>
        </w:rPr>
        <w:t>投标人</w:t>
      </w:r>
      <w:r>
        <w:rPr>
          <w:rFonts w:hint="eastAsia"/>
          <w:b/>
          <w:bCs/>
          <w:color w:val="auto"/>
          <w:sz w:val="24"/>
          <w:highlight w:val="none"/>
        </w:rPr>
        <w:t>合格性和有效性审核的重要内容之一，</w:t>
      </w:r>
      <w:r>
        <w:rPr>
          <w:rFonts w:hint="eastAsia"/>
          <w:b/>
          <w:bCs/>
          <w:color w:val="auto"/>
          <w:sz w:val="24"/>
          <w:highlight w:val="none"/>
          <w:lang w:eastAsia="zh-CN"/>
        </w:rPr>
        <w:t>投标人</w:t>
      </w:r>
      <w:r>
        <w:rPr>
          <w:rFonts w:hint="eastAsia"/>
          <w:b/>
          <w:bCs/>
          <w:color w:val="auto"/>
          <w:sz w:val="24"/>
          <w:highlight w:val="none"/>
        </w:rPr>
        <w:t>必须严格按照其内容及序列要求在</w:t>
      </w:r>
      <w:r>
        <w:rPr>
          <w:rFonts w:hint="eastAsia"/>
          <w:b/>
          <w:bCs/>
          <w:color w:val="auto"/>
          <w:sz w:val="24"/>
          <w:highlight w:val="none"/>
          <w:lang w:eastAsia="zh-CN"/>
        </w:rPr>
        <w:t>竞投</w:t>
      </w:r>
      <w:r>
        <w:rPr>
          <w:rFonts w:hint="eastAsia"/>
          <w:b/>
          <w:bCs/>
          <w:color w:val="auto"/>
          <w:sz w:val="24"/>
          <w:highlight w:val="none"/>
        </w:rPr>
        <w:t>文件中对应如实提供，对缺漏和不符合项将会直接导致</w:t>
      </w:r>
      <w:r>
        <w:rPr>
          <w:rFonts w:hint="eastAsia"/>
          <w:b/>
          <w:bCs/>
          <w:color w:val="auto"/>
          <w:sz w:val="24"/>
          <w:highlight w:val="none"/>
          <w:lang w:eastAsia="zh-CN"/>
        </w:rPr>
        <w:t>资格审查不合格</w:t>
      </w:r>
      <w:r>
        <w:rPr>
          <w:rFonts w:hint="eastAsia"/>
          <w:b/>
          <w:bCs/>
          <w:color w:val="auto"/>
          <w:sz w:val="24"/>
          <w:highlight w:val="none"/>
        </w:rPr>
        <w:t>！</w:t>
      </w:r>
      <w:bookmarkEnd w:id="92"/>
    </w:p>
    <w:p>
      <w:pPr>
        <w:spacing w:after="240" w:afterLines="100" w:line="360" w:lineRule="auto"/>
        <w:jc w:val="center"/>
        <w:outlineLvl w:val="2"/>
        <w:rPr>
          <w:rFonts w:hint="eastAsia" w:ascii="宋体" w:eastAsia="宋体"/>
          <w:b/>
          <w:color w:val="auto"/>
          <w:sz w:val="36"/>
          <w:szCs w:val="36"/>
          <w:highlight w:val="none"/>
          <w:lang w:eastAsia="zh-CN"/>
        </w:rPr>
      </w:pPr>
      <w:bookmarkStart w:id="93" w:name="_Toc17611"/>
      <w:bookmarkStart w:id="94" w:name="_Toc17147"/>
      <w:bookmarkStart w:id="95" w:name="_Toc7238"/>
      <w:r>
        <w:rPr>
          <w:rFonts w:ascii="宋体" w:hAnsi="宋体"/>
          <w:b/>
          <w:color w:val="auto"/>
          <w:sz w:val="36"/>
          <w:szCs w:val="36"/>
          <w:highlight w:val="none"/>
        </w:rPr>
        <w:br w:type="page"/>
      </w:r>
      <w:bookmarkStart w:id="96" w:name="_Toc17471"/>
      <w:bookmarkStart w:id="97" w:name="_Toc29297"/>
      <w:bookmarkStart w:id="98" w:name="_Toc23930"/>
      <w:bookmarkStart w:id="99" w:name="_Toc13229"/>
      <w:bookmarkStart w:id="100" w:name="_Toc14894"/>
      <w:r>
        <w:rPr>
          <w:rFonts w:ascii="宋体" w:hAnsi="宋体"/>
          <w:b/>
          <w:color w:val="auto"/>
          <w:sz w:val="36"/>
          <w:szCs w:val="36"/>
          <w:highlight w:val="none"/>
        </w:rPr>
        <w:t>1.1</w:t>
      </w:r>
      <w:r>
        <w:rPr>
          <w:rFonts w:hint="eastAsia" w:ascii="宋体" w:hAnsi="宋体"/>
          <w:b/>
          <w:color w:val="auto"/>
          <w:sz w:val="36"/>
          <w:szCs w:val="36"/>
          <w:highlight w:val="none"/>
        </w:rPr>
        <w:t>法定代表人</w:t>
      </w:r>
      <w:r>
        <w:rPr>
          <w:rFonts w:ascii="宋体" w:hAnsi="宋体"/>
          <w:b/>
          <w:color w:val="auto"/>
          <w:sz w:val="36"/>
          <w:szCs w:val="36"/>
          <w:highlight w:val="none"/>
        </w:rPr>
        <w:t>/</w:t>
      </w:r>
      <w:r>
        <w:rPr>
          <w:rFonts w:hint="eastAsia" w:ascii="宋体" w:hAnsi="宋体"/>
          <w:b/>
          <w:color w:val="auto"/>
          <w:sz w:val="36"/>
          <w:szCs w:val="36"/>
          <w:highlight w:val="none"/>
        </w:rPr>
        <w:t>负责人资格证明书</w:t>
      </w:r>
      <w:bookmarkEnd w:id="93"/>
      <w:bookmarkEnd w:id="94"/>
      <w:bookmarkEnd w:id="95"/>
      <w:bookmarkEnd w:id="96"/>
      <w:bookmarkEnd w:id="97"/>
      <w:bookmarkEnd w:id="98"/>
      <w:bookmarkEnd w:id="99"/>
      <w:bookmarkEnd w:id="100"/>
    </w:p>
    <w:p>
      <w:pPr>
        <w:spacing w:line="480" w:lineRule="exact"/>
        <w:rPr>
          <w:rFonts w:hint="eastAsia" w:ascii="宋体" w:eastAsia="宋体"/>
          <w:b/>
          <w:color w:val="auto"/>
          <w:sz w:val="24"/>
          <w:highlight w:val="none"/>
          <w:lang w:eastAsia="zh-CN"/>
        </w:rPr>
      </w:pPr>
      <w:r>
        <w:rPr>
          <w:rFonts w:hint="eastAsia" w:ascii="宋体" w:hAnsi="宋体"/>
          <w:b/>
          <w:color w:val="auto"/>
          <w:sz w:val="24"/>
          <w:highlight w:val="none"/>
        </w:rPr>
        <w:t>致：</w:t>
      </w:r>
      <w:r>
        <w:rPr>
          <w:rFonts w:hint="eastAsia" w:ascii="宋体" w:hAnsi="宋体"/>
          <w:b/>
          <w:color w:val="auto"/>
          <w:sz w:val="24"/>
          <w:highlight w:val="none"/>
          <w:lang w:eastAsia="zh-CN"/>
        </w:rPr>
        <w:t>佛山市禅城区南庄镇吉利村上二经济合作社</w:t>
      </w:r>
      <w:r>
        <w:rPr>
          <w:rFonts w:hint="eastAsia" w:ascii="宋体" w:hAnsi="宋体"/>
          <w:b/>
          <w:color w:val="auto"/>
          <w:sz w:val="24"/>
          <w:highlight w:val="none"/>
        </w:rPr>
        <w:t>、</w:t>
      </w:r>
      <w:r>
        <w:rPr>
          <w:rFonts w:hint="eastAsia" w:ascii="宋体" w:hAnsi="宋体"/>
          <w:b/>
          <w:color w:val="auto"/>
          <w:sz w:val="24"/>
          <w:highlight w:val="none"/>
          <w:lang w:eastAsia="zh-CN"/>
        </w:rPr>
        <w:t>广东中采招标有限公司</w:t>
      </w:r>
    </w:p>
    <w:p>
      <w:pPr>
        <w:rPr>
          <w:rFonts w:ascii="宋体"/>
          <w:color w:val="auto"/>
          <w:sz w:val="24"/>
          <w:highlight w:val="none"/>
        </w:rPr>
      </w:pPr>
    </w:p>
    <w:p>
      <w:pPr>
        <w:spacing w:line="440" w:lineRule="exact"/>
        <w:ind w:firstLine="240" w:firstLineChars="100"/>
        <w:rPr>
          <w:rFonts w:ascii="宋体"/>
          <w:color w:val="auto"/>
          <w:sz w:val="24"/>
          <w:highlight w:val="none"/>
        </w:rPr>
      </w:pPr>
      <w:r>
        <w:rPr>
          <w:rFonts w:hint="eastAsia" w:ascii="宋体" w:hAnsi="宋体"/>
          <w:color w:val="auto"/>
          <w:sz w:val="24"/>
          <w:highlight w:val="none"/>
        </w:rPr>
        <w:t>同志，现任我单位职务，为</w:t>
      </w:r>
      <w:r>
        <w:rPr>
          <w:rFonts w:hint="eastAsia" w:ascii="宋体" w:hAnsi="宋体"/>
          <w:color w:val="auto"/>
          <w:sz w:val="24"/>
          <w:highlight w:val="none"/>
          <w:u w:val="single"/>
        </w:rPr>
        <w:t>（</w:t>
      </w:r>
      <w:r>
        <w:rPr>
          <w:rFonts w:hint="eastAsia" w:ascii="宋体" w:hAnsi="宋体"/>
          <w:color w:val="auto"/>
          <w:sz w:val="24"/>
          <w:highlight w:val="none"/>
        </w:rPr>
        <w:t>法定代表人</w:t>
      </w:r>
      <w:r>
        <w:rPr>
          <w:rFonts w:ascii="宋体" w:hAnsi="宋体"/>
          <w:color w:val="auto"/>
          <w:sz w:val="24"/>
          <w:highlight w:val="none"/>
        </w:rPr>
        <w:t>/</w:t>
      </w:r>
      <w:r>
        <w:rPr>
          <w:rFonts w:hint="eastAsia" w:ascii="宋体" w:hAnsi="宋体"/>
          <w:color w:val="auto"/>
          <w:sz w:val="24"/>
          <w:highlight w:val="none"/>
        </w:rPr>
        <w:t>负责人），特此证明。</w:t>
      </w:r>
    </w:p>
    <w:p>
      <w:pPr>
        <w:spacing w:line="440" w:lineRule="exact"/>
        <w:ind w:firstLine="240" w:firstLineChars="100"/>
        <w:rPr>
          <w:rFonts w:hint="eastAsia" w:ascii="宋体" w:eastAsia="宋体"/>
          <w:color w:val="auto"/>
          <w:sz w:val="24"/>
          <w:highlight w:val="none"/>
          <w:lang w:eastAsia="zh-CN"/>
        </w:rPr>
      </w:pPr>
      <w:r>
        <w:rPr>
          <w:rFonts w:hint="eastAsia" w:ascii="宋体" w:hAnsi="宋体"/>
          <w:color w:val="auto"/>
          <w:sz w:val="24"/>
          <w:highlight w:val="none"/>
        </w:rPr>
        <w:t>签发日期：</w:t>
      </w:r>
      <w:r>
        <w:rPr>
          <w:rFonts w:hint="eastAsia" w:ascii="宋体" w:hAnsi="宋体"/>
          <w:color w:val="auto"/>
          <w:sz w:val="24"/>
          <w:highlight w:val="none"/>
          <w:lang w:eastAsia="zh-CN"/>
        </w:rPr>
        <w:t>2024</w:t>
      </w:r>
      <w:r>
        <w:rPr>
          <w:rFonts w:hint="eastAsia" w:ascii="宋体" w:hAnsi="宋体"/>
          <w:color w:val="auto"/>
          <w:sz w:val="24"/>
          <w:highlight w:val="none"/>
        </w:rPr>
        <w:t>年月日</w:t>
      </w:r>
    </w:p>
    <w:p>
      <w:pPr>
        <w:spacing w:line="440" w:lineRule="exact"/>
        <w:ind w:firstLine="240" w:firstLineChars="100"/>
        <w:rPr>
          <w:rFonts w:ascii="宋体"/>
          <w:color w:val="auto"/>
          <w:sz w:val="24"/>
          <w:highlight w:val="none"/>
        </w:rPr>
      </w:pPr>
      <w:r>
        <w:rPr>
          <w:rFonts w:hint="eastAsia" w:ascii="宋体" w:hAnsi="宋体"/>
          <w:color w:val="auto"/>
          <w:sz w:val="24"/>
          <w:highlight w:val="none"/>
        </w:rPr>
        <w:t>单位名称：（</w:t>
      </w:r>
      <w:r>
        <w:rPr>
          <w:rFonts w:hint="eastAsia" w:ascii="宋体" w:hAnsi="宋体"/>
          <w:color w:val="auto"/>
          <w:sz w:val="24"/>
          <w:highlight w:val="none"/>
          <w:lang w:val="zh-CN"/>
        </w:rPr>
        <w:t>加盖投标人公章</w:t>
      </w:r>
      <w:r>
        <w:rPr>
          <w:rFonts w:hint="eastAsia" w:ascii="宋体" w:hAnsi="宋体"/>
          <w:color w:val="auto"/>
          <w:sz w:val="24"/>
          <w:highlight w:val="none"/>
        </w:rPr>
        <w:t>）</w:t>
      </w:r>
    </w:p>
    <w:p>
      <w:pPr>
        <w:spacing w:line="440" w:lineRule="exact"/>
        <w:ind w:firstLine="240" w:firstLineChars="100"/>
        <w:rPr>
          <w:rFonts w:ascii="宋体"/>
          <w:color w:val="auto"/>
          <w:sz w:val="24"/>
          <w:highlight w:val="none"/>
        </w:rPr>
      </w:pPr>
    </w:p>
    <w:p>
      <w:pPr>
        <w:spacing w:line="440" w:lineRule="exact"/>
        <w:ind w:firstLine="240" w:firstLineChars="100"/>
        <w:rPr>
          <w:rFonts w:ascii="宋体"/>
          <w:color w:val="auto"/>
          <w:sz w:val="24"/>
          <w:highlight w:val="none"/>
          <w:u w:val="single"/>
        </w:rPr>
      </w:pPr>
      <w:r>
        <w:rPr>
          <w:rFonts w:hint="eastAsia" w:ascii="宋体" w:hAnsi="宋体"/>
          <w:color w:val="auto"/>
          <w:sz w:val="24"/>
          <w:highlight w:val="none"/>
        </w:rPr>
        <w:t>附：法定代表人</w:t>
      </w:r>
      <w:r>
        <w:rPr>
          <w:rFonts w:ascii="宋体" w:hAnsi="宋体"/>
          <w:color w:val="auto"/>
          <w:sz w:val="24"/>
          <w:highlight w:val="none"/>
        </w:rPr>
        <w:t>/</w:t>
      </w:r>
      <w:r>
        <w:rPr>
          <w:rFonts w:hint="eastAsia" w:ascii="宋体" w:hAnsi="宋体"/>
          <w:color w:val="auto"/>
          <w:sz w:val="24"/>
          <w:highlight w:val="none"/>
        </w:rPr>
        <w:t>负责人性别：年龄：</w:t>
      </w:r>
    </w:p>
    <w:p>
      <w:pPr>
        <w:spacing w:line="440" w:lineRule="exact"/>
        <w:ind w:firstLine="720" w:firstLineChars="300"/>
        <w:rPr>
          <w:rFonts w:ascii="宋体"/>
          <w:color w:val="auto"/>
          <w:sz w:val="24"/>
          <w:highlight w:val="none"/>
          <w:u w:val="single"/>
        </w:rPr>
      </w:pPr>
      <w:r>
        <w:rPr>
          <w:rFonts w:hint="eastAsia" w:ascii="宋体" w:hAnsi="宋体"/>
          <w:color w:val="auto"/>
          <w:sz w:val="24"/>
          <w:highlight w:val="none"/>
        </w:rPr>
        <w:t>身份证号码：</w:t>
      </w:r>
    </w:p>
    <w:p>
      <w:pPr>
        <w:spacing w:line="440" w:lineRule="exact"/>
        <w:ind w:firstLine="720" w:firstLineChars="300"/>
        <w:rPr>
          <w:rFonts w:ascii="宋体"/>
          <w:color w:val="auto"/>
          <w:sz w:val="24"/>
          <w:highlight w:val="none"/>
        </w:rPr>
      </w:pPr>
      <w:r>
        <w:rPr>
          <w:rFonts w:hint="eastAsia" w:ascii="宋体" w:hAnsi="宋体"/>
          <w:color w:val="auto"/>
          <w:sz w:val="24"/>
          <w:highlight w:val="none"/>
        </w:rPr>
        <w:t>联系电话：</w:t>
      </w:r>
    </w:p>
    <w:p>
      <w:pPr>
        <w:spacing w:line="440" w:lineRule="exact"/>
        <w:ind w:firstLine="720" w:firstLineChars="300"/>
        <w:rPr>
          <w:rFonts w:ascii="宋体"/>
          <w:color w:val="auto"/>
          <w:sz w:val="24"/>
          <w:highlight w:val="none"/>
        </w:rPr>
      </w:pPr>
      <w:r>
        <w:rPr>
          <w:rFonts w:hint="eastAsia" w:ascii="宋体" w:hAnsi="宋体"/>
          <w:color w:val="auto"/>
          <w:sz w:val="24"/>
          <w:highlight w:val="none"/>
        </w:rPr>
        <w:t>营业执照号码：</w:t>
      </w:r>
    </w:p>
    <w:p>
      <w:pPr>
        <w:spacing w:line="440" w:lineRule="exact"/>
        <w:ind w:firstLine="720" w:firstLineChars="300"/>
        <w:rPr>
          <w:rFonts w:ascii="宋体"/>
          <w:color w:val="auto"/>
          <w:sz w:val="24"/>
          <w:highlight w:val="none"/>
        </w:rPr>
      </w:pPr>
      <w:r>
        <w:rPr>
          <w:rFonts w:hint="eastAsia" w:ascii="宋体" w:hAnsi="宋体"/>
          <w:color w:val="auto"/>
          <w:sz w:val="24"/>
          <w:highlight w:val="none"/>
        </w:rPr>
        <w:t>单位性质：</w:t>
      </w:r>
    </w:p>
    <w:p>
      <w:pPr>
        <w:spacing w:line="440" w:lineRule="exact"/>
        <w:ind w:firstLine="720" w:firstLineChars="300"/>
        <w:rPr>
          <w:rFonts w:ascii="宋体"/>
          <w:color w:val="auto"/>
          <w:sz w:val="24"/>
          <w:highlight w:val="none"/>
        </w:rPr>
      </w:pPr>
      <w:r>
        <w:rPr>
          <w:rFonts w:hint="eastAsia"/>
          <w:color w:val="auto"/>
          <w:sz w:val="24"/>
          <w:highlight w:val="none"/>
        </w:rPr>
        <w:t>成立时间：</w:t>
      </w:r>
    </w:p>
    <w:p>
      <w:pPr>
        <w:spacing w:line="440" w:lineRule="exact"/>
        <w:rPr>
          <w:rFonts w:ascii="宋体"/>
          <w:color w:val="auto"/>
          <w:sz w:val="24"/>
          <w:highlight w:val="none"/>
        </w:rPr>
      </w:pPr>
    </w:p>
    <w:p>
      <w:pPr>
        <w:spacing w:line="440" w:lineRule="exact"/>
        <w:ind w:left="960" w:hanging="960" w:hangingChars="400"/>
        <w:rPr>
          <w:rFonts w:ascii="宋体"/>
          <w:color w:val="auto"/>
          <w:sz w:val="24"/>
          <w:highlight w:val="none"/>
        </w:rPr>
      </w:pPr>
      <w:r>
        <w:rPr>
          <w:rFonts w:hint="eastAsia" w:ascii="宋体" w:hAnsi="宋体"/>
          <w:color w:val="auto"/>
          <w:sz w:val="24"/>
          <w:highlight w:val="none"/>
        </w:rPr>
        <w:t>说明：</w:t>
      </w:r>
      <w:r>
        <w:rPr>
          <w:rFonts w:ascii="宋体" w:hAnsi="宋体"/>
          <w:color w:val="auto"/>
          <w:sz w:val="24"/>
          <w:highlight w:val="none"/>
        </w:rPr>
        <w:t>1.</w:t>
      </w:r>
      <w:r>
        <w:rPr>
          <w:rFonts w:hint="eastAsia" w:ascii="宋体" w:hAnsi="宋体"/>
          <w:color w:val="auto"/>
          <w:sz w:val="24"/>
          <w:highlight w:val="none"/>
        </w:rPr>
        <w:t>法定代表人</w:t>
      </w:r>
      <w:r>
        <w:rPr>
          <w:rFonts w:ascii="宋体" w:hAnsi="宋体"/>
          <w:color w:val="auto"/>
          <w:sz w:val="24"/>
          <w:highlight w:val="none"/>
        </w:rPr>
        <w:t>/</w:t>
      </w:r>
      <w:r>
        <w:rPr>
          <w:rFonts w:hint="eastAsia" w:ascii="宋体" w:hAnsi="宋体"/>
          <w:color w:val="auto"/>
          <w:sz w:val="24"/>
          <w:highlight w:val="none"/>
        </w:rPr>
        <w:t>负责人为企业事业单位、国家机关、社会团体的主要行政负责人。</w:t>
      </w:r>
    </w:p>
    <w:p>
      <w:pPr>
        <w:spacing w:line="440" w:lineRule="exact"/>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内容必须填写真实、清楚、涂改无效，不得转让、买卖。</w:t>
      </w:r>
    </w:p>
    <w:p>
      <w:pPr>
        <w:spacing w:line="440" w:lineRule="exact"/>
        <w:ind w:firstLine="720" w:firstLineChars="300"/>
        <w:rPr>
          <w:rFonts w:ascii="宋体"/>
          <w:b/>
          <w:color w:val="auto"/>
          <w:sz w:val="24"/>
          <w:highlight w:val="none"/>
        </w:rPr>
      </w:pPr>
      <w:r>
        <w:rPr>
          <w:rFonts w:ascii="宋体" w:hAnsi="宋体"/>
          <w:color w:val="auto"/>
          <w:sz w:val="24"/>
          <w:highlight w:val="none"/>
        </w:rPr>
        <w:t>3.</w:t>
      </w:r>
      <w:r>
        <w:rPr>
          <w:rFonts w:hint="eastAsia" w:ascii="宋体" w:hAnsi="宋体"/>
          <w:color w:val="auto"/>
          <w:sz w:val="24"/>
          <w:highlight w:val="none"/>
        </w:rPr>
        <w:t>将此证明书提交对方作为合同附件</w:t>
      </w:r>
      <w:r>
        <w:rPr>
          <w:rFonts w:hint="eastAsia" w:ascii="宋体" w:hAnsi="宋体"/>
          <w:b/>
          <w:color w:val="auto"/>
          <w:sz w:val="24"/>
          <w:highlight w:val="none"/>
        </w:rPr>
        <w:t>。</w:t>
      </w:r>
    </w:p>
    <w:p>
      <w:pPr>
        <w:rPr>
          <w:rFonts w:ascii="宋体"/>
          <w:color w:val="auto"/>
          <w:sz w:val="24"/>
          <w:highlight w:val="none"/>
        </w:rPr>
      </w:pPr>
    </w:p>
    <w:p>
      <w:pPr>
        <w:rPr>
          <w:rFonts w:ascii="宋体"/>
          <w:color w:val="auto"/>
          <w:sz w:val="24"/>
          <w:highlight w:val="none"/>
        </w:rPr>
      </w:pPr>
    </w:p>
    <w:p>
      <w:pPr>
        <w:spacing w:after="120" w:afterLines="50"/>
        <w:ind w:left="3" w:leftChars="-85" w:hanging="181" w:hangingChars="75"/>
        <w:rPr>
          <w:rFonts w:ascii="宋体"/>
          <w:b/>
          <w:color w:val="auto"/>
          <w:sz w:val="24"/>
          <w:highlight w:val="none"/>
        </w:rPr>
      </w:pPr>
      <w:r>
        <w:rPr>
          <w:rFonts w:hint="eastAsia" w:ascii="宋体" w:hAnsi="宋体"/>
          <w:b/>
          <w:color w:val="auto"/>
          <w:sz w:val="24"/>
          <w:highlight w:val="none"/>
        </w:rPr>
        <w:t>附：法定代表人</w:t>
      </w:r>
      <w:r>
        <w:rPr>
          <w:rFonts w:ascii="宋体" w:hAnsi="宋体"/>
          <w:b/>
          <w:color w:val="auto"/>
          <w:sz w:val="24"/>
          <w:highlight w:val="none"/>
        </w:rPr>
        <w:t>/</w:t>
      </w:r>
      <w:r>
        <w:rPr>
          <w:rFonts w:hint="eastAsia" w:ascii="宋体" w:hAnsi="宋体"/>
          <w:b/>
          <w:color w:val="auto"/>
          <w:sz w:val="24"/>
          <w:highlight w:val="none"/>
        </w:rPr>
        <w:t>负责人的身份证复印件：</w:t>
      </w:r>
    </w:p>
    <w:tbl>
      <w:tblPr>
        <w:tblStyle w:val="19"/>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9396" w:type="dxa"/>
            <w:noWrap w:val="0"/>
            <w:vAlign w:val="center"/>
          </w:tcPr>
          <w:p>
            <w:pPr>
              <w:spacing w:line="360" w:lineRule="auto"/>
              <w:jc w:val="center"/>
              <w:rPr>
                <w:rFonts w:hAnsi="宋体"/>
                <w:color w:val="auto"/>
                <w:sz w:val="24"/>
                <w:highlight w:val="none"/>
              </w:rPr>
            </w:pPr>
            <w:r>
              <w:rPr>
                <w:rFonts w:hint="eastAsia" w:hAnsi="宋体"/>
                <w:color w:val="auto"/>
                <w:sz w:val="24"/>
                <w:highlight w:val="none"/>
              </w:rPr>
              <w:t>粘贴法定代表人</w:t>
            </w:r>
            <w:r>
              <w:rPr>
                <w:rFonts w:ascii="宋体" w:hAnsi="宋体"/>
                <w:color w:val="auto"/>
                <w:sz w:val="24"/>
                <w:highlight w:val="none"/>
              </w:rPr>
              <w:t>/</w:t>
            </w:r>
            <w:r>
              <w:rPr>
                <w:rFonts w:hint="eastAsia" w:ascii="宋体" w:hAnsi="宋体"/>
                <w:color w:val="auto"/>
                <w:sz w:val="24"/>
                <w:highlight w:val="none"/>
              </w:rPr>
              <w:t>负责人</w:t>
            </w:r>
            <w:r>
              <w:rPr>
                <w:rFonts w:hint="eastAsia" w:hAnsi="宋体"/>
                <w:color w:val="auto"/>
                <w:sz w:val="24"/>
                <w:highlight w:val="none"/>
              </w:rPr>
              <w:t>身份证复印件</w:t>
            </w:r>
            <w:r>
              <w:rPr>
                <w:rFonts w:hint="eastAsia" w:hAnsi="宋体"/>
                <w:b/>
                <w:color w:val="auto"/>
                <w:sz w:val="24"/>
                <w:highlight w:val="none"/>
              </w:rPr>
              <w:t>或</w:t>
            </w:r>
            <w:r>
              <w:rPr>
                <w:rFonts w:hint="eastAsia" w:hAnsi="宋体"/>
                <w:color w:val="auto"/>
                <w:sz w:val="24"/>
                <w:highlight w:val="none"/>
              </w:rPr>
              <w:t>直接扫描到此张纸上。</w:t>
            </w:r>
          </w:p>
          <w:p>
            <w:pPr>
              <w:spacing w:line="360" w:lineRule="auto"/>
              <w:jc w:val="center"/>
              <w:rPr>
                <w:rFonts w:ascii="宋体"/>
                <w:b/>
                <w:color w:val="auto"/>
                <w:sz w:val="24"/>
                <w:highlight w:val="none"/>
              </w:rPr>
            </w:pPr>
            <w:r>
              <w:rPr>
                <w:rFonts w:hint="eastAsia" w:hAnsi="宋体"/>
                <w:color w:val="auto"/>
                <w:sz w:val="24"/>
                <w:highlight w:val="none"/>
              </w:rPr>
              <w:t>注：若页面不够位置的，可另行附页，但须紧接此页</w:t>
            </w:r>
          </w:p>
        </w:tc>
      </w:tr>
    </w:tbl>
    <w:p>
      <w:pPr>
        <w:rPr>
          <w:rFonts w:ascii="宋体"/>
          <w:b/>
          <w:color w:val="auto"/>
          <w:sz w:val="24"/>
          <w:highlight w:val="none"/>
        </w:rPr>
      </w:pPr>
    </w:p>
    <w:p>
      <w:pPr>
        <w:ind w:left="472" w:hanging="472" w:hangingChars="196"/>
        <w:rPr>
          <w:rFonts w:ascii="宋体"/>
          <w:b/>
          <w:color w:val="auto"/>
          <w:sz w:val="24"/>
          <w:highlight w:val="none"/>
        </w:rPr>
      </w:pPr>
      <w:r>
        <w:rPr>
          <w:rFonts w:hint="eastAsia" w:ascii="宋体" w:hAnsi="宋体"/>
          <w:b/>
          <w:color w:val="auto"/>
          <w:sz w:val="24"/>
          <w:highlight w:val="none"/>
        </w:rPr>
        <w:t>注：法定代表人</w:t>
      </w:r>
      <w:r>
        <w:rPr>
          <w:rFonts w:ascii="宋体" w:hAnsi="宋体"/>
          <w:b/>
          <w:color w:val="auto"/>
          <w:sz w:val="24"/>
          <w:highlight w:val="none"/>
        </w:rPr>
        <w:t>/</w:t>
      </w:r>
      <w:r>
        <w:rPr>
          <w:rFonts w:hint="eastAsia" w:ascii="宋体" w:hAnsi="宋体"/>
          <w:b/>
          <w:color w:val="auto"/>
          <w:sz w:val="24"/>
          <w:highlight w:val="none"/>
        </w:rPr>
        <w:t>负责人或授权代表人在递交</w:t>
      </w:r>
      <w:r>
        <w:rPr>
          <w:rFonts w:hint="eastAsia" w:ascii="宋体" w:hAnsi="宋体"/>
          <w:b/>
          <w:color w:val="auto"/>
          <w:sz w:val="24"/>
          <w:highlight w:val="none"/>
          <w:lang w:eastAsia="zh-CN"/>
        </w:rPr>
        <w:t>竞投</w:t>
      </w:r>
      <w:r>
        <w:rPr>
          <w:rFonts w:hint="eastAsia" w:ascii="宋体" w:hAnsi="宋体"/>
          <w:b/>
          <w:color w:val="auto"/>
          <w:sz w:val="24"/>
          <w:highlight w:val="none"/>
        </w:rPr>
        <w:t>文件时，须向</w:t>
      </w:r>
      <w:r>
        <w:rPr>
          <w:rFonts w:hint="eastAsia" w:ascii="宋体" w:hAnsi="宋体"/>
          <w:b/>
          <w:color w:val="auto"/>
          <w:sz w:val="24"/>
          <w:highlight w:val="none"/>
          <w:lang w:eastAsia="zh-CN"/>
        </w:rPr>
        <w:t>招标代理机构</w:t>
      </w:r>
      <w:r>
        <w:rPr>
          <w:rFonts w:hint="eastAsia" w:ascii="宋体" w:hAnsi="宋体"/>
          <w:b/>
          <w:color w:val="auto"/>
          <w:sz w:val="24"/>
          <w:highlight w:val="none"/>
        </w:rPr>
        <w:t>人员出示此份证明书的</w:t>
      </w:r>
      <w:r>
        <w:rPr>
          <w:rFonts w:hint="eastAsia" w:ascii="宋体" w:hAnsi="宋体"/>
          <w:b/>
          <w:color w:val="auto"/>
          <w:sz w:val="24"/>
          <w:highlight w:val="none"/>
          <w:u w:val="single"/>
        </w:rPr>
        <w:t>原件</w:t>
      </w:r>
      <w:r>
        <w:rPr>
          <w:rFonts w:hint="eastAsia" w:ascii="宋体" w:hAnsi="宋体"/>
          <w:b/>
          <w:color w:val="auto"/>
          <w:sz w:val="24"/>
          <w:highlight w:val="none"/>
        </w:rPr>
        <w:t>，否则，</w:t>
      </w:r>
      <w:r>
        <w:rPr>
          <w:rFonts w:hint="eastAsia" w:ascii="宋体" w:hAnsi="宋体"/>
          <w:b/>
          <w:color w:val="auto"/>
          <w:sz w:val="24"/>
          <w:highlight w:val="none"/>
          <w:lang w:eastAsia="zh-CN"/>
        </w:rPr>
        <w:t>招标代理机构</w:t>
      </w:r>
      <w:r>
        <w:rPr>
          <w:rFonts w:hint="eastAsia" w:ascii="宋体" w:hAnsi="宋体"/>
          <w:b/>
          <w:color w:val="auto"/>
          <w:sz w:val="24"/>
          <w:highlight w:val="none"/>
        </w:rPr>
        <w:t>将有权拒收其</w:t>
      </w:r>
      <w:r>
        <w:rPr>
          <w:rFonts w:hint="eastAsia" w:ascii="宋体" w:hAnsi="宋体"/>
          <w:b/>
          <w:color w:val="auto"/>
          <w:sz w:val="24"/>
          <w:highlight w:val="none"/>
          <w:lang w:eastAsia="zh-CN"/>
        </w:rPr>
        <w:t>资格审查</w:t>
      </w:r>
      <w:r>
        <w:rPr>
          <w:rFonts w:hint="eastAsia" w:ascii="宋体" w:hAnsi="宋体"/>
          <w:b/>
          <w:color w:val="auto"/>
          <w:sz w:val="24"/>
          <w:highlight w:val="none"/>
        </w:rPr>
        <w:t>文件。</w:t>
      </w:r>
    </w:p>
    <w:p>
      <w:pPr>
        <w:rPr>
          <w:rFonts w:ascii="宋体"/>
          <w:b/>
          <w:color w:val="auto"/>
          <w:szCs w:val="21"/>
          <w:highlight w:val="none"/>
        </w:rPr>
      </w:pPr>
      <w:r>
        <w:rPr>
          <w:color w:val="auto"/>
          <w:sz w:val="24"/>
          <w:highlight w:val="none"/>
        </w:rPr>
        <w:br w:type="page"/>
      </w:r>
    </w:p>
    <w:p>
      <w:pPr>
        <w:spacing w:after="120" w:afterLines="50" w:line="360" w:lineRule="auto"/>
        <w:jc w:val="center"/>
        <w:outlineLvl w:val="2"/>
        <w:rPr>
          <w:rFonts w:hint="eastAsia" w:ascii="宋体" w:eastAsia="宋体"/>
          <w:b/>
          <w:color w:val="auto"/>
          <w:sz w:val="36"/>
          <w:szCs w:val="36"/>
          <w:highlight w:val="none"/>
          <w:lang w:eastAsia="zh-CN"/>
        </w:rPr>
      </w:pPr>
      <w:bookmarkStart w:id="101" w:name="_Toc19126"/>
      <w:bookmarkStart w:id="102" w:name="_Toc31129"/>
      <w:bookmarkStart w:id="103" w:name="_Toc18905"/>
      <w:bookmarkStart w:id="104" w:name="_Toc28451"/>
      <w:bookmarkStart w:id="105" w:name="_Toc13271"/>
      <w:bookmarkStart w:id="106" w:name="_Toc1989"/>
      <w:bookmarkStart w:id="107" w:name="_Toc3208"/>
      <w:bookmarkStart w:id="108" w:name="_Toc7452"/>
      <w:r>
        <w:rPr>
          <w:rFonts w:ascii="宋体" w:hAnsi="宋体"/>
          <w:b/>
          <w:color w:val="auto"/>
          <w:sz w:val="36"/>
          <w:szCs w:val="36"/>
          <w:highlight w:val="none"/>
        </w:rPr>
        <w:t>1.2</w:t>
      </w:r>
      <w:r>
        <w:rPr>
          <w:rFonts w:hint="eastAsia" w:ascii="宋体" w:hAnsi="宋体"/>
          <w:b/>
          <w:color w:val="auto"/>
          <w:sz w:val="36"/>
          <w:szCs w:val="36"/>
          <w:highlight w:val="none"/>
        </w:rPr>
        <w:t>法定代表人</w:t>
      </w:r>
      <w:r>
        <w:rPr>
          <w:rFonts w:ascii="宋体" w:hAnsi="宋体"/>
          <w:b/>
          <w:color w:val="auto"/>
          <w:sz w:val="36"/>
          <w:szCs w:val="36"/>
          <w:highlight w:val="none"/>
        </w:rPr>
        <w:t>/</w:t>
      </w:r>
      <w:r>
        <w:rPr>
          <w:rFonts w:hint="eastAsia" w:ascii="宋体" w:hAnsi="宋体"/>
          <w:b/>
          <w:color w:val="auto"/>
          <w:sz w:val="36"/>
          <w:szCs w:val="36"/>
          <w:highlight w:val="none"/>
        </w:rPr>
        <w:t>负责人授权书</w:t>
      </w:r>
      <w:bookmarkEnd w:id="101"/>
      <w:bookmarkEnd w:id="102"/>
      <w:bookmarkEnd w:id="103"/>
      <w:bookmarkEnd w:id="104"/>
      <w:bookmarkEnd w:id="105"/>
      <w:bookmarkEnd w:id="106"/>
      <w:bookmarkEnd w:id="107"/>
      <w:bookmarkEnd w:id="108"/>
    </w:p>
    <w:p>
      <w:pPr>
        <w:spacing w:after="120" w:afterLines="50" w:line="360" w:lineRule="auto"/>
        <w:rPr>
          <w:rFonts w:hint="eastAsia" w:ascii="宋体" w:eastAsia="宋体"/>
          <w:color w:val="auto"/>
          <w:sz w:val="24"/>
          <w:highlight w:val="none"/>
          <w:lang w:eastAsia="zh-CN"/>
        </w:rPr>
      </w:pPr>
      <w:r>
        <w:rPr>
          <w:rFonts w:hint="eastAsia" w:ascii="宋体" w:hAnsi="宋体"/>
          <w:b/>
          <w:color w:val="auto"/>
          <w:sz w:val="24"/>
          <w:highlight w:val="none"/>
        </w:rPr>
        <w:t>致：</w:t>
      </w:r>
      <w:r>
        <w:rPr>
          <w:rFonts w:hint="eastAsia" w:ascii="宋体" w:hAnsi="宋体"/>
          <w:b/>
          <w:color w:val="auto"/>
          <w:sz w:val="24"/>
          <w:highlight w:val="none"/>
          <w:lang w:eastAsia="zh-CN"/>
        </w:rPr>
        <w:t>佛山市禅城区南庄镇吉利村上二经济合作社</w:t>
      </w:r>
      <w:r>
        <w:rPr>
          <w:rFonts w:hint="eastAsia" w:ascii="宋体" w:hAnsi="宋体"/>
          <w:b/>
          <w:color w:val="auto"/>
          <w:sz w:val="24"/>
          <w:highlight w:val="none"/>
        </w:rPr>
        <w:t>、</w:t>
      </w:r>
      <w:r>
        <w:rPr>
          <w:rFonts w:hint="eastAsia" w:ascii="宋体" w:hAnsi="宋体"/>
          <w:b/>
          <w:color w:val="auto"/>
          <w:sz w:val="24"/>
          <w:highlight w:val="none"/>
          <w:lang w:eastAsia="zh-CN"/>
        </w:rPr>
        <w:t>广东中采招标有限公司</w:t>
      </w:r>
    </w:p>
    <w:p>
      <w:pPr>
        <w:spacing w:line="324" w:lineRule="auto"/>
        <w:ind w:firstLine="480" w:firstLineChars="200"/>
        <w:rPr>
          <w:rFonts w:ascii="宋体"/>
          <w:color w:val="auto"/>
          <w:sz w:val="24"/>
          <w:highlight w:val="none"/>
          <w:lang w:val="en-GB"/>
        </w:rPr>
      </w:pPr>
      <w:r>
        <w:rPr>
          <w:rFonts w:hint="eastAsia" w:ascii="宋体" w:hAnsi="宋体"/>
          <w:color w:val="auto"/>
          <w:sz w:val="24"/>
          <w:highlight w:val="none"/>
          <w:lang w:val="en-GB"/>
        </w:rPr>
        <w:t>我单位特授权委任以下之现职员工，作为我方于本项目</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的唯一</w:t>
      </w:r>
      <w:r>
        <w:rPr>
          <w:rFonts w:hint="eastAsia" w:ascii="宋体" w:hAnsi="宋体" w:cs="宋体"/>
          <w:color w:val="auto"/>
          <w:sz w:val="24"/>
          <w:highlight w:val="none"/>
          <w:lang w:val="en-GB"/>
        </w:rPr>
        <w:t>全权代表</w:t>
      </w:r>
      <w:r>
        <w:rPr>
          <w:rFonts w:hint="eastAsia" w:ascii="宋体" w:hAnsi="宋体"/>
          <w:color w:val="auto"/>
          <w:sz w:val="24"/>
          <w:highlight w:val="none"/>
          <w:lang w:val="en-GB"/>
        </w:rPr>
        <w:t>，亲自出席参与贵方承办的项目</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，对该代表人所提供、签署的一切文书均视为符合我方的合法利益和真实意愿，我方愿为其</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行为承担全部责任。</w:t>
      </w:r>
    </w:p>
    <w:p>
      <w:pPr>
        <w:spacing w:line="324" w:lineRule="auto"/>
        <w:ind w:left="1727" w:leftChars="251" w:hanging="1200" w:hangingChars="500"/>
        <w:jc w:val="left"/>
        <w:rPr>
          <w:rFonts w:hint="eastAsia" w:ascii="宋体" w:eastAsia="宋体"/>
          <w:color w:val="auto"/>
          <w:sz w:val="24"/>
          <w:highlight w:val="none"/>
          <w:lang w:val="en-GB" w:eastAsia="zh-CN"/>
        </w:rPr>
      </w:pPr>
      <w:r>
        <w:rPr>
          <w:rFonts w:hint="eastAsia" w:ascii="宋体" w:hAnsi="宋体"/>
          <w:color w:val="auto"/>
          <w:sz w:val="24"/>
          <w:highlight w:val="none"/>
        </w:rPr>
        <w:t>项目名称：</w:t>
      </w:r>
      <w:r>
        <w:rPr>
          <w:rFonts w:hint="eastAsia" w:ascii="宋体" w:hAnsi="宋体"/>
          <w:color w:val="auto"/>
          <w:sz w:val="24"/>
          <w:highlight w:val="none"/>
          <w:lang w:val="en-GB" w:eastAsia="zh-CN"/>
        </w:rPr>
        <w:t>吉利上二村车辆停放管理服务（二次）</w:t>
      </w:r>
    </w:p>
    <w:p>
      <w:pPr>
        <w:spacing w:line="324" w:lineRule="auto"/>
        <w:ind w:firstLine="480" w:firstLineChars="200"/>
        <w:jc w:val="left"/>
        <w:rPr>
          <w:rFonts w:ascii="宋体"/>
          <w:color w:val="auto"/>
          <w:sz w:val="24"/>
          <w:highlight w:val="none"/>
        </w:rPr>
      </w:pPr>
      <w:r>
        <w:rPr>
          <w:rFonts w:hint="eastAsia" w:ascii="宋体" w:hAnsi="宋体"/>
          <w:color w:val="auto"/>
          <w:sz w:val="24"/>
          <w:highlight w:val="none"/>
        </w:rPr>
        <w:t>委任授权代表姓名：</w:t>
      </w:r>
      <w:r>
        <w:rPr>
          <w:rFonts w:hint="eastAsia" w:ascii="宋体" w:hAnsi="宋体"/>
          <w:color w:val="auto"/>
          <w:sz w:val="24"/>
          <w:highlight w:val="none"/>
          <w:u w:val="single"/>
        </w:rPr>
        <w:t>（印刷体）</w:t>
      </w:r>
      <w:r>
        <w:rPr>
          <w:rFonts w:hint="eastAsia" w:ascii="宋体" w:hAnsi="宋体"/>
          <w:color w:val="auto"/>
          <w:sz w:val="24"/>
          <w:highlight w:val="none"/>
        </w:rPr>
        <w:t>，身份证号码：；</w:t>
      </w:r>
    </w:p>
    <w:p>
      <w:pPr>
        <w:spacing w:line="324" w:lineRule="auto"/>
        <w:ind w:firstLine="480" w:firstLineChars="200"/>
        <w:jc w:val="left"/>
        <w:rPr>
          <w:color w:val="auto"/>
          <w:highlight w:val="none"/>
        </w:rPr>
      </w:pPr>
      <w:r>
        <w:rPr>
          <w:rFonts w:hint="eastAsia" w:ascii="宋体" w:hAnsi="宋体"/>
          <w:color w:val="auto"/>
          <w:sz w:val="24"/>
          <w:highlight w:val="none"/>
        </w:rPr>
        <w:t>委任授权代表姓名：</w:t>
      </w:r>
      <w:r>
        <w:rPr>
          <w:rFonts w:hint="eastAsia" w:ascii="宋体" w:hAnsi="宋体"/>
          <w:color w:val="auto"/>
          <w:sz w:val="24"/>
          <w:highlight w:val="none"/>
          <w:u w:val="single"/>
        </w:rPr>
        <w:t>（亲笔签名）</w:t>
      </w:r>
      <w:r>
        <w:rPr>
          <w:rFonts w:hint="eastAsia" w:ascii="宋体" w:hAnsi="宋体"/>
          <w:color w:val="auto"/>
          <w:sz w:val="24"/>
          <w:highlight w:val="none"/>
        </w:rPr>
        <w:t>；</w:t>
      </w:r>
    </w:p>
    <w:p>
      <w:pPr>
        <w:spacing w:line="324" w:lineRule="auto"/>
        <w:ind w:firstLine="480" w:firstLineChars="200"/>
        <w:jc w:val="left"/>
        <w:rPr>
          <w:rFonts w:hint="eastAsia" w:ascii="宋体" w:eastAsia="宋体"/>
          <w:color w:val="auto"/>
          <w:sz w:val="24"/>
          <w:highlight w:val="none"/>
          <w:lang w:eastAsia="zh-CN"/>
        </w:rPr>
      </w:pPr>
      <w:r>
        <w:rPr>
          <w:rFonts w:hint="eastAsia" w:ascii="宋体" w:hAnsi="宋体"/>
          <w:color w:val="auto"/>
          <w:sz w:val="24"/>
          <w:highlight w:val="none"/>
        </w:rPr>
        <w:t>联系电话（手机）：，现职务：；</w:t>
      </w:r>
    </w:p>
    <w:p>
      <w:pPr>
        <w:spacing w:line="324" w:lineRule="auto"/>
        <w:ind w:firstLine="480" w:firstLineChars="200"/>
        <w:jc w:val="left"/>
        <w:rPr>
          <w:rFonts w:ascii="宋体"/>
          <w:color w:val="auto"/>
          <w:sz w:val="24"/>
          <w:highlight w:val="none"/>
        </w:rPr>
      </w:pPr>
      <w:r>
        <w:rPr>
          <w:rFonts w:hint="eastAsia" w:ascii="宋体" w:hAnsi="宋体"/>
          <w:color w:val="auto"/>
          <w:sz w:val="24"/>
          <w:highlight w:val="none"/>
        </w:rPr>
        <w:t>授权权限：全权代表本单位参与上述项目的</w:t>
      </w:r>
      <w:r>
        <w:rPr>
          <w:rFonts w:hint="eastAsia" w:ascii="宋体" w:hAnsi="宋体"/>
          <w:color w:val="auto"/>
          <w:sz w:val="24"/>
          <w:highlight w:val="none"/>
          <w:lang w:eastAsia="zh-CN"/>
        </w:rPr>
        <w:t>竞投</w:t>
      </w:r>
      <w:r>
        <w:rPr>
          <w:rFonts w:hint="eastAsia" w:ascii="宋体" w:hAnsi="宋体"/>
          <w:color w:val="auto"/>
          <w:sz w:val="24"/>
          <w:highlight w:val="none"/>
        </w:rPr>
        <w:t>、</w:t>
      </w:r>
      <w:r>
        <w:rPr>
          <w:rFonts w:hint="eastAsia" w:ascii="宋体" w:hAnsi="宋体" w:cs="宋体"/>
          <w:color w:val="auto"/>
          <w:sz w:val="24"/>
          <w:highlight w:val="none"/>
          <w:lang w:val="en-GB"/>
        </w:rPr>
        <w:t>递交</w:t>
      </w:r>
      <w:r>
        <w:rPr>
          <w:rFonts w:hint="eastAsia" w:ascii="宋体" w:hAnsi="宋体" w:cs="宋体"/>
          <w:color w:val="auto"/>
          <w:sz w:val="24"/>
          <w:highlight w:val="none"/>
          <w:lang w:val="en-GB" w:eastAsia="zh-CN"/>
        </w:rPr>
        <w:t>资格审查</w:t>
      </w:r>
      <w:r>
        <w:rPr>
          <w:rFonts w:hint="eastAsia" w:ascii="宋体" w:hAnsi="宋体" w:cs="宋体"/>
          <w:color w:val="auto"/>
          <w:sz w:val="24"/>
          <w:highlight w:val="none"/>
          <w:lang w:val="en-GB"/>
        </w:rPr>
        <w:t>文件、出席</w:t>
      </w:r>
      <w:r>
        <w:rPr>
          <w:rFonts w:hint="eastAsia" w:ascii="宋体" w:hAnsi="宋体" w:cs="宋体"/>
          <w:color w:val="auto"/>
          <w:sz w:val="24"/>
          <w:highlight w:val="none"/>
          <w:lang w:val="en-GB" w:eastAsia="zh-CN"/>
        </w:rPr>
        <w:t>竞投会</w:t>
      </w:r>
      <w:r>
        <w:rPr>
          <w:rFonts w:hint="eastAsia" w:ascii="宋体" w:hAnsi="宋体" w:cs="宋体"/>
          <w:color w:val="auto"/>
          <w:sz w:val="24"/>
          <w:highlight w:val="none"/>
          <w:lang w:val="en-GB"/>
        </w:rPr>
        <w:t>全程、</w:t>
      </w:r>
      <w:r>
        <w:rPr>
          <w:rFonts w:hint="eastAsia" w:ascii="宋体" w:hAnsi="宋体" w:cs="宋体"/>
          <w:color w:val="auto"/>
          <w:sz w:val="24"/>
          <w:highlight w:val="none"/>
          <w:lang w:val="en-GB" w:eastAsia="zh-CN"/>
        </w:rPr>
        <w:t>现场应价</w:t>
      </w:r>
      <w:r>
        <w:rPr>
          <w:rFonts w:hint="eastAsia" w:ascii="宋体" w:hAnsi="宋体" w:cs="宋体"/>
          <w:color w:val="auto"/>
          <w:sz w:val="24"/>
          <w:highlight w:val="none"/>
          <w:lang w:val="en-GB"/>
        </w:rPr>
        <w:t>；按照采</w:t>
      </w:r>
      <w:r>
        <w:rPr>
          <w:rFonts w:hint="eastAsia" w:ascii="宋体" w:hAnsi="宋体" w:cs="宋体"/>
          <w:color w:val="auto"/>
          <w:sz w:val="24"/>
          <w:highlight w:val="none"/>
          <w:lang w:val="en-GB" w:eastAsia="zh-CN"/>
        </w:rPr>
        <w:t>招标人</w:t>
      </w:r>
      <w:r>
        <w:rPr>
          <w:rFonts w:hint="eastAsia" w:ascii="宋体" w:hAnsi="宋体" w:cs="宋体"/>
          <w:color w:val="auto"/>
          <w:sz w:val="24"/>
          <w:highlight w:val="none"/>
          <w:lang w:val="en-GB"/>
        </w:rPr>
        <w:t>的要求现场处理</w:t>
      </w:r>
      <w:r>
        <w:rPr>
          <w:rFonts w:hint="eastAsia" w:ascii="宋体" w:hAnsi="宋体" w:cs="宋体"/>
          <w:color w:val="auto"/>
          <w:sz w:val="24"/>
          <w:highlight w:val="none"/>
          <w:lang w:val="en-GB" w:eastAsia="zh-CN"/>
        </w:rPr>
        <w:t>竞投</w:t>
      </w:r>
      <w:r>
        <w:rPr>
          <w:rFonts w:hint="eastAsia" w:ascii="宋体" w:hAnsi="宋体" w:cs="宋体"/>
          <w:color w:val="auto"/>
          <w:sz w:val="24"/>
          <w:highlight w:val="none"/>
          <w:lang w:val="en-GB"/>
        </w:rPr>
        <w:t>相关事宜；</w:t>
      </w:r>
      <w:r>
        <w:rPr>
          <w:rFonts w:hint="eastAsia" w:ascii="宋体" w:hAnsi="宋体"/>
          <w:color w:val="auto"/>
          <w:sz w:val="24"/>
          <w:highlight w:val="none"/>
        </w:rPr>
        <w:t>负责提供与签署确认一切文书资料，以及向贵方递交的任何补充承诺。</w:t>
      </w:r>
    </w:p>
    <w:p>
      <w:pPr>
        <w:spacing w:line="324" w:lineRule="auto"/>
        <w:ind w:firstLine="480" w:firstLineChars="200"/>
        <w:jc w:val="left"/>
        <w:rPr>
          <w:rFonts w:ascii="宋体"/>
          <w:color w:val="auto"/>
          <w:sz w:val="24"/>
          <w:highlight w:val="none"/>
        </w:rPr>
      </w:pPr>
      <w:r>
        <w:rPr>
          <w:rFonts w:hint="eastAsia" w:ascii="宋体" w:hAnsi="宋体"/>
          <w:color w:val="auto"/>
          <w:sz w:val="24"/>
          <w:highlight w:val="none"/>
        </w:rPr>
        <w:t>有效期限：与本项目</w:t>
      </w:r>
      <w:r>
        <w:rPr>
          <w:rFonts w:hint="eastAsia" w:ascii="宋体" w:hAnsi="宋体"/>
          <w:color w:val="auto"/>
          <w:sz w:val="24"/>
          <w:highlight w:val="none"/>
          <w:lang w:eastAsia="zh-CN"/>
        </w:rPr>
        <w:t>竞投文件</w:t>
      </w:r>
      <w:r>
        <w:rPr>
          <w:rFonts w:hint="eastAsia" w:ascii="宋体" w:hAnsi="宋体"/>
          <w:color w:val="auto"/>
          <w:sz w:val="24"/>
          <w:highlight w:val="none"/>
        </w:rPr>
        <w:t>要求的</w:t>
      </w:r>
      <w:r>
        <w:rPr>
          <w:rFonts w:hint="eastAsia" w:ascii="宋体" w:hAnsi="宋体"/>
          <w:color w:val="auto"/>
          <w:sz w:val="24"/>
          <w:highlight w:val="none"/>
          <w:lang w:eastAsia="zh-CN"/>
        </w:rPr>
        <w:t>投标有效期</w:t>
      </w:r>
      <w:r>
        <w:rPr>
          <w:rFonts w:hint="eastAsia" w:ascii="宋体" w:hAnsi="宋体"/>
          <w:color w:val="auto"/>
          <w:sz w:val="24"/>
          <w:highlight w:val="none"/>
        </w:rPr>
        <w:t>相同，自本单位盖章之日起生效。</w:t>
      </w:r>
    </w:p>
    <w:p>
      <w:pPr>
        <w:spacing w:after="120" w:afterLines="50" w:line="324" w:lineRule="auto"/>
        <w:ind w:firstLine="480" w:firstLineChars="200"/>
        <w:jc w:val="left"/>
        <w:rPr>
          <w:rFonts w:ascii="宋体"/>
          <w:color w:val="auto"/>
          <w:sz w:val="24"/>
          <w:highlight w:val="none"/>
        </w:rPr>
      </w:pPr>
      <w:r>
        <w:rPr>
          <w:rFonts w:hint="eastAsia" w:ascii="宋体" w:hAnsi="宋体"/>
          <w:color w:val="auto"/>
          <w:sz w:val="24"/>
          <w:highlight w:val="none"/>
        </w:rPr>
        <w:t>特此授权证明。</w:t>
      </w:r>
    </w:p>
    <w:p>
      <w:pPr>
        <w:spacing w:line="336" w:lineRule="auto"/>
        <w:ind w:firstLine="480" w:firstLineChars="200"/>
        <w:rPr>
          <w:rFonts w:ascii="黑体" w:eastAsia="黑体"/>
          <w:color w:val="auto"/>
          <w:sz w:val="24"/>
          <w:highlight w:val="none"/>
          <w:lang w:val="en-GB"/>
        </w:rPr>
      </w:pPr>
      <w:r>
        <w:rPr>
          <w:rFonts w:hint="eastAsia" w:ascii="黑体" w:eastAsia="黑体"/>
          <w:color w:val="auto"/>
          <w:sz w:val="24"/>
          <w:highlight w:val="none"/>
          <w:lang w:val="en-GB" w:eastAsia="zh-CN"/>
        </w:rPr>
        <w:t>投标人</w:t>
      </w:r>
      <w:r>
        <w:rPr>
          <w:rFonts w:hint="eastAsia" w:ascii="黑体" w:eastAsia="黑体"/>
          <w:color w:val="auto"/>
          <w:sz w:val="24"/>
          <w:highlight w:val="none"/>
          <w:lang w:val="en-GB"/>
        </w:rPr>
        <w:t>名称：</w:t>
      </w:r>
      <w:r>
        <w:rPr>
          <w:rFonts w:hint="eastAsia" w:ascii="黑体" w:eastAsia="黑体"/>
          <w:color w:val="auto"/>
          <w:sz w:val="24"/>
          <w:highlight w:val="none"/>
          <w:u w:val="dotted"/>
          <w:lang w:val="en-GB"/>
        </w:rPr>
        <w:t>（全称）</w:t>
      </w:r>
      <w:r>
        <w:rPr>
          <w:rFonts w:hint="eastAsia" w:ascii="黑体" w:eastAsia="黑体"/>
          <w:color w:val="auto"/>
          <w:sz w:val="24"/>
          <w:highlight w:val="none"/>
          <w:lang w:val="en-GB"/>
        </w:rPr>
        <w:t>（加盖</w:t>
      </w:r>
      <w:r>
        <w:rPr>
          <w:rFonts w:hint="eastAsia" w:ascii="黑体" w:eastAsia="黑体"/>
          <w:color w:val="auto"/>
          <w:sz w:val="24"/>
          <w:highlight w:val="none"/>
          <w:lang w:val="en-GB" w:eastAsia="zh-CN"/>
        </w:rPr>
        <w:t>投标人</w:t>
      </w:r>
      <w:r>
        <w:rPr>
          <w:rFonts w:hint="eastAsia" w:ascii="黑体" w:eastAsia="黑体"/>
          <w:color w:val="auto"/>
          <w:sz w:val="24"/>
          <w:highlight w:val="none"/>
          <w:lang w:val="en-GB"/>
        </w:rPr>
        <w:t>公章）</w:t>
      </w:r>
    </w:p>
    <w:p>
      <w:pPr>
        <w:spacing w:line="336" w:lineRule="auto"/>
        <w:ind w:firstLine="480" w:firstLineChars="200"/>
        <w:rPr>
          <w:rFonts w:ascii="黑体" w:eastAsia="黑体"/>
          <w:color w:val="auto"/>
          <w:sz w:val="24"/>
          <w:highlight w:val="none"/>
          <w:lang w:val="en-GB"/>
        </w:rPr>
      </w:pPr>
      <w:r>
        <w:rPr>
          <w:rFonts w:hint="eastAsia" w:ascii="黑体" w:eastAsia="黑体"/>
          <w:color w:val="auto"/>
          <w:sz w:val="24"/>
          <w:highlight w:val="none"/>
          <w:lang w:val="en-GB"/>
        </w:rPr>
        <w:t>法定代表人（或负责人）：（亲笔签名或签章）</w:t>
      </w:r>
    </w:p>
    <w:p>
      <w:pPr>
        <w:spacing w:line="336" w:lineRule="auto"/>
        <w:ind w:firstLine="480" w:firstLineChars="200"/>
        <w:rPr>
          <w:rFonts w:ascii="黑体" w:eastAsia="黑体"/>
          <w:color w:val="auto"/>
          <w:sz w:val="24"/>
          <w:highlight w:val="none"/>
          <w:lang w:val="en-GB"/>
        </w:rPr>
      </w:pPr>
      <w:r>
        <w:rPr>
          <w:rFonts w:hint="eastAsia" w:ascii="黑体" w:eastAsia="黑体"/>
          <w:color w:val="auto"/>
          <w:sz w:val="24"/>
          <w:highlight w:val="none"/>
          <w:lang w:val="en-GB"/>
        </w:rPr>
        <w:t>委任授权代表：（亲笔签名或签章）</w:t>
      </w:r>
    </w:p>
    <w:p>
      <w:pPr>
        <w:spacing w:line="336" w:lineRule="auto"/>
        <w:ind w:firstLine="480" w:firstLineChars="200"/>
        <w:rPr>
          <w:rFonts w:ascii="黑体" w:eastAsia="黑体"/>
          <w:color w:val="auto"/>
          <w:sz w:val="24"/>
          <w:highlight w:val="none"/>
          <w:lang w:val="en-GB"/>
        </w:rPr>
      </w:pPr>
      <w:r>
        <w:rPr>
          <w:rFonts w:hint="eastAsia" w:ascii="黑体" w:eastAsia="黑体"/>
          <w:color w:val="auto"/>
          <w:sz w:val="24"/>
          <w:highlight w:val="none"/>
          <w:lang w:val="en-GB"/>
        </w:rPr>
        <w:t>生效日期：</w:t>
      </w:r>
      <w:r>
        <w:rPr>
          <w:rFonts w:hint="eastAsia" w:ascii="黑体" w:eastAsia="黑体"/>
          <w:color w:val="auto"/>
          <w:sz w:val="24"/>
          <w:highlight w:val="none"/>
          <w:lang w:val="en-GB" w:eastAsia="zh-CN"/>
        </w:rPr>
        <w:t>2024</w:t>
      </w:r>
      <w:r>
        <w:rPr>
          <w:rFonts w:hint="eastAsia" w:ascii="黑体" w:eastAsia="黑体"/>
          <w:color w:val="auto"/>
          <w:sz w:val="24"/>
          <w:highlight w:val="none"/>
          <w:lang w:val="en-GB"/>
        </w:rPr>
        <w:t>年</w:t>
      </w:r>
      <w:r>
        <w:rPr>
          <w:rFonts w:hint="eastAsia" w:ascii="黑体" w:eastAsia="黑体"/>
          <w:color w:val="auto"/>
          <w:sz w:val="24"/>
          <w:highlight w:val="none"/>
          <w:lang w:val="en-US" w:eastAsia="zh-CN"/>
        </w:rPr>
        <w:t xml:space="preserve">  </w:t>
      </w:r>
      <w:r>
        <w:rPr>
          <w:rFonts w:hint="eastAsia" w:ascii="黑体" w:eastAsia="黑体"/>
          <w:color w:val="auto"/>
          <w:sz w:val="24"/>
          <w:highlight w:val="none"/>
          <w:lang w:val="en-GB"/>
        </w:rPr>
        <w:t>月</w:t>
      </w:r>
      <w:r>
        <w:rPr>
          <w:rFonts w:hint="eastAsia" w:ascii="黑体" w:eastAsia="黑体"/>
          <w:color w:val="auto"/>
          <w:sz w:val="24"/>
          <w:highlight w:val="none"/>
          <w:lang w:val="en-US" w:eastAsia="zh-CN"/>
        </w:rPr>
        <w:t xml:space="preserve">  </w:t>
      </w:r>
      <w:r>
        <w:rPr>
          <w:rFonts w:hint="eastAsia" w:ascii="黑体" w:eastAsia="黑体"/>
          <w:color w:val="auto"/>
          <w:sz w:val="24"/>
          <w:highlight w:val="none"/>
          <w:lang w:val="en-GB"/>
        </w:rPr>
        <w:t>日。</w:t>
      </w:r>
    </w:p>
    <w:p>
      <w:pPr>
        <w:spacing w:line="264" w:lineRule="auto"/>
        <w:ind w:left="420" w:leftChars="200" w:right="363" w:rightChars="173"/>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说明：</w:t>
      </w:r>
    </w:p>
    <w:p>
      <w:pPr>
        <w:spacing w:line="264" w:lineRule="auto"/>
        <w:ind w:left="780" w:leftChars="200" w:right="363" w:rightChars="173" w:hanging="360" w:hangingChars="15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1、</w:t>
      </w:r>
      <w:r>
        <w:rPr>
          <w:rFonts w:hint="eastAsia" w:asciiTheme="minorEastAsia" w:hAnsiTheme="minorEastAsia" w:eastAsiaTheme="minorEastAsia" w:cstheme="minorEastAsia"/>
          <w:color w:val="auto"/>
          <w:sz w:val="24"/>
          <w:szCs w:val="24"/>
          <w:highlight w:val="none"/>
          <w:u w:val="single"/>
          <w:lang w:val="en-GB"/>
        </w:rPr>
        <w:t>法定代表人</w:t>
      </w:r>
      <w:r>
        <w:rPr>
          <w:rFonts w:hint="eastAsia" w:asciiTheme="minorEastAsia" w:hAnsiTheme="minorEastAsia" w:eastAsiaTheme="minorEastAsia" w:cstheme="minorEastAsia"/>
          <w:color w:val="auto"/>
          <w:sz w:val="24"/>
          <w:szCs w:val="24"/>
          <w:highlight w:val="none"/>
          <w:u w:val="single"/>
        </w:rPr>
        <w:t>/负责人</w:t>
      </w:r>
      <w:r>
        <w:rPr>
          <w:rFonts w:hint="eastAsia" w:asciiTheme="minorEastAsia" w:hAnsiTheme="minorEastAsia" w:eastAsiaTheme="minorEastAsia" w:cstheme="minorEastAsia"/>
          <w:color w:val="auto"/>
          <w:sz w:val="24"/>
          <w:szCs w:val="24"/>
          <w:highlight w:val="none"/>
          <w:u w:val="single"/>
          <w:lang w:val="en-GB"/>
        </w:rPr>
        <w:t>或授权代表人在递交</w:t>
      </w:r>
      <w:r>
        <w:rPr>
          <w:rFonts w:hint="eastAsia" w:asciiTheme="minorEastAsia" w:hAnsiTheme="minorEastAsia" w:eastAsiaTheme="minorEastAsia" w:cstheme="minorEastAsia"/>
          <w:color w:val="auto"/>
          <w:sz w:val="24"/>
          <w:szCs w:val="24"/>
          <w:highlight w:val="none"/>
          <w:u w:val="single"/>
          <w:lang w:val="en-GB" w:eastAsia="zh-CN"/>
        </w:rPr>
        <w:t>竞投</w:t>
      </w:r>
      <w:r>
        <w:rPr>
          <w:rFonts w:hint="eastAsia" w:asciiTheme="minorEastAsia" w:hAnsiTheme="minorEastAsia" w:eastAsiaTheme="minorEastAsia" w:cstheme="minorEastAsia"/>
          <w:color w:val="auto"/>
          <w:sz w:val="24"/>
          <w:szCs w:val="24"/>
          <w:highlight w:val="none"/>
          <w:u w:val="single"/>
          <w:lang w:val="en-GB"/>
        </w:rPr>
        <w:t>文件时，须向</w:t>
      </w:r>
      <w:r>
        <w:rPr>
          <w:rFonts w:hint="eastAsia" w:asciiTheme="minorEastAsia" w:hAnsiTheme="minorEastAsia" w:eastAsiaTheme="minorEastAsia" w:cstheme="minorEastAsia"/>
          <w:color w:val="auto"/>
          <w:sz w:val="24"/>
          <w:szCs w:val="24"/>
          <w:highlight w:val="none"/>
          <w:u w:val="single"/>
          <w:lang w:val="en-GB" w:eastAsia="zh-CN"/>
        </w:rPr>
        <w:t>招标代理机构</w:t>
      </w:r>
      <w:r>
        <w:rPr>
          <w:rFonts w:hint="eastAsia" w:asciiTheme="minorEastAsia" w:hAnsiTheme="minorEastAsia" w:eastAsiaTheme="minorEastAsia" w:cstheme="minorEastAsia"/>
          <w:color w:val="auto"/>
          <w:sz w:val="24"/>
          <w:szCs w:val="24"/>
          <w:highlight w:val="none"/>
          <w:u w:val="single"/>
          <w:lang w:val="en-GB"/>
        </w:rPr>
        <w:t>人员出示此份证明书的原件，否则，</w:t>
      </w:r>
      <w:r>
        <w:rPr>
          <w:rFonts w:hint="eastAsia" w:asciiTheme="minorEastAsia" w:hAnsiTheme="minorEastAsia" w:eastAsiaTheme="minorEastAsia" w:cstheme="minorEastAsia"/>
          <w:color w:val="auto"/>
          <w:sz w:val="24"/>
          <w:szCs w:val="24"/>
          <w:highlight w:val="none"/>
          <w:u w:val="single"/>
          <w:lang w:val="en-GB" w:eastAsia="zh-CN"/>
        </w:rPr>
        <w:t>招标代理机构</w:t>
      </w:r>
      <w:r>
        <w:rPr>
          <w:rFonts w:hint="eastAsia" w:asciiTheme="minorEastAsia" w:hAnsiTheme="minorEastAsia" w:eastAsiaTheme="minorEastAsia" w:cstheme="minorEastAsia"/>
          <w:color w:val="auto"/>
          <w:sz w:val="24"/>
          <w:szCs w:val="24"/>
          <w:highlight w:val="none"/>
          <w:u w:val="single"/>
          <w:lang w:val="en-GB"/>
        </w:rPr>
        <w:t>将</w:t>
      </w:r>
      <w:r>
        <w:rPr>
          <w:rFonts w:hint="eastAsia" w:asciiTheme="minorEastAsia" w:hAnsiTheme="minorEastAsia" w:eastAsiaTheme="minorEastAsia" w:cstheme="minorEastAsia"/>
          <w:color w:val="auto"/>
          <w:sz w:val="24"/>
          <w:szCs w:val="24"/>
          <w:highlight w:val="none"/>
          <w:u w:val="single"/>
        </w:rPr>
        <w:t>有权</w:t>
      </w:r>
      <w:r>
        <w:rPr>
          <w:rFonts w:hint="eastAsia" w:asciiTheme="minorEastAsia" w:hAnsiTheme="minorEastAsia" w:eastAsiaTheme="minorEastAsia" w:cstheme="minorEastAsia"/>
          <w:color w:val="auto"/>
          <w:sz w:val="24"/>
          <w:szCs w:val="24"/>
          <w:highlight w:val="none"/>
          <w:u w:val="single"/>
          <w:lang w:val="en-GB"/>
        </w:rPr>
        <w:t>拒收其</w:t>
      </w:r>
      <w:r>
        <w:rPr>
          <w:rFonts w:hint="eastAsia" w:asciiTheme="minorEastAsia" w:hAnsiTheme="minorEastAsia" w:eastAsiaTheme="minorEastAsia" w:cstheme="minorEastAsia"/>
          <w:color w:val="auto"/>
          <w:sz w:val="24"/>
          <w:szCs w:val="24"/>
          <w:highlight w:val="none"/>
          <w:u w:val="single"/>
          <w:lang w:val="en-GB" w:eastAsia="zh-CN"/>
        </w:rPr>
        <w:t>资格审查</w:t>
      </w:r>
      <w:r>
        <w:rPr>
          <w:rFonts w:hint="eastAsia" w:asciiTheme="minorEastAsia" w:hAnsiTheme="minorEastAsia" w:eastAsiaTheme="minorEastAsia" w:cstheme="minorEastAsia"/>
          <w:color w:val="auto"/>
          <w:sz w:val="24"/>
          <w:szCs w:val="24"/>
          <w:highlight w:val="none"/>
          <w:u w:val="single"/>
          <w:lang w:val="en-GB"/>
        </w:rPr>
        <w:t>文件。</w:t>
      </w:r>
    </w:p>
    <w:p>
      <w:pPr>
        <w:spacing w:line="264" w:lineRule="auto"/>
        <w:ind w:left="780" w:leftChars="200" w:hanging="360" w:hangingChars="15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2、本授权书内容不得擅自删改。如法定代表人（或负责人）亲临现场参与</w:t>
      </w:r>
      <w:r>
        <w:rPr>
          <w:rFonts w:hint="eastAsia" w:asciiTheme="minorEastAsia" w:hAnsiTheme="minorEastAsia" w:eastAsiaTheme="minorEastAsia" w:cstheme="minorEastAsia"/>
          <w:color w:val="auto"/>
          <w:sz w:val="24"/>
          <w:szCs w:val="24"/>
          <w:highlight w:val="none"/>
          <w:lang w:val="en-GB" w:eastAsia="zh-CN"/>
        </w:rPr>
        <w:t>竞投</w:t>
      </w:r>
      <w:r>
        <w:rPr>
          <w:rFonts w:hint="eastAsia" w:asciiTheme="minorEastAsia" w:hAnsiTheme="minorEastAsia" w:eastAsiaTheme="minorEastAsia" w:cstheme="minorEastAsia"/>
          <w:color w:val="auto"/>
          <w:sz w:val="24"/>
          <w:szCs w:val="24"/>
          <w:highlight w:val="none"/>
          <w:lang w:val="en-GB"/>
        </w:rPr>
        <w:t>、决策、签字的，则不需此函。</w:t>
      </w:r>
    </w:p>
    <w:p>
      <w:pPr>
        <w:rPr>
          <w:b/>
          <w:color w:val="auto"/>
          <w:highlight w:val="none"/>
          <w:lang w:val="en-GB"/>
        </w:rPr>
      </w:pPr>
      <w:r>
        <w:rPr>
          <w:rFonts w:hint="eastAsia"/>
          <w:b/>
          <w:color w:val="auto"/>
          <w:highlight w:val="none"/>
          <w:lang w:val="en-GB"/>
        </w:rPr>
        <w:t>附：被授权人的身份证复印件：</w:t>
      </w:r>
    </w:p>
    <w:tbl>
      <w:tblPr>
        <w:tblStyle w:val="19"/>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trPr>
        <w:tc>
          <w:tcPr>
            <w:tcW w:w="9396" w:type="dxa"/>
            <w:noWrap w:val="0"/>
            <w:vAlign w:val="center"/>
          </w:tcPr>
          <w:p>
            <w:pPr>
              <w:spacing w:line="300" w:lineRule="auto"/>
              <w:jc w:val="center"/>
              <w:rPr>
                <w:rFonts w:hAnsi="宋体"/>
                <w:color w:val="auto"/>
                <w:sz w:val="24"/>
                <w:highlight w:val="none"/>
              </w:rPr>
            </w:pPr>
            <w:r>
              <w:rPr>
                <w:rFonts w:hint="eastAsia" w:hAnsi="宋体"/>
                <w:color w:val="auto"/>
                <w:sz w:val="24"/>
                <w:highlight w:val="none"/>
              </w:rPr>
              <w:t>此处粘贴授权代表（被授权人）的身份证复印件（双面）</w:t>
            </w:r>
          </w:p>
          <w:p>
            <w:pPr>
              <w:spacing w:line="300" w:lineRule="auto"/>
              <w:jc w:val="center"/>
              <w:rPr>
                <w:rFonts w:hAnsi="宋体"/>
                <w:color w:val="auto"/>
                <w:sz w:val="24"/>
                <w:highlight w:val="none"/>
              </w:rPr>
            </w:pPr>
            <w:r>
              <w:rPr>
                <w:rFonts w:hint="eastAsia" w:hAnsi="宋体"/>
                <w:color w:val="auto"/>
                <w:sz w:val="24"/>
                <w:highlight w:val="none"/>
              </w:rPr>
              <w:t>或直接扫描到此张纸上</w:t>
            </w:r>
          </w:p>
          <w:p>
            <w:pPr>
              <w:spacing w:line="300" w:lineRule="auto"/>
              <w:jc w:val="center"/>
              <w:rPr>
                <w:rFonts w:ascii="宋体"/>
                <w:color w:val="auto"/>
                <w:sz w:val="24"/>
                <w:highlight w:val="none"/>
              </w:rPr>
            </w:pPr>
            <w:r>
              <w:rPr>
                <w:rFonts w:hint="eastAsia" w:hAnsi="宋体"/>
                <w:color w:val="auto"/>
                <w:sz w:val="24"/>
                <w:highlight w:val="none"/>
              </w:rPr>
              <w:t>注：若页面不够位置的，可另行附页，但须紧接此页。</w:t>
            </w:r>
          </w:p>
        </w:tc>
      </w:tr>
    </w:tbl>
    <w:p>
      <w:pPr>
        <w:pStyle w:val="8"/>
        <w:spacing w:after="0" w:line="240" w:lineRule="exact"/>
        <w:ind w:firstLine="480" w:firstLineChars="200"/>
        <w:rPr>
          <w:color w:val="auto"/>
          <w:sz w:val="24"/>
          <w:szCs w:val="24"/>
          <w:highlight w:val="none"/>
        </w:rPr>
      </w:pPr>
      <w:r>
        <w:rPr>
          <w:color w:val="auto"/>
          <w:sz w:val="24"/>
          <w:szCs w:val="24"/>
          <w:highlight w:val="none"/>
        </w:rPr>
        <w:br w:type="page"/>
      </w:r>
    </w:p>
    <w:p>
      <w:pPr>
        <w:spacing w:after="120" w:afterLines="50" w:line="240" w:lineRule="auto"/>
        <w:jc w:val="center"/>
        <w:outlineLvl w:val="2"/>
        <w:rPr>
          <w:rFonts w:hint="eastAsia" w:ascii="宋体" w:hAnsi="宋体"/>
          <w:b/>
          <w:color w:val="auto"/>
          <w:sz w:val="36"/>
          <w:szCs w:val="36"/>
          <w:highlight w:val="none"/>
        </w:rPr>
      </w:pPr>
      <w:bookmarkStart w:id="109" w:name="_Toc19084"/>
      <w:bookmarkStart w:id="110" w:name="_Toc16371"/>
      <w:bookmarkStart w:id="111" w:name="_Toc71"/>
      <w:bookmarkStart w:id="112" w:name="_Toc22881"/>
      <w:bookmarkStart w:id="113" w:name="_Toc16930"/>
      <w:bookmarkStart w:id="114" w:name="_Toc13163"/>
      <w:bookmarkStart w:id="115" w:name="_Toc31397"/>
      <w:bookmarkStart w:id="116" w:name="_Toc10658"/>
      <w:r>
        <w:rPr>
          <w:rFonts w:ascii="宋体" w:hAnsi="宋体"/>
          <w:b/>
          <w:color w:val="auto"/>
          <w:sz w:val="36"/>
          <w:szCs w:val="36"/>
          <w:highlight w:val="none"/>
        </w:rPr>
        <w:t>1.3</w:t>
      </w:r>
      <w:r>
        <w:rPr>
          <w:rFonts w:hint="eastAsia" w:ascii="宋体" w:hAnsi="宋体"/>
          <w:b/>
          <w:color w:val="auto"/>
          <w:sz w:val="36"/>
          <w:szCs w:val="36"/>
          <w:highlight w:val="none"/>
          <w:lang w:eastAsia="zh-CN"/>
        </w:rPr>
        <w:t>竞投</w:t>
      </w:r>
      <w:r>
        <w:rPr>
          <w:rFonts w:hint="eastAsia" w:ascii="宋体" w:hAnsi="宋体"/>
          <w:b/>
          <w:color w:val="auto"/>
          <w:sz w:val="36"/>
          <w:szCs w:val="36"/>
          <w:highlight w:val="none"/>
        </w:rPr>
        <w:t>承诺函</w:t>
      </w:r>
      <w:bookmarkEnd w:id="109"/>
      <w:bookmarkEnd w:id="110"/>
      <w:bookmarkEnd w:id="111"/>
      <w:bookmarkEnd w:id="112"/>
      <w:bookmarkEnd w:id="113"/>
      <w:bookmarkEnd w:id="114"/>
      <w:bookmarkEnd w:id="115"/>
      <w:bookmarkEnd w:id="116"/>
    </w:p>
    <w:p>
      <w:pPr>
        <w:keepNext w:val="0"/>
        <w:keepLines w:val="0"/>
        <w:pageBreakBefore w:val="0"/>
        <w:kinsoku/>
        <w:wordWrap/>
        <w:overflowPunct/>
        <w:topLinePunct w:val="0"/>
        <w:autoSpaceDE/>
        <w:autoSpaceDN/>
        <w:bidi w:val="0"/>
        <w:adjustRightInd/>
        <w:snapToGrid/>
        <w:spacing w:after="72" w:afterLines="30" w:line="44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致：</w:t>
      </w:r>
      <w:r>
        <w:rPr>
          <w:rFonts w:hint="eastAsia" w:ascii="宋体" w:hAnsi="宋体" w:cs="宋体"/>
          <w:b/>
          <w:color w:val="auto"/>
          <w:sz w:val="24"/>
          <w:szCs w:val="24"/>
          <w:highlight w:val="none"/>
          <w:lang w:eastAsia="zh-CN"/>
        </w:rPr>
        <w:t>佛山市禅城区南庄镇吉利村上二经济合作社</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eastAsia="zh-CN"/>
        </w:rPr>
        <w:t>广东中采招标有限公司</w:t>
      </w:r>
    </w:p>
    <w:p>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eastAsia="zh-CN"/>
        </w:rPr>
        <w:t>竞投文件</w:t>
      </w:r>
      <w:r>
        <w:rPr>
          <w:rFonts w:hint="eastAsia" w:ascii="宋体" w:hAnsi="宋体" w:eastAsia="宋体" w:cs="宋体"/>
          <w:color w:val="auto"/>
          <w:sz w:val="24"/>
          <w:szCs w:val="24"/>
          <w:highlight w:val="none"/>
        </w:rPr>
        <w:t>》的要求，通过委任的全权代表，向贵方递交密封册装的全套</w:t>
      </w:r>
      <w:r>
        <w:rPr>
          <w:rFonts w:hint="eastAsia" w:ascii="宋体" w:hAnsi="宋体" w:eastAsia="宋体" w:cs="宋体"/>
          <w:color w:val="auto"/>
          <w:sz w:val="24"/>
          <w:szCs w:val="24"/>
          <w:highlight w:val="none"/>
          <w:lang w:eastAsia="zh-CN"/>
        </w:rPr>
        <w:t>资格审查</w:t>
      </w:r>
      <w:r>
        <w:rPr>
          <w:rFonts w:hint="eastAsia" w:ascii="宋体" w:hAnsi="宋体" w:eastAsia="宋体" w:cs="宋体"/>
          <w:color w:val="auto"/>
          <w:sz w:val="24"/>
          <w:szCs w:val="24"/>
          <w:highlight w:val="none"/>
        </w:rPr>
        <w:t>文件参与下列项目的</w:t>
      </w:r>
      <w:r>
        <w:rPr>
          <w:rFonts w:hint="eastAsia" w:ascii="宋体" w:hAnsi="宋体" w:eastAsia="宋体" w:cs="宋体"/>
          <w:color w:val="auto"/>
          <w:sz w:val="24"/>
          <w:szCs w:val="24"/>
          <w:highlight w:val="none"/>
          <w:lang w:eastAsia="zh-CN"/>
        </w:rPr>
        <w:t>竞投</w:t>
      </w:r>
      <w:r>
        <w:rPr>
          <w:rFonts w:hint="eastAsia" w:ascii="宋体" w:hAnsi="宋体" w:eastAsia="宋体" w:cs="宋体"/>
          <w:color w:val="auto"/>
          <w:sz w:val="24"/>
          <w:szCs w:val="24"/>
          <w:highlight w:val="none"/>
        </w:rPr>
        <w:t>，现为我方的一切</w:t>
      </w:r>
      <w:r>
        <w:rPr>
          <w:rFonts w:hint="eastAsia" w:ascii="宋体" w:hAnsi="宋体" w:eastAsia="宋体" w:cs="宋体"/>
          <w:color w:val="auto"/>
          <w:sz w:val="24"/>
          <w:szCs w:val="24"/>
          <w:highlight w:val="none"/>
          <w:lang w:eastAsia="zh-CN"/>
        </w:rPr>
        <w:t>竞投</w:t>
      </w:r>
      <w:r>
        <w:rPr>
          <w:rFonts w:hint="eastAsia" w:ascii="宋体" w:hAnsi="宋体" w:eastAsia="宋体" w:cs="宋体"/>
          <w:color w:val="auto"/>
          <w:sz w:val="24"/>
          <w:szCs w:val="24"/>
          <w:highlight w:val="none"/>
        </w:rPr>
        <w:t>行为作</w:t>
      </w:r>
      <w:r>
        <w:rPr>
          <w:rFonts w:hint="eastAsia" w:ascii="宋体" w:hAnsi="宋体" w:eastAsia="宋体" w:cs="宋体"/>
          <w:bCs/>
          <w:color w:val="auto"/>
          <w:sz w:val="24"/>
          <w:szCs w:val="24"/>
          <w:highlight w:val="none"/>
        </w:rPr>
        <w:t>郑重承诺及声明如下：</w:t>
      </w:r>
    </w:p>
    <w:p>
      <w:pPr>
        <w:keepNext w:val="0"/>
        <w:keepLines w:val="0"/>
        <w:pageBreakBefore w:val="0"/>
        <w:numPr>
          <w:ilvl w:val="0"/>
          <w:numId w:val="47"/>
        </w:numPr>
        <w:tabs>
          <w:tab w:val="clear" w:pos="420"/>
        </w:tabs>
        <w:kinsoku/>
        <w:wordWrap/>
        <w:overflowPunct/>
        <w:topLinePunct w:val="0"/>
        <w:autoSpaceDE/>
        <w:autoSpaceDN/>
        <w:bidi w:val="0"/>
        <w:adjustRightInd/>
        <w:snapToGrid/>
        <w:spacing w:line="440" w:lineRule="exact"/>
        <w:ind w:left="420" w:leftChars="0" w:hanging="420" w:hanging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吉利上二村车辆停放管理服务（二次）</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DOCVARIABLE  项目名称  \* MERGEFORMAT </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DOCVARIABLE  采购编号  \* MERGEFORMAT </w:instrText>
      </w:r>
      <w:r>
        <w:rPr>
          <w:rFonts w:hint="eastAsia" w:ascii="宋体" w:hAnsi="宋体" w:eastAsia="宋体" w:cs="宋体"/>
          <w:color w:val="auto"/>
          <w:sz w:val="24"/>
          <w:szCs w:val="24"/>
          <w:highlight w:val="none"/>
        </w:rPr>
        <w:fldChar w:fldCharType="end"/>
      </w:r>
    </w:p>
    <w:p>
      <w:pPr>
        <w:keepNext w:val="0"/>
        <w:keepLines w:val="0"/>
        <w:pageBreakBefore w:val="0"/>
        <w:numPr>
          <w:ilvl w:val="0"/>
          <w:numId w:val="47"/>
        </w:numPr>
        <w:tabs>
          <w:tab w:val="left" w:pos="900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我方已认真阅读了全部</w:t>
      </w:r>
      <w:r>
        <w:rPr>
          <w:rFonts w:hint="eastAsia" w:ascii="宋体" w:hAnsi="宋体" w:eastAsia="宋体" w:cs="宋体"/>
          <w:color w:val="auto"/>
          <w:sz w:val="24"/>
          <w:szCs w:val="24"/>
          <w:highlight w:val="none"/>
          <w:lang w:eastAsia="zh-CN"/>
        </w:rPr>
        <w:t>竞投文件</w:t>
      </w:r>
      <w:r>
        <w:rPr>
          <w:rFonts w:hint="eastAsia" w:ascii="宋体" w:hAnsi="宋体" w:eastAsia="宋体" w:cs="宋体"/>
          <w:color w:val="auto"/>
          <w:sz w:val="24"/>
          <w:szCs w:val="24"/>
          <w:highlight w:val="none"/>
        </w:rPr>
        <w:t>及其相关文件，完全清楚理解其内容要求及规约，对文件的合理性、公正性和程序安排均没有任何异议、质疑和误解之处。</w:t>
      </w:r>
    </w:p>
    <w:p>
      <w:pPr>
        <w:keepNext w:val="0"/>
        <w:keepLines w:val="0"/>
        <w:pageBreakBefore w:val="0"/>
        <w:numPr>
          <w:ilvl w:val="0"/>
          <w:numId w:val="47"/>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我方所提供的一切文件均已经过认真、严格的审核，其内容已充分表达了我方的真实意愿，没有任何遗漏、虚假、侵权之处，若出现违背诚实信用和商业道德之行为，愿独自承担相应的法律责任。</w:t>
      </w:r>
    </w:p>
    <w:p>
      <w:pPr>
        <w:keepNext w:val="0"/>
        <w:keepLines w:val="0"/>
        <w:pageBreakBefore w:val="0"/>
        <w:numPr>
          <w:ilvl w:val="0"/>
          <w:numId w:val="47"/>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本资格审查文件</w:t>
      </w:r>
      <w:r>
        <w:rPr>
          <w:rFonts w:hint="eastAsia" w:ascii="宋体" w:hAnsi="宋体" w:eastAsia="宋体" w:cs="宋体"/>
          <w:color w:val="auto"/>
          <w:sz w:val="24"/>
          <w:szCs w:val="24"/>
          <w:highlight w:val="none"/>
          <w:lang w:val="en-GB"/>
        </w:rPr>
        <w:t>自递交</w:t>
      </w:r>
      <w:r>
        <w:rPr>
          <w:rFonts w:hint="eastAsia" w:ascii="宋体" w:hAnsi="宋体" w:eastAsia="宋体" w:cs="宋体"/>
          <w:color w:val="auto"/>
          <w:sz w:val="24"/>
          <w:szCs w:val="24"/>
          <w:highlight w:val="none"/>
          <w:lang w:val="en-GB" w:eastAsia="zh-CN"/>
        </w:rPr>
        <w:t>竞投</w:t>
      </w:r>
      <w:r>
        <w:rPr>
          <w:rFonts w:hint="eastAsia" w:ascii="宋体" w:hAnsi="宋体" w:eastAsia="宋体" w:cs="宋体"/>
          <w:color w:val="auto"/>
          <w:sz w:val="24"/>
          <w:szCs w:val="24"/>
          <w:highlight w:val="none"/>
          <w:lang w:val="en-GB"/>
        </w:rPr>
        <w:t>文件之日起具有不少于</w:t>
      </w:r>
      <w:r>
        <w:rPr>
          <w:rFonts w:hint="eastAsia" w:ascii="宋体" w:hAnsi="宋体" w:eastAsia="宋体" w:cs="宋体"/>
          <w:color w:val="auto"/>
          <w:sz w:val="24"/>
          <w:szCs w:val="24"/>
          <w:highlight w:val="none"/>
          <w:u w:val="single"/>
          <w:lang w:val="en-US" w:eastAsia="zh-CN"/>
        </w:rPr>
        <w:t>60</w:t>
      </w:r>
      <w:r>
        <w:rPr>
          <w:rFonts w:hint="eastAsia" w:ascii="宋体" w:hAnsi="宋体" w:eastAsia="宋体" w:cs="宋体"/>
          <w:color w:val="auto"/>
          <w:sz w:val="24"/>
          <w:szCs w:val="24"/>
          <w:highlight w:val="none"/>
          <w:u w:val="single"/>
          <w:lang w:val="en-GB"/>
        </w:rPr>
        <w:t>天</w:t>
      </w:r>
      <w:r>
        <w:rPr>
          <w:rFonts w:hint="eastAsia" w:ascii="宋体" w:hAnsi="宋体" w:eastAsia="宋体" w:cs="宋体"/>
          <w:color w:val="auto"/>
          <w:sz w:val="24"/>
          <w:szCs w:val="24"/>
          <w:highlight w:val="none"/>
          <w:lang w:val="en-GB"/>
        </w:rPr>
        <w:t>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GB"/>
        </w:rPr>
        <w:t>有效期</w:t>
      </w:r>
      <w:r>
        <w:rPr>
          <w:rFonts w:hint="eastAsia" w:ascii="宋体" w:hAnsi="宋体" w:eastAsia="宋体" w:cs="宋体"/>
          <w:color w:val="auto"/>
          <w:sz w:val="24"/>
          <w:szCs w:val="24"/>
          <w:highlight w:val="none"/>
        </w:rPr>
        <w:t>，若我方获中标资格，</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有效期则相应延长至项目最终验收合格之日，不论在任何时候，定将按贵方的要求在规定时间内如实提供一切补充材料。</w:t>
      </w:r>
    </w:p>
    <w:p>
      <w:pPr>
        <w:keepNext w:val="0"/>
        <w:keepLines w:val="0"/>
        <w:pageBreakBefore w:val="0"/>
        <w:numPr>
          <w:ilvl w:val="0"/>
          <w:numId w:val="47"/>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清楚并同意</w:t>
      </w:r>
      <w:r>
        <w:rPr>
          <w:rFonts w:hint="eastAsia" w:ascii="宋体" w:hAnsi="宋体"/>
          <w:color w:val="auto"/>
          <w:sz w:val="24"/>
          <w:szCs w:val="24"/>
          <w:highlight w:val="none"/>
          <w:lang w:val="en-US" w:eastAsia="zh-CN"/>
        </w:rPr>
        <w:t>本项目竞投文件所述的所有带★条款要求。</w:t>
      </w:r>
    </w:p>
    <w:p>
      <w:pPr>
        <w:keepNext w:val="0"/>
        <w:keepLines w:val="0"/>
        <w:pageBreakBefore w:val="0"/>
        <w:numPr>
          <w:ilvl w:val="0"/>
          <w:numId w:val="47"/>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完全服从和尊重</w:t>
      </w:r>
      <w:r>
        <w:rPr>
          <w:rFonts w:hint="eastAsia" w:ascii="宋体" w:hAnsi="宋体" w:eastAsia="宋体" w:cs="宋体"/>
          <w:color w:val="auto"/>
          <w:sz w:val="24"/>
          <w:szCs w:val="24"/>
          <w:highlight w:val="none"/>
          <w:lang w:eastAsia="zh-CN"/>
        </w:rPr>
        <w:t>招标人和招标代理机构</w:t>
      </w:r>
      <w:r>
        <w:rPr>
          <w:rFonts w:hint="eastAsia" w:ascii="宋体" w:hAnsi="宋体" w:eastAsia="宋体" w:cs="宋体"/>
          <w:color w:val="auto"/>
          <w:sz w:val="24"/>
          <w:szCs w:val="24"/>
          <w:highlight w:val="none"/>
        </w:rPr>
        <w:t>所作的评审结果，同时清楚理解到</w:t>
      </w:r>
      <w:r>
        <w:rPr>
          <w:rFonts w:hint="eastAsia" w:ascii="宋体" w:hAnsi="宋体" w:eastAsia="宋体" w:cs="宋体"/>
          <w:color w:val="auto"/>
          <w:sz w:val="24"/>
          <w:szCs w:val="24"/>
          <w:highlight w:val="none"/>
          <w:lang w:eastAsia="zh-CN"/>
        </w:rPr>
        <w:t>必须通过资格审查方可参与</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竞投，通过</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竞投，竞投</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rPr>
        <w:t>决定中标资格的唯一依据。</w:t>
      </w:r>
    </w:p>
    <w:p>
      <w:pPr>
        <w:keepNext w:val="0"/>
        <w:keepLines w:val="0"/>
        <w:pageBreakBefore w:val="0"/>
        <w:numPr>
          <w:ilvl w:val="0"/>
          <w:numId w:val="47"/>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w:t>
      </w:r>
      <w:r>
        <w:rPr>
          <w:rFonts w:hint="eastAsia" w:ascii="宋体" w:hAnsi="宋体" w:eastAsia="宋体" w:cs="宋体"/>
          <w:color w:val="auto"/>
          <w:sz w:val="24"/>
          <w:szCs w:val="24"/>
          <w:highlight w:val="none"/>
          <w:lang w:eastAsia="zh-CN"/>
        </w:rPr>
        <w:t>竞投文件</w:t>
      </w:r>
      <w:r>
        <w:rPr>
          <w:rFonts w:hint="eastAsia" w:ascii="宋体" w:hAnsi="宋体" w:eastAsia="宋体" w:cs="宋体"/>
          <w:color w:val="auto"/>
          <w:sz w:val="24"/>
          <w:szCs w:val="24"/>
          <w:highlight w:val="none"/>
        </w:rPr>
        <w:t>的要求认真履行中标人应尽的义务，若我方行为不当而损害了</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的合法权益，我方愿在任何时候无条件承担相应的缔约过失责任和经济赔偿。</w:t>
      </w:r>
    </w:p>
    <w:p>
      <w:pPr>
        <w:keepNext w:val="0"/>
        <w:keepLines w:val="0"/>
        <w:pageBreakBefore w:val="0"/>
        <w:numPr>
          <w:ilvl w:val="0"/>
          <w:numId w:val="47"/>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具备独立法人资格，营业执照在有效期内</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提供营业执照副本复印件</w:t>
      </w:r>
      <w:r>
        <w:rPr>
          <w:rFonts w:hint="eastAsia" w:ascii="宋体" w:hAnsi="宋体" w:eastAsia="宋体" w:cs="宋体"/>
          <w:color w:val="auto"/>
          <w:sz w:val="24"/>
          <w:szCs w:val="24"/>
          <w:highlight w:val="none"/>
        </w:rPr>
        <w:t>以便核查。</w:t>
      </w:r>
    </w:p>
    <w:p>
      <w:pPr>
        <w:keepNext w:val="0"/>
        <w:keepLines w:val="0"/>
        <w:pageBreakBefore w:val="0"/>
        <w:numPr>
          <w:ilvl w:val="0"/>
          <w:numId w:val="47"/>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具有竞投文件所要求的全部资格</w:t>
      </w:r>
      <w:r>
        <w:rPr>
          <w:rFonts w:hint="eastAsia" w:ascii="宋体" w:hAnsi="宋体" w:eastAsia="宋体" w:cs="宋体"/>
          <w:color w:val="auto"/>
          <w:sz w:val="24"/>
          <w:szCs w:val="24"/>
          <w:highlight w:val="none"/>
        </w:rPr>
        <w:t>，可随时向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提交相关证明材料，以便核查。</w:t>
      </w:r>
    </w:p>
    <w:p>
      <w:pPr>
        <w:keepNext w:val="0"/>
        <w:keepLines w:val="0"/>
        <w:pageBreakBefore w:val="0"/>
        <w:numPr>
          <w:ilvl w:val="0"/>
          <w:numId w:val="47"/>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我方在参与本次</w:t>
      </w:r>
      <w:r>
        <w:rPr>
          <w:rFonts w:hint="eastAsia" w:ascii="宋体" w:hAnsi="宋体" w:eastAsia="宋体" w:cs="宋体"/>
          <w:color w:val="auto"/>
          <w:sz w:val="24"/>
          <w:szCs w:val="24"/>
          <w:highlight w:val="none"/>
          <w:lang w:eastAsia="zh-CN"/>
        </w:rPr>
        <w:t>竞投</w:t>
      </w:r>
      <w:r>
        <w:rPr>
          <w:rFonts w:hint="eastAsia" w:ascii="宋体" w:hAnsi="宋体" w:eastAsia="宋体" w:cs="宋体"/>
          <w:color w:val="auto"/>
          <w:sz w:val="24"/>
          <w:szCs w:val="24"/>
          <w:highlight w:val="none"/>
        </w:rPr>
        <w:t>活动中，不曾以任何不正当的手段影响、串通、排斥有关当事人或谋取、施予非法利益，如有行为不当，愿独自承担此行为所造成的后果和法律责任。</w:t>
      </w:r>
    </w:p>
    <w:p>
      <w:pPr>
        <w:keepNext w:val="0"/>
        <w:keepLines w:val="0"/>
        <w:pageBreakBefore w:val="0"/>
        <w:numPr>
          <w:ilvl w:val="0"/>
          <w:numId w:val="47"/>
        </w:numPr>
        <w:tabs>
          <w:tab w:val="left" w:pos="72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w:t>
      </w:r>
      <w:r>
        <w:rPr>
          <w:rFonts w:hint="eastAsia" w:ascii="宋体" w:hAnsi="宋体" w:eastAsia="宋体" w:cs="宋体"/>
          <w:color w:val="auto"/>
          <w:sz w:val="24"/>
          <w:szCs w:val="24"/>
          <w:highlight w:val="none"/>
          <w:lang w:eastAsia="zh-CN"/>
        </w:rPr>
        <w:t>竞投文件</w:t>
      </w:r>
      <w:r>
        <w:rPr>
          <w:rFonts w:hint="eastAsia" w:ascii="宋体" w:hAnsi="宋体" w:eastAsia="宋体" w:cs="宋体"/>
          <w:color w:val="auto"/>
          <w:sz w:val="24"/>
          <w:szCs w:val="24"/>
          <w:highlight w:val="none"/>
        </w:rPr>
        <w:t>规定向贵方缴纳</w:t>
      </w:r>
      <w:r>
        <w:rPr>
          <w:rFonts w:hint="eastAsia" w:ascii="宋体" w:hAnsi="宋体" w:eastAsia="宋体" w:cs="宋体"/>
          <w:color w:val="auto"/>
          <w:sz w:val="24"/>
          <w:szCs w:val="24"/>
          <w:highlight w:val="none"/>
          <w:lang w:eastAsia="zh-CN"/>
        </w:rPr>
        <w:t>招标代理费和评估费</w:t>
      </w:r>
      <w:r>
        <w:rPr>
          <w:rFonts w:hint="eastAsia" w:ascii="宋体" w:hAnsi="宋体" w:cs="宋体"/>
          <w:color w:val="auto"/>
          <w:sz w:val="24"/>
          <w:szCs w:val="24"/>
          <w:highlight w:val="none"/>
          <w:lang w:eastAsia="zh-CN"/>
        </w:rPr>
        <w:t>（如有）</w:t>
      </w:r>
      <w:r>
        <w:rPr>
          <w:rFonts w:hint="eastAsia" w:ascii="宋体" w:hAnsi="宋体" w:eastAsia="宋体" w:cs="宋体"/>
          <w:color w:val="auto"/>
          <w:sz w:val="24"/>
          <w:szCs w:val="24"/>
          <w:highlight w:val="none"/>
        </w:rPr>
        <w:t>，并按《</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》的要求，如期签订合同并履行其一切责任和义务。</w:t>
      </w:r>
    </w:p>
    <w:p>
      <w:pPr>
        <w:keepNext w:val="0"/>
        <w:keepLines w:val="0"/>
        <w:pageBreakBefore w:val="0"/>
        <w:numPr>
          <w:ilvl w:val="0"/>
          <w:numId w:val="47"/>
        </w:numPr>
        <w:tabs>
          <w:tab w:val="left" w:pos="72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我方不存在</w:t>
      </w:r>
      <w:r>
        <w:rPr>
          <w:rFonts w:hint="eastAsia" w:ascii="宋体" w:hAnsi="宋体" w:cs="宋体"/>
          <w:color w:val="auto"/>
          <w:sz w:val="24"/>
          <w:highlight w:val="none"/>
        </w:rPr>
        <w:t>单位负责人为同一人或者存在控股、管理关系的不同单位参加</w:t>
      </w:r>
      <w:r>
        <w:rPr>
          <w:rFonts w:hint="eastAsia" w:ascii="宋体" w:hAnsi="宋体" w:cs="宋体"/>
          <w:color w:val="auto"/>
          <w:sz w:val="24"/>
          <w:highlight w:val="none"/>
          <w:lang w:eastAsia="zh-CN"/>
        </w:rPr>
        <w:t>本</w:t>
      </w:r>
      <w:r>
        <w:rPr>
          <w:rFonts w:hint="eastAsia" w:ascii="宋体" w:hAnsi="宋体" w:cs="宋体"/>
          <w:color w:val="auto"/>
          <w:sz w:val="24"/>
          <w:highlight w:val="none"/>
        </w:rPr>
        <w:t>项目投标</w:t>
      </w:r>
      <w:r>
        <w:rPr>
          <w:rFonts w:hint="eastAsia" w:ascii="宋体" w:hAnsi="宋体" w:cs="宋体"/>
          <w:color w:val="auto"/>
          <w:sz w:val="24"/>
          <w:highlight w:val="none"/>
          <w:lang w:eastAsia="zh-CN"/>
        </w:rPr>
        <w:t>的情况</w:t>
      </w:r>
      <w:r>
        <w:rPr>
          <w:rFonts w:hint="eastAsia" w:ascii="宋体" w:hAnsi="宋体" w:cs="宋体"/>
          <w:color w:val="auto"/>
          <w:sz w:val="24"/>
          <w:highlight w:val="none"/>
        </w:rPr>
        <w:t>；</w:t>
      </w:r>
    </w:p>
    <w:p>
      <w:pPr>
        <w:keepNext w:val="0"/>
        <w:keepLines w:val="0"/>
        <w:pageBreakBefore w:val="0"/>
        <w:numPr>
          <w:ilvl w:val="0"/>
          <w:numId w:val="47"/>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本承诺函效力及范围均涵盖我方整套</w:t>
      </w:r>
      <w:r>
        <w:rPr>
          <w:rFonts w:hint="eastAsia" w:ascii="宋体" w:hAnsi="宋体" w:eastAsia="宋体" w:cs="宋体"/>
          <w:color w:val="auto"/>
          <w:sz w:val="24"/>
          <w:szCs w:val="24"/>
          <w:highlight w:val="none"/>
          <w:lang w:eastAsia="zh-CN"/>
        </w:rPr>
        <w:t>资格审查</w:t>
      </w:r>
      <w:r>
        <w:rPr>
          <w:rFonts w:hint="eastAsia" w:ascii="宋体" w:hAnsi="宋体" w:eastAsia="宋体" w:cs="宋体"/>
          <w:color w:val="auto"/>
          <w:sz w:val="24"/>
          <w:szCs w:val="24"/>
          <w:highlight w:val="none"/>
        </w:rPr>
        <w:t>文件和一切补充文件。</w:t>
      </w:r>
    </w:p>
    <w:p>
      <w:pPr>
        <w:pStyle w:val="2"/>
        <w:rPr>
          <w:rFonts w:hint="eastAsia"/>
          <w:color w:val="auto"/>
          <w:highlight w:val="none"/>
          <w:lang w:val="en-GB"/>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GB"/>
        </w:rPr>
      </w:pPr>
      <w:r>
        <w:rPr>
          <w:rFonts w:hint="eastAsia" w:ascii="宋体" w:hAnsi="宋体" w:cs="宋体"/>
          <w:color w:val="auto"/>
          <w:sz w:val="24"/>
          <w:szCs w:val="24"/>
          <w:highlight w:val="none"/>
          <w:lang w:val="en-GB" w:eastAsia="zh-CN"/>
        </w:rPr>
        <w:t>投标人</w:t>
      </w:r>
      <w:r>
        <w:rPr>
          <w:rFonts w:hint="eastAsia" w:ascii="宋体" w:hAnsi="宋体" w:eastAsia="宋体" w:cs="宋体"/>
          <w:color w:val="auto"/>
          <w:sz w:val="24"/>
          <w:szCs w:val="24"/>
          <w:highlight w:val="none"/>
          <w:lang w:val="en-GB"/>
        </w:rPr>
        <w:t>名称：</w:t>
      </w:r>
      <w:r>
        <w:rPr>
          <w:rFonts w:hint="eastAsia" w:ascii="宋体" w:hAnsi="宋体" w:eastAsia="宋体" w:cs="宋体"/>
          <w:color w:val="auto"/>
          <w:sz w:val="24"/>
          <w:szCs w:val="24"/>
          <w:highlight w:val="none"/>
          <w:u w:val="dotted"/>
          <w:lang w:val="en-GB"/>
        </w:rPr>
        <w:t>（全称）</w:t>
      </w:r>
      <w:r>
        <w:rPr>
          <w:rFonts w:hint="eastAsia" w:ascii="宋体" w:hAnsi="宋体" w:eastAsia="宋体" w:cs="宋体"/>
          <w:color w:val="auto"/>
          <w:sz w:val="24"/>
          <w:szCs w:val="24"/>
          <w:highlight w:val="none"/>
          <w:lang w:val="en-GB"/>
        </w:rPr>
        <w:t>（加盖</w:t>
      </w:r>
      <w:r>
        <w:rPr>
          <w:rFonts w:hint="eastAsia" w:ascii="宋体" w:hAnsi="宋体" w:cs="宋体"/>
          <w:color w:val="auto"/>
          <w:sz w:val="24"/>
          <w:szCs w:val="24"/>
          <w:highlight w:val="none"/>
          <w:lang w:val="en-GB" w:eastAsia="zh-CN"/>
        </w:rPr>
        <w:t>投标人</w:t>
      </w:r>
      <w:r>
        <w:rPr>
          <w:rFonts w:hint="eastAsia" w:ascii="宋体" w:hAnsi="宋体" w:eastAsia="宋体" w:cs="宋体"/>
          <w:color w:val="auto"/>
          <w:sz w:val="24"/>
          <w:szCs w:val="24"/>
          <w:highlight w:val="none"/>
          <w:lang w:val="en-GB"/>
        </w:rPr>
        <w:t>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en-GB"/>
        </w:rPr>
        <w:t>（或授权代表）：（亲笔签名或签章）</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承诺日期：</w:t>
      </w:r>
      <w:r>
        <w:rPr>
          <w:rFonts w:hint="eastAsia" w:ascii="宋体" w:hAnsi="宋体" w:cs="宋体"/>
          <w:color w:val="auto"/>
          <w:sz w:val="24"/>
          <w:szCs w:val="24"/>
          <w:highlight w:val="none"/>
          <w:lang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left="420" w:right="363" w:rightChars="173" w:hanging="480" w:hangingChars="200"/>
        <w:textAlignment w:val="auto"/>
        <w:rPr>
          <w:rFonts w:hint="eastAsia" w:ascii="宋体" w:hAnsi="宋体" w:eastAsia="宋体" w:cs="宋体"/>
          <w:color w:val="auto"/>
          <w:sz w:val="24"/>
          <w:szCs w:val="24"/>
          <w:highlight w:val="none"/>
          <w:lang w:val="en-GB"/>
        </w:rPr>
      </w:pPr>
      <w:bookmarkStart w:id="117" w:name="_投标承诺函"/>
      <w:bookmarkEnd w:id="117"/>
      <w:bookmarkStart w:id="118" w:name="_法人代表授权书"/>
      <w:bookmarkEnd w:id="118"/>
      <w:r>
        <w:rPr>
          <w:rFonts w:hint="eastAsia" w:ascii="宋体" w:hAnsi="宋体" w:eastAsia="宋体" w:cs="宋体"/>
          <w:color w:val="auto"/>
          <w:sz w:val="24"/>
          <w:szCs w:val="24"/>
          <w:highlight w:val="none"/>
          <w:lang w:val="en-GB"/>
        </w:rPr>
        <w:t>说明：本承诺函内容不得擅自删改。</w:t>
      </w:r>
    </w:p>
    <w:p>
      <w:pPr>
        <w:spacing w:after="0" w:afterLines="0" w:line="240" w:lineRule="auto"/>
        <w:ind w:left="0" w:leftChars="0" w:right="363" w:rightChars="173"/>
        <w:jc w:val="center"/>
        <w:outlineLvl w:val="9"/>
        <w:rPr>
          <w:rFonts w:ascii="宋体"/>
          <w:b/>
          <w:color w:val="auto"/>
          <w:szCs w:val="21"/>
          <w:highlight w:val="none"/>
        </w:rPr>
      </w:pPr>
      <w:r>
        <w:rPr>
          <w:rFonts w:ascii="宋体"/>
          <w:b/>
          <w:color w:val="auto"/>
          <w:szCs w:val="21"/>
          <w:highlight w:val="none"/>
        </w:rPr>
        <w:br w:type="page"/>
      </w:r>
      <w:bookmarkStart w:id="119" w:name="_Toc13623"/>
      <w:bookmarkStart w:id="120" w:name="_Toc13584"/>
      <w:bookmarkStart w:id="121" w:name="_Toc19853"/>
      <w:bookmarkStart w:id="122" w:name="_Toc31961"/>
      <w:bookmarkStart w:id="123" w:name="_Toc23201"/>
      <w:bookmarkStart w:id="124" w:name="_Toc4427"/>
      <w:bookmarkStart w:id="125" w:name="_Toc15939"/>
    </w:p>
    <w:p>
      <w:pPr>
        <w:spacing w:after="0" w:afterLines="0" w:line="240" w:lineRule="auto"/>
        <w:ind w:left="0" w:leftChars="0" w:right="363" w:rightChars="173"/>
        <w:jc w:val="center"/>
        <w:outlineLvl w:val="9"/>
        <w:rPr>
          <w:rFonts w:ascii="宋体"/>
          <w:b/>
          <w:color w:val="auto"/>
          <w:szCs w:val="21"/>
          <w:highlight w:val="none"/>
        </w:rPr>
      </w:pPr>
    </w:p>
    <w:p>
      <w:pPr>
        <w:spacing w:after="0" w:afterLines="0" w:line="240" w:lineRule="auto"/>
        <w:ind w:left="0" w:leftChars="0" w:right="363" w:rightChars="173"/>
        <w:jc w:val="center"/>
        <w:outlineLvl w:val="9"/>
        <w:rPr>
          <w:rFonts w:hint="eastAsia" w:ascii="宋体" w:hAnsi="宋体"/>
          <w:b/>
          <w:color w:val="auto"/>
          <w:sz w:val="36"/>
          <w:szCs w:val="36"/>
          <w:highlight w:val="none"/>
        </w:rPr>
      </w:pPr>
      <w:r>
        <w:rPr>
          <w:rFonts w:ascii="宋体" w:hAnsi="宋体"/>
          <w:b/>
          <w:color w:val="auto"/>
          <w:sz w:val="36"/>
          <w:szCs w:val="36"/>
          <w:highlight w:val="none"/>
        </w:rPr>
        <w:t>1.</w:t>
      </w:r>
      <w:r>
        <w:rPr>
          <w:rFonts w:hint="eastAsia" w:ascii="宋体" w:hAnsi="宋体"/>
          <w:b/>
          <w:color w:val="auto"/>
          <w:sz w:val="36"/>
          <w:szCs w:val="36"/>
          <w:highlight w:val="none"/>
          <w:lang w:val="en-US" w:eastAsia="zh-CN"/>
        </w:rPr>
        <w:t>4</w:t>
      </w:r>
      <w:r>
        <w:rPr>
          <w:rFonts w:hint="eastAsia" w:ascii="宋体" w:hAnsi="宋体"/>
          <w:b/>
          <w:color w:val="auto"/>
          <w:sz w:val="36"/>
          <w:szCs w:val="36"/>
          <w:highlight w:val="none"/>
        </w:rPr>
        <w:t>资格声明函</w:t>
      </w:r>
      <w:bookmarkEnd w:id="119"/>
      <w:bookmarkEnd w:id="120"/>
      <w:bookmarkEnd w:id="121"/>
      <w:bookmarkEnd w:id="122"/>
      <w:bookmarkEnd w:id="123"/>
      <w:bookmarkEnd w:id="124"/>
      <w:bookmarkEnd w:id="125"/>
    </w:p>
    <w:p>
      <w:pPr>
        <w:pStyle w:val="6"/>
        <w:rPr>
          <w:rFonts w:hint="eastAsia" w:ascii="宋体" w:hAnsi="宋体"/>
          <w:b/>
          <w:color w:val="auto"/>
          <w:sz w:val="36"/>
          <w:szCs w:val="36"/>
          <w:highlight w:val="none"/>
        </w:rPr>
      </w:pPr>
    </w:p>
    <w:p>
      <w:pPr>
        <w:rPr>
          <w:color w:val="auto"/>
          <w:highlight w:val="none"/>
        </w:rPr>
      </w:pPr>
    </w:p>
    <w:p>
      <w:pPr>
        <w:spacing w:line="360" w:lineRule="auto"/>
        <w:rPr>
          <w:rFonts w:hint="eastAsia" w:ascii="宋体" w:eastAsia="宋体"/>
          <w:b/>
          <w:bCs/>
          <w:color w:val="auto"/>
          <w:sz w:val="24"/>
          <w:szCs w:val="24"/>
          <w:highlight w:val="none"/>
          <w:lang w:eastAsia="zh-CN"/>
        </w:rPr>
      </w:pPr>
      <w:r>
        <w:rPr>
          <w:rFonts w:hint="eastAsia" w:ascii="宋体" w:hAnsi="宋体"/>
          <w:b/>
          <w:bCs/>
          <w:color w:val="auto"/>
          <w:sz w:val="24"/>
          <w:szCs w:val="24"/>
          <w:highlight w:val="none"/>
        </w:rPr>
        <w:t>致：</w:t>
      </w:r>
      <w:r>
        <w:rPr>
          <w:rFonts w:hint="eastAsia" w:ascii="宋体" w:hAnsi="宋体"/>
          <w:b/>
          <w:bCs/>
          <w:color w:val="auto"/>
          <w:sz w:val="24"/>
          <w:szCs w:val="24"/>
          <w:highlight w:val="none"/>
          <w:lang w:eastAsia="zh-CN"/>
        </w:rPr>
        <w:t>佛山市禅城区南庄镇吉利村上二经济合作社</w:t>
      </w:r>
      <w:r>
        <w:rPr>
          <w:rFonts w:hint="eastAsia" w:ascii="宋体" w:hAnsi="宋体"/>
          <w:b/>
          <w:bCs/>
          <w:color w:val="auto"/>
          <w:sz w:val="24"/>
          <w:szCs w:val="24"/>
          <w:highlight w:val="none"/>
        </w:rPr>
        <w:t>、</w:t>
      </w:r>
      <w:r>
        <w:rPr>
          <w:rFonts w:hint="eastAsia" w:ascii="宋体" w:hAnsi="宋体"/>
          <w:b/>
          <w:bCs/>
          <w:color w:val="auto"/>
          <w:sz w:val="24"/>
          <w:szCs w:val="24"/>
          <w:highlight w:val="none"/>
          <w:lang w:eastAsia="zh-CN"/>
        </w:rPr>
        <w:t>广东中采招标有限公司</w:t>
      </w: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我公司承诺具备</w:t>
      </w:r>
      <w:r>
        <w:rPr>
          <w:rFonts w:hint="eastAsia" w:ascii="宋体" w:hAnsi="宋体" w:eastAsia="宋体"/>
          <w:color w:val="auto"/>
          <w:sz w:val="24"/>
          <w:szCs w:val="24"/>
          <w:highlight w:val="none"/>
          <w:lang w:eastAsia="zh-CN"/>
        </w:rPr>
        <w:t>竞投文件所要求的资格</w:t>
      </w:r>
      <w:r>
        <w:rPr>
          <w:rFonts w:hint="eastAsia" w:ascii="宋体" w:hAnsi="宋体" w:eastAsia="宋体"/>
          <w:color w:val="auto"/>
          <w:sz w:val="24"/>
          <w:szCs w:val="24"/>
          <w:highlight w:val="none"/>
        </w:rPr>
        <w:t>条件。</w:t>
      </w:r>
    </w:p>
    <w:p>
      <w:pPr>
        <w:pStyle w:val="39"/>
        <w:numPr>
          <w:ilvl w:val="0"/>
          <w:numId w:val="48"/>
        </w:numPr>
        <w:spacing w:line="360" w:lineRule="auto"/>
        <w:ind w:left="425" w:leftChars="0" w:hanging="5" w:firstLineChars="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具有独立法人资格，营业执照处于有效期内</w:t>
      </w:r>
      <w:r>
        <w:rPr>
          <w:rFonts w:hint="eastAsia" w:ascii="宋体" w:hAnsi="宋体" w:eastAsia="宋体"/>
          <w:color w:val="auto"/>
          <w:sz w:val="24"/>
          <w:szCs w:val="24"/>
          <w:highlight w:val="none"/>
          <w:lang w:val="en-US" w:eastAsia="zh-CN"/>
        </w:rPr>
        <w:t>。</w:t>
      </w:r>
    </w:p>
    <w:p>
      <w:pPr>
        <w:pStyle w:val="39"/>
        <w:numPr>
          <w:ilvl w:val="0"/>
          <w:numId w:val="48"/>
        </w:numPr>
        <w:spacing w:line="360" w:lineRule="auto"/>
        <w:ind w:left="425" w:leftChars="0" w:hanging="5" w:firstLine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本项目不接受联合体竞投。</w:t>
      </w:r>
    </w:p>
    <w:p>
      <w:pPr>
        <w:pStyle w:val="39"/>
        <w:numPr>
          <w:ilvl w:val="0"/>
          <w:numId w:val="48"/>
        </w:numPr>
        <w:spacing w:line="360" w:lineRule="auto"/>
        <w:ind w:left="425" w:leftChars="0" w:hanging="5" w:firstLineChars="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满足本项目竞投文件所述的所有带★条款要求。</w:t>
      </w:r>
    </w:p>
    <w:p>
      <w:pPr>
        <w:pStyle w:val="39"/>
        <w:numPr>
          <w:ilvl w:val="0"/>
          <w:numId w:val="48"/>
        </w:numPr>
        <w:spacing w:line="360" w:lineRule="auto"/>
        <w:ind w:left="425" w:leftChars="0" w:hanging="5" w:firstLine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法律、行政法规规定的其他条件。</w:t>
      </w:r>
    </w:p>
    <w:p>
      <w:pPr>
        <w:pStyle w:val="39"/>
        <w:spacing w:line="360" w:lineRule="auto"/>
        <w:ind w:firstLine="600" w:firstLineChars="25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(1)单位负责人为同一人或者存在直接控股、管理关系的不同投标人，不得同时参加本项目竞投；</w:t>
      </w:r>
    </w:p>
    <w:p>
      <w:pPr>
        <w:pStyle w:val="39"/>
        <w:spacing w:line="360" w:lineRule="auto"/>
        <w:ind w:firstLine="600" w:firstLineChars="25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(2)投标单位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注：提供的加盖公章的相关文件复印件请附后。</w:t>
      </w:r>
    </w:p>
    <w:p>
      <w:pPr>
        <w:pStyle w:val="39"/>
        <w:spacing w:line="360" w:lineRule="auto"/>
        <w:ind w:firstLine="600" w:firstLineChars="250"/>
        <w:rPr>
          <w:rFonts w:hint="eastAsia" w:ascii="宋体" w:hAnsi="宋体" w:eastAsia="宋体"/>
          <w:color w:val="auto"/>
          <w:sz w:val="24"/>
          <w:szCs w:val="24"/>
          <w:highlight w:val="none"/>
        </w:rPr>
      </w:pPr>
    </w:p>
    <w:p>
      <w:pPr>
        <w:pStyle w:val="39"/>
        <w:spacing w:line="360" w:lineRule="auto"/>
        <w:ind w:firstLine="600" w:firstLineChars="250"/>
        <w:rPr>
          <w:rFonts w:hint="eastAsia" w:ascii="宋体" w:hAnsi="宋体" w:eastAsia="宋体"/>
          <w:color w:val="auto"/>
          <w:sz w:val="24"/>
          <w:szCs w:val="24"/>
          <w:highlight w:val="none"/>
        </w:rPr>
      </w:pPr>
    </w:p>
    <w:p>
      <w:pPr>
        <w:pStyle w:val="39"/>
        <w:spacing w:line="360" w:lineRule="auto"/>
        <w:ind w:firstLine="600" w:firstLineChars="250"/>
        <w:rPr>
          <w:rFonts w:hint="eastAsia" w:ascii="宋体" w:hAnsi="宋体" w:eastAsia="宋体"/>
          <w:color w:val="auto"/>
          <w:sz w:val="24"/>
          <w:szCs w:val="24"/>
          <w:highlight w:val="none"/>
        </w:rPr>
      </w:pP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投标人</w:t>
      </w:r>
      <w:r>
        <w:rPr>
          <w:rFonts w:hint="eastAsia" w:ascii="宋体" w:hAnsi="宋体" w:eastAsia="宋体"/>
          <w:color w:val="auto"/>
          <w:sz w:val="24"/>
          <w:szCs w:val="24"/>
          <w:highlight w:val="none"/>
        </w:rPr>
        <w:t>法定代表人/负责人（或授权代表）：（亲笔签字或签章）</w:t>
      </w: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投标人</w:t>
      </w:r>
      <w:r>
        <w:rPr>
          <w:rFonts w:hint="eastAsia" w:ascii="宋体" w:hAnsi="宋体" w:eastAsia="宋体"/>
          <w:color w:val="auto"/>
          <w:sz w:val="24"/>
          <w:szCs w:val="24"/>
          <w:highlight w:val="none"/>
        </w:rPr>
        <w:t>名称：（加盖</w:t>
      </w:r>
      <w:r>
        <w:rPr>
          <w:rFonts w:hint="eastAsia" w:ascii="宋体" w:hAnsi="宋体"/>
          <w:color w:val="auto"/>
          <w:sz w:val="24"/>
          <w:szCs w:val="24"/>
          <w:highlight w:val="none"/>
          <w:lang w:eastAsia="zh-CN"/>
        </w:rPr>
        <w:t>投标人</w:t>
      </w:r>
      <w:r>
        <w:rPr>
          <w:rFonts w:hint="eastAsia" w:ascii="宋体" w:hAnsi="宋体" w:eastAsia="宋体"/>
          <w:color w:val="auto"/>
          <w:sz w:val="24"/>
          <w:szCs w:val="24"/>
          <w:highlight w:val="none"/>
        </w:rPr>
        <w:t>公章）</w:t>
      </w: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日期：</w:t>
      </w:r>
      <w:r>
        <w:rPr>
          <w:rFonts w:hint="eastAsia" w:ascii="宋体" w:hAnsi="宋体"/>
          <w:color w:val="auto"/>
          <w:sz w:val="24"/>
          <w:szCs w:val="24"/>
          <w:highlight w:val="none"/>
          <w:lang w:eastAsia="zh-CN"/>
        </w:rPr>
        <w:t>2024</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eastAsia="宋体"/>
          <w:color w:val="auto"/>
          <w:sz w:val="24"/>
          <w:szCs w:val="24"/>
          <w:highlight w:val="none"/>
        </w:rPr>
        <w:t>日</w:t>
      </w:r>
    </w:p>
    <w:p>
      <w:pPr>
        <w:spacing w:line="360" w:lineRule="auto"/>
        <w:ind w:left="420" w:leftChars="200"/>
        <w:rPr>
          <w:rFonts w:ascii="宋体"/>
          <w:color w:val="auto"/>
          <w:sz w:val="28"/>
          <w:szCs w:val="28"/>
          <w:highlight w:val="none"/>
        </w:rPr>
      </w:pPr>
    </w:p>
    <w:p>
      <w:pPr>
        <w:jc w:val="center"/>
        <w:rPr>
          <w:rFonts w:hint="eastAsia" w:ascii="宋体" w:hAnsi="宋体"/>
          <w:b/>
          <w:color w:val="auto"/>
          <w:sz w:val="36"/>
          <w:szCs w:val="36"/>
          <w:highlight w:val="none"/>
          <w:lang w:eastAsia="zh-CN"/>
        </w:rPr>
      </w:pPr>
      <w:bookmarkStart w:id="126" w:name="_Toc2432"/>
      <w:bookmarkEnd w:id="126"/>
      <w:bookmarkStart w:id="127" w:name="_Toc14120"/>
      <w:bookmarkStart w:id="128" w:name="_Toc1349"/>
      <w:r>
        <w:rPr>
          <w:rFonts w:hint="eastAsia" w:ascii="宋体" w:hAnsi="宋体"/>
          <w:b/>
          <w:color w:val="auto"/>
          <w:sz w:val="36"/>
          <w:szCs w:val="36"/>
          <w:highlight w:val="none"/>
          <w:lang w:eastAsia="zh-CN"/>
        </w:rPr>
        <w:t>资格声明函附件资料</w:t>
      </w:r>
    </w:p>
    <w:p>
      <w:pPr>
        <w:pStyle w:val="6"/>
        <w:rPr>
          <w:rFonts w:hint="eastAsia"/>
          <w:color w:val="auto"/>
          <w:highlight w:val="none"/>
          <w:lang w:eastAsia="zh-CN"/>
        </w:rPr>
      </w:pPr>
    </w:p>
    <w:p>
      <w:pPr>
        <w:pStyle w:val="39"/>
        <w:numPr>
          <w:ilvl w:val="0"/>
          <w:numId w:val="49"/>
        </w:numPr>
        <w:spacing w:line="360" w:lineRule="auto"/>
        <w:ind w:left="425" w:leftChars="0" w:hanging="425" w:firstLineChars="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营业执照副本复印件</w:t>
      </w:r>
    </w:p>
    <w:p>
      <w:pPr>
        <w:pStyle w:val="39"/>
        <w:numPr>
          <w:ilvl w:val="0"/>
          <w:numId w:val="49"/>
        </w:numPr>
        <w:spacing w:line="360" w:lineRule="auto"/>
        <w:ind w:left="425" w:leftChars="0" w:hanging="425" w:firstLineChars="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相关</w:t>
      </w:r>
      <w:r>
        <w:rPr>
          <w:rFonts w:hint="eastAsia" w:ascii="宋体" w:hAnsi="宋体"/>
          <w:color w:val="auto"/>
          <w:szCs w:val="21"/>
          <w:highlight w:val="none"/>
          <w:lang w:eastAsia="zh-CN"/>
        </w:rPr>
        <w:t>信用</w:t>
      </w:r>
      <w:r>
        <w:rPr>
          <w:rFonts w:hint="eastAsia" w:ascii="宋体" w:hAnsi="宋体" w:eastAsia="宋体"/>
          <w:color w:val="auto"/>
          <w:szCs w:val="21"/>
          <w:highlight w:val="none"/>
          <w:lang w:eastAsia="zh-CN"/>
        </w:rPr>
        <w:t>证明文件：</w:t>
      </w:r>
      <w:bookmarkStart w:id="129" w:name="_Toc27093"/>
    </w:p>
    <w:p>
      <w:pPr>
        <w:jc w:val="left"/>
        <w:outlineLvl w:val="2"/>
        <w:rPr>
          <w:rFonts w:hint="eastAsia"/>
          <w:color w:val="auto"/>
          <w:highlight w:val="none"/>
          <w:lang w:eastAsia="zh-CN"/>
        </w:rPr>
      </w:pPr>
    </w:p>
    <w:p>
      <w:pPr>
        <w:rPr>
          <w:rFonts w:hint="eastAsia"/>
          <w:color w:val="auto"/>
          <w:sz w:val="36"/>
          <w:szCs w:val="36"/>
          <w:highlight w:val="none"/>
        </w:rPr>
      </w:pPr>
      <w:bookmarkStart w:id="130" w:name="_Toc13824"/>
      <w:r>
        <w:rPr>
          <w:rFonts w:hint="eastAsia"/>
          <w:color w:val="auto"/>
          <w:sz w:val="36"/>
          <w:szCs w:val="36"/>
          <w:highlight w:val="none"/>
        </w:rPr>
        <w:br w:type="page"/>
      </w:r>
    </w:p>
    <w:p>
      <w:pPr>
        <w:jc w:val="center"/>
        <w:outlineLvl w:val="2"/>
        <w:rPr>
          <w:color w:val="auto"/>
          <w:sz w:val="36"/>
          <w:szCs w:val="36"/>
          <w:highlight w:val="none"/>
        </w:rPr>
      </w:pPr>
      <w:r>
        <w:rPr>
          <w:rFonts w:hint="eastAsia"/>
          <w:color w:val="auto"/>
          <w:sz w:val="36"/>
          <w:szCs w:val="36"/>
          <w:highlight w:val="none"/>
        </w:rPr>
        <w:t>网上信用记录证明</w:t>
      </w:r>
      <w:bookmarkEnd w:id="129"/>
      <w:bookmarkEnd w:id="130"/>
    </w:p>
    <w:p>
      <w:pPr>
        <w:pStyle w:val="38"/>
        <w:numPr>
          <w:ilvl w:val="0"/>
          <w:numId w:val="50"/>
        </w:numPr>
        <w:spacing w:line="360" w:lineRule="auto"/>
        <w:ind w:left="425" w:leftChars="0" w:hanging="425" w:firstLineChars="0"/>
        <w:rPr>
          <w:rFonts w:ascii="宋体" w:hAnsi="宋体"/>
          <w:color w:val="auto"/>
          <w:szCs w:val="21"/>
          <w:highlight w:val="none"/>
        </w:rPr>
      </w:pPr>
      <w:r>
        <w:rPr>
          <w:rFonts w:ascii="宋体" w:hAnsi="宋体"/>
          <w:color w:val="auto"/>
          <w:szCs w:val="21"/>
          <w:highlight w:val="none"/>
        </w:rPr>
        <w:t>“信用中国”网站（www.creditchina.gov.cn）中企业信用信息</w:t>
      </w:r>
      <w:r>
        <w:rPr>
          <w:rFonts w:hint="eastAsia" w:ascii="宋体" w:hAnsi="宋体"/>
          <w:color w:val="auto"/>
          <w:szCs w:val="21"/>
          <w:highlight w:val="none"/>
        </w:rPr>
        <w:t>查询结果；</w:t>
      </w:r>
    </w:p>
    <w:p>
      <w:pPr>
        <w:pStyle w:val="39"/>
        <w:spacing w:line="360" w:lineRule="auto"/>
        <w:ind w:firstLine="482" w:firstLineChars="200"/>
        <w:rPr>
          <w:rFonts w:ascii="宋体" w:hAnsi="宋体"/>
          <w:b/>
          <w:color w:val="auto"/>
          <w:szCs w:val="21"/>
          <w:highlight w:val="none"/>
        </w:rPr>
      </w:pPr>
      <w:r>
        <w:rPr>
          <w:rFonts w:hint="eastAsia" w:ascii="宋体" w:hAnsi="宋体"/>
          <w:b/>
          <w:color w:val="auto"/>
          <w:szCs w:val="21"/>
          <w:highlight w:val="none"/>
        </w:rPr>
        <w:t>要求：</w:t>
      </w:r>
    </w:p>
    <w:p>
      <w:pPr>
        <w:pStyle w:val="39"/>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“信用中国”</w:t>
      </w:r>
      <w:r>
        <w:rPr>
          <w:rFonts w:hint="eastAsia" w:ascii="宋体" w:hAnsi="宋体"/>
          <w:color w:val="auto"/>
          <w:szCs w:val="21"/>
          <w:highlight w:val="none"/>
        </w:rPr>
        <w:t>官网网站的查询时间不能早于本项目采购公告发布之日。</w:t>
      </w:r>
    </w:p>
    <w:p>
      <w:pPr>
        <w:pStyle w:val="39"/>
        <w:spacing w:line="360" w:lineRule="auto"/>
        <w:ind w:firstLine="600" w:firstLineChars="25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“信用中国”</w:t>
      </w:r>
      <w:r>
        <w:rPr>
          <w:rFonts w:hint="eastAsia" w:ascii="宋体" w:hAnsi="宋体"/>
          <w:color w:val="auto"/>
          <w:szCs w:val="21"/>
          <w:highlight w:val="none"/>
        </w:rPr>
        <w:t>网站查询结果可提供网页打印件或截图，或下载打印信用报告。相关资料须体现</w:t>
      </w:r>
      <w:r>
        <w:rPr>
          <w:rFonts w:hint="eastAsia" w:ascii="宋体" w:hAnsi="宋体"/>
          <w:color w:val="auto"/>
          <w:szCs w:val="21"/>
          <w:highlight w:val="none"/>
          <w:lang w:eastAsia="zh-CN"/>
        </w:rPr>
        <w:t>投标人</w:t>
      </w:r>
      <w:r>
        <w:rPr>
          <w:rFonts w:hint="eastAsia" w:ascii="宋体" w:hAnsi="宋体"/>
          <w:color w:val="auto"/>
          <w:szCs w:val="21"/>
          <w:highlight w:val="none"/>
        </w:rPr>
        <w:t>全称、查询网址和查询结果，查询界面须能体现“基础信息、行政许可、行政处罚、守信激励、失信惩戒、重点关注、资质资格、风险提示、其他”，或直接下载打印信用报告。</w:t>
      </w:r>
    </w:p>
    <w:p>
      <w:pPr>
        <w:pStyle w:val="39"/>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）查询结果如显示无</w:t>
      </w:r>
      <w:r>
        <w:rPr>
          <w:rFonts w:hint="eastAsia" w:ascii="宋体" w:hAnsi="宋体"/>
          <w:color w:val="auto"/>
          <w:szCs w:val="21"/>
          <w:highlight w:val="none"/>
          <w:lang w:eastAsia="zh-CN"/>
        </w:rPr>
        <w:t>投标人</w:t>
      </w:r>
      <w:r>
        <w:rPr>
          <w:rFonts w:hint="eastAsia" w:ascii="宋体" w:hAnsi="宋体"/>
          <w:color w:val="auto"/>
          <w:szCs w:val="21"/>
          <w:highlight w:val="none"/>
        </w:rPr>
        <w:t>信息或没有该企业相关记录的，亦须按照上述要求打印网页或截图。</w:t>
      </w:r>
    </w:p>
    <w:p>
      <w:pPr>
        <w:pStyle w:val="39"/>
        <w:spacing w:line="360"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）查询页面显示的关键内容见下图标注指引。</w:t>
      </w:r>
    </w:p>
    <w:p>
      <w:pPr>
        <w:pStyle w:val="39"/>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说明：</w:t>
      </w:r>
    </w:p>
    <w:p>
      <w:pPr>
        <w:pStyle w:val="39"/>
        <w:tabs>
          <w:tab w:val="left" w:pos="510"/>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1.上述资格性证明文件属性是打印件的，应将打印件加盖公章；文件属性为截图的，直接复制粘贴在后打印加盖公章。</w:t>
      </w:r>
    </w:p>
    <w:p>
      <w:pPr>
        <w:pStyle w:val="40"/>
        <w:tabs>
          <w:tab w:val="left" w:pos="510"/>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w:t>
      </w:r>
      <w:r>
        <w:rPr>
          <w:rFonts w:hint="eastAsia" w:asciiTheme="minorEastAsia" w:hAnsiTheme="minorEastAsia" w:eastAsiaTheme="minorEastAsia" w:cstheme="minorEastAsia"/>
          <w:b/>
          <w:color w:val="auto"/>
          <w:highlight w:val="none"/>
          <w:lang w:eastAsia="zh-CN"/>
        </w:rPr>
        <w:t>投标人</w:t>
      </w:r>
      <w:r>
        <w:rPr>
          <w:rFonts w:hint="eastAsia" w:asciiTheme="minorEastAsia" w:hAnsiTheme="minorEastAsia" w:eastAsiaTheme="minorEastAsia" w:cstheme="minorEastAsia"/>
          <w:b/>
          <w:color w:val="auto"/>
          <w:highlight w:val="none"/>
        </w:rPr>
        <w:t>须如实提供网上信用记录证明，</w:t>
      </w:r>
      <w:r>
        <w:rPr>
          <w:rFonts w:hint="eastAsia" w:asciiTheme="minorEastAsia" w:hAnsiTheme="minorEastAsia" w:eastAsiaTheme="minorEastAsia" w:cstheme="minorEastAsia"/>
          <w:b/>
          <w:color w:val="auto"/>
          <w:highlight w:val="none"/>
          <w:lang w:eastAsia="zh-CN"/>
        </w:rPr>
        <w:t>招标人</w:t>
      </w:r>
      <w:r>
        <w:rPr>
          <w:rFonts w:hint="eastAsia" w:asciiTheme="minorEastAsia" w:hAnsiTheme="minorEastAsia" w:eastAsiaTheme="minorEastAsia" w:cstheme="minorEastAsia"/>
          <w:b/>
          <w:color w:val="auto"/>
          <w:highlight w:val="none"/>
        </w:rPr>
        <w:t>将在资格审查时对其真实性和有效性进行审查、验证，如有造假或情况不一致，将导致投标无效！</w:t>
      </w:r>
    </w:p>
    <w:p>
      <w:pPr>
        <w:pStyle w:val="40"/>
        <w:tabs>
          <w:tab w:val="left" w:pos="510"/>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3.信用中国官方网站地址：</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"https://www.creditchina.gov.cn/"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
          <w:color w:val="auto"/>
          <w:highlight w:val="none"/>
        </w:rPr>
        <w:t>https://www.creditchina.gov.cn/</w:t>
      </w:r>
      <w:r>
        <w:rPr>
          <w:rFonts w:hint="eastAsia" w:asciiTheme="minorEastAsia" w:hAnsiTheme="minorEastAsia" w:eastAsiaTheme="minorEastAsia" w:cstheme="minorEastAsia"/>
          <w:b/>
          <w:color w:val="auto"/>
          <w:highlight w:val="none"/>
        </w:rPr>
        <w:fldChar w:fldCharType="end"/>
      </w:r>
    </w:p>
    <w:p>
      <w:pPr>
        <w:pStyle w:val="40"/>
        <w:tabs>
          <w:tab w:val="left" w:pos="510"/>
        </w:tabs>
        <w:spacing w:line="360" w:lineRule="auto"/>
        <w:rPr>
          <w:b/>
          <w:color w:val="auto"/>
          <w:highlight w:val="none"/>
        </w:rPr>
      </w:pPr>
    </w:p>
    <w:p>
      <w:pPr>
        <w:pStyle w:val="40"/>
        <w:tabs>
          <w:tab w:val="left" w:pos="510"/>
        </w:tabs>
        <w:spacing w:line="360" w:lineRule="auto"/>
        <w:rPr>
          <w:b/>
          <w:color w:val="auto"/>
          <w:highlight w:val="none"/>
        </w:rPr>
      </w:pPr>
      <w:r>
        <w:rPr>
          <w:rFonts w:hint="eastAsia"/>
          <w:b/>
          <w:color w:val="auto"/>
          <w:highlight w:val="none"/>
        </w:rPr>
        <w:t>网站界面参考图：</w:t>
      </w:r>
    </w:p>
    <w:p>
      <w:pPr>
        <w:pStyle w:val="40"/>
        <w:tabs>
          <w:tab w:val="left" w:pos="510"/>
        </w:tabs>
        <w:spacing w:line="360" w:lineRule="auto"/>
        <w:rPr>
          <w:b/>
          <w:color w:val="auto"/>
          <w:highlight w:val="none"/>
        </w:rPr>
      </w:pPr>
      <w:r>
        <w:rPr>
          <w:color w:val="auto"/>
          <w:highlight w:val="none"/>
        </w:rPr>
        <w:drawing>
          <wp:inline distT="0" distB="0" distL="114300" distR="114300">
            <wp:extent cx="6091555" cy="3405505"/>
            <wp:effectExtent l="0" t="0" r="4445" b="4445"/>
            <wp:docPr id="15" name="图片 3" descr="说明: 说明: C:\Users\yu\Documents\Tencent Files\56133984\Image\Group\F{N78Z(C5%)2S$MR8(NEC[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说明: 说明: C:\Users\yu\Documents\Tencent Files\56133984\Image\Group\F{N78Z(C5%)2S$MR8(NEC[Q.jpg"/>
                    <pic:cNvPicPr>
                      <a:picLocks noChangeAspect="1"/>
                    </pic:cNvPicPr>
                  </pic:nvPicPr>
                  <pic:blipFill>
                    <a:blip r:embed="rId16"/>
                    <a:stretch>
                      <a:fillRect/>
                    </a:stretch>
                  </pic:blipFill>
                  <pic:spPr>
                    <a:xfrm>
                      <a:off x="0" y="0"/>
                      <a:ext cx="6091555" cy="3405505"/>
                    </a:xfrm>
                    <a:prstGeom prst="rect">
                      <a:avLst/>
                    </a:prstGeom>
                    <a:noFill/>
                    <a:ln w="9525">
                      <a:noFill/>
                    </a:ln>
                    <a:effectLst/>
                  </pic:spPr>
                </pic:pic>
              </a:graphicData>
            </a:graphic>
          </wp:inline>
        </w:drawing>
      </w:r>
    </w:p>
    <w:p>
      <w:pPr>
        <w:jc w:val="center"/>
        <w:outlineLvl w:val="2"/>
        <w:rPr>
          <w:rFonts w:hint="eastAsia"/>
          <w:color w:val="auto"/>
          <w:highlight w:val="none"/>
        </w:rPr>
      </w:pPr>
      <w:bookmarkStart w:id="131" w:name="_Toc26331"/>
      <w:r>
        <w:rPr>
          <w:rFonts w:hint="eastAsia"/>
          <w:color w:val="auto"/>
          <w:highlight w:val="none"/>
        </w:rPr>
        <w:br w:type="page"/>
      </w:r>
      <w:bookmarkEnd w:id="127"/>
      <w:bookmarkEnd w:id="128"/>
      <w:bookmarkEnd w:id="131"/>
      <w:bookmarkStart w:id="132" w:name="_Toc334432603"/>
    </w:p>
    <w:p>
      <w:pPr>
        <w:jc w:val="center"/>
        <w:outlineLvl w:val="2"/>
        <w:rPr>
          <w:rFonts w:hint="eastAsia"/>
          <w:color w:val="auto"/>
          <w:highlight w:val="none"/>
        </w:rPr>
      </w:pPr>
    </w:p>
    <w:p>
      <w:pPr>
        <w:jc w:val="center"/>
        <w:outlineLvl w:val="2"/>
        <w:rPr>
          <w:rFonts w:hint="eastAsia"/>
          <w:color w:val="auto"/>
          <w:highlight w:val="none"/>
        </w:rPr>
      </w:pPr>
    </w:p>
    <w:p>
      <w:pPr>
        <w:jc w:val="center"/>
        <w:outlineLvl w:val="2"/>
        <w:rPr>
          <w:rFonts w:hint="eastAsia" w:ascii="宋体" w:hAnsi="宋体"/>
          <w:b/>
          <w:color w:val="auto"/>
          <w:sz w:val="32"/>
          <w:szCs w:val="32"/>
          <w:highlight w:val="none"/>
        </w:rPr>
      </w:pPr>
      <w:bookmarkStart w:id="133" w:name="_Toc20260"/>
      <w:r>
        <w:rPr>
          <w:rFonts w:hint="eastAsia" w:ascii="宋体" w:hAnsi="宋体" w:eastAsia="宋体" w:cs="Times New Roman"/>
          <w:b/>
          <w:color w:val="auto"/>
          <w:sz w:val="32"/>
          <w:szCs w:val="32"/>
          <w:highlight w:val="none"/>
          <w:lang w:val="en-US" w:eastAsia="zh-CN"/>
        </w:rPr>
        <w:t>1.5</w:t>
      </w:r>
      <w:r>
        <w:rPr>
          <w:rFonts w:hint="eastAsia" w:ascii="宋体" w:hAnsi="宋体" w:eastAsia="宋体"/>
          <w:b/>
          <w:color w:val="auto"/>
          <w:sz w:val="32"/>
          <w:szCs w:val="32"/>
          <w:highlight w:val="none"/>
          <w:lang w:eastAsia="zh-CN"/>
        </w:rPr>
        <w:t>竞投</w:t>
      </w:r>
      <w:r>
        <w:rPr>
          <w:rFonts w:hint="eastAsia" w:ascii="宋体" w:hAnsi="宋体"/>
          <w:b/>
          <w:color w:val="auto"/>
          <w:sz w:val="32"/>
          <w:szCs w:val="32"/>
          <w:highlight w:val="none"/>
        </w:rPr>
        <w:t>保证金</w:t>
      </w:r>
      <w:bookmarkEnd w:id="133"/>
    </w:p>
    <w:p>
      <w:pPr>
        <w:pStyle w:val="6"/>
        <w:rPr>
          <w:rFonts w:hint="eastAsia" w:ascii="宋体" w:hAnsi="宋体"/>
          <w:b/>
          <w:color w:val="auto"/>
          <w:sz w:val="24"/>
          <w:szCs w:val="24"/>
          <w:highlight w:val="none"/>
        </w:rPr>
      </w:pPr>
    </w:p>
    <w:p>
      <w:pPr>
        <w:rPr>
          <w:color w:val="auto"/>
          <w:sz w:val="24"/>
          <w:szCs w:val="24"/>
          <w:highlight w:val="none"/>
        </w:rPr>
      </w:pPr>
    </w:p>
    <w:p>
      <w:pPr>
        <w:spacing w:line="360" w:lineRule="auto"/>
        <w:rPr>
          <w:rFonts w:hint="eastAsia" w:ascii="宋体" w:eastAsia="宋体"/>
          <w:color w:val="auto"/>
          <w:sz w:val="24"/>
          <w:szCs w:val="24"/>
          <w:highlight w:val="none"/>
          <w:lang w:eastAsia="zh-CN"/>
        </w:rPr>
      </w:pPr>
      <w:r>
        <w:rPr>
          <w:rFonts w:hint="eastAsia" w:ascii="宋体" w:hAnsi="宋体"/>
          <w:color w:val="auto"/>
          <w:sz w:val="24"/>
          <w:szCs w:val="24"/>
          <w:highlight w:val="none"/>
        </w:rPr>
        <w:t>附：</w:t>
      </w:r>
    </w:p>
    <w:tbl>
      <w:tblPr>
        <w:tblStyle w:val="19"/>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trPr>
        <w:tc>
          <w:tcPr>
            <w:tcW w:w="9570" w:type="dxa"/>
            <w:noWrap w:val="0"/>
            <w:vAlign w:val="top"/>
          </w:tcPr>
          <w:p>
            <w:pPr>
              <w:spacing w:line="360" w:lineRule="auto"/>
              <w:rPr>
                <w:rFonts w:ascii="宋体"/>
                <w:color w:val="auto"/>
                <w:sz w:val="24"/>
                <w:szCs w:val="24"/>
                <w:highlight w:val="none"/>
              </w:rPr>
            </w:pPr>
          </w:p>
          <w:p>
            <w:pPr>
              <w:spacing w:line="360" w:lineRule="auto"/>
              <w:rPr>
                <w:rFonts w:ascii="宋体"/>
                <w:color w:val="auto"/>
                <w:sz w:val="24"/>
                <w:szCs w:val="24"/>
                <w:highlight w:val="none"/>
              </w:rPr>
            </w:pPr>
          </w:p>
          <w:p>
            <w:pPr>
              <w:spacing w:line="360" w:lineRule="auto"/>
              <w:rPr>
                <w:rFonts w:ascii="宋体"/>
                <w:color w:val="auto"/>
                <w:sz w:val="24"/>
                <w:szCs w:val="24"/>
                <w:highlight w:val="none"/>
              </w:rPr>
            </w:pPr>
          </w:p>
          <w:p>
            <w:pPr>
              <w:spacing w:line="360" w:lineRule="auto"/>
              <w:jc w:val="center"/>
              <w:rPr>
                <w:rFonts w:hint="default" w:ascii="宋体" w:eastAsia="宋体"/>
                <w:color w:val="auto"/>
                <w:sz w:val="24"/>
                <w:szCs w:val="24"/>
                <w:highlight w:val="none"/>
                <w:lang w:val="en-US" w:eastAsia="zh-CN"/>
              </w:rPr>
            </w:pPr>
            <w:r>
              <w:rPr>
                <w:rFonts w:hint="eastAsia" w:ascii="宋体" w:hAnsi="宋体"/>
                <w:color w:val="auto"/>
                <w:sz w:val="24"/>
                <w:szCs w:val="24"/>
                <w:highlight w:val="none"/>
                <w:lang w:eastAsia="zh-CN"/>
              </w:rPr>
              <w:t>竞投保证金转账凭证复印件</w:t>
            </w:r>
            <w:r>
              <w:rPr>
                <w:rFonts w:hint="eastAsia" w:ascii="宋体" w:hAnsi="宋体"/>
                <w:color w:val="auto"/>
                <w:sz w:val="24"/>
                <w:szCs w:val="24"/>
                <w:highlight w:val="none"/>
                <w:lang w:val="en-US" w:eastAsia="zh-CN"/>
              </w:rPr>
              <w:t>/扫描件</w:t>
            </w:r>
          </w:p>
        </w:tc>
      </w:tr>
    </w:tbl>
    <w:p>
      <w:pPr>
        <w:pStyle w:val="6"/>
        <w:ind w:firstLine="400"/>
        <w:rPr>
          <w:color w:val="auto"/>
          <w:highlight w:val="none"/>
        </w:rPr>
      </w:pPr>
    </w:p>
    <w:p>
      <w:pPr>
        <w:rPr>
          <w:color w:val="auto"/>
          <w:highlight w:val="none"/>
        </w:rPr>
      </w:pPr>
    </w:p>
    <w:p>
      <w:pPr>
        <w:rPr>
          <w:b/>
          <w:color w:val="auto"/>
          <w:highlight w:val="none"/>
        </w:rPr>
      </w:pPr>
    </w:p>
    <w:p>
      <w:pPr>
        <w:jc w:val="center"/>
        <w:rPr>
          <w:b/>
          <w:bCs/>
          <w:color w:val="auto"/>
          <w:sz w:val="22"/>
          <w:szCs w:val="28"/>
          <w:highlight w:val="none"/>
        </w:rPr>
      </w:pPr>
    </w:p>
    <w:p>
      <w:pPr>
        <w:jc w:val="center"/>
        <w:rPr>
          <w:b/>
          <w:bCs/>
          <w:color w:val="auto"/>
          <w:sz w:val="28"/>
          <w:szCs w:val="28"/>
          <w:highlight w:val="none"/>
        </w:rPr>
      </w:pPr>
      <w:r>
        <w:rPr>
          <w:rFonts w:hint="eastAsia"/>
          <w:b/>
          <w:bCs/>
          <w:color w:val="auto"/>
          <w:sz w:val="28"/>
          <w:szCs w:val="28"/>
          <w:highlight w:val="none"/>
        </w:rPr>
        <w:t>退</w:t>
      </w:r>
      <w:r>
        <w:rPr>
          <w:rFonts w:hint="eastAsia"/>
          <w:b/>
          <w:bCs/>
          <w:color w:val="auto"/>
          <w:sz w:val="28"/>
          <w:szCs w:val="28"/>
          <w:highlight w:val="none"/>
          <w:lang w:eastAsia="zh-CN"/>
        </w:rPr>
        <w:t>竞投保证金</w:t>
      </w:r>
      <w:r>
        <w:rPr>
          <w:rFonts w:hint="eastAsia"/>
          <w:b/>
          <w:bCs/>
          <w:color w:val="auto"/>
          <w:sz w:val="28"/>
          <w:szCs w:val="28"/>
          <w:highlight w:val="none"/>
        </w:rPr>
        <w:t>说明</w:t>
      </w:r>
    </w:p>
    <w:p>
      <w:pPr>
        <w:jc w:val="center"/>
        <w:rPr>
          <w:b/>
          <w:bCs/>
          <w:color w:val="auto"/>
          <w:sz w:val="22"/>
          <w:szCs w:val="28"/>
          <w:highlight w:val="none"/>
        </w:rPr>
      </w:pP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我方为</w:t>
      </w:r>
      <w:r>
        <w:rPr>
          <w:rFonts w:hint="eastAsia" w:ascii="宋体" w:hAnsi="宋体" w:cs="宋体"/>
          <w:color w:val="auto"/>
          <w:sz w:val="24"/>
          <w:szCs w:val="24"/>
          <w:highlight w:val="none"/>
          <w:lang w:eastAsia="zh-CN"/>
        </w:rPr>
        <w:t>吉利上二村车辆停放管理服务（二次）</w:t>
      </w:r>
      <w:r>
        <w:rPr>
          <w:rFonts w:hint="eastAsia" w:ascii="宋体" w:hAnsi="宋体" w:eastAsia="宋体" w:cs="宋体"/>
          <w:color w:val="auto"/>
          <w:sz w:val="24"/>
          <w:szCs w:val="24"/>
          <w:highlight w:val="none"/>
          <w:lang w:eastAsia="zh-CN"/>
        </w:rPr>
        <w:t>竞投</w:t>
      </w:r>
      <w:r>
        <w:rPr>
          <w:rFonts w:hint="eastAsia" w:ascii="宋体" w:hAnsi="宋体" w:eastAsia="宋体" w:cs="宋体"/>
          <w:color w:val="auto"/>
          <w:sz w:val="24"/>
          <w:szCs w:val="24"/>
          <w:highlight w:val="none"/>
        </w:rPr>
        <w:t>所提交的</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，请贵司退还</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时按以下账号划款：</w:t>
      </w:r>
    </w:p>
    <w:tbl>
      <w:tblPr>
        <w:tblStyle w:val="19"/>
        <w:tblW w:w="956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91"/>
        <w:gridCol w:w="4029"/>
        <w:gridCol w:w="1100"/>
        <w:gridCol w:w="20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391"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收款人</w:t>
            </w:r>
          </w:p>
        </w:tc>
        <w:tc>
          <w:tcPr>
            <w:tcW w:w="7174" w:type="dxa"/>
            <w:gridSpan w:val="3"/>
            <w:tcBorders>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391"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收款人地址</w:t>
            </w:r>
          </w:p>
        </w:tc>
        <w:tc>
          <w:tcPr>
            <w:tcW w:w="7174" w:type="dxa"/>
            <w:gridSpan w:val="3"/>
            <w:tcBorders>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391"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开户银行（具体到XX银行XX支行）</w:t>
            </w:r>
          </w:p>
        </w:tc>
        <w:tc>
          <w:tcPr>
            <w:tcW w:w="4029" w:type="dxa"/>
            <w:tcBorders>
              <w:tl2br w:val="nil"/>
              <w:tr2bl w:val="nil"/>
            </w:tcBorders>
            <w:noWrap w:val="0"/>
            <w:vAlign w:val="top"/>
          </w:tcPr>
          <w:p>
            <w:pPr>
              <w:rPr>
                <w:rFonts w:hint="eastAsia" w:ascii="宋体" w:hAnsi="宋体" w:eastAsia="宋体" w:cs="宋体"/>
                <w:color w:val="auto"/>
                <w:sz w:val="24"/>
                <w:szCs w:val="24"/>
                <w:highlight w:val="none"/>
              </w:rPr>
            </w:pPr>
          </w:p>
        </w:tc>
        <w:tc>
          <w:tcPr>
            <w:tcW w:w="1100" w:type="dxa"/>
            <w:tcBorders>
              <w:tl2br w:val="nil"/>
              <w:tr2bl w:val="nil"/>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045" w:type="dxa"/>
            <w:tcBorders>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391"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029" w:type="dxa"/>
            <w:tcBorders>
              <w:tl2br w:val="nil"/>
              <w:tr2bl w:val="nil"/>
            </w:tcBorders>
            <w:noWrap w:val="0"/>
            <w:vAlign w:val="top"/>
          </w:tcPr>
          <w:p>
            <w:pPr>
              <w:rPr>
                <w:rFonts w:hint="eastAsia" w:ascii="宋体" w:hAnsi="宋体" w:eastAsia="宋体" w:cs="宋体"/>
                <w:color w:val="auto"/>
                <w:sz w:val="24"/>
                <w:szCs w:val="24"/>
                <w:highlight w:val="none"/>
              </w:rPr>
            </w:pPr>
          </w:p>
        </w:tc>
        <w:tc>
          <w:tcPr>
            <w:tcW w:w="1100" w:type="dxa"/>
            <w:tcBorders>
              <w:tl2br w:val="nil"/>
              <w:tr2bl w:val="nil"/>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045" w:type="dxa"/>
            <w:tcBorders>
              <w:tl2br w:val="nil"/>
              <w:tr2bl w:val="nil"/>
            </w:tcBorders>
            <w:noWrap w:val="0"/>
            <w:vAlign w:val="top"/>
          </w:tcPr>
          <w:p>
            <w:pPr>
              <w:rPr>
                <w:rFonts w:hint="eastAsia" w:ascii="宋体" w:hAnsi="宋体" w:eastAsia="宋体" w:cs="宋体"/>
                <w:color w:val="auto"/>
                <w:sz w:val="24"/>
                <w:szCs w:val="24"/>
                <w:highlight w:val="none"/>
              </w:rPr>
            </w:pPr>
          </w:p>
        </w:tc>
      </w:tr>
    </w:tbl>
    <w:p>
      <w:pPr>
        <w:spacing w:line="360" w:lineRule="auto"/>
        <w:jc w:val="center"/>
        <w:outlineLvl w:val="2"/>
        <w:rPr>
          <w:rFonts w:hint="eastAsia" w:ascii="宋体" w:hAnsi="宋体" w:eastAsia="宋体" w:cs="宋体"/>
          <w:color w:val="auto"/>
          <w:sz w:val="24"/>
          <w:szCs w:val="24"/>
          <w:highlight w:val="none"/>
        </w:rPr>
      </w:pPr>
      <w:bookmarkStart w:id="134" w:name="_Toc4845"/>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代理机构按规定允许退还</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时，将按其提供的“退</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说明”退</w:t>
      </w:r>
      <w:bookmarkEnd w:id="134"/>
    </w:p>
    <w:p>
      <w:pPr>
        <w:spacing w:line="360" w:lineRule="auto"/>
        <w:jc w:val="both"/>
        <w:outlineLvl w:val="2"/>
        <w:rPr>
          <w:rFonts w:hint="eastAsia"/>
          <w:color w:val="auto"/>
          <w:highlight w:val="none"/>
        </w:rPr>
      </w:pPr>
      <w:bookmarkStart w:id="135" w:name="_Toc18967"/>
      <w:r>
        <w:rPr>
          <w:rFonts w:hint="eastAsia" w:ascii="宋体" w:hAnsi="宋体" w:eastAsia="宋体" w:cs="宋体"/>
          <w:color w:val="auto"/>
          <w:sz w:val="24"/>
          <w:szCs w:val="24"/>
          <w:highlight w:val="none"/>
        </w:rPr>
        <w:t>还</w:t>
      </w:r>
      <w:r>
        <w:rPr>
          <w:rFonts w:hint="eastAsia" w:ascii="宋体" w:hAnsi="宋体" w:cs="宋体"/>
          <w:color w:val="auto"/>
          <w:sz w:val="24"/>
          <w:szCs w:val="24"/>
          <w:highlight w:val="none"/>
          <w:lang w:eastAsia="zh-CN"/>
        </w:rPr>
        <w:t>竞投保证金</w:t>
      </w:r>
      <w:r>
        <w:rPr>
          <w:rFonts w:hint="eastAsia" w:ascii="宋体" w:hAnsi="宋体"/>
          <w:color w:val="auto"/>
          <w:highlight w:val="none"/>
        </w:rPr>
        <w:t>。</w:t>
      </w:r>
      <w:r>
        <w:rPr>
          <w:rFonts w:ascii="宋体"/>
          <w:color w:val="auto"/>
          <w:highlight w:val="none"/>
        </w:rPr>
        <w:br w:type="page"/>
      </w:r>
      <w:bookmarkEnd w:id="135"/>
    </w:p>
    <w:p>
      <w:pPr>
        <w:spacing w:line="360" w:lineRule="auto"/>
        <w:jc w:val="center"/>
        <w:outlineLvl w:val="2"/>
        <w:rPr>
          <w:rFonts w:ascii="宋体"/>
          <w:b/>
          <w:color w:val="auto"/>
          <w:sz w:val="32"/>
          <w:szCs w:val="32"/>
          <w:highlight w:val="none"/>
        </w:rPr>
      </w:pPr>
      <w:bookmarkStart w:id="136" w:name="_Toc29623"/>
      <w:r>
        <w:rPr>
          <w:rFonts w:hint="eastAsia" w:ascii="宋体" w:hAnsi="宋体" w:eastAsia="宋体" w:cs="Times New Roman"/>
          <w:b/>
          <w:color w:val="auto"/>
          <w:spacing w:val="0"/>
          <w:sz w:val="32"/>
          <w:szCs w:val="32"/>
          <w:highlight w:val="none"/>
          <w:lang w:val="en-US" w:eastAsia="zh-CN"/>
        </w:rPr>
        <w:t>1.</w:t>
      </w:r>
      <w:bookmarkEnd w:id="132"/>
      <w:bookmarkStart w:id="137" w:name="_Toc13491"/>
      <w:bookmarkStart w:id="138" w:name="_Toc6596"/>
      <w:bookmarkStart w:id="139" w:name="_Toc7712"/>
      <w:bookmarkStart w:id="140" w:name="_Toc27101"/>
      <w:bookmarkStart w:id="141" w:name="_Toc22028"/>
      <w:bookmarkStart w:id="142" w:name="_Toc28989"/>
      <w:bookmarkStart w:id="143" w:name="_Toc11487"/>
      <w:r>
        <w:rPr>
          <w:rFonts w:hint="eastAsia" w:ascii="宋体" w:hAnsi="宋体" w:eastAsia="宋体" w:cs="Times New Roman"/>
          <w:b/>
          <w:color w:val="auto"/>
          <w:spacing w:val="0"/>
          <w:sz w:val="32"/>
          <w:szCs w:val="32"/>
          <w:highlight w:val="none"/>
          <w:lang w:val="en-US" w:eastAsia="zh-CN"/>
        </w:rPr>
        <w:t>6</w:t>
      </w:r>
      <w:r>
        <w:rPr>
          <w:rFonts w:hint="eastAsia" w:ascii="宋体" w:hAnsi="宋体"/>
          <w:b/>
          <w:color w:val="auto"/>
          <w:sz w:val="32"/>
          <w:szCs w:val="32"/>
          <w:highlight w:val="none"/>
        </w:rPr>
        <w:t>其他文件资料及说明</w:t>
      </w:r>
      <w:bookmarkEnd w:id="136"/>
      <w:bookmarkEnd w:id="137"/>
      <w:bookmarkEnd w:id="138"/>
      <w:bookmarkEnd w:id="139"/>
      <w:bookmarkEnd w:id="140"/>
      <w:bookmarkEnd w:id="141"/>
      <w:bookmarkEnd w:id="142"/>
      <w:bookmarkEnd w:id="143"/>
    </w:p>
    <w:p>
      <w:pPr>
        <w:spacing w:line="360" w:lineRule="auto"/>
        <w:rPr>
          <w:rFonts w:ascii="宋体"/>
          <w:color w:val="auto"/>
          <w:sz w:val="24"/>
          <w:highlight w:val="none"/>
        </w:rPr>
      </w:pPr>
    </w:p>
    <w:p>
      <w:pPr>
        <w:spacing w:line="480" w:lineRule="auto"/>
        <w:ind w:firstLine="720" w:firstLineChars="240"/>
        <w:rPr>
          <w:rFonts w:hint="eastAsia" w:ascii="宋体" w:hAnsi="宋体"/>
          <w:color w:val="auto"/>
          <w:sz w:val="30"/>
          <w:szCs w:val="30"/>
          <w:highlight w:val="none"/>
        </w:rPr>
      </w:pPr>
      <w:r>
        <w:rPr>
          <w:rFonts w:hint="eastAsia" w:ascii="宋体" w:hAnsi="宋体"/>
          <w:color w:val="auto"/>
          <w:sz w:val="30"/>
          <w:szCs w:val="30"/>
          <w:highlight w:val="none"/>
        </w:rPr>
        <w:t>本节内容为</w:t>
      </w:r>
      <w:r>
        <w:rPr>
          <w:rFonts w:hint="eastAsia" w:ascii="宋体" w:hAnsi="宋体"/>
          <w:color w:val="auto"/>
          <w:sz w:val="30"/>
          <w:szCs w:val="30"/>
          <w:highlight w:val="none"/>
          <w:lang w:eastAsia="zh-CN"/>
        </w:rPr>
        <w:t>投标人</w:t>
      </w:r>
      <w:r>
        <w:rPr>
          <w:rFonts w:hint="eastAsia" w:ascii="宋体" w:hAnsi="宋体"/>
          <w:color w:val="auto"/>
          <w:sz w:val="30"/>
          <w:szCs w:val="30"/>
          <w:highlight w:val="none"/>
        </w:rPr>
        <w:t>认为有必要提供的其他文件材料，因此所提交的内容和编制格式等均不受任何限制，一切递交情况由</w:t>
      </w:r>
      <w:r>
        <w:rPr>
          <w:rFonts w:hint="eastAsia" w:ascii="宋体" w:hAnsi="宋体"/>
          <w:color w:val="auto"/>
          <w:sz w:val="30"/>
          <w:szCs w:val="30"/>
          <w:highlight w:val="none"/>
          <w:lang w:eastAsia="zh-CN"/>
        </w:rPr>
        <w:t>投标人</w:t>
      </w:r>
      <w:r>
        <w:rPr>
          <w:rFonts w:hint="eastAsia" w:ascii="宋体" w:hAnsi="宋体"/>
          <w:color w:val="auto"/>
          <w:sz w:val="30"/>
          <w:szCs w:val="30"/>
          <w:highlight w:val="none"/>
        </w:rPr>
        <w:t>自行决定和设计排版。</w:t>
      </w:r>
    </w:p>
    <w:p>
      <w:pPr>
        <w:pStyle w:val="6"/>
        <w:rPr>
          <w:rFonts w:hint="eastAsia" w:ascii="宋体" w:hAnsi="宋体"/>
          <w:color w:val="auto"/>
          <w:sz w:val="30"/>
          <w:szCs w:val="30"/>
          <w:highlight w:val="none"/>
        </w:rPr>
      </w:pPr>
    </w:p>
    <w:p>
      <w:pPr>
        <w:rPr>
          <w:color w:val="auto"/>
          <w:highlight w:val="none"/>
        </w:rPr>
      </w:pPr>
    </w:p>
    <w:p>
      <w:pPr>
        <w:snapToGrid w:val="0"/>
        <w:spacing w:line="480" w:lineRule="auto"/>
        <w:rPr>
          <w:rFonts w:ascii="宋体"/>
          <w:color w:val="auto"/>
          <w:sz w:val="24"/>
          <w:highlight w:val="none"/>
        </w:rPr>
      </w:pPr>
    </w:p>
    <w:p>
      <w:pPr>
        <w:snapToGrid w:val="0"/>
        <w:rPr>
          <w:rFonts w:ascii="宋体"/>
          <w:color w:val="auto"/>
          <w:sz w:val="18"/>
          <w:szCs w:val="18"/>
          <w:highlight w:val="none"/>
        </w:rPr>
      </w:pPr>
      <w:r>
        <w:rPr>
          <w:rFonts w:ascii="宋体"/>
          <w:color w:val="auto"/>
          <w:sz w:val="24"/>
          <w:highlight w:val="none"/>
        </w:rPr>
        <w:br w:type="page"/>
      </w:r>
    </w:p>
    <w:p>
      <w:pPr>
        <w:spacing w:line="360" w:lineRule="auto"/>
        <w:jc w:val="center"/>
        <w:outlineLvl w:val="2"/>
        <w:rPr>
          <w:rFonts w:ascii="宋体"/>
          <w:b/>
          <w:bCs/>
          <w:color w:val="auto"/>
          <w:sz w:val="44"/>
          <w:szCs w:val="44"/>
          <w:highlight w:val="none"/>
        </w:rPr>
      </w:pPr>
      <w:bookmarkStart w:id="144" w:name="_Toc49329276"/>
      <w:bookmarkStart w:id="145" w:name="_Toc334432604"/>
      <w:bookmarkStart w:id="146" w:name="_Toc7194"/>
      <w:bookmarkStart w:id="147" w:name="_Toc13202"/>
      <w:bookmarkStart w:id="148" w:name="_Toc16582"/>
      <w:bookmarkStart w:id="149" w:name="_Toc17774"/>
      <w:bookmarkStart w:id="150" w:name="_Toc22689"/>
      <w:bookmarkStart w:id="151" w:name="_Toc30561"/>
      <w:bookmarkStart w:id="152" w:name="_Toc374378439"/>
      <w:bookmarkStart w:id="153" w:name="_Toc17925"/>
      <w:r>
        <w:rPr>
          <w:rFonts w:hint="eastAsia" w:ascii="宋体" w:hAnsi="宋体"/>
          <w:b/>
          <w:bCs/>
          <w:color w:val="auto"/>
          <w:sz w:val="44"/>
          <w:szCs w:val="44"/>
          <w:highlight w:val="none"/>
        </w:rPr>
        <w:t>文件包装袋</w:t>
      </w:r>
      <w:bookmarkEnd w:id="144"/>
      <w:r>
        <w:rPr>
          <w:rFonts w:hint="eastAsia" w:ascii="宋体" w:hAnsi="宋体"/>
          <w:b/>
          <w:bCs/>
          <w:color w:val="auto"/>
          <w:sz w:val="44"/>
          <w:szCs w:val="44"/>
          <w:highlight w:val="none"/>
        </w:rPr>
        <w:t>封面标贴格式</w:t>
      </w:r>
      <w:bookmarkEnd w:id="145"/>
      <w:bookmarkEnd w:id="146"/>
      <w:bookmarkEnd w:id="147"/>
      <w:bookmarkEnd w:id="148"/>
      <w:bookmarkEnd w:id="149"/>
      <w:bookmarkEnd w:id="150"/>
      <w:bookmarkEnd w:id="151"/>
      <w:bookmarkEnd w:id="152"/>
      <w:bookmarkEnd w:id="153"/>
    </w:p>
    <w:tbl>
      <w:tblPr>
        <w:tblStyle w:val="19"/>
        <w:tblW w:w="9329" w:type="dxa"/>
        <w:jc w:val="center"/>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Layout w:type="fixed"/>
        <w:tblCellMar>
          <w:top w:w="0" w:type="dxa"/>
          <w:left w:w="108" w:type="dxa"/>
          <w:bottom w:w="0" w:type="dxa"/>
          <w:right w:w="108" w:type="dxa"/>
        </w:tblCellMar>
      </w:tblPr>
      <w:tblGrid>
        <w:gridCol w:w="9329"/>
      </w:tblGrid>
      <w:tr>
        <w:tblPrEx>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CellMar>
            <w:top w:w="0" w:type="dxa"/>
            <w:left w:w="108" w:type="dxa"/>
            <w:bottom w:w="0" w:type="dxa"/>
            <w:right w:w="108" w:type="dxa"/>
          </w:tblCellMar>
        </w:tblPrEx>
        <w:trPr>
          <w:trHeight w:val="9085" w:hRule="atLeast"/>
          <w:jc w:val="center"/>
        </w:trPr>
        <w:tc>
          <w:tcPr>
            <w:tcW w:w="9329" w:type="dxa"/>
            <w:shd w:val="clear" w:color="auto" w:fill="FFFFFF"/>
            <w:noWrap w:val="0"/>
            <w:vAlign w:val="top"/>
          </w:tcPr>
          <w:p>
            <w:pPr>
              <w:rPr>
                <w:rFonts w:ascii="宋体"/>
                <w:color w:val="auto"/>
                <w:sz w:val="18"/>
                <w:szCs w:val="18"/>
                <w:highlight w:val="none"/>
              </w:rPr>
            </w:pPr>
          </w:p>
          <w:p>
            <w:pPr>
              <w:jc w:val="center"/>
              <w:rPr>
                <w:rFonts w:ascii="宋体"/>
                <w:b/>
                <w:color w:val="auto"/>
                <w:sz w:val="48"/>
                <w:szCs w:val="48"/>
                <w:highlight w:val="none"/>
              </w:rPr>
            </w:pPr>
          </w:p>
          <w:p>
            <w:pPr>
              <w:jc w:val="center"/>
              <w:rPr>
                <w:rFonts w:ascii="宋体"/>
                <w:b/>
                <w:bCs/>
                <w:color w:val="auto"/>
                <w:sz w:val="24"/>
                <w:highlight w:val="none"/>
              </w:rPr>
            </w:pPr>
          </w:p>
          <w:p>
            <w:pPr>
              <w:jc w:val="center"/>
              <w:rPr>
                <w:rFonts w:ascii="宋体"/>
                <w:b/>
                <w:bCs/>
                <w:color w:val="auto"/>
                <w:sz w:val="24"/>
                <w:highlight w:val="none"/>
                <w:lang w:val="en-GB"/>
              </w:rPr>
            </w:pPr>
          </w:p>
          <w:p>
            <w:pPr>
              <w:jc w:val="center"/>
              <w:rPr>
                <w:rFonts w:ascii="宋体"/>
                <w:b/>
                <w:bCs/>
                <w:color w:val="auto"/>
                <w:sz w:val="24"/>
                <w:highlight w:val="none"/>
                <w:lang w:val="en-GB"/>
              </w:rPr>
            </w:pPr>
          </w:p>
          <w:p>
            <w:pPr>
              <w:spacing w:line="360" w:lineRule="auto"/>
              <w:jc w:val="center"/>
              <w:rPr>
                <w:rFonts w:ascii="宋体"/>
                <w:b/>
                <w:bCs/>
                <w:color w:val="auto"/>
                <w:sz w:val="72"/>
                <w:szCs w:val="72"/>
                <w:highlight w:val="none"/>
              </w:rPr>
            </w:pPr>
            <w:r>
              <w:rPr>
                <w:rFonts w:hint="eastAsia" w:ascii="宋体" w:hAnsi="宋体"/>
                <w:b/>
                <w:bCs/>
                <w:color w:val="auto"/>
                <w:sz w:val="72"/>
                <w:szCs w:val="72"/>
                <w:highlight w:val="none"/>
                <w:lang w:eastAsia="zh-CN"/>
              </w:rPr>
              <w:t>资格审查</w:t>
            </w:r>
            <w:r>
              <w:rPr>
                <w:rFonts w:hint="eastAsia" w:ascii="宋体" w:hAnsi="宋体"/>
                <w:b/>
                <w:bCs/>
                <w:color w:val="auto"/>
                <w:sz w:val="72"/>
                <w:szCs w:val="72"/>
                <w:highlight w:val="none"/>
              </w:rPr>
              <w:t>文件</w:t>
            </w:r>
          </w:p>
          <w:p>
            <w:pPr>
              <w:jc w:val="center"/>
              <w:rPr>
                <w:rFonts w:ascii="宋体"/>
                <w:b/>
                <w:bCs/>
                <w:color w:val="auto"/>
                <w:sz w:val="24"/>
                <w:highlight w:val="none"/>
                <w:lang w:val="en-GB"/>
              </w:rPr>
            </w:pPr>
          </w:p>
          <w:p>
            <w:pPr>
              <w:spacing w:line="300" w:lineRule="auto"/>
              <w:jc w:val="center"/>
              <w:rPr>
                <w:rFonts w:ascii="宋体"/>
                <w:color w:val="auto"/>
                <w:sz w:val="24"/>
                <w:highlight w:val="none"/>
              </w:rPr>
            </w:pPr>
            <w:r>
              <w:rPr>
                <w:rFonts w:hint="eastAsia" w:ascii="宋体" w:hAnsi="宋体"/>
                <w:bCs/>
                <w:color w:val="auto"/>
                <w:sz w:val="24"/>
                <w:highlight w:val="none"/>
                <w:lang w:val="en-GB"/>
              </w:rPr>
              <w:t>密封内容：</w:t>
            </w:r>
            <w:r>
              <w:rPr>
                <w:rFonts w:hint="eastAsia" w:ascii="宋体" w:hAnsi="宋体"/>
                <w:color w:val="auto"/>
                <w:sz w:val="24"/>
                <w:highlight w:val="none"/>
                <w:lang w:eastAsia="zh-CN"/>
              </w:rPr>
              <w:t>资格审查</w:t>
            </w:r>
            <w:r>
              <w:rPr>
                <w:rFonts w:hint="eastAsia" w:ascii="宋体" w:hAnsi="宋体"/>
                <w:color w:val="auto"/>
                <w:sz w:val="24"/>
                <w:highlight w:val="none"/>
              </w:rPr>
              <w:t>文件（□正本</w:t>
            </w:r>
            <w:r>
              <w:rPr>
                <w:rFonts w:ascii="宋体" w:hAnsi="宋体"/>
                <w:color w:val="auto"/>
                <w:sz w:val="24"/>
                <w:highlight w:val="none"/>
              </w:rPr>
              <w:t>/</w:t>
            </w:r>
            <w:r>
              <w:rPr>
                <w:rFonts w:hint="eastAsia" w:ascii="宋体" w:hAnsi="宋体"/>
                <w:color w:val="auto"/>
                <w:sz w:val="24"/>
                <w:highlight w:val="none"/>
              </w:rPr>
              <w:t>□副本</w:t>
            </w:r>
            <w:r>
              <w:rPr>
                <w:rFonts w:ascii="宋体" w:hAnsi="宋体"/>
                <w:color w:val="auto"/>
                <w:sz w:val="24"/>
                <w:highlight w:val="none"/>
              </w:rPr>
              <w:t>/</w:t>
            </w:r>
            <w:r>
              <w:rPr>
                <w:rFonts w:hint="eastAsia" w:ascii="宋体" w:hAnsi="宋体"/>
                <w:color w:val="auto"/>
                <w:sz w:val="24"/>
                <w:highlight w:val="none"/>
              </w:rPr>
              <w:t>□电子光盘）</w:t>
            </w:r>
          </w:p>
          <w:p>
            <w:pPr>
              <w:spacing w:line="360" w:lineRule="auto"/>
              <w:jc w:val="center"/>
              <w:rPr>
                <w:rFonts w:ascii="宋体"/>
                <w:b/>
                <w:color w:val="auto"/>
                <w:szCs w:val="21"/>
                <w:highlight w:val="none"/>
                <w:lang w:val="en-GB"/>
              </w:rPr>
            </w:pPr>
            <w:r>
              <w:rPr>
                <w:rFonts w:hint="eastAsia" w:ascii="宋体" w:hAnsi="宋体"/>
                <w:b/>
                <w:color w:val="auto"/>
                <w:szCs w:val="21"/>
                <w:highlight w:val="none"/>
                <w:lang w:eastAsia="zh-CN"/>
              </w:rPr>
              <w:t>投标人</w:t>
            </w:r>
            <w:r>
              <w:rPr>
                <w:rFonts w:hint="eastAsia" w:ascii="宋体" w:hAnsi="宋体"/>
                <w:b/>
                <w:color w:val="auto"/>
                <w:szCs w:val="21"/>
                <w:highlight w:val="none"/>
                <w:lang w:val="en-GB"/>
              </w:rPr>
              <w:t>于密封前自行对上述资料的密封情况进行自查，并于相应“□”处中打“√”</w:t>
            </w:r>
          </w:p>
          <w:p>
            <w:pPr>
              <w:ind w:firstLine="2474" w:firstLineChars="1027"/>
              <w:rPr>
                <w:rFonts w:ascii="宋体"/>
                <w:b/>
                <w:color w:val="auto"/>
                <w:sz w:val="24"/>
                <w:szCs w:val="36"/>
                <w:highlight w:val="none"/>
                <w:lang w:val="en-GB"/>
              </w:rPr>
            </w:pPr>
          </w:p>
          <w:p>
            <w:pPr>
              <w:spacing w:line="360" w:lineRule="auto"/>
              <w:ind w:right="145" w:rightChars="69"/>
              <w:jc w:val="center"/>
              <w:rPr>
                <w:rFonts w:hint="eastAsia" w:ascii="宋体" w:eastAsia="宋体"/>
                <w:b/>
                <w:color w:val="auto"/>
                <w:sz w:val="24"/>
                <w:highlight w:val="none"/>
                <w:lang w:val="en-GB" w:eastAsia="zh-CN"/>
              </w:rPr>
            </w:pPr>
            <w:r>
              <w:rPr>
                <w:rFonts w:hint="eastAsia" w:ascii="宋体" w:hAnsi="宋体"/>
                <w:b/>
                <w:bCs/>
                <w:color w:val="auto"/>
                <w:sz w:val="24"/>
                <w:highlight w:val="none"/>
              </w:rPr>
              <w:t>项目名称</w:t>
            </w:r>
            <w:r>
              <w:rPr>
                <w:rFonts w:hint="eastAsia" w:ascii="宋体" w:hAnsi="宋体"/>
                <w:b/>
                <w:color w:val="auto"/>
                <w:sz w:val="24"/>
                <w:highlight w:val="none"/>
                <w:lang w:val="en-GB"/>
              </w:rPr>
              <w:t>：</w:t>
            </w:r>
            <w:r>
              <w:rPr>
                <w:rFonts w:hint="eastAsia" w:ascii="宋体" w:hAnsi="宋体"/>
                <w:b/>
                <w:color w:val="auto"/>
                <w:sz w:val="24"/>
                <w:highlight w:val="none"/>
                <w:lang w:val="en-GB" w:eastAsia="zh-CN"/>
              </w:rPr>
              <w:t>吉利上二村车辆停放管理服务（二次）</w:t>
            </w:r>
          </w:p>
          <w:p>
            <w:pPr>
              <w:ind w:firstLine="1079" w:firstLineChars="448"/>
              <w:rPr>
                <w:b/>
                <w:bCs/>
                <w:color w:val="auto"/>
                <w:sz w:val="24"/>
                <w:highlight w:val="none"/>
              </w:rPr>
            </w:pPr>
          </w:p>
          <w:p>
            <w:pPr>
              <w:ind w:firstLine="1079" w:firstLineChars="448"/>
              <w:rPr>
                <w:b/>
                <w:bCs/>
                <w:color w:val="auto"/>
                <w:sz w:val="24"/>
                <w:highlight w:val="none"/>
              </w:rPr>
            </w:pPr>
          </w:p>
          <w:p>
            <w:pPr>
              <w:ind w:firstLine="1079" w:firstLineChars="448"/>
              <w:rPr>
                <w:b/>
                <w:bCs/>
                <w:color w:val="auto"/>
                <w:sz w:val="24"/>
                <w:highlight w:val="none"/>
              </w:rPr>
            </w:pPr>
          </w:p>
          <w:p>
            <w:pPr>
              <w:ind w:firstLine="1079" w:firstLineChars="448"/>
              <w:rPr>
                <w:b/>
                <w:bCs/>
                <w:color w:val="auto"/>
                <w:sz w:val="24"/>
                <w:highlight w:val="none"/>
              </w:rPr>
            </w:pPr>
          </w:p>
          <w:p>
            <w:pPr>
              <w:spacing w:line="360" w:lineRule="auto"/>
              <w:jc w:val="center"/>
              <w:rPr>
                <w:rFonts w:ascii="宋体"/>
                <w:bCs/>
                <w:color w:val="auto"/>
                <w:sz w:val="24"/>
                <w:highlight w:val="none"/>
              </w:rPr>
            </w:pPr>
            <w:r>
              <w:rPr>
                <w:rFonts w:hint="eastAsia"/>
                <w:bCs/>
                <w:color w:val="auto"/>
                <w:sz w:val="28"/>
                <w:highlight w:val="none"/>
                <w:lang w:eastAsia="zh-CN"/>
              </w:rPr>
              <w:t>投标人</w:t>
            </w:r>
            <w:r>
              <w:rPr>
                <w:rFonts w:hint="eastAsia"/>
                <w:bCs/>
                <w:color w:val="auto"/>
                <w:sz w:val="28"/>
                <w:highlight w:val="none"/>
              </w:rPr>
              <w:t>：</w:t>
            </w:r>
            <w:r>
              <w:rPr>
                <w:rFonts w:ascii="宋体" w:hAnsi="宋体"/>
                <w:bCs/>
                <w:color w:val="auto"/>
                <w:sz w:val="28"/>
                <w:highlight w:val="none"/>
              </w:rPr>
              <w:t>(</w:t>
            </w:r>
            <w:r>
              <w:rPr>
                <w:rFonts w:hint="eastAsia" w:ascii="宋体" w:hAnsi="宋体"/>
                <w:bCs/>
                <w:color w:val="auto"/>
                <w:sz w:val="28"/>
                <w:highlight w:val="none"/>
              </w:rPr>
              <w:t>加盖公章</w:t>
            </w:r>
            <w:r>
              <w:rPr>
                <w:rFonts w:ascii="宋体" w:hAnsi="宋体"/>
                <w:bCs/>
                <w:color w:val="auto"/>
                <w:sz w:val="28"/>
                <w:highlight w:val="none"/>
              </w:rPr>
              <w:t>)</w:t>
            </w:r>
          </w:p>
          <w:p>
            <w:pPr>
              <w:jc w:val="center"/>
              <w:rPr>
                <w:rFonts w:ascii="宋体"/>
                <w:bCs/>
                <w:color w:val="auto"/>
                <w:sz w:val="28"/>
                <w:szCs w:val="28"/>
                <w:highlight w:val="none"/>
              </w:rPr>
            </w:pPr>
          </w:p>
          <w:p>
            <w:pPr>
              <w:spacing w:after="120" w:afterLines="50"/>
              <w:jc w:val="center"/>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在</w:t>
            </w:r>
            <w:r>
              <w:rPr>
                <w:rFonts w:hint="eastAsia" w:asciiTheme="minorEastAsia" w:hAnsiTheme="minorEastAsia" w:eastAsiaTheme="minorEastAsia" w:cstheme="minorEastAsia"/>
                <w:bCs/>
                <w:color w:val="auto"/>
                <w:sz w:val="28"/>
                <w:szCs w:val="28"/>
                <w:highlight w:val="none"/>
                <w:lang w:eastAsia="zh-CN"/>
              </w:rPr>
              <w:t>2024</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03月08日</w:t>
            </w:r>
            <w:r>
              <w:rPr>
                <w:rFonts w:hint="eastAsia" w:asciiTheme="minorEastAsia" w:hAnsiTheme="minorEastAsia" w:eastAsiaTheme="minorEastAsia" w:cstheme="minorEastAsia"/>
                <w:bCs/>
                <w:color w:val="auto"/>
                <w:sz w:val="28"/>
                <w:szCs w:val="28"/>
                <w:highlight w:val="none"/>
                <w:lang w:eastAsia="zh-CN"/>
              </w:rPr>
              <w:t>上</w:t>
            </w:r>
            <w:r>
              <w:rPr>
                <w:rFonts w:hint="eastAsia" w:asciiTheme="minorEastAsia" w:hAnsiTheme="minorEastAsia" w:eastAsiaTheme="minorEastAsia" w:cstheme="minorEastAsia"/>
                <w:bCs/>
                <w:color w:val="auto"/>
                <w:sz w:val="28"/>
                <w:szCs w:val="28"/>
                <w:highlight w:val="none"/>
              </w:rPr>
              <w:t>午</w:t>
            </w:r>
            <w:r>
              <w:rPr>
                <w:rFonts w:hint="eastAsia" w:asciiTheme="minorEastAsia" w:hAnsiTheme="minorEastAsia" w:eastAsiaTheme="minorEastAsia" w:cstheme="minorEastAsia"/>
                <w:bCs/>
                <w:color w:val="auto"/>
                <w:sz w:val="28"/>
                <w:szCs w:val="28"/>
                <w:highlight w:val="none"/>
                <w:lang w:val="en-US" w:eastAsia="zh-CN"/>
              </w:rPr>
              <w:t>9</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30</w:t>
            </w:r>
            <w:r>
              <w:rPr>
                <w:rFonts w:hint="eastAsia" w:asciiTheme="minorEastAsia" w:hAnsiTheme="minorEastAsia" w:eastAsiaTheme="minorEastAsia" w:cstheme="minorEastAsia"/>
                <w:bCs/>
                <w:color w:val="auto"/>
                <w:sz w:val="28"/>
                <w:szCs w:val="28"/>
                <w:highlight w:val="none"/>
              </w:rPr>
              <w:t>之前不得启封</w:t>
            </w:r>
          </w:p>
          <w:p>
            <w:pPr>
              <w:ind w:firstLine="2800" w:firstLineChars="1000"/>
              <w:rPr>
                <w:rFonts w:hint="eastAsia" w:asciiTheme="minorEastAsia" w:hAnsiTheme="minorEastAsia" w:eastAsiaTheme="minorEastAsia" w:cstheme="minorEastAsia"/>
                <w:bCs/>
                <w:color w:val="auto"/>
                <w:sz w:val="28"/>
                <w:szCs w:val="28"/>
                <w:highlight w:val="none"/>
              </w:rPr>
            </w:pPr>
          </w:p>
          <w:p>
            <w:pPr>
              <w:ind w:firstLine="1400" w:firstLineChars="500"/>
              <w:rPr>
                <w:rFonts w:hint="eastAsia" w:ascii="宋体" w:eastAsia="宋体"/>
                <w:color w:val="auto"/>
                <w:sz w:val="24"/>
                <w:highlight w:val="none"/>
                <w:u w:val="single"/>
                <w:lang w:eastAsia="zh-CN"/>
              </w:rPr>
            </w:pPr>
            <w:r>
              <w:rPr>
                <w:rFonts w:hint="eastAsia" w:asciiTheme="minorEastAsia" w:hAnsiTheme="minorEastAsia" w:eastAsiaTheme="minorEastAsia" w:cstheme="minorEastAsia"/>
                <w:bCs/>
                <w:color w:val="auto"/>
                <w:sz w:val="28"/>
                <w:szCs w:val="28"/>
                <w:highlight w:val="none"/>
              </w:rPr>
              <w:t>递交地点：佛山市禅城区南庄镇紫洞南路106号南庄商业广场A1座四楼南庄镇公共资源交易所开标室</w:t>
            </w:r>
          </w:p>
        </w:tc>
      </w:tr>
    </w:tbl>
    <w:p>
      <w:pPr>
        <w:spacing w:before="120" w:beforeLines="50" w:line="360" w:lineRule="auto"/>
        <w:ind w:left="181"/>
        <w:rPr>
          <w:rFonts w:ascii="宋体"/>
          <w:b/>
          <w:bCs/>
          <w:color w:val="auto"/>
          <w:sz w:val="24"/>
          <w:highlight w:val="none"/>
          <w:lang w:val="en-GB"/>
        </w:rPr>
      </w:pPr>
    </w:p>
    <w:p>
      <w:pPr>
        <w:numPr>
          <w:ilvl w:val="0"/>
          <w:numId w:val="51"/>
        </w:numPr>
        <w:spacing w:before="120" w:beforeLines="50" w:line="360" w:lineRule="auto"/>
        <w:ind w:left="601"/>
        <w:rPr>
          <w:rFonts w:hint="eastAsia" w:ascii="宋体" w:hAnsi="宋体" w:eastAsia="宋体" w:cs="宋体"/>
          <w:b/>
          <w:bCs/>
          <w:color w:val="auto"/>
          <w:sz w:val="24"/>
          <w:highlight w:val="none"/>
          <w:lang w:val="en-GB"/>
        </w:rPr>
      </w:pPr>
      <w:r>
        <w:rPr>
          <w:rFonts w:hint="eastAsia" w:ascii="宋体" w:hAnsi="宋体" w:eastAsia="宋体" w:cs="宋体"/>
          <w:b/>
          <w:bCs/>
          <w:color w:val="auto"/>
          <w:sz w:val="24"/>
          <w:highlight w:val="none"/>
          <w:lang w:val="en-GB"/>
        </w:rPr>
        <w:t>重要提示：</w:t>
      </w:r>
    </w:p>
    <w:p>
      <w:pPr>
        <w:numPr>
          <w:ilvl w:val="0"/>
          <w:numId w:val="52"/>
        </w:numPr>
        <w:tabs>
          <w:tab w:val="left" w:pos="900"/>
          <w:tab w:val="clear" w:pos="780"/>
        </w:tabs>
        <w:spacing w:line="360" w:lineRule="auto"/>
        <w:ind w:left="538" w:leftChars="256"/>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eastAsia="zh-CN"/>
        </w:rPr>
        <w:t>资格审查</w:t>
      </w:r>
      <w:r>
        <w:rPr>
          <w:rFonts w:hint="eastAsia" w:ascii="宋体" w:hAnsi="宋体" w:eastAsia="宋体" w:cs="宋体"/>
          <w:color w:val="auto"/>
          <w:sz w:val="24"/>
          <w:highlight w:val="none"/>
          <w:lang w:val="en-GB"/>
        </w:rPr>
        <w:t>文件的正本、副本、电子光盘，均应密封在同一密封包中。若上述资料确实无法密封在同一密封包中，则可按实际情况分开密封，但须在密封包装上标明密封内容。</w:t>
      </w:r>
    </w:p>
    <w:p>
      <w:pPr>
        <w:numPr>
          <w:ilvl w:val="0"/>
          <w:numId w:val="52"/>
        </w:numPr>
        <w:tabs>
          <w:tab w:val="left" w:pos="900"/>
          <w:tab w:val="clear" w:pos="780"/>
        </w:tabs>
        <w:spacing w:line="360" w:lineRule="auto"/>
        <w:ind w:left="538" w:leftChars="256"/>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rPr>
        <w:t>密封各文件资料时，应</w:t>
      </w:r>
      <w:r>
        <w:rPr>
          <w:rFonts w:hint="eastAsia" w:ascii="宋体" w:hAnsi="宋体" w:eastAsia="宋体" w:cs="宋体"/>
          <w:color w:val="auto"/>
          <w:sz w:val="24"/>
          <w:highlight w:val="none"/>
          <w:u w:val="single"/>
          <w:lang w:val="en-GB"/>
        </w:rPr>
        <w:t>在密封包装的封口</w:t>
      </w:r>
      <w:r>
        <w:rPr>
          <w:rFonts w:hint="eastAsia" w:ascii="宋体" w:hAnsi="宋体" w:eastAsia="宋体" w:cs="宋体"/>
          <w:color w:val="auto"/>
          <w:sz w:val="24"/>
          <w:highlight w:val="none"/>
          <w:lang w:val="en-GB"/>
        </w:rPr>
        <w:t>处加盖</w:t>
      </w:r>
      <w:r>
        <w:rPr>
          <w:rFonts w:hint="eastAsia" w:ascii="宋体" w:hAnsi="宋体" w:cs="宋体"/>
          <w:color w:val="auto"/>
          <w:sz w:val="24"/>
          <w:highlight w:val="none"/>
          <w:lang w:val="en-GB" w:eastAsia="zh-CN"/>
        </w:rPr>
        <w:t>投标人</w:t>
      </w:r>
      <w:r>
        <w:rPr>
          <w:rFonts w:hint="eastAsia" w:ascii="宋体" w:hAnsi="宋体" w:eastAsia="宋体" w:cs="宋体"/>
          <w:color w:val="auto"/>
          <w:sz w:val="24"/>
          <w:highlight w:val="none"/>
          <w:lang w:val="en-GB"/>
        </w:rPr>
        <w:t>公章。</w:t>
      </w:r>
    </w:p>
    <w:p>
      <w:pPr>
        <w:numPr>
          <w:ilvl w:val="0"/>
          <w:numId w:val="52"/>
        </w:numPr>
        <w:tabs>
          <w:tab w:val="left" w:pos="900"/>
          <w:tab w:val="clear" w:pos="780"/>
        </w:tabs>
        <w:spacing w:line="360" w:lineRule="auto"/>
        <w:ind w:left="601" w:leftChars="257" w:hanging="61"/>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rPr>
        <w:t>因交通或有不便，递交</w:t>
      </w:r>
      <w:r>
        <w:rPr>
          <w:rFonts w:hint="eastAsia" w:ascii="宋体" w:hAnsi="宋体" w:eastAsia="宋体" w:cs="宋体"/>
          <w:color w:val="auto"/>
          <w:sz w:val="24"/>
          <w:highlight w:val="none"/>
          <w:lang w:val="en-GB" w:eastAsia="zh-CN"/>
        </w:rPr>
        <w:t>竞投</w:t>
      </w:r>
      <w:r>
        <w:rPr>
          <w:rFonts w:hint="eastAsia" w:ascii="宋体" w:hAnsi="宋体" w:eastAsia="宋体" w:cs="宋体"/>
          <w:color w:val="auto"/>
          <w:sz w:val="24"/>
          <w:highlight w:val="none"/>
          <w:lang w:val="en-GB"/>
        </w:rPr>
        <w:t>文件时务请</w:t>
      </w:r>
      <w:r>
        <w:rPr>
          <w:rFonts w:hint="eastAsia" w:ascii="宋体" w:hAnsi="宋体" w:eastAsia="宋体" w:cs="宋体"/>
          <w:b/>
          <w:color w:val="auto"/>
          <w:sz w:val="24"/>
          <w:highlight w:val="none"/>
          <w:u w:val="single"/>
          <w:lang w:val="en-GB"/>
        </w:rPr>
        <w:t>提早到达</w:t>
      </w:r>
      <w:r>
        <w:rPr>
          <w:rFonts w:hint="eastAsia" w:ascii="宋体" w:hAnsi="宋体" w:eastAsia="宋体" w:cs="宋体"/>
          <w:color w:val="auto"/>
          <w:sz w:val="24"/>
          <w:highlight w:val="none"/>
          <w:lang w:val="en-GB"/>
        </w:rPr>
        <w:t>！</w:t>
      </w:r>
    </w:p>
    <w:p>
      <w:pPr>
        <w:pStyle w:val="6"/>
        <w:rPr>
          <w:rFonts w:hint="eastAsia" w:ascii="宋体" w:hAnsi="宋体"/>
          <w:color w:val="auto"/>
          <w:sz w:val="24"/>
          <w:highlight w:val="none"/>
          <w:lang w:val="en-GB"/>
        </w:rPr>
      </w:pPr>
    </w:p>
    <w:p>
      <w:pPr>
        <w:rPr>
          <w:rFonts w:hint="eastAsia" w:ascii="宋体" w:hAnsi="宋体"/>
          <w:color w:val="auto"/>
          <w:sz w:val="24"/>
          <w:highlight w:val="none"/>
          <w:lang w:val="en-GB"/>
        </w:rPr>
      </w:pPr>
    </w:p>
    <w:p>
      <w:pPr>
        <w:pStyle w:val="6"/>
        <w:rPr>
          <w:rFonts w:hint="eastAsia" w:ascii="宋体" w:hAnsi="宋体"/>
          <w:color w:val="auto"/>
          <w:sz w:val="24"/>
          <w:highlight w:val="none"/>
          <w:lang w:val="en-GB"/>
        </w:rPr>
        <w:sectPr>
          <w:headerReference r:id="rId6" w:type="default"/>
          <w:footerReference r:id="rId7" w:type="default"/>
          <w:pgSz w:w="11850" w:h="16783"/>
          <w:pgMar w:top="1134" w:right="773" w:bottom="1134" w:left="997" w:header="573" w:footer="584" w:gutter="0"/>
          <w:pgBorders>
            <w:top w:val="none" w:sz="0" w:space="0"/>
            <w:left w:val="none" w:sz="0" w:space="0"/>
            <w:bottom w:val="none" w:sz="0" w:space="0"/>
            <w:right w:val="none" w:sz="0" w:space="0"/>
          </w:pgBorders>
          <w:pgNumType w:fmt="decimal"/>
          <w:cols w:space="0" w:num="1"/>
          <w:rtlGutter w:val="0"/>
          <w:docGrid w:linePitch="312" w:charSpace="0"/>
        </w:sectPr>
      </w:pPr>
    </w:p>
    <w:p>
      <w:pPr>
        <w:rPr>
          <w:rFonts w:hint="eastAsia" w:asciiTheme="minorEastAsia" w:hAnsiTheme="minorEastAsia" w:eastAsiaTheme="minorEastAsia" w:cstheme="minorEastAsia"/>
          <w:color w:val="auto"/>
          <w:highlight w:val="none"/>
          <w:lang w:val="en-GB"/>
        </w:rPr>
      </w:pPr>
    </w:p>
    <w:p>
      <w:pPr>
        <w:pStyle w:val="41"/>
        <w:jc w:val="center"/>
        <w:outlineLvl w:val="1"/>
        <w:rPr>
          <w:rFonts w:hint="eastAsia" w:asciiTheme="minorEastAsia" w:hAnsiTheme="minorEastAsia" w:eastAsiaTheme="minorEastAsia" w:cstheme="minorEastAsia"/>
          <w:color w:val="auto"/>
          <w:highlight w:val="none"/>
          <w:lang w:eastAsia="zh-CN"/>
        </w:rPr>
      </w:pPr>
      <w:bookmarkStart w:id="154" w:name="_Toc28855"/>
      <w:r>
        <w:rPr>
          <w:rFonts w:hint="eastAsia" w:asciiTheme="minorEastAsia" w:hAnsiTheme="minorEastAsia" w:eastAsiaTheme="minorEastAsia" w:cstheme="minorEastAsia"/>
          <w:color w:val="auto"/>
          <w:highlight w:val="none"/>
          <w:lang w:eastAsia="zh-CN"/>
        </w:rPr>
        <w:t>报价书</w:t>
      </w:r>
      <w:bookmarkEnd w:id="154"/>
    </w:p>
    <w:p>
      <w:pPr>
        <w:pStyle w:val="42"/>
        <w:tabs>
          <w:tab w:val="left" w:pos="5460"/>
        </w:tabs>
        <w:spacing w:line="360" w:lineRule="auto"/>
        <w:jc w:val="left"/>
        <w:rPr>
          <w:rFonts w:hint="eastAsia" w:asciiTheme="minorEastAsia" w:hAnsiTheme="minorEastAsia" w:eastAsiaTheme="minorEastAsia" w:cstheme="minorEastAsia"/>
          <w:bCs/>
          <w:color w:val="auto"/>
          <w:highlight w:val="none"/>
          <w:lang w:val="en-US" w:eastAsia="zh-CN"/>
        </w:rPr>
      </w:pPr>
    </w:p>
    <w:p>
      <w:pPr>
        <w:pStyle w:val="42"/>
        <w:tabs>
          <w:tab w:val="left" w:pos="5460"/>
        </w:tabs>
        <w:spacing w:line="360" w:lineRule="auto"/>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项目名称：吉利上二村车辆停放管理服务（二次）</w:t>
      </w:r>
    </w:p>
    <w:p>
      <w:pPr>
        <w:pStyle w:val="42"/>
        <w:tabs>
          <w:tab w:val="left" w:pos="5460"/>
        </w:tabs>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交易编号：GDZC-23JT234</w:t>
      </w:r>
    </w:p>
    <w:p>
      <w:pPr>
        <w:pStyle w:val="42"/>
        <w:tabs>
          <w:tab w:val="left" w:pos="5460"/>
        </w:tabs>
        <w:spacing w:line="360" w:lineRule="auto"/>
        <w:jc w:val="left"/>
        <w:rPr>
          <w:rFonts w:hint="eastAsia" w:asciiTheme="minorEastAsia" w:hAnsiTheme="minorEastAsia" w:eastAsiaTheme="minorEastAsia" w:cstheme="minorEastAsia"/>
          <w:color w:val="auto"/>
          <w:sz w:val="24"/>
          <w:szCs w:val="24"/>
          <w:highlight w:val="none"/>
          <w:lang w:val="en-US" w:eastAsia="zh-CN"/>
        </w:rPr>
      </w:pPr>
    </w:p>
    <w:p>
      <w:pPr>
        <w:pStyle w:val="42"/>
        <w:tabs>
          <w:tab w:val="left" w:pos="5460"/>
        </w:tabs>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fldChar w:fldCharType="begin"/>
      </w:r>
      <w:r>
        <w:rPr>
          <w:rFonts w:hint="eastAsia" w:asciiTheme="minorEastAsia" w:hAnsiTheme="minorEastAsia" w:eastAsiaTheme="minorEastAsia" w:cstheme="minorEastAsia"/>
          <w:color w:val="auto"/>
          <w:sz w:val="24"/>
          <w:szCs w:val="24"/>
          <w:highlight w:val="none"/>
          <w:lang w:val="en-US" w:eastAsia="zh-CN"/>
        </w:rPr>
        <w:instrText xml:space="preserve"> DOCVARIABLE  采购编号  \* MERGEFORMAT </w:instrText>
      </w:r>
      <w:r>
        <w:rPr>
          <w:rFonts w:hint="eastAsia" w:asciiTheme="minorEastAsia" w:hAnsiTheme="minorEastAsia" w:eastAsiaTheme="minorEastAsia" w:cstheme="minorEastAsia"/>
          <w:color w:val="auto"/>
          <w:sz w:val="24"/>
          <w:szCs w:val="24"/>
          <w:highlight w:val="none"/>
          <w:lang w:val="en-US" w:eastAsia="zh-CN"/>
        </w:rPr>
        <w:fldChar w:fldCharType="end"/>
      </w:r>
    </w:p>
    <w:tbl>
      <w:tblPr>
        <w:tblStyle w:val="19"/>
        <w:tblW w:w="85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35"/>
        <w:gridCol w:w="2188"/>
        <w:gridCol w:w="2700"/>
        <w:gridCol w:w="2010"/>
        <w:gridCol w:w="10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lang w:eastAsia="zh-CN"/>
              </w:rPr>
            </w:pPr>
            <w:bookmarkStart w:id="155" w:name="EB508be0ed3e2c4bca83ef604bb8ace262"/>
            <w:r>
              <w:rPr>
                <w:rFonts w:hint="eastAsia" w:asciiTheme="minorEastAsia" w:hAnsiTheme="minorEastAsia" w:eastAsiaTheme="minorEastAsia" w:cstheme="minorEastAsia"/>
                <w:color w:val="auto"/>
                <w:kern w:val="0"/>
                <w:sz w:val="24"/>
                <w:szCs w:val="24"/>
                <w:highlight w:val="none"/>
                <w:lang w:bidi="ar"/>
              </w:rPr>
              <w:t>序号</w:t>
            </w:r>
          </w:p>
        </w:tc>
        <w:tc>
          <w:tcPr>
            <w:tcW w:w="21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采购项目名称</w:t>
            </w:r>
            <w:r>
              <w:rPr>
                <w:rFonts w:hint="eastAsia" w:asciiTheme="minorEastAsia" w:hAnsiTheme="minorEastAsia" w:eastAsiaTheme="minorEastAsia" w:cstheme="minorEastAsia"/>
                <w:b/>
                <w:color w:val="auto"/>
                <w:kern w:val="0"/>
                <w:sz w:val="24"/>
                <w:szCs w:val="24"/>
                <w:highlight w:val="none"/>
                <w:lang w:bidi="ar"/>
              </w:rPr>
              <w:t>/</w:t>
            </w:r>
            <w:r>
              <w:rPr>
                <w:rFonts w:hint="eastAsia" w:asciiTheme="minorEastAsia" w:hAnsiTheme="minorEastAsia" w:eastAsiaTheme="minorEastAsia" w:cstheme="minorEastAsia"/>
                <w:color w:val="auto"/>
                <w:kern w:val="0"/>
                <w:sz w:val="24"/>
                <w:szCs w:val="24"/>
                <w:highlight w:val="none"/>
                <w:lang w:bidi="ar"/>
              </w:rPr>
              <w:t>采购包名称</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bidi="ar"/>
              </w:rPr>
              <w:t>投</w:t>
            </w:r>
            <w:r>
              <w:rPr>
                <w:rFonts w:hint="eastAsia" w:asciiTheme="minorEastAsia" w:hAnsiTheme="minorEastAsia" w:eastAsiaTheme="minorEastAsia" w:cstheme="minorEastAsia"/>
                <w:color w:val="auto"/>
                <w:kern w:val="0"/>
                <w:sz w:val="24"/>
                <w:szCs w:val="24"/>
                <w:highlight w:val="none"/>
                <w:lang w:bidi="ar"/>
              </w:rPr>
              <w:t>标报价（元</w:t>
            </w:r>
            <w:r>
              <w:rPr>
                <w:rFonts w:hint="eastAsia" w:asciiTheme="minorEastAsia" w:hAnsiTheme="minorEastAsia" w:eastAsiaTheme="minorEastAsia" w:cstheme="minorEastAsia"/>
                <w:color w:val="auto"/>
                <w:kern w:val="0"/>
                <w:sz w:val="24"/>
                <w:szCs w:val="24"/>
                <w:highlight w:val="none"/>
                <w:lang w:val="en-US" w:eastAsia="zh-CN" w:bidi="ar"/>
              </w:rPr>
              <w:t>/年</w:t>
            </w:r>
            <w:r>
              <w:rPr>
                <w:rFonts w:hint="eastAsia" w:asciiTheme="minorEastAsia" w:hAnsiTheme="minorEastAsia" w:eastAsiaTheme="minorEastAsia" w:cstheme="minorEastAsia"/>
                <w:color w:val="auto"/>
                <w:kern w:val="0"/>
                <w:sz w:val="24"/>
                <w:szCs w:val="24"/>
                <w:highlight w:val="none"/>
                <w:lang w:bidi="ar"/>
              </w:rPr>
              <w:t>）</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bidi="ar"/>
              </w:rPr>
              <w:t>服务期</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8" w:hRule="atLeast"/>
        </w:trPr>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188"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吉利上二村车辆停放管理服务（二次）</w:t>
            </w:r>
          </w:p>
        </w:tc>
        <w:tc>
          <w:tcPr>
            <w:tcW w:w="2700" w:type="dxa"/>
            <w:noWrap w:val="0"/>
            <w:vAlign w:val="center"/>
          </w:tcPr>
          <w:p>
            <w:pPr>
              <w:jc w:val="center"/>
              <w:rPr>
                <w:rFonts w:hint="eastAsia" w:asciiTheme="minorEastAsia" w:hAnsiTheme="minorEastAsia" w:eastAsiaTheme="minorEastAsia" w:cstheme="minorEastAsia"/>
                <w:color w:val="auto"/>
                <w:sz w:val="24"/>
                <w:szCs w:val="24"/>
                <w:highlight w:val="none"/>
              </w:rPr>
            </w:pPr>
          </w:p>
        </w:tc>
        <w:tc>
          <w:tcPr>
            <w:tcW w:w="2010" w:type="dxa"/>
            <w:noWrap w:val="0"/>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服务期：5年，具体起止日期以合同约定为准。</w:t>
            </w:r>
          </w:p>
        </w:tc>
        <w:tc>
          <w:tcPr>
            <w:tcW w:w="1027" w:type="dxa"/>
            <w:noWrap w:val="0"/>
            <w:vAlign w:val="center"/>
          </w:tcPr>
          <w:p>
            <w:pPr>
              <w:rPr>
                <w:rFonts w:hint="eastAsia" w:asciiTheme="minorEastAsia" w:hAnsiTheme="minorEastAsia" w:eastAsiaTheme="minorEastAsia" w:cstheme="minorEastAsia"/>
                <w:color w:val="auto"/>
                <w:sz w:val="24"/>
                <w:szCs w:val="24"/>
                <w:highlight w:val="none"/>
              </w:rPr>
            </w:pPr>
          </w:p>
        </w:tc>
      </w:tr>
    </w:tbl>
    <w:p>
      <w:pPr>
        <w:widowControl/>
        <w:jc w:val="left"/>
        <w:rPr>
          <w:rFonts w:hint="eastAsia" w:asciiTheme="minorEastAsia" w:hAnsiTheme="minorEastAsia" w:eastAsiaTheme="minorEastAsia" w:cstheme="minorEastAsia"/>
          <w:color w:val="auto"/>
          <w:sz w:val="24"/>
          <w:szCs w:val="24"/>
          <w:highlight w:val="none"/>
        </w:rPr>
      </w:pPr>
    </w:p>
    <w:p>
      <w:pPr>
        <w:pStyle w:val="42"/>
        <w:rPr>
          <w:rFonts w:hint="eastAsia" w:asciiTheme="minorEastAsia" w:hAnsiTheme="minorEastAsia" w:eastAsiaTheme="minorEastAsia" w:cstheme="minorEastAsia"/>
          <w:color w:val="auto"/>
          <w:sz w:val="24"/>
          <w:szCs w:val="24"/>
          <w:highlight w:val="none"/>
          <w:lang w:val="en-US" w:eastAsia="zh-CN"/>
        </w:rPr>
      </w:pPr>
    </w:p>
    <w:p>
      <w:pPr>
        <w:pStyle w:val="42"/>
        <w:rPr>
          <w:rFonts w:hint="eastAsia" w:asciiTheme="minorEastAsia" w:hAnsiTheme="minorEastAsia" w:eastAsiaTheme="minorEastAsia" w:cstheme="minorEastAsia"/>
          <w:color w:val="auto"/>
          <w:sz w:val="24"/>
          <w:szCs w:val="24"/>
          <w:highlight w:val="none"/>
          <w:lang w:val="en-US" w:eastAsia="zh-CN"/>
        </w:rPr>
      </w:pPr>
    </w:p>
    <w:bookmarkEnd w:id="155"/>
    <w:p>
      <w:pPr>
        <w:pStyle w:val="42"/>
        <w:rPr>
          <w:rFonts w:hint="eastAsia" w:asciiTheme="minorEastAsia" w:hAnsiTheme="minorEastAsia" w:eastAsiaTheme="minorEastAsia" w:cstheme="minorEastAsia"/>
          <w:color w:val="auto"/>
          <w:sz w:val="24"/>
          <w:szCs w:val="24"/>
          <w:highlight w:val="none"/>
          <w:lang w:val="en-US" w:eastAsia="zh-CN"/>
        </w:rPr>
      </w:pPr>
    </w:p>
    <w:p>
      <w:pPr>
        <w:pStyle w:val="43"/>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填表要求：</w:t>
      </w:r>
    </w:p>
    <w:p>
      <w:pPr>
        <w:pStyle w:val="43"/>
        <w:numPr>
          <w:ilvl w:val="0"/>
          <w:numId w:val="53"/>
        </w:numPr>
        <w:rPr>
          <w:rFonts w:hint="eastAsia" w:asciiTheme="minorEastAsia" w:hAnsiTheme="minorEastAsia" w:eastAsiaTheme="minorEastAsia" w:cstheme="minorEastAsia"/>
          <w:color w:val="auto"/>
          <w:sz w:val="24"/>
          <w:szCs w:val="24"/>
          <w:highlight w:val="none"/>
          <w:lang w:val="en-GB" w:eastAsia="zh-CN"/>
        </w:rPr>
      </w:pPr>
      <w:r>
        <w:rPr>
          <w:rFonts w:hint="eastAsia" w:asciiTheme="minorEastAsia" w:hAnsiTheme="minorEastAsia" w:eastAsiaTheme="minorEastAsia" w:cstheme="minorEastAsia"/>
          <w:color w:val="auto"/>
          <w:sz w:val="24"/>
          <w:szCs w:val="24"/>
          <w:highlight w:val="none"/>
          <w:lang w:val="en-GB" w:eastAsia="zh-CN"/>
        </w:rPr>
        <w:t>投标文件差异修正准则详见招标文件。</w:t>
      </w:r>
    </w:p>
    <w:p>
      <w:pPr>
        <w:pStyle w:val="43"/>
        <w:numPr>
          <w:ilvl w:val="0"/>
          <w:numId w:val="53"/>
        </w:numPr>
        <w:rPr>
          <w:rFonts w:hint="eastAsia" w:asciiTheme="minorEastAsia" w:hAnsiTheme="minorEastAsia" w:eastAsiaTheme="minorEastAsia" w:cstheme="minorEastAsia"/>
          <w:color w:val="auto"/>
          <w:sz w:val="24"/>
          <w:szCs w:val="24"/>
          <w:highlight w:val="none"/>
          <w:lang w:val="en-GB" w:eastAsia="zh-CN"/>
        </w:rPr>
      </w:pPr>
      <w:r>
        <w:rPr>
          <w:rFonts w:hint="eastAsia" w:asciiTheme="minorEastAsia" w:hAnsiTheme="minorEastAsia" w:eastAsiaTheme="minorEastAsia" w:cstheme="minorEastAsia"/>
          <w:color w:val="auto"/>
          <w:sz w:val="24"/>
          <w:szCs w:val="24"/>
          <w:highlight w:val="none"/>
          <w:lang w:val="en-GB" w:eastAsia="zh-CN"/>
        </w:rPr>
        <w:t>以上投标报价须满足“第二部分项目内容”的商务要求中“报价要求”的内容和要求。</w:t>
      </w:r>
    </w:p>
    <w:p>
      <w:pPr>
        <w:pStyle w:val="43"/>
        <w:numPr>
          <w:ilvl w:val="0"/>
          <w:numId w:val="53"/>
        </w:numPr>
        <w:rPr>
          <w:rFonts w:hint="eastAsia" w:asciiTheme="minorEastAsia" w:hAnsiTheme="minorEastAsia" w:eastAsiaTheme="minorEastAsia" w:cstheme="minorEastAsia"/>
          <w:color w:val="auto"/>
          <w:sz w:val="24"/>
          <w:szCs w:val="24"/>
          <w:highlight w:val="none"/>
          <w:lang w:val="en-GB" w:eastAsia="zh-CN"/>
        </w:rPr>
      </w:pPr>
      <w:r>
        <w:rPr>
          <w:rFonts w:hint="eastAsia" w:asciiTheme="minorEastAsia" w:hAnsiTheme="minorEastAsia" w:eastAsiaTheme="minorEastAsia" w:cstheme="minorEastAsia"/>
          <w:color w:val="auto"/>
          <w:sz w:val="24"/>
          <w:szCs w:val="24"/>
          <w:highlight w:val="none"/>
          <w:lang w:val="en-GB" w:eastAsia="zh-CN"/>
        </w:rPr>
        <w:t>开标内容与投标文件对应内容必须一致，否则，以开标公布的内容为准。</w:t>
      </w:r>
    </w:p>
    <w:p>
      <w:pPr>
        <w:pStyle w:val="43"/>
        <w:numPr>
          <w:ilvl w:val="0"/>
          <w:numId w:val="53"/>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GB" w:eastAsia="zh-CN"/>
        </w:rPr>
        <w:t>本表未按招标文件要求签名盖章将作无效投标处理。</w:t>
      </w:r>
    </w:p>
    <w:p>
      <w:pPr>
        <w:pStyle w:val="43"/>
        <w:spacing w:line="480" w:lineRule="auto"/>
        <w:rPr>
          <w:rFonts w:hint="eastAsia" w:asciiTheme="minorEastAsia" w:hAnsiTheme="minorEastAsia" w:eastAsiaTheme="minorEastAsia" w:cstheme="minorEastAsia"/>
          <w:b/>
          <w:color w:val="auto"/>
          <w:sz w:val="24"/>
          <w:szCs w:val="24"/>
          <w:highlight w:val="none"/>
          <w:lang w:val="en-GB" w:eastAsia="zh-CN"/>
        </w:rPr>
      </w:pPr>
    </w:p>
    <w:p>
      <w:pPr>
        <w:pStyle w:val="43"/>
        <w:spacing w:line="480" w:lineRule="auto"/>
        <w:rPr>
          <w:rFonts w:hint="eastAsia" w:asciiTheme="minorEastAsia" w:hAnsiTheme="minorEastAsia" w:eastAsiaTheme="minorEastAsia" w:cstheme="minorEastAsia"/>
          <w:b/>
          <w:color w:val="auto"/>
          <w:highlight w:val="none"/>
          <w:lang w:val="en-GB" w:eastAsia="zh-CN"/>
        </w:rPr>
      </w:pPr>
    </w:p>
    <w:p>
      <w:pPr>
        <w:pStyle w:val="43"/>
        <w:spacing w:line="480" w:lineRule="auto"/>
        <w:rPr>
          <w:rFonts w:hint="eastAsia" w:asciiTheme="minorEastAsia" w:hAnsiTheme="minorEastAsia" w:eastAsiaTheme="minorEastAsia" w:cstheme="minorEastAsia"/>
          <w:b/>
          <w:color w:val="auto"/>
          <w:highlight w:val="none"/>
          <w:lang w:val="en-GB" w:eastAsia="zh-CN"/>
        </w:rPr>
      </w:pPr>
    </w:p>
    <w:p>
      <w:pPr>
        <w:pStyle w:val="43"/>
        <w:spacing w:line="480" w:lineRule="auto"/>
        <w:rPr>
          <w:rFonts w:hint="eastAsia" w:asciiTheme="minorEastAsia" w:hAnsiTheme="minorEastAsia" w:eastAsiaTheme="minorEastAsia" w:cstheme="minorEastAsia"/>
          <w:b/>
          <w:color w:val="auto"/>
          <w:highlight w:val="none"/>
          <w:lang w:val="en-GB" w:eastAsia="zh-CN"/>
        </w:rPr>
      </w:pPr>
      <w:r>
        <w:rPr>
          <w:rFonts w:hint="eastAsia" w:asciiTheme="minorEastAsia" w:hAnsiTheme="minorEastAsia" w:eastAsiaTheme="minorEastAsia" w:cstheme="minorEastAsia"/>
          <w:b/>
          <w:color w:val="auto"/>
          <w:highlight w:val="none"/>
          <w:lang w:val="en-GB" w:eastAsia="zh-CN"/>
        </w:rPr>
        <w:t>投标人名称：</w:t>
      </w:r>
      <w:r>
        <w:rPr>
          <w:rFonts w:hint="eastAsia" w:asciiTheme="minorEastAsia" w:hAnsiTheme="minorEastAsia" w:eastAsiaTheme="minorEastAsia" w:cstheme="minorEastAsia"/>
          <w:b/>
          <w:color w:val="auto"/>
          <w:highlight w:val="none"/>
          <w:u w:val="single"/>
          <w:lang w:val="en-GB" w:eastAsia="zh-CN"/>
        </w:rPr>
        <w:t>（全称）</w:t>
      </w:r>
      <w:r>
        <w:rPr>
          <w:rFonts w:hint="eastAsia" w:asciiTheme="minorEastAsia" w:hAnsiTheme="minorEastAsia" w:eastAsiaTheme="minorEastAsia" w:cstheme="minorEastAsia"/>
          <w:b/>
          <w:color w:val="auto"/>
          <w:highlight w:val="none"/>
          <w:lang w:val="en-GB" w:eastAsia="zh-CN"/>
        </w:rPr>
        <w:t>（单位公章）</w:t>
      </w:r>
    </w:p>
    <w:p>
      <w:pPr>
        <w:pStyle w:val="43"/>
        <w:spacing w:line="360" w:lineRule="auto"/>
        <w:rPr>
          <w:rFonts w:hint="eastAsia"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日期：年月日</w:t>
      </w:r>
    </w:p>
    <w:p>
      <w:pPr>
        <w:pStyle w:val="44"/>
        <w:outlineLvl w:val="1"/>
        <w:rPr>
          <w:rFonts w:hint="eastAsia" w:asciiTheme="minorEastAsia" w:hAnsiTheme="minorEastAsia" w:eastAsiaTheme="minorEastAsia" w:cstheme="minorEastAsia"/>
          <w:color w:val="auto"/>
          <w:highlight w:val="none"/>
        </w:rPr>
      </w:pPr>
    </w:p>
    <w:p>
      <w:pPr>
        <w:pStyle w:val="44"/>
        <w:outlineLvl w:val="1"/>
        <w:rPr>
          <w:rFonts w:hint="eastAsia" w:asciiTheme="minorEastAsia" w:hAnsiTheme="minorEastAsia" w:eastAsiaTheme="minorEastAsia" w:cstheme="minorEastAsia"/>
          <w:color w:val="auto"/>
          <w:highlight w:val="none"/>
        </w:rPr>
      </w:pPr>
    </w:p>
    <w:p>
      <w:pPr>
        <w:pStyle w:val="45"/>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46"/>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报价清单明细表</w:t>
      </w:r>
    </w:p>
    <w:p>
      <w:pPr>
        <w:pStyle w:val="46"/>
        <w:spacing w:line="360" w:lineRule="auto"/>
        <w:jc w:val="center"/>
        <w:rPr>
          <w:rFonts w:hint="eastAsia" w:asciiTheme="minorEastAsia" w:hAnsiTheme="minorEastAsia" w:eastAsiaTheme="minorEastAsia" w:cstheme="minorEastAsia"/>
          <w:b/>
          <w:color w:val="auto"/>
          <w:sz w:val="32"/>
          <w:szCs w:val="32"/>
          <w:highlight w:val="none"/>
        </w:rPr>
      </w:pPr>
    </w:p>
    <w:p>
      <w:pPr>
        <w:pStyle w:val="46"/>
        <w:tabs>
          <w:tab w:val="left" w:pos="9300"/>
        </w:tabs>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项目名称：</w:t>
      </w:r>
      <w:r>
        <w:rPr>
          <w:rFonts w:hint="eastAsia" w:asciiTheme="minorEastAsia" w:hAnsiTheme="minorEastAsia" w:eastAsiaTheme="minorEastAsia" w:cstheme="minorEastAsia"/>
          <w:bCs/>
          <w:color w:val="auto"/>
          <w:sz w:val="24"/>
          <w:szCs w:val="24"/>
          <w:highlight w:val="none"/>
          <w:lang w:eastAsia="zh-CN"/>
        </w:rPr>
        <w:t>吉利上二村车辆停放管理服务（二次）</w:t>
      </w:r>
    </w:p>
    <w:p>
      <w:pPr>
        <w:pStyle w:val="46"/>
        <w:tabs>
          <w:tab w:val="left" w:pos="9300"/>
        </w:tabs>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DOCVARIABLE  项目名称  \* MERGEFORMAT </w:instrTex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t>交易编号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GDZC-23JT234</w:t>
      </w:r>
    </w:p>
    <w:p>
      <w:pPr>
        <w:pStyle w:val="46"/>
        <w:tabs>
          <w:tab w:val="left" w:pos="9300"/>
        </w:tabs>
        <w:spacing w:line="360" w:lineRule="auto"/>
        <w:rPr>
          <w:rFonts w:hint="eastAsia" w:asciiTheme="minorEastAsia" w:hAnsiTheme="minorEastAsia" w:eastAsiaTheme="minorEastAsia" w:cstheme="minorEastAsia"/>
          <w:color w:val="auto"/>
          <w:sz w:val="24"/>
          <w:szCs w:val="24"/>
          <w:highlight w:val="none"/>
        </w:rPr>
      </w:pPr>
    </w:p>
    <w:p>
      <w:pPr>
        <w:widowControl/>
        <w:jc w:val="left"/>
        <w:rPr>
          <w:rFonts w:hint="eastAsia" w:asciiTheme="minorEastAsia" w:hAnsiTheme="minorEastAsia" w:eastAsiaTheme="minorEastAsia" w:cstheme="minorEastAsia"/>
          <w:color w:val="auto"/>
          <w:sz w:val="24"/>
          <w:szCs w:val="24"/>
          <w:highlight w:val="none"/>
        </w:rPr>
      </w:pPr>
    </w:p>
    <w:p>
      <w:pPr>
        <w:pStyle w:val="46"/>
        <w:tabs>
          <w:tab w:val="left" w:pos="930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DOCVARIABLE  采购编号  \* MERGEFORMAT </w:instrText>
      </w:r>
      <w:r>
        <w:rPr>
          <w:rFonts w:hint="eastAsia" w:asciiTheme="minorEastAsia" w:hAnsiTheme="minorEastAsia" w:eastAsiaTheme="minorEastAsia" w:cstheme="minorEastAsia"/>
          <w:bCs/>
          <w:color w:val="auto"/>
          <w:sz w:val="24"/>
          <w:szCs w:val="24"/>
          <w:highlight w:val="none"/>
        </w:rPr>
        <w:fldChar w:fldCharType="end"/>
      </w:r>
    </w:p>
    <w:p>
      <w:pPr>
        <w:pStyle w:val="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填表要求：</w:t>
      </w:r>
    </w:p>
    <w:p>
      <w:pPr>
        <w:pStyle w:val="48"/>
        <w:numPr>
          <w:ilvl w:val="0"/>
          <w:numId w:val="54"/>
        </w:numPr>
        <w:spacing w:line="360" w:lineRule="auto"/>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eastAsia="zh-CN"/>
        </w:rPr>
        <w:t>格式自拟</w:t>
      </w:r>
      <w:r>
        <w:rPr>
          <w:rFonts w:hint="eastAsia" w:asciiTheme="minorEastAsia" w:hAnsiTheme="minorEastAsia" w:eastAsiaTheme="minorEastAsia" w:cstheme="minorEastAsia"/>
          <w:color w:val="auto"/>
          <w:sz w:val="24"/>
          <w:szCs w:val="24"/>
          <w:highlight w:val="none"/>
        </w:rPr>
        <w:t>。</w:t>
      </w:r>
    </w:p>
    <w:p>
      <w:pPr>
        <w:pStyle w:val="48"/>
        <w:numPr>
          <w:ilvl w:val="0"/>
          <w:numId w:val="54"/>
        </w:numPr>
        <w:spacing w:line="360" w:lineRule="auto"/>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以上内容必须与技术方案中所介绍的内容、《开标一览表》一致相符。</w:t>
      </w:r>
    </w:p>
    <w:p>
      <w:pPr>
        <w:pStyle w:val="49"/>
        <w:ind w:firstLine="420"/>
        <w:rPr>
          <w:rFonts w:hint="eastAsia" w:asciiTheme="minorEastAsia" w:hAnsiTheme="minorEastAsia" w:eastAsiaTheme="minorEastAsia" w:cstheme="minorEastAsia"/>
          <w:color w:val="auto"/>
          <w:sz w:val="24"/>
          <w:szCs w:val="24"/>
          <w:highlight w:val="none"/>
          <w:lang w:val="en-GB" w:eastAsia="zh-CN"/>
        </w:rPr>
      </w:pPr>
    </w:p>
    <w:p>
      <w:pPr>
        <w:pStyle w:val="49"/>
        <w:rPr>
          <w:rFonts w:hint="eastAsia" w:asciiTheme="minorEastAsia" w:hAnsiTheme="minorEastAsia" w:eastAsiaTheme="minorEastAsia" w:cstheme="minorEastAsia"/>
          <w:color w:val="auto"/>
          <w:sz w:val="24"/>
          <w:szCs w:val="24"/>
          <w:highlight w:val="none"/>
          <w:lang w:val="en-GB"/>
        </w:rPr>
      </w:pPr>
    </w:p>
    <w:p>
      <w:pPr>
        <w:pStyle w:val="49"/>
        <w:rPr>
          <w:rFonts w:hint="eastAsia" w:asciiTheme="minorEastAsia" w:hAnsiTheme="minorEastAsia" w:eastAsiaTheme="minorEastAsia" w:cstheme="minorEastAsia"/>
          <w:color w:val="auto"/>
          <w:sz w:val="24"/>
          <w:szCs w:val="24"/>
          <w:highlight w:val="none"/>
          <w:lang w:val="en-GB"/>
        </w:rPr>
      </w:pPr>
    </w:p>
    <w:p>
      <w:pPr>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eastAsia="zh-CN"/>
        </w:rPr>
        <w:t>投标人</w:t>
      </w:r>
      <w:r>
        <w:rPr>
          <w:rFonts w:hint="eastAsia" w:asciiTheme="minorEastAsia" w:hAnsiTheme="minorEastAsia" w:eastAsiaTheme="minorEastAsia" w:cstheme="minorEastAsia"/>
          <w:color w:val="auto"/>
          <w:sz w:val="24"/>
          <w:szCs w:val="24"/>
          <w:highlight w:val="none"/>
          <w:lang w:val="en-GB"/>
        </w:rPr>
        <w:t>名称：</w:t>
      </w:r>
      <w:r>
        <w:rPr>
          <w:rFonts w:hint="eastAsia" w:asciiTheme="minorEastAsia" w:hAnsiTheme="minorEastAsia" w:eastAsiaTheme="minorEastAsia" w:cstheme="minorEastAsia"/>
          <w:color w:val="auto"/>
          <w:sz w:val="24"/>
          <w:szCs w:val="24"/>
          <w:highlight w:val="none"/>
          <w:u w:val="single"/>
          <w:lang w:val="en-GB"/>
        </w:rPr>
        <w:t>（全称）</w:t>
      </w:r>
      <w:r>
        <w:rPr>
          <w:rFonts w:hint="eastAsia" w:asciiTheme="minorEastAsia" w:hAnsiTheme="minorEastAsia" w:eastAsiaTheme="minorEastAsia" w:cstheme="minorEastAsia"/>
          <w:color w:val="auto"/>
          <w:sz w:val="24"/>
          <w:szCs w:val="24"/>
          <w:highlight w:val="none"/>
          <w:lang w:val="en-GB"/>
        </w:rPr>
        <w:t>（单位公章）</w:t>
      </w:r>
    </w:p>
    <w:p>
      <w:pPr>
        <w:pStyle w:val="18"/>
        <w:rPr>
          <w:rFonts w:hint="eastAsia" w:asciiTheme="minorEastAsia" w:hAnsiTheme="minorEastAsia" w:eastAsiaTheme="minorEastAsia" w:cstheme="minorEastAsia"/>
          <w:color w:val="auto"/>
          <w:highlight w:val="none"/>
          <w:lang w:val="en-GB"/>
        </w:rPr>
      </w:pPr>
    </w:p>
    <w:p>
      <w:pPr>
        <w:pStyle w:val="18"/>
        <w:rPr>
          <w:rFonts w:hint="eastAsia" w:asciiTheme="minorEastAsia" w:hAnsiTheme="minorEastAsia" w:eastAsiaTheme="minorEastAsia" w:cstheme="minorEastAsia"/>
          <w:color w:val="auto"/>
          <w:highlight w:val="none"/>
          <w:lang w:val="en-GB"/>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6"/>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sectPr>
          <w:pgSz w:w="11850" w:h="16783"/>
          <w:pgMar w:top="1134" w:right="1134" w:bottom="1134" w:left="1417" w:header="573" w:footer="584" w:gutter="0"/>
          <w:pgBorders>
            <w:top w:val="none" w:sz="0" w:space="0"/>
            <w:left w:val="none" w:sz="0" w:space="0"/>
            <w:bottom w:val="none" w:sz="0" w:space="0"/>
            <w:right w:val="none" w:sz="0" w:space="0"/>
          </w:pgBorders>
          <w:pgNumType w:fmt="decimal"/>
          <w:cols w:space="0" w:num="1"/>
          <w:rtlGutter w:val="0"/>
          <w:docGrid w:linePitch="312" w:charSpace="0"/>
        </w:sectPr>
      </w:pPr>
    </w:p>
    <w:p>
      <w:pPr>
        <w:spacing w:line="360" w:lineRule="auto"/>
        <w:jc w:val="center"/>
        <w:outlineLvl w:val="2"/>
        <w:rPr>
          <w:rFonts w:hint="eastAsia" w:asciiTheme="minorEastAsia" w:hAnsiTheme="minorEastAsia" w:eastAsiaTheme="minorEastAsia" w:cstheme="minorEastAsia"/>
          <w:b/>
          <w:bCs/>
          <w:color w:val="auto"/>
          <w:sz w:val="44"/>
          <w:szCs w:val="44"/>
          <w:highlight w:val="none"/>
        </w:rPr>
      </w:pPr>
      <w:bookmarkStart w:id="156" w:name="_Toc10492"/>
      <w:r>
        <w:rPr>
          <w:rFonts w:hint="eastAsia" w:asciiTheme="minorEastAsia" w:hAnsiTheme="minorEastAsia" w:eastAsiaTheme="minorEastAsia" w:cstheme="minorEastAsia"/>
          <w:b/>
          <w:bCs/>
          <w:color w:val="auto"/>
          <w:sz w:val="44"/>
          <w:szCs w:val="44"/>
          <w:highlight w:val="none"/>
        </w:rPr>
        <w:t>文件包装袋封面标贴格式</w:t>
      </w:r>
      <w:bookmarkEnd w:id="156"/>
    </w:p>
    <w:tbl>
      <w:tblPr>
        <w:tblStyle w:val="19"/>
        <w:tblW w:w="9329" w:type="dxa"/>
        <w:jc w:val="center"/>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Layout w:type="fixed"/>
        <w:tblCellMar>
          <w:top w:w="0" w:type="dxa"/>
          <w:left w:w="108" w:type="dxa"/>
          <w:bottom w:w="0" w:type="dxa"/>
          <w:right w:w="108" w:type="dxa"/>
        </w:tblCellMar>
      </w:tblPr>
      <w:tblGrid>
        <w:gridCol w:w="9329"/>
      </w:tblGrid>
      <w:tr>
        <w:tblPrEx>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CellMar>
            <w:top w:w="0" w:type="dxa"/>
            <w:left w:w="108" w:type="dxa"/>
            <w:bottom w:w="0" w:type="dxa"/>
            <w:right w:w="108" w:type="dxa"/>
          </w:tblCellMar>
        </w:tblPrEx>
        <w:trPr>
          <w:trHeight w:val="9085" w:hRule="atLeast"/>
          <w:jc w:val="center"/>
        </w:trPr>
        <w:tc>
          <w:tcPr>
            <w:tcW w:w="9329" w:type="dxa"/>
            <w:shd w:val="clear" w:color="auto" w:fill="FFFFFF"/>
            <w:noWrap w:val="0"/>
            <w:vAlign w:val="top"/>
          </w:tcPr>
          <w:p>
            <w:pPr>
              <w:rPr>
                <w:rFonts w:hint="eastAsia" w:asciiTheme="minorEastAsia" w:hAnsiTheme="minorEastAsia" w:eastAsiaTheme="minorEastAsia" w:cstheme="minorEastAsia"/>
                <w:color w:val="auto"/>
                <w:sz w:val="18"/>
                <w:szCs w:val="18"/>
                <w:highlight w:val="none"/>
              </w:rPr>
            </w:pPr>
          </w:p>
          <w:p>
            <w:pPr>
              <w:jc w:val="center"/>
              <w:rPr>
                <w:rFonts w:hint="eastAsia" w:asciiTheme="minorEastAsia" w:hAnsiTheme="minorEastAsia" w:eastAsiaTheme="minorEastAsia" w:cstheme="minorEastAsia"/>
                <w:b/>
                <w:color w:val="auto"/>
                <w:sz w:val="48"/>
                <w:szCs w:val="48"/>
                <w:highlight w:val="none"/>
              </w:rPr>
            </w:pPr>
          </w:p>
          <w:p>
            <w:pPr>
              <w:jc w:val="center"/>
              <w:rPr>
                <w:rFonts w:hint="eastAsia" w:asciiTheme="minorEastAsia" w:hAnsiTheme="minorEastAsia" w:eastAsiaTheme="minorEastAsia" w:cstheme="minorEastAsia"/>
                <w:b/>
                <w:bCs/>
                <w:color w:val="auto"/>
                <w:sz w:val="24"/>
                <w:highlight w:val="none"/>
              </w:rPr>
            </w:pPr>
          </w:p>
          <w:p>
            <w:pPr>
              <w:jc w:val="center"/>
              <w:rPr>
                <w:rFonts w:hint="eastAsia" w:asciiTheme="minorEastAsia" w:hAnsiTheme="minorEastAsia" w:eastAsiaTheme="minorEastAsia" w:cstheme="minorEastAsia"/>
                <w:b/>
                <w:bCs/>
                <w:color w:val="auto"/>
                <w:sz w:val="24"/>
                <w:highlight w:val="none"/>
                <w:lang w:val="en-GB"/>
              </w:rPr>
            </w:pPr>
          </w:p>
          <w:p>
            <w:pPr>
              <w:jc w:val="center"/>
              <w:rPr>
                <w:rFonts w:hint="eastAsia" w:asciiTheme="minorEastAsia" w:hAnsiTheme="minorEastAsia" w:eastAsiaTheme="minorEastAsia" w:cstheme="minorEastAsia"/>
                <w:b/>
                <w:bCs/>
                <w:color w:val="auto"/>
                <w:sz w:val="24"/>
                <w:highlight w:val="none"/>
                <w:lang w:val="en-GB"/>
              </w:rPr>
            </w:pPr>
          </w:p>
          <w:p>
            <w:pPr>
              <w:spacing w:line="360" w:lineRule="auto"/>
              <w:jc w:val="center"/>
              <w:rPr>
                <w:rFonts w:hint="eastAsia" w:asciiTheme="minorEastAsia" w:hAnsiTheme="minorEastAsia" w:eastAsiaTheme="minorEastAsia" w:cstheme="minorEastAsia"/>
                <w:b/>
                <w:bCs/>
                <w:color w:val="auto"/>
                <w:sz w:val="72"/>
                <w:szCs w:val="72"/>
                <w:highlight w:val="none"/>
              </w:rPr>
            </w:pPr>
            <w:r>
              <w:rPr>
                <w:rFonts w:hint="eastAsia" w:asciiTheme="minorEastAsia" w:hAnsiTheme="minorEastAsia" w:eastAsiaTheme="minorEastAsia" w:cstheme="minorEastAsia"/>
                <w:b/>
                <w:bCs/>
                <w:color w:val="auto"/>
                <w:sz w:val="72"/>
                <w:szCs w:val="72"/>
                <w:highlight w:val="none"/>
                <w:lang w:eastAsia="zh-CN"/>
              </w:rPr>
              <w:t>报价</w:t>
            </w:r>
            <w:r>
              <w:rPr>
                <w:rFonts w:hint="eastAsia" w:asciiTheme="minorEastAsia" w:hAnsiTheme="minorEastAsia" w:eastAsiaTheme="minorEastAsia" w:cstheme="minorEastAsia"/>
                <w:b/>
                <w:bCs/>
                <w:color w:val="auto"/>
                <w:sz w:val="72"/>
                <w:szCs w:val="72"/>
                <w:highlight w:val="none"/>
              </w:rPr>
              <w:t>文件</w:t>
            </w:r>
          </w:p>
          <w:p>
            <w:pPr>
              <w:jc w:val="center"/>
              <w:rPr>
                <w:rFonts w:hint="eastAsia" w:asciiTheme="minorEastAsia" w:hAnsiTheme="minorEastAsia" w:eastAsiaTheme="minorEastAsia" w:cstheme="minorEastAsia"/>
                <w:b/>
                <w:bCs/>
                <w:color w:val="auto"/>
                <w:sz w:val="24"/>
                <w:highlight w:val="none"/>
                <w:lang w:val="en-GB"/>
              </w:rPr>
            </w:pPr>
          </w:p>
          <w:p>
            <w:pPr>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lang w:val="en-GB"/>
              </w:rPr>
              <w:t>密封内容：</w:t>
            </w:r>
            <w:r>
              <w:rPr>
                <w:rFonts w:hint="eastAsia" w:asciiTheme="minorEastAsia" w:hAnsiTheme="minorEastAsia" w:eastAsiaTheme="minorEastAsia" w:cstheme="minorEastAsia"/>
                <w:color w:val="auto"/>
                <w:sz w:val="24"/>
                <w:highlight w:val="none"/>
                <w:lang w:eastAsia="zh-CN"/>
              </w:rPr>
              <w:t>报价</w:t>
            </w:r>
            <w:r>
              <w:rPr>
                <w:rFonts w:hint="eastAsia" w:asciiTheme="minorEastAsia" w:hAnsiTheme="minorEastAsia" w:eastAsiaTheme="minorEastAsia" w:cstheme="minorEastAsia"/>
                <w:color w:val="auto"/>
                <w:sz w:val="24"/>
                <w:highlight w:val="none"/>
              </w:rPr>
              <w:t>文件（□正本/□副本/□电子光盘）</w:t>
            </w:r>
          </w:p>
          <w:p>
            <w:pPr>
              <w:spacing w:line="360" w:lineRule="auto"/>
              <w:jc w:val="center"/>
              <w:rPr>
                <w:rFonts w:hint="eastAsia" w:asciiTheme="minorEastAsia" w:hAnsiTheme="minorEastAsia" w:eastAsiaTheme="minorEastAsia" w:cstheme="minorEastAsia"/>
                <w:b/>
                <w:color w:val="auto"/>
                <w:szCs w:val="21"/>
                <w:highlight w:val="none"/>
                <w:lang w:val="en-GB"/>
              </w:rPr>
            </w:pPr>
            <w:r>
              <w:rPr>
                <w:rFonts w:hint="eastAsia" w:asciiTheme="minorEastAsia" w:hAnsiTheme="minorEastAsia" w:eastAsiaTheme="minorEastAsia" w:cstheme="minorEastAsia"/>
                <w:b/>
                <w:color w:val="auto"/>
                <w:szCs w:val="21"/>
                <w:highlight w:val="none"/>
                <w:lang w:eastAsia="zh-CN"/>
              </w:rPr>
              <w:t>投标人</w:t>
            </w:r>
            <w:r>
              <w:rPr>
                <w:rFonts w:hint="eastAsia" w:asciiTheme="minorEastAsia" w:hAnsiTheme="minorEastAsia" w:eastAsiaTheme="minorEastAsia" w:cstheme="minorEastAsia"/>
                <w:b/>
                <w:color w:val="auto"/>
                <w:szCs w:val="21"/>
                <w:highlight w:val="none"/>
                <w:lang w:val="en-GB"/>
              </w:rPr>
              <w:t>于密封前自行对上述资料的密封情况进行自查，并于相应“□”处中打“√”</w:t>
            </w:r>
          </w:p>
          <w:p>
            <w:pPr>
              <w:ind w:firstLine="2474" w:firstLineChars="1027"/>
              <w:rPr>
                <w:rFonts w:hint="eastAsia" w:asciiTheme="minorEastAsia" w:hAnsiTheme="minorEastAsia" w:eastAsiaTheme="minorEastAsia" w:cstheme="minorEastAsia"/>
                <w:b/>
                <w:color w:val="auto"/>
                <w:sz w:val="24"/>
                <w:szCs w:val="36"/>
                <w:highlight w:val="none"/>
                <w:lang w:val="en-GB"/>
              </w:rPr>
            </w:pPr>
          </w:p>
          <w:p>
            <w:pPr>
              <w:spacing w:line="360" w:lineRule="auto"/>
              <w:ind w:right="145" w:rightChars="69"/>
              <w:jc w:val="center"/>
              <w:rPr>
                <w:rFonts w:hint="eastAsia" w:asciiTheme="minorEastAsia" w:hAnsiTheme="minorEastAsia" w:eastAsiaTheme="minorEastAsia" w:cstheme="minorEastAsia"/>
                <w:b/>
                <w:color w:val="auto"/>
                <w:sz w:val="24"/>
                <w:highlight w:val="none"/>
                <w:lang w:val="en-GB" w:eastAsia="zh-CN"/>
              </w:rPr>
            </w:pPr>
            <w:r>
              <w:rPr>
                <w:rFonts w:hint="eastAsia" w:asciiTheme="minorEastAsia" w:hAnsiTheme="minorEastAsia" w:eastAsiaTheme="minorEastAsia" w:cstheme="minorEastAsia"/>
                <w:b/>
                <w:bCs/>
                <w:color w:val="auto"/>
                <w:sz w:val="24"/>
                <w:highlight w:val="none"/>
              </w:rPr>
              <w:t>项目名称</w:t>
            </w:r>
            <w:r>
              <w:rPr>
                <w:rFonts w:hint="eastAsia" w:asciiTheme="minorEastAsia" w:hAnsiTheme="minorEastAsia" w:eastAsiaTheme="minorEastAsia" w:cstheme="minorEastAsia"/>
                <w:b/>
                <w:color w:val="auto"/>
                <w:sz w:val="24"/>
                <w:highlight w:val="none"/>
                <w:lang w:val="en-GB"/>
              </w:rPr>
              <w:t>：</w:t>
            </w:r>
            <w:r>
              <w:rPr>
                <w:rFonts w:hint="eastAsia" w:asciiTheme="minorEastAsia" w:hAnsiTheme="minorEastAsia" w:eastAsiaTheme="minorEastAsia" w:cstheme="minorEastAsia"/>
                <w:b/>
                <w:color w:val="auto"/>
                <w:sz w:val="24"/>
                <w:highlight w:val="none"/>
                <w:lang w:val="en-GB" w:eastAsia="zh-CN"/>
              </w:rPr>
              <w:t>吉利上二村车辆停放管理服务（二次）</w:t>
            </w:r>
          </w:p>
          <w:p>
            <w:pPr>
              <w:ind w:firstLine="1079" w:firstLineChars="448"/>
              <w:rPr>
                <w:rFonts w:hint="eastAsia" w:asciiTheme="minorEastAsia" w:hAnsiTheme="minorEastAsia" w:eastAsiaTheme="minorEastAsia" w:cstheme="minorEastAsia"/>
                <w:b/>
                <w:bCs/>
                <w:color w:val="auto"/>
                <w:sz w:val="24"/>
                <w:highlight w:val="none"/>
              </w:rPr>
            </w:pPr>
          </w:p>
          <w:p>
            <w:pPr>
              <w:ind w:firstLine="1079" w:firstLineChars="448"/>
              <w:rPr>
                <w:rFonts w:hint="eastAsia" w:asciiTheme="minorEastAsia" w:hAnsiTheme="minorEastAsia" w:eastAsiaTheme="minorEastAsia" w:cstheme="minorEastAsia"/>
                <w:b/>
                <w:bCs/>
                <w:color w:val="auto"/>
                <w:sz w:val="24"/>
                <w:highlight w:val="none"/>
              </w:rPr>
            </w:pPr>
          </w:p>
          <w:p>
            <w:pPr>
              <w:ind w:firstLine="1079" w:firstLineChars="448"/>
              <w:rPr>
                <w:rFonts w:hint="eastAsia" w:asciiTheme="minorEastAsia" w:hAnsiTheme="minorEastAsia" w:eastAsiaTheme="minorEastAsia" w:cstheme="minorEastAsia"/>
                <w:b/>
                <w:bCs/>
                <w:color w:val="auto"/>
                <w:sz w:val="24"/>
                <w:highlight w:val="none"/>
              </w:rPr>
            </w:pPr>
          </w:p>
          <w:p>
            <w:pPr>
              <w:ind w:firstLine="1079" w:firstLineChars="448"/>
              <w:rPr>
                <w:rFonts w:hint="eastAsia" w:asciiTheme="minorEastAsia" w:hAnsiTheme="minorEastAsia" w:eastAsiaTheme="minorEastAsia" w:cstheme="minorEastAsia"/>
                <w:b/>
                <w:bCs/>
                <w:color w:val="auto"/>
                <w:sz w:val="24"/>
                <w:highlight w:val="none"/>
              </w:rPr>
            </w:pPr>
          </w:p>
          <w:p>
            <w:pPr>
              <w:spacing w:line="360" w:lineRule="auto"/>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8"/>
                <w:highlight w:val="none"/>
                <w:lang w:eastAsia="zh-CN"/>
              </w:rPr>
              <w:t>投标人</w:t>
            </w:r>
            <w:r>
              <w:rPr>
                <w:rFonts w:hint="eastAsia" w:asciiTheme="minorEastAsia" w:hAnsiTheme="minorEastAsia" w:eastAsiaTheme="minorEastAsia" w:cstheme="minorEastAsia"/>
                <w:bCs/>
                <w:color w:val="auto"/>
                <w:sz w:val="28"/>
                <w:highlight w:val="none"/>
              </w:rPr>
              <w:t>：(加盖公章)</w:t>
            </w:r>
          </w:p>
          <w:p>
            <w:pPr>
              <w:jc w:val="center"/>
              <w:rPr>
                <w:rFonts w:hint="eastAsia" w:asciiTheme="minorEastAsia" w:hAnsiTheme="minorEastAsia" w:eastAsiaTheme="minorEastAsia" w:cstheme="minorEastAsia"/>
                <w:bCs/>
                <w:color w:val="auto"/>
                <w:sz w:val="28"/>
                <w:szCs w:val="28"/>
                <w:highlight w:val="none"/>
              </w:rPr>
            </w:pPr>
          </w:p>
          <w:p>
            <w:pPr>
              <w:spacing w:after="120" w:afterLines="50"/>
              <w:jc w:val="center"/>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在</w:t>
            </w:r>
            <w:r>
              <w:rPr>
                <w:rFonts w:hint="eastAsia" w:asciiTheme="minorEastAsia" w:hAnsiTheme="minorEastAsia" w:eastAsiaTheme="minorEastAsia" w:cstheme="minorEastAsia"/>
                <w:bCs/>
                <w:color w:val="auto"/>
                <w:sz w:val="28"/>
                <w:szCs w:val="28"/>
                <w:highlight w:val="none"/>
                <w:lang w:eastAsia="zh-CN"/>
              </w:rPr>
              <w:t>2024</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03月08日</w:t>
            </w:r>
            <w:r>
              <w:rPr>
                <w:rFonts w:hint="eastAsia" w:asciiTheme="minorEastAsia" w:hAnsiTheme="minorEastAsia" w:eastAsiaTheme="minorEastAsia" w:cstheme="minorEastAsia"/>
                <w:bCs/>
                <w:color w:val="auto"/>
                <w:sz w:val="28"/>
                <w:szCs w:val="28"/>
                <w:highlight w:val="none"/>
                <w:lang w:eastAsia="zh-CN"/>
              </w:rPr>
              <w:t>上</w:t>
            </w:r>
            <w:r>
              <w:rPr>
                <w:rFonts w:hint="eastAsia" w:asciiTheme="minorEastAsia" w:hAnsiTheme="minorEastAsia" w:eastAsiaTheme="minorEastAsia" w:cstheme="minorEastAsia"/>
                <w:bCs/>
                <w:color w:val="auto"/>
                <w:sz w:val="28"/>
                <w:szCs w:val="28"/>
                <w:highlight w:val="none"/>
              </w:rPr>
              <w:t>午</w:t>
            </w:r>
            <w:r>
              <w:rPr>
                <w:rFonts w:hint="eastAsia" w:asciiTheme="minorEastAsia" w:hAnsiTheme="minorEastAsia" w:eastAsiaTheme="minorEastAsia" w:cstheme="minorEastAsia"/>
                <w:bCs/>
                <w:color w:val="auto"/>
                <w:sz w:val="28"/>
                <w:szCs w:val="28"/>
                <w:highlight w:val="none"/>
                <w:lang w:val="en-US" w:eastAsia="zh-CN"/>
              </w:rPr>
              <w:t>9</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30</w:t>
            </w:r>
            <w:r>
              <w:rPr>
                <w:rFonts w:hint="eastAsia" w:asciiTheme="minorEastAsia" w:hAnsiTheme="minorEastAsia" w:eastAsiaTheme="minorEastAsia" w:cstheme="minorEastAsia"/>
                <w:bCs/>
                <w:color w:val="auto"/>
                <w:sz w:val="28"/>
                <w:szCs w:val="28"/>
                <w:highlight w:val="none"/>
              </w:rPr>
              <w:t>之前不得启封</w:t>
            </w:r>
          </w:p>
          <w:p>
            <w:pPr>
              <w:ind w:firstLine="2800" w:firstLineChars="1000"/>
              <w:rPr>
                <w:rFonts w:hint="eastAsia" w:asciiTheme="minorEastAsia" w:hAnsiTheme="minorEastAsia" w:eastAsiaTheme="minorEastAsia" w:cstheme="minorEastAsia"/>
                <w:bCs/>
                <w:color w:val="auto"/>
                <w:sz w:val="28"/>
                <w:szCs w:val="28"/>
                <w:highlight w:val="none"/>
              </w:rPr>
            </w:pPr>
          </w:p>
          <w:p>
            <w:pPr>
              <w:ind w:left="420" w:leftChars="200" w:firstLine="0" w:firstLineChars="0"/>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bCs/>
                <w:color w:val="auto"/>
                <w:sz w:val="28"/>
                <w:szCs w:val="28"/>
                <w:highlight w:val="none"/>
              </w:rPr>
              <w:t>递交地点：佛山市禅城区南庄镇紫洞南路106号南庄商业广场A1座四楼南庄镇公共资源交易所开标室</w:t>
            </w:r>
          </w:p>
        </w:tc>
      </w:tr>
    </w:tbl>
    <w:p>
      <w:pPr>
        <w:spacing w:before="120" w:beforeLines="50" w:line="360" w:lineRule="auto"/>
        <w:ind w:left="181"/>
        <w:rPr>
          <w:rFonts w:ascii="宋体"/>
          <w:b/>
          <w:bCs/>
          <w:color w:val="auto"/>
          <w:sz w:val="24"/>
          <w:highlight w:val="none"/>
          <w:lang w:val="en-GB"/>
        </w:rPr>
      </w:pPr>
    </w:p>
    <w:p>
      <w:pPr>
        <w:numPr>
          <w:ilvl w:val="0"/>
          <w:numId w:val="51"/>
        </w:numPr>
        <w:spacing w:before="120" w:beforeLines="50" w:line="360" w:lineRule="auto"/>
        <w:ind w:left="601"/>
        <w:rPr>
          <w:rFonts w:ascii="宋体"/>
          <w:b/>
          <w:bCs/>
          <w:color w:val="auto"/>
          <w:sz w:val="24"/>
          <w:highlight w:val="none"/>
          <w:lang w:val="en-GB"/>
        </w:rPr>
      </w:pPr>
      <w:r>
        <w:rPr>
          <w:rFonts w:hint="eastAsia" w:ascii="宋体" w:hAnsi="宋体"/>
          <w:b/>
          <w:bCs/>
          <w:color w:val="auto"/>
          <w:sz w:val="24"/>
          <w:highlight w:val="none"/>
          <w:lang w:val="en-GB"/>
        </w:rPr>
        <w:t>重要提示：</w:t>
      </w:r>
    </w:p>
    <w:p>
      <w:pPr>
        <w:numPr>
          <w:ilvl w:val="0"/>
          <w:numId w:val="55"/>
        </w:numPr>
        <w:tabs>
          <w:tab w:val="left" w:pos="900"/>
          <w:tab w:val="clear" w:pos="780"/>
        </w:tabs>
        <w:spacing w:line="300" w:lineRule="auto"/>
        <w:ind w:left="538" w:leftChars="256"/>
        <w:rPr>
          <w:color w:val="auto"/>
          <w:sz w:val="24"/>
          <w:highlight w:val="none"/>
          <w:lang w:val="en-GB"/>
        </w:rPr>
      </w:pPr>
      <w:r>
        <w:rPr>
          <w:rFonts w:hint="eastAsia" w:ascii="宋体" w:hAnsi="宋体"/>
          <w:color w:val="auto"/>
          <w:sz w:val="24"/>
          <w:highlight w:val="none"/>
          <w:lang w:val="en-GB" w:eastAsia="zh-CN"/>
        </w:rPr>
        <w:t>报价</w:t>
      </w:r>
      <w:r>
        <w:rPr>
          <w:rFonts w:hint="eastAsia" w:ascii="宋体" w:hAnsi="宋体"/>
          <w:color w:val="auto"/>
          <w:sz w:val="24"/>
          <w:highlight w:val="none"/>
          <w:lang w:val="en-GB"/>
        </w:rPr>
        <w:t>文件的正本、副本、电子光盘，均应密封在同一密封包中。若上述资料确实无法密封在同一密封包中，则可按实际情况分开密封，但须在密封包装上标明密封内容。</w:t>
      </w:r>
    </w:p>
    <w:p>
      <w:pPr>
        <w:numPr>
          <w:ilvl w:val="0"/>
          <w:numId w:val="55"/>
        </w:numPr>
        <w:tabs>
          <w:tab w:val="left" w:pos="900"/>
          <w:tab w:val="clear" w:pos="780"/>
        </w:tabs>
        <w:spacing w:line="300" w:lineRule="auto"/>
        <w:ind w:left="538" w:leftChars="256"/>
        <w:rPr>
          <w:color w:val="auto"/>
          <w:sz w:val="24"/>
          <w:highlight w:val="none"/>
          <w:lang w:val="en-GB"/>
        </w:rPr>
      </w:pPr>
      <w:r>
        <w:rPr>
          <w:rFonts w:hint="eastAsia" w:ascii="宋体" w:hAnsi="宋体"/>
          <w:color w:val="auto"/>
          <w:sz w:val="24"/>
          <w:highlight w:val="none"/>
          <w:lang w:val="en-GB"/>
        </w:rPr>
        <w:t>密封各文件资料时，应</w:t>
      </w:r>
      <w:r>
        <w:rPr>
          <w:rFonts w:hint="eastAsia" w:ascii="宋体" w:hAnsi="宋体"/>
          <w:color w:val="auto"/>
          <w:sz w:val="24"/>
          <w:highlight w:val="none"/>
          <w:u w:val="single"/>
          <w:lang w:val="en-GB"/>
        </w:rPr>
        <w:t>在密封包装的封口</w:t>
      </w:r>
      <w:r>
        <w:rPr>
          <w:rFonts w:hint="eastAsia" w:ascii="宋体" w:hAnsi="宋体"/>
          <w:color w:val="auto"/>
          <w:sz w:val="24"/>
          <w:highlight w:val="none"/>
          <w:lang w:val="en-GB"/>
        </w:rPr>
        <w:t>处加盖</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公章。</w:t>
      </w:r>
    </w:p>
    <w:p>
      <w:pPr>
        <w:numPr>
          <w:ilvl w:val="0"/>
          <w:numId w:val="55"/>
        </w:numPr>
        <w:tabs>
          <w:tab w:val="left" w:pos="900"/>
          <w:tab w:val="clear" w:pos="780"/>
        </w:tabs>
        <w:spacing w:line="300" w:lineRule="auto"/>
        <w:ind w:left="538" w:leftChars="256"/>
        <w:rPr>
          <w:color w:val="auto"/>
          <w:highlight w:val="none"/>
        </w:rPr>
      </w:pPr>
      <w:r>
        <w:rPr>
          <w:rFonts w:hint="eastAsia" w:ascii="宋体" w:hAnsi="宋体"/>
          <w:color w:val="auto"/>
          <w:sz w:val="24"/>
          <w:highlight w:val="none"/>
          <w:lang w:val="en-GB"/>
        </w:rPr>
        <w:t>因交通或有不便，递交</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文件时务请</w:t>
      </w:r>
      <w:r>
        <w:rPr>
          <w:rFonts w:hint="eastAsia" w:ascii="宋体" w:hAnsi="宋体"/>
          <w:b/>
          <w:color w:val="auto"/>
          <w:sz w:val="24"/>
          <w:highlight w:val="none"/>
          <w:u w:val="single"/>
          <w:lang w:val="en-GB"/>
        </w:rPr>
        <w:t>提早到达</w:t>
      </w:r>
    </w:p>
    <w:sectPr>
      <w:pgSz w:w="11850" w:h="16783"/>
      <w:pgMar w:top="1134" w:right="1134" w:bottom="1134" w:left="1417" w:header="573" w:footer="584"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8640"/>
        <w:tab w:val="clear" w:pos="8306"/>
      </w:tabs>
      <w:ind w:right="-176" w:rightChars="-84"/>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宋体"/>
        <w:spacing w:val="-18"/>
        <w:w w:val="90"/>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222B1"/>
    <w:multiLevelType w:val="singleLevel"/>
    <w:tmpl w:val="86F222B1"/>
    <w:lvl w:ilvl="0" w:tentative="0">
      <w:start w:val="1"/>
      <w:numFmt w:val="decimal"/>
      <w:lvlText w:val="%1."/>
      <w:lvlJc w:val="left"/>
      <w:pPr>
        <w:ind w:left="425" w:hanging="425"/>
      </w:pPr>
      <w:rPr>
        <w:rFonts w:hint="default"/>
      </w:rPr>
    </w:lvl>
  </w:abstractNum>
  <w:abstractNum w:abstractNumId="1">
    <w:nsid w:val="898CF67A"/>
    <w:multiLevelType w:val="singleLevel"/>
    <w:tmpl w:val="898CF67A"/>
    <w:lvl w:ilvl="0" w:tentative="0">
      <w:start w:val="1"/>
      <w:numFmt w:val="chineseCounting"/>
      <w:suff w:val="nothing"/>
      <w:lvlText w:val="（%1）"/>
      <w:lvlJc w:val="left"/>
      <w:pPr>
        <w:ind w:left="0" w:firstLine="420"/>
      </w:pPr>
      <w:rPr>
        <w:rFonts w:hint="eastAsia"/>
      </w:rPr>
    </w:lvl>
  </w:abstractNum>
  <w:abstractNum w:abstractNumId="2">
    <w:nsid w:val="8EDE5DE2"/>
    <w:multiLevelType w:val="multilevel"/>
    <w:tmpl w:val="8EDE5DE2"/>
    <w:lvl w:ilvl="0" w:tentative="0">
      <w:start w:val="1"/>
      <w:numFmt w:val="decimal"/>
      <w:suff w:val="space"/>
      <w:lvlText w:val="%1."/>
      <w:lvlJc w:val="left"/>
      <w:pPr>
        <w:ind w:left="420" w:hanging="420"/>
      </w:pPr>
      <w:rPr>
        <w:rFonts w:hint="default" w:ascii="宋体" w:hAnsi="宋体" w:eastAsia="宋体" w:cstheme="minorEastAsia"/>
        <w:b/>
      </w:rPr>
    </w:lvl>
    <w:lvl w:ilvl="1" w:tentative="0">
      <w:start w:val="1"/>
      <w:numFmt w:val="decimal"/>
      <w:lvlText w:val="25.%2."/>
      <w:lvlJc w:val="left"/>
      <w:pPr>
        <w:tabs>
          <w:tab w:val="left" w:pos="840"/>
        </w:tabs>
        <w:ind w:left="840" w:hanging="420"/>
      </w:pPr>
      <w:rPr>
        <w:rFonts w:hint="default" w:ascii="Times New Roman" w:hAnsi="Times New Roman" w:cs="Times New Roman"/>
        <w:b w:val="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8F9F341B"/>
    <w:multiLevelType w:val="singleLevel"/>
    <w:tmpl w:val="8F9F341B"/>
    <w:lvl w:ilvl="0" w:tentative="0">
      <w:start w:val="1"/>
      <w:numFmt w:val="chineseCounting"/>
      <w:suff w:val="nothing"/>
      <w:lvlText w:val="%1、"/>
      <w:lvlJc w:val="left"/>
      <w:pPr>
        <w:ind w:left="0" w:firstLine="420"/>
      </w:pPr>
      <w:rPr>
        <w:rFonts w:hint="eastAsia"/>
      </w:rPr>
    </w:lvl>
  </w:abstractNum>
  <w:abstractNum w:abstractNumId="4">
    <w:nsid w:val="9027ED67"/>
    <w:multiLevelType w:val="singleLevel"/>
    <w:tmpl w:val="9027ED67"/>
    <w:lvl w:ilvl="0" w:tentative="0">
      <w:start w:val="1"/>
      <w:numFmt w:val="chineseCounting"/>
      <w:suff w:val="nothing"/>
      <w:lvlText w:val="（%1）"/>
      <w:lvlJc w:val="left"/>
      <w:pPr>
        <w:ind w:left="0" w:firstLine="420"/>
      </w:pPr>
      <w:rPr>
        <w:rFonts w:hint="eastAsia"/>
      </w:rPr>
    </w:lvl>
  </w:abstractNum>
  <w:abstractNum w:abstractNumId="5">
    <w:nsid w:val="94A90165"/>
    <w:multiLevelType w:val="multilevel"/>
    <w:tmpl w:val="94A90165"/>
    <w:lvl w:ilvl="0" w:tentative="0">
      <w:start w:val="1"/>
      <w:numFmt w:val="decimal"/>
      <w:suff w:val="space"/>
      <w:lvlText w:val="%1."/>
      <w:lvlJc w:val="left"/>
      <w:pPr>
        <w:ind w:left="624" w:hanging="624"/>
      </w:pPr>
      <w:rPr>
        <w:rFonts w:hint="default" w:ascii="宋体" w:hAnsi="宋体" w:eastAsia="宋体" w:cs="宋体"/>
        <w:b/>
        <w:i w:val="0"/>
      </w:rPr>
    </w:lvl>
    <w:lvl w:ilvl="1" w:tentative="0">
      <w:start w:val="1"/>
      <w:numFmt w:val="decimal"/>
      <w:suff w:val="space"/>
      <w:lvlText w:val="%1.%2"/>
      <w:lvlJc w:val="left"/>
      <w:pPr>
        <w:ind w:left="624" w:hanging="624"/>
      </w:pPr>
      <w:rPr>
        <w:rFonts w:hint="default" w:ascii="宋体" w:hAnsi="宋体" w:eastAsia="宋体" w:cs="宋体"/>
        <w:b w:val="0"/>
        <w:i w:val="0"/>
        <w:color w:val="auto"/>
        <w:sz w:val="24"/>
        <w:szCs w:val="24"/>
      </w:rPr>
    </w:lvl>
    <w:lvl w:ilvl="2" w:tentative="0">
      <w:start w:val="1"/>
      <w:numFmt w:val="decimal"/>
      <w:suff w:val="space"/>
      <w:lvlText w:val="%1.%2.%3."/>
      <w:lvlJc w:val="left"/>
      <w:pPr>
        <w:ind w:left="709" w:hanging="709"/>
      </w:pPr>
      <w:rPr>
        <w:rFonts w:hint="default" w:ascii="宋体" w:hAnsi="宋体" w:eastAsia="宋体" w:cs="宋体"/>
      </w:rPr>
    </w:lvl>
    <w:lvl w:ilvl="3" w:tentative="0">
      <w:start w:val="1"/>
      <w:numFmt w:val="decimal"/>
      <w:suff w:val="space"/>
      <w:lvlText w:val="%1.%2.%3.%4."/>
      <w:lvlJc w:val="left"/>
      <w:pPr>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94F15F58"/>
    <w:multiLevelType w:val="singleLevel"/>
    <w:tmpl w:val="94F15F58"/>
    <w:lvl w:ilvl="0" w:tentative="0">
      <w:start w:val="1"/>
      <w:numFmt w:val="chineseCounting"/>
      <w:suff w:val="nothing"/>
      <w:lvlText w:val="（%1）"/>
      <w:lvlJc w:val="left"/>
      <w:pPr>
        <w:ind w:left="0" w:firstLine="420"/>
      </w:pPr>
      <w:rPr>
        <w:rFonts w:hint="eastAsia"/>
      </w:rPr>
    </w:lvl>
  </w:abstractNum>
  <w:abstractNum w:abstractNumId="7">
    <w:nsid w:val="96C4E0D9"/>
    <w:multiLevelType w:val="singleLevel"/>
    <w:tmpl w:val="96C4E0D9"/>
    <w:lvl w:ilvl="0" w:tentative="0">
      <w:start w:val="1"/>
      <w:numFmt w:val="decimal"/>
      <w:lvlText w:val="%1."/>
      <w:lvlJc w:val="left"/>
      <w:pPr>
        <w:ind w:left="425" w:hanging="425"/>
      </w:pPr>
      <w:rPr>
        <w:rFonts w:hint="default"/>
      </w:rPr>
    </w:lvl>
  </w:abstractNum>
  <w:abstractNum w:abstractNumId="8">
    <w:nsid w:val="A48A9E99"/>
    <w:multiLevelType w:val="singleLevel"/>
    <w:tmpl w:val="A48A9E99"/>
    <w:lvl w:ilvl="0" w:tentative="0">
      <w:start w:val="1"/>
      <w:numFmt w:val="chineseCounting"/>
      <w:suff w:val="nothing"/>
      <w:lvlText w:val="（%1）"/>
      <w:lvlJc w:val="left"/>
      <w:pPr>
        <w:ind w:left="0" w:firstLine="420"/>
      </w:pPr>
      <w:rPr>
        <w:rFonts w:hint="eastAsia"/>
      </w:rPr>
    </w:lvl>
  </w:abstractNum>
  <w:abstractNum w:abstractNumId="9">
    <w:nsid w:val="A86C22B1"/>
    <w:multiLevelType w:val="singleLevel"/>
    <w:tmpl w:val="A86C22B1"/>
    <w:lvl w:ilvl="0" w:tentative="0">
      <w:start w:val="1"/>
      <w:numFmt w:val="decimal"/>
      <w:lvlText w:val="(%1)"/>
      <w:lvlJc w:val="left"/>
      <w:pPr>
        <w:ind w:left="425" w:hanging="425"/>
      </w:pPr>
      <w:rPr>
        <w:rFonts w:hint="default"/>
      </w:rPr>
    </w:lvl>
  </w:abstractNum>
  <w:abstractNum w:abstractNumId="10">
    <w:nsid w:val="C070D1B6"/>
    <w:multiLevelType w:val="singleLevel"/>
    <w:tmpl w:val="C070D1B6"/>
    <w:lvl w:ilvl="0" w:tentative="0">
      <w:start w:val="1"/>
      <w:numFmt w:val="chineseCounting"/>
      <w:suff w:val="nothing"/>
      <w:lvlText w:val="（%1）"/>
      <w:lvlJc w:val="left"/>
      <w:pPr>
        <w:ind w:left="0" w:firstLine="420"/>
      </w:pPr>
      <w:rPr>
        <w:rFonts w:hint="eastAsia"/>
      </w:rPr>
    </w:lvl>
  </w:abstractNum>
  <w:abstractNum w:abstractNumId="11">
    <w:nsid w:val="C6D8EF7A"/>
    <w:multiLevelType w:val="singleLevel"/>
    <w:tmpl w:val="C6D8EF7A"/>
    <w:lvl w:ilvl="0" w:tentative="0">
      <w:start w:val="1"/>
      <w:numFmt w:val="decimal"/>
      <w:lvlText w:val="%1."/>
      <w:lvlJc w:val="left"/>
      <w:pPr>
        <w:ind w:left="425" w:hanging="425"/>
      </w:pPr>
      <w:rPr>
        <w:rFonts w:hint="default"/>
      </w:rPr>
    </w:lvl>
  </w:abstractNum>
  <w:abstractNum w:abstractNumId="12">
    <w:nsid w:val="D7D93451"/>
    <w:multiLevelType w:val="singleLevel"/>
    <w:tmpl w:val="D7D93451"/>
    <w:lvl w:ilvl="0" w:tentative="0">
      <w:start w:val="1"/>
      <w:numFmt w:val="chineseCounting"/>
      <w:suff w:val="nothing"/>
      <w:lvlText w:val="（%1）"/>
      <w:lvlJc w:val="left"/>
      <w:pPr>
        <w:ind w:left="0" w:firstLine="420"/>
      </w:pPr>
      <w:rPr>
        <w:rFonts w:hint="eastAsia"/>
      </w:rPr>
    </w:lvl>
  </w:abstractNum>
  <w:abstractNum w:abstractNumId="13">
    <w:nsid w:val="D835A01B"/>
    <w:multiLevelType w:val="multilevel"/>
    <w:tmpl w:val="D835A01B"/>
    <w:lvl w:ilvl="0" w:tentative="0">
      <w:start w:val="1"/>
      <w:numFmt w:val="decimal"/>
      <w:lvlText w:val="（%1）"/>
      <w:lvlJc w:val="left"/>
      <w:pPr>
        <w:tabs>
          <w:tab w:val="left" w:pos="652"/>
        </w:tabs>
        <w:ind w:left="1106" w:hanging="680"/>
      </w:pPr>
      <w:rPr>
        <w:rFonts w:hint="eastAsia"/>
      </w:rPr>
    </w:lvl>
    <w:lvl w:ilvl="1" w:tentative="0">
      <w:start w:val="1"/>
      <w:numFmt w:val="lowerLetter"/>
      <w:lvlText w:val="%2)"/>
      <w:lvlJc w:val="left"/>
      <w:pPr>
        <w:tabs>
          <w:tab w:val="left" w:pos="415"/>
        </w:tabs>
        <w:ind w:left="415" w:hanging="420"/>
      </w:pPr>
    </w:lvl>
    <w:lvl w:ilvl="2" w:tentative="0">
      <w:start w:val="1"/>
      <w:numFmt w:val="lowerRoman"/>
      <w:lvlText w:val="%3."/>
      <w:lvlJc w:val="right"/>
      <w:pPr>
        <w:tabs>
          <w:tab w:val="left" w:pos="835"/>
        </w:tabs>
        <w:ind w:left="835" w:hanging="420"/>
      </w:pPr>
    </w:lvl>
    <w:lvl w:ilvl="3" w:tentative="0">
      <w:start w:val="1"/>
      <w:numFmt w:val="decimal"/>
      <w:lvlText w:val="%4."/>
      <w:lvlJc w:val="left"/>
      <w:pPr>
        <w:tabs>
          <w:tab w:val="left" w:pos="1255"/>
        </w:tabs>
        <w:ind w:left="1255" w:hanging="420"/>
      </w:pPr>
    </w:lvl>
    <w:lvl w:ilvl="4" w:tentative="0">
      <w:start w:val="1"/>
      <w:numFmt w:val="lowerLetter"/>
      <w:lvlText w:val="%5)"/>
      <w:lvlJc w:val="left"/>
      <w:pPr>
        <w:tabs>
          <w:tab w:val="left" w:pos="1675"/>
        </w:tabs>
        <w:ind w:left="1675" w:hanging="420"/>
      </w:pPr>
    </w:lvl>
    <w:lvl w:ilvl="5" w:tentative="0">
      <w:start w:val="1"/>
      <w:numFmt w:val="lowerRoman"/>
      <w:lvlText w:val="%6."/>
      <w:lvlJc w:val="right"/>
      <w:pPr>
        <w:tabs>
          <w:tab w:val="left" w:pos="2095"/>
        </w:tabs>
        <w:ind w:left="2095" w:hanging="420"/>
      </w:pPr>
    </w:lvl>
    <w:lvl w:ilvl="6" w:tentative="0">
      <w:start w:val="1"/>
      <w:numFmt w:val="decimal"/>
      <w:lvlText w:val="%7."/>
      <w:lvlJc w:val="left"/>
      <w:pPr>
        <w:tabs>
          <w:tab w:val="left" w:pos="2515"/>
        </w:tabs>
        <w:ind w:left="2515" w:hanging="420"/>
      </w:pPr>
    </w:lvl>
    <w:lvl w:ilvl="7" w:tentative="0">
      <w:start w:val="1"/>
      <w:numFmt w:val="lowerLetter"/>
      <w:lvlText w:val="%8)"/>
      <w:lvlJc w:val="left"/>
      <w:pPr>
        <w:tabs>
          <w:tab w:val="left" w:pos="2935"/>
        </w:tabs>
        <w:ind w:left="2935" w:hanging="420"/>
      </w:pPr>
    </w:lvl>
    <w:lvl w:ilvl="8" w:tentative="0">
      <w:start w:val="1"/>
      <w:numFmt w:val="lowerRoman"/>
      <w:lvlText w:val="%9."/>
      <w:lvlJc w:val="right"/>
      <w:pPr>
        <w:tabs>
          <w:tab w:val="left" w:pos="3355"/>
        </w:tabs>
        <w:ind w:left="3355" w:hanging="420"/>
      </w:pPr>
    </w:lvl>
  </w:abstractNum>
  <w:abstractNum w:abstractNumId="14">
    <w:nsid w:val="DDAAD069"/>
    <w:multiLevelType w:val="singleLevel"/>
    <w:tmpl w:val="DDAAD069"/>
    <w:lvl w:ilvl="0" w:tentative="0">
      <w:start w:val="1"/>
      <w:numFmt w:val="chineseCounting"/>
      <w:suff w:val="nothing"/>
      <w:lvlText w:val="（%1）"/>
      <w:lvlJc w:val="left"/>
      <w:pPr>
        <w:ind w:left="0" w:firstLine="420"/>
      </w:pPr>
      <w:rPr>
        <w:rFonts w:hint="eastAsia"/>
      </w:rPr>
    </w:lvl>
  </w:abstractNum>
  <w:abstractNum w:abstractNumId="15">
    <w:nsid w:val="E2730C15"/>
    <w:multiLevelType w:val="singleLevel"/>
    <w:tmpl w:val="E2730C15"/>
    <w:lvl w:ilvl="0" w:tentative="0">
      <w:start w:val="1"/>
      <w:numFmt w:val="decimal"/>
      <w:lvlText w:val="%1."/>
      <w:lvlJc w:val="left"/>
      <w:pPr>
        <w:ind w:left="425" w:hanging="425"/>
      </w:pPr>
      <w:rPr>
        <w:rFonts w:hint="default"/>
      </w:rPr>
    </w:lvl>
  </w:abstractNum>
  <w:abstractNum w:abstractNumId="16">
    <w:nsid w:val="E273CBF1"/>
    <w:multiLevelType w:val="singleLevel"/>
    <w:tmpl w:val="E273CBF1"/>
    <w:lvl w:ilvl="0" w:tentative="0">
      <w:start w:val="1"/>
      <w:numFmt w:val="decimal"/>
      <w:lvlText w:val="%1."/>
      <w:lvlJc w:val="left"/>
      <w:pPr>
        <w:ind w:left="425" w:hanging="425"/>
      </w:pPr>
      <w:rPr>
        <w:rFonts w:hint="default"/>
      </w:rPr>
    </w:lvl>
  </w:abstractNum>
  <w:abstractNum w:abstractNumId="17">
    <w:nsid w:val="EF208E0F"/>
    <w:multiLevelType w:val="singleLevel"/>
    <w:tmpl w:val="EF208E0F"/>
    <w:lvl w:ilvl="0" w:tentative="0">
      <w:start w:val="1"/>
      <w:numFmt w:val="decimal"/>
      <w:lvlText w:val="%1."/>
      <w:lvlJc w:val="left"/>
      <w:pPr>
        <w:ind w:left="425" w:hanging="425"/>
      </w:pPr>
      <w:rPr>
        <w:rFonts w:hint="default"/>
      </w:rPr>
    </w:lvl>
  </w:abstractNum>
  <w:abstractNum w:abstractNumId="18">
    <w:nsid w:val="F5A2EAA6"/>
    <w:multiLevelType w:val="singleLevel"/>
    <w:tmpl w:val="F5A2EAA6"/>
    <w:lvl w:ilvl="0" w:tentative="0">
      <w:start w:val="1"/>
      <w:numFmt w:val="chineseCounting"/>
      <w:suff w:val="nothing"/>
      <w:lvlText w:val="（%1）"/>
      <w:lvlJc w:val="left"/>
      <w:pPr>
        <w:ind w:left="0" w:firstLine="420"/>
      </w:pPr>
      <w:rPr>
        <w:rFonts w:hint="eastAsia"/>
      </w:rPr>
    </w:lvl>
  </w:abstractNum>
  <w:abstractNum w:abstractNumId="19">
    <w:nsid w:val="FE9A5839"/>
    <w:multiLevelType w:val="singleLevel"/>
    <w:tmpl w:val="FE9A5839"/>
    <w:lvl w:ilvl="0" w:tentative="0">
      <w:start w:val="1"/>
      <w:numFmt w:val="decimal"/>
      <w:lvlText w:val="%1."/>
      <w:lvlJc w:val="left"/>
      <w:pPr>
        <w:ind w:left="425" w:hanging="425"/>
      </w:pPr>
      <w:rPr>
        <w:rFonts w:hint="default"/>
      </w:rPr>
    </w:lvl>
  </w:abstractNum>
  <w:abstractNum w:abstractNumId="20">
    <w:nsid w:val="0000000B"/>
    <w:multiLevelType w:val="multilevel"/>
    <w:tmpl w:val="0000000B"/>
    <w:lvl w:ilvl="0" w:tentative="0">
      <w:start w:val="1"/>
      <w:numFmt w:val="decimal"/>
      <w:lvlText w:val="（%1）"/>
      <w:lvlJc w:val="left"/>
      <w:pPr>
        <w:tabs>
          <w:tab w:val="left" w:pos="652"/>
        </w:tabs>
        <w:ind w:left="1106" w:hanging="680"/>
      </w:pPr>
      <w:rPr>
        <w:rFonts w:hint="eastAsia"/>
      </w:rPr>
    </w:lvl>
    <w:lvl w:ilvl="1" w:tentative="0">
      <w:start w:val="1"/>
      <w:numFmt w:val="lowerLetter"/>
      <w:lvlText w:val="%2)"/>
      <w:lvlJc w:val="left"/>
      <w:pPr>
        <w:tabs>
          <w:tab w:val="left" w:pos="415"/>
        </w:tabs>
        <w:ind w:left="415" w:hanging="420"/>
      </w:pPr>
    </w:lvl>
    <w:lvl w:ilvl="2" w:tentative="0">
      <w:start w:val="1"/>
      <w:numFmt w:val="lowerRoman"/>
      <w:lvlText w:val="%3."/>
      <w:lvlJc w:val="right"/>
      <w:pPr>
        <w:tabs>
          <w:tab w:val="left" w:pos="835"/>
        </w:tabs>
        <w:ind w:left="835" w:hanging="420"/>
      </w:pPr>
    </w:lvl>
    <w:lvl w:ilvl="3" w:tentative="0">
      <w:start w:val="1"/>
      <w:numFmt w:val="decimal"/>
      <w:lvlText w:val="%4."/>
      <w:lvlJc w:val="left"/>
      <w:pPr>
        <w:tabs>
          <w:tab w:val="left" w:pos="1255"/>
        </w:tabs>
        <w:ind w:left="1255" w:hanging="420"/>
      </w:pPr>
    </w:lvl>
    <w:lvl w:ilvl="4" w:tentative="0">
      <w:start w:val="1"/>
      <w:numFmt w:val="lowerLetter"/>
      <w:lvlText w:val="%5)"/>
      <w:lvlJc w:val="left"/>
      <w:pPr>
        <w:tabs>
          <w:tab w:val="left" w:pos="1675"/>
        </w:tabs>
        <w:ind w:left="1675" w:hanging="420"/>
      </w:pPr>
    </w:lvl>
    <w:lvl w:ilvl="5" w:tentative="0">
      <w:start w:val="1"/>
      <w:numFmt w:val="lowerRoman"/>
      <w:lvlText w:val="%6."/>
      <w:lvlJc w:val="right"/>
      <w:pPr>
        <w:tabs>
          <w:tab w:val="left" w:pos="2095"/>
        </w:tabs>
        <w:ind w:left="2095" w:hanging="420"/>
      </w:pPr>
    </w:lvl>
    <w:lvl w:ilvl="6" w:tentative="0">
      <w:start w:val="1"/>
      <w:numFmt w:val="decimal"/>
      <w:lvlText w:val="%7."/>
      <w:lvlJc w:val="left"/>
      <w:pPr>
        <w:tabs>
          <w:tab w:val="left" w:pos="2515"/>
        </w:tabs>
        <w:ind w:left="2515" w:hanging="420"/>
      </w:pPr>
    </w:lvl>
    <w:lvl w:ilvl="7" w:tentative="0">
      <w:start w:val="1"/>
      <w:numFmt w:val="lowerLetter"/>
      <w:lvlText w:val="%8)"/>
      <w:lvlJc w:val="left"/>
      <w:pPr>
        <w:tabs>
          <w:tab w:val="left" w:pos="2935"/>
        </w:tabs>
        <w:ind w:left="2935" w:hanging="420"/>
      </w:pPr>
    </w:lvl>
    <w:lvl w:ilvl="8" w:tentative="0">
      <w:start w:val="1"/>
      <w:numFmt w:val="lowerRoman"/>
      <w:lvlText w:val="%9."/>
      <w:lvlJc w:val="right"/>
      <w:pPr>
        <w:tabs>
          <w:tab w:val="left" w:pos="3355"/>
        </w:tabs>
        <w:ind w:left="3355" w:hanging="420"/>
      </w:pPr>
    </w:lvl>
  </w:abstractNum>
  <w:abstractNum w:abstractNumId="21">
    <w:nsid w:val="00000016"/>
    <w:multiLevelType w:val="multilevel"/>
    <w:tmpl w:val="00000016"/>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2">
    <w:nsid w:val="0000001D"/>
    <w:multiLevelType w:val="multilevel"/>
    <w:tmpl w:val="0000001D"/>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23">
    <w:nsid w:val="00000022"/>
    <w:multiLevelType w:val="multilevel"/>
    <w:tmpl w:val="00000022"/>
    <w:lvl w:ilvl="0" w:tentative="0">
      <w:start w:val="1"/>
      <w:numFmt w:val="decimal"/>
      <w:lvlText w:val="%1."/>
      <w:lvlJc w:val="left"/>
      <w:pPr>
        <w:tabs>
          <w:tab w:val="left" w:pos="780"/>
        </w:tabs>
        <w:ind w:left="780" w:hanging="360"/>
      </w:pPr>
      <w:rPr>
        <w:rFonts w:hint="eastAsia" w:cs="Times New Roman"/>
      </w:rPr>
    </w:lvl>
    <w:lvl w:ilvl="1" w:tentative="0">
      <w:start w:val="1"/>
      <w:numFmt w:val="lowerLetter"/>
      <w:lvlText w:val="%2)"/>
      <w:lvlJc w:val="left"/>
      <w:pPr>
        <w:tabs>
          <w:tab w:val="left" w:pos="420"/>
        </w:tabs>
        <w:ind w:left="420" w:hanging="420"/>
      </w:pPr>
      <w:rPr>
        <w:rFonts w:cs="Times New Roman"/>
      </w:rPr>
    </w:lvl>
    <w:lvl w:ilvl="2" w:tentative="0">
      <w:start w:val="1"/>
      <w:numFmt w:val="lowerRoman"/>
      <w:lvlText w:val="%3."/>
      <w:lvlJc w:val="right"/>
      <w:pPr>
        <w:tabs>
          <w:tab w:val="left" w:pos="840"/>
        </w:tabs>
        <w:ind w:left="840" w:hanging="420"/>
      </w:pPr>
      <w:rPr>
        <w:rFonts w:cs="Times New Roman"/>
      </w:rPr>
    </w:lvl>
    <w:lvl w:ilvl="3" w:tentative="0">
      <w:start w:val="1"/>
      <w:numFmt w:val="decimal"/>
      <w:lvlText w:val="%4."/>
      <w:lvlJc w:val="left"/>
      <w:pPr>
        <w:tabs>
          <w:tab w:val="left" w:pos="1260"/>
        </w:tabs>
        <w:ind w:left="1260" w:hanging="420"/>
      </w:pPr>
      <w:rPr>
        <w:rFonts w:cs="Times New Roman"/>
      </w:rPr>
    </w:lvl>
    <w:lvl w:ilvl="4" w:tentative="0">
      <w:start w:val="1"/>
      <w:numFmt w:val="lowerLetter"/>
      <w:lvlText w:val="%5)"/>
      <w:lvlJc w:val="left"/>
      <w:pPr>
        <w:tabs>
          <w:tab w:val="left" w:pos="1680"/>
        </w:tabs>
        <w:ind w:left="1680" w:hanging="420"/>
      </w:pPr>
      <w:rPr>
        <w:rFonts w:cs="Times New Roman"/>
      </w:rPr>
    </w:lvl>
    <w:lvl w:ilvl="5" w:tentative="0">
      <w:start w:val="1"/>
      <w:numFmt w:val="lowerRoman"/>
      <w:lvlText w:val="%6."/>
      <w:lvlJc w:val="right"/>
      <w:pPr>
        <w:tabs>
          <w:tab w:val="left" w:pos="2100"/>
        </w:tabs>
        <w:ind w:left="2100" w:hanging="420"/>
      </w:pPr>
      <w:rPr>
        <w:rFonts w:cs="Times New Roman"/>
      </w:rPr>
    </w:lvl>
    <w:lvl w:ilvl="6" w:tentative="0">
      <w:start w:val="1"/>
      <w:numFmt w:val="decimal"/>
      <w:lvlText w:val="%7."/>
      <w:lvlJc w:val="left"/>
      <w:pPr>
        <w:tabs>
          <w:tab w:val="left" w:pos="2520"/>
        </w:tabs>
        <w:ind w:left="2520" w:hanging="420"/>
      </w:pPr>
      <w:rPr>
        <w:rFonts w:cs="Times New Roman"/>
      </w:rPr>
    </w:lvl>
    <w:lvl w:ilvl="7" w:tentative="0">
      <w:start w:val="1"/>
      <w:numFmt w:val="lowerLetter"/>
      <w:lvlText w:val="%8)"/>
      <w:lvlJc w:val="left"/>
      <w:pPr>
        <w:tabs>
          <w:tab w:val="left" w:pos="2940"/>
        </w:tabs>
        <w:ind w:left="2940" w:hanging="420"/>
      </w:pPr>
      <w:rPr>
        <w:rFonts w:cs="Times New Roman"/>
      </w:rPr>
    </w:lvl>
    <w:lvl w:ilvl="8" w:tentative="0">
      <w:start w:val="1"/>
      <w:numFmt w:val="lowerRoman"/>
      <w:lvlText w:val="%9."/>
      <w:lvlJc w:val="right"/>
      <w:pPr>
        <w:tabs>
          <w:tab w:val="left" w:pos="3360"/>
        </w:tabs>
        <w:ind w:left="3360" w:hanging="420"/>
      </w:pPr>
      <w:rPr>
        <w:rFonts w:cs="Times New Roman"/>
      </w:rPr>
    </w:lvl>
  </w:abstractNum>
  <w:abstractNum w:abstractNumId="24">
    <w:nsid w:val="00000023"/>
    <w:multiLevelType w:val="multilevel"/>
    <w:tmpl w:val="00000023"/>
    <w:lvl w:ilvl="0" w:tentative="0">
      <w:start w:val="1"/>
      <w:numFmt w:val="decimal"/>
      <w:lvlText w:val="%1"/>
      <w:lvlJc w:val="left"/>
      <w:pPr>
        <w:tabs>
          <w:tab w:val="left" w:pos="420"/>
        </w:tabs>
        <w:ind w:left="420" w:hanging="420"/>
      </w:pPr>
      <w:rPr>
        <w:rFonts w:hint="eastAsia" w:cs="Times New Roman"/>
      </w:rPr>
    </w:lvl>
    <w:lvl w:ilvl="1" w:tentative="0">
      <w:start w:val="1"/>
      <w:numFmt w:val="decimal"/>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5">
    <w:nsid w:val="0000003A"/>
    <w:multiLevelType w:val="multilevel"/>
    <w:tmpl w:val="0000003A"/>
    <w:lvl w:ilvl="0" w:tentative="0">
      <w:start w:val="1"/>
      <w:numFmt w:val="decimal"/>
      <w:lvlText w:val="16.%1"/>
      <w:lvlJc w:val="left"/>
      <w:pPr>
        <w:tabs>
          <w:tab w:val="left" w:pos="840"/>
        </w:tabs>
        <w:ind w:left="840" w:hanging="420"/>
      </w:pPr>
      <w:rPr>
        <w:rFonts w:hint="default" w:ascii="Times New Roman" w:hAnsi="Times New Roman" w:cs="Times New Roman"/>
        <w:b w:val="0"/>
      </w:rPr>
    </w:lvl>
    <w:lvl w:ilvl="1" w:tentative="0">
      <w:start w:val="1"/>
      <w:numFmt w:val="decimal"/>
      <w:lvlText w:val="%2)"/>
      <w:lvlJc w:val="left"/>
      <w:pPr>
        <w:tabs>
          <w:tab w:val="left" w:pos="840"/>
        </w:tabs>
        <w:ind w:left="840" w:hanging="420"/>
      </w:pPr>
      <w:rPr>
        <w:rFonts w:hint="eastAsia" w:cs="Times New Roman"/>
        <w:b w:val="0"/>
        <w:color w:val="auto"/>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6">
    <w:nsid w:val="00000041"/>
    <w:multiLevelType w:val="multilevel"/>
    <w:tmpl w:val="00000041"/>
    <w:lvl w:ilvl="0" w:tentative="0">
      <w:start w:val="1"/>
      <w:numFmt w:val="bullet"/>
      <w:lvlText w:val=""/>
      <w:lvlJc w:val="left"/>
      <w:pPr>
        <w:tabs>
          <w:tab w:val="left" w:pos="598"/>
        </w:tabs>
        <w:ind w:left="598" w:hanging="420"/>
      </w:pPr>
      <w:rPr>
        <w:rFonts w:hint="default" w:ascii="Wingdings" w:hAnsi="Wingdings"/>
      </w:rPr>
    </w:lvl>
    <w:lvl w:ilvl="1" w:tentative="0">
      <w:start w:val="1"/>
      <w:numFmt w:val="decimal"/>
      <w:lvlText w:val="%2."/>
      <w:lvlJc w:val="left"/>
      <w:pPr>
        <w:tabs>
          <w:tab w:val="left" w:pos="1018"/>
        </w:tabs>
        <w:ind w:left="1018" w:hanging="420"/>
      </w:pPr>
      <w:rPr>
        <w:rFonts w:hint="default" w:cs="Times New Roman"/>
      </w:rPr>
    </w:lvl>
    <w:lvl w:ilvl="2" w:tentative="0">
      <w:start w:val="1"/>
      <w:numFmt w:val="bullet"/>
      <w:lvlText w:val=""/>
      <w:lvlJc w:val="left"/>
      <w:pPr>
        <w:tabs>
          <w:tab w:val="left" w:pos="1438"/>
        </w:tabs>
        <w:ind w:left="1438" w:hanging="420"/>
      </w:pPr>
      <w:rPr>
        <w:rFonts w:hint="default" w:ascii="Wingdings" w:hAnsi="Wingdings"/>
      </w:rPr>
    </w:lvl>
    <w:lvl w:ilvl="3" w:tentative="0">
      <w:start w:val="1"/>
      <w:numFmt w:val="bullet"/>
      <w:lvlText w:val=""/>
      <w:lvlJc w:val="left"/>
      <w:pPr>
        <w:tabs>
          <w:tab w:val="left" w:pos="1858"/>
        </w:tabs>
        <w:ind w:left="1858" w:hanging="420"/>
      </w:pPr>
      <w:rPr>
        <w:rFonts w:hint="default" w:ascii="Wingdings" w:hAnsi="Wingdings"/>
      </w:rPr>
    </w:lvl>
    <w:lvl w:ilvl="4" w:tentative="0">
      <w:start w:val="1"/>
      <w:numFmt w:val="bullet"/>
      <w:lvlText w:val=""/>
      <w:lvlJc w:val="left"/>
      <w:pPr>
        <w:tabs>
          <w:tab w:val="left" w:pos="2278"/>
        </w:tabs>
        <w:ind w:left="2278" w:hanging="420"/>
      </w:pPr>
      <w:rPr>
        <w:rFonts w:hint="default" w:ascii="Wingdings" w:hAnsi="Wingdings"/>
      </w:rPr>
    </w:lvl>
    <w:lvl w:ilvl="5" w:tentative="0">
      <w:start w:val="1"/>
      <w:numFmt w:val="bullet"/>
      <w:lvlText w:val=""/>
      <w:lvlJc w:val="left"/>
      <w:pPr>
        <w:tabs>
          <w:tab w:val="left" w:pos="2698"/>
        </w:tabs>
        <w:ind w:left="2698" w:hanging="420"/>
      </w:pPr>
      <w:rPr>
        <w:rFonts w:hint="default" w:ascii="Wingdings" w:hAnsi="Wingdings"/>
      </w:rPr>
    </w:lvl>
    <w:lvl w:ilvl="6" w:tentative="0">
      <w:start w:val="1"/>
      <w:numFmt w:val="bullet"/>
      <w:lvlText w:val=""/>
      <w:lvlJc w:val="left"/>
      <w:pPr>
        <w:tabs>
          <w:tab w:val="left" w:pos="3118"/>
        </w:tabs>
        <w:ind w:left="3118" w:hanging="420"/>
      </w:pPr>
      <w:rPr>
        <w:rFonts w:hint="default" w:ascii="Wingdings" w:hAnsi="Wingdings"/>
      </w:rPr>
    </w:lvl>
    <w:lvl w:ilvl="7" w:tentative="0">
      <w:start w:val="1"/>
      <w:numFmt w:val="bullet"/>
      <w:lvlText w:val=""/>
      <w:lvlJc w:val="left"/>
      <w:pPr>
        <w:tabs>
          <w:tab w:val="left" w:pos="3538"/>
        </w:tabs>
        <w:ind w:left="3538" w:hanging="420"/>
      </w:pPr>
      <w:rPr>
        <w:rFonts w:hint="default" w:ascii="Wingdings" w:hAnsi="Wingdings"/>
      </w:rPr>
    </w:lvl>
    <w:lvl w:ilvl="8" w:tentative="0">
      <w:start w:val="1"/>
      <w:numFmt w:val="bullet"/>
      <w:lvlText w:val=""/>
      <w:lvlJc w:val="left"/>
      <w:pPr>
        <w:tabs>
          <w:tab w:val="left" w:pos="3958"/>
        </w:tabs>
        <w:ind w:left="3958" w:hanging="420"/>
      </w:pPr>
      <w:rPr>
        <w:rFonts w:hint="default" w:ascii="Wingdings" w:hAnsi="Wingdings"/>
      </w:rPr>
    </w:lvl>
  </w:abstractNum>
  <w:abstractNum w:abstractNumId="27">
    <w:nsid w:val="00000043"/>
    <w:multiLevelType w:val="multilevel"/>
    <w:tmpl w:val="00000043"/>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5"/>
      <w:numFmt w:val="decimal"/>
      <w:lvlText w:val="%3．"/>
      <w:lvlJc w:val="left"/>
      <w:pPr>
        <w:tabs>
          <w:tab w:val="left" w:pos="1200"/>
        </w:tabs>
        <w:ind w:left="1200" w:hanging="36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8">
    <w:nsid w:val="08C84316"/>
    <w:multiLevelType w:val="singleLevel"/>
    <w:tmpl w:val="08C84316"/>
    <w:lvl w:ilvl="0" w:tentative="0">
      <w:start w:val="1"/>
      <w:numFmt w:val="decimal"/>
      <w:suff w:val="space"/>
      <w:lvlText w:val="%1)"/>
      <w:lvlJc w:val="left"/>
      <w:pPr>
        <w:ind w:left="425" w:hanging="425"/>
      </w:pPr>
      <w:rPr>
        <w:rFonts w:hint="default" w:ascii="宋体" w:hAnsi="宋体" w:eastAsia="宋体" w:cs="宋体"/>
      </w:rPr>
    </w:lvl>
  </w:abstractNum>
  <w:abstractNum w:abstractNumId="29">
    <w:nsid w:val="12F1127D"/>
    <w:multiLevelType w:val="singleLevel"/>
    <w:tmpl w:val="12F1127D"/>
    <w:lvl w:ilvl="0" w:tentative="0">
      <w:start w:val="1"/>
      <w:numFmt w:val="decimal"/>
      <w:suff w:val="space"/>
      <w:lvlText w:val="%1."/>
      <w:lvlJc w:val="left"/>
      <w:pPr>
        <w:ind w:left="454" w:leftChars="0" w:hanging="454" w:firstLineChars="0"/>
      </w:pPr>
      <w:rPr>
        <w:rFonts w:hint="default"/>
      </w:rPr>
    </w:lvl>
  </w:abstractNum>
  <w:abstractNum w:abstractNumId="30">
    <w:nsid w:val="15A7C4FD"/>
    <w:multiLevelType w:val="singleLevel"/>
    <w:tmpl w:val="15A7C4FD"/>
    <w:lvl w:ilvl="0" w:tentative="0">
      <w:start w:val="1"/>
      <w:numFmt w:val="decimal"/>
      <w:lvlText w:val="%1."/>
      <w:lvlJc w:val="left"/>
      <w:pPr>
        <w:ind w:left="425" w:hanging="425"/>
      </w:pPr>
      <w:rPr>
        <w:rFonts w:hint="default"/>
      </w:rPr>
    </w:lvl>
  </w:abstractNum>
  <w:abstractNum w:abstractNumId="31">
    <w:nsid w:val="1F8196E8"/>
    <w:multiLevelType w:val="singleLevel"/>
    <w:tmpl w:val="1F8196E8"/>
    <w:lvl w:ilvl="0" w:tentative="0">
      <w:start w:val="1"/>
      <w:numFmt w:val="decimal"/>
      <w:lvlText w:val="(%1)"/>
      <w:lvlJc w:val="left"/>
      <w:pPr>
        <w:ind w:left="425" w:hanging="425"/>
      </w:pPr>
      <w:rPr>
        <w:rFonts w:hint="default"/>
      </w:rPr>
    </w:lvl>
  </w:abstractNum>
  <w:abstractNum w:abstractNumId="32">
    <w:nsid w:val="2056F178"/>
    <w:multiLevelType w:val="multilevel"/>
    <w:tmpl w:val="2056F178"/>
    <w:lvl w:ilvl="0" w:tentative="0">
      <w:start w:val="1"/>
      <w:numFmt w:val="decimal"/>
      <w:suff w:val="space"/>
      <w:lvlText w:val="%1."/>
      <w:lvlJc w:val="left"/>
      <w:pPr>
        <w:ind w:left="624" w:hanging="624"/>
      </w:pPr>
      <w:rPr>
        <w:rFonts w:hint="default" w:ascii="宋体" w:hAnsi="宋体" w:eastAsia="宋体" w:cs="宋体"/>
        <w:b/>
        <w:i w:val="0"/>
      </w:rPr>
    </w:lvl>
    <w:lvl w:ilvl="1" w:tentative="0">
      <w:start w:val="1"/>
      <w:numFmt w:val="decimal"/>
      <w:suff w:val="space"/>
      <w:lvlText w:val="%1.%2"/>
      <w:lvlJc w:val="left"/>
      <w:pPr>
        <w:ind w:left="624" w:hanging="624"/>
      </w:pPr>
      <w:rPr>
        <w:rFonts w:hint="default" w:ascii="宋体" w:hAnsi="宋体" w:eastAsia="宋体" w:cs="宋体"/>
        <w:b w:val="0"/>
        <w:bCs w:val="0"/>
        <w:i w:val="0"/>
        <w:color w:val="auto"/>
        <w:sz w:val="24"/>
        <w:szCs w:val="24"/>
      </w:rPr>
    </w:lvl>
    <w:lvl w:ilvl="2" w:tentative="0">
      <w:start w:val="1"/>
      <w:numFmt w:val="decimal"/>
      <w:suff w:val="space"/>
      <w:lvlText w:val="%1.%2.%3."/>
      <w:lvlJc w:val="left"/>
      <w:pPr>
        <w:ind w:left="709" w:hanging="709"/>
      </w:pPr>
      <w:rPr>
        <w:rFonts w:hint="default" w:ascii="宋体" w:hAnsi="宋体" w:eastAsia="宋体" w:cs="宋体"/>
      </w:rPr>
    </w:lvl>
    <w:lvl w:ilvl="3" w:tentative="0">
      <w:start w:val="1"/>
      <w:numFmt w:val="decimal"/>
      <w:suff w:val="space"/>
      <w:lvlText w:val="%1.%2.%3.%4."/>
      <w:lvlJc w:val="left"/>
      <w:pPr>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2767BC46"/>
    <w:multiLevelType w:val="singleLevel"/>
    <w:tmpl w:val="2767BC46"/>
    <w:lvl w:ilvl="0" w:tentative="0">
      <w:start w:val="1"/>
      <w:numFmt w:val="decimal"/>
      <w:lvlText w:val="(%1)"/>
      <w:lvlJc w:val="left"/>
      <w:pPr>
        <w:ind w:left="425" w:hanging="425"/>
      </w:pPr>
      <w:rPr>
        <w:rFonts w:hint="default"/>
      </w:rPr>
    </w:lvl>
  </w:abstractNum>
  <w:abstractNum w:abstractNumId="34">
    <w:nsid w:val="2AF33EBD"/>
    <w:multiLevelType w:val="multilevel"/>
    <w:tmpl w:val="2AF33EBD"/>
    <w:lvl w:ilvl="0" w:tentative="0">
      <w:start w:val="1"/>
      <w:numFmt w:val="decimal"/>
      <w:lvlText w:val="（%1）"/>
      <w:lvlJc w:val="left"/>
      <w:pPr>
        <w:tabs>
          <w:tab w:val="left" w:pos="652"/>
        </w:tabs>
        <w:ind w:left="1106" w:hanging="680"/>
      </w:pPr>
      <w:rPr>
        <w:rFonts w:hint="eastAsia"/>
      </w:rPr>
    </w:lvl>
    <w:lvl w:ilvl="1" w:tentative="0">
      <w:start w:val="1"/>
      <w:numFmt w:val="lowerLetter"/>
      <w:lvlText w:val="%2)"/>
      <w:lvlJc w:val="left"/>
      <w:pPr>
        <w:tabs>
          <w:tab w:val="left" w:pos="415"/>
        </w:tabs>
        <w:ind w:left="415" w:hanging="420"/>
      </w:pPr>
    </w:lvl>
    <w:lvl w:ilvl="2" w:tentative="0">
      <w:start w:val="1"/>
      <w:numFmt w:val="lowerRoman"/>
      <w:lvlText w:val="%3."/>
      <w:lvlJc w:val="right"/>
      <w:pPr>
        <w:tabs>
          <w:tab w:val="left" w:pos="835"/>
        </w:tabs>
        <w:ind w:left="835" w:hanging="420"/>
      </w:pPr>
    </w:lvl>
    <w:lvl w:ilvl="3" w:tentative="0">
      <w:start w:val="1"/>
      <w:numFmt w:val="decimal"/>
      <w:lvlText w:val="%4."/>
      <w:lvlJc w:val="left"/>
      <w:pPr>
        <w:tabs>
          <w:tab w:val="left" w:pos="1255"/>
        </w:tabs>
        <w:ind w:left="1255" w:hanging="420"/>
      </w:pPr>
    </w:lvl>
    <w:lvl w:ilvl="4" w:tentative="0">
      <w:start w:val="1"/>
      <w:numFmt w:val="lowerLetter"/>
      <w:lvlText w:val="%5)"/>
      <w:lvlJc w:val="left"/>
      <w:pPr>
        <w:tabs>
          <w:tab w:val="left" w:pos="1675"/>
        </w:tabs>
        <w:ind w:left="1675" w:hanging="420"/>
      </w:pPr>
    </w:lvl>
    <w:lvl w:ilvl="5" w:tentative="0">
      <w:start w:val="1"/>
      <w:numFmt w:val="lowerRoman"/>
      <w:lvlText w:val="%6."/>
      <w:lvlJc w:val="right"/>
      <w:pPr>
        <w:tabs>
          <w:tab w:val="left" w:pos="2095"/>
        </w:tabs>
        <w:ind w:left="2095" w:hanging="420"/>
      </w:pPr>
    </w:lvl>
    <w:lvl w:ilvl="6" w:tentative="0">
      <w:start w:val="1"/>
      <w:numFmt w:val="decimal"/>
      <w:lvlText w:val="%7."/>
      <w:lvlJc w:val="left"/>
      <w:pPr>
        <w:tabs>
          <w:tab w:val="left" w:pos="2515"/>
        </w:tabs>
        <w:ind w:left="2515" w:hanging="420"/>
      </w:pPr>
    </w:lvl>
    <w:lvl w:ilvl="7" w:tentative="0">
      <w:start w:val="1"/>
      <w:numFmt w:val="lowerLetter"/>
      <w:lvlText w:val="%8)"/>
      <w:lvlJc w:val="left"/>
      <w:pPr>
        <w:tabs>
          <w:tab w:val="left" w:pos="2935"/>
        </w:tabs>
        <w:ind w:left="2935" w:hanging="420"/>
      </w:pPr>
    </w:lvl>
    <w:lvl w:ilvl="8" w:tentative="0">
      <w:start w:val="1"/>
      <w:numFmt w:val="lowerRoman"/>
      <w:lvlText w:val="%9."/>
      <w:lvlJc w:val="right"/>
      <w:pPr>
        <w:tabs>
          <w:tab w:val="left" w:pos="3355"/>
        </w:tabs>
        <w:ind w:left="3355" w:hanging="420"/>
      </w:pPr>
    </w:lvl>
  </w:abstractNum>
  <w:abstractNum w:abstractNumId="35">
    <w:nsid w:val="324DD2EE"/>
    <w:multiLevelType w:val="singleLevel"/>
    <w:tmpl w:val="324DD2EE"/>
    <w:lvl w:ilvl="0" w:tentative="0">
      <w:start w:val="1"/>
      <w:numFmt w:val="decimal"/>
      <w:lvlText w:val="%1."/>
      <w:lvlJc w:val="left"/>
      <w:pPr>
        <w:ind w:left="425" w:hanging="425"/>
      </w:pPr>
      <w:rPr>
        <w:rFonts w:hint="default"/>
      </w:rPr>
    </w:lvl>
  </w:abstractNum>
  <w:abstractNum w:abstractNumId="36">
    <w:nsid w:val="45D53754"/>
    <w:multiLevelType w:val="singleLevel"/>
    <w:tmpl w:val="45D53754"/>
    <w:lvl w:ilvl="0" w:tentative="0">
      <w:start w:val="1"/>
      <w:numFmt w:val="decimal"/>
      <w:lvlText w:val="%1."/>
      <w:lvlJc w:val="left"/>
      <w:pPr>
        <w:ind w:left="425" w:hanging="425"/>
      </w:pPr>
      <w:rPr>
        <w:rFonts w:hint="default"/>
      </w:rPr>
    </w:lvl>
  </w:abstractNum>
  <w:abstractNum w:abstractNumId="37">
    <w:nsid w:val="464CD398"/>
    <w:multiLevelType w:val="singleLevel"/>
    <w:tmpl w:val="464CD398"/>
    <w:lvl w:ilvl="0" w:tentative="0">
      <w:start w:val="1"/>
      <w:numFmt w:val="decimal"/>
      <w:lvlText w:val="%1."/>
      <w:lvlJc w:val="left"/>
      <w:pPr>
        <w:ind w:left="425" w:hanging="425"/>
      </w:pPr>
      <w:rPr>
        <w:rFonts w:hint="default"/>
      </w:rPr>
    </w:lvl>
  </w:abstractNum>
  <w:abstractNum w:abstractNumId="38">
    <w:nsid w:val="4D83CE11"/>
    <w:multiLevelType w:val="singleLevel"/>
    <w:tmpl w:val="4D83CE11"/>
    <w:lvl w:ilvl="0" w:tentative="0">
      <w:start w:val="1"/>
      <w:numFmt w:val="chineseCounting"/>
      <w:suff w:val="nothing"/>
      <w:lvlText w:val="（%1）"/>
      <w:lvlJc w:val="left"/>
      <w:pPr>
        <w:ind w:left="0" w:firstLine="420"/>
      </w:pPr>
      <w:rPr>
        <w:rFonts w:hint="eastAsia"/>
      </w:rPr>
    </w:lvl>
  </w:abstractNum>
  <w:abstractNum w:abstractNumId="39">
    <w:nsid w:val="516CD22D"/>
    <w:multiLevelType w:val="singleLevel"/>
    <w:tmpl w:val="516CD22D"/>
    <w:lvl w:ilvl="0" w:tentative="0">
      <w:start w:val="1"/>
      <w:numFmt w:val="decimal"/>
      <w:lvlText w:val="%1."/>
      <w:lvlJc w:val="left"/>
      <w:pPr>
        <w:ind w:left="425" w:hanging="425"/>
      </w:pPr>
      <w:rPr>
        <w:rFonts w:hint="default"/>
      </w:rPr>
    </w:lvl>
  </w:abstractNum>
  <w:abstractNum w:abstractNumId="40">
    <w:nsid w:val="55ADAA3D"/>
    <w:multiLevelType w:val="singleLevel"/>
    <w:tmpl w:val="55ADAA3D"/>
    <w:lvl w:ilvl="0" w:tentative="0">
      <w:start w:val="1"/>
      <w:numFmt w:val="decimal"/>
      <w:lvlText w:val="%1."/>
      <w:lvlJc w:val="left"/>
      <w:pPr>
        <w:ind w:left="425" w:hanging="425"/>
      </w:pPr>
      <w:rPr>
        <w:rFonts w:hint="default"/>
      </w:rPr>
    </w:lvl>
  </w:abstractNum>
  <w:abstractNum w:abstractNumId="41">
    <w:nsid w:val="5B991B26"/>
    <w:multiLevelType w:val="singleLevel"/>
    <w:tmpl w:val="5B991B26"/>
    <w:lvl w:ilvl="0" w:tentative="0">
      <w:start w:val="1"/>
      <w:numFmt w:val="decimal"/>
      <w:lvlText w:val="%1."/>
      <w:lvlJc w:val="left"/>
      <w:pPr>
        <w:ind w:left="425" w:hanging="425"/>
      </w:pPr>
      <w:rPr>
        <w:rFonts w:hint="default"/>
      </w:rPr>
    </w:lvl>
  </w:abstractNum>
  <w:abstractNum w:abstractNumId="42">
    <w:nsid w:val="5E036EA0"/>
    <w:multiLevelType w:val="singleLevel"/>
    <w:tmpl w:val="5E036EA0"/>
    <w:lvl w:ilvl="0" w:tentative="0">
      <w:start w:val="1"/>
      <w:numFmt w:val="decimal"/>
      <w:lvlText w:val="%1."/>
      <w:lvlJc w:val="left"/>
      <w:pPr>
        <w:ind w:left="425" w:hanging="425"/>
      </w:pPr>
      <w:rPr>
        <w:rFonts w:hint="default"/>
      </w:rPr>
    </w:lvl>
  </w:abstractNum>
  <w:abstractNum w:abstractNumId="43">
    <w:nsid w:val="5E92D89C"/>
    <w:multiLevelType w:val="multilevel"/>
    <w:tmpl w:val="5E92D89C"/>
    <w:lvl w:ilvl="0" w:tentative="0">
      <w:start w:val="1"/>
      <w:numFmt w:val="decimal"/>
      <w:lvlText w:val="%1."/>
      <w:lvlJc w:val="left"/>
      <w:pPr>
        <w:tabs>
          <w:tab w:val="left" w:pos="780"/>
        </w:tabs>
        <w:ind w:left="780" w:hanging="360"/>
      </w:pPr>
      <w:rPr>
        <w:rFonts w:hint="default" w:ascii="宋体" w:hAnsi="宋体" w:eastAsia="宋体" w:cs="宋体"/>
      </w:rPr>
    </w:lvl>
    <w:lvl w:ilvl="1" w:tentative="0">
      <w:start w:val="1"/>
      <w:numFmt w:val="lowerLetter"/>
      <w:lvlText w:val="%2)"/>
      <w:lvlJc w:val="left"/>
      <w:pPr>
        <w:tabs>
          <w:tab w:val="left" w:pos="420"/>
        </w:tabs>
        <w:ind w:left="420" w:hanging="420"/>
      </w:pPr>
      <w:rPr>
        <w:rFonts w:cs="Times New Roman"/>
      </w:rPr>
    </w:lvl>
    <w:lvl w:ilvl="2" w:tentative="0">
      <w:start w:val="1"/>
      <w:numFmt w:val="lowerRoman"/>
      <w:lvlText w:val="%3."/>
      <w:lvlJc w:val="right"/>
      <w:pPr>
        <w:tabs>
          <w:tab w:val="left" w:pos="840"/>
        </w:tabs>
        <w:ind w:left="840" w:hanging="420"/>
      </w:pPr>
      <w:rPr>
        <w:rFonts w:cs="Times New Roman"/>
      </w:rPr>
    </w:lvl>
    <w:lvl w:ilvl="3" w:tentative="0">
      <w:start w:val="1"/>
      <w:numFmt w:val="decimal"/>
      <w:lvlText w:val="%4."/>
      <w:lvlJc w:val="left"/>
      <w:pPr>
        <w:tabs>
          <w:tab w:val="left" w:pos="1260"/>
        </w:tabs>
        <w:ind w:left="1260" w:hanging="420"/>
      </w:pPr>
      <w:rPr>
        <w:rFonts w:cs="Times New Roman"/>
      </w:rPr>
    </w:lvl>
    <w:lvl w:ilvl="4" w:tentative="0">
      <w:start w:val="1"/>
      <w:numFmt w:val="lowerLetter"/>
      <w:lvlText w:val="%5)"/>
      <w:lvlJc w:val="left"/>
      <w:pPr>
        <w:tabs>
          <w:tab w:val="left" w:pos="1680"/>
        </w:tabs>
        <w:ind w:left="1680" w:hanging="420"/>
      </w:pPr>
      <w:rPr>
        <w:rFonts w:cs="Times New Roman"/>
      </w:rPr>
    </w:lvl>
    <w:lvl w:ilvl="5" w:tentative="0">
      <w:start w:val="1"/>
      <w:numFmt w:val="lowerRoman"/>
      <w:lvlText w:val="%6."/>
      <w:lvlJc w:val="right"/>
      <w:pPr>
        <w:tabs>
          <w:tab w:val="left" w:pos="2100"/>
        </w:tabs>
        <w:ind w:left="2100" w:hanging="420"/>
      </w:pPr>
      <w:rPr>
        <w:rFonts w:cs="Times New Roman"/>
      </w:rPr>
    </w:lvl>
    <w:lvl w:ilvl="6" w:tentative="0">
      <w:start w:val="1"/>
      <w:numFmt w:val="decimal"/>
      <w:lvlText w:val="%7."/>
      <w:lvlJc w:val="left"/>
      <w:pPr>
        <w:tabs>
          <w:tab w:val="left" w:pos="2520"/>
        </w:tabs>
        <w:ind w:left="2520" w:hanging="420"/>
      </w:pPr>
      <w:rPr>
        <w:rFonts w:cs="Times New Roman"/>
      </w:rPr>
    </w:lvl>
    <w:lvl w:ilvl="7" w:tentative="0">
      <w:start w:val="1"/>
      <w:numFmt w:val="lowerLetter"/>
      <w:lvlText w:val="%8)"/>
      <w:lvlJc w:val="left"/>
      <w:pPr>
        <w:tabs>
          <w:tab w:val="left" w:pos="2940"/>
        </w:tabs>
        <w:ind w:left="2940" w:hanging="420"/>
      </w:pPr>
      <w:rPr>
        <w:rFonts w:cs="Times New Roman"/>
      </w:rPr>
    </w:lvl>
    <w:lvl w:ilvl="8" w:tentative="0">
      <w:start w:val="1"/>
      <w:numFmt w:val="lowerRoman"/>
      <w:lvlText w:val="%9."/>
      <w:lvlJc w:val="right"/>
      <w:pPr>
        <w:tabs>
          <w:tab w:val="left" w:pos="3360"/>
        </w:tabs>
        <w:ind w:left="3360" w:hanging="420"/>
      </w:pPr>
      <w:rPr>
        <w:rFonts w:cs="Times New Roman"/>
      </w:rPr>
    </w:lvl>
  </w:abstractNum>
  <w:abstractNum w:abstractNumId="44">
    <w:nsid w:val="5EBEEADD"/>
    <w:multiLevelType w:val="singleLevel"/>
    <w:tmpl w:val="5EBEEADD"/>
    <w:lvl w:ilvl="0" w:tentative="0">
      <w:start w:val="1"/>
      <w:numFmt w:val="chineseCounting"/>
      <w:suff w:val="nothing"/>
      <w:lvlText w:val="（%1）"/>
      <w:lvlJc w:val="left"/>
      <w:pPr>
        <w:ind w:left="0" w:firstLine="420"/>
      </w:pPr>
      <w:rPr>
        <w:rFonts w:hint="eastAsia"/>
      </w:rPr>
    </w:lvl>
  </w:abstractNum>
  <w:abstractNum w:abstractNumId="45">
    <w:nsid w:val="671857F2"/>
    <w:multiLevelType w:val="singleLevel"/>
    <w:tmpl w:val="671857F2"/>
    <w:lvl w:ilvl="0" w:tentative="0">
      <w:start w:val="1"/>
      <w:numFmt w:val="decimal"/>
      <w:lvlText w:val="%1."/>
      <w:lvlJc w:val="left"/>
      <w:pPr>
        <w:ind w:left="425" w:hanging="425"/>
      </w:pPr>
      <w:rPr>
        <w:rFonts w:hint="default"/>
      </w:rPr>
    </w:lvl>
  </w:abstractNum>
  <w:abstractNum w:abstractNumId="46">
    <w:nsid w:val="6B470B6A"/>
    <w:multiLevelType w:val="singleLevel"/>
    <w:tmpl w:val="6B470B6A"/>
    <w:lvl w:ilvl="0" w:tentative="0">
      <w:start w:val="1"/>
      <w:numFmt w:val="chineseCounting"/>
      <w:suff w:val="nothing"/>
      <w:lvlText w:val="（%1）"/>
      <w:lvlJc w:val="left"/>
      <w:pPr>
        <w:ind w:left="0" w:firstLine="420"/>
      </w:pPr>
      <w:rPr>
        <w:rFonts w:hint="eastAsia"/>
      </w:rPr>
    </w:lvl>
  </w:abstractNum>
  <w:abstractNum w:abstractNumId="47">
    <w:nsid w:val="6B4FEF5D"/>
    <w:multiLevelType w:val="singleLevel"/>
    <w:tmpl w:val="6B4FEF5D"/>
    <w:lvl w:ilvl="0" w:tentative="0">
      <w:start w:val="1"/>
      <w:numFmt w:val="chineseCounting"/>
      <w:suff w:val="nothing"/>
      <w:lvlText w:val="（%1）"/>
      <w:lvlJc w:val="left"/>
      <w:pPr>
        <w:ind w:left="0" w:firstLine="420"/>
      </w:pPr>
      <w:rPr>
        <w:rFonts w:hint="eastAsia"/>
      </w:rPr>
    </w:lvl>
  </w:abstractNum>
  <w:abstractNum w:abstractNumId="48">
    <w:nsid w:val="743442DA"/>
    <w:multiLevelType w:val="singleLevel"/>
    <w:tmpl w:val="743442DA"/>
    <w:lvl w:ilvl="0" w:tentative="0">
      <w:start w:val="1"/>
      <w:numFmt w:val="decimal"/>
      <w:lvlText w:val="%1."/>
      <w:lvlJc w:val="left"/>
      <w:pPr>
        <w:ind w:left="425" w:hanging="425"/>
      </w:pPr>
      <w:rPr>
        <w:rFonts w:hint="default"/>
      </w:rPr>
    </w:lvl>
  </w:abstractNum>
  <w:abstractNum w:abstractNumId="49">
    <w:nsid w:val="7BE0831C"/>
    <w:multiLevelType w:val="singleLevel"/>
    <w:tmpl w:val="7BE0831C"/>
    <w:lvl w:ilvl="0" w:tentative="0">
      <w:start w:val="1"/>
      <w:numFmt w:val="chineseCounting"/>
      <w:suff w:val="nothing"/>
      <w:lvlText w:val="%1、"/>
      <w:lvlJc w:val="left"/>
      <w:pPr>
        <w:ind w:left="0" w:firstLine="420"/>
      </w:pPr>
      <w:rPr>
        <w:rFonts w:hint="eastAsia"/>
      </w:rPr>
    </w:lvl>
  </w:abstractNum>
  <w:abstractNum w:abstractNumId="50">
    <w:nsid w:val="7CABA109"/>
    <w:multiLevelType w:val="singleLevel"/>
    <w:tmpl w:val="7CABA109"/>
    <w:lvl w:ilvl="0" w:tentative="0">
      <w:start w:val="2"/>
      <w:numFmt w:val="chineseCounting"/>
      <w:suff w:val="nothing"/>
      <w:lvlText w:val="%1、"/>
      <w:lvlJc w:val="left"/>
      <w:pPr>
        <w:ind w:left="0" w:firstLine="420"/>
      </w:pPr>
      <w:rPr>
        <w:rFonts w:hint="eastAsia"/>
      </w:rPr>
    </w:lvl>
  </w:abstractNum>
  <w:abstractNum w:abstractNumId="51">
    <w:nsid w:val="7D207E09"/>
    <w:multiLevelType w:val="multilevel"/>
    <w:tmpl w:val="7D207E09"/>
    <w:lvl w:ilvl="0" w:tentative="0">
      <w:start w:val="1"/>
      <w:numFmt w:val="decimal"/>
      <w:lvlText w:val="%1."/>
      <w:lvlJc w:val="left"/>
      <w:pPr>
        <w:tabs>
          <w:tab w:val="left" w:pos="624"/>
        </w:tabs>
        <w:ind w:left="624" w:hanging="624"/>
      </w:pPr>
      <w:rPr>
        <w:rFonts w:hint="default" w:ascii="宋体" w:hAnsi="宋体" w:eastAsia="宋体" w:cs="宋体"/>
        <w:b/>
        <w:i w:val="0"/>
      </w:rPr>
    </w:lvl>
    <w:lvl w:ilvl="1" w:tentative="0">
      <w:start w:val="1"/>
      <w:numFmt w:val="decimal"/>
      <w:lvlText w:val="%1.%2"/>
      <w:lvlJc w:val="left"/>
      <w:pPr>
        <w:tabs>
          <w:tab w:val="left" w:pos="624"/>
        </w:tabs>
        <w:ind w:left="624" w:hanging="624"/>
      </w:pPr>
      <w:rPr>
        <w:rFonts w:hint="default" w:ascii="宋体" w:hAnsi="宋体" w:eastAsia="宋体" w:cs="宋体"/>
        <w:b w:val="0"/>
        <w:i w:val="0"/>
        <w:sz w:val="24"/>
        <w:szCs w:val="24"/>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7D207E14"/>
    <w:multiLevelType w:val="multilevel"/>
    <w:tmpl w:val="7D207E1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7D207E2D"/>
    <w:multiLevelType w:val="multilevel"/>
    <w:tmpl w:val="7D207E2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7D662F0F"/>
    <w:multiLevelType w:val="singleLevel"/>
    <w:tmpl w:val="7D662F0F"/>
    <w:lvl w:ilvl="0" w:tentative="0">
      <w:start w:val="1"/>
      <w:numFmt w:val="decimal"/>
      <w:lvlText w:val="%1."/>
      <w:lvlJc w:val="left"/>
      <w:pPr>
        <w:ind w:left="425" w:hanging="425"/>
      </w:pPr>
      <w:rPr>
        <w:rFonts w:hint="default"/>
      </w:rPr>
    </w:lvl>
  </w:abstractNum>
  <w:num w:numId="1">
    <w:abstractNumId w:val="22"/>
  </w:num>
  <w:num w:numId="2">
    <w:abstractNumId w:val="49"/>
  </w:num>
  <w:num w:numId="3">
    <w:abstractNumId w:val="19"/>
  </w:num>
  <w:num w:numId="4">
    <w:abstractNumId w:val="50"/>
  </w:num>
  <w:num w:numId="5">
    <w:abstractNumId w:val="40"/>
  </w:num>
  <w:num w:numId="6">
    <w:abstractNumId w:val="33"/>
  </w:num>
  <w:num w:numId="7">
    <w:abstractNumId w:val="36"/>
  </w:num>
  <w:num w:numId="8">
    <w:abstractNumId w:val="17"/>
  </w:num>
  <w:num w:numId="9">
    <w:abstractNumId w:val="54"/>
  </w:num>
  <w:num w:numId="10">
    <w:abstractNumId w:val="9"/>
  </w:num>
  <w:num w:numId="11">
    <w:abstractNumId w:val="32"/>
  </w:num>
  <w:num w:numId="12">
    <w:abstractNumId w:val="5"/>
  </w:num>
  <w:num w:numId="13">
    <w:abstractNumId w:val="37"/>
  </w:num>
  <w:num w:numId="14">
    <w:abstractNumId w:val="41"/>
  </w:num>
  <w:num w:numId="15">
    <w:abstractNumId w:val="24"/>
  </w:num>
  <w:num w:numId="16">
    <w:abstractNumId w:val="16"/>
  </w:num>
  <w:num w:numId="17">
    <w:abstractNumId w:val="7"/>
  </w:num>
  <w:num w:numId="18">
    <w:abstractNumId w:val="42"/>
  </w:num>
  <w:num w:numId="19">
    <w:abstractNumId w:val="48"/>
  </w:num>
  <w:num w:numId="20">
    <w:abstractNumId w:val="30"/>
  </w:num>
  <w:num w:numId="21">
    <w:abstractNumId w:val="15"/>
  </w:num>
  <w:num w:numId="22">
    <w:abstractNumId w:val="2"/>
  </w:num>
  <w:num w:numId="23">
    <w:abstractNumId w:val="31"/>
  </w:num>
  <w:num w:numId="24">
    <w:abstractNumId w:val="28"/>
  </w:num>
  <w:num w:numId="25">
    <w:abstractNumId w:val="21"/>
  </w:num>
  <w:num w:numId="26">
    <w:abstractNumId w:val="25"/>
  </w:num>
  <w:num w:numId="27">
    <w:abstractNumId w:val="20"/>
  </w:num>
  <w:num w:numId="28">
    <w:abstractNumId w:val="34"/>
  </w:num>
  <w:num w:numId="29">
    <w:abstractNumId w:val="13"/>
  </w:num>
  <w:num w:numId="30">
    <w:abstractNumId w:val="51"/>
  </w:num>
  <w:num w:numId="31">
    <w:abstractNumId w:val="12"/>
  </w:num>
  <w:num w:numId="32">
    <w:abstractNumId w:val="18"/>
  </w:num>
  <w:num w:numId="33">
    <w:abstractNumId w:val="38"/>
  </w:num>
  <w:num w:numId="34">
    <w:abstractNumId w:val="6"/>
  </w:num>
  <w:num w:numId="35">
    <w:abstractNumId w:val="10"/>
  </w:num>
  <w:num w:numId="36">
    <w:abstractNumId w:val="39"/>
  </w:num>
  <w:num w:numId="37">
    <w:abstractNumId w:val="47"/>
  </w:num>
  <w:num w:numId="38">
    <w:abstractNumId w:val="8"/>
  </w:num>
  <w:num w:numId="39">
    <w:abstractNumId w:val="44"/>
  </w:num>
  <w:num w:numId="40">
    <w:abstractNumId w:val="46"/>
  </w:num>
  <w:num w:numId="41">
    <w:abstractNumId w:val="4"/>
  </w:num>
  <w:num w:numId="42">
    <w:abstractNumId w:val="1"/>
  </w:num>
  <w:num w:numId="43">
    <w:abstractNumId w:val="14"/>
  </w:num>
  <w:num w:numId="44">
    <w:abstractNumId w:val="35"/>
  </w:num>
  <w:num w:numId="45">
    <w:abstractNumId w:val="3"/>
  </w:num>
  <w:num w:numId="46">
    <w:abstractNumId w:val="29"/>
  </w:num>
  <w:num w:numId="47">
    <w:abstractNumId w:val="27"/>
  </w:num>
  <w:num w:numId="48">
    <w:abstractNumId w:val="0"/>
  </w:num>
  <w:num w:numId="49">
    <w:abstractNumId w:val="11"/>
  </w:num>
  <w:num w:numId="50">
    <w:abstractNumId w:val="45"/>
  </w:num>
  <w:num w:numId="51">
    <w:abstractNumId w:val="26"/>
  </w:num>
  <w:num w:numId="52">
    <w:abstractNumId w:val="23"/>
  </w:num>
  <w:num w:numId="53">
    <w:abstractNumId w:val="52"/>
  </w:num>
  <w:num w:numId="54">
    <w:abstractNumId w:val="53"/>
  </w:num>
  <w:num w:numId="5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MGRlYmFhMDY4ZGFlY2M5MDRlY2I2ZGEwNGJhYzgifQ=="/>
  </w:docVars>
  <w:rsids>
    <w:rsidRoot w:val="11E72552"/>
    <w:rsid w:val="006B43D9"/>
    <w:rsid w:val="00AE65C6"/>
    <w:rsid w:val="00BE7797"/>
    <w:rsid w:val="00EC3250"/>
    <w:rsid w:val="00ED3CE4"/>
    <w:rsid w:val="01253372"/>
    <w:rsid w:val="015843AC"/>
    <w:rsid w:val="01921AA3"/>
    <w:rsid w:val="01A87700"/>
    <w:rsid w:val="02414958"/>
    <w:rsid w:val="025A5C68"/>
    <w:rsid w:val="0305345B"/>
    <w:rsid w:val="03A21007"/>
    <w:rsid w:val="03A2514E"/>
    <w:rsid w:val="03B37031"/>
    <w:rsid w:val="03F37758"/>
    <w:rsid w:val="04423799"/>
    <w:rsid w:val="04FC263C"/>
    <w:rsid w:val="052D4EEB"/>
    <w:rsid w:val="052F542F"/>
    <w:rsid w:val="05D13AC9"/>
    <w:rsid w:val="05DD2118"/>
    <w:rsid w:val="066C559F"/>
    <w:rsid w:val="06BD229F"/>
    <w:rsid w:val="06DC0977"/>
    <w:rsid w:val="071224BF"/>
    <w:rsid w:val="074C7075"/>
    <w:rsid w:val="078D7EC3"/>
    <w:rsid w:val="07D000B4"/>
    <w:rsid w:val="07EC2E3C"/>
    <w:rsid w:val="084E7652"/>
    <w:rsid w:val="08523894"/>
    <w:rsid w:val="08C86C66"/>
    <w:rsid w:val="08C90A87"/>
    <w:rsid w:val="08E753B1"/>
    <w:rsid w:val="08FC6826"/>
    <w:rsid w:val="09453F67"/>
    <w:rsid w:val="094C1CE0"/>
    <w:rsid w:val="098F7F23"/>
    <w:rsid w:val="0A587545"/>
    <w:rsid w:val="0A627034"/>
    <w:rsid w:val="0A6833CF"/>
    <w:rsid w:val="0B4D45A7"/>
    <w:rsid w:val="0B595C8F"/>
    <w:rsid w:val="0BD339A2"/>
    <w:rsid w:val="0C2268BC"/>
    <w:rsid w:val="0C803B53"/>
    <w:rsid w:val="0C913FB2"/>
    <w:rsid w:val="0CA21D1B"/>
    <w:rsid w:val="0CEF1490"/>
    <w:rsid w:val="0D1B1ACD"/>
    <w:rsid w:val="0D215336"/>
    <w:rsid w:val="0D9D3660"/>
    <w:rsid w:val="0E0E7A2B"/>
    <w:rsid w:val="0E7F0ABA"/>
    <w:rsid w:val="0ED9579C"/>
    <w:rsid w:val="0EF85E12"/>
    <w:rsid w:val="0F4611B0"/>
    <w:rsid w:val="0F501F02"/>
    <w:rsid w:val="0F9C6EF5"/>
    <w:rsid w:val="0FEF6374"/>
    <w:rsid w:val="106A6FF4"/>
    <w:rsid w:val="10EF163D"/>
    <w:rsid w:val="11335637"/>
    <w:rsid w:val="11710867"/>
    <w:rsid w:val="11B511EB"/>
    <w:rsid w:val="11C47376"/>
    <w:rsid w:val="11E72552"/>
    <w:rsid w:val="127B43F7"/>
    <w:rsid w:val="12D21FC6"/>
    <w:rsid w:val="12FA450A"/>
    <w:rsid w:val="13107E1F"/>
    <w:rsid w:val="13153225"/>
    <w:rsid w:val="1351449B"/>
    <w:rsid w:val="137912FC"/>
    <w:rsid w:val="14261483"/>
    <w:rsid w:val="144E09DA"/>
    <w:rsid w:val="14506500"/>
    <w:rsid w:val="14AB4DE7"/>
    <w:rsid w:val="14C40BA3"/>
    <w:rsid w:val="14DD05D4"/>
    <w:rsid w:val="14EC6AE9"/>
    <w:rsid w:val="14F05D28"/>
    <w:rsid w:val="15B12FCF"/>
    <w:rsid w:val="161A6DC6"/>
    <w:rsid w:val="16C10B69"/>
    <w:rsid w:val="17563E2E"/>
    <w:rsid w:val="17795D6E"/>
    <w:rsid w:val="177B7D38"/>
    <w:rsid w:val="18552E42"/>
    <w:rsid w:val="185F2A28"/>
    <w:rsid w:val="1860735B"/>
    <w:rsid w:val="18730A0F"/>
    <w:rsid w:val="19550115"/>
    <w:rsid w:val="19755B64"/>
    <w:rsid w:val="19AE7E3F"/>
    <w:rsid w:val="19C77265"/>
    <w:rsid w:val="19C84D8B"/>
    <w:rsid w:val="19E85173"/>
    <w:rsid w:val="1AB6261D"/>
    <w:rsid w:val="1AC71EA6"/>
    <w:rsid w:val="1AF81D29"/>
    <w:rsid w:val="1AFC2ED4"/>
    <w:rsid w:val="1AFF1443"/>
    <w:rsid w:val="1B016238"/>
    <w:rsid w:val="1C8F0461"/>
    <w:rsid w:val="1D3D1785"/>
    <w:rsid w:val="1DC414DB"/>
    <w:rsid w:val="1E522E75"/>
    <w:rsid w:val="1E62755C"/>
    <w:rsid w:val="1E71299B"/>
    <w:rsid w:val="1E731769"/>
    <w:rsid w:val="1E823209"/>
    <w:rsid w:val="1EB12BED"/>
    <w:rsid w:val="1EC14360"/>
    <w:rsid w:val="1ECC21F6"/>
    <w:rsid w:val="1F6B74E6"/>
    <w:rsid w:val="1F8F25D3"/>
    <w:rsid w:val="1FE6720D"/>
    <w:rsid w:val="201A4329"/>
    <w:rsid w:val="203901FA"/>
    <w:rsid w:val="20803D07"/>
    <w:rsid w:val="20CE518C"/>
    <w:rsid w:val="20D52267"/>
    <w:rsid w:val="20F75C67"/>
    <w:rsid w:val="212213DB"/>
    <w:rsid w:val="214F1B3C"/>
    <w:rsid w:val="220A5F40"/>
    <w:rsid w:val="229B4DEB"/>
    <w:rsid w:val="22E870F2"/>
    <w:rsid w:val="22EA7B20"/>
    <w:rsid w:val="231A6657"/>
    <w:rsid w:val="232079E6"/>
    <w:rsid w:val="23353491"/>
    <w:rsid w:val="235E2C87"/>
    <w:rsid w:val="23C0442C"/>
    <w:rsid w:val="254F5CEC"/>
    <w:rsid w:val="267E5EAB"/>
    <w:rsid w:val="26887D7C"/>
    <w:rsid w:val="26F42199"/>
    <w:rsid w:val="26FE003E"/>
    <w:rsid w:val="276808A7"/>
    <w:rsid w:val="276E3AFD"/>
    <w:rsid w:val="27AE736E"/>
    <w:rsid w:val="27B84691"/>
    <w:rsid w:val="28384C03"/>
    <w:rsid w:val="28487BD0"/>
    <w:rsid w:val="28C7618E"/>
    <w:rsid w:val="28D8007D"/>
    <w:rsid w:val="290C4C94"/>
    <w:rsid w:val="2913457E"/>
    <w:rsid w:val="29CD2B92"/>
    <w:rsid w:val="2A000270"/>
    <w:rsid w:val="2A6A6FA4"/>
    <w:rsid w:val="2AA01437"/>
    <w:rsid w:val="2AD10FC0"/>
    <w:rsid w:val="2B035C23"/>
    <w:rsid w:val="2B2160A9"/>
    <w:rsid w:val="2B522706"/>
    <w:rsid w:val="2B73700C"/>
    <w:rsid w:val="2B8C6B3F"/>
    <w:rsid w:val="2BA70CA4"/>
    <w:rsid w:val="2BB807BB"/>
    <w:rsid w:val="2BF21021"/>
    <w:rsid w:val="2C1F074F"/>
    <w:rsid w:val="2C321CD1"/>
    <w:rsid w:val="2C3B3233"/>
    <w:rsid w:val="2C411435"/>
    <w:rsid w:val="2CCD4D91"/>
    <w:rsid w:val="2CD86C3B"/>
    <w:rsid w:val="2D340315"/>
    <w:rsid w:val="2D4D587B"/>
    <w:rsid w:val="2D8A564D"/>
    <w:rsid w:val="2D8F19F0"/>
    <w:rsid w:val="2DDE3BAC"/>
    <w:rsid w:val="2DF40F32"/>
    <w:rsid w:val="2E2760CC"/>
    <w:rsid w:val="2E344345"/>
    <w:rsid w:val="2F086852"/>
    <w:rsid w:val="2F5065EE"/>
    <w:rsid w:val="2F9961B4"/>
    <w:rsid w:val="2FC71915"/>
    <w:rsid w:val="2FDA6C3E"/>
    <w:rsid w:val="2FF67B04"/>
    <w:rsid w:val="300761B5"/>
    <w:rsid w:val="30A6777C"/>
    <w:rsid w:val="30AA08EF"/>
    <w:rsid w:val="30D815BD"/>
    <w:rsid w:val="313D7A21"/>
    <w:rsid w:val="313E0256"/>
    <w:rsid w:val="31A1312E"/>
    <w:rsid w:val="31E6583E"/>
    <w:rsid w:val="33243B49"/>
    <w:rsid w:val="333C57B1"/>
    <w:rsid w:val="33E54CB2"/>
    <w:rsid w:val="34635034"/>
    <w:rsid w:val="34AF5971"/>
    <w:rsid w:val="34F15947"/>
    <w:rsid w:val="35233328"/>
    <w:rsid w:val="357D7760"/>
    <w:rsid w:val="35845BB2"/>
    <w:rsid w:val="359350A8"/>
    <w:rsid w:val="35B16516"/>
    <w:rsid w:val="36272220"/>
    <w:rsid w:val="38593326"/>
    <w:rsid w:val="38602906"/>
    <w:rsid w:val="38657F1D"/>
    <w:rsid w:val="38AE18BD"/>
    <w:rsid w:val="38BC22B3"/>
    <w:rsid w:val="38CF3F5A"/>
    <w:rsid w:val="38EA217A"/>
    <w:rsid w:val="38F31085"/>
    <w:rsid w:val="38FF3EEB"/>
    <w:rsid w:val="39671A73"/>
    <w:rsid w:val="39A532FE"/>
    <w:rsid w:val="39CB0253"/>
    <w:rsid w:val="3A0948D8"/>
    <w:rsid w:val="3A2C5DDB"/>
    <w:rsid w:val="3A9B5E78"/>
    <w:rsid w:val="3AD332D3"/>
    <w:rsid w:val="3AD969A0"/>
    <w:rsid w:val="3AFA7F9B"/>
    <w:rsid w:val="3B5B5607"/>
    <w:rsid w:val="3C3A33FB"/>
    <w:rsid w:val="3D7D1865"/>
    <w:rsid w:val="3DA45043"/>
    <w:rsid w:val="3DE17041"/>
    <w:rsid w:val="3E495CDD"/>
    <w:rsid w:val="3E817133"/>
    <w:rsid w:val="3F1E7077"/>
    <w:rsid w:val="3FB1195F"/>
    <w:rsid w:val="3FC65D6C"/>
    <w:rsid w:val="3FC75019"/>
    <w:rsid w:val="3FFF47B3"/>
    <w:rsid w:val="400C6ED0"/>
    <w:rsid w:val="405D57D3"/>
    <w:rsid w:val="40AD4F36"/>
    <w:rsid w:val="40CD665F"/>
    <w:rsid w:val="40CF6725"/>
    <w:rsid w:val="40F63E08"/>
    <w:rsid w:val="4199411A"/>
    <w:rsid w:val="41AF35A9"/>
    <w:rsid w:val="422F28D9"/>
    <w:rsid w:val="424010B3"/>
    <w:rsid w:val="43036368"/>
    <w:rsid w:val="438B1580"/>
    <w:rsid w:val="439972F7"/>
    <w:rsid w:val="43BB6C43"/>
    <w:rsid w:val="442454D0"/>
    <w:rsid w:val="44586B88"/>
    <w:rsid w:val="44A818BD"/>
    <w:rsid w:val="45634D66"/>
    <w:rsid w:val="457F25AC"/>
    <w:rsid w:val="45B64921"/>
    <w:rsid w:val="463B1E29"/>
    <w:rsid w:val="47BB4A40"/>
    <w:rsid w:val="47E12E91"/>
    <w:rsid w:val="480C61BA"/>
    <w:rsid w:val="48CD1D17"/>
    <w:rsid w:val="49060960"/>
    <w:rsid w:val="49541530"/>
    <w:rsid w:val="49C262A2"/>
    <w:rsid w:val="49D337FD"/>
    <w:rsid w:val="49F96E81"/>
    <w:rsid w:val="4A1573B8"/>
    <w:rsid w:val="4B341CCE"/>
    <w:rsid w:val="4B3814C1"/>
    <w:rsid w:val="4B775B45"/>
    <w:rsid w:val="4B8464B4"/>
    <w:rsid w:val="4B980FFD"/>
    <w:rsid w:val="4C407627"/>
    <w:rsid w:val="4DB82445"/>
    <w:rsid w:val="4E1619F8"/>
    <w:rsid w:val="4E1F1629"/>
    <w:rsid w:val="4E3751B8"/>
    <w:rsid w:val="4E593C28"/>
    <w:rsid w:val="4E9407BC"/>
    <w:rsid w:val="4EB64BD7"/>
    <w:rsid w:val="4EC51196"/>
    <w:rsid w:val="4EC52981"/>
    <w:rsid w:val="4F1A26E6"/>
    <w:rsid w:val="4F467383"/>
    <w:rsid w:val="4F610FE6"/>
    <w:rsid w:val="4F7E3822"/>
    <w:rsid w:val="4F870321"/>
    <w:rsid w:val="50B5705D"/>
    <w:rsid w:val="50C35389"/>
    <w:rsid w:val="51840FBC"/>
    <w:rsid w:val="51B8087A"/>
    <w:rsid w:val="520018B5"/>
    <w:rsid w:val="52191360"/>
    <w:rsid w:val="523D5DD0"/>
    <w:rsid w:val="52466271"/>
    <w:rsid w:val="532349C0"/>
    <w:rsid w:val="53731601"/>
    <w:rsid w:val="53774AC0"/>
    <w:rsid w:val="53811B3A"/>
    <w:rsid w:val="53ED725D"/>
    <w:rsid w:val="540705B0"/>
    <w:rsid w:val="54763165"/>
    <w:rsid w:val="54AC78C8"/>
    <w:rsid w:val="54AD6A7C"/>
    <w:rsid w:val="54DF4D95"/>
    <w:rsid w:val="55195EBF"/>
    <w:rsid w:val="55E22B38"/>
    <w:rsid w:val="55EE10FA"/>
    <w:rsid w:val="55FB3FEE"/>
    <w:rsid w:val="573963A5"/>
    <w:rsid w:val="57697F72"/>
    <w:rsid w:val="576C677A"/>
    <w:rsid w:val="577D22B9"/>
    <w:rsid w:val="57886286"/>
    <w:rsid w:val="57D10DA1"/>
    <w:rsid w:val="5826529A"/>
    <w:rsid w:val="58F93D32"/>
    <w:rsid w:val="5906675A"/>
    <w:rsid w:val="59722042"/>
    <w:rsid w:val="59861649"/>
    <w:rsid w:val="5988716F"/>
    <w:rsid w:val="59C4289D"/>
    <w:rsid w:val="59DB5C30"/>
    <w:rsid w:val="5A2F35C8"/>
    <w:rsid w:val="5A7E6940"/>
    <w:rsid w:val="5A81078E"/>
    <w:rsid w:val="5AA817C4"/>
    <w:rsid w:val="5AFE6240"/>
    <w:rsid w:val="5B0867BA"/>
    <w:rsid w:val="5B0942E0"/>
    <w:rsid w:val="5B1868E7"/>
    <w:rsid w:val="5BD92403"/>
    <w:rsid w:val="5C56525A"/>
    <w:rsid w:val="5CFA4828"/>
    <w:rsid w:val="5CFD7E74"/>
    <w:rsid w:val="5D4E5740"/>
    <w:rsid w:val="5D5277DD"/>
    <w:rsid w:val="5DD13A6C"/>
    <w:rsid w:val="5DFB2606"/>
    <w:rsid w:val="5E053485"/>
    <w:rsid w:val="5E065686"/>
    <w:rsid w:val="5E3E0745"/>
    <w:rsid w:val="5E4C7B6F"/>
    <w:rsid w:val="5E850647"/>
    <w:rsid w:val="5E9422A5"/>
    <w:rsid w:val="5E984194"/>
    <w:rsid w:val="5EB42BD6"/>
    <w:rsid w:val="5F6B37BB"/>
    <w:rsid w:val="5FB17821"/>
    <w:rsid w:val="5FEB22F5"/>
    <w:rsid w:val="6091419F"/>
    <w:rsid w:val="60963B2E"/>
    <w:rsid w:val="609B00E6"/>
    <w:rsid w:val="60BD3BA3"/>
    <w:rsid w:val="6223037D"/>
    <w:rsid w:val="624913A5"/>
    <w:rsid w:val="62E07E5B"/>
    <w:rsid w:val="62F12229"/>
    <w:rsid w:val="633839B4"/>
    <w:rsid w:val="63A60F6F"/>
    <w:rsid w:val="63C90AB0"/>
    <w:rsid w:val="642503DD"/>
    <w:rsid w:val="64550596"/>
    <w:rsid w:val="64E22594"/>
    <w:rsid w:val="64E35BA2"/>
    <w:rsid w:val="653417D4"/>
    <w:rsid w:val="65BF660F"/>
    <w:rsid w:val="663D0E6A"/>
    <w:rsid w:val="66474579"/>
    <w:rsid w:val="669F2D91"/>
    <w:rsid w:val="66CB4B3F"/>
    <w:rsid w:val="67892A30"/>
    <w:rsid w:val="67ED3FAD"/>
    <w:rsid w:val="6832131A"/>
    <w:rsid w:val="685C5429"/>
    <w:rsid w:val="68DB3760"/>
    <w:rsid w:val="68FC264B"/>
    <w:rsid w:val="694F3806"/>
    <w:rsid w:val="69C935B8"/>
    <w:rsid w:val="6A0F2939"/>
    <w:rsid w:val="6A247652"/>
    <w:rsid w:val="6A890F99"/>
    <w:rsid w:val="6AD20049"/>
    <w:rsid w:val="6B060B84"/>
    <w:rsid w:val="6B5567E2"/>
    <w:rsid w:val="6B7639AE"/>
    <w:rsid w:val="6B9E2823"/>
    <w:rsid w:val="6BC07E6B"/>
    <w:rsid w:val="6BD91AAD"/>
    <w:rsid w:val="6BFF1513"/>
    <w:rsid w:val="6C206903"/>
    <w:rsid w:val="6C845220"/>
    <w:rsid w:val="6C9A2A2E"/>
    <w:rsid w:val="6CA67BE1"/>
    <w:rsid w:val="6CB35813"/>
    <w:rsid w:val="6CB56076"/>
    <w:rsid w:val="6DB75E64"/>
    <w:rsid w:val="6EE606DE"/>
    <w:rsid w:val="6F3864FC"/>
    <w:rsid w:val="6F5D497B"/>
    <w:rsid w:val="6F9D176F"/>
    <w:rsid w:val="702B2A5E"/>
    <w:rsid w:val="70BF3967"/>
    <w:rsid w:val="71685DAD"/>
    <w:rsid w:val="72651420"/>
    <w:rsid w:val="73353A6C"/>
    <w:rsid w:val="743D6361"/>
    <w:rsid w:val="74601C18"/>
    <w:rsid w:val="748F58E9"/>
    <w:rsid w:val="74B60BDD"/>
    <w:rsid w:val="759A5549"/>
    <w:rsid w:val="75B3511C"/>
    <w:rsid w:val="75B644B6"/>
    <w:rsid w:val="75F62549"/>
    <w:rsid w:val="75FC4D15"/>
    <w:rsid w:val="7604134D"/>
    <w:rsid w:val="764C4872"/>
    <w:rsid w:val="77525111"/>
    <w:rsid w:val="77694926"/>
    <w:rsid w:val="77813724"/>
    <w:rsid w:val="78623556"/>
    <w:rsid w:val="78770683"/>
    <w:rsid w:val="787C15C3"/>
    <w:rsid w:val="787C3EEC"/>
    <w:rsid w:val="78F63C9E"/>
    <w:rsid w:val="790F6B0E"/>
    <w:rsid w:val="794D45CF"/>
    <w:rsid w:val="796B01E8"/>
    <w:rsid w:val="79AD4310"/>
    <w:rsid w:val="7A8A0B42"/>
    <w:rsid w:val="7B215454"/>
    <w:rsid w:val="7B2965AD"/>
    <w:rsid w:val="7B315461"/>
    <w:rsid w:val="7B354F51"/>
    <w:rsid w:val="7BDE442C"/>
    <w:rsid w:val="7BF546E1"/>
    <w:rsid w:val="7C350F81"/>
    <w:rsid w:val="7C6929D9"/>
    <w:rsid w:val="7CB93960"/>
    <w:rsid w:val="7CC145C3"/>
    <w:rsid w:val="7D971CF7"/>
    <w:rsid w:val="7E0C40B3"/>
    <w:rsid w:val="7E4E00D8"/>
    <w:rsid w:val="7E6B0C8A"/>
    <w:rsid w:val="7E760E2D"/>
    <w:rsid w:val="7EDE145C"/>
    <w:rsid w:val="7EEF00F3"/>
    <w:rsid w:val="7F572FBC"/>
    <w:rsid w:val="7FBE636E"/>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after="330" w:afterLines="0" w:line="576" w:lineRule="auto"/>
      <w:outlineLvl w:val="0"/>
    </w:pPr>
    <w:rPr>
      <w:kern w:val="44"/>
      <w:sz w:val="44"/>
      <w:szCs w:val="44"/>
    </w:rPr>
  </w:style>
  <w:style w:type="paragraph" w:styleId="4">
    <w:name w:val="heading 2"/>
    <w:basedOn w:val="1"/>
    <w:next w:val="1"/>
    <w:autoRedefine/>
    <w:qFormat/>
    <w:uiPriority w:val="0"/>
    <w:pPr>
      <w:keepNext/>
      <w:keepLines/>
      <w:numPr>
        <w:ilvl w:val="1"/>
        <w:numId w:val="1"/>
      </w:numPr>
      <w:adjustRightInd w:val="0"/>
      <w:spacing w:before="260" w:beforeLines="0" w:after="260" w:afterLines="0" w:line="416" w:lineRule="atLeast"/>
      <w:textAlignment w:val="baseline"/>
      <w:outlineLvl w:val="1"/>
    </w:pPr>
    <w:rPr>
      <w:rFonts w:ascii="Arial" w:hAnsi="Arial" w:eastAsia="黑体"/>
      <w:b/>
      <w:kern w:val="0"/>
      <w:sz w:val="32"/>
      <w:szCs w:val="20"/>
    </w:rPr>
  </w:style>
  <w:style w:type="paragraph" w:styleId="5">
    <w:name w:val="heading 3"/>
    <w:basedOn w:val="1"/>
    <w:next w:val="1"/>
    <w:autoRedefine/>
    <w:qFormat/>
    <w:uiPriority w:val="0"/>
    <w:pPr>
      <w:keepNext/>
      <w:keepLines/>
      <w:spacing w:before="260" w:after="260" w:line="412" w:lineRule="auto"/>
      <w:outlineLvl w:val="2"/>
    </w:pPr>
    <w:rPr>
      <w:b/>
      <w:sz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6">
    <w:name w:val="Normal Indent"/>
    <w:basedOn w:val="1"/>
    <w:next w:val="1"/>
    <w:autoRedefine/>
    <w:qFormat/>
    <w:uiPriority w:val="0"/>
    <w:pPr>
      <w:widowControl/>
      <w:ind w:firstLine="420" w:firstLineChars="200"/>
      <w:jc w:val="left"/>
    </w:pPr>
    <w:rPr>
      <w:kern w:val="0"/>
      <w:sz w:val="20"/>
      <w:szCs w:val="20"/>
    </w:rPr>
  </w:style>
  <w:style w:type="paragraph" w:styleId="7">
    <w:name w:val="annotation text"/>
    <w:basedOn w:val="1"/>
    <w:autoRedefine/>
    <w:unhideWhenUsed/>
    <w:qFormat/>
    <w:uiPriority w:val="99"/>
    <w:pPr>
      <w:jc w:val="left"/>
    </w:pPr>
    <w:rPr>
      <w:rFonts w:ascii="Times New Roman" w:hAnsi="Times New Roman"/>
      <w:szCs w:val="24"/>
    </w:rPr>
  </w:style>
  <w:style w:type="paragraph" w:styleId="8">
    <w:name w:val="Body Text 3"/>
    <w:basedOn w:val="1"/>
    <w:autoRedefine/>
    <w:qFormat/>
    <w:uiPriority w:val="0"/>
    <w:pPr>
      <w:spacing w:after="120"/>
    </w:pPr>
    <w:rPr>
      <w:sz w:val="16"/>
      <w:szCs w:val="16"/>
    </w:rPr>
  </w:style>
  <w:style w:type="paragraph" w:styleId="9">
    <w:name w:val="Body Text Indent"/>
    <w:basedOn w:val="1"/>
    <w:next w:val="10"/>
    <w:autoRedefine/>
    <w:unhideWhenUsed/>
    <w:qFormat/>
    <w:uiPriority w:val="0"/>
    <w:pPr>
      <w:spacing w:after="120"/>
      <w:ind w:left="420"/>
    </w:pPr>
  </w:style>
  <w:style w:type="paragraph" w:styleId="10">
    <w:name w:val="envelope return"/>
    <w:basedOn w:val="1"/>
    <w:autoRedefine/>
    <w:unhideWhenUsed/>
    <w:qFormat/>
    <w:uiPriority w:val="99"/>
    <w:pPr>
      <w:snapToGrid w:val="0"/>
    </w:pPr>
    <w:rPr>
      <w:rFonts w:ascii="Arial" w:hAnsi="Arial"/>
    </w:rPr>
  </w:style>
  <w:style w:type="paragraph" w:styleId="11">
    <w:name w:val="toc 3"/>
    <w:basedOn w:val="1"/>
    <w:next w:val="1"/>
    <w:autoRedefine/>
    <w:qFormat/>
    <w:uiPriority w:val="0"/>
    <w:pPr>
      <w:ind w:left="840" w:leftChars="400"/>
    </w:pPr>
  </w:style>
  <w:style w:type="paragraph" w:styleId="12">
    <w:name w:val="Plain Text"/>
    <w:basedOn w:val="1"/>
    <w:next w:val="1"/>
    <w:autoRedefine/>
    <w:qFormat/>
    <w:uiPriority w:val="0"/>
    <w:rPr>
      <w:rFonts w:ascii="宋体" w:hAnsi="Courier New"/>
      <w:szCs w:val="20"/>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pPr>
      <w:spacing w:before="120" w:after="120"/>
      <w:jc w:val="left"/>
    </w:pPr>
    <w:rPr>
      <w:b/>
      <w:bCs/>
      <w:caps/>
      <w:sz w:val="20"/>
      <w:szCs w:val="20"/>
    </w:rPr>
  </w:style>
  <w:style w:type="paragraph" w:styleId="16">
    <w:name w:val="toc 2"/>
    <w:basedOn w:val="1"/>
    <w:next w:val="1"/>
    <w:autoRedefine/>
    <w:qFormat/>
    <w:uiPriority w:val="0"/>
    <w:pPr>
      <w:ind w:left="420" w:leftChars="200"/>
    </w:pPr>
  </w:style>
  <w:style w:type="paragraph" w:styleId="17">
    <w:name w:val="Body Text First Indent"/>
    <w:basedOn w:val="1"/>
    <w:autoRedefine/>
    <w:qFormat/>
    <w:uiPriority w:val="0"/>
    <w:pPr>
      <w:tabs>
        <w:tab w:val="left" w:pos="420"/>
        <w:tab w:val="left" w:pos="720"/>
      </w:tabs>
      <w:ind w:firstLine="560" w:firstLineChars="200"/>
      <w:jc w:val="left"/>
    </w:pPr>
    <w:rPr>
      <w:rFonts w:ascii="Arial" w:hAnsi="Arial"/>
    </w:rPr>
  </w:style>
  <w:style w:type="paragraph" w:styleId="18">
    <w:name w:val="Body Text First Indent 2"/>
    <w:basedOn w:val="9"/>
    <w:autoRedefine/>
    <w:unhideWhenUsed/>
    <w:qFormat/>
    <w:uiPriority w:val="99"/>
    <w:pPr>
      <w:ind w:firstLine="420"/>
    </w:pPr>
    <w:rPr>
      <w:rFonts w:ascii="Times New Roman" w:hAnsi="Times New Roman"/>
      <w:szCs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rPr>
      <w:rFonts w:cs="Times New Roman"/>
    </w:rPr>
  </w:style>
  <w:style w:type="character" w:styleId="23">
    <w:name w:val="Hyperlink"/>
    <w:autoRedefine/>
    <w:qFormat/>
    <w:uiPriority w:val="0"/>
    <w:rPr>
      <w:rFonts w:cs="Times New Roman"/>
      <w:color w:val="0000FF"/>
      <w:u w:val="single"/>
    </w:rPr>
  </w:style>
  <w:style w:type="paragraph" w:styleId="24">
    <w:name w:val="List Paragraph"/>
    <w:basedOn w:val="1"/>
    <w:autoRedefine/>
    <w:qFormat/>
    <w:uiPriority w:val="34"/>
    <w:pPr>
      <w:ind w:firstLine="420" w:firstLineChars="200"/>
    </w:pPr>
  </w:style>
  <w:style w:type="paragraph" w:customStyle="1" w:styleId="25">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图"/>
    <w:basedOn w:val="1"/>
    <w:autoRedefine/>
    <w:qFormat/>
    <w:uiPriority w:val="0"/>
    <w:pPr>
      <w:keepNext/>
      <w:adjustRightInd w:val="0"/>
      <w:spacing w:before="60" w:after="60" w:line="300" w:lineRule="auto"/>
      <w:jc w:val="center"/>
      <w:textAlignment w:val="center"/>
    </w:pPr>
    <w:rPr>
      <w:spacing w:val="20"/>
      <w:kern w:val="0"/>
      <w:sz w:val="24"/>
      <w:szCs w:val="20"/>
    </w:rPr>
  </w:style>
  <w:style w:type="paragraph" w:customStyle="1" w:styleId="27">
    <w:name w:val="正文_39_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8">
    <w:name w:val="要点_1"/>
    <w:autoRedefine/>
    <w:qFormat/>
    <w:uiPriority w:val="22"/>
    <w:rPr>
      <w:b/>
      <w:bCs/>
    </w:rPr>
  </w:style>
  <w:style w:type="paragraph" w:customStyle="1" w:styleId="29">
    <w:name w:val="正文_47"/>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48"/>
    <w:autoRedefine/>
    <w:qFormat/>
    <w:uiPriority w:val="0"/>
    <w:pPr>
      <w:widowControl w:val="0"/>
      <w:jc w:val="both"/>
    </w:pPr>
    <w:rPr>
      <w:rFonts w:ascii="Times New Roman" w:hAnsi="Times New Roman" w:eastAsia="宋体" w:cs="Times New Roman"/>
      <w:kern w:val="2"/>
      <w:sz w:val="21"/>
      <w:szCs w:val="24"/>
      <w:lang w:bidi="ar-SA"/>
    </w:rPr>
  </w:style>
  <w:style w:type="character" w:customStyle="1" w:styleId="31">
    <w:name w:val="font21"/>
    <w:basedOn w:val="21"/>
    <w:autoRedefine/>
    <w:qFormat/>
    <w:uiPriority w:val="0"/>
    <w:rPr>
      <w:rFonts w:hint="eastAsia" w:ascii="宋体" w:hAnsi="宋体" w:eastAsia="宋体" w:cs="宋体"/>
      <w:color w:val="000000"/>
      <w:sz w:val="22"/>
      <w:szCs w:val="22"/>
      <w:u w:val="none"/>
    </w:rPr>
  </w:style>
  <w:style w:type="character" w:customStyle="1" w:styleId="32">
    <w:name w:val="font01"/>
    <w:basedOn w:val="21"/>
    <w:autoRedefine/>
    <w:qFormat/>
    <w:uiPriority w:val="0"/>
    <w:rPr>
      <w:rFonts w:ascii="Tahoma" w:hAnsi="Tahoma" w:eastAsia="Tahoma" w:cs="Tahoma"/>
      <w:color w:val="000000"/>
      <w:sz w:val="22"/>
      <w:szCs w:val="22"/>
      <w:u w:val="none"/>
    </w:rPr>
  </w:style>
  <w:style w:type="paragraph" w:customStyle="1" w:styleId="33">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正文_5_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
    <w:name w:val="正文_4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_4_8"/>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7">
    <w:name w:val="Intense Reference"/>
    <w:autoRedefine/>
    <w:qFormat/>
    <w:uiPriority w:val="32"/>
    <w:rPr>
      <w:b/>
      <w:bCs/>
      <w:smallCaps/>
      <w:color w:val="5B9BD5"/>
      <w:spacing w:val="5"/>
    </w:rPr>
  </w:style>
  <w:style w:type="paragraph" w:customStyle="1" w:styleId="38">
    <w:name w:val="正文_3_1_0"/>
    <w:autoRedefine/>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9">
    <w:name w:val="正文_8_1_0"/>
    <w:autoRedefine/>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0">
    <w:name w:val="正文_8_1"/>
    <w:autoRedefine/>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1">
    <w:name w:val="Normal_0_3"/>
    <w:autoRedefine/>
    <w:qFormat/>
    <w:uiPriority w:val="0"/>
    <w:rPr>
      <w:rFonts w:ascii="黑体" w:hAnsi="黑体" w:eastAsia="黑体" w:cs="Times New Roman"/>
      <w:b/>
      <w:sz w:val="32"/>
      <w:szCs w:val="24"/>
      <w:lang w:bidi="ar-SA"/>
    </w:rPr>
  </w:style>
  <w:style w:type="paragraph" w:customStyle="1" w:styleId="42">
    <w:name w:val="Normal_1_4"/>
    <w:autoRedefine/>
    <w:qFormat/>
    <w:uiPriority w:val="0"/>
    <w:pPr>
      <w:widowControl w:val="0"/>
      <w:jc w:val="both"/>
    </w:pPr>
    <w:rPr>
      <w:rFonts w:ascii="Times New Roman" w:hAnsi="Times New Roman" w:eastAsia="宋体" w:cs="Times New Roman"/>
      <w:kern w:val="2"/>
      <w:sz w:val="21"/>
      <w:szCs w:val="22"/>
      <w:lang w:bidi="ar-SA"/>
    </w:rPr>
  </w:style>
  <w:style w:type="paragraph" w:customStyle="1" w:styleId="43">
    <w:name w:val="正文_25_1"/>
    <w:autoRedefine/>
    <w:qFormat/>
    <w:uiPriority w:val="0"/>
    <w:pPr>
      <w:widowControl w:val="0"/>
      <w:jc w:val="both"/>
    </w:pPr>
    <w:rPr>
      <w:rFonts w:ascii="Times New Roman" w:hAnsi="Times New Roman" w:eastAsia="宋体" w:cs="Times New Roman"/>
      <w:color w:val="0000FF"/>
      <w:kern w:val="2"/>
      <w:sz w:val="24"/>
      <w:szCs w:val="24"/>
      <w:lang w:bidi="ar-SA"/>
    </w:rPr>
  </w:style>
  <w:style w:type="paragraph" w:customStyle="1" w:styleId="44">
    <w:name w:val="Normal_2_1"/>
    <w:autoRedefine/>
    <w:qFormat/>
    <w:uiPriority w:val="0"/>
    <w:rPr>
      <w:rFonts w:ascii="黑体" w:hAnsi="黑体" w:eastAsia="黑体" w:cs="Times New Roman"/>
      <w:b/>
      <w:sz w:val="32"/>
      <w:szCs w:val="24"/>
      <w:lang w:bidi="ar-SA"/>
    </w:rPr>
  </w:style>
  <w:style w:type="paragraph" w:customStyle="1" w:styleId="45">
    <w:name w:val="Normal_25_0"/>
    <w:autoRedefine/>
    <w:qFormat/>
    <w:uiPriority w:val="0"/>
    <w:rPr>
      <w:rFonts w:ascii="黑体" w:hAnsi="黑体" w:eastAsia="黑体" w:cs="Times New Roman"/>
      <w:b/>
      <w:sz w:val="32"/>
      <w:szCs w:val="24"/>
      <w:lang w:bidi="ar-SA"/>
    </w:rPr>
  </w:style>
  <w:style w:type="paragraph" w:customStyle="1" w:styleId="46">
    <w:name w:val="正文_22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正文_16_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正文_22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_31_1"/>
    <w:autoRedefine/>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0">
    <w:name w:val="NormalIndent"/>
    <w:basedOn w:val="1"/>
    <w:autoRedefine/>
    <w:qFormat/>
    <w:uiPriority w:val="0"/>
    <w:pPr>
      <w:ind w:firstLine="200" w:firstLineChars="200"/>
      <w:jc w:val="both"/>
    </w:pPr>
    <w:rPr>
      <w:rFonts w:eastAsia="等线"/>
      <w:kern w:val="2"/>
      <w:szCs w:val="21"/>
    </w:rPr>
  </w:style>
  <w:style w:type="paragraph" w:customStyle="1" w:styleId="51">
    <w:name w:val="Other|1"/>
    <w:basedOn w:val="1"/>
    <w:autoRedefine/>
    <w:qFormat/>
    <w:uiPriority w:val="0"/>
    <w:pPr>
      <w:widowControl w:val="0"/>
      <w:shd w:val="clear" w:color="auto" w:fill="auto"/>
      <w:spacing w:line="312" w:lineRule="exact"/>
    </w:pPr>
    <w:rPr>
      <w:rFonts w:ascii="宋体" w:hAnsi="宋体" w:eastAsia="宋体" w:cs="宋体"/>
      <w:sz w:val="20"/>
      <w:szCs w:val="20"/>
      <w:u w:val="none"/>
      <w:shd w:val="clear" w:color="auto" w:fill="auto"/>
      <w:lang w:val="zh-TW" w:eastAsia="zh-TW" w:bidi="zh-TW"/>
    </w:rPr>
  </w:style>
  <w:style w:type="paragraph" w:customStyle="1" w:styleId="52">
    <w:name w:val="Plain Text1"/>
    <w:basedOn w:val="1"/>
    <w:autoRedefine/>
    <w:qFormat/>
    <w:uiPriority w:val="0"/>
    <w:rPr>
      <w:rFonts w:ascii="宋体" w:hAnsi="Courier New" w:cs="Courier New"/>
      <w:szCs w:val="21"/>
    </w:rPr>
  </w:style>
  <w:style w:type="paragraph" w:customStyle="1" w:styleId="53">
    <w:name w:val="Default"/>
    <w:basedOn w:val="54"/>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4">
    <w:name w:val="正文_2"/>
    <w:next w:val="55"/>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Plain Text2"/>
    <w:basedOn w:val="56"/>
    <w:autoRedefine/>
    <w:qFormat/>
    <w:uiPriority w:val="0"/>
    <w:rPr>
      <w:rFonts w:ascii="宋体" w:hAnsi="Courier New" w:cs="Courier New"/>
      <w:szCs w:val="21"/>
    </w:rPr>
  </w:style>
  <w:style w:type="paragraph" w:customStyle="1" w:styleId="56">
    <w:name w:val="正文_1_0_0"/>
    <w:basedOn w:val="57"/>
    <w:next w:val="55"/>
    <w:autoRedefine/>
    <w:qFormat/>
    <w:uiPriority w:val="0"/>
  </w:style>
  <w:style w:type="paragraph" w:customStyle="1" w:styleId="57">
    <w:name w:val="正文_1_0"/>
    <w:basedOn w:val="58"/>
    <w:next w:val="55"/>
    <w:autoRedefine/>
    <w:qFormat/>
    <w:uiPriority w:val="0"/>
    <w:rPr>
      <w:rFonts w:cs="Times New Roman"/>
      <w:szCs w:val="22"/>
    </w:rPr>
  </w:style>
  <w:style w:type="paragraph" w:customStyle="1" w:styleId="58">
    <w:name w:val="正文_1"/>
    <w:next w:val="52"/>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37009</Words>
  <Characters>39308</Characters>
  <Lines>0</Lines>
  <Paragraphs>0</Paragraphs>
  <TotalTime>3</TotalTime>
  <ScaleCrop>false</ScaleCrop>
  <LinksUpToDate>false</LinksUpToDate>
  <CharactersWithSpaces>39388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2023-01-18T01:31:00Z</dcterms:created>
  <dc:creator>康上华</dc:creator>
  <cp:lastModifiedBy>招标代理-审</cp:lastModifiedBy>
  <cp:lastPrinted>2024-02-28T04:39:00Z</cp:lastPrinted>
  <dcterms:modified xsi:type="dcterms:W3CDTF">2024-02-28T09:49:48Z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F0D5D0EFE2A741C2AAF2F7FF42424C51_13</vt:lpwstr>
  </property>
</Properties>
</file>