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480"/>
        <w:jc w:val="center"/>
        <w:outlineLvl w:val="1"/>
        <w:rPr>
          <w:color w:val="auto"/>
          <w:highlight w:val="none"/>
        </w:rPr>
      </w:pPr>
      <w:r>
        <w:rPr>
          <w:b/>
          <w:color w:val="auto"/>
          <w:sz w:val="36"/>
          <w:highlight w:val="none"/>
        </w:rPr>
        <w:t>采购需求</w:t>
      </w:r>
    </w:p>
    <w:p>
      <w:pPr>
        <w:pStyle w:val="9"/>
        <w:outlineLvl w:val="2"/>
        <w:rPr>
          <w:color w:val="auto"/>
          <w:highlight w:val="none"/>
        </w:rPr>
      </w:pPr>
      <w:r>
        <w:rPr>
          <w:b/>
          <w:color w:val="auto"/>
          <w:sz w:val="28"/>
          <w:highlight w:val="none"/>
        </w:rPr>
        <w:t>一、项目概况：</w:t>
      </w:r>
    </w:p>
    <w:p>
      <w:pPr>
        <w:pStyle w:val="9"/>
        <w:ind w:firstLine="420"/>
        <w:rPr>
          <w:color w:val="auto"/>
          <w:highlight w:val="none"/>
        </w:rPr>
      </w:pPr>
      <w:r>
        <w:rPr>
          <w:rFonts w:hint="eastAsia"/>
          <w:color w:val="auto"/>
          <w:sz w:val="20"/>
          <w:highlight w:val="none"/>
          <w:lang w:val="en-US" w:eastAsia="zh-CN"/>
        </w:rPr>
        <w:t>注：</w:t>
      </w:r>
      <w:r>
        <w:rPr>
          <w:color w:val="auto"/>
          <w:sz w:val="20"/>
          <w:highlight w:val="none"/>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 环境标志产品政府采购执行机制的通知》（财库〔2019〕9号）等，以上文件如有更新，以最新文件为准。</w:t>
      </w:r>
    </w:p>
    <w:p>
      <w:pPr>
        <w:pStyle w:val="9"/>
        <w:ind w:firstLine="420"/>
        <w:jc w:val="both"/>
        <w:rPr>
          <w:rFonts w:hint="eastAsia"/>
          <w:color w:val="auto"/>
          <w:highlight w:val="none"/>
          <w:lang w:val="en-US" w:eastAsia="zh-CN"/>
        </w:rPr>
      </w:pPr>
      <w:r>
        <w:rPr>
          <w:rFonts w:hint="eastAsia"/>
          <w:color w:val="auto"/>
          <w:highlight w:val="none"/>
          <w:lang w:val="en-US" w:eastAsia="zh-CN"/>
        </w:rPr>
        <w:t>（一）项目目标</w:t>
      </w:r>
    </w:p>
    <w:p>
      <w:pPr>
        <w:pStyle w:val="9"/>
        <w:ind w:firstLine="420"/>
        <w:jc w:val="both"/>
        <w:rPr>
          <w:rFonts w:hint="eastAsia"/>
          <w:color w:val="auto"/>
          <w:highlight w:val="none"/>
          <w:lang w:val="en-US" w:eastAsia="zh-CN"/>
        </w:rPr>
      </w:pPr>
      <w:r>
        <w:rPr>
          <w:rFonts w:hint="eastAsia"/>
          <w:color w:val="auto"/>
          <w:highlight w:val="none"/>
          <w:lang w:val="en-US" w:eastAsia="zh-CN"/>
        </w:rPr>
        <w:t>按照省财政厅和佛山市“数字财政”建设工作要求，做好全市“数字政府”公共财政综合管理平台运维保障工作，确保全市各项财政业务通过平台安全、稳定、高效开展。</w:t>
      </w:r>
    </w:p>
    <w:p>
      <w:pPr>
        <w:pStyle w:val="9"/>
        <w:ind w:firstLine="420"/>
        <w:jc w:val="both"/>
        <w:rPr>
          <w:color w:val="auto"/>
          <w:highlight w:val="none"/>
        </w:rPr>
      </w:pPr>
      <w:r>
        <w:rPr>
          <w:rFonts w:hint="eastAsia"/>
          <w:color w:val="auto"/>
          <w:highlight w:val="none"/>
          <w:lang w:val="en-US" w:eastAsia="zh-CN"/>
        </w:rPr>
        <w:t>（二）</w:t>
      </w:r>
      <w:r>
        <w:rPr>
          <w:color w:val="auto"/>
          <w:sz w:val="20"/>
          <w:highlight w:val="none"/>
        </w:rPr>
        <w:t>采购需求中涉及的各类标准如有更新，以有关官方机构最新发布的现行标准版本为准。</w:t>
      </w:r>
    </w:p>
    <w:p>
      <w:pPr>
        <w:pStyle w:val="9"/>
        <w:rPr>
          <w:color w:val="auto"/>
          <w:highlight w:val="none"/>
        </w:rPr>
      </w:pPr>
    </w:p>
    <w:p>
      <w:pPr>
        <w:pStyle w:val="9"/>
        <w:rPr>
          <w:color w:val="auto"/>
          <w:highlight w:val="none"/>
        </w:rPr>
      </w:pPr>
      <w:r>
        <w:rPr>
          <w:color w:val="auto"/>
          <w:highlight w:val="none"/>
        </w:rPr>
        <w:t>采购包1（</w:t>
      </w:r>
      <w:r>
        <w:rPr>
          <w:rFonts w:hint="eastAsia"/>
          <w:color w:val="auto"/>
          <w:highlight w:val="none"/>
          <w:lang w:eastAsia="zh-CN"/>
        </w:rPr>
        <w:t>市“数字政府”公共财政综合管理平台运维（2024年）项目</w:t>
      </w:r>
      <w:r>
        <w:rPr>
          <w:color w:val="auto"/>
          <w:highlight w:val="none"/>
        </w:rPr>
        <w:t>）</w:t>
      </w:r>
      <w:r>
        <w:rPr>
          <w:b/>
          <w:color w:val="auto"/>
          <w:highlight w:val="none"/>
        </w:rPr>
        <w:t>1.主要商务要求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5"/>
        <w:gridCol w:w="66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5" w:type="dxa"/>
          </w:tcPr>
          <w:p>
            <w:pPr>
              <w:pStyle w:val="9"/>
              <w:rPr>
                <w:color w:val="auto"/>
                <w:highlight w:val="none"/>
              </w:rPr>
            </w:pPr>
            <w:r>
              <w:rPr>
                <w:color w:val="auto"/>
                <w:highlight w:val="none"/>
              </w:rPr>
              <w:t>标的提供的时间</w:t>
            </w:r>
          </w:p>
        </w:tc>
        <w:tc>
          <w:tcPr>
            <w:tcW w:w="6651" w:type="dxa"/>
          </w:tcPr>
          <w:p>
            <w:pPr>
              <w:pStyle w:val="9"/>
              <w:rPr>
                <w:color w:val="auto"/>
                <w:highlight w:val="none"/>
              </w:rPr>
            </w:pPr>
          </w:p>
          <w:p>
            <w:pPr>
              <w:pStyle w:val="9"/>
              <w:rPr>
                <w:color w:val="auto"/>
                <w:highlight w:val="none"/>
              </w:rPr>
            </w:pPr>
            <w:r>
              <w:rPr>
                <w:color w:val="auto"/>
                <w:highlight w:val="none"/>
              </w:rPr>
              <w:t>★</w:t>
            </w:r>
            <w:r>
              <w:rPr>
                <w:rFonts w:hint="eastAsia"/>
                <w:color w:val="auto"/>
                <w:highlight w:val="none"/>
                <w:lang w:eastAsia="zh-CN"/>
              </w:rPr>
              <w:t>自合同生效之日起一年</w:t>
            </w: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5" w:type="dxa"/>
          </w:tcPr>
          <w:p>
            <w:pPr>
              <w:pStyle w:val="9"/>
              <w:rPr>
                <w:color w:val="auto"/>
                <w:highlight w:val="none"/>
              </w:rPr>
            </w:pPr>
            <w:r>
              <w:rPr>
                <w:color w:val="auto"/>
                <w:highlight w:val="none"/>
              </w:rPr>
              <w:t>标的提供的地点</w:t>
            </w:r>
          </w:p>
        </w:tc>
        <w:tc>
          <w:tcPr>
            <w:tcW w:w="6651" w:type="dxa"/>
          </w:tcPr>
          <w:p>
            <w:pPr>
              <w:pStyle w:val="9"/>
              <w:rPr>
                <w:color w:val="auto"/>
                <w:highlight w:val="none"/>
              </w:rPr>
            </w:pPr>
          </w:p>
          <w:p>
            <w:pPr>
              <w:pStyle w:val="9"/>
              <w:rPr>
                <w:color w:val="auto"/>
                <w:highlight w:val="none"/>
              </w:rPr>
            </w:pPr>
            <w:r>
              <w:rPr>
                <w:color w:val="auto"/>
                <w:highlight w:val="none"/>
              </w:rPr>
              <w:t>★</w:t>
            </w:r>
            <w:r>
              <w:rPr>
                <w:rFonts w:hint="eastAsia"/>
                <w:color w:val="auto"/>
                <w:highlight w:val="none"/>
              </w:rPr>
              <w:t>佛山市财政局（采购人指定地点）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5" w:type="dxa"/>
          </w:tcPr>
          <w:p>
            <w:pPr>
              <w:pStyle w:val="9"/>
              <w:rPr>
                <w:color w:val="auto"/>
                <w:highlight w:val="none"/>
              </w:rPr>
            </w:pPr>
            <w:r>
              <w:rPr>
                <w:color w:val="auto"/>
                <w:highlight w:val="none"/>
              </w:rPr>
              <w:t>付款方式</w:t>
            </w:r>
          </w:p>
        </w:tc>
        <w:tc>
          <w:tcPr>
            <w:tcW w:w="6651" w:type="dxa"/>
            <w:vAlign w:val="top"/>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1期：支付比例50% 。</w:t>
            </w:r>
            <w:r>
              <w:rPr>
                <w:color w:val="auto"/>
                <w:highlight w:val="none"/>
              </w:rPr>
              <w:t>★</w:t>
            </w:r>
            <w:r>
              <w:rPr>
                <w:rFonts w:hint="eastAsia" w:ascii="宋体" w:hAnsi="宋体" w:eastAsia="宋体" w:cs="宋体"/>
                <w:color w:val="auto"/>
                <w:sz w:val="20"/>
                <w:szCs w:val="20"/>
                <w:highlight w:val="none"/>
              </w:rPr>
              <w:t>合同签订生效后10个工作日内</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采购人向成交供应商</w:t>
            </w:r>
            <w:r>
              <w:rPr>
                <w:rFonts w:hint="eastAsia" w:ascii="宋体" w:hAnsi="宋体" w:eastAsia="宋体" w:cs="宋体"/>
                <w:color w:val="auto"/>
                <w:sz w:val="20"/>
                <w:szCs w:val="20"/>
                <w:highlight w:val="none"/>
              </w:rPr>
              <w:t>支付合同总额的50% ；</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2期：支付比例35%。</w:t>
            </w:r>
            <w:r>
              <w:rPr>
                <w:color w:val="auto"/>
                <w:highlight w:val="none"/>
              </w:rPr>
              <w:t>★</w:t>
            </w:r>
            <w:r>
              <w:rPr>
                <w:rFonts w:hint="eastAsia" w:ascii="宋体" w:hAnsi="宋体" w:eastAsia="宋体" w:cs="宋体"/>
                <w:color w:val="auto"/>
                <w:sz w:val="20"/>
                <w:szCs w:val="20"/>
                <w:highlight w:val="none"/>
              </w:rPr>
              <w:t>项目开展5个月后的10个工作日内</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采购人向成交供应商</w:t>
            </w:r>
            <w:r>
              <w:rPr>
                <w:rFonts w:hint="eastAsia" w:ascii="宋体" w:hAnsi="宋体" w:eastAsia="宋体" w:cs="宋体"/>
                <w:color w:val="auto"/>
                <w:sz w:val="20"/>
                <w:szCs w:val="20"/>
                <w:highlight w:val="none"/>
              </w:rPr>
              <w:t>支付合同总额的35%。</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3期：支付比例15%。</w:t>
            </w:r>
            <w:r>
              <w:rPr>
                <w:color w:val="auto"/>
                <w:highlight w:val="none"/>
              </w:rPr>
              <w:t>★</w:t>
            </w:r>
            <w:r>
              <w:rPr>
                <w:rFonts w:hint="eastAsia" w:ascii="宋体" w:hAnsi="宋体" w:eastAsia="宋体" w:cs="宋体"/>
                <w:color w:val="auto"/>
                <w:sz w:val="20"/>
                <w:szCs w:val="20"/>
                <w:highlight w:val="none"/>
              </w:rPr>
              <w:t>项目总体完成后10个工作日内</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采购人向成交供应商</w:t>
            </w:r>
            <w:r>
              <w:rPr>
                <w:rFonts w:hint="eastAsia" w:ascii="宋体" w:hAnsi="宋体" w:eastAsia="宋体" w:cs="宋体"/>
                <w:color w:val="auto"/>
                <w:sz w:val="20"/>
                <w:szCs w:val="20"/>
                <w:highlight w:val="none"/>
              </w:rPr>
              <w:t>支付合同总额的15% 。</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0" w:firstLineChars="0"/>
              <w:jc w:val="left"/>
              <w:textAlignment w:val="auto"/>
              <w:rPr>
                <w:color w:val="auto"/>
                <w:sz w:val="20"/>
                <w:szCs w:val="20"/>
                <w:highlight w:val="none"/>
              </w:rPr>
            </w:pPr>
            <w:r>
              <w:rPr>
                <w:color w:val="auto"/>
                <w:highlight w:val="none"/>
              </w:rPr>
              <w:t>★</w:t>
            </w:r>
            <w:r>
              <w:rPr>
                <w:rFonts w:hint="eastAsia" w:ascii="宋体" w:hAnsi="宋体" w:eastAsia="宋体" w:cs="宋体"/>
                <w:color w:val="auto"/>
                <w:sz w:val="20"/>
                <w:szCs w:val="20"/>
                <w:highlight w:val="none"/>
              </w:rPr>
              <w:t>成交供应商向采购人提交成交供应商开具的正式发票，收款方、开票方与成交供应商一致，采购人按市级财政资金拨付审批程序进行拨付。本项目的付款时间为采购人向财政支付部门提出支付申请的时间（不含财政支付部门的审查时间）。若由于财政拨款不到位或该项目相关手续和程序因流转政府采购审批流程及办理手续而造成项目支付进度有所推延的，采购人不承担违约责任，并且此情况不能成为成交供应商拒绝提供服务的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5" w:type="dxa"/>
          </w:tcPr>
          <w:p>
            <w:pPr>
              <w:pStyle w:val="9"/>
              <w:rPr>
                <w:color w:val="auto"/>
                <w:highlight w:val="none"/>
              </w:rPr>
            </w:pPr>
            <w:r>
              <w:rPr>
                <w:color w:val="auto"/>
                <w:highlight w:val="none"/>
              </w:rPr>
              <w:t>验收要求</w:t>
            </w:r>
          </w:p>
        </w:tc>
        <w:tc>
          <w:tcPr>
            <w:tcW w:w="6651" w:type="dxa"/>
            <w:vAlign w:val="top"/>
          </w:tcPr>
          <w:p>
            <w:pPr>
              <w:keepNext w:val="0"/>
              <w:keepLines w:val="0"/>
              <w:pageBreakBefore w:val="0"/>
              <w:widowControl w:val="0"/>
              <w:tabs>
                <w:tab w:val="left" w:pos="540"/>
              </w:tabs>
              <w:kinsoku/>
              <w:wordWrap/>
              <w:overflowPunct/>
              <w:topLinePunct w:val="0"/>
              <w:bidi w:val="0"/>
              <w:spacing w:line="400" w:lineRule="exact"/>
              <w:ind w:left="200" w:leftChars="0" w:hanging="200" w:hangingChars="100"/>
              <w:textAlignment w:val="auto"/>
              <w:rPr>
                <w:color w:val="auto"/>
                <w:sz w:val="20"/>
                <w:szCs w:val="20"/>
                <w:highlight w:val="none"/>
              </w:rPr>
            </w:pPr>
            <w:r>
              <w:rPr>
                <w:rFonts w:hint="eastAsia" w:ascii="宋体" w:hAnsi="宋体" w:eastAsia="宋体" w:cs="宋体"/>
                <w:color w:val="auto"/>
                <w:sz w:val="20"/>
                <w:szCs w:val="20"/>
                <w:highlight w:val="none"/>
                <w:lang w:val="en-US" w:eastAsia="zh-CN"/>
              </w:rPr>
              <w:t>1期：</w:t>
            </w:r>
            <w:r>
              <w:rPr>
                <w:rFonts w:hint="default" w:ascii="宋体" w:hAnsi="宋体" w:eastAsia="宋体" w:cs="宋体"/>
                <w:color w:val="auto"/>
                <w:sz w:val="20"/>
                <w:szCs w:val="20"/>
                <w:highlight w:val="none"/>
              </w:rPr>
              <w:t>按合同履约执行。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5" w:type="dxa"/>
          </w:tcPr>
          <w:p>
            <w:pPr>
              <w:pStyle w:val="9"/>
              <w:rPr>
                <w:color w:val="auto"/>
                <w:highlight w:val="none"/>
              </w:rPr>
            </w:pPr>
            <w:r>
              <w:rPr>
                <w:color w:val="auto"/>
                <w:highlight w:val="none"/>
              </w:rPr>
              <w:t>履约保证金</w:t>
            </w:r>
          </w:p>
        </w:tc>
        <w:tc>
          <w:tcPr>
            <w:tcW w:w="6651" w:type="dxa"/>
            <w:vAlign w:val="top"/>
          </w:tcPr>
          <w:p>
            <w:pPr>
              <w:keepNext w:val="0"/>
              <w:keepLines w:val="0"/>
              <w:pageBreakBefore w:val="0"/>
              <w:widowControl w:val="0"/>
              <w:kinsoku/>
              <w:wordWrap/>
              <w:overflowPunct/>
              <w:topLinePunct w:val="0"/>
              <w:bidi w:val="0"/>
              <w:spacing w:line="400" w:lineRule="exact"/>
              <w:textAlignment w:val="auto"/>
              <w:rPr>
                <w:color w:val="auto"/>
                <w:sz w:val="20"/>
                <w:szCs w:val="20"/>
                <w:highlight w:val="none"/>
              </w:rPr>
            </w:pPr>
            <w:r>
              <w:rPr>
                <w:rFonts w:hint="eastAsia" w:ascii="宋体" w:hAnsi="宋体" w:eastAsia="宋体" w:cs="宋体"/>
                <w:color w:val="auto"/>
                <w:sz w:val="20"/>
                <w:szCs w:val="20"/>
                <w:highlight w:val="none"/>
                <w:lang w:val="en-US" w:eastAsia="zh-CN"/>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5" w:type="dxa"/>
          </w:tcPr>
          <w:p>
            <w:pPr>
              <w:pStyle w:val="9"/>
              <w:rPr>
                <w:color w:val="auto"/>
                <w:highlight w:val="none"/>
              </w:rPr>
            </w:pPr>
            <w:r>
              <w:rPr>
                <w:color w:val="auto"/>
                <w:highlight w:val="none"/>
              </w:rPr>
              <w:t>其他</w:t>
            </w:r>
          </w:p>
        </w:tc>
        <w:tc>
          <w:tcPr>
            <w:tcW w:w="6651" w:type="dxa"/>
          </w:tcPr>
          <w:p>
            <w:pPr>
              <w:rPr>
                <w:color w:val="auto"/>
                <w:highlight w:val="none"/>
              </w:rPr>
            </w:pPr>
          </w:p>
        </w:tc>
      </w:tr>
    </w:tbl>
    <w:p>
      <w:pPr>
        <w:pStyle w:val="9"/>
        <w:rPr>
          <w:color w:val="auto"/>
          <w:highlight w:val="none"/>
        </w:rPr>
      </w:pPr>
    </w:p>
    <w:p>
      <w:pPr>
        <w:pStyle w:val="9"/>
        <w:rPr>
          <w:color w:val="auto"/>
          <w:highlight w:val="none"/>
        </w:rPr>
      </w:pPr>
      <w:r>
        <w:rPr>
          <w:color w:val="auto"/>
          <w:highlight w:val="none"/>
        </w:rPr>
        <w:t>其他商务需求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5"/>
        <w:gridCol w:w="750"/>
        <w:gridCol w:w="1363"/>
        <w:gridCol w:w="5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5" w:type="dxa"/>
          </w:tcPr>
          <w:p>
            <w:pPr>
              <w:pStyle w:val="9"/>
              <w:jc w:val="center"/>
              <w:rPr>
                <w:color w:val="auto"/>
                <w:highlight w:val="none"/>
              </w:rPr>
            </w:pPr>
            <w:r>
              <w:rPr>
                <w:color w:val="auto"/>
                <w:highlight w:val="none"/>
              </w:rPr>
              <w:t>参数性质</w:t>
            </w:r>
          </w:p>
        </w:tc>
        <w:tc>
          <w:tcPr>
            <w:tcW w:w="750" w:type="dxa"/>
          </w:tcPr>
          <w:p>
            <w:pPr>
              <w:pStyle w:val="9"/>
              <w:jc w:val="center"/>
              <w:rPr>
                <w:color w:val="auto"/>
                <w:highlight w:val="none"/>
              </w:rPr>
            </w:pPr>
            <w:r>
              <w:rPr>
                <w:color w:val="auto"/>
                <w:highlight w:val="none"/>
              </w:rPr>
              <w:t>编号</w:t>
            </w:r>
          </w:p>
        </w:tc>
        <w:tc>
          <w:tcPr>
            <w:tcW w:w="1363" w:type="dxa"/>
          </w:tcPr>
          <w:p>
            <w:pPr>
              <w:pStyle w:val="9"/>
              <w:jc w:val="center"/>
              <w:rPr>
                <w:color w:val="auto"/>
                <w:highlight w:val="none"/>
              </w:rPr>
            </w:pPr>
            <w:r>
              <w:rPr>
                <w:color w:val="auto"/>
                <w:highlight w:val="none"/>
              </w:rPr>
              <w:t>内容明细</w:t>
            </w:r>
          </w:p>
        </w:tc>
        <w:tc>
          <w:tcPr>
            <w:tcW w:w="5026" w:type="dxa"/>
          </w:tcPr>
          <w:p>
            <w:pPr>
              <w:pStyle w:val="9"/>
              <w:jc w:val="center"/>
              <w:rPr>
                <w:color w:val="auto"/>
                <w:highlight w:val="none"/>
              </w:rPr>
            </w:pPr>
            <w:r>
              <w:rPr>
                <w:color w:val="auto"/>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5" w:type="dxa"/>
          </w:tcPr>
          <w:p>
            <w:pPr>
              <w:pStyle w:val="9"/>
              <w:jc w:val="center"/>
              <w:rPr>
                <w:color w:val="auto"/>
                <w:highlight w:val="none"/>
              </w:rPr>
            </w:pPr>
            <w:r>
              <w:rPr>
                <w:color w:val="auto"/>
                <w:highlight w:val="none"/>
              </w:rPr>
              <w:t>★</w:t>
            </w:r>
          </w:p>
        </w:tc>
        <w:tc>
          <w:tcPr>
            <w:tcW w:w="750" w:type="dxa"/>
          </w:tcPr>
          <w:p>
            <w:pPr>
              <w:pStyle w:val="9"/>
              <w:jc w:val="center"/>
              <w:rPr>
                <w:color w:val="auto"/>
                <w:highlight w:val="none"/>
              </w:rPr>
            </w:pPr>
            <w:r>
              <w:rPr>
                <w:color w:val="auto"/>
                <w:highlight w:val="none"/>
              </w:rPr>
              <w:t>1</w:t>
            </w:r>
          </w:p>
        </w:tc>
        <w:tc>
          <w:tcPr>
            <w:tcW w:w="1363" w:type="dxa"/>
          </w:tcPr>
          <w:p>
            <w:pPr>
              <w:pStyle w:val="9"/>
              <w:jc w:val="left"/>
              <w:rPr>
                <w:color w:val="auto"/>
                <w:highlight w:val="none"/>
              </w:rPr>
            </w:pPr>
            <w:r>
              <w:rPr>
                <w:color w:val="auto"/>
                <w:highlight w:val="none"/>
              </w:rPr>
              <w:t>报价要求</w:t>
            </w:r>
          </w:p>
        </w:tc>
        <w:tc>
          <w:tcPr>
            <w:tcW w:w="5026" w:type="dxa"/>
          </w:tcPr>
          <w:p>
            <w:pPr>
              <w:pStyle w:val="9"/>
              <w:jc w:val="left"/>
              <w:rPr>
                <w:rFonts w:hint="eastAsia"/>
                <w:color w:val="auto"/>
                <w:highlight w:val="none"/>
              </w:rPr>
            </w:pPr>
            <w:r>
              <w:rPr>
                <w:rFonts w:hint="eastAsia"/>
                <w:color w:val="auto"/>
                <w:highlight w:val="none"/>
              </w:rPr>
              <w:t>1）项目预算金额：人民币2,</w:t>
            </w:r>
            <w:r>
              <w:rPr>
                <w:rFonts w:hint="eastAsia"/>
                <w:color w:val="auto"/>
                <w:highlight w:val="none"/>
                <w:lang w:val="en-US" w:eastAsia="zh-CN"/>
              </w:rPr>
              <w:t>27</w:t>
            </w:r>
            <w:r>
              <w:rPr>
                <w:rFonts w:hint="eastAsia"/>
                <w:color w:val="auto"/>
                <w:highlight w:val="none"/>
              </w:rPr>
              <w:t>5,000.00元，</w:t>
            </w:r>
            <w:r>
              <w:rPr>
                <w:rFonts w:hint="eastAsia"/>
                <w:color w:val="auto"/>
                <w:highlight w:val="none"/>
                <w:lang w:val="en-US" w:eastAsia="zh-CN"/>
              </w:rPr>
              <w:t>磋商</w:t>
            </w:r>
            <w:r>
              <w:rPr>
                <w:rFonts w:hint="eastAsia"/>
                <w:color w:val="auto"/>
                <w:highlight w:val="none"/>
              </w:rPr>
              <w:t>报价若超过项目预算金额的，将被视为</w:t>
            </w:r>
            <w:r>
              <w:rPr>
                <w:rFonts w:hint="eastAsia"/>
                <w:color w:val="auto"/>
                <w:highlight w:val="none"/>
                <w:lang w:val="en-US" w:eastAsia="zh-CN"/>
              </w:rPr>
              <w:t>磋商</w:t>
            </w:r>
            <w:r>
              <w:rPr>
                <w:rFonts w:hint="eastAsia"/>
                <w:color w:val="auto"/>
                <w:highlight w:val="none"/>
              </w:rPr>
              <w:t xml:space="preserve">无效。 </w:t>
            </w:r>
          </w:p>
          <w:p>
            <w:pPr>
              <w:pStyle w:val="9"/>
              <w:jc w:val="left"/>
              <w:rPr>
                <w:rFonts w:hint="eastAsia"/>
                <w:color w:val="auto"/>
                <w:highlight w:val="none"/>
              </w:rPr>
            </w:pPr>
            <w:r>
              <w:rPr>
                <w:rFonts w:hint="eastAsia"/>
                <w:color w:val="auto"/>
                <w:highlight w:val="none"/>
              </w:rPr>
              <w:t>2）本项目报价为总价包干，以人民币元为结算单位，包括不限于系统运维、人工、培训、税费等一切费用，以及合同实施过程中可预见和不可预见的全部费用。</w:t>
            </w:r>
          </w:p>
          <w:p>
            <w:pPr>
              <w:pStyle w:val="9"/>
              <w:jc w:val="left"/>
              <w:rPr>
                <w:color w:val="auto"/>
                <w:highlight w:val="none"/>
              </w:rPr>
            </w:pPr>
            <w:r>
              <w:rPr>
                <w:rFonts w:hint="eastAsia"/>
                <w:color w:val="auto"/>
                <w:highlight w:val="none"/>
              </w:rPr>
              <w:t xml:space="preserve">3）成交供应商必须自行考虑在项目实施期间的一切可能产生的费用，在项目的实施过程中，采购人除了支付合同付款方式中规定的款项外，一切合同规定外的费用将拒绝支付。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5" w:type="dxa"/>
          </w:tcPr>
          <w:p>
            <w:pPr>
              <w:pStyle w:val="9"/>
              <w:jc w:val="center"/>
              <w:rPr>
                <w:color w:val="auto"/>
                <w:highlight w:val="none"/>
              </w:rPr>
            </w:pPr>
            <w:r>
              <w:rPr>
                <w:color w:val="auto"/>
                <w:highlight w:val="none"/>
              </w:rPr>
              <w:t>★</w:t>
            </w:r>
          </w:p>
        </w:tc>
        <w:tc>
          <w:tcPr>
            <w:tcW w:w="750" w:type="dxa"/>
          </w:tcPr>
          <w:p>
            <w:pPr>
              <w:pStyle w:val="9"/>
              <w:jc w:val="center"/>
              <w:rPr>
                <w:color w:val="auto"/>
                <w:highlight w:val="none"/>
              </w:rPr>
            </w:pPr>
            <w:r>
              <w:rPr>
                <w:color w:val="auto"/>
                <w:highlight w:val="none"/>
              </w:rPr>
              <w:t>2</w:t>
            </w:r>
          </w:p>
        </w:tc>
        <w:tc>
          <w:tcPr>
            <w:tcW w:w="1363" w:type="dxa"/>
          </w:tcPr>
          <w:p>
            <w:pPr>
              <w:pStyle w:val="9"/>
              <w:jc w:val="left"/>
              <w:rPr>
                <w:color w:val="auto"/>
                <w:highlight w:val="none"/>
              </w:rPr>
            </w:pPr>
            <w:r>
              <w:rPr>
                <w:rFonts w:hint="eastAsia"/>
                <w:color w:val="auto"/>
                <w:highlight w:val="none"/>
              </w:rPr>
              <w:t>人员要求</w:t>
            </w:r>
          </w:p>
        </w:tc>
        <w:tc>
          <w:tcPr>
            <w:tcW w:w="5026" w:type="dxa"/>
          </w:tcPr>
          <w:p>
            <w:pPr>
              <w:numPr>
                <w:ilvl w:val="0"/>
                <w:numId w:val="0"/>
              </w:numPr>
              <w:rPr>
                <w:rFonts w:hint="eastAsia"/>
                <w:color w:val="auto"/>
                <w:highlight w:val="none"/>
              </w:rPr>
            </w:pPr>
            <w:r>
              <w:rPr>
                <w:rFonts w:hint="eastAsia"/>
                <w:color w:val="auto"/>
                <w:highlight w:val="none"/>
                <w:lang w:val="en-US" w:eastAsia="zh-CN"/>
              </w:rPr>
              <w:t>由成交供应商派驻不少于</w:t>
            </w:r>
            <w:r>
              <w:rPr>
                <w:rFonts w:hint="eastAsia"/>
                <w:color w:val="auto"/>
                <w:highlight w:val="none"/>
              </w:rPr>
              <w:t>12名工程师</w:t>
            </w:r>
            <w:r>
              <w:rPr>
                <w:rFonts w:hint="eastAsia"/>
                <w:color w:val="auto"/>
                <w:highlight w:val="none"/>
                <w:lang w:val="en-US" w:eastAsia="zh-CN"/>
              </w:rPr>
              <w:t>提供</w:t>
            </w:r>
            <w:r>
              <w:rPr>
                <w:rFonts w:hint="eastAsia"/>
                <w:color w:val="auto"/>
                <w:highlight w:val="none"/>
              </w:rPr>
              <w:t>驻点运维</w:t>
            </w:r>
            <w:r>
              <w:rPr>
                <w:rFonts w:hint="eastAsia"/>
                <w:color w:val="auto"/>
                <w:highlight w:val="none"/>
                <w:lang w:val="en-US" w:eastAsia="zh-CN"/>
              </w:rPr>
              <w:t>服务</w:t>
            </w:r>
            <w:r>
              <w:rPr>
                <w:rFonts w:hint="eastAsia"/>
                <w:color w:val="auto"/>
                <w:highlight w:val="none"/>
              </w:rPr>
              <w:t>，其中：</w:t>
            </w:r>
          </w:p>
          <w:p>
            <w:pPr>
              <w:numPr>
                <w:ilvl w:val="0"/>
                <w:numId w:val="0"/>
              </w:numPr>
              <w:rPr>
                <w:rFonts w:hint="eastAsia"/>
                <w:color w:val="auto"/>
                <w:highlight w:val="none"/>
              </w:rPr>
            </w:pPr>
            <w:r>
              <w:rPr>
                <w:rFonts w:hint="eastAsia"/>
                <w:color w:val="auto"/>
                <w:highlight w:val="none"/>
              </w:rPr>
              <w:t>1）全市运维管理中心</w:t>
            </w:r>
            <w:r>
              <w:rPr>
                <w:rFonts w:hint="eastAsia"/>
                <w:color w:val="auto"/>
                <w:highlight w:val="none"/>
                <w:lang w:val="en-US" w:eastAsia="zh-CN"/>
              </w:rPr>
              <w:t>团队</w:t>
            </w:r>
            <w:r>
              <w:rPr>
                <w:rFonts w:hint="eastAsia"/>
                <w:color w:val="auto"/>
                <w:highlight w:val="none"/>
              </w:rPr>
              <w:t>由</w:t>
            </w:r>
            <w:r>
              <w:rPr>
                <w:rFonts w:hint="eastAsia"/>
                <w:color w:val="auto"/>
                <w:highlight w:val="none"/>
                <w:lang w:val="en-US" w:eastAsia="zh-CN"/>
              </w:rPr>
              <w:t>不少于</w:t>
            </w:r>
            <w:r>
              <w:rPr>
                <w:rFonts w:hint="eastAsia"/>
                <w:color w:val="auto"/>
                <w:highlight w:val="none"/>
              </w:rPr>
              <w:t>2名有财政信息化领域</w:t>
            </w:r>
            <w:r>
              <w:rPr>
                <w:rFonts w:hint="eastAsia"/>
                <w:color w:val="auto"/>
                <w:highlight w:val="none"/>
                <w:lang w:val="en-US" w:eastAsia="zh-CN"/>
              </w:rPr>
              <w:t>项目</w:t>
            </w:r>
            <w:r>
              <w:rPr>
                <w:rFonts w:hint="eastAsia"/>
                <w:color w:val="auto"/>
                <w:highlight w:val="none"/>
              </w:rPr>
              <w:t>经验的高级工程师（或更高相关资质）和</w:t>
            </w:r>
            <w:r>
              <w:rPr>
                <w:rFonts w:hint="eastAsia"/>
                <w:color w:val="auto"/>
                <w:highlight w:val="none"/>
                <w:lang w:val="en-US" w:eastAsia="zh-CN"/>
              </w:rPr>
              <w:t>不少于</w:t>
            </w:r>
            <w:r>
              <w:rPr>
                <w:rFonts w:hint="eastAsia"/>
                <w:color w:val="auto"/>
                <w:highlight w:val="none"/>
              </w:rPr>
              <w:t>2名财政信息化领域</w:t>
            </w:r>
            <w:r>
              <w:rPr>
                <w:rFonts w:hint="eastAsia"/>
                <w:color w:val="auto"/>
                <w:highlight w:val="none"/>
                <w:lang w:val="en-US" w:eastAsia="zh-CN"/>
              </w:rPr>
              <w:t>项目</w:t>
            </w:r>
            <w:r>
              <w:rPr>
                <w:rFonts w:hint="eastAsia"/>
                <w:color w:val="auto"/>
                <w:highlight w:val="none"/>
              </w:rPr>
              <w:t>经验的中级工程师（或更高相关资质）组成。</w:t>
            </w:r>
          </w:p>
          <w:p>
            <w:pPr>
              <w:numPr>
                <w:ilvl w:val="0"/>
                <w:numId w:val="0"/>
              </w:numPr>
              <w:jc w:val="left"/>
              <w:rPr>
                <w:color w:val="auto"/>
                <w:highlight w:val="none"/>
              </w:rPr>
            </w:pPr>
            <w:r>
              <w:rPr>
                <w:rFonts w:hint="eastAsia"/>
                <w:color w:val="auto"/>
                <w:highlight w:val="none"/>
              </w:rPr>
              <w:t>2）市级日常运维保障</w:t>
            </w:r>
            <w:r>
              <w:rPr>
                <w:rFonts w:hint="eastAsia"/>
                <w:color w:val="auto"/>
                <w:highlight w:val="none"/>
                <w:lang w:val="en-US" w:eastAsia="zh-CN"/>
              </w:rPr>
              <w:t>团队</w:t>
            </w:r>
            <w:r>
              <w:rPr>
                <w:rFonts w:hint="eastAsia"/>
                <w:color w:val="auto"/>
                <w:highlight w:val="none"/>
              </w:rPr>
              <w:t>由</w:t>
            </w:r>
            <w:r>
              <w:rPr>
                <w:rFonts w:hint="eastAsia"/>
                <w:color w:val="auto"/>
                <w:highlight w:val="none"/>
                <w:lang w:val="en-US" w:eastAsia="zh-CN"/>
              </w:rPr>
              <w:t>不少于</w:t>
            </w:r>
            <w:r>
              <w:rPr>
                <w:rFonts w:hint="eastAsia"/>
                <w:color w:val="auto"/>
                <w:highlight w:val="none"/>
              </w:rPr>
              <w:t>4名财政信息化领域</w:t>
            </w:r>
            <w:r>
              <w:rPr>
                <w:rFonts w:hint="eastAsia"/>
                <w:color w:val="auto"/>
                <w:highlight w:val="none"/>
                <w:lang w:val="en-US" w:eastAsia="zh-CN"/>
              </w:rPr>
              <w:t>项目</w:t>
            </w:r>
            <w:r>
              <w:rPr>
                <w:rFonts w:hint="eastAsia"/>
                <w:color w:val="auto"/>
                <w:highlight w:val="none"/>
              </w:rPr>
              <w:t>经验的中级工程师（或更高相关资质）和</w:t>
            </w:r>
            <w:r>
              <w:rPr>
                <w:rFonts w:hint="eastAsia"/>
                <w:color w:val="auto"/>
                <w:highlight w:val="none"/>
                <w:lang w:val="en-US" w:eastAsia="zh-CN"/>
              </w:rPr>
              <w:t>不少于</w:t>
            </w:r>
            <w:r>
              <w:rPr>
                <w:rFonts w:hint="eastAsia"/>
                <w:color w:val="auto"/>
                <w:highlight w:val="none"/>
              </w:rPr>
              <w:t>4名财政信息化领域</w:t>
            </w:r>
            <w:r>
              <w:rPr>
                <w:rFonts w:hint="eastAsia"/>
                <w:color w:val="auto"/>
                <w:highlight w:val="none"/>
                <w:lang w:val="en-US" w:eastAsia="zh-CN"/>
              </w:rPr>
              <w:t>项目</w:t>
            </w:r>
            <w:r>
              <w:rPr>
                <w:rFonts w:hint="eastAsia"/>
                <w:color w:val="auto"/>
                <w:highlight w:val="none"/>
              </w:rPr>
              <w:t>经验的初级工程师（或更高相关资质）组成。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5" w:type="dxa"/>
          </w:tcPr>
          <w:p>
            <w:pPr>
              <w:pStyle w:val="9"/>
              <w:jc w:val="center"/>
              <w:rPr>
                <w:color w:val="auto"/>
                <w:highlight w:val="none"/>
              </w:rPr>
            </w:pPr>
            <w:r>
              <w:rPr>
                <w:color w:val="auto"/>
                <w:highlight w:val="none"/>
              </w:rPr>
              <w:t>★</w:t>
            </w:r>
          </w:p>
        </w:tc>
        <w:tc>
          <w:tcPr>
            <w:tcW w:w="750" w:type="dxa"/>
          </w:tcPr>
          <w:p>
            <w:pPr>
              <w:pStyle w:val="9"/>
              <w:jc w:val="center"/>
              <w:rPr>
                <w:color w:val="auto"/>
                <w:highlight w:val="none"/>
              </w:rPr>
            </w:pPr>
            <w:r>
              <w:rPr>
                <w:color w:val="auto"/>
                <w:highlight w:val="none"/>
              </w:rPr>
              <w:t>3</w:t>
            </w:r>
          </w:p>
        </w:tc>
        <w:tc>
          <w:tcPr>
            <w:tcW w:w="1363" w:type="dxa"/>
          </w:tcPr>
          <w:p>
            <w:pPr>
              <w:pStyle w:val="9"/>
              <w:jc w:val="left"/>
              <w:rPr>
                <w:color w:val="auto"/>
                <w:highlight w:val="none"/>
              </w:rPr>
            </w:pPr>
            <w:r>
              <w:rPr>
                <w:rFonts w:hint="eastAsia"/>
                <w:color w:val="auto"/>
                <w:highlight w:val="none"/>
              </w:rPr>
              <w:t>人员管理要求</w:t>
            </w:r>
          </w:p>
        </w:tc>
        <w:tc>
          <w:tcPr>
            <w:tcW w:w="5026" w:type="dxa"/>
          </w:tcPr>
          <w:p>
            <w:pPr>
              <w:pStyle w:val="9"/>
              <w:jc w:val="left"/>
              <w:rPr>
                <w:rFonts w:hint="eastAsia"/>
                <w:color w:val="auto"/>
                <w:highlight w:val="none"/>
              </w:rPr>
            </w:pPr>
            <w:r>
              <w:rPr>
                <w:rFonts w:hint="eastAsia"/>
                <w:color w:val="auto"/>
                <w:highlight w:val="none"/>
              </w:rPr>
              <w:t>1）成交供应商须按其</w:t>
            </w:r>
            <w:r>
              <w:rPr>
                <w:rFonts w:hint="eastAsia"/>
                <w:color w:val="auto"/>
                <w:highlight w:val="none"/>
                <w:lang w:val="en-US" w:eastAsia="zh-CN"/>
              </w:rPr>
              <w:t>响应</w:t>
            </w:r>
            <w:r>
              <w:rPr>
                <w:rFonts w:hint="eastAsia"/>
                <w:color w:val="auto"/>
                <w:highlight w:val="none"/>
              </w:rPr>
              <w:t xml:space="preserve">文件中承诺提供的项目组人员必须按要求投入到本项目中，在合同期内不得擅自更换。成交供应商如因工作安排或其他原因，需要更换项目组人员时，应事前向采购人书面提出书面申请，未经采购人同意，不得更换人员。 </w:t>
            </w:r>
          </w:p>
          <w:p>
            <w:pPr>
              <w:pStyle w:val="9"/>
              <w:jc w:val="left"/>
              <w:rPr>
                <w:rFonts w:hint="eastAsia"/>
                <w:color w:val="auto"/>
                <w:highlight w:val="none"/>
              </w:rPr>
            </w:pPr>
            <w:r>
              <w:rPr>
                <w:rFonts w:hint="eastAsia"/>
                <w:color w:val="auto"/>
                <w:highlight w:val="none"/>
              </w:rPr>
              <w:t xml:space="preserve">2）如成交供应商未经采购人书面同意擅自更换项目组人员，除须按采购人的要求对人员作出调整外，还须交纳违约金2000元。累计达2次后，采购人有权终止合同，由此引致的经济损失，成交供应商须全额赔偿，采购人保留追究成交供应商相关责任的权利。 </w:t>
            </w:r>
          </w:p>
          <w:p>
            <w:pPr>
              <w:pStyle w:val="9"/>
              <w:jc w:val="left"/>
              <w:rPr>
                <w:rFonts w:hint="eastAsia"/>
                <w:color w:val="auto"/>
                <w:highlight w:val="none"/>
              </w:rPr>
            </w:pPr>
            <w:r>
              <w:rPr>
                <w:rFonts w:hint="eastAsia"/>
                <w:color w:val="auto"/>
                <w:highlight w:val="none"/>
              </w:rPr>
              <w:t xml:space="preserve">3）采购人有权以书面形式要求成交供应商更换不能按规定履行合同的人员。 </w:t>
            </w:r>
          </w:p>
          <w:p>
            <w:pPr>
              <w:pStyle w:val="9"/>
              <w:jc w:val="left"/>
              <w:rPr>
                <w:rFonts w:hint="eastAsia"/>
                <w:color w:val="auto"/>
                <w:highlight w:val="none"/>
              </w:rPr>
            </w:pPr>
            <w:r>
              <w:rPr>
                <w:rFonts w:hint="eastAsia"/>
                <w:color w:val="auto"/>
                <w:highlight w:val="none"/>
              </w:rPr>
              <w:t xml:space="preserve">4）即使是采购人要求或同意更换的人员，其代替人员的资历仍应得到采购人的认可，且其资历和经验均不低于被更换人员。由此而产生的费用由成交供应商承担。 </w:t>
            </w:r>
          </w:p>
          <w:p>
            <w:pPr>
              <w:pStyle w:val="9"/>
              <w:jc w:val="left"/>
              <w:rPr>
                <w:rFonts w:hint="eastAsia"/>
                <w:color w:val="auto"/>
                <w:highlight w:val="none"/>
              </w:rPr>
            </w:pPr>
            <w:r>
              <w:rPr>
                <w:rFonts w:hint="eastAsia"/>
                <w:color w:val="auto"/>
                <w:highlight w:val="none"/>
              </w:rPr>
              <w:t xml:space="preserve">5）成交供应商应制定详尽的工作计划，全面落实执行并完成项目任务及相关工作内容。 </w:t>
            </w:r>
          </w:p>
          <w:p>
            <w:pPr>
              <w:pStyle w:val="9"/>
              <w:jc w:val="left"/>
              <w:rPr>
                <w:color w:val="auto"/>
                <w:highlight w:val="none"/>
              </w:rPr>
            </w:pPr>
            <w:r>
              <w:rPr>
                <w:rFonts w:hint="eastAsia"/>
                <w:color w:val="auto"/>
                <w:highlight w:val="none"/>
              </w:rPr>
              <w:t xml:space="preserve">6）在服务期间，成交供应商须承担项目人员的社会保险、意外责任、工伤责任和所有服务风险。与工作人员发生的一切劳务纠纷，由成交供应商负责。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5" w:type="dxa"/>
          </w:tcPr>
          <w:p>
            <w:pPr>
              <w:pStyle w:val="9"/>
              <w:jc w:val="center"/>
              <w:rPr>
                <w:color w:val="auto"/>
                <w:highlight w:val="none"/>
              </w:rPr>
            </w:pPr>
            <w:r>
              <w:rPr>
                <w:color w:val="auto"/>
                <w:highlight w:val="none"/>
              </w:rPr>
              <w:t>★</w:t>
            </w:r>
          </w:p>
        </w:tc>
        <w:tc>
          <w:tcPr>
            <w:tcW w:w="750" w:type="dxa"/>
          </w:tcPr>
          <w:p>
            <w:pPr>
              <w:pStyle w:val="9"/>
              <w:jc w:val="center"/>
              <w:rPr>
                <w:rFonts w:hint="eastAsia" w:eastAsiaTheme="minorEastAsia"/>
                <w:color w:val="auto"/>
                <w:highlight w:val="none"/>
                <w:lang w:eastAsia="zh-CN"/>
              </w:rPr>
            </w:pPr>
            <w:r>
              <w:rPr>
                <w:rFonts w:hint="eastAsia"/>
                <w:color w:val="auto"/>
                <w:highlight w:val="none"/>
                <w:lang w:val="en-US" w:eastAsia="zh-CN"/>
              </w:rPr>
              <w:t>4</w:t>
            </w:r>
          </w:p>
        </w:tc>
        <w:tc>
          <w:tcPr>
            <w:tcW w:w="1363" w:type="dxa"/>
          </w:tcPr>
          <w:p>
            <w:pPr>
              <w:pStyle w:val="9"/>
              <w:jc w:val="left"/>
              <w:rPr>
                <w:color w:val="auto"/>
                <w:highlight w:val="none"/>
              </w:rPr>
            </w:pPr>
            <w:r>
              <w:rPr>
                <w:color w:val="auto"/>
                <w:highlight w:val="none"/>
              </w:rPr>
              <w:t>保密条款</w:t>
            </w:r>
          </w:p>
        </w:tc>
        <w:tc>
          <w:tcPr>
            <w:tcW w:w="5026" w:type="dxa"/>
          </w:tcPr>
          <w:p>
            <w:pPr>
              <w:pStyle w:val="9"/>
              <w:jc w:val="left"/>
              <w:rPr>
                <w:rFonts w:hint="eastAsia"/>
                <w:color w:val="auto"/>
                <w:highlight w:val="none"/>
              </w:rPr>
            </w:pPr>
            <w:r>
              <w:rPr>
                <w:rFonts w:hint="eastAsia"/>
                <w:color w:val="auto"/>
                <w:highlight w:val="none"/>
              </w:rPr>
              <w:t>1）在任何情况下，成交供应商不得向第三方透露采购人的业务活动和商务方面的情况。</w:t>
            </w:r>
          </w:p>
          <w:p>
            <w:pPr>
              <w:pStyle w:val="9"/>
              <w:jc w:val="left"/>
              <w:rPr>
                <w:color w:val="auto"/>
                <w:highlight w:val="none"/>
              </w:rPr>
            </w:pPr>
            <w:r>
              <w:rPr>
                <w:rFonts w:hint="eastAsia"/>
                <w:color w:val="auto"/>
                <w:highlight w:val="none"/>
                <w:lang w:val="en-US" w:eastAsia="zh-CN"/>
              </w:rPr>
              <w:t>2</w:t>
            </w:r>
            <w:r>
              <w:rPr>
                <w:rFonts w:hint="eastAsia"/>
                <w:color w:val="auto"/>
                <w:highlight w:val="none"/>
              </w:rPr>
              <w:t>）成交供应商须和采购人就项目执行过程中可能涉及的保密内容，单独签订保密协议，对采购提供的基础数据、其他原始资料等信息保密。</w:t>
            </w:r>
          </w:p>
        </w:tc>
      </w:tr>
    </w:tbl>
    <w:p>
      <w:pPr>
        <w:pStyle w:val="9"/>
        <w:rPr>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769" w:type="dxa"/>
          </w:tcPr>
          <w:p>
            <w:pPr>
              <w:pStyle w:val="9"/>
              <w:rPr>
                <w:color w:val="auto"/>
                <w:highlight w:val="none"/>
              </w:rPr>
            </w:pPr>
            <w:r>
              <w:rPr>
                <w:color w:val="auto"/>
                <w:highlight w:val="none"/>
              </w:rPr>
              <w:t>说明</w:t>
            </w:r>
          </w:p>
        </w:tc>
        <w:tc>
          <w:tcPr>
            <w:tcW w:w="5538" w:type="dxa"/>
          </w:tcPr>
          <w:p>
            <w:pPr>
              <w:pStyle w:val="9"/>
              <w:jc w:val="left"/>
              <w:rPr>
                <w:rFonts w:hint="eastAsia" w:eastAsiaTheme="minorEastAsia"/>
                <w:color w:val="auto"/>
                <w:highlight w:val="none"/>
                <w:lang w:eastAsia="zh-CN"/>
              </w:rPr>
            </w:pPr>
            <w:r>
              <w:rPr>
                <w:color w:val="auto"/>
                <w:highlight w:val="none"/>
              </w:rPr>
              <w:t>打“★”号条款为实质性条款，若有任何一条负偏离或不满足则导致投标（响应）无效。</w:t>
            </w:r>
          </w:p>
          <w:p>
            <w:pPr>
              <w:pStyle w:val="9"/>
              <w:jc w:val="left"/>
              <w:rPr>
                <w:color w:val="auto"/>
                <w:highlight w:val="none"/>
              </w:rPr>
            </w:pPr>
            <w:r>
              <w:rPr>
                <w:color w:val="auto"/>
                <w:highlight w:val="none"/>
              </w:rPr>
              <w:t>打“▲”号条款为重要参数（如有），若有部分“▲”条款未响应或不满足，将根据评审要求影响其得分，但不作为无效投标（响应）条款。</w:t>
            </w:r>
          </w:p>
        </w:tc>
      </w:tr>
    </w:tbl>
    <w:p>
      <w:pPr>
        <w:pStyle w:val="9"/>
        <w:rPr>
          <w:color w:val="auto"/>
          <w:highlight w:val="none"/>
        </w:rPr>
      </w:pPr>
      <w:r>
        <w:rPr>
          <w:b/>
          <w:color w:val="auto"/>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9"/>
              <w:jc w:val="center"/>
              <w:rPr>
                <w:color w:val="auto"/>
                <w:highlight w:val="none"/>
              </w:rPr>
            </w:pPr>
            <w:r>
              <w:rPr>
                <w:color w:val="auto"/>
                <w:highlight w:val="none"/>
              </w:rPr>
              <w:t>序号</w:t>
            </w:r>
          </w:p>
        </w:tc>
        <w:tc>
          <w:tcPr>
            <w:tcW w:w="860" w:type="dxa"/>
          </w:tcPr>
          <w:p>
            <w:pPr>
              <w:pStyle w:val="9"/>
              <w:jc w:val="center"/>
              <w:rPr>
                <w:color w:val="auto"/>
                <w:highlight w:val="none"/>
              </w:rPr>
            </w:pPr>
            <w:r>
              <w:rPr>
                <w:color w:val="auto"/>
                <w:highlight w:val="none"/>
              </w:rPr>
              <w:t>品目名称</w:t>
            </w:r>
          </w:p>
        </w:tc>
        <w:tc>
          <w:tcPr>
            <w:tcW w:w="860" w:type="dxa"/>
          </w:tcPr>
          <w:p>
            <w:pPr>
              <w:pStyle w:val="9"/>
              <w:jc w:val="center"/>
              <w:rPr>
                <w:color w:val="auto"/>
                <w:highlight w:val="none"/>
              </w:rPr>
            </w:pPr>
            <w:r>
              <w:rPr>
                <w:color w:val="auto"/>
                <w:highlight w:val="none"/>
              </w:rPr>
              <w:t>标的名称</w:t>
            </w:r>
          </w:p>
        </w:tc>
        <w:tc>
          <w:tcPr>
            <w:tcW w:w="860" w:type="dxa"/>
          </w:tcPr>
          <w:p>
            <w:pPr>
              <w:pStyle w:val="9"/>
              <w:jc w:val="center"/>
              <w:rPr>
                <w:color w:val="auto"/>
                <w:highlight w:val="none"/>
              </w:rPr>
            </w:pPr>
            <w:r>
              <w:rPr>
                <w:color w:val="auto"/>
                <w:highlight w:val="none"/>
              </w:rPr>
              <w:t>单位</w:t>
            </w:r>
          </w:p>
        </w:tc>
        <w:tc>
          <w:tcPr>
            <w:tcW w:w="882" w:type="dxa"/>
          </w:tcPr>
          <w:p>
            <w:pPr>
              <w:pStyle w:val="9"/>
              <w:jc w:val="center"/>
              <w:rPr>
                <w:color w:val="auto"/>
                <w:highlight w:val="none"/>
              </w:rPr>
            </w:pPr>
            <w:r>
              <w:rPr>
                <w:color w:val="auto"/>
                <w:highlight w:val="none"/>
              </w:rPr>
              <w:t>数量</w:t>
            </w:r>
          </w:p>
        </w:tc>
        <w:tc>
          <w:tcPr>
            <w:tcW w:w="1279" w:type="dxa"/>
          </w:tcPr>
          <w:p>
            <w:pPr>
              <w:pStyle w:val="9"/>
              <w:jc w:val="center"/>
              <w:rPr>
                <w:color w:val="auto"/>
                <w:highlight w:val="none"/>
              </w:rPr>
            </w:pPr>
            <w:r>
              <w:rPr>
                <w:color w:val="auto"/>
                <w:highlight w:val="none"/>
              </w:rPr>
              <w:t>分项预算单价（元）</w:t>
            </w:r>
          </w:p>
        </w:tc>
        <w:tc>
          <w:tcPr>
            <w:tcW w:w="1279" w:type="dxa"/>
          </w:tcPr>
          <w:p>
            <w:pPr>
              <w:pStyle w:val="9"/>
              <w:jc w:val="center"/>
              <w:rPr>
                <w:color w:val="auto"/>
                <w:highlight w:val="none"/>
              </w:rPr>
            </w:pPr>
            <w:r>
              <w:rPr>
                <w:color w:val="auto"/>
                <w:highlight w:val="none"/>
              </w:rPr>
              <w:t>分项预算总价（元）</w:t>
            </w:r>
          </w:p>
        </w:tc>
        <w:tc>
          <w:tcPr>
            <w:tcW w:w="781" w:type="dxa"/>
          </w:tcPr>
          <w:p>
            <w:pPr>
              <w:pStyle w:val="9"/>
              <w:rPr>
                <w:color w:val="auto"/>
                <w:highlight w:val="none"/>
              </w:rPr>
            </w:pPr>
            <w:r>
              <w:rPr>
                <w:color w:val="auto"/>
                <w:highlight w:val="none"/>
              </w:rPr>
              <w:t>所属行业</w:t>
            </w:r>
          </w:p>
        </w:tc>
        <w:tc>
          <w:tcPr>
            <w:tcW w:w="861" w:type="dxa"/>
          </w:tcPr>
          <w:p>
            <w:pPr>
              <w:pStyle w:val="9"/>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9"/>
              <w:jc w:val="center"/>
              <w:rPr>
                <w:color w:val="auto"/>
                <w:highlight w:val="none"/>
              </w:rPr>
            </w:pPr>
            <w:r>
              <w:rPr>
                <w:color w:val="auto"/>
                <w:highlight w:val="none"/>
              </w:rPr>
              <w:t>1</w:t>
            </w:r>
          </w:p>
        </w:tc>
        <w:tc>
          <w:tcPr>
            <w:tcW w:w="860" w:type="dxa"/>
            <w:vAlign w:val="top"/>
          </w:tcPr>
          <w:p>
            <w:pPr>
              <w:pStyle w:val="9"/>
              <w:jc w:val="left"/>
              <w:rPr>
                <w:color w:val="auto"/>
                <w:highlight w:val="none"/>
              </w:rPr>
            </w:pPr>
            <w:r>
              <w:rPr>
                <w:rFonts w:hint="eastAsia"/>
                <w:color w:val="auto"/>
                <w:highlight w:val="none"/>
                <w:lang w:eastAsia="zh-CN"/>
              </w:rPr>
              <w:t>软件运维服务</w:t>
            </w:r>
          </w:p>
        </w:tc>
        <w:tc>
          <w:tcPr>
            <w:tcW w:w="860" w:type="dxa"/>
            <w:vAlign w:val="top"/>
          </w:tcPr>
          <w:p>
            <w:pPr>
              <w:pStyle w:val="9"/>
              <w:jc w:val="left"/>
              <w:rPr>
                <w:color w:val="auto"/>
                <w:highlight w:val="none"/>
              </w:rPr>
            </w:pPr>
            <w:r>
              <w:rPr>
                <w:rFonts w:hint="eastAsia"/>
                <w:color w:val="auto"/>
                <w:highlight w:val="none"/>
                <w:lang w:eastAsia="zh-CN"/>
              </w:rPr>
              <w:t>市“数字政府”公共财政综合管理平台运维（2024年）项目</w:t>
            </w:r>
          </w:p>
        </w:tc>
        <w:tc>
          <w:tcPr>
            <w:tcW w:w="860" w:type="dxa"/>
          </w:tcPr>
          <w:p>
            <w:pPr>
              <w:pStyle w:val="9"/>
              <w:jc w:val="left"/>
              <w:rPr>
                <w:color w:val="auto"/>
                <w:highlight w:val="none"/>
              </w:rPr>
            </w:pPr>
            <w:r>
              <w:rPr>
                <w:color w:val="auto"/>
                <w:highlight w:val="none"/>
              </w:rPr>
              <w:t>项</w:t>
            </w:r>
          </w:p>
        </w:tc>
        <w:tc>
          <w:tcPr>
            <w:tcW w:w="882" w:type="dxa"/>
          </w:tcPr>
          <w:p>
            <w:pPr>
              <w:pStyle w:val="9"/>
              <w:jc w:val="right"/>
              <w:rPr>
                <w:color w:val="auto"/>
                <w:highlight w:val="none"/>
              </w:rPr>
            </w:pPr>
            <w:r>
              <w:rPr>
                <w:color w:val="auto"/>
                <w:highlight w:val="none"/>
              </w:rPr>
              <w:t>1.00</w:t>
            </w:r>
          </w:p>
        </w:tc>
        <w:tc>
          <w:tcPr>
            <w:tcW w:w="1279" w:type="dxa"/>
            <w:vAlign w:val="top"/>
          </w:tcPr>
          <w:p>
            <w:pPr>
              <w:pStyle w:val="9"/>
              <w:jc w:val="right"/>
              <w:rPr>
                <w:color w:val="auto"/>
                <w:highlight w:val="none"/>
              </w:rPr>
            </w:pPr>
            <w:r>
              <w:rPr>
                <w:rFonts w:hint="eastAsia"/>
                <w:color w:val="auto"/>
                <w:highlight w:val="none"/>
                <w:lang w:eastAsia="zh-CN"/>
              </w:rPr>
              <w:t>2,</w:t>
            </w:r>
            <w:r>
              <w:rPr>
                <w:rFonts w:hint="eastAsia"/>
                <w:color w:val="auto"/>
                <w:highlight w:val="none"/>
                <w:lang w:val="en-US" w:eastAsia="zh-CN"/>
              </w:rPr>
              <w:t>27</w:t>
            </w:r>
            <w:r>
              <w:rPr>
                <w:rFonts w:hint="eastAsia"/>
                <w:color w:val="auto"/>
                <w:highlight w:val="none"/>
                <w:lang w:eastAsia="zh-CN"/>
              </w:rPr>
              <w:t>5,000.00</w:t>
            </w:r>
          </w:p>
        </w:tc>
        <w:tc>
          <w:tcPr>
            <w:tcW w:w="1279" w:type="dxa"/>
            <w:vAlign w:val="top"/>
          </w:tcPr>
          <w:p>
            <w:pPr>
              <w:pStyle w:val="9"/>
              <w:jc w:val="right"/>
              <w:rPr>
                <w:color w:val="auto"/>
                <w:highlight w:val="none"/>
              </w:rPr>
            </w:pPr>
            <w:r>
              <w:rPr>
                <w:rFonts w:hint="eastAsia"/>
                <w:color w:val="auto"/>
                <w:highlight w:val="none"/>
                <w:lang w:eastAsia="zh-CN"/>
              </w:rPr>
              <w:t>2,</w:t>
            </w:r>
            <w:r>
              <w:rPr>
                <w:rFonts w:hint="eastAsia"/>
                <w:color w:val="auto"/>
                <w:highlight w:val="none"/>
                <w:lang w:val="en-US" w:eastAsia="zh-CN"/>
              </w:rPr>
              <w:t>27</w:t>
            </w:r>
            <w:r>
              <w:rPr>
                <w:rFonts w:hint="eastAsia"/>
                <w:color w:val="auto"/>
                <w:highlight w:val="none"/>
                <w:lang w:eastAsia="zh-CN"/>
              </w:rPr>
              <w:t>5,000.00</w:t>
            </w:r>
          </w:p>
        </w:tc>
        <w:tc>
          <w:tcPr>
            <w:tcW w:w="781" w:type="dxa"/>
          </w:tcPr>
          <w:p>
            <w:pPr>
              <w:pStyle w:val="9"/>
              <w:rPr>
                <w:color w:val="auto"/>
                <w:highlight w:val="none"/>
              </w:rPr>
            </w:pPr>
            <w:r>
              <w:rPr>
                <w:rFonts w:hint="eastAsia"/>
                <w:color w:val="auto"/>
                <w:highlight w:val="none"/>
              </w:rPr>
              <w:t>软件和信息技术服务业</w:t>
            </w:r>
          </w:p>
        </w:tc>
        <w:tc>
          <w:tcPr>
            <w:tcW w:w="861" w:type="dxa"/>
          </w:tcPr>
          <w:p>
            <w:pPr>
              <w:pStyle w:val="9"/>
              <w:rPr>
                <w:color w:val="auto"/>
                <w:highlight w:val="none"/>
              </w:rPr>
            </w:pPr>
            <w:r>
              <w:rPr>
                <w:color w:val="auto"/>
                <w:highlight w:val="none"/>
              </w:rPr>
              <w:t>详见附表一</w:t>
            </w:r>
          </w:p>
        </w:tc>
      </w:tr>
    </w:tbl>
    <w:p>
      <w:pPr>
        <w:pStyle w:val="9"/>
        <w:rPr>
          <w:color w:val="auto"/>
          <w:highlight w:val="none"/>
        </w:rPr>
      </w:pPr>
    </w:p>
    <w:p>
      <w:pPr>
        <w:pStyle w:val="9"/>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市“数字政府”公共财政综合管理平台运维（2024年）项目</w:t>
      </w:r>
    </w:p>
    <w:tbl>
      <w:tblPr>
        <w:tblStyle w:val="6"/>
        <w:tblW w:w="9826" w:type="dxa"/>
        <w:tblInd w:w="-96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428"/>
        <w:gridCol w:w="8791"/>
      </w:tblGrid>
      <w:tr>
        <w:tblPrEx>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28" w:type="dxa"/>
          </w:tcPr>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791" w:type="dxa"/>
          </w:tcPr>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p>
        </w:tc>
        <w:tc>
          <w:tcPr>
            <w:tcW w:w="428" w:type="dxa"/>
          </w:tcPr>
          <w:p>
            <w:pPr>
              <w:pStyle w:val="9"/>
              <w:numPr>
                <w:ilvl w:val="0"/>
                <w:numId w:val="2"/>
              </w:numPr>
              <w:ind w:left="425" w:leftChars="0" w:hanging="425" w:firstLineChars="0"/>
              <w:rPr>
                <w:rFonts w:hint="eastAsia" w:ascii="宋体" w:hAnsi="宋体" w:eastAsia="宋体" w:cs="宋体"/>
                <w:color w:val="auto"/>
                <w:sz w:val="21"/>
                <w:szCs w:val="21"/>
                <w:highlight w:val="none"/>
              </w:rPr>
            </w:pPr>
          </w:p>
        </w:tc>
        <w:tc>
          <w:tcPr>
            <w:tcW w:w="8791" w:type="dxa"/>
          </w:tcPr>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项目主要内容</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（一）平台功能运维。主要有平台状态监控、平台故障解决、定期巡检、应用升级、应用优化、网络策略管理、业务管理运维、平台接口运维等。</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（二）中间件运维。主要是维护对象以“数字政府”公共财政综合管理平台的中间件为主，包含腾讯云容器服务TKE、Apollo配置中心。</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（三）数据运维。主要是日常额度、要素、业务性常规检查，财政厅下发数据检查任务，报表编制，数据中枢及关联接口运维，数据备份与恢复等。</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重点业务运维保障。主要是“数字政府”公共财政综合管理平台核心财政存在业务量井喷高峰期，每年阶段性关键业务工作，新旧业务年度切换链接等重点业务，平台的运维工作要对重点业务需要高度关注、协调技术力量进行保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p>
        </w:tc>
        <w:tc>
          <w:tcPr>
            <w:tcW w:w="428" w:type="dxa"/>
          </w:tcPr>
          <w:p>
            <w:pPr>
              <w:pStyle w:val="9"/>
              <w:numPr>
                <w:ilvl w:val="0"/>
                <w:numId w:val="2"/>
              </w:numPr>
              <w:ind w:left="425" w:leftChars="0" w:hanging="425" w:firstLineChars="0"/>
              <w:rPr>
                <w:rFonts w:hint="eastAsia" w:ascii="宋体" w:hAnsi="宋体" w:eastAsia="宋体" w:cs="宋体"/>
                <w:color w:val="auto"/>
                <w:sz w:val="21"/>
                <w:szCs w:val="21"/>
                <w:highlight w:val="none"/>
              </w:rPr>
            </w:pPr>
          </w:p>
        </w:tc>
        <w:tc>
          <w:tcPr>
            <w:tcW w:w="8791" w:type="dxa"/>
          </w:tcPr>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服务成效</w:t>
            </w:r>
          </w:p>
          <w:p>
            <w:pPr>
              <w:pStyle w:val="10"/>
              <w:pageBreakBefore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按照省财政厅和</w:t>
            </w:r>
            <w:r>
              <w:rPr>
                <w:rFonts w:hint="eastAsia" w:ascii="宋体" w:hAnsi="宋体" w:eastAsia="宋体" w:cs="宋体"/>
                <w:color w:val="auto"/>
                <w:szCs w:val="21"/>
                <w:highlight w:val="none"/>
                <w:lang w:val="en-US" w:eastAsia="zh-CN"/>
              </w:rPr>
              <w:t>佛山</w:t>
            </w:r>
            <w:r>
              <w:rPr>
                <w:rFonts w:hint="eastAsia" w:ascii="宋体" w:hAnsi="宋体" w:eastAsia="宋体" w:cs="宋体"/>
                <w:color w:val="auto"/>
                <w:szCs w:val="21"/>
                <w:highlight w:val="none"/>
              </w:rPr>
              <w:t>市“数字财政”建设工作要求，做好全市“数字政府”公共财政综合管理平台运维保障工作，确保全市各项财政业务通过平台安全、稳定、高效开展。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p>
        </w:tc>
        <w:tc>
          <w:tcPr>
            <w:tcW w:w="428" w:type="dxa"/>
          </w:tcPr>
          <w:p>
            <w:pPr>
              <w:pStyle w:val="9"/>
              <w:numPr>
                <w:ilvl w:val="0"/>
                <w:numId w:val="2"/>
              </w:numPr>
              <w:ind w:left="425" w:leftChars="0" w:hanging="425" w:firstLineChars="0"/>
              <w:rPr>
                <w:rFonts w:hint="eastAsia" w:ascii="宋体" w:hAnsi="宋体" w:eastAsia="宋体" w:cs="宋体"/>
                <w:color w:val="auto"/>
                <w:sz w:val="21"/>
                <w:szCs w:val="21"/>
                <w:highlight w:val="none"/>
              </w:rPr>
            </w:pPr>
          </w:p>
        </w:tc>
        <w:tc>
          <w:tcPr>
            <w:tcW w:w="8791" w:type="dxa"/>
          </w:tcPr>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项目目标</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（一）总体目标</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1.及时处理财政业务部门和预算单位提出的系统咨询和问题，保障系统的稳定运行；</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2.完成省财政厅下发的各项运维工作；</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3.完成采购人安排的各项运维工作。</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（二）产出目标</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1.数量指标：系统上线后日常运维服务人数不低于12人；</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2.质量指标：系统正常运行率99.5%；</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3.时效指标：系统故障修复平均响应时间30分钟、系统运行维护平均响应时间40分钟、系统故障平均处理时间4小时等；</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4.性能指标：系统最大用户数15000个，系统并发数2000用户，系统吞吐量200请求数/秒，请求响应时间3秒等功能指标，BUG率100%通过测试，回归测试通过率99%。</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（三）效益目标</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1.经济效益指标：系统使用故障率进一步降低，故障率预计可降低到0.05%、办理业务成本平均下降率10%；</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2.社会效益指标：办理业务平均耗时下降率30%、业务办理信息化率100%等。</w:t>
            </w:r>
          </w:p>
          <w:p>
            <w:pPr>
              <w:pStyle w:val="1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3.资源利用效益指标：系统用户平台覆盖全市1市5区33个镇街共39个区划，涉及3000多个单位、15000多个用户和16家代理银行。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p>
        </w:tc>
        <w:tc>
          <w:tcPr>
            <w:tcW w:w="428" w:type="dxa"/>
          </w:tcPr>
          <w:p>
            <w:pPr>
              <w:pStyle w:val="9"/>
              <w:numPr>
                <w:ilvl w:val="0"/>
                <w:numId w:val="2"/>
              </w:numPr>
              <w:ind w:left="425" w:leftChars="0" w:hanging="425" w:firstLineChars="0"/>
              <w:rPr>
                <w:rFonts w:hint="eastAsia" w:ascii="宋体" w:hAnsi="宋体" w:eastAsia="宋体" w:cs="宋体"/>
                <w:color w:val="auto"/>
                <w:sz w:val="21"/>
                <w:szCs w:val="21"/>
                <w:highlight w:val="none"/>
              </w:rPr>
            </w:pPr>
          </w:p>
        </w:tc>
        <w:tc>
          <w:tcPr>
            <w:tcW w:w="8791" w:type="dxa"/>
          </w:tcPr>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需求分析</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是对纳入平台一体化管理的各项财政业务模块</w:t>
            </w:r>
            <w:r>
              <w:rPr>
                <w:rFonts w:hint="eastAsia" w:ascii="宋体" w:hAnsi="宋体" w:eastAsia="宋体" w:cs="宋体"/>
                <w:color w:val="auto"/>
                <w:sz w:val="21"/>
                <w:szCs w:val="21"/>
                <w:highlight w:val="none"/>
              </w:rPr>
              <w:t>的运维服务。根据上级文件要求、系统架构和</w:t>
            </w:r>
            <w:r>
              <w:rPr>
                <w:rFonts w:hint="eastAsia" w:ascii="宋体" w:hAnsi="宋体" w:eastAsia="宋体" w:cs="宋体"/>
                <w:color w:val="auto"/>
                <w:sz w:val="21"/>
                <w:szCs w:val="21"/>
                <w:highlight w:val="none"/>
                <w:lang w:eastAsia="zh-CN"/>
              </w:rPr>
              <w:t>佛山市</w:t>
            </w:r>
            <w:r>
              <w:rPr>
                <w:rFonts w:hint="eastAsia" w:ascii="宋体" w:hAnsi="宋体" w:eastAsia="宋体" w:cs="宋体"/>
                <w:color w:val="auto"/>
                <w:sz w:val="21"/>
                <w:szCs w:val="21"/>
                <w:highlight w:val="none"/>
              </w:rPr>
              <w:t>运维工作管理需要，</w:t>
            </w:r>
            <w:r>
              <w:rPr>
                <w:rFonts w:hint="eastAsia" w:ascii="宋体" w:hAnsi="宋体" w:eastAsia="宋体" w:cs="宋体"/>
                <w:color w:val="auto"/>
                <w:sz w:val="21"/>
                <w:szCs w:val="21"/>
                <w:highlight w:val="none"/>
                <w:lang w:eastAsia="zh-CN"/>
              </w:rPr>
              <w:t>佛山市</w:t>
            </w:r>
            <w:r>
              <w:rPr>
                <w:rFonts w:hint="eastAsia" w:ascii="宋体" w:hAnsi="宋体" w:eastAsia="宋体" w:cs="宋体"/>
                <w:color w:val="auto"/>
                <w:sz w:val="21"/>
                <w:szCs w:val="21"/>
                <w:highlight w:val="none"/>
              </w:rPr>
              <w:t>运维工作采用全市运维管理中心</w:t>
            </w:r>
            <w:r>
              <w:rPr>
                <w:rFonts w:hint="eastAsia" w:ascii="宋体" w:hAnsi="宋体" w:eastAsia="宋体" w:cs="宋体"/>
                <w:color w:val="auto"/>
                <w:sz w:val="21"/>
                <w:szCs w:val="21"/>
                <w:highlight w:val="none"/>
                <w:lang w:val="en-US" w:eastAsia="zh-CN"/>
              </w:rPr>
              <w:t>团队</w:t>
            </w:r>
            <w:r>
              <w:rPr>
                <w:rFonts w:hint="eastAsia" w:ascii="宋体" w:hAnsi="宋体" w:eastAsia="宋体" w:cs="宋体"/>
                <w:color w:val="auto"/>
                <w:sz w:val="21"/>
                <w:szCs w:val="21"/>
                <w:highlight w:val="none"/>
              </w:rPr>
              <w:t>统筹全市（</w:t>
            </w:r>
            <w:r>
              <w:rPr>
                <w:rFonts w:hint="eastAsia" w:ascii="宋体" w:hAnsi="宋体" w:eastAsia="宋体" w:cs="宋体"/>
                <w:color w:val="auto"/>
                <w:sz w:val="21"/>
                <w:szCs w:val="21"/>
                <w:highlight w:val="none"/>
                <w:lang w:val="en-US"/>
              </w:rPr>
              <w:t>1市5区3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镇街（含功能区））</w:t>
            </w:r>
            <w:r>
              <w:rPr>
                <w:rFonts w:hint="eastAsia" w:ascii="宋体" w:hAnsi="宋体" w:eastAsia="宋体" w:cs="宋体"/>
                <w:color w:val="auto"/>
                <w:sz w:val="21"/>
                <w:szCs w:val="21"/>
                <w:highlight w:val="none"/>
              </w:rPr>
              <w:t>运维工作，各区划运维服务团队在市级统一管理下具体负责本区划运维保障的二级管理模式，如下图所示：</w:t>
            </w:r>
          </w:p>
          <w:p>
            <w:pPr>
              <w:numPr>
                <w:ilvl w:val="-1"/>
                <w:numId w:val="0"/>
              </w:numPr>
              <w:tabs>
                <w:tab w:val="left" w:pos="993"/>
              </w:tabs>
              <w:snapToGrid w:val="0"/>
              <w:spacing w:before="157" w:beforeLines="50" w:after="157" w:afterLines="50"/>
              <w:ind w:lef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274310" cy="1222375"/>
                  <wp:effectExtent l="0" t="0" r="2540" b="1587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222375"/>
                          </a:xfrm>
                          <a:prstGeom prst="rect">
                            <a:avLst/>
                          </a:prstGeom>
                          <a:noFill/>
                          <a:ln>
                            <a:noFill/>
                          </a:ln>
                        </pic:spPr>
                      </pic:pic>
                    </a:graphicData>
                  </a:graphic>
                </wp:anchor>
              </w:drawing>
            </w:r>
          </w:p>
          <w:p>
            <w:pPr>
              <w:numPr>
                <w:ilvl w:val="-1"/>
                <w:numId w:val="0"/>
              </w:numPr>
              <w:snapToGrid/>
              <w:ind w:firstLine="56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全市运维管理中心</w:t>
            </w:r>
            <w:r>
              <w:rPr>
                <w:rFonts w:hint="eastAsia" w:ascii="宋体" w:hAnsi="宋体" w:eastAsia="宋体" w:cs="宋体"/>
                <w:b/>
                <w:bCs/>
                <w:color w:val="auto"/>
                <w:sz w:val="21"/>
                <w:szCs w:val="21"/>
                <w:highlight w:val="none"/>
                <w:lang w:val="en-US" w:eastAsia="zh-CN"/>
              </w:rPr>
              <w:t>团队</w:t>
            </w:r>
            <w:r>
              <w:rPr>
                <w:rFonts w:hint="eastAsia" w:ascii="宋体" w:hAnsi="宋体" w:eastAsia="宋体" w:cs="宋体"/>
                <w:b/>
                <w:bCs/>
                <w:color w:val="auto"/>
                <w:sz w:val="21"/>
                <w:szCs w:val="21"/>
                <w:highlight w:val="none"/>
              </w:rPr>
              <w:t>主要负责：</w:t>
            </w:r>
          </w:p>
          <w:p>
            <w:pPr>
              <w:numPr>
                <w:ilvl w:val="-1"/>
                <w:numId w:val="0"/>
              </w:numPr>
              <w:snapToGrid/>
              <w:ind w:firstLine="56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一是负责统一管理全市重要系统配置，确保系统不会因个别区划配置问题导致全市性问题发生；</w:t>
            </w:r>
          </w:p>
          <w:p>
            <w:pPr>
              <w:numPr>
                <w:ilvl w:val="-1"/>
                <w:numId w:val="0"/>
              </w:numPr>
              <w:snapToGrid/>
              <w:ind w:firstLine="56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二是组织做好全市运维团队与省财政厅运维工作的对接，如版本更新发布、问题需求</w:t>
            </w:r>
            <w:r>
              <w:rPr>
                <w:rFonts w:hint="eastAsia" w:ascii="宋体" w:hAnsi="宋体" w:eastAsia="宋体" w:cs="宋体"/>
                <w:color w:val="auto"/>
                <w:sz w:val="21"/>
                <w:szCs w:val="21"/>
                <w:highlight w:val="none"/>
                <w:lang w:eastAsia="zh-CN"/>
              </w:rPr>
              <w:t>调研</w:t>
            </w:r>
            <w:r>
              <w:rPr>
                <w:rFonts w:hint="eastAsia" w:ascii="宋体" w:hAnsi="宋体" w:eastAsia="宋体" w:cs="宋体"/>
                <w:color w:val="auto"/>
                <w:sz w:val="21"/>
                <w:szCs w:val="21"/>
                <w:highlight w:val="none"/>
              </w:rPr>
              <w:t>汇总上报、省财政厅布置的系统测试联调、数据治理等工作任务</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pPr>
              <w:numPr>
                <w:ilvl w:val="-1"/>
                <w:numId w:val="0"/>
              </w:numPr>
              <w:snapToGrid/>
              <w:ind w:firstLine="56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三是管理各区划运维服务团队日常工作，协调区划间运维工作、统筹全市系统性能优化、汇总全市系统问题和需求等；</w:t>
            </w:r>
          </w:p>
          <w:p>
            <w:pPr>
              <w:numPr>
                <w:ilvl w:val="-1"/>
                <w:numId w:val="0"/>
              </w:numPr>
              <w:snapToGrid/>
              <w:ind w:firstLine="56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四是由于全省统一了业务系统，部分以前由各区划独立负责的数据信息的处理工作将由市级运维中心</w:t>
            </w:r>
            <w:r>
              <w:rPr>
                <w:rFonts w:hint="eastAsia" w:ascii="宋体" w:hAnsi="宋体" w:eastAsia="宋体" w:cs="宋体"/>
                <w:color w:val="auto"/>
                <w:sz w:val="21"/>
                <w:szCs w:val="21"/>
                <w:highlight w:val="none"/>
                <w:lang w:val="en-US" w:eastAsia="zh-CN"/>
              </w:rPr>
              <w:t>团队</w:t>
            </w:r>
            <w:r>
              <w:rPr>
                <w:rFonts w:hint="eastAsia" w:ascii="宋体" w:hAnsi="宋体" w:eastAsia="宋体" w:cs="宋体"/>
                <w:color w:val="auto"/>
                <w:sz w:val="21"/>
                <w:szCs w:val="21"/>
                <w:highlight w:val="none"/>
              </w:rPr>
              <w:t>统一管理，如全市系统数据与审计对接、全市性报表订制等。</w:t>
            </w:r>
          </w:p>
          <w:p>
            <w:pPr>
              <w:numPr>
                <w:ilvl w:val="-1"/>
                <w:numId w:val="0"/>
              </w:numPr>
              <w:snapToGrid/>
              <w:ind w:firstLine="560"/>
              <w:contextualSpacing/>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市级运维服务团队主要负责</w:t>
            </w:r>
            <w:r>
              <w:rPr>
                <w:rFonts w:hint="eastAsia" w:ascii="宋体" w:hAnsi="宋体" w:eastAsia="宋体" w:cs="宋体"/>
                <w:color w:val="auto"/>
                <w:sz w:val="21"/>
                <w:szCs w:val="21"/>
                <w:highlight w:val="none"/>
              </w:rPr>
              <w:t>：具体做好市级“数字政府”公共财政综合管理平台日常运维工作，主要包括解答各类技术咨询、解决一般系统问题、做好系统数据维护和配置、开展系统使用培训，收集用户反馈的系统各种问题和需求</w:t>
            </w:r>
            <w:r>
              <w:rPr>
                <w:rFonts w:hint="eastAsia" w:ascii="宋体" w:hAnsi="宋体" w:eastAsia="宋体" w:cs="宋体"/>
                <w:color w:val="auto"/>
                <w:sz w:val="21"/>
                <w:szCs w:val="21"/>
                <w:highlight w:val="none"/>
                <w:lang w:eastAsia="zh-CN"/>
              </w:rPr>
              <w:t>、知识库维护</w:t>
            </w:r>
            <w:r>
              <w:rPr>
                <w:rFonts w:hint="eastAsia" w:ascii="宋体" w:hAnsi="宋体" w:eastAsia="宋体" w:cs="宋体"/>
                <w:color w:val="auto"/>
                <w:sz w:val="21"/>
                <w:szCs w:val="21"/>
                <w:highlight w:val="none"/>
              </w:rPr>
              <w:t>等。</w:t>
            </w:r>
          </w:p>
          <w:p>
            <w:pPr>
              <w:numPr>
                <w:ilvl w:val="-1"/>
                <w:numId w:val="0"/>
              </w:numPr>
              <w:snapToGrid/>
              <w:ind w:left="0" w:firstLine="56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服务级别</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190"/>
              <w:gridCol w:w="2308"/>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9"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故障级别</w:t>
                  </w:r>
                </w:p>
              </w:tc>
              <w:tc>
                <w:tcPr>
                  <w:tcW w:w="2190"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2308"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解决时间</w:t>
                  </w:r>
                </w:p>
              </w:tc>
              <w:tc>
                <w:tcPr>
                  <w:tcW w:w="2465"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故障分析报告时间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9"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p>
              </w:tc>
              <w:tc>
                <w:tcPr>
                  <w:tcW w:w="2190"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 分钟</w:t>
                  </w:r>
                </w:p>
              </w:tc>
              <w:tc>
                <w:tcPr>
                  <w:tcW w:w="2308"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小时</w:t>
                  </w:r>
                </w:p>
              </w:tc>
              <w:tc>
                <w:tcPr>
                  <w:tcW w:w="2465"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9"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w:t>
                  </w:r>
                </w:p>
              </w:tc>
              <w:tc>
                <w:tcPr>
                  <w:tcW w:w="2190"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分钟</w:t>
                  </w:r>
                </w:p>
              </w:tc>
              <w:tc>
                <w:tcPr>
                  <w:tcW w:w="2308"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小时</w:t>
                  </w:r>
                </w:p>
              </w:tc>
              <w:tc>
                <w:tcPr>
                  <w:tcW w:w="2465"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9"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w:t>
                  </w:r>
                </w:p>
              </w:tc>
              <w:tc>
                <w:tcPr>
                  <w:tcW w:w="2190"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分钟</w:t>
                  </w:r>
                </w:p>
              </w:tc>
              <w:tc>
                <w:tcPr>
                  <w:tcW w:w="2308"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小时</w:t>
                  </w:r>
                </w:p>
              </w:tc>
              <w:tc>
                <w:tcPr>
                  <w:tcW w:w="2465" w:type="dxa"/>
                  <w:shd w:val="clear" w:color="auto" w:fill="auto"/>
                  <w:vAlign w:val="center"/>
                </w:tcPr>
                <w:p>
                  <w:pPr>
                    <w:tabs>
                      <w:tab w:val="left" w:pos="993"/>
                    </w:tabs>
                    <w:snapToGrid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小时</w:t>
                  </w:r>
                </w:p>
              </w:tc>
            </w:tr>
          </w:tbl>
          <w:p>
            <w:pPr>
              <w:snapToGrid/>
              <w:spacing w:before="0" w:beforeLines="0"/>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一般故障：系统业务次要功能无法使用；</w:t>
            </w:r>
          </w:p>
          <w:p>
            <w:pPr>
              <w:snapToGrid/>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紧急故障：系统业务核心功能受到影响；</w:t>
            </w:r>
          </w:p>
          <w:p>
            <w:pPr>
              <w:snapToGrid/>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严重故障：系统业务核心功能无法使用。 </w:t>
            </w:r>
          </w:p>
          <w:p>
            <w:pPr>
              <w:numPr>
                <w:ilvl w:val="-1"/>
                <w:numId w:val="0"/>
              </w:numPr>
              <w:snapToGrid/>
              <w:ind w:left="0" w:firstLine="560"/>
              <w:contextualSpacing/>
              <w:rPr>
                <w:rFonts w:hint="eastAsia" w:ascii="宋体" w:hAnsi="宋体" w:eastAsia="宋体" w:cs="宋体"/>
                <w:color w:val="auto"/>
                <w:sz w:val="21"/>
                <w:szCs w:val="21"/>
                <w:highlight w:val="none"/>
              </w:rPr>
            </w:pPr>
            <w:bookmarkStart w:id="0" w:name="_Hlk81511247"/>
            <w:r>
              <w:rPr>
                <w:rFonts w:hint="eastAsia" w:ascii="宋体" w:hAnsi="宋体" w:eastAsia="宋体" w:cs="宋体"/>
                <w:color w:val="auto"/>
                <w:sz w:val="21"/>
                <w:szCs w:val="21"/>
                <w:highlight w:val="none"/>
              </w:rPr>
              <w:t>人工技能标准</w:t>
            </w:r>
          </w:p>
          <w:bookmarkEnd w:id="0"/>
          <w:p>
            <w:pPr>
              <w:snapToGrid/>
              <w:ind w:firstLine="56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共需</w:t>
            </w:r>
            <w:r>
              <w:rPr>
                <w:rFonts w:hint="eastAsia" w:ascii="宋体" w:hAnsi="宋体" w:eastAsia="宋体" w:cs="宋体"/>
                <w:color w:val="auto"/>
                <w:sz w:val="21"/>
                <w:szCs w:val="21"/>
                <w:highlight w:val="none"/>
                <w:lang w:val="en-US" w:eastAsia="zh-CN"/>
              </w:rPr>
              <w:t>12名工程师驻点运维，其中：</w:t>
            </w:r>
          </w:p>
          <w:p>
            <w:pPr>
              <w:snapToGrid/>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全市运维管理中心</w:t>
            </w:r>
            <w:r>
              <w:rPr>
                <w:rFonts w:hint="eastAsia"/>
                <w:color w:val="auto"/>
                <w:highlight w:val="none"/>
                <w:lang w:val="en-US" w:eastAsia="zh-CN"/>
              </w:rPr>
              <w:t>团队</w:t>
            </w:r>
            <w:r>
              <w:rPr>
                <w:rFonts w:hint="eastAsia" w:ascii="宋体" w:hAnsi="宋体" w:eastAsia="宋体" w:cs="宋体"/>
                <w:color w:val="auto"/>
                <w:sz w:val="21"/>
                <w:szCs w:val="21"/>
                <w:highlight w:val="none"/>
              </w:rPr>
              <w:t>至少由</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有财政信息化领域</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经验的高级工程师</w:t>
            </w:r>
            <w:r>
              <w:rPr>
                <w:rFonts w:hint="eastAsia" w:ascii="宋体" w:hAnsi="宋体" w:eastAsia="宋体" w:cs="宋体"/>
                <w:color w:val="auto"/>
                <w:sz w:val="21"/>
                <w:szCs w:val="21"/>
                <w:highlight w:val="none"/>
              </w:rPr>
              <w:t>（或更高相关资质）和</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名财政信息化领域</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经验的中级</w:t>
            </w:r>
            <w:r>
              <w:rPr>
                <w:rFonts w:hint="eastAsia" w:ascii="宋体" w:hAnsi="宋体" w:eastAsia="宋体" w:cs="宋体"/>
                <w:color w:val="auto"/>
                <w:sz w:val="21"/>
                <w:szCs w:val="21"/>
                <w:highlight w:val="none"/>
              </w:rPr>
              <w:t>工程师（或更高相关资质）组成。</w:t>
            </w:r>
          </w:p>
          <w:p>
            <w:pPr>
              <w:snapToGrid/>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2.市级</w:t>
            </w:r>
            <w:r>
              <w:rPr>
                <w:rFonts w:hint="eastAsia" w:ascii="宋体" w:hAnsi="宋体" w:eastAsia="宋体" w:cs="宋体"/>
                <w:color w:val="auto"/>
                <w:sz w:val="21"/>
                <w:szCs w:val="21"/>
                <w:highlight w:val="none"/>
              </w:rPr>
              <w:t>日常运维保障</w:t>
            </w:r>
            <w:r>
              <w:rPr>
                <w:rFonts w:hint="eastAsia" w:ascii="宋体" w:hAnsi="宋体" w:eastAsia="宋体" w:cs="宋体"/>
                <w:color w:val="auto"/>
                <w:sz w:val="21"/>
                <w:szCs w:val="21"/>
                <w:highlight w:val="none"/>
                <w:lang w:val="en-US" w:eastAsia="zh-CN"/>
              </w:rPr>
              <w:t>团队</w:t>
            </w:r>
            <w:r>
              <w:rPr>
                <w:rFonts w:hint="eastAsia" w:ascii="宋体" w:hAnsi="宋体" w:eastAsia="宋体" w:cs="宋体"/>
                <w:color w:val="auto"/>
                <w:sz w:val="21"/>
                <w:szCs w:val="21"/>
                <w:highlight w:val="none"/>
              </w:rPr>
              <w:t>至少由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名财政信息化领域</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经验的中级</w:t>
            </w:r>
            <w:r>
              <w:rPr>
                <w:rFonts w:hint="eastAsia" w:ascii="宋体" w:hAnsi="宋体" w:eastAsia="宋体" w:cs="宋体"/>
                <w:color w:val="auto"/>
                <w:sz w:val="21"/>
                <w:szCs w:val="21"/>
                <w:highlight w:val="none"/>
              </w:rPr>
              <w:t>工程师（或更高相关资质）和</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名财政信息化领域</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经验的初级</w:t>
            </w:r>
            <w:r>
              <w:rPr>
                <w:rFonts w:hint="eastAsia" w:ascii="宋体" w:hAnsi="宋体" w:eastAsia="宋体" w:cs="宋体"/>
                <w:color w:val="auto"/>
                <w:sz w:val="21"/>
                <w:szCs w:val="21"/>
                <w:highlight w:val="none"/>
              </w:rPr>
              <w:t>工程师（或更高相关资质）组成。</w:t>
            </w:r>
            <w:bookmarkStart w:id="1" w:name="_GoBack"/>
            <w:bookmarkEnd w:id="1"/>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p>
        </w:tc>
        <w:tc>
          <w:tcPr>
            <w:tcW w:w="428" w:type="dxa"/>
          </w:tcPr>
          <w:p>
            <w:pPr>
              <w:pStyle w:val="9"/>
              <w:numPr>
                <w:ilvl w:val="0"/>
                <w:numId w:val="2"/>
              </w:numPr>
              <w:ind w:left="425" w:leftChars="0" w:hanging="425" w:firstLineChars="0"/>
              <w:rPr>
                <w:rFonts w:hint="eastAsia" w:ascii="宋体" w:hAnsi="宋体" w:eastAsia="宋体" w:cs="宋体"/>
                <w:color w:val="auto"/>
                <w:sz w:val="21"/>
                <w:szCs w:val="21"/>
                <w:highlight w:val="none"/>
              </w:rPr>
            </w:pPr>
          </w:p>
        </w:tc>
        <w:tc>
          <w:tcPr>
            <w:tcW w:w="8791" w:type="dxa"/>
          </w:tcPr>
          <w:p>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软件系统运行维护</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运维服务内容</w:t>
            </w:r>
          </w:p>
          <w:p>
            <w:pPr>
              <w:pStyle w:val="4"/>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1.平台功能维护</w:t>
            </w:r>
          </w:p>
          <w:p>
            <w:pPr>
              <w:pStyle w:val="4"/>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（1）维护对象</w:t>
            </w:r>
          </w:p>
          <w:p>
            <w:pPr>
              <w:rPr>
                <w:rFonts w:hint="eastAsia" w:ascii="宋体" w:hAnsi="宋体" w:eastAsia="宋体" w:cs="宋体"/>
                <w:color w:val="auto"/>
                <w:highlight w:val="none"/>
                <w:lang w:val="en-GB"/>
              </w:rPr>
            </w:pPr>
            <w:r>
              <w:rPr>
                <w:rFonts w:hint="eastAsia" w:ascii="宋体" w:hAnsi="宋体" w:eastAsia="宋体" w:cs="宋体"/>
                <w:color w:val="auto"/>
                <w:highlight w:val="none"/>
                <w:lang w:val="en-GB"/>
              </w:rPr>
              <w:t>“数字</w:t>
            </w:r>
            <w:r>
              <w:rPr>
                <w:rFonts w:hint="eastAsia" w:ascii="宋体" w:hAnsi="宋体" w:eastAsia="宋体" w:cs="宋体"/>
                <w:color w:val="auto"/>
                <w:highlight w:val="none"/>
              </w:rPr>
              <w:t>政府</w:t>
            </w:r>
            <w:r>
              <w:rPr>
                <w:rFonts w:hint="eastAsia" w:ascii="宋体" w:hAnsi="宋体" w:eastAsia="宋体" w:cs="宋体"/>
                <w:color w:val="auto"/>
                <w:highlight w:val="none"/>
                <w:lang w:val="en-GB"/>
              </w:rPr>
              <w:t>”公共财政综合管理平台系统运维服务所涉及的功能模块如下表所示:</w:t>
            </w:r>
          </w:p>
          <w:tbl>
            <w:tblPr>
              <w:tblStyle w:val="6"/>
              <w:tblW w:w="63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5"/>
              <w:gridCol w:w="1042"/>
              <w:gridCol w:w="1819"/>
              <w:gridCol w:w="2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业务域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业务模块</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对应功能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统一门户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门户</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登录管理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配置管理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内容维护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通知公告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预算域</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基础资料</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支出标准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政府非税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账户管理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单位内部机构管理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项目库</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人员类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公用经费类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其他运转类项目管理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专项资金项目管理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其他特定目标类项目管理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其他事业发展性支出项目管理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项目转类申请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转移支付下达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转移支付接收管理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涉农项目管理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省级项目审查遴选上报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预算编制</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基本支出测算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基础控制数管理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接收上级转移支付预算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一上收支预算编制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一下控制数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二上收支预算编制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年初预算批复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年初预算下达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提前下达转移支付预算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中期财政规划支出预算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国资收支预算管理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审查二上预算项目绩效目标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三保支出预算编制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政府预算管理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平台配置</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界面配置管理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表单配置管理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模板配置管理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项目名称配置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42</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执行域</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预算指标管理</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总指标管理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科室指标管理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单位指标管理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预算指标调剂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指标收回统计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资金申报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转移支付预算调剂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国库集中支付</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计划管理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授权支付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直接支付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实拨管理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收入预算执行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支付更正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资金退回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跨年退款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单位资金支付</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预算单位录入单位资金支付申请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人工审核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生成单位资金支付凭证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预算单位发送资金支付凭证单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预算单位签收资金支付凭证回单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结转结余</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财政资金结转结余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单位资金结转结余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转移支付执行</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转移支付资金调度-资金拨付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上下级财政结算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专项转移支付结转结余管理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部门整体支出绩效自评</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资金类型配置表信息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财政设置自评模板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财政布置自评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部门填报自评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财政复核自评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部门整体支出自评查询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上传自评公开情况反馈信息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部门整体复核查询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项目绩效自评</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财政设置自评模板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财政布置自评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部门填报自评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部门审核自评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财政复核自评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部门整体支出自评查询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上传自评公开情况反馈信息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财政事权查看报告单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配置管理</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签章管理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视图配置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菜单参数配置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90</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业务报表</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预算执行报表</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定制市本级报表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定制全市统筹报表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接收省级共享报表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生成报表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审核报表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上报预算执行报表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接收预算执行报表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97</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监督域</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资金监控</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违规记录查询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疑点信息查询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疑点核查录入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违规整改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监督规则下发记录查询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白名单管理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103</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核算域</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总预算会计核算</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新建账套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初始化账套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录入凭证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机制凭证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审核记账凭证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修改凭证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凭证记账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凭证打印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外币核算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账簿查询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会计报表查询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月末结账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年末处理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单位核算</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新建账套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初始化账套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录入凭证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自动生成凭证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审核记账凭证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会计差错更正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凭证记账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凭证打印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外币核算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账簿查询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生成会计报表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月末结账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年末处理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部门决算</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基础信息维护与用户权限、授权配置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流程配置 、报表补充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对账单、相关指标取数配置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规则设置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报表分析及报表设置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136</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数据提取接口联调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单位编报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部门审核、汇总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业务处（科）审核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国库处（科）审核汇总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决算批复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决算公开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综合审核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基础数据校验任务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汇总系统上报联调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146</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中台服务</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公共服务中心</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主数据管理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147</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编码规则管理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148</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单据类型管理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149</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技术中台管理</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用户中心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150</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权限中心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151</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应用中心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调度中心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153</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日志中心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文件中心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auto"/>
                      <w:sz w:val="21"/>
                      <w:szCs w:val="21"/>
                      <w:highlight w:val="none"/>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right="0" w:rightChars="0" w:firstLine="0" w:firstLineChars="0"/>
                    <w:contextualSpacing w:val="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消息中心</w:t>
                  </w:r>
                </w:p>
              </w:tc>
            </w:tr>
          </w:tbl>
          <w:p>
            <w:pPr>
              <w:pStyle w:val="2"/>
              <w:numPr>
                <w:ilvl w:val="5"/>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sz w:val="21"/>
                <w:szCs w:val="21"/>
                <w:highlight w:val="none"/>
              </w:rPr>
              <w:t>运维服务内容</w:t>
            </w:r>
          </w:p>
          <w:p>
            <w:pPr>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① </w:t>
            </w:r>
            <w:r>
              <w:rPr>
                <w:rFonts w:hint="eastAsia" w:ascii="宋体" w:hAnsi="宋体" w:eastAsia="宋体" w:cs="宋体"/>
                <w:color w:val="auto"/>
                <w:sz w:val="21"/>
                <w:szCs w:val="21"/>
                <w:highlight w:val="none"/>
              </w:rPr>
              <w:t>状态监控</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各业务应用系统资源情况，对各应用微服务相关组件运行情况进行详细监控，对各应用占用资源状态的情况检查、日志查看、报告警告，发现问题及时处理，按需调配资源，如遇资源严重不足及时向省财政厅、市财政专班进行汇报。</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② </w:t>
            </w:r>
            <w:r>
              <w:rPr>
                <w:rFonts w:hint="eastAsia" w:ascii="宋体" w:hAnsi="宋体" w:eastAsia="宋体" w:cs="宋体"/>
                <w:color w:val="auto"/>
                <w:sz w:val="21"/>
                <w:szCs w:val="21"/>
                <w:highlight w:val="none"/>
              </w:rPr>
              <w:t>故障解决</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前台应用请求产生的异常报告，通过服务日志跟踪、日志分析，确认异常的处理方法，属于实施配置范围内的问题按实际情况立即处理、属于系统性功能错误及时向省财政厅“数字财政”项目开发组提交问题工单，故障提交人跟踪省厅开发组解决方案，直至故障解决为止，并记录日常运维日志备案。</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③ </w:t>
            </w:r>
            <w:r>
              <w:rPr>
                <w:rFonts w:hint="eastAsia" w:ascii="宋体" w:hAnsi="宋体" w:eastAsia="宋体" w:cs="宋体"/>
                <w:color w:val="auto"/>
                <w:sz w:val="21"/>
                <w:szCs w:val="21"/>
                <w:highlight w:val="none"/>
              </w:rPr>
              <w:t>定期巡检</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对应用系统各服务运行情况进行定期检查，查看运行状态、资源使用率情况、运行性能日志等，对发现存在的隐患及时汇报。</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④ </w:t>
            </w:r>
            <w:r>
              <w:rPr>
                <w:rFonts w:hint="eastAsia" w:ascii="宋体" w:hAnsi="宋体" w:eastAsia="宋体" w:cs="宋体"/>
                <w:color w:val="auto"/>
                <w:sz w:val="21"/>
                <w:szCs w:val="21"/>
                <w:highlight w:val="none"/>
              </w:rPr>
              <w:t>应用升级</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由于系统发版频率一直很高，平均每周有3</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4个</w:t>
            </w:r>
            <w:r>
              <w:rPr>
                <w:rFonts w:hint="eastAsia" w:ascii="宋体" w:hAnsi="宋体" w:eastAsia="宋体" w:cs="宋体"/>
                <w:color w:val="auto"/>
                <w:sz w:val="21"/>
                <w:szCs w:val="21"/>
                <w:highlight w:val="none"/>
                <w:lang w:val="en-US" w:eastAsia="zh-CN"/>
              </w:rPr>
              <w:t>新</w:t>
            </w:r>
            <w:r>
              <w:rPr>
                <w:rFonts w:hint="eastAsia" w:ascii="宋体" w:hAnsi="宋体" w:eastAsia="宋体" w:cs="宋体"/>
                <w:color w:val="auto"/>
                <w:sz w:val="21"/>
                <w:szCs w:val="21"/>
                <w:highlight w:val="none"/>
              </w:rPr>
              <w:t>版本发布，涉及新增功能和系统问题修复等，需要组织专门力量保障系统的更新工作。</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省财政厅“数字财政”项目管理组，各前台业务域、底层中台各服务组件的发版任务，对发版的更新内容进行风险评估、确定升级步骤、应急处理措施及回滚办法、识别测试用例、确定版本更新计划；在预发布环境更新、用例测试，生成测试报告提交省财政厅“数字财政”项目管理组，将版本更新内容向市专班汇报；在生产环境中更新、确认、现场保障。</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⑤ </w:t>
            </w:r>
            <w:r>
              <w:rPr>
                <w:rFonts w:hint="eastAsia" w:ascii="宋体" w:hAnsi="宋体" w:eastAsia="宋体" w:cs="宋体"/>
                <w:color w:val="auto"/>
                <w:sz w:val="21"/>
                <w:szCs w:val="21"/>
                <w:highlight w:val="none"/>
              </w:rPr>
              <w:t>应用优化</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用户对“数字财政”公共财政综合管理平台应用性需求、个性化需求、缺陷问题等问题，运维技术人员结合当前系统功能分析问题点，将问题清晰准确定位，并填写缺陷工单、需求工单提交给省财政厅“数字财政”研发组，跟踪缺陷工单、需求工单处理方案，进行问题修复、功能优化。系统应用功能更新结果在问题工单完成，发版动作完成后，及时同步给问题提出方，并给予专业的解释与操作指导，必要时进行上门指导。涉及系统功能变更，要求整理更新内容提交给市财政专班，并更新运维知识库中。</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⑥ </w:t>
            </w:r>
            <w:r>
              <w:rPr>
                <w:rFonts w:hint="eastAsia" w:ascii="宋体" w:hAnsi="宋体" w:eastAsia="宋体" w:cs="宋体"/>
                <w:color w:val="auto"/>
                <w:sz w:val="21"/>
                <w:szCs w:val="21"/>
                <w:highlight w:val="none"/>
              </w:rPr>
              <w:t>网络策略管理</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系统集中部署于省政务云，对信息安全管控有极强要求，技术梯队需要根据</w:t>
            </w:r>
            <w:r>
              <w:rPr>
                <w:rFonts w:hint="eastAsia" w:ascii="宋体" w:hAnsi="宋体" w:eastAsia="宋体" w:cs="宋体"/>
                <w:color w:val="auto"/>
                <w:sz w:val="21"/>
                <w:szCs w:val="21"/>
                <w:highlight w:val="none"/>
                <w:lang w:eastAsia="zh-CN"/>
              </w:rPr>
              <w:t>佛山市</w:t>
            </w:r>
            <w:r>
              <w:rPr>
                <w:rFonts w:hint="eastAsia" w:ascii="宋体" w:hAnsi="宋体" w:eastAsia="宋体" w:cs="宋体"/>
                <w:color w:val="auto"/>
                <w:sz w:val="21"/>
                <w:szCs w:val="21"/>
                <w:highlight w:val="none"/>
              </w:rPr>
              <w:t>业务开展需求，协助进行网络访问策略申请及开通，确保业务得以安全、顺利开展。网络策略是影响“数字财政”系统正常运作的一项因素，需要做好网络资源信息管理：一是做好网络策略资源信息备案管理，明确各项网络配置的用途和影响范围；二是针对网络出现的问题，应尽快进行排查处理，同时做好信息汇报。</w:t>
            </w:r>
          </w:p>
          <w:p>
            <w:pPr>
              <w:pStyle w:val="4"/>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⑦ </w:t>
            </w:r>
            <w:r>
              <w:rPr>
                <w:rFonts w:hint="eastAsia" w:ascii="宋体" w:hAnsi="宋体" w:eastAsia="宋体" w:cs="宋体"/>
                <w:color w:val="auto"/>
                <w:sz w:val="21"/>
                <w:szCs w:val="21"/>
                <w:highlight w:val="none"/>
              </w:rPr>
              <w:t>业务管理运维</w:t>
            </w:r>
          </w:p>
          <w:p>
            <w:pPr>
              <w:pStyle w:val="4"/>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1）日常按照省财政厅智能运维考核工作机制</w:t>
            </w:r>
            <w:r>
              <w:rPr>
                <w:rFonts w:hint="eastAsia" w:ascii="宋体" w:hAnsi="宋体" w:eastAsia="宋体" w:cs="宋体"/>
                <w:color w:val="auto"/>
                <w:sz w:val="21"/>
                <w:szCs w:val="21"/>
                <w:highlight w:val="none"/>
              </w:rPr>
              <w:t>对系统用户进行的用户管理、数字证书的制作、业务变更配置与知识库维护、解答用户咨询、解决用户使用系统中的一般性问题</w:t>
            </w:r>
            <w:r>
              <w:rPr>
                <w:rFonts w:hint="eastAsia" w:ascii="宋体" w:hAnsi="宋体" w:eastAsia="宋体" w:cs="宋体"/>
                <w:color w:val="auto"/>
                <w:sz w:val="21"/>
                <w:szCs w:val="21"/>
                <w:highlight w:val="none"/>
                <w:lang w:eastAsia="zh-CN"/>
              </w:rPr>
              <w:t>等。运维服务团队应做好用户咨询的记录，向全市运维中心提供统计情况，便于分析查找共性问题。属于业务性问题的，团队应向及时</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反馈情况。</w:t>
            </w:r>
          </w:p>
          <w:p>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2）编制用户使用辅助材料。材料包括图文操作指南、系统操作讲解视频、智能运维知识库、常见问题答疑等。团队应保持材料不断更新，与系统最新版本保持一致。</w:t>
            </w:r>
          </w:p>
          <w:p>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开展用户培训。对系统新功能上线，团队应根据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需要组织用户上线工作，包括：用户情况调研、召开动员大会、基础数据整理、用户操作培训、用户测试使用和用户上线使用等。培训形式可采用现场大班培训、多批次小班培训或远程视频培训等多种形式，为系统顺利推广提供技术保障。</w:t>
            </w:r>
          </w:p>
          <w:p>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⑧ </w:t>
            </w:r>
            <w:r>
              <w:rPr>
                <w:rFonts w:hint="eastAsia" w:ascii="宋体" w:hAnsi="宋体" w:eastAsia="宋体" w:cs="宋体"/>
                <w:color w:val="auto"/>
                <w:sz w:val="21"/>
                <w:szCs w:val="21"/>
                <w:highlight w:val="none"/>
              </w:rPr>
              <w:t>平台接口运维</w:t>
            </w:r>
          </w:p>
          <w:p>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数字财政系统各业务领域间、与外部系统的统一通过数据中枢作为唯一的接口进行各项业务对接交换。对数据中枢的运维关系各接口关联的功能模块的正常运作。其中运维事项包括：</w:t>
            </w:r>
            <w:r>
              <w:rPr>
                <w:rFonts w:hint="eastAsia" w:ascii="宋体" w:hAnsi="宋体" w:eastAsia="宋体" w:cs="宋体"/>
                <w:color w:val="auto"/>
                <w:sz w:val="21"/>
                <w:szCs w:val="21"/>
                <w:highlight w:val="none"/>
                <w:lang w:val="en-US" w:eastAsia="zh-CN"/>
              </w:rPr>
              <w:t xml:space="preserve">  </w:t>
            </w:r>
          </w:p>
          <w:p>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1)接口配置，其中配置项含资源管理、服务管理、数据令牌、流程管理、文件报送。</w:t>
            </w:r>
          </w:p>
          <w:p>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2)日常运维，对已上线的接口运维稳定进行定期检查；相关功能接口业务发生故障时，对数据中枢日志跟踪排查处理问题。</w:t>
            </w:r>
          </w:p>
          <w:p>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3)变更调整，对因网络需求、配置要求、业务调整、迭代等需要，对接口相关配置进行调整、测试联调，并保障变更后正常上线。</w:t>
            </w:r>
          </w:p>
          <w:p>
            <w:pPr>
              <w:pStyle w:val="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调测试，对数字财政新增功能、本地财政新增需求等发起接口联调工作。组织协调其他外部系统厂商开展接口联调测试。通过测试方案编写、联调计划制定、实施测试；联调达到整体测试目标后，组织有关外部系统厂商生产上线演练、正式上生产。</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2.中间件运维</w:t>
            </w:r>
          </w:p>
          <w:p>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应用系统维护主要由成交供应商的运维团队对“数字政府”公共财政综合管理平台的运行环境进行中间件对各微服务进行配置、资源分配、系统运行监控等保障工作。</w:t>
            </w:r>
          </w:p>
          <w:p>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维护对象</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维护对象以“数字政府”公共财政综合管理平台的中间件为主，包含腾讯云容器服务TKE、Apollo配置中心。</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维护</w:t>
            </w:r>
            <w:r>
              <w:rPr>
                <w:rFonts w:hint="eastAsia" w:ascii="宋体" w:hAnsi="宋体" w:eastAsia="宋体" w:cs="宋体"/>
                <w:color w:val="auto"/>
                <w:highlight w:val="none"/>
                <w:lang w:val="en-US" w:eastAsia="zh-CN"/>
              </w:rPr>
              <w:t>内容</w:t>
            </w:r>
          </w:p>
          <w:tbl>
            <w:tblPr>
              <w:tblStyle w:val="6"/>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715" w:type="dxa"/>
                  <w:shd w:val="clear" w:color="auto" w:fill="auto"/>
                  <w:vAlign w:val="center"/>
                </w:tcPr>
                <w:p>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主间件名称</w:t>
                  </w:r>
                </w:p>
              </w:tc>
              <w:tc>
                <w:tcPr>
                  <w:tcW w:w="6085" w:type="dxa"/>
                  <w:shd w:val="clear" w:color="auto" w:fill="auto"/>
                  <w:vAlign w:val="center"/>
                </w:tcPr>
                <w:p>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运维事项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TKE</w:t>
                  </w:r>
                </w:p>
              </w:tc>
              <w:tc>
                <w:tcPr>
                  <w:tcW w:w="6085"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应用管理，创建、维护前中台应用管理组。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shd w:val="clear" w:color="auto" w:fill="auto"/>
                </w:tcPr>
                <w:p>
                  <w:pPr>
                    <w:pStyle w:val="4"/>
                    <w:ind w:firstLine="0"/>
                    <w:rPr>
                      <w:rFonts w:hint="eastAsia" w:ascii="宋体" w:hAnsi="宋体" w:eastAsia="宋体" w:cs="宋体"/>
                      <w:color w:val="auto"/>
                      <w:szCs w:val="21"/>
                      <w:highlight w:val="none"/>
                    </w:rPr>
                  </w:pPr>
                </w:p>
              </w:tc>
              <w:tc>
                <w:tcPr>
                  <w:tcW w:w="6085"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部署管理：</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1.创建服务，部署前中台各应用微服务；</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2.资源调配，各微服务硬件资源分配、调整；</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3.版本更新，各微服务从仓库中更新；</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4.运行监控，服务日志跟踪、服务运行监控、服务报错监控。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shd w:val="clear" w:color="auto" w:fill="auto"/>
                </w:tcPr>
                <w:p>
                  <w:pPr>
                    <w:pStyle w:val="4"/>
                    <w:ind w:firstLine="0"/>
                    <w:rPr>
                      <w:rFonts w:hint="eastAsia" w:ascii="宋体" w:hAnsi="宋体" w:eastAsia="宋体" w:cs="宋体"/>
                      <w:color w:val="auto"/>
                      <w:szCs w:val="21"/>
                      <w:highlight w:val="none"/>
                    </w:rPr>
                  </w:pPr>
                </w:p>
              </w:tc>
              <w:tc>
                <w:tcPr>
                  <w:tcW w:w="6085"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容器组，对微服务进行发版更新后启动、重启。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shd w:val="clear" w:color="auto" w:fill="auto"/>
                </w:tcPr>
                <w:p>
                  <w:pPr>
                    <w:pStyle w:val="4"/>
                    <w:ind w:firstLine="0"/>
                    <w:rPr>
                      <w:rFonts w:hint="eastAsia" w:ascii="宋体" w:hAnsi="宋体" w:eastAsia="宋体" w:cs="宋体"/>
                      <w:color w:val="auto"/>
                      <w:szCs w:val="21"/>
                      <w:highlight w:val="none"/>
                    </w:rPr>
                  </w:pPr>
                </w:p>
              </w:tc>
              <w:tc>
                <w:tcPr>
                  <w:tcW w:w="6085"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配置管理，配置字典中对前台进行业务控制逻辑配置和维护。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shd w:val="clear" w:color="auto" w:fill="auto"/>
                </w:tcPr>
                <w:p>
                  <w:pPr>
                    <w:pStyle w:val="4"/>
                    <w:ind w:firstLine="0"/>
                    <w:rPr>
                      <w:rFonts w:hint="eastAsia" w:ascii="宋体" w:hAnsi="宋体" w:eastAsia="宋体" w:cs="宋体"/>
                      <w:color w:val="auto"/>
                      <w:szCs w:val="21"/>
                      <w:highlight w:val="none"/>
                    </w:rPr>
                  </w:pPr>
                </w:p>
              </w:tc>
              <w:tc>
                <w:tcPr>
                  <w:tcW w:w="6085"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负载均衡，配置维护各服务间内部访问的地址、端口。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Apollo</w:t>
                  </w:r>
                </w:p>
              </w:tc>
              <w:tc>
                <w:tcPr>
                  <w:tcW w:w="6085"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配置中台业务规则、业务控制逻辑。</w:t>
                  </w:r>
                </w:p>
              </w:tc>
            </w:tr>
          </w:tbl>
          <w:p>
            <w:pPr>
              <w:pStyle w:val="4"/>
              <w:rPr>
                <w:rFonts w:hint="eastAsia" w:ascii="宋体" w:hAnsi="宋体" w:eastAsia="宋体" w:cs="宋体"/>
                <w:color w:val="auto"/>
                <w:highlight w:val="none"/>
                <w:lang w:val="en-GB" w:eastAsia="zh-CN"/>
              </w:rPr>
            </w:pP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3.数据维护</w:t>
            </w:r>
          </w:p>
          <w:p>
            <w:pPr>
              <w:pStyle w:val="4"/>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（1）维护对象</w:t>
            </w:r>
          </w:p>
          <w:p>
            <w:pPr>
              <w:pStyle w:val="4"/>
              <w:ind w:left="0" w:leftChars="0" w:firstLine="420" w:firstLineChars="20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维护对象以“数字政府”公共财政综合管理平台前中台配置数据，中台基础信息数据，前台预算域、执行域、核算域为主的业务数据，前台报表设计、编制、校对、发布，数据中枢及其关联的各类接口。</w:t>
            </w:r>
          </w:p>
          <w:p>
            <w:pPr>
              <w:pStyle w:val="4"/>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（2）维护内容</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①　</w:t>
            </w:r>
            <w:r>
              <w:rPr>
                <w:rFonts w:hint="eastAsia" w:ascii="宋体" w:hAnsi="宋体" w:eastAsia="宋体" w:cs="宋体"/>
                <w:color w:val="auto"/>
                <w:sz w:val="21"/>
                <w:szCs w:val="21"/>
                <w:highlight w:val="none"/>
                <w:lang w:val="en-GB" w:eastAsia="zh-CN"/>
              </w:rPr>
              <w:t>日常</w:t>
            </w:r>
            <w:r>
              <w:rPr>
                <w:rFonts w:hint="eastAsia" w:ascii="宋体" w:hAnsi="宋体" w:eastAsia="宋体" w:cs="宋体"/>
                <w:color w:val="auto"/>
                <w:highlight w:val="none"/>
                <w:lang w:val="en-GB" w:eastAsia="zh-CN"/>
              </w:rPr>
              <w:t>额度检查。包括：</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highlight w:val="none"/>
                <w:lang w:val="en-GB" w:eastAsia="zh-CN"/>
              </w:rPr>
              <w:t>1)指标额</w:t>
            </w:r>
            <w:r>
              <w:rPr>
                <w:rFonts w:hint="eastAsia" w:ascii="宋体" w:hAnsi="宋体" w:eastAsia="宋体" w:cs="宋体"/>
                <w:color w:val="auto"/>
                <w:sz w:val="21"/>
                <w:szCs w:val="21"/>
                <w:highlight w:val="none"/>
                <w:lang w:val="en-GB" w:eastAsia="zh-CN"/>
              </w:rPr>
              <w:t>度与指标及支付明细是否一致；</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2)计划额度与计划明细是否一致。</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②　日常要素检查。包括：</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1)项目库、预算、指标、支付、总账及单位财务数据要素继承是否一致；</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2)要素级次设置是否符合主数据单据配置；</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3)关键要素间关系是否符合主数据定值规则和要素关联关系。</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③　日常业务性常规检查，包括：</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1)是否存在超时清算和超时回单情况；</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2)凭证签收是否存在失败等异常情况。</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④　财政厅下发数据检查任务，如财政部规范标准数据处理，对不符合财政部业务标准规范的数据进行分析、修复、与业务口同步规范性操作要求等。</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⑤　报表编制，包括：</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1)根据省财政厅规范要求，设置预算域、执行域、核算域省统一规范报表；</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2)根据市本级业务口数据分析需求，设计预算域、执行域、核算域本级业务报表、监控类报表、各类业务工作进度考核类报表；</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3)根据省财政厅统计口径，设计预算域、执行域转移支付资金类报表，用于追踪分析中央、省、市转移支付资金下达、分配、执行情况，并按区划授权给各区业务口用户。</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4)编制全市统筹报表，开放各区使用，包含 支付统计、转换支付、三公经费、单位财务统计等模块；</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5)编制市本级录入型报表，包含 基本支出填报测算、三公经费年中填报、绩效目标年中调整等模块；</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6)编制市本级常用报表，包含预算域、执行域及核算域相关表样。</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⑥　数据中枢及关联接口运维。</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1)根据省财政厅数据中枢相关管理办法和配置手册，保障与单位财务管理、绩效自评、财政监督等内部模块相关的数据交互，并根据省财政厅相关业务部署安排，及时新增及更新接口信息。</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2)根据本级相关需求，保障与省财政厅政府采购、直达资金、债务系统等省厅外部系统数据交互，并积极配合省财政厅对日常数据进行部标校验，确保数据的完整性、准确性及合规性。</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3)根据日常业务办理需求，保障与本地组织部/人社工资管理系统、本地人大监督管理、高校财务系统等地市外部系统数据交互，满足当地业务需求，并根据当地实际情况，完善接口数据交互的及时及准确。</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⑦　数据备份与恢复。</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1)每日对特定业务数据进行本地备份。</w:t>
            </w:r>
          </w:p>
          <w:p>
            <w:pPr>
              <w:pStyle w:val="4"/>
              <w:spacing w:line="360" w:lineRule="auto"/>
              <w:ind w:firstLine="420" w:firstLineChars="20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2)对业务需要恢复历史数据，通过选定历史时点的备份，恢复目标表指定范围内的业务数据，对恢复后数据校验。保障业务恢复后正常运行。</w:t>
            </w:r>
          </w:p>
          <w:p>
            <w:pPr>
              <w:pStyle w:val="4"/>
              <w:spacing w:line="360" w:lineRule="auto"/>
              <w:ind w:left="0" w:leftChars="0" w:firstLine="0" w:firstLineChars="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4.重点业务运维保障</w:t>
            </w:r>
          </w:p>
          <w:p>
            <w:pPr>
              <w:pStyle w:val="4"/>
              <w:spacing w:line="360" w:lineRule="auto"/>
              <w:ind w:left="0" w:leftChars="0" w:firstLine="0" w:firstLineChars="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(1)运维对象</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“数字政府”公共财政综合管理平台核心财政存在业务量井喷高峰期，每年阶段性关键业务工作，新旧业务年度切换链接等重点业务，平台的运维工作要对重点业务需要高度关注、协调技术力量进行保障。</w:t>
            </w:r>
          </w:p>
          <w:p>
            <w:pPr>
              <w:pStyle w:val="4"/>
              <w:spacing w:line="360" w:lineRule="auto"/>
              <w:ind w:left="0" w:leftChars="0" w:firstLine="0" w:firstLineChars="0"/>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(2)运维内容</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业务高峰期的重点保障。业务高峰时间节点重保，包括季度末、年中、年末重保和重大节日重保。根据</w:t>
            </w:r>
            <w:r>
              <w:rPr>
                <w:rFonts w:hint="eastAsia" w:ascii="宋体" w:hAnsi="宋体" w:eastAsia="宋体" w:cs="宋体"/>
                <w:color w:val="auto"/>
                <w:highlight w:val="none"/>
                <w:lang w:val="en-US" w:eastAsia="zh-CN"/>
              </w:rPr>
              <w:t>佛山</w:t>
            </w:r>
            <w:r>
              <w:rPr>
                <w:rFonts w:hint="eastAsia" w:ascii="宋体" w:hAnsi="宋体" w:eastAsia="宋体" w:cs="宋体"/>
                <w:color w:val="auto"/>
                <w:highlight w:val="none"/>
                <w:lang w:val="en-GB" w:eastAsia="zh-CN"/>
              </w:rPr>
              <w:t>市历年业务数据，分析出现业务高峰的时间点，提前组织运维团队技术资源，确保各项运维内容得到快速响应和解决。重点业务保障主要有：</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①　年度预算重保的专项业务技术支持。根据</w:t>
            </w:r>
            <w:r>
              <w:rPr>
                <w:rFonts w:hint="eastAsia" w:ascii="宋体" w:hAnsi="宋体" w:eastAsia="宋体" w:cs="宋体"/>
                <w:color w:val="auto"/>
                <w:highlight w:val="none"/>
                <w:lang w:val="en-US" w:eastAsia="zh-CN"/>
              </w:rPr>
              <w:t>佛山</w:t>
            </w:r>
            <w:r>
              <w:rPr>
                <w:rFonts w:hint="eastAsia" w:ascii="宋体" w:hAnsi="宋体" w:eastAsia="宋体" w:cs="宋体"/>
                <w:color w:val="auto"/>
                <w:highlight w:val="none"/>
                <w:lang w:val="en-GB" w:eastAsia="zh-CN"/>
              </w:rPr>
              <w:t>市年度预算编制计划，提前安排运维力量，做好硬件资源预估与调配，对年度预算中的重点工作（如基本支出测算、三保预算、政府预算等）生产的平台压力及时响应处理，保障预算申报工作顺利。</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②　预算转指标重保。保障预算下达、预算转指标批量业务正常完成。财政预算批复前，与预算口配合完成转指标规则需要，预算批复在法定时间内，协调好各区划转指标工作计划，保障预算转指标的业务保障及平台性能压力问题处理。</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③　统发工资业务重保。保障数据中枢正常接入下月统发工资数据，及时跟进统发工资数据的指标额度匹配、支付情况及最终发放情况；并根据本月工资发放情况提前测算下月工资核销指标额度表，提前通知相关科室及单位追加经费和调剂经济科目。</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④　财政总账旬报、月报。财政总会计每月完成核算业务后，按时上报旬报、月报，运维团队协助完成报表功能的正常与提前配置，对取数过程对账等问题快速响应处理。</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⑤　12月大支付操作平台性能保障。年底财政资金出现大量重点资金支出业务，需要提前组织运维力量、实时监控平台业务量与数据库访问峰值，对业务压力过程及时响应并做出资源调整等保障预算单位大额支出业务。</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⑥　新旧年度切换</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根据新年度初始化需求调研成果，完成新年度数字财政平台三域和门户的初始化配置工作。新旧年度切换各项关键工作主要包括：</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1)初始化调研。采集各级财政的用户权限、基础信息、业务流程、岗责、表单要素、控制规则、主数据、账务、账套、报表需求、预算转指标规则、数据迁移、支付电子化等需求，形成年度系统初始化的基础资料。</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2)初始化工作。根据调研成果，在预发布环境进行初始化演练，验证通过后，将初始化信息同步到生产环境，包括操作人员录入及权限设置、公共服务中心主数据配置、门户配置初始化、表单初始化、业务规则配置初始化、流程配置、项目库项目初始化、支付电子化配置、账务初始化、外部接口配置、报表切换。</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3)年结。结合财政业务往年业务与需求，协助财政共同制定年结工作的工作方案，协助本级财政按计划完成各项年结工作，包括对账、结转结余、新年度开账等。</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4)结转结余。梳理年度结转指标规则，制定年底支付业务结束、收回在途计划，完成年终指标、额度等结转结余数据，转入下一年的工作。</w:t>
            </w:r>
          </w:p>
          <w:p>
            <w:pPr>
              <w:spacing w:line="360" w:lineRule="auto"/>
              <w:ind w:left="0" w:leftChars="0" w:firstLine="42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5)新年度启用。开启新年度生产系统环境，并将相关业务数据转入新年度，确保业务无缝衔接。</w:t>
            </w:r>
          </w:p>
          <w:p>
            <w:pPr>
              <w:pStyle w:val="4"/>
              <w:ind w:left="0" w:leftChars="0" w:firstLine="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（二）运维项目管理要求</w:t>
            </w:r>
          </w:p>
          <w:p>
            <w:pPr>
              <w:pStyle w:val="4"/>
              <w:ind w:left="0" w:leftChars="0" w:firstLine="0" w:firstLineChars="0"/>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1.服务总体要求</w:t>
            </w:r>
          </w:p>
          <w:p>
            <w:pPr>
              <w:spacing w:line="360" w:lineRule="auto"/>
              <w:ind w:left="0" w:leftChars="0" w:firstLine="42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“数字</w:t>
            </w:r>
            <w:r>
              <w:rPr>
                <w:rFonts w:hint="eastAsia" w:ascii="宋体" w:hAnsi="宋体" w:eastAsia="宋体" w:cs="宋体"/>
                <w:color w:val="auto"/>
                <w:highlight w:val="none"/>
                <w:lang w:val="en-GB" w:eastAsia="zh-CN"/>
              </w:rPr>
              <w:t>政府</w:t>
            </w:r>
            <w:r>
              <w:rPr>
                <w:rFonts w:hint="eastAsia" w:ascii="宋体" w:hAnsi="宋体" w:eastAsia="宋体" w:cs="宋体"/>
                <w:color w:val="auto"/>
                <w:kern w:val="2"/>
                <w:sz w:val="21"/>
                <w:szCs w:val="24"/>
                <w:highlight w:val="none"/>
                <w:lang w:val="en-GB" w:eastAsia="zh-CN" w:bidi="ar-SA"/>
              </w:rPr>
              <w:t>”公共财政综合管理平台用户覆盖面广，系统故障会对政府单位用户日常资金管理产生影响，对系统故障的问题处理提出较高要求。按故障严重情况分为重大、紧急、一般等级，各故障等级定义如表中：</w:t>
            </w:r>
          </w:p>
          <w:tbl>
            <w:tblPr>
              <w:tblStyle w:val="6"/>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5"/>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blHeader/>
                <w:jc w:val="center"/>
              </w:trPr>
              <w:tc>
                <w:tcPr>
                  <w:tcW w:w="1425" w:type="dxa"/>
                  <w:tcMar>
                    <w:top w:w="0" w:type="dxa"/>
                    <w:left w:w="108" w:type="dxa"/>
                    <w:bottom w:w="0" w:type="dxa"/>
                    <w:right w:w="108" w:type="dxa"/>
                  </w:tcMar>
                  <w:vAlign w:val="center"/>
                </w:tcPr>
                <w:p>
                  <w:pPr>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严重等级</w:t>
                  </w:r>
                </w:p>
              </w:tc>
              <w:tc>
                <w:tcPr>
                  <w:tcW w:w="6884" w:type="dxa"/>
                  <w:tcMar>
                    <w:top w:w="0" w:type="dxa"/>
                    <w:left w:w="108" w:type="dxa"/>
                    <w:bottom w:w="0" w:type="dxa"/>
                    <w:right w:w="108" w:type="dxa"/>
                  </w:tcMar>
                  <w:vAlign w:val="center"/>
                </w:tcPr>
                <w:p>
                  <w:pPr>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1425" w:type="dxa"/>
                  <w:tcMar>
                    <w:top w:w="0" w:type="dxa"/>
                    <w:left w:w="108" w:type="dxa"/>
                    <w:bottom w:w="0" w:type="dxa"/>
                    <w:right w:w="108" w:type="dxa"/>
                  </w:tcMar>
                  <w:vAlign w:val="center"/>
                </w:tcPr>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重大</w:t>
                  </w:r>
                </w:p>
              </w:tc>
              <w:tc>
                <w:tcPr>
                  <w:tcW w:w="6884" w:type="dxa"/>
                  <w:tcMar>
                    <w:top w:w="0" w:type="dxa"/>
                    <w:left w:w="108" w:type="dxa"/>
                    <w:bottom w:w="0" w:type="dxa"/>
                    <w:right w:w="108" w:type="dxa"/>
                  </w:tcMar>
                </w:tcPr>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1.系统瘫痪或核心任务停止，且无法立即恢复，严重影响财政局业务工作；</w:t>
                  </w:r>
                </w:p>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2.系统性能下降，严重影响财政局业务工作；</w:t>
                  </w:r>
                </w:p>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3.网络故障或特定硬件错误，影响系统正常运行。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1425" w:type="dxa"/>
                  <w:tcMar>
                    <w:top w:w="0" w:type="dxa"/>
                    <w:left w:w="108" w:type="dxa"/>
                    <w:bottom w:w="0" w:type="dxa"/>
                    <w:right w:w="108" w:type="dxa"/>
                  </w:tcMar>
                  <w:vAlign w:val="center"/>
                </w:tcPr>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紧急</w:t>
                  </w:r>
                </w:p>
              </w:tc>
              <w:tc>
                <w:tcPr>
                  <w:tcW w:w="6884" w:type="dxa"/>
                  <w:tcMar>
                    <w:top w:w="0" w:type="dxa"/>
                    <w:left w:w="108" w:type="dxa"/>
                    <w:bottom w:w="0" w:type="dxa"/>
                    <w:right w:w="108" w:type="dxa"/>
                  </w:tcMar>
                </w:tcPr>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1.系统非核心任务停止，能立即恢复，未对财政部门及相关执收单位业务工作造成较大影响。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425" w:type="dxa"/>
                  <w:tcMar>
                    <w:top w:w="0" w:type="dxa"/>
                    <w:left w:w="108" w:type="dxa"/>
                    <w:bottom w:w="0" w:type="dxa"/>
                    <w:right w:w="108" w:type="dxa"/>
                  </w:tcMar>
                  <w:vAlign w:val="center"/>
                </w:tcPr>
                <w:p>
                  <w:pPr>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一般</w:t>
                  </w:r>
                </w:p>
              </w:tc>
              <w:tc>
                <w:tcPr>
                  <w:tcW w:w="6884" w:type="dxa"/>
                  <w:tcMar>
                    <w:top w:w="0" w:type="dxa"/>
                    <w:left w:w="108" w:type="dxa"/>
                    <w:bottom w:w="0" w:type="dxa"/>
                    <w:right w:w="108" w:type="dxa"/>
                  </w:tcMar>
                </w:tcPr>
                <w:p>
                  <w:pPr>
                    <w:ind w:firstLine="149" w:firstLineChars="7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1.系统显示问题（一致性、美观）；</w:t>
                  </w:r>
                </w:p>
                <w:p>
                  <w:pPr>
                    <w:ind w:firstLine="149" w:firstLineChars="7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2.系统用户自身操作或业务问题解答。</w:t>
                  </w:r>
                </w:p>
              </w:tc>
            </w:tr>
          </w:tbl>
          <w:p>
            <w:pPr>
              <w:spacing w:line="360" w:lineRule="auto"/>
              <w:ind w:left="0" w:leftChars="0" w:firstLine="42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运维技术人员针对各严重等级的故障应按以下标准响应处理：</w:t>
            </w:r>
          </w:p>
          <w:tbl>
            <w:tblPr>
              <w:tblStyle w:val="6"/>
              <w:tblW w:w="830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25" w:type="dxa"/>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严重等级</w:t>
                  </w:r>
                </w:p>
              </w:tc>
              <w:tc>
                <w:tcPr>
                  <w:tcW w:w="6883" w:type="dxa"/>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重大</w:t>
                  </w:r>
                </w:p>
              </w:tc>
              <w:tc>
                <w:tcPr>
                  <w:tcW w:w="6883"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10分钟内立即响应，识别分析问题原因、组织核心技术人员形成临时解决方案，非系统缺陷类及网络故障问题在1小时内恢复财政业务工作持续。</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严重缺陷类问题，立即向省财政厅“数字财政”研发组提交紧急问题工单，专人跟进问题工单处理流程。获取系统紧急更新补丁后，立即在预发布环境验证。在生产紧急发版前，做好数据配置等回滚备份准备，更新生产环境后当天完成确认并向财政专班汇报。</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网络故障类问题，立即向省财政厅网络管理组反馈，实时跟进网络修复进程。问题修复后，当天完成验证并向财政专班汇总，并通知用户进行正常业务操作。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紧急</w:t>
                  </w:r>
                </w:p>
              </w:tc>
              <w:tc>
                <w:tcPr>
                  <w:tcW w:w="6883"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15分钟马上响应，识别分析问题；与相关用户方沟通业务紧急程度，确定解决方案，定立问题处理时间。</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技术类问题不超过2小时处理完成。系统缺陷类故障，及时向省财政厅“数字财政”研发组提交严重问题工单，专人跟进问题工单处理流程。获取系统更新补丁后当天内进行验证测试，在生产发版后做好数据配置等回滚备份准备，更新后完成确认并向财政专班汇报，并通知用户进行试用，跟进使用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center"/>
                </w:tcPr>
                <w:p>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w:t>
                  </w:r>
                </w:p>
              </w:tc>
              <w:tc>
                <w:tcPr>
                  <w:tcW w:w="6883" w:type="dxa"/>
                  <w:shd w:val="clear" w:color="auto" w:fill="auto"/>
                </w:tcPr>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30分钟内及时响应，识别分析问题；</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对于用户操作类、业务类问题技术人员及时给予专业指导或者提供业务咨询渠道；</w:t>
                  </w:r>
                </w:p>
                <w:p>
                  <w:pPr>
                    <w:pStyle w:val="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系统缺陷、用户需求类问题，向省财政厅“数字财政”研发组提交一般问题工单，专人跟进问题工单处理进度。获取系统更新补丁后按省财政厅要求时间内容进行验证测试，在生产发版后做好数据配置等回滚备份准备，更新后完成确认通知用户进行试用，跟进使用结果。</w:t>
                  </w:r>
                </w:p>
              </w:tc>
            </w:tr>
          </w:tbl>
          <w:p>
            <w:pPr>
              <w:pStyle w:val="4"/>
              <w:ind w:left="0" w:leftChars="0" w:firstLine="0" w:firstLineChars="0"/>
              <w:rPr>
                <w:rFonts w:hint="eastAsia" w:ascii="宋体" w:hAnsi="宋体" w:eastAsia="宋体" w:cs="宋体"/>
                <w:color w:val="auto"/>
                <w:kern w:val="2"/>
                <w:sz w:val="21"/>
                <w:szCs w:val="24"/>
                <w:highlight w:val="none"/>
                <w:lang w:val="en-GB" w:eastAsia="zh-CN" w:bidi="ar-SA"/>
              </w:rPr>
            </w:pP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GB" w:eastAsia="zh-CN" w:bidi="ar-SA"/>
              </w:rPr>
              <w:t>.服务方式要求</w:t>
            </w:r>
          </w:p>
          <w:p>
            <w:pPr>
              <w:pStyle w:val="4"/>
              <w:ind w:left="0" w:leftChars="0" w:firstLine="210" w:firstLineChars="1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在系统运行维护期内，成交供应商</w:t>
            </w:r>
            <w:r>
              <w:rPr>
                <w:rFonts w:hint="eastAsia" w:ascii="宋体" w:hAnsi="宋体" w:eastAsia="宋体" w:cs="宋体"/>
                <w:color w:val="auto"/>
                <w:kern w:val="2"/>
                <w:sz w:val="21"/>
                <w:szCs w:val="24"/>
                <w:highlight w:val="none"/>
                <w:lang w:val="en-US" w:eastAsia="zh-CN" w:bidi="ar-SA"/>
              </w:rPr>
              <w:t>应</w:t>
            </w:r>
            <w:r>
              <w:rPr>
                <w:rFonts w:hint="eastAsia" w:ascii="宋体" w:hAnsi="宋体" w:eastAsia="宋体" w:cs="宋体"/>
                <w:color w:val="auto"/>
                <w:kern w:val="2"/>
                <w:sz w:val="21"/>
                <w:szCs w:val="24"/>
                <w:highlight w:val="none"/>
                <w:lang w:val="en-GB" w:eastAsia="zh-CN" w:bidi="ar-SA"/>
              </w:rPr>
              <w:t>提供下述运行维护服务：</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(1)须提供驻场服务。</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采购人“数字政府”公共财政综合管理平台涉及的功能模块多，用户面广，业务较为复杂，需要运维服务的工作较多，成交供应商须安排服务工程师驻场采购人</w:t>
            </w:r>
            <w:r>
              <w:rPr>
                <w:rFonts w:hint="eastAsia" w:ascii="宋体" w:hAnsi="宋体" w:eastAsia="宋体" w:cs="宋体"/>
                <w:color w:val="auto"/>
                <w:kern w:val="2"/>
                <w:sz w:val="21"/>
                <w:szCs w:val="24"/>
                <w:highlight w:val="none"/>
                <w:lang w:val="en-US" w:eastAsia="zh-CN" w:bidi="ar-SA"/>
              </w:rPr>
              <w:t>处</w:t>
            </w:r>
            <w:r>
              <w:rPr>
                <w:rFonts w:hint="eastAsia" w:ascii="宋体" w:hAnsi="宋体" w:eastAsia="宋体" w:cs="宋体"/>
                <w:color w:val="auto"/>
                <w:kern w:val="2"/>
                <w:sz w:val="21"/>
                <w:szCs w:val="24"/>
                <w:highlight w:val="none"/>
                <w:lang w:val="en-GB" w:eastAsia="zh-CN" w:bidi="ar-SA"/>
              </w:rPr>
              <w:t>进行系统运维服务。</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(2)其他运维辅助的技术支持服务。</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除了驻点服务以外，还需要提供其他辅助的运维途径。在驻点技术人员无法解决的问题，派遣其他技术工程师到采购人</w:t>
            </w:r>
            <w:r>
              <w:rPr>
                <w:rFonts w:hint="eastAsia" w:ascii="宋体" w:hAnsi="宋体" w:eastAsia="宋体" w:cs="宋体"/>
                <w:color w:val="auto"/>
                <w:kern w:val="2"/>
                <w:sz w:val="21"/>
                <w:szCs w:val="24"/>
                <w:highlight w:val="none"/>
                <w:lang w:val="en-US" w:eastAsia="zh-CN" w:bidi="ar-SA"/>
              </w:rPr>
              <w:t>处</w:t>
            </w:r>
            <w:r>
              <w:rPr>
                <w:rFonts w:hint="eastAsia" w:ascii="宋体" w:hAnsi="宋体" w:eastAsia="宋体" w:cs="宋体"/>
                <w:color w:val="auto"/>
                <w:kern w:val="2"/>
                <w:sz w:val="21"/>
                <w:szCs w:val="24"/>
                <w:highlight w:val="none"/>
                <w:lang w:val="en-GB" w:eastAsia="zh-CN" w:bidi="ar-SA"/>
              </w:rPr>
              <w:t>现场服务支持。</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GB" w:eastAsia="zh-CN" w:bidi="ar-SA"/>
              </w:rPr>
              <w:t>.紧急事件处理要求</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成交供应商需制定紧急事件响应机制。对于紧急事件，成交供应商提供紧急事件技术支持，具体内容如下：</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(1)成交供应商驻场人员立即响应。</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(2)提供特定问题临时沟通机制，包括现场工程师和后台技术支持渠道，现场工程师与用户进行技术沟通，无特殊情况不得更换，后台技术支持提供实时的问题相应。</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(3)解决问题事件后，支持工程师将问题填报到省运维服务系统登记记录。</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GB" w:eastAsia="zh-CN" w:bidi="ar-SA"/>
              </w:rPr>
              <w:t>.服务事件管理要求</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成交供应商应建立问题跟踪管理机制，对于已发生的问题及需求进行详细的纪录备查，提供问题解决报告，并在规定期限内进行事件跟踪。服务事件的管理须包含至少下面4个部分，即：</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问题记录；问题跟踪；问题分析、解决、相关资料提供处理；问题回顾。</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(1)建立问题纪录</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凡是采购人及下属各区财务人员反馈的问题，都应进行详细登记，并定期进行汇总，向采购人财务汇报。</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(2)问题跟踪</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在故障问题处理过程中，处理相关的工程师除了要按照规范定的流程工作之外，还要特别关注的是：故障问题的确诊和上报时间。工程师必须严格按照上述标准执行，并向相关人员汇报。</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(3)问题分析、解决、相关资料提供</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在处理解决问题的过程中，需要详细记录问题产生的原因，处理改问题的解决方法，以及处理问题后问题关闭的全程记录，对重大问题，需要单独形成问题处理报告，及时向采购人汇报。</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(4)问题审查</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 xml:space="preserve">各个故障问题状态的快速复查，为回访和问题库的维护提供工具，通过故障问题查询方式维护有效的知识库，并定期进行发布。 </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（三）服务质量要求</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1.质量管理要求</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在系统运维阶段，成交供应商应按照ISO 9001体系框架和要素的要求,紧密结合本项目的特点,制定出在系统维护方面的国际标准,来提高项目管理水平, 控制运维质量。</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成交供应商要以现代项目管理理论和质量管理理论为理论依据，以世界公认的软件过程标准CMM1.1为基准，同时，结合IS09001和项目管理知识体系的相关要求，初步建立起了一套适合本运维项目的质量管理体系。</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成交供应商应专门安排质量管理人员</w:t>
            </w:r>
            <w:r>
              <w:rPr>
                <w:rFonts w:hint="eastAsia" w:ascii="宋体" w:hAnsi="宋体" w:eastAsia="宋体" w:cs="宋体"/>
                <w:color w:val="auto"/>
                <w:kern w:val="2"/>
                <w:sz w:val="21"/>
                <w:szCs w:val="24"/>
                <w:highlight w:val="none"/>
                <w:lang w:val="en-GB" w:eastAsia="zh-CN" w:bidi="ar-SA"/>
              </w:rPr>
              <w:t>，负责本项目的质量管理，在运维项目实施质量管理过程中，是以过程为导向，以质量为中心，以实现各区财务人员满意为目标，全面贯彻实施质量管理。</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2.质量目标要求</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对照运维实施计划，跟踪实际结果和性能。使运维项目实施本身真实遵循其标准和要求。当实际运维效果出现偏差时，采取纠正措施并加以管理直到结束。当有计划改变时，在相关的个人和小组取得一致。</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3.质量范围要求</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运维服务项目所涉及的各个方面。运维服务项目资源情况。运维服务项目实施的项目管理计划，包括进度表，人员安排，成果提交。维服务项目实施完成后的升级维护。</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4.质量管理计划要求</w:t>
            </w:r>
          </w:p>
          <w:p>
            <w:pPr>
              <w:pStyle w:val="4"/>
              <w:ind w:left="0" w:leftChars="0" w:firstLine="420" w:firstLineChars="20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安排专人跟进质量管理，包括运维服务人员和采购人财务人员。制定质量管理计划。要求运维服务项目实施项目组在各个问题处理阶段都有形成文本的问题记录，包括问题描述，承诺解决时间和具体进度。对照问题清单，质量管理人员对实际问题处理过程和其应该提交的文档进行检查，并形成检查记录。对照对照问题清单，质量管理人员对实际问题处理过程和结果进行日常的审核，形成质量控制日志，并提交给</w:t>
            </w:r>
            <w:r>
              <w:rPr>
                <w:rFonts w:hint="eastAsia" w:ascii="宋体" w:hAnsi="宋体" w:eastAsia="宋体" w:cs="宋体"/>
                <w:color w:val="auto"/>
                <w:kern w:val="2"/>
                <w:sz w:val="21"/>
                <w:szCs w:val="24"/>
                <w:highlight w:val="none"/>
                <w:lang w:val="en-GB" w:eastAsia="zh-CN" w:bidi="ar-SA"/>
              </w:rPr>
              <w:t>项目经理</w:t>
            </w:r>
            <w:r>
              <w:rPr>
                <w:rFonts w:hint="eastAsia" w:ascii="宋体" w:hAnsi="宋体" w:eastAsia="宋体" w:cs="宋体"/>
                <w:color w:val="auto"/>
                <w:kern w:val="2"/>
                <w:sz w:val="21"/>
                <w:szCs w:val="24"/>
                <w:highlight w:val="none"/>
                <w:lang w:val="en-GB" w:eastAsia="zh-CN" w:bidi="ar-SA"/>
              </w:rPr>
              <w:t>，一块安排解决日常发现问题。按照质量管理计划的内容定期向高级经理和项目经理提供各个评审和审核的结果。</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sz w:val="20"/>
                <w:szCs w:val="20"/>
                <w:highlight w:val="none"/>
              </w:rPr>
              <w:t>★</w:t>
            </w:r>
            <w:r>
              <w:rPr>
                <w:rFonts w:hint="eastAsia" w:ascii="宋体" w:hAnsi="宋体" w:eastAsia="宋体" w:cs="宋体"/>
                <w:color w:val="auto"/>
                <w:kern w:val="2"/>
                <w:sz w:val="21"/>
                <w:szCs w:val="24"/>
                <w:highlight w:val="none"/>
                <w:lang w:val="en-GB" w:eastAsia="zh-CN" w:bidi="ar-SA"/>
              </w:rPr>
              <w:t>（四）系统验收</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1.组织验收：成交供应商须为验收提供必需的一切条件及相关费用，必须提供本项目的相关文档和报告，积极配合采购人进行完工验收工作，保证运维服务项目符合采购人的要求。</w:t>
            </w:r>
          </w:p>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2.验收文档至少应包括：</w:t>
            </w:r>
          </w:p>
          <w:tbl>
            <w:tblPr>
              <w:tblStyle w:val="6"/>
              <w:tblW w:w="83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19"/>
              <w:gridCol w:w="118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20" w:type="dxa"/>
                  <w:vMerge w:val="restart"/>
                  <w:shd w:val="clear" w:color="auto" w:fill="F3F3F3"/>
                  <w:vAlign w:val="center"/>
                </w:tcPr>
                <w:p>
                  <w:pPr>
                    <w:pStyle w:val="1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394" w:type="dxa"/>
                  <w:vMerge w:val="restart"/>
                  <w:shd w:val="clear" w:color="auto" w:fill="F3F3F3"/>
                  <w:vAlign w:val="center"/>
                </w:tcPr>
                <w:p>
                  <w:pPr>
                    <w:pStyle w:val="1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按进度各阶段文件名称</w:t>
                  </w:r>
                </w:p>
              </w:tc>
              <w:tc>
                <w:tcPr>
                  <w:tcW w:w="2192" w:type="dxa"/>
                  <w:gridSpan w:val="2"/>
                  <w:shd w:val="clear" w:color="auto" w:fill="F3F3F3"/>
                  <w:vAlign w:val="center"/>
                </w:tcPr>
                <w:p>
                  <w:pPr>
                    <w:pStyle w:val="1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文件属性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20" w:type="dxa"/>
                  <w:vMerge w:val="continue"/>
                  <w:shd w:val="clear" w:color="auto" w:fill="F3F3F3"/>
                  <w:vAlign w:val="center"/>
                </w:tcPr>
                <w:p>
                  <w:pPr>
                    <w:pStyle w:val="12"/>
                    <w:ind w:firstLine="482"/>
                    <w:jc w:val="center"/>
                    <w:rPr>
                      <w:rFonts w:hint="eastAsia" w:ascii="宋体" w:hAnsi="宋体" w:eastAsia="宋体" w:cs="宋体"/>
                      <w:b/>
                      <w:bCs/>
                      <w:color w:val="auto"/>
                      <w:szCs w:val="21"/>
                      <w:highlight w:val="none"/>
                    </w:rPr>
                  </w:pPr>
                </w:p>
              </w:tc>
              <w:tc>
                <w:tcPr>
                  <w:tcW w:w="5394" w:type="dxa"/>
                  <w:vMerge w:val="continue"/>
                  <w:shd w:val="clear" w:color="auto" w:fill="F3F3F3"/>
                  <w:vAlign w:val="center"/>
                </w:tcPr>
                <w:p>
                  <w:pPr>
                    <w:pStyle w:val="12"/>
                    <w:ind w:firstLine="482"/>
                    <w:jc w:val="center"/>
                    <w:rPr>
                      <w:rFonts w:hint="eastAsia" w:ascii="宋体" w:hAnsi="宋体" w:eastAsia="宋体" w:cs="宋体"/>
                      <w:b/>
                      <w:bCs/>
                      <w:color w:val="auto"/>
                      <w:szCs w:val="21"/>
                      <w:highlight w:val="none"/>
                    </w:rPr>
                  </w:pPr>
                </w:p>
              </w:tc>
              <w:tc>
                <w:tcPr>
                  <w:tcW w:w="1189" w:type="dxa"/>
                  <w:shd w:val="clear" w:color="auto" w:fill="F3F3F3"/>
                  <w:vAlign w:val="center"/>
                </w:tcPr>
                <w:p>
                  <w:pPr>
                    <w:pStyle w:val="1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纸质</w:t>
                  </w:r>
                </w:p>
              </w:tc>
              <w:tc>
                <w:tcPr>
                  <w:tcW w:w="1003" w:type="dxa"/>
                  <w:shd w:val="clear" w:color="auto" w:fill="F3F3F3"/>
                  <w:vAlign w:val="center"/>
                </w:tcPr>
                <w:p>
                  <w:pPr>
                    <w:pStyle w:val="1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《运维方案》</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《问题清单》</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《周报》、《月报》</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《问题处理报告》</w:t>
                  </w:r>
                </w:p>
              </w:tc>
              <w:tc>
                <w:tcPr>
                  <w:tcW w:w="1189" w:type="dxa"/>
                </w:tcPr>
                <w:p>
                  <w:pPr>
                    <w:pStyle w:val="12"/>
                    <w:autoSpaceDE w:val="0"/>
                    <w:autoSpaceDN w:val="0"/>
                    <w:adjustRightInd w:val="0"/>
                    <w:spacing w:line="335" w:lineRule="exact"/>
                    <w:ind w:left="283"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03" w:type="dxa"/>
                </w:tcPr>
                <w:p>
                  <w:pPr>
                    <w:pStyle w:val="12"/>
                    <w:autoSpaceDE w:val="0"/>
                    <w:autoSpaceDN w:val="0"/>
                    <w:adjustRightInd w:val="0"/>
                    <w:spacing w:line="335" w:lineRule="exact"/>
                    <w:ind w:left="283"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《问题总结报告》</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《需求变更清单》</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《系统运维报告》</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pPr>
                    <w:pStyle w:val="12"/>
                    <w:tabs>
                      <w:tab w:val="left" w:pos="252"/>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5394" w:type="dxa"/>
                  <w:vAlign w:val="center"/>
                </w:tcPr>
                <w:p>
                  <w:pPr>
                    <w:pStyle w:val="1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《用户手册》、《系统安装维护手册》</w:t>
                  </w:r>
                </w:p>
              </w:tc>
              <w:tc>
                <w:tcPr>
                  <w:tcW w:w="1189"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003" w:type="dxa"/>
                  <w:vAlign w:val="center"/>
                </w:tcPr>
                <w:p>
                  <w:pPr>
                    <w:pStyle w:val="12"/>
                    <w:ind w:firstLine="48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pPr>
              <w:pStyle w:val="4"/>
              <w:ind w:left="0" w:leftChars="0" w:firstLine="0" w:firstLineChars="0"/>
              <w:rPr>
                <w:rFonts w:hint="eastAsia" w:ascii="宋体" w:hAnsi="宋体" w:eastAsia="宋体" w:cs="宋体"/>
                <w:color w:val="auto"/>
                <w:kern w:val="2"/>
                <w:sz w:val="21"/>
                <w:szCs w:val="24"/>
                <w:highlight w:val="none"/>
                <w:lang w:val="en-GB" w:eastAsia="zh-CN" w:bidi="ar-SA"/>
              </w:rPr>
            </w:pPr>
            <w:r>
              <w:rPr>
                <w:rFonts w:hint="eastAsia" w:ascii="宋体" w:hAnsi="宋体" w:eastAsia="宋体" w:cs="宋体"/>
                <w:color w:val="auto"/>
                <w:kern w:val="2"/>
                <w:sz w:val="21"/>
                <w:szCs w:val="24"/>
                <w:highlight w:val="none"/>
                <w:lang w:val="en-GB" w:eastAsia="zh-CN" w:bidi="ar-SA"/>
              </w:rPr>
              <w:t>3.验收成员。项目验收人员应由采购人、成交供应商以及监理公司的代表组成。采购人参加项目验收的人员应包括：采购人办公室负责本项目的人员，监理公司参加的验收人员主要是跟进本项目的监理工程师，成交供应商项目经理、主要运维服务工程师等。验收会议还应邀请各方的主管领导参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p>
        </w:tc>
        <w:tc>
          <w:tcPr>
            <w:tcW w:w="428" w:type="dxa"/>
          </w:tcPr>
          <w:p>
            <w:pPr>
              <w:pStyle w:val="9"/>
              <w:numPr>
                <w:ilvl w:val="0"/>
                <w:numId w:val="2"/>
              </w:numPr>
              <w:ind w:left="425" w:leftChars="0" w:hanging="425" w:firstLineChars="0"/>
              <w:rPr>
                <w:rFonts w:hint="eastAsia" w:ascii="宋体" w:hAnsi="宋体" w:eastAsia="宋体" w:cs="宋体"/>
                <w:color w:val="auto"/>
                <w:sz w:val="21"/>
                <w:szCs w:val="21"/>
                <w:highlight w:val="none"/>
              </w:rPr>
            </w:pPr>
          </w:p>
        </w:tc>
        <w:tc>
          <w:tcPr>
            <w:tcW w:w="8791" w:type="dxa"/>
          </w:tcPr>
          <w:p>
            <w:pPr>
              <w:pStyle w:val="4"/>
              <w:ind w:left="0" w:leftChars="0" w:firstLine="0" w:firstLineChars="0"/>
              <w:rPr>
                <w:rFonts w:hint="eastAsia" w:asciiTheme="minorHAnsi" w:hAnsiTheme="minorHAnsi" w:cstheme="minorBidi"/>
                <w:b/>
                <w:bCs/>
                <w:color w:val="auto"/>
                <w:kern w:val="2"/>
                <w:sz w:val="21"/>
                <w:szCs w:val="24"/>
                <w:highlight w:val="none"/>
                <w:lang w:val="en-US" w:eastAsia="zh-CN" w:bidi="ar-SA"/>
              </w:rPr>
            </w:pPr>
            <w:r>
              <w:rPr>
                <w:rFonts w:hint="eastAsia" w:asciiTheme="minorHAnsi" w:hAnsiTheme="minorHAnsi" w:cstheme="minorBidi"/>
                <w:b/>
                <w:bCs/>
                <w:color w:val="auto"/>
                <w:kern w:val="2"/>
                <w:sz w:val="21"/>
                <w:szCs w:val="24"/>
                <w:highlight w:val="none"/>
                <w:lang w:val="en-US" w:eastAsia="zh-CN" w:bidi="ar-SA"/>
              </w:rPr>
              <w:t>人员服务要求</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全市运维管理中心团队</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主要工作包括：</w:t>
            </w:r>
          </w:p>
          <w:tbl>
            <w:tblPr>
              <w:tblStyle w:val="7"/>
              <w:tblW w:w="8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3"/>
              <w:gridCol w:w="1093"/>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3" w:type="dxa"/>
                  <w:tcBorders>
                    <w:right w:val="single" w:color="auto" w:sz="4" w:space="0"/>
                  </w:tcBorders>
                  <w:shd w:val="clear" w:color="auto" w:fill="D8D8D8" w:themeFill="background1" w:themeFillShade="D9"/>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1093" w:type="dxa"/>
                  <w:tcBorders>
                    <w:right w:val="single" w:color="auto" w:sz="4" w:space="0"/>
                  </w:tcBorders>
                  <w:shd w:val="clear" w:color="auto" w:fill="D8D8D8" w:themeFill="background1" w:themeFillShade="D9"/>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人员安排</w:t>
                  </w:r>
                </w:p>
              </w:tc>
              <w:tc>
                <w:tcPr>
                  <w:tcW w:w="6379" w:type="dxa"/>
                  <w:shd w:val="clear" w:color="auto" w:fill="D8D8D8" w:themeFill="background1" w:themeFillShade="D9"/>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3" w:type="dxa"/>
                  <w:tcBorders>
                    <w:right w:val="single" w:color="auto" w:sz="4" w:space="0"/>
                  </w:tcBorders>
                  <w:vAlign w:val="center"/>
                </w:tcPr>
                <w:p>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系统管理工程师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高级工程师</w:t>
                  </w:r>
                  <w:r>
                    <w:rPr>
                      <w:rFonts w:hint="eastAsia" w:ascii="宋体" w:hAnsi="宋体" w:eastAsia="宋体" w:cs="宋体"/>
                      <w:color w:val="auto"/>
                      <w:sz w:val="21"/>
                      <w:szCs w:val="21"/>
                      <w:highlight w:val="none"/>
                      <w:lang w:eastAsia="zh-CN"/>
                    </w:rPr>
                    <w:t>）</w:t>
                  </w:r>
                </w:p>
              </w:tc>
              <w:tc>
                <w:tcPr>
                  <w:tcW w:w="1093" w:type="dxa"/>
                  <w:tcBorders>
                    <w:right w:val="single" w:color="auto" w:sz="4" w:space="0"/>
                  </w:tcBorders>
                  <w:vAlign w:val="center"/>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2名</w:t>
                  </w:r>
                </w:p>
              </w:tc>
              <w:tc>
                <w:tcPr>
                  <w:tcW w:w="6379" w:type="dxa"/>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管理全市全局性系统资源</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由于系统还处在升级、完善中，省财厅平均每周发布3到4个升级版本，需要组织专门人员来组织全市系统升级、联调、网路策略开通、性能调优、压力测试等工作是维持系统正常运行的重要工作：</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1）实时监控。对系统的运行环境、数据库和中间件进行实时监控，提出调优和故障预防建议；对系统数据备份进行监控，确保数据备份正常。</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升级。主要包括因应业务改革或流程调整、缺陷修复、性能优化等原因所作的必要性改造调整。在收到系统软件升级请求后，对软件新版本在预发布环境进行全面测试后；在升级软件新版本之前，对当前版本的软件包进行备份。如对新版本需要更改数据库设置的，对当前版本的数据库设置进行备份；选择适当的时间在正式环境服务器端升级发布新版本，并保证在运行环境上正常使用；跟进软件实施需要，通知并指导用户升级财政局端的软件版本，必要时进行上门指导。</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3）网络策略管理。系统集中部署于省政务云，对信息安全管控有极强要求，技术梯队需要根据</w:t>
                  </w:r>
                  <w:r>
                    <w:rPr>
                      <w:rFonts w:hint="eastAsia" w:ascii="宋体" w:hAnsi="宋体" w:eastAsia="宋体" w:cs="宋体"/>
                      <w:color w:val="auto"/>
                      <w:sz w:val="21"/>
                      <w:szCs w:val="21"/>
                      <w:highlight w:val="none"/>
                      <w:lang w:eastAsia="zh-CN"/>
                    </w:rPr>
                    <w:t>佛山市</w:t>
                  </w:r>
                  <w:r>
                    <w:rPr>
                      <w:rFonts w:hint="eastAsia" w:ascii="宋体" w:hAnsi="宋体" w:eastAsia="宋体" w:cs="宋体"/>
                      <w:color w:val="auto"/>
                      <w:sz w:val="21"/>
                      <w:szCs w:val="21"/>
                      <w:highlight w:val="none"/>
                    </w:rPr>
                    <w:t>业务开展需求，协助进行网络访问策略申请及开通，确保业务得以安全、顺利开展。针对网络出现的问题，应尽快进行排查处理，同时做好信息汇报。</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应用优化。接收用户对“数字财政”公共财政综合管理平台应用性需求、个性化需求、缺陷问题等问题，运维技术人员结合当前系统功能分析问题点，将问题清晰准确定位，并填写缺陷工单、需求工单提交给省财政厅“数字财政”研发组，跟踪缺陷工单、需求工单处理方案，进行问题修复、功能优化。系统应用功能更新结果在问题工单完成，发版动作完成后，及时同步给问题提出方，并给予专业的解释与操作指导，必要时进行上门指导。涉及系统功能变更，要求整理更新内容提交给市财政专班，并更新运维知识库中。</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5）中间件运维。</w:t>
                  </w:r>
                </w:p>
                <w:p>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6）数据维护</w:t>
                  </w:r>
                  <w:r>
                    <w:rPr>
                      <w:rFonts w:hint="eastAsia" w:ascii="宋体" w:hAnsi="宋体" w:eastAsia="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3" w:type="dxa"/>
                  <w:tcBorders>
                    <w:right w:val="single" w:color="auto" w:sz="4" w:space="0"/>
                  </w:tcBorders>
                  <w:vAlign w:val="center"/>
                </w:tcPr>
                <w:p>
                  <w:pP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与各区对接工程师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中级工程师</w:t>
                  </w:r>
                  <w:r>
                    <w:rPr>
                      <w:rFonts w:hint="eastAsia" w:ascii="宋体" w:hAnsi="宋体" w:eastAsia="宋体" w:cs="宋体"/>
                      <w:color w:val="auto"/>
                      <w:sz w:val="21"/>
                      <w:szCs w:val="21"/>
                      <w:highlight w:val="none"/>
                      <w:lang w:eastAsia="zh-CN"/>
                    </w:rPr>
                    <w:t>）</w:t>
                  </w:r>
                </w:p>
              </w:tc>
              <w:tc>
                <w:tcPr>
                  <w:tcW w:w="1093" w:type="dxa"/>
                  <w:tcBorders>
                    <w:right w:val="single" w:color="auto" w:sz="4" w:space="0"/>
                  </w:tcBorders>
                  <w:vAlign w:val="center"/>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名</w:t>
                  </w:r>
                </w:p>
              </w:tc>
              <w:tc>
                <w:tcPr>
                  <w:tcW w:w="6379" w:type="dxa"/>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由于省财厅对系统保持很高的发版频率，不断有新增功能上线，因此组织落实全市运维工作，及时对接各区提出的问题和需求工作量很大，安排</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名工程师进行对接工作，主要工作如下：</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1）具体组织各区划运维服务团队按流程开展工作。</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2）对运维服务团队无法解决或权限外的问题，进行深度分析，提出具体解决方案并进行指导。</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3）管理全市性重要系统权限，如数据库权限等。制定具体的管理要求，确保在合规、安全、稳定的前提下使用权限。</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4）日常监控全市系统运行情况，针对各区划普遍反应的共性问题，进行原因追溯和协调处理，保障系统运行稳定性、安全性；及时发现和反馈项目存在的隐性和显性风险，做好防范措施。</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5）收集和论证全市业务需求和问题，并与上级相关部门进行沟通，并跟进省厅处理进度，及时反馈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6）做好与省财政厅开发和运维团队、人行、各代理银行和各区划间勾通协调工作，包括接收传达上级下达的任务、与人行和各代理银行的系统联调工作等。</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7）其他全市性数据信息处理事项，如系统数据与审计部门对接、制订全市性业务报表等。</w:t>
                  </w:r>
                </w:p>
              </w:tc>
            </w:tr>
          </w:tbl>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市级运维服务团队</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主要工作负责分工如下： </w:t>
            </w:r>
          </w:p>
          <w:tbl>
            <w:tblPr>
              <w:tblStyle w:val="7"/>
              <w:tblW w:w="8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2"/>
              <w:gridCol w:w="1444"/>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tcBorders>
                    <w:right w:val="single" w:color="auto" w:sz="4" w:space="0"/>
                  </w:tcBorders>
                  <w:shd w:val="clear" w:color="auto" w:fill="D8D8D8" w:themeFill="background1" w:themeFillShade="D9"/>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1444" w:type="dxa"/>
                  <w:tcBorders>
                    <w:right w:val="single" w:color="auto" w:sz="4" w:space="0"/>
                  </w:tcBorders>
                  <w:shd w:val="clear" w:color="auto" w:fill="D8D8D8" w:themeFill="background1" w:themeFillShade="D9"/>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人员安排</w:t>
                  </w:r>
                </w:p>
              </w:tc>
              <w:tc>
                <w:tcPr>
                  <w:tcW w:w="6379" w:type="dxa"/>
                  <w:shd w:val="clear" w:color="auto" w:fill="D8D8D8" w:themeFill="background1" w:themeFillShade="D9"/>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tcBorders>
                    <w:right w:val="single" w:color="auto" w:sz="4" w:space="0"/>
                  </w:tcBorders>
                  <w:vAlign w:val="center"/>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一线运维（</w:t>
                  </w:r>
                  <w:r>
                    <w:rPr>
                      <w:rFonts w:hint="eastAsia" w:ascii="宋体" w:hAnsi="宋体" w:eastAsia="宋体" w:cs="宋体"/>
                      <w:color w:val="auto"/>
                      <w:sz w:val="21"/>
                      <w:szCs w:val="21"/>
                      <w:highlight w:val="none"/>
                      <w:lang w:val="en-US" w:eastAsia="zh-CN"/>
                    </w:rPr>
                    <w:t>初级工程师</w:t>
                  </w:r>
                  <w:r>
                    <w:rPr>
                      <w:rFonts w:hint="eastAsia" w:ascii="宋体" w:hAnsi="宋体" w:eastAsia="宋体" w:cs="宋体"/>
                      <w:color w:val="auto"/>
                      <w:sz w:val="21"/>
                      <w:szCs w:val="21"/>
                      <w:highlight w:val="none"/>
                      <w:lang w:eastAsia="zh-CN"/>
                    </w:rPr>
                    <w:t>）</w:t>
                  </w:r>
                </w:p>
              </w:tc>
              <w:tc>
                <w:tcPr>
                  <w:tcW w:w="1444" w:type="dxa"/>
                  <w:tcBorders>
                    <w:right w:val="single" w:color="auto" w:sz="4" w:space="0"/>
                  </w:tcBorders>
                  <w:vAlign w:val="center"/>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w:t>
                  </w:r>
                </w:p>
              </w:tc>
              <w:tc>
                <w:tcPr>
                  <w:tcW w:w="6379" w:type="dxa"/>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由于省财厅不断有新功能发布上线，用户对新功能使用的咨询业务量一直很高，为了应对广大预算单位用户的咨询服务请求，提高财政服务能力，安排</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名工程师主要负责解答用户咨询方面的需求，主要工作如下：</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驻点咨询。运维服务团队在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公场所按运维工作机制处理用户有关系统问题的咨询。一是通过热线电话、智能客服和其他用户要求的方式及时解决用户咨询；二是运维服务团队在规定工作时间内需保持全程在线，认真耐心答复或解决咨询问题；三是对于运维服务团队不能立即解决或权限外的问题应按工作机制及时向全市运维中心反馈，并做好全流程跟踪，解决问题后即回复用户。</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现场服务。根据实际情况，对需要到用户办公现场解决的问题，安排运维工程师赶赴现场解决。</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7×24小时响应。在规定工作时间之外，运维服务团队应对用户咨询用作响应，视问题轻重缓急答复用户解决问题方式和时间。</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服务总结。运维服务团队应做好用户咨询的记录，向全市运维中心提供统计情况，便于分析查找共性问题。属于业务性问题的，团队应向及时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反馈情况。</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由于省财厅对系统的升级频率很高，平均每周有3</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4个升级版本发布，系统不断有新增功能上线，为此需要专门岗位负责培训相关的工作，主要工作如下：</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编制用户使用辅助材料。材料包括图文操作指南、系统操作讲解视频、智能运维知识库、常见问题答疑等。团队应保持材料不断更新，与系统最新版本保持一致。</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对系统新功能上线，团队应根据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需要组织用户上线工作，包括：用户情况调研、召开动员大会、基础数据整理、用户操作培训、用户测试使用和用户上线使用等。培训形式可采用现场大班培训、多批次小班培训或远程视频培训等多种形式，为系统顺利推广提供技术保障。</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对新增单位或个人，团队应提供专门技术指导，帮助用户更快、更好地掌握系统的使用，提高工作效率。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742" w:type="dxa"/>
                  <w:tcBorders>
                    <w:top w:val="single" w:color="auto" w:sz="4" w:space="0"/>
                    <w:right w:val="single" w:color="auto" w:sz="4" w:space="0"/>
                  </w:tcBorders>
                  <w:vAlign w:val="center"/>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二线运维（</w:t>
                  </w:r>
                  <w:r>
                    <w:rPr>
                      <w:rFonts w:hint="eastAsia" w:ascii="宋体" w:hAnsi="宋体" w:eastAsia="宋体" w:cs="宋体"/>
                      <w:color w:val="auto"/>
                      <w:sz w:val="21"/>
                      <w:szCs w:val="21"/>
                      <w:highlight w:val="none"/>
                      <w:lang w:val="en-US" w:eastAsia="zh-CN"/>
                    </w:rPr>
                    <w:t>中级工程师</w:t>
                  </w:r>
                  <w:r>
                    <w:rPr>
                      <w:rFonts w:hint="eastAsia" w:ascii="宋体" w:hAnsi="宋体" w:eastAsia="宋体" w:cs="宋体"/>
                      <w:color w:val="auto"/>
                      <w:sz w:val="21"/>
                      <w:szCs w:val="21"/>
                      <w:highlight w:val="none"/>
                      <w:lang w:eastAsia="zh-CN"/>
                    </w:rPr>
                    <w:t>）</w:t>
                  </w:r>
                </w:p>
              </w:tc>
              <w:tc>
                <w:tcPr>
                  <w:tcW w:w="1444" w:type="dxa"/>
                  <w:tcBorders>
                    <w:top w:val="single" w:color="auto" w:sz="4" w:space="0"/>
                    <w:right w:val="single" w:color="auto" w:sz="4" w:space="0"/>
                  </w:tcBorders>
                  <w:vAlign w:val="center"/>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w:t>
                  </w:r>
                </w:p>
              </w:tc>
              <w:tc>
                <w:tcPr>
                  <w:tcW w:w="6379" w:type="dxa"/>
                  <w:tcBorders>
                    <w:top w:val="single" w:color="auto" w:sz="4" w:space="0"/>
                  </w:tcBorders>
                </w:tcPr>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因省财厅对系统的升级发版频率一直很高（周均3，4次），导致系统运行过程中，系统问题和故障比较多，处理的工作量很大，为了及时处理预算单位问题，维护系统的平稳运行，需要投入</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名工程师来处理系统问题。 </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应急服务。提供应急预案，根据故障的紧急程度，提供加急响应，实现紧急问题紧急处理，并提供法定节假日及非工作时间的特殊支持保障服务。</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2）定期巡检。对应用系统各服务运行情况进行定期检查，查看运行状态、资源使用率情况、运行性能日志等，对发现存在的隐患及时汇报。</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3）业务管理运维。对“数字政府”公共财政综合管理平台系统用户专人进行的用户管理、数字证书的制作、业务变更配置与知识库维护、解答用户咨询、解决用户使用系统中的一般性问题、开展用户培训等。</w:t>
                  </w: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故障处理。对于系统故障和问题及时排查定位并尽快处理，对权限外或者无法识别处理的问题，通过缺陷管理机制报送运维管理中心深度分析处理，并做好问题跟踪、处理结果反馈。</w:t>
                  </w:r>
                </w:p>
              </w:tc>
            </w:tr>
          </w:tbl>
          <w:p>
            <w:pPr>
              <w:pStyle w:val="4"/>
              <w:ind w:left="0" w:leftChars="0" w:firstLine="0" w:firstLineChars="0"/>
              <w:rPr>
                <w:rFonts w:hint="default" w:asciiTheme="minorHAnsi" w:hAnsiTheme="minorHAnsi" w:cstheme="minorBidi"/>
                <w:color w:val="auto"/>
                <w:kern w:val="2"/>
                <w:sz w:val="21"/>
                <w:szCs w:val="24"/>
                <w:highlight w:val="none"/>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tcPr>
          <w:p>
            <w:pPr>
              <w:pStyle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9219" w:type="dxa"/>
            <w:gridSpan w:val="2"/>
          </w:tcPr>
          <w:p>
            <w:pPr>
              <w:pStyle w:val="9"/>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打“★”号条款为实质性条款，若有任何一条负偏离或不满足则导致投标无效。</w:t>
            </w:r>
          </w:p>
          <w:p>
            <w:pPr>
              <w:pStyle w:val="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4702A"/>
    <w:multiLevelType w:val="singleLevel"/>
    <w:tmpl w:val="0164702A"/>
    <w:lvl w:ilvl="0" w:tentative="0">
      <w:start w:val="1"/>
      <w:numFmt w:val="decimal"/>
      <w:lvlText w:val="%1"/>
      <w:lvlJc w:val="left"/>
      <w:pPr>
        <w:tabs>
          <w:tab w:val="left" w:pos="420"/>
        </w:tabs>
        <w:ind w:left="425" w:leftChars="0" w:hanging="425" w:firstLineChars="0"/>
      </w:pPr>
      <w:rPr>
        <w:rFonts w:hint="default"/>
      </w:rPr>
    </w:lvl>
  </w:abstractNum>
  <w:abstractNum w:abstractNumId="1">
    <w:nsid w:val="0F1B3086"/>
    <w:multiLevelType w:val="multilevel"/>
    <w:tmpl w:val="0F1B3086"/>
    <w:lvl w:ilvl="0" w:tentative="0">
      <w:start w:val="1"/>
      <w:numFmt w:val="chineseCountingThousand"/>
      <w:lvlText w:val="第%1章"/>
      <w:lvlJc w:val="left"/>
      <w:pPr>
        <w:ind w:left="420" w:hanging="420"/>
      </w:pPr>
      <w:rPr>
        <w:sz w:val="44"/>
        <w:szCs w:val="44"/>
      </w:rPr>
    </w:lvl>
    <w:lvl w:ilvl="1" w:tentative="0">
      <w:start w:val="1"/>
      <w:numFmt w:val="decimal"/>
      <w:isLgl/>
      <w:lvlText w:val="%1.%2"/>
      <w:lvlJc w:val="left"/>
      <w:pPr>
        <w:ind w:left="1004" w:hanging="720"/>
      </w:pPr>
    </w:lvl>
    <w:lvl w:ilvl="2" w:tentative="0">
      <w:start w:val="1"/>
      <w:numFmt w:val="decimal"/>
      <w:isLgl/>
      <w:lvlText w:val="%1.%2.%3"/>
      <w:lvlJc w:val="left"/>
      <w:pPr>
        <w:ind w:left="720" w:hanging="720"/>
      </w:pPr>
    </w:lvl>
    <w:lvl w:ilvl="3" w:tentative="0">
      <w:start w:val="1"/>
      <w:numFmt w:val="decimal"/>
      <w:isLgl/>
      <w:lvlText w:val="%1.%2.%3.%4"/>
      <w:lvlJc w:val="left"/>
      <w:pPr>
        <w:ind w:left="1080" w:hanging="1080"/>
      </w:pPr>
      <w:rPr>
        <w:rFonts w:hint="default" w:ascii="黑体" w:hAnsi="黑体" w:eastAsia="黑体" w:cs="黑体"/>
        <w:color w:val="auto"/>
      </w:rPr>
    </w:lvl>
    <w:lvl w:ilvl="4" w:tentative="0">
      <w:start w:val="1"/>
      <w:numFmt w:val="decimal"/>
      <w:isLgl/>
      <w:lvlText w:val="%1.%2.%3.%4.%5"/>
      <w:lvlJc w:val="left"/>
      <w:pPr>
        <w:ind w:left="1440" w:hanging="1440"/>
      </w:pPr>
      <w:rPr>
        <w:rFonts w:hint="default" w:ascii="黑体" w:hAnsi="黑体" w:eastAsia="黑体" w:cs="黑体"/>
        <w:sz w:val="28"/>
        <w:szCs w:val="28"/>
      </w:rPr>
    </w:lvl>
    <w:lvl w:ilvl="5" w:tentative="0">
      <w:start w:val="1"/>
      <w:numFmt w:val="decimal"/>
      <w:pStyle w:val="2"/>
      <w:isLgl/>
      <w:lvlText w:val="%1.%2.%3.%4.%5.%6"/>
      <w:lvlJc w:val="left"/>
      <w:pPr>
        <w:ind w:left="2880" w:hanging="1800"/>
      </w:pPr>
      <w:rPr>
        <w:rFonts w:hint="default" w:ascii="黑体" w:hAnsi="黑体" w:eastAsia="黑体" w:cs="黑体"/>
        <w:sz w:val="28"/>
        <w:szCs w:val="28"/>
      </w:rPr>
    </w:lvl>
    <w:lvl w:ilvl="6" w:tentative="0">
      <w:start w:val="1"/>
      <w:numFmt w:val="decimal"/>
      <w:isLgl/>
      <w:lvlText w:val="%1.%2.%3.%4.%5.%6.%7"/>
      <w:lvlJc w:val="left"/>
      <w:pPr>
        <w:ind w:left="1800" w:hanging="1800"/>
      </w:pPr>
    </w:lvl>
    <w:lvl w:ilvl="7" w:tentative="0">
      <w:start w:val="1"/>
      <w:numFmt w:val="decimal"/>
      <w:isLgl/>
      <w:lvlText w:val="%1.%2.%3.%4.%5.%6.%7.%8"/>
      <w:lvlJc w:val="left"/>
      <w:pPr>
        <w:ind w:left="2160" w:hanging="2160"/>
      </w:pPr>
    </w:lvl>
    <w:lvl w:ilvl="8" w:tentative="0">
      <w:start w:val="1"/>
      <w:numFmt w:val="decimal"/>
      <w:isLgl/>
      <w:lvlText w:val="%1.%2.%3.%4.%5.%6.%7.%8.%9"/>
      <w:lvlJc w:val="left"/>
      <w:pPr>
        <w:ind w:left="2520" w:hanging="25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TAxZWZkYzU3NDhjMDAyZWQ3MzdmNTZjZWQyZmYifQ=="/>
  </w:docVars>
  <w:rsids>
    <w:rsidRoot w:val="7C3E4B94"/>
    <w:rsid w:val="7C3E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3"/>
    <w:unhideWhenUsed/>
    <w:qFormat/>
    <w:uiPriority w:val="0"/>
    <w:pPr>
      <w:keepNext/>
      <w:keepLines/>
      <w:numPr>
        <w:ilvl w:val="5"/>
        <w:numId w:val="1"/>
      </w:numPr>
      <w:spacing w:before="78" w:beforeLines="25" w:after="78" w:afterLines="25"/>
      <w:ind w:firstLine="0" w:firstLineChars="0"/>
      <w:outlineLvl w:val="5"/>
    </w:pPr>
    <w:rPr>
      <w:rFonts w:eastAsia="黑体" w:cstheme="majorBidi"/>
      <w:bCs/>
      <w:szCs w:val="24"/>
      <w:lang w:val="en-GB"/>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3">
    <w:name w:val="y.正文"/>
    <w:basedOn w:val="1"/>
    <w:autoRedefine/>
    <w:qFormat/>
    <w:uiPriority w:val="0"/>
    <w:pPr>
      <w:spacing w:line="240" w:lineRule="auto"/>
    </w:pPr>
    <w:rPr>
      <w:rFonts w:cs="宋体"/>
      <w:sz w:val="28"/>
      <w:szCs w:val="24"/>
    </w:rPr>
  </w:style>
  <w:style w:type="paragraph" w:styleId="4">
    <w:name w:val="Normal Indent"/>
    <w:basedOn w:val="1"/>
    <w:unhideWhenUsed/>
    <w:qFormat/>
    <w:uiPriority w:val="0"/>
    <w:pPr>
      <w:spacing w:line="240" w:lineRule="auto"/>
      <w:ind w:firstLine="420" w:firstLineChars="0"/>
      <w:contextualSpacing w:val="0"/>
    </w:pPr>
    <w:rPr>
      <w:rFonts w:ascii="Calibri" w:hAnsi="Calibri" w:eastAsiaTheme="minorEastAsia"/>
      <w:sz w:val="21"/>
    </w:rPr>
  </w:style>
  <w:style w:type="paragraph" w:styleId="5">
    <w:name w:val="annotation text"/>
    <w:basedOn w:val="1"/>
    <w:qFormat/>
    <w:uiPriority w:val="0"/>
    <w:pPr>
      <w:jc w:val="left"/>
    </w:p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null3"/>
    <w:autoRedefine/>
    <w:hidden/>
    <w:qFormat/>
    <w:uiPriority w:val="0"/>
    <w:rPr>
      <w:rFonts w:hint="eastAsia" w:asciiTheme="minorHAnsi" w:hAnsiTheme="minorHAnsi" w:eastAsiaTheme="minorEastAsia" w:cstheme="minorBidi"/>
      <w:lang w:val="en-US" w:eastAsia="zh-Hans"/>
    </w:rPr>
  </w:style>
  <w:style w:type="paragraph" w:customStyle="1" w:styleId="10">
    <w:name w:val="列出段落11"/>
    <w:basedOn w:val="1"/>
    <w:autoRedefine/>
    <w:qFormat/>
    <w:uiPriority w:val="99"/>
    <w:pPr>
      <w:ind w:firstLine="420" w:firstLineChars="200"/>
    </w:pPr>
    <w:rPr>
      <w:rFonts w:ascii="Times New Roman" w:hAnsi="Times New Roman"/>
      <w:szCs w:val="24"/>
    </w:rPr>
  </w:style>
  <w:style w:type="paragraph" w:customStyle="1" w:styleId="11">
    <w:name w:val="表格"/>
    <w:basedOn w:val="1"/>
    <w:autoRedefine/>
    <w:qFormat/>
    <w:uiPriority w:val="0"/>
    <w:pPr>
      <w:spacing w:line="240" w:lineRule="auto"/>
      <w:ind w:firstLine="0" w:firstLineChars="0"/>
      <w:jc w:val="center"/>
    </w:pPr>
    <w:rPr>
      <w:rFonts w:ascii="宋体" w:hAnsi="宋体"/>
      <w:szCs w:val="24"/>
      <w:lang w:val="en-GB"/>
    </w:rPr>
  </w:style>
  <w:style w:type="paragraph" w:customStyle="1" w:styleId="12">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2024-05-22T09:52:00Z</dcterms:created>
  <dc:creator>代理</dc:creator>
  <cp:lastModifiedBy>代理</cp:lastModifiedBy>
  <dcterms:modified xsi:type="dcterms:W3CDTF">2024-05-22T09:53:56Z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DC1BCC38CDE7449AA8DFAB3F7D4A4DAC_11</vt:lpwstr>
  </property>
</Properties>
</file>