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0C2B3">
      <w:pPr>
        <w:pStyle w:val="3"/>
        <w:shd w:val="clear"/>
        <w:spacing w:before="0" w:after="0" w:line="360" w:lineRule="auto"/>
        <w:ind w:left="432" w:hanging="432"/>
        <w:jc w:val="center"/>
        <w:rPr>
          <w:rFonts w:hint="eastAsia" w:ascii="宋体" w:hAnsi="宋体" w:eastAsia="宋体" w:cs="宋体"/>
          <w:bCs w:val="0"/>
          <w:smallCaps/>
          <w:spacing w:val="5"/>
          <w:sz w:val="28"/>
          <w:szCs w:val="28"/>
          <w:highlight w:val="none"/>
        </w:rPr>
      </w:pPr>
      <w:bookmarkStart w:id="16" w:name="_GoBack"/>
      <w:bookmarkEnd w:id="16"/>
      <w:bookmarkStart w:id="0" w:name="_Toc167112543"/>
      <w:r>
        <w:rPr>
          <w:rFonts w:hint="eastAsia" w:ascii="宋体" w:hAnsi="宋体" w:eastAsia="宋体" w:cs="宋体"/>
          <w:bCs w:val="0"/>
          <w:smallCaps/>
          <w:spacing w:val="5"/>
          <w:sz w:val="28"/>
          <w:szCs w:val="28"/>
          <w:highlight w:val="none"/>
        </w:rPr>
        <w:t>采购包2【具体技术（参数）要求】医学影像信息系统（放射、超声、内镜、检查智能预约）</w:t>
      </w:r>
    </w:p>
    <w:p w14:paraId="7DE1C55A">
      <w:pPr>
        <w:pStyle w:val="3"/>
        <w:shd w:val="clear"/>
        <w:spacing w:before="0" w:after="0" w:line="360" w:lineRule="auto"/>
        <w:ind w:left="432" w:hanging="432"/>
        <w:rPr>
          <w:rFonts w:hint="eastAsia" w:ascii="宋体" w:hAnsi="宋体" w:eastAsia="宋体" w:cs="宋体"/>
          <w:bCs w:val="0"/>
          <w:smallCaps/>
          <w:spacing w:val="5"/>
          <w:sz w:val="21"/>
          <w:szCs w:val="21"/>
          <w:highlight w:val="none"/>
        </w:rPr>
      </w:pPr>
      <w:r>
        <w:rPr>
          <w:rFonts w:hint="eastAsia" w:ascii="宋体" w:hAnsi="宋体" w:eastAsia="宋体" w:cs="宋体"/>
          <w:bCs w:val="0"/>
          <w:smallCaps/>
          <w:spacing w:val="5"/>
          <w:sz w:val="21"/>
          <w:szCs w:val="21"/>
          <w:highlight w:val="none"/>
        </w:rPr>
        <w:t>（一）★</w:t>
      </w:r>
      <w:r>
        <w:rPr>
          <w:rFonts w:hint="eastAsia" w:ascii="宋体" w:hAnsi="宋体" w:eastAsia="宋体" w:cs="宋体"/>
          <w:bCs w:val="0"/>
          <w:smallCaps/>
          <w:spacing w:val="5"/>
          <w:sz w:val="21"/>
          <w:szCs w:val="21"/>
          <w:highlight w:val="none"/>
          <w:lang w:val="zh-CN"/>
        </w:rPr>
        <w:t>项目的主要内容</w:t>
      </w:r>
      <w:bookmarkEnd w:id="0"/>
    </w:p>
    <w:p w14:paraId="7A0A3C30">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1" w:name="_Toc167112544"/>
      <w:r>
        <w:rPr>
          <w:rFonts w:hint="eastAsia" w:ascii="宋体" w:hAnsi="宋体" w:eastAsia="宋体" w:cs="宋体"/>
          <w:b w:val="0"/>
          <w:bCs w:val="0"/>
          <w:smallCaps/>
          <w:sz w:val="21"/>
          <w:szCs w:val="21"/>
          <w:highlight w:val="none"/>
        </w:rPr>
        <w:t>1.</w:t>
      </w:r>
      <w:r>
        <w:rPr>
          <w:rFonts w:hint="eastAsia" w:ascii="宋体" w:hAnsi="宋体" w:eastAsia="宋体" w:cs="宋体"/>
          <w:b w:val="0"/>
          <w:bCs w:val="0"/>
          <w:smallCaps/>
          <w:sz w:val="21"/>
          <w:szCs w:val="21"/>
          <w:highlight w:val="none"/>
          <w:lang w:val="zh-CN"/>
        </w:rPr>
        <w:t>软件系统</w:t>
      </w:r>
      <w:bookmarkEnd w:id="1"/>
    </w:p>
    <w:tbl>
      <w:tblPr>
        <w:tblStyle w:val="41"/>
        <w:tblW w:w="4999"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96"/>
        <w:gridCol w:w="7766"/>
        <w:gridCol w:w="1098"/>
      </w:tblGrid>
      <w:tr w14:paraId="2AFDBB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50" w:type="pct"/>
            <w:tcBorders>
              <w:top w:val="single" w:color="auto" w:sz="4" w:space="0"/>
              <w:bottom w:val="single" w:color="auto" w:sz="4" w:space="0"/>
              <w:right w:val="single" w:color="auto" w:sz="4" w:space="0"/>
            </w:tcBorders>
            <w:shd w:val="clear" w:color="auto" w:fill="F2F2F2"/>
            <w:vAlign w:val="center"/>
          </w:tcPr>
          <w:p w14:paraId="2D0F4637">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序号</w:t>
            </w:r>
          </w:p>
        </w:tc>
        <w:tc>
          <w:tcPr>
            <w:tcW w:w="3898" w:type="pct"/>
            <w:tcBorders>
              <w:top w:val="single" w:color="auto" w:sz="4" w:space="0"/>
              <w:left w:val="single" w:color="auto" w:sz="4" w:space="0"/>
              <w:bottom w:val="single" w:color="auto" w:sz="4" w:space="0"/>
              <w:right w:val="single" w:color="auto" w:sz="4" w:space="0"/>
            </w:tcBorders>
            <w:shd w:val="clear" w:color="auto" w:fill="F2F2F2"/>
            <w:vAlign w:val="center"/>
          </w:tcPr>
          <w:p w14:paraId="43643A05">
            <w:pPr>
              <w:shd w:val="clear"/>
              <w:spacing w:line="240" w:lineRule="auto"/>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建设系统</w:t>
            </w:r>
          </w:p>
        </w:tc>
        <w:tc>
          <w:tcPr>
            <w:tcW w:w="551" w:type="pct"/>
            <w:tcBorders>
              <w:top w:val="single" w:color="auto" w:sz="4" w:space="0"/>
              <w:left w:val="single" w:color="auto" w:sz="4" w:space="0"/>
              <w:bottom w:val="single" w:color="auto" w:sz="4" w:space="0"/>
            </w:tcBorders>
            <w:shd w:val="clear" w:color="auto" w:fill="F2F2F2"/>
            <w:vAlign w:val="center"/>
          </w:tcPr>
          <w:p w14:paraId="3E4B6B7A">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数量</w:t>
            </w:r>
          </w:p>
        </w:tc>
      </w:tr>
      <w:tr w14:paraId="5A7E89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50" w:type="pct"/>
            <w:tcBorders>
              <w:top w:val="single" w:color="auto" w:sz="4" w:space="0"/>
              <w:bottom w:val="single" w:color="auto" w:sz="4" w:space="0"/>
              <w:right w:val="single" w:color="auto" w:sz="4" w:space="0"/>
            </w:tcBorders>
            <w:vAlign w:val="center"/>
          </w:tcPr>
          <w:p w14:paraId="0F5A0D85">
            <w:pPr>
              <w:shd w:val="clear"/>
              <w:spacing w:line="24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3898" w:type="pct"/>
            <w:tcBorders>
              <w:top w:val="single" w:color="auto" w:sz="4" w:space="0"/>
              <w:left w:val="single" w:color="auto" w:sz="4" w:space="0"/>
              <w:bottom w:val="single" w:color="auto" w:sz="4" w:space="0"/>
              <w:right w:val="single" w:color="auto" w:sz="4" w:space="0"/>
            </w:tcBorders>
            <w:vAlign w:val="center"/>
          </w:tcPr>
          <w:p w14:paraId="2005DAB3">
            <w:pPr>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放射</w:t>
            </w:r>
            <w:r>
              <w:rPr>
                <w:rFonts w:hint="eastAsia" w:ascii="宋体" w:hAnsi="宋体" w:eastAsia="宋体" w:cs="宋体"/>
                <w:sz w:val="21"/>
                <w:szCs w:val="21"/>
                <w:highlight w:val="none"/>
              </w:rPr>
              <w:t>PACS</w:t>
            </w:r>
            <w:r>
              <w:rPr>
                <w:rFonts w:hint="eastAsia" w:ascii="宋体" w:hAnsi="宋体" w:eastAsia="宋体" w:cs="宋体"/>
                <w:sz w:val="21"/>
                <w:szCs w:val="21"/>
                <w:highlight w:val="none"/>
                <w:lang w:val="zh-CN"/>
              </w:rPr>
              <w:t>系统</w:t>
            </w:r>
          </w:p>
        </w:tc>
        <w:tc>
          <w:tcPr>
            <w:tcW w:w="551" w:type="pct"/>
            <w:tcBorders>
              <w:top w:val="single" w:color="auto" w:sz="4" w:space="0"/>
              <w:left w:val="single" w:color="auto" w:sz="4" w:space="0"/>
              <w:bottom w:val="single" w:color="auto" w:sz="4" w:space="0"/>
            </w:tcBorders>
            <w:vAlign w:val="center"/>
          </w:tcPr>
          <w:p w14:paraId="57987A7A">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zh-CN"/>
              </w:rPr>
              <w:t>套</w:t>
            </w:r>
          </w:p>
        </w:tc>
      </w:tr>
      <w:tr w14:paraId="7227B7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50" w:type="pct"/>
            <w:tcBorders>
              <w:top w:val="single" w:color="auto" w:sz="4" w:space="0"/>
              <w:bottom w:val="single" w:color="auto" w:sz="4" w:space="0"/>
              <w:right w:val="single" w:color="auto" w:sz="4" w:space="0"/>
            </w:tcBorders>
            <w:vAlign w:val="center"/>
          </w:tcPr>
          <w:p w14:paraId="294E8EB9">
            <w:pPr>
              <w:shd w:val="clear"/>
              <w:spacing w:line="24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3898" w:type="pct"/>
            <w:tcBorders>
              <w:top w:val="single" w:color="auto" w:sz="4" w:space="0"/>
              <w:left w:val="single" w:color="auto" w:sz="4" w:space="0"/>
              <w:bottom w:val="single" w:color="auto" w:sz="4" w:space="0"/>
              <w:right w:val="single" w:color="auto" w:sz="4" w:space="0"/>
            </w:tcBorders>
            <w:vAlign w:val="center"/>
          </w:tcPr>
          <w:p w14:paraId="50B6D18B">
            <w:pPr>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超声信息系统</w:t>
            </w:r>
          </w:p>
        </w:tc>
        <w:tc>
          <w:tcPr>
            <w:tcW w:w="551" w:type="pct"/>
            <w:tcBorders>
              <w:top w:val="single" w:color="auto" w:sz="4" w:space="0"/>
              <w:left w:val="single" w:color="auto" w:sz="4" w:space="0"/>
              <w:bottom w:val="single" w:color="auto" w:sz="4" w:space="0"/>
            </w:tcBorders>
            <w:vAlign w:val="center"/>
          </w:tcPr>
          <w:p w14:paraId="25B8A7D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zh-CN"/>
              </w:rPr>
              <w:t>套</w:t>
            </w:r>
          </w:p>
        </w:tc>
      </w:tr>
      <w:tr w14:paraId="6B850C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50" w:type="pct"/>
            <w:tcBorders>
              <w:top w:val="single" w:color="auto" w:sz="4" w:space="0"/>
              <w:bottom w:val="single" w:color="auto" w:sz="4" w:space="0"/>
              <w:right w:val="single" w:color="auto" w:sz="4" w:space="0"/>
            </w:tcBorders>
            <w:vAlign w:val="center"/>
          </w:tcPr>
          <w:p w14:paraId="71D10238">
            <w:pPr>
              <w:shd w:val="clear"/>
              <w:spacing w:line="24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3898" w:type="pct"/>
            <w:tcBorders>
              <w:top w:val="single" w:color="auto" w:sz="4" w:space="0"/>
              <w:left w:val="single" w:color="auto" w:sz="4" w:space="0"/>
              <w:bottom w:val="single" w:color="auto" w:sz="4" w:space="0"/>
              <w:right w:val="single" w:color="auto" w:sz="4" w:space="0"/>
            </w:tcBorders>
            <w:vAlign w:val="center"/>
          </w:tcPr>
          <w:p w14:paraId="35AB2722">
            <w:pPr>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内镜信息系统</w:t>
            </w:r>
          </w:p>
        </w:tc>
        <w:tc>
          <w:tcPr>
            <w:tcW w:w="551" w:type="pct"/>
            <w:tcBorders>
              <w:top w:val="single" w:color="auto" w:sz="4" w:space="0"/>
              <w:left w:val="single" w:color="auto" w:sz="4" w:space="0"/>
              <w:bottom w:val="single" w:color="auto" w:sz="4" w:space="0"/>
            </w:tcBorders>
            <w:vAlign w:val="center"/>
          </w:tcPr>
          <w:p w14:paraId="2D8EC721">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zh-CN"/>
              </w:rPr>
              <w:t>套</w:t>
            </w:r>
          </w:p>
        </w:tc>
      </w:tr>
      <w:tr w14:paraId="0743D7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50" w:type="pct"/>
            <w:tcBorders>
              <w:top w:val="single" w:color="auto" w:sz="4" w:space="0"/>
              <w:bottom w:val="single" w:color="auto" w:sz="4" w:space="0"/>
              <w:right w:val="single" w:color="auto" w:sz="4" w:space="0"/>
            </w:tcBorders>
            <w:vAlign w:val="center"/>
          </w:tcPr>
          <w:p w14:paraId="70EE9D9D">
            <w:pPr>
              <w:shd w:val="clear"/>
              <w:spacing w:line="24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3898" w:type="pct"/>
            <w:tcBorders>
              <w:top w:val="single" w:color="auto" w:sz="4" w:space="0"/>
              <w:left w:val="single" w:color="auto" w:sz="4" w:space="0"/>
              <w:bottom w:val="single" w:color="auto" w:sz="4" w:space="0"/>
              <w:right w:val="single" w:color="auto" w:sz="4" w:space="0"/>
            </w:tcBorders>
            <w:vAlign w:val="center"/>
          </w:tcPr>
          <w:p w14:paraId="0D461536">
            <w:pPr>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检查智能预约系统</w:t>
            </w:r>
          </w:p>
        </w:tc>
        <w:tc>
          <w:tcPr>
            <w:tcW w:w="551" w:type="pct"/>
            <w:tcBorders>
              <w:top w:val="single" w:color="auto" w:sz="4" w:space="0"/>
              <w:left w:val="single" w:color="auto" w:sz="4" w:space="0"/>
              <w:bottom w:val="single" w:color="auto" w:sz="4" w:space="0"/>
            </w:tcBorders>
            <w:vAlign w:val="center"/>
          </w:tcPr>
          <w:p w14:paraId="78758FDD">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zh-CN"/>
              </w:rPr>
              <w:t>套</w:t>
            </w:r>
          </w:p>
        </w:tc>
      </w:tr>
    </w:tbl>
    <w:p w14:paraId="5A0BCD6A">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2" w:name="_Toc167112545"/>
      <w:r>
        <w:rPr>
          <w:rFonts w:hint="eastAsia" w:ascii="宋体" w:hAnsi="宋体" w:eastAsia="宋体" w:cs="宋体"/>
          <w:b w:val="0"/>
          <w:bCs w:val="0"/>
          <w:smallCaps/>
          <w:sz w:val="21"/>
          <w:szCs w:val="21"/>
          <w:highlight w:val="none"/>
        </w:rPr>
        <w:t>2.</w:t>
      </w:r>
      <w:r>
        <w:rPr>
          <w:rFonts w:hint="eastAsia" w:ascii="宋体" w:hAnsi="宋体" w:eastAsia="宋体" w:cs="宋体"/>
          <w:b w:val="0"/>
          <w:bCs w:val="0"/>
          <w:smallCaps/>
          <w:sz w:val="21"/>
          <w:szCs w:val="21"/>
          <w:highlight w:val="none"/>
          <w:lang w:val="zh-CN"/>
        </w:rPr>
        <w:t>配套设备</w:t>
      </w:r>
      <w:bookmarkEnd w:id="2"/>
    </w:p>
    <w:tbl>
      <w:tblPr>
        <w:tblStyle w:val="41"/>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89"/>
        <w:gridCol w:w="3528"/>
        <w:gridCol w:w="5341"/>
      </w:tblGrid>
      <w:tr w14:paraId="7FF8DD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47" w:type="pct"/>
            <w:tcBorders>
              <w:top w:val="single" w:color="auto" w:sz="4" w:space="0"/>
              <w:bottom w:val="single" w:color="auto" w:sz="4" w:space="0"/>
              <w:right w:val="single" w:color="auto" w:sz="4" w:space="0"/>
            </w:tcBorders>
            <w:shd w:val="clear" w:color="auto" w:fill="F2F2F2"/>
            <w:vAlign w:val="center"/>
          </w:tcPr>
          <w:p w14:paraId="3DD5A139">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序号</w:t>
            </w:r>
          </w:p>
        </w:tc>
        <w:tc>
          <w:tcPr>
            <w:tcW w:w="1771" w:type="pct"/>
            <w:tcBorders>
              <w:top w:val="single" w:color="auto" w:sz="4" w:space="0"/>
              <w:left w:val="single" w:color="auto" w:sz="4" w:space="0"/>
              <w:bottom w:val="single" w:color="auto" w:sz="4" w:space="0"/>
              <w:right w:val="single" w:color="auto" w:sz="4" w:space="0"/>
            </w:tcBorders>
            <w:shd w:val="clear" w:color="auto" w:fill="F2F2F2"/>
            <w:vAlign w:val="center"/>
          </w:tcPr>
          <w:p w14:paraId="0502FAAF">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硬件种类</w:t>
            </w:r>
          </w:p>
        </w:tc>
        <w:tc>
          <w:tcPr>
            <w:tcW w:w="2681" w:type="pct"/>
            <w:tcBorders>
              <w:top w:val="single" w:color="auto" w:sz="4" w:space="0"/>
              <w:left w:val="single" w:color="auto" w:sz="4" w:space="0"/>
              <w:bottom w:val="single" w:color="auto" w:sz="4" w:space="0"/>
            </w:tcBorders>
            <w:shd w:val="clear" w:color="auto" w:fill="F2F2F2"/>
            <w:vAlign w:val="center"/>
          </w:tcPr>
          <w:p w14:paraId="77CAD9C8">
            <w:pPr>
              <w:shd w:val="clear"/>
              <w:spacing w:line="240" w:lineRule="auto"/>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数量</w:t>
            </w:r>
          </w:p>
        </w:tc>
      </w:tr>
      <w:tr w14:paraId="123127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47" w:type="pct"/>
            <w:tcBorders>
              <w:top w:val="single" w:color="auto" w:sz="4" w:space="0"/>
              <w:bottom w:val="single" w:color="auto" w:sz="4" w:space="0"/>
              <w:right w:val="single" w:color="auto" w:sz="4" w:space="0"/>
            </w:tcBorders>
            <w:vAlign w:val="center"/>
          </w:tcPr>
          <w:p w14:paraId="0BD67CF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771" w:type="pct"/>
            <w:tcBorders>
              <w:top w:val="single" w:color="auto" w:sz="4" w:space="0"/>
              <w:left w:val="single" w:color="auto" w:sz="4" w:space="0"/>
              <w:bottom w:val="single" w:color="auto" w:sz="4" w:space="0"/>
              <w:right w:val="single" w:color="auto" w:sz="4" w:space="0"/>
            </w:tcBorders>
            <w:vAlign w:val="center"/>
          </w:tcPr>
          <w:p w14:paraId="503385C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高清采集卡</w:t>
            </w:r>
          </w:p>
        </w:tc>
        <w:tc>
          <w:tcPr>
            <w:tcW w:w="2681" w:type="pct"/>
            <w:tcBorders>
              <w:top w:val="single" w:color="auto" w:sz="4" w:space="0"/>
              <w:left w:val="single" w:color="auto" w:sz="4" w:space="0"/>
              <w:bottom w:val="single" w:color="auto" w:sz="4" w:space="0"/>
            </w:tcBorders>
            <w:vAlign w:val="center"/>
          </w:tcPr>
          <w:p w14:paraId="68BB6450">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卫国路院区：超声科</w:t>
            </w:r>
            <w:r>
              <w:rPr>
                <w:rFonts w:hint="eastAsia" w:ascii="宋体" w:hAnsi="宋体" w:eastAsia="宋体" w:cs="宋体"/>
                <w:sz w:val="21"/>
                <w:szCs w:val="21"/>
                <w:highlight w:val="none"/>
              </w:rPr>
              <w:t>16</w:t>
            </w:r>
            <w:r>
              <w:rPr>
                <w:rFonts w:hint="eastAsia" w:ascii="宋体" w:hAnsi="宋体" w:cs="宋体"/>
                <w:sz w:val="21"/>
                <w:szCs w:val="21"/>
                <w:highlight w:val="none"/>
                <w:lang w:val="en-US" w:eastAsia="zh-CN"/>
              </w:rPr>
              <w:t>套</w:t>
            </w:r>
            <w:r>
              <w:rPr>
                <w:rFonts w:hint="eastAsia" w:ascii="宋体" w:hAnsi="宋体" w:eastAsia="宋体" w:cs="宋体"/>
                <w:sz w:val="21"/>
                <w:szCs w:val="21"/>
                <w:highlight w:val="none"/>
                <w:lang w:val="zh-CN"/>
              </w:rPr>
              <w:t>；妇产科</w:t>
            </w:r>
            <w:r>
              <w:rPr>
                <w:rFonts w:hint="eastAsia" w:ascii="宋体" w:hAnsi="宋体" w:eastAsia="宋体" w:cs="宋体"/>
                <w:sz w:val="21"/>
                <w:szCs w:val="21"/>
                <w:highlight w:val="none"/>
              </w:rPr>
              <w:t>4</w:t>
            </w:r>
            <w:r>
              <w:rPr>
                <w:rFonts w:hint="eastAsia" w:ascii="宋体" w:hAnsi="宋体" w:cs="宋体"/>
                <w:sz w:val="21"/>
                <w:szCs w:val="21"/>
                <w:highlight w:val="none"/>
                <w:lang w:val="en-US" w:eastAsia="zh-CN"/>
              </w:rPr>
              <w:t>套</w:t>
            </w:r>
            <w:r>
              <w:rPr>
                <w:rFonts w:hint="eastAsia" w:ascii="宋体" w:hAnsi="宋体" w:eastAsia="宋体" w:cs="宋体"/>
                <w:sz w:val="21"/>
                <w:szCs w:val="21"/>
                <w:highlight w:val="none"/>
                <w:lang w:val="zh-CN"/>
              </w:rPr>
              <w:t>；腔镜中心</w:t>
            </w:r>
            <w:r>
              <w:rPr>
                <w:rFonts w:hint="eastAsia" w:ascii="宋体" w:hAnsi="宋体" w:eastAsia="宋体" w:cs="宋体"/>
                <w:sz w:val="21"/>
                <w:szCs w:val="21"/>
                <w:highlight w:val="none"/>
              </w:rPr>
              <w:t>5</w:t>
            </w:r>
            <w:r>
              <w:rPr>
                <w:rFonts w:hint="eastAsia" w:ascii="宋体" w:hAnsi="宋体" w:cs="宋体"/>
                <w:sz w:val="21"/>
                <w:szCs w:val="21"/>
                <w:highlight w:val="none"/>
                <w:lang w:val="en-US" w:eastAsia="zh-CN"/>
              </w:rPr>
              <w:t>套</w:t>
            </w:r>
            <w:r>
              <w:rPr>
                <w:rFonts w:hint="eastAsia" w:ascii="宋体" w:hAnsi="宋体" w:eastAsia="宋体" w:cs="宋体"/>
                <w:sz w:val="21"/>
                <w:szCs w:val="21"/>
                <w:highlight w:val="none"/>
                <w:lang w:val="zh-CN"/>
              </w:rPr>
              <w:t>；</w:t>
            </w:r>
          </w:p>
          <w:p w14:paraId="6046B81E">
            <w:pPr>
              <w:shd w:val="clear"/>
              <w:spacing w:line="240" w:lineRule="auto"/>
              <w:ind w:firstLine="0"/>
              <w:jc w:val="left"/>
              <w:rPr>
                <w:rFonts w:hint="eastAsia" w:ascii="宋体" w:hAnsi="宋体" w:eastAsia="宋体" w:cs="宋体"/>
                <w:sz w:val="21"/>
                <w:szCs w:val="21"/>
                <w:highlight w:val="none"/>
              </w:rPr>
            </w:pPr>
            <w:r>
              <w:rPr>
                <w:rFonts w:hint="eastAsia" w:ascii="宋体" w:hAnsi="宋体" w:cs="宋体"/>
                <w:sz w:val="21"/>
                <w:szCs w:val="21"/>
                <w:highlight w:val="none"/>
                <w:lang w:val="zh-CN"/>
              </w:rPr>
              <w:t>绿岛湖院区</w:t>
            </w:r>
            <w:r>
              <w:rPr>
                <w:rFonts w:hint="eastAsia" w:ascii="宋体" w:hAnsi="宋体" w:eastAsia="宋体" w:cs="宋体"/>
                <w:sz w:val="21"/>
                <w:szCs w:val="21"/>
                <w:highlight w:val="none"/>
              </w:rPr>
              <w:t>：</w:t>
            </w:r>
            <w:r>
              <w:rPr>
                <w:rFonts w:hint="eastAsia" w:ascii="宋体" w:hAnsi="宋体" w:cs="宋体"/>
                <w:sz w:val="21"/>
                <w:szCs w:val="21"/>
                <w:highlight w:val="none"/>
                <w:lang w:val="en-US" w:eastAsia="zh-CN"/>
              </w:rPr>
              <w:t>13</w:t>
            </w:r>
            <w:r>
              <w:rPr>
                <w:rFonts w:hint="eastAsia" w:ascii="宋体" w:hAnsi="宋体" w:eastAsia="宋体" w:cs="宋体"/>
                <w:sz w:val="21"/>
                <w:szCs w:val="21"/>
                <w:highlight w:val="none"/>
                <w:u w:val="none"/>
              </w:rPr>
              <w:t>个</w:t>
            </w:r>
          </w:p>
        </w:tc>
      </w:tr>
      <w:tr w14:paraId="6E34B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47" w:type="pct"/>
            <w:tcBorders>
              <w:top w:val="single" w:color="auto" w:sz="4" w:space="0"/>
              <w:bottom w:val="single" w:color="auto" w:sz="4" w:space="0"/>
              <w:right w:val="single" w:color="auto" w:sz="4" w:space="0"/>
            </w:tcBorders>
            <w:vAlign w:val="center"/>
          </w:tcPr>
          <w:p w14:paraId="25150A0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771" w:type="pct"/>
            <w:tcBorders>
              <w:top w:val="single" w:color="auto" w:sz="4" w:space="0"/>
              <w:left w:val="single" w:color="auto" w:sz="4" w:space="0"/>
              <w:bottom w:val="single" w:color="auto" w:sz="4" w:space="0"/>
              <w:right w:val="single" w:color="auto" w:sz="4" w:space="0"/>
            </w:tcBorders>
            <w:vAlign w:val="center"/>
          </w:tcPr>
          <w:p w14:paraId="096FF1C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脚踏板（内镜）</w:t>
            </w:r>
          </w:p>
        </w:tc>
        <w:tc>
          <w:tcPr>
            <w:tcW w:w="2681" w:type="pct"/>
            <w:tcBorders>
              <w:top w:val="single" w:color="auto" w:sz="4" w:space="0"/>
              <w:left w:val="single" w:color="auto" w:sz="4" w:space="0"/>
              <w:bottom w:val="single" w:color="auto" w:sz="4" w:space="0"/>
            </w:tcBorders>
            <w:vAlign w:val="center"/>
          </w:tcPr>
          <w:p w14:paraId="0BBB4CA3">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卫国路院区</w:t>
            </w:r>
            <w:r>
              <w:rPr>
                <w:rFonts w:hint="eastAsia" w:ascii="宋体" w:hAnsi="宋体" w:cs="宋体"/>
                <w:sz w:val="21"/>
                <w:szCs w:val="21"/>
                <w:highlight w:val="none"/>
                <w:lang w:val="zh-CN"/>
              </w:rPr>
              <w:t>：</w:t>
            </w:r>
            <w:r>
              <w:rPr>
                <w:rFonts w:hint="eastAsia" w:ascii="宋体" w:hAnsi="宋体" w:eastAsia="宋体" w:cs="宋体"/>
                <w:sz w:val="21"/>
                <w:szCs w:val="21"/>
                <w:highlight w:val="none"/>
              </w:rPr>
              <w:t>5</w:t>
            </w:r>
            <w:r>
              <w:rPr>
                <w:rFonts w:hint="eastAsia" w:ascii="宋体" w:hAnsi="宋体" w:eastAsia="宋体" w:cs="宋体"/>
                <w:sz w:val="21"/>
                <w:szCs w:val="21"/>
                <w:highlight w:val="none"/>
                <w:lang w:val="zh-CN"/>
              </w:rPr>
              <w:t>个；</w:t>
            </w:r>
          </w:p>
          <w:p w14:paraId="7A612479">
            <w:pPr>
              <w:shd w:val="clear"/>
              <w:spacing w:line="240" w:lineRule="auto"/>
              <w:ind w:firstLine="0"/>
              <w:jc w:val="left"/>
              <w:rPr>
                <w:rFonts w:hint="eastAsia" w:ascii="宋体" w:hAnsi="宋体" w:eastAsia="宋体" w:cs="宋体"/>
                <w:sz w:val="21"/>
                <w:szCs w:val="21"/>
                <w:highlight w:val="none"/>
              </w:rPr>
            </w:pPr>
            <w:r>
              <w:rPr>
                <w:rFonts w:hint="eastAsia" w:ascii="宋体" w:hAnsi="宋体" w:cs="宋体"/>
                <w:sz w:val="21"/>
                <w:szCs w:val="21"/>
                <w:highlight w:val="none"/>
                <w:lang w:val="zh-CN"/>
              </w:rPr>
              <w:t>绿岛湖院区</w:t>
            </w:r>
            <w:r>
              <w:rPr>
                <w:rFonts w:hint="eastAsia" w:ascii="宋体" w:hAnsi="宋体" w:eastAsia="宋体" w:cs="宋体"/>
                <w:sz w:val="21"/>
                <w:szCs w:val="21"/>
                <w:highlight w:val="none"/>
                <w:lang w:val="zh-CN"/>
              </w:rPr>
              <w:t>：</w:t>
            </w:r>
            <w:r>
              <w:rPr>
                <w:rFonts w:hint="eastAsia" w:ascii="宋体" w:hAnsi="宋体" w:cs="宋体"/>
                <w:sz w:val="21"/>
                <w:szCs w:val="21"/>
                <w:highlight w:val="none"/>
                <w:lang w:val="en-US" w:eastAsia="zh-CN"/>
              </w:rPr>
              <w:t>13</w:t>
            </w:r>
            <w:r>
              <w:rPr>
                <w:rFonts w:hint="eastAsia" w:ascii="宋体" w:hAnsi="宋体" w:eastAsia="宋体" w:cs="宋体"/>
                <w:sz w:val="21"/>
                <w:szCs w:val="21"/>
                <w:highlight w:val="none"/>
              </w:rPr>
              <w:t>个</w:t>
            </w:r>
          </w:p>
        </w:tc>
      </w:tr>
      <w:tr w14:paraId="6EABCF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47" w:type="pct"/>
            <w:tcBorders>
              <w:top w:val="single" w:color="auto" w:sz="4" w:space="0"/>
              <w:bottom w:val="single" w:color="auto" w:sz="4" w:space="0"/>
              <w:right w:val="single" w:color="auto" w:sz="4" w:space="0"/>
            </w:tcBorders>
            <w:vAlign w:val="center"/>
          </w:tcPr>
          <w:p w14:paraId="5C692D8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771" w:type="pct"/>
            <w:tcBorders>
              <w:top w:val="single" w:color="auto" w:sz="4" w:space="0"/>
              <w:left w:val="single" w:color="auto" w:sz="4" w:space="0"/>
              <w:bottom w:val="single" w:color="auto" w:sz="4" w:space="0"/>
              <w:right w:val="single" w:color="auto" w:sz="4" w:space="0"/>
            </w:tcBorders>
            <w:vAlign w:val="center"/>
          </w:tcPr>
          <w:p w14:paraId="1A69A1A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采集手柄（超声）</w:t>
            </w:r>
          </w:p>
        </w:tc>
        <w:tc>
          <w:tcPr>
            <w:tcW w:w="2681" w:type="pct"/>
            <w:tcBorders>
              <w:top w:val="single" w:color="auto" w:sz="4" w:space="0"/>
              <w:left w:val="single" w:color="auto" w:sz="4" w:space="0"/>
              <w:bottom w:val="single" w:color="auto" w:sz="4" w:space="0"/>
            </w:tcBorders>
            <w:vAlign w:val="center"/>
          </w:tcPr>
          <w:p w14:paraId="0B06B34A">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卫国路院区</w:t>
            </w:r>
            <w:r>
              <w:rPr>
                <w:rFonts w:hint="eastAsia" w:ascii="宋体" w:hAnsi="宋体" w:cs="宋体"/>
                <w:sz w:val="21"/>
                <w:szCs w:val="21"/>
                <w:highlight w:val="none"/>
                <w:lang w:val="zh-CN"/>
              </w:rPr>
              <w:t>：</w:t>
            </w:r>
            <w:r>
              <w:rPr>
                <w:rFonts w:hint="eastAsia" w:ascii="宋体" w:hAnsi="宋体" w:eastAsia="宋体" w:cs="宋体"/>
                <w:sz w:val="21"/>
                <w:szCs w:val="21"/>
                <w:highlight w:val="none"/>
              </w:rPr>
              <w:t>14</w:t>
            </w:r>
            <w:r>
              <w:rPr>
                <w:rFonts w:hint="eastAsia" w:ascii="宋体" w:hAnsi="宋体" w:eastAsia="宋体" w:cs="宋体"/>
                <w:sz w:val="21"/>
                <w:szCs w:val="21"/>
                <w:highlight w:val="none"/>
                <w:lang w:val="zh-CN"/>
              </w:rPr>
              <w:t>个；</w:t>
            </w:r>
          </w:p>
          <w:p w14:paraId="2B8539BC">
            <w:pPr>
              <w:shd w:val="clear"/>
              <w:spacing w:line="240" w:lineRule="auto"/>
              <w:ind w:firstLine="0"/>
              <w:jc w:val="left"/>
              <w:rPr>
                <w:rFonts w:hint="eastAsia" w:ascii="宋体" w:hAnsi="宋体" w:eastAsia="宋体" w:cs="宋体"/>
                <w:sz w:val="21"/>
                <w:szCs w:val="21"/>
                <w:highlight w:val="none"/>
              </w:rPr>
            </w:pPr>
            <w:r>
              <w:rPr>
                <w:rFonts w:hint="eastAsia" w:ascii="宋体" w:hAnsi="宋体" w:cs="宋体"/>
                <w:sz w:val="21"/>
                <w:szCs w:val="21"/>
                <w:highlight w:val="none"/>
                <w:lang w:val="zh-CN"/>
              </w:rPr>
              <w:t>绿岛湖院区</w:t>
            </w:r>
            <w:r>
              <w:rPr>
                <w:rFonts w:hint="eastAsia" w:ascii="宋体" w:hAnsi="宋体" w:eastAsia="宋体" w:cs="宋体"/>
                <w:sz w:val="21"/>
                <w:szCs w:val="21"/>
                <w:highlight w:val="none"/>
                <w:lang w:val="zh-CN"/>
              </w:rPr>
              <w:t>：</w:t>
            </w:r>
            <w:r>
              <w:rPr>
                <w:rFonts w:hint="eastAsia" w:ascii="宋体" w:hAnsi="宋体" w:eastAsia="宋体" w:cs="宋体"/>
                <w:sz w:val="21"/>
                <w:szCs w:val="21"/>
                <w:highlight w:val="none"/>
                <w:u w:val="none"/>
              </w:rPr>
              <w:t>30</w:t>
            </w:r>
            <w:r>
              <w:rPr>
                <w:rFonts w:hint="eastAsia" w:ascii="宋体" w:hAnsi="宋体" w:eastAsia="宋体" w:cs="宋体"/>
                <w:sz w:val="21"/>
                <w:szCs w:val="21"/>
                <w:highlight w:val="none"/>
              </w:rPr>
              <w:t>个</w:t>
            </w:r>
          </w:p>
        </w:tc>
      </w:tr>
    </w:tbl>
    <w:p w14:paraId="77EC9369">
      <w:pPr>
        <w:shd w:val="clear"/>
        <w:spacing w:line="360" w:lineRule="auto"/>
        <w:ind w:firstLine="0"/>
        <w:rPr>
          <w:rFonts w:hint="eastAsia" w:ascii="宋体" w:hAnsi="宋体" w:eastAsia="宋体" w:cs="宋体"/>
          <w:color w:val="000000"/>
          <w:sz w:val="21"/>
          <w:szCs w:val="21"/>
          <w:highlight w:val="none"/>
        </w:rPr>
      </w:pPr>
      <w:r>
        <w:rPr>
          <w:rFonts w:hint="eastAsia" w:ascii="宋体" w:hAnsi="宋体" w:eastAsia="宋体" w:cs="宋体"/>
          <w:b/>
          <w:bCs/>
          <w:smallCaps/>
          <w:spacing w:val="5"/>
          <w:sz w:val="21"/>
          <w:szCs w:val="21"/>
          <w:highlight w:val="none"/>
          <w:lang w:val="zh-CN"/>
        </w:rPr>
        <w:t>（二）项目标的主要内容及要求</w:t>
      </w:r>
    </w:p>
    <w:p w14:paraId="58BB9EF9">
      <w:pPr>
        <w:pStyle w:val="3"/>
        <w:shd w:val="clear"/>
        <w:spacing w:before="0" w:after="0" w:line="360" w:lineRule="auto"/>
        <w:ind w:left="432" w:hanging="432"/>
        <w:rPr>
          <w:rFonts w:hint="eastAsia" w:ascii="宋体" w:hAnsi="宋体" w:eastAsia="宋体" w:cs="宋体"/>
          <w:b w:val="0"/>
          <w:bCs w:val="0"/>
          <w:smallCaps/>
          <w:spacing w:val="5"/>
          <w:sz w:val="21"/>
          <w:szCs w:val="21"/>
          <w:highlight w:val="none"/>
        </w:rPr>
      </w:pPr>
      <w:bookmarkStart w:id="3" w:name="_Toc167112546"/>
      <w:r>
        <w:rPr>
          <w:rFonts w:hint="eastAsia" w:ascii="宋体" w:hAnsi="宋体" w:eastAsia="宋体" w:cs="宋体"/>
          <w:b w:val="0"/>
          <w:bCs w:val="0"/>
          <w:smallCaps/>
          <w:spacing w:val="5"/>
          <w:sz w:val="21"/>
          <w:szCs w:val="21"/>
          <w:highlight w:val="none"/>
        </w:rPr>
        <w:t>1.</w:t>
      </w:r>
      <w:r>
        <w:rPr>
          <w:rFonts w:hint="eastAsia" w:ascii="宋体" w:hAnsi="宋体" w:eastAsia="宋体" w:cs="宋体"/>
          <w:b w:val="0"/>
          <w:bCs w:val="0"/>
          <w:smallCaps/>
          <w:spacing w:val="5"/>
          <w:sz w:val="21"/>
          <w:szCs w:val="21"/>
          <w:highlight w:val="none"/>
          <w:lang w:val="zh-CN"/>
        </w:rPr>
        <w:t>系统的实现遵循以下原则</w:t>
      </w:r>
      <w:bookmarkEnd w:id="3"/>
    </w:p>
    <w:p w14:paraId="7A34D883">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统一标准原则：在数据交换平台建设中，</w:t>
      </w:r>
      <w:r>
        <w:rPr>
          <w:rFonts w:hint="eastAsia" w:ascii="宋体" w:hAnsi="宋体" w:cs="宋体"/>
          <w:sz w:val="21"/>
          <w:szCs w:val="21"/>
          <w:highlight w:val="none"/>
          <w:lang w:val="zh-CN"/>
        </w:rPr>
        <w:t>应</w:t>
      </w:r>
      <w:r>
        <w:rPr>
          <w:rFonts w:hint="eastAsia" w:ascii="宋体" w:hAnsi="宋体" w:eastAsia="宋体" w:cs="宋体"/>
          <w:sz w:val="21"/>
          <w:szCs w:val="21"/>
          <w:highlight w:val="none"/>
          <w:lang w:val="zh-CN"/>
        </w:rPr>
        <w:t>“统一规范、统一代码、统一接口”。加强指导、组织和协调，规范数据平台的基本功能、数据模型和数据编码等信息标准。</w:t>
      </w:r>
    </w:p>
    <w:p w14:paraId="54E5CE90">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性能稳定原则：数据中心平台应具有较强的数据处理能力，满足全院7×24小时服务的要求，保证医疗数据交换和资源共享的需要。</w:t>
      </w:r>
    </w:p>
    <w:p w14:paraId="37AFBAC7">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保证安全原则：系统运行的安全性和稳定性是业务系统正常运行的重要保障。在系统设计和建设中要符合国家有关信息安全方面的</w:t>
      </w:r>
      <w:r>
        <w:rPr>
          <w:rFonts w:hint="eastAsia" w:ascii="宋体" w:hAnsi="宋体" w:cs="宋体"/>
          <w:sz w:val="21"/>
          <w:szCs w:val="21"/>
          <w:highlight w:val="none"/>
          <w:lang w:val="zh-CN"/>
        </w:rPr>
        <w:t>法律法规</w:t>
      </w:r>
      <w:r>
        <w:rPr>
          <w:rFonts w:hint="eastAsia" w:ascii="宋体" w:hAnsi="宋体" w:eastAsia="宋体" w:cs="宋体"/>
          <w:sz w:val="21"/>
          <w:szCs w:val="21"/>
          <w:highlight w:val="none"/>
          <w:lang w:val="zh-CN"/>
        </w:rPr>
        <w:t>及技术要求，强化信息安全管理，制定和完善相关的应急处理预案，保证系统稳定运行。</w:t>
      </w:r>
    </w:p>
    <w:p w14:paraId="5897BABB">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经济实效原则：项目建设</w:t>
      </w:r>
      <w:r>
        <w:rPr>
          <w:rFonts w:hint="eastAsia" w:ascii="宋体" w:hAnsi="宋体" w:cs="宋体"/>
          <w:sz w:val="21"/>
          <w:szCs w:val="21"/>
          <w:highlight w:val="none"/>
          <w:lang w:val="zh-CN"/>
        </w:rPr>
        <w:t>应</w:t>
      </w:r>
      <w:r>
        <w:rPr>
          <w:rFonts w:hint="eastAsia" w:ascii="宋体" w:hAnsi="宋体" w:eastAsia="宋体" w:cs="宋体"/>
          <w:sz w:val="21"/>
          <w:szCs w:val="21"/>
          <w:highlight w:val="none"/>
          <w:lang w:val="zh-CN"/>
        </w:rPr>
        <w:t>坚持经济实效的原则，注重投入产出效益，不盲目追赶技术超前，防止大起大落，以合理的投入，产出适宜的效果。</w:t>
      </w:r>
    </w:p>
    <w:p w14:paraId="642F73F8">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具扩展性、兼容性：项目的设计和实施应具有灵活的扩展能力，充分考虑国家相关标准和业务系统需求变化对数据格式、处理方式等带来的业务流程变动和模式调整。</w:t>
      </w:r>
    </w:p>
    <w:p w14:paraId="51484070">
      <w:pPr>
        <w:pStyle w:val="3"/>
        <w:shd w:val="clear"/>
        <w:spacing w:before="0" w:after="0" w:line="360" w:lineRule="auto"/>
        <w:ind w:left="432" w:hanging="432"/>
        <w:rPr>
          <w:rFonts w:hint="eastAsia" w:ascii="宋体" w:hAnsi="宋体" w:eastAsia="宋体" w:cs="宋体"/>
          <w:b w:val="0"/>
          <w:bCs w:val="0"/>
          <w:smallCaps/>
          <w:spacing w:val="5"/>
          <w:sz w:val="21"/>
          <w:szCs w:val="21"/>
          <w:highlight w:val="none"/>
        </w:rPr>
      </w:pPr>
      <w:bookmarkStart w:id="4" w:name="_Toc167112547"/>
      <w:r>
        <w:rPr>
          <w:rFonts w:hint="eastAsia" w:ascii="宋体" w:hAnsi="宋体" w:eastAsia="宋体" w:cs="宋体"/>
          <w:b w:val="0"/>
          <w:bCs w:val="0"/>
          <w:smallCaps/>
          <w:spacing w:val="5"/>
          <w:sz w:val="21"/>
          <w:szCs w:val="21"/>
          <w:highlight w:val="none"/>
        </w:rPr>
        <w:t>2.</w:t>
      </w:r>
      <w:r>
        <w:rPr>
          <w:rFonts w:hint="eastAsia" w:ascii="宋体" w:hAnsi="宋体" w:eastAsia="宋体" w:cs="宋体"/>
          <w:b w:val="0"/>
          <w:bCs w:val="0"/>
          <w:smallCaps/>
          <w:spacing w:val="5"/>
          <w:sz w:val="21"/>
          <w:szCs w:val="21"/>
          <w:highlight w:val="none"/>
          <w:lang w:val="zh-CN"/>
        </w:rPr>
        <w:t>系统实施的标准要求</w:t>
      </w:r>
      <w:bookmarkEnd w:id="4"/>
    </w:p>
    <w:p w14:paraId="5F84BA69">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系统</w:t>
      </w:r>
      <w:r>
        <w:rPr>
          <w:rFonts w:hint="eastAsia" w:ascii="宋体" w:hAnsi="宋体" w:cs="宋体"/>
          <w:sz w:val="21"/>
          <w:szCs w:val="21"/>
          <w:highlight w:val="none"/>
          <w:lang w:val="zh-CN"/>
        </w:rPr>
        <w:t>应</w:t>
      </w:r>
      <w:r>
        <w:rPr>
          <w:rFonts w:hint="eastAsia" w:ascii="宋体" w:hAnsi="宋体" w:eastAsia="宋体" w:cs="宋体"/>
          <w:sz w:val="21"/>
          <w:szCs w:val="21"/>
          <w:highlight w:val="none"/>
          <w:lang w:val="zh-CN"/>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4E04698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系统设计和使用</w:t>
      </w:r>
      <w:r>
        <w:rPr>
          <w:rFonts w:hint="eastAsia" w:ascii="宋体" w:hAnsi="宋体" w:cs="宋体"/>
          <w:sz w:val="21"/>
          <w:szCs w:val="21"/>
          <w:highlight w:val="none"/>
          <w:lang w:val="zh-CN"/>
        </w:rPr>
        <w:t>应</w:t>
      </w:r>
      <w:r>
        <w:rPr>
          <w:rFonts w:hint="eastAsia" w:ascii="宋体" w:hAnsi="宋体" w:eastAsia="宋体" w:cs="宋体"/>
          <w:sz w:val="21"/>
          <w:szCs w:val="21"/>
          <w:highlight w:val="none"/>
          <w:lang w:val="zh-CN"/>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6D6F9ABB">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1)优先参照国家统一标准，凡已公布国家/行业标准的遵循国家/行业标准；无国家/行业标准的参考国际标准、外国国家标准。</w:t>
      </w:r>
    </w:p>
    <w:p w14:paraId="5B99AEFE">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2)如果国家、国际没有相应标准，参考国内省市已经形成的标准、规范。</w:t>
      </w:r>
    </w:p>
    <w:p w14:paraId="009EB46F">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3)如果国家、国际、省市都没有相应标准，自建区标准。需自建信息字典的编制和维护，卫生信息标准的引用和参照。</w:t>
      </w:r>
    </w:p>
    <w:p w14:paraId="55320A13">
      <w:pPr>
        <w:pStyle w:val="3"/>
        <w:shd w:val="clear"/>
        <w:spacing w:before="0" w:after="0" w:line="360" w:lineRule="auto"/>
        <w:ind w:left="432" w:hanging="432"/>
        <w:rPr>
          <w:rFonts w:hint="eastAsia" w:ascii="宋体" w:hAnsi="宋体" w:eastAsia="宋体" w:cs="宋体"/>
          <w:b w:val="0"/>
          <w:bCs w:val="0"/>
          <w:smallCaps/>
          <w:spacing w:val="5"/>
          <w:sz w:val="21"/>
          <w:szCs w:val="21"/>
          <w:highlight w:val="none"/>
        </w:rPr>
      </w:pPr>
      <w:bookmarkStart w:id="5" w:name="_Toc167112548"/>
      <w:r>
        <w:rPr>
          <w:rFonts w:hint="eastAsia" w:ascii="宋体" w:hAnsi="宋体" w:eastAsia="宋体" w:cs="宋体"/>
          <w:b w:val="0"/>
          <w:bCs w:val="0"/>
          <w:smallCaps/>
          <w:spacing w:val="5"/>
          <w:sz w:val="21"/>
          <w:szCs w:val="21"/>
          <w:highlight w:val="none"/>
        </w:rPr>
        <w:t>3.系统评审要求</w:t>
      </w:r>
      <w:bookmarkEnd w:id="5"/>
    </w:p>
    <w:p w14:paraId="236F4575">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1）提供的软件版本</w:t>
      </w:r>
      <w:r>
        <w:rPr>
          <w:rFonts w:hint="eastAsia" w:ascii="宋体" w:hAnsi="宋体" w:cs="宋体"/>
          <w:sz w:val="21"/>
          <w:szCs w:val="21"/>
          <w:highlight w:val="none"/>
          <w:lang w:val="en-US" w:eastAsia="zh-CN"/>
        </w:rPr>
        <w:t>能</w:t>
      </w:r>
      <w:r>
        <w:rPr>
          <w:rFonts w:hint="eastAsia" w:ascii="宋体" w:hAnsi="宋体" w:eastAsia="宋体" w:cs="宋体"/>
          <w:sz w:val="21"/>
          <w:szCs w:val="21"/>
          <w:highlight w:val="none"/>
          <w:lang w:val="zh-CN"/>
        </w:rPr>
        <w:t>配合</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通过5级电子病历评审工作。</w:t>
      </w:r>
    </w:p>
    <w:p w14:paraId="4B87A7B3">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2）具备通过6级电子病历要求的技术能力，并具备通过6级电子病历评审要求。</w:t>
      </w:r>
    </w:p>
    <w:p w14:paraId="76676B4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3）提供的软件版本</w:t>
      </w:r>
      <w:r>
        <w:rPr>
          <w:rFonts w:hint="eastAsia" w:ascii="宋体" w:hAnsi="宋体" w:cs="宋体"/>
          <w:sz w:val="21"/>
          <w:szCs w:val="21"/>
          <w:highlight w:val="none"/>
          <w:lang w:val="en-US" w:eastAsia="zh-CN"/>
        </w:rPr>
        <w:t>能</w:t>
      </w:r>
      <w:r>
        <w:rPr>
          <w:rFonts w:hint="eastAsia" w:ascii="宋体" w:hAnsi="宋体" w:eastAsia="宋体" w:cs="宋体"/>
          <w:sz w:val="21"/>
          <w:szCs w:val="21"/>
          <w:highlight w:val="none"/>
          <w:lang w:val="zh-CN"/>
        </w:rPr>
        <w:t>配合</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通过互联互通五乙评审工作。</w:t>
      </w:r>
    </w:p>
    <w:p w14:paraId="656D3537">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4）配合</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通过智慧服务三级、智慧管理三级评审工作。</w:t>
      </w:r>
    </w:p>
    <w:p w14:paraId="32C99015">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5）提供的软件版本</w:t>
      </w:r>
      <w:r>
        <w:rPr>
          <w:rFonts w:hint="eastAsia" w:ascii="宋体" w:hAnsi="宋体" w:cs="宋体"/>
          <w:sz w:val="21"/>
          <w:szCs w:val="21"/>
          <w:highlight w:val="none"/>
          <w:lang w:val="en-US" w:eastAsia="zh-CN"/>
        </w:rPr>
        <w:t>能</w:t>
      </w:r>
      <w:r>
        <w:rPr>
          <w:rFonts w:hint="eastAsia" w:ascii="宋体" w:hAnsi="宋体" w:eastAsia="宋体" w:cs="宋体"/>
          <w:sz w:val="21"/>
          <w:szCs w:val="21"/>
          <w:highlight w:val="none"/>
          <w:lang w:val="zh-CN"/>
        </w:rPr>
        <w:t>配合</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通过三甲医院评审工作。</w:t>
      </w:r>
    </w:p>
    <w:p w14:paraId="4A13F8E7">
      <w:pPr>
        <w:pStyle w:val="3"/>
        <w:shd w:val="clear"/>
        <w:spacing w:before="0" w:after="0" w:line="360" w:lineRule="auto"/>
        <w:ind w:left="432" w:hanging="432"/>
        <w:rPr>
          <w:rFonts w:hint="eastAsia" w:ascii="宋体" w:hAnsi="宋体" w:eastAsia="宋体" w:cs="宋体"/>
          <w:b w:val="0"/>
          <w:bCs w:val="0"/>
          <w:smallCaps/>
          <w:spacing w:val="5"/>
          <w:sz w:val="21"/>
          <w:szCs w:val="21"/>
          <w:highlight w:val="none"/>
        </w:rPr>
      </w:pPr>
      <w:bookmarkStart w:id="6" w:name="_Toc167112549"/>
      <w:r>
        <w:rPr>
          <w:rFonts w:hint="eastAsia" w:ascii="宋体" w:hAnsi="宋体" w:eastAsia="宋体" w:cs="宋体"/>
          <w:b w:val="0"/>
          <w:bCs w:val="0"/>
          <w:smallCaps/>
          <w:spacing w:val="5"/>
          <w:sz w:val="21"/>
          <w:szCs w:val="21"/>
          <w:highlight w:val="none"/>
        </w:rPr>
        <w:t>4</w:t>
      </w:r>
      <w:r>
        <w:rPr>
          <w:rFonts w:hint="eastAsia" w:ascii="宋体" w:hAnsi="宋体" w:eastAsia="宋体" w:cs="宋体"/>
          <w:b w:val="0"/>
          <w:bCs w:val="0"/>
          <w:smallCaps/>
          <w:spacing w:val="5"/>
          <w:sz w:val="21"/>
          <w:szCs w:val="21"/>
          <w:highlight w:val="none"/>
        </w:rPr>
        <w:tab/>
      </w:r>
      <w:r>
        <w:rPr>
          <w:rFonts w:hint="eastAsia" w:ascii="宋体" w:hAnsi="宋体" w:eastAsia="宋体" w:cs="宋体"/>
          <w:b w:val="0"/>
          <w:bCs w:val="0"/>
          <w:smallCaps/>
          <w:spacing w:val="5"/>
          <w:sz w:val="21"/>
          <w:szCs w:val="21"/>
          <w:highlight w:val="none"/>
          <w:lang w:val="zh-CN"/>
        </w:rPr>
        <w:t>系统功能需求</w:t>
      </w:r>
      <w:bookmarkEnd w:id="6"/>
    </w:p>
    <w:p w14:paraId="60957C59">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7" w:name="_Toc167112550"/>
      <w:r>
        <w:rPr>
          <w:rFonts w:hint="eastAsia" w:ascii="宋体" w:hAnsi="宋体" w:eastAsia="宋体" w:cs="宋体"/>
          <w:b w:val="0"/>
          <w:bCs w:val="0"/>
          <w:smallCaps/>
          <w:sz w:val="21"/>
          <w:szCs w:val="21"/>
          <w:highlight w:val="none"/>
        </w:rPr>
        <w:t>4.1</w:t>
      </w:r>
      <w:r>
        <w:rPr>
          <w:rFonts w:hint="eastAsia" w:ascii="宋体" w:hAnsi="宋体" w:eastAsia="宋体" w:cs="宋体"/>
          <w:b w:val="0"/>
          <w:bCs w:val="0"/>
          <w:smallCaps/>
          <w:sz w:val="21"/>
          <w:szCs w:val="21"/>
          <w:highlight w:val="none"/>
        </w:rPr>
        <w:tab/>
      </w:r>
      <w:r>
        <w:rPr>
          <w:rFonts w:hint="eastAsia" w:ascii="宋体" w:hAnsi="宋体" w:eastAsia="宋体" w:cs="宋体"/>
          <w:b w:val="0"/>
          <w:bCs w:val="0"/>
          <w:smallCaps/>
          <w:sz w:val="21"/>
          <w:szCs w:val="21"/>
          <w:highlight w:val="none"/>
          <w:lang w:val="zh-CN"/>
        </w:rPr>
        <w:t>放射</w:t>
      </w:r>
      <w:r>
        <w:rPr>
          <w:rFonts w:hint="eastAsia" w:ascii="宋体" w:hAnsi="宋体" w:eastAsia="宋体" w:cs="宋体"/>
          <w:b w:val="0"/>
          <w:bCs w:val="0"/>
          <w:smallCaps/>
          <w:sz w:val="21"/>
          <w:szCs w:val="21"/>
          <w:highlight w:val="none"/>
        </w:rPr>
        <w:t>PACS</w:t>
      </w:r>
      <w:r>
        <w:rPr>
          <w:rFonts w:hint="eastAsia" w:ascii="宋体" w:hAnsi="宋体" w:eastAsia="宋体" w:cs="宋体"/>
          <w:b w:val="0"/>
          <w:bCs w:val="0"/>
          <w:smallCaps/>
          <w:sz w:val="21"/>
          <w:szCs w:val="21"/>
          <w:highlight w:val="none"/>
          <w:lang w:val="zh-CN"/>
        </w:rPr>
        <w:t>系统</w:t>
      </w:r>
      <w:bookmarkEnd w:id="7"/>
    </w:p>
    <w:tbl>
      <w:tblPr>
        <w:tblStyle w:val="4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53"/>
        <w:gridCol w:w="1725"/>
        <w:gridCol w:w="6686"/>
      </w:tblGrid>
      <w:tr w14:paraId="33A6FC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tblHeader/>
        </w:trPr>
        <w:tc>
          <w:tcPr>
            <w:tcW w:w="1053" w:type="dxa"/>
            <w:tcBorders>
              <w:top w:val="single" w:color="auto" w:sz="4" w:space="0"/>
              <w:bottom w:val="single" w:color="auto" w:sz="4" w:space="0"/>
              <w:right w:val="single" w:color="auto" w:sz="4" w:space="0"/>
            </w:tcBorders>
            <w:shd w:val="clear" w:color="auto" w:fill="F2F2F2"/>
            <w:vAlign w:val="center"/>
          </w:tcPr>
          <w:p w14:paraId="11D289C6">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模块</w:t>
            </w:r>
          </w:p>
        </w:tc>
        <w:tc>
          <w:tcPr>
            <w:tcW w:w="1725" w:type="dxa"/>
            <w:tcBorders>
              <w:top w:val="single" w:color="auto" w:sz="4" w:space="0"/>
              <w:left w:val="single" w:color="auto" w:sz="4" w:space="0"/>
              <w:bottom w:val="single" w:color="auto" w:sz="4" w:space="0"/>
              <w:right w:val="single" w:color="auto" w:sz="4" w:space="0"/>
            </w:tcBorders>
            <w:shd w:val="clear" w:color="auto" w:fill="F2F2F2"/>
            <w:vAlign w:val="center"/>
          </w:tcPr>
          <w:p w14:paraId="57F65221">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w:t>
            </w:r>
          </w:p>
        </w:tc>
        <w:tc>
          <w:tcPr>
            <w:tcW w:w="6686" w:type="dxa"/>
            <w:tcBorders>
              <w:top w:val="single" w:color="auto" w:sz="4" w:space="0"/>
              <w:left w:val="single" w:color="auto" w:sz="4" w:space="0"/>
              <w:bottom w:val="single" w:color="auto" w:sz="4" w:space="0"/>
            </w:tcBorders>
            <w:shd w:val="clear" w:color="auto" w:fill="F2F2F2"/>
            <w:vAlign w:val="center"/>
          </w:tcPr>
          <w:p w14:paraId="5E64EF84">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功能描述</w:t>
            </w:r>
          </w:p>
        </w:tc>
      </w:tr>
      <w:tr w14:paraId="6F3B7A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1A0CC60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PACS管理服务</w:t>
            </w:r>
          </w:p>
        </w:tc>
        <w:tc>
          <w:tcPr>
            <w:tcW w:w="1725" w:type="dxa"/>
            <w:tcBorders>
              <w:top w:val="single" w:color="auto" w:sz="4" w:space="0"/>
              <w:left w:val="single" w:color="auto" w:sz="4" w:space="0"/>
              <w:bottom w:val="single" w:color="auto" w:sz="4" w:space="0"/>
              <w:right w:val="single" w:color="auto" w:sz="4" w:space="0"/>
            </w:tcBorders>
            <w:vAlign w:val="center"/>
          </w:tcPr>
          <w:p w14:paraId="30CA013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DICOM影像管理</w:t>
            </w:r>
          </w:p>
        </w:tc>
        <w:tc>
          <w:tcPr>
            <w:tcW w:w="6686" w:type="dxa"/>
            <w:tcBorders>
              <w:top w:val="single" w:color="auto" w:sz="4" w:space="0"/>
              <w:left w:val="single" w:color="auto" w:sz="4" w:space="0"/>
              <w:bottom w:val="single" w:color="auto" w:sz="4" w:space="0"/>
            </w:tcBorders>
            <w:vAlign w:val="center"/>
          </w:tcPr>
          <w:p w14:paraId="7A272274">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符合DICOM3.0标准，能够接入符合DICOM标准的成像设备和数据类型，如CT、MR、CR、DR、RF（胃肠）、XA（血管造影）、NM（核医学）、MG（乳腺）、SC（二次重建）等。系统平台设计能满足DICOM要求的数据处理、流程管理、网络发布、显示设置等。</w:t>
            </w:r>
          </w:p>
        </w:tc>
      </w:tr>
      <w:tr w14:paraId="349F4A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DA0138A">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114B5A36">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影像传输与存储</w:t>
            </w:r>
          </w:p>
        </w:tc>
        <w:tc>
          <w:tcPr>
            <w:tcW w:w="6686" w:type="dxa"/>
            <w:tcBorders>
              <w:top w:val="single" w:color="auto" w:sz="4" w:space="0"/>
              <w:left w:val="single" w:color="auto" w:sz="4" w:space="0"/>
              <w:bottom w:val="single" w:color="auto" w:sz="4" w:space="0"/>
            </w:tcBorders>
            <w:vAlign w:val="center"/>
          </w:tcPr>
          <w:p w14:paraId="6C4A1D0D">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DICOM、JPEG有损及无损压缩算法的传输和存储，图像无损压缩比应≥3:1。图像存储策略可根据管理要求调整。能够实现系统图像存储占用空间的智能化监控及截图。能按照科室、设备、项目、时间等多维度进行统计。提供图像存储多服务器写入功能，具备分布式能力，保障系统高可用，当某个存储设备或存储服务无法访问时，系统可以自动切换至可用资源，不影响科室的正常阅片需求。自带图像及诊断结果浏览器，支持CD-TO-GO功能。</w:t>
            </w:r>
          </w:p>
        </w:tc>
      </w:tr>
      <w:tr w14:paraId="495E90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C3B2DA1">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2AD193A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影像路由</w:t>
            </w:r>
          </w:p>
        </w:tc>
        <w:tc>
          <w:tcPr>
            <w:tcW w:w="6686" w:type="dxa"/>
            <w:tcBorders>
              <w:top w:val="single" w:color="auto" w:sz="4" w:space="0"/>
              <w:left w:val="single" w:color="auto" w:sz="4" w:space="0"/>
              <w:bottom w:val="single" w:color="auto" w:sz="4" w:space="0"/>
            </w:tcBorders>
            <w:vAlign w:val="center"/>
          </w:tcPr>
          <w:p w14:paraId="52B51882">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具备多种影像自动路由方式，具备将影像分别存储在不同存储路径上的功能，支持同一影像同时存储于不同路径的备份功能。</w:t>
            </w:r>
          </w:p>
        </w:tc>
      </w:tr>
      <w:tr w14:paraId="387DEB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4813383">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F9BB0A6">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安全日志</w:t>
            </w:r>
          </w:p>
        </w:tc>
        <w:tc>
          <w:tcPr>
            <w:tcW w:w="6686" w:type="dxa"/>
            <w:tcBorders>
              <w:top w:val="single" w:color="auto" w:sz="4" w:space="0"/>
              <w:left w:val="single" w:color="auto" w:sz="4" w:space="0"/>
              <w:bottom w:val="single" w:color="auto" w:sz="4" w:space="0"/>
            </w:tcBorders>
            <w:vAlign w:val="center"/>
          </w:tcPr>
          <w:p w14:paraId="2C912627">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具备影像数据的各种状态记录日志（影像存档、影像调阅、影像传输、数据校对，自动路由，磁盘管理，自动近线），并能提供相应分析工具。</w:t>
            </w:r>
          </w:p>
        </w:tc>
      </w:tr>
      <w:tr w14:paraId="574214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17E382F">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4AD76C0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权限管理</w:t>
            </w:r>
          </w:p>
        </w:tc>
        <w:tc>
          <w:tcPr>
            <w:tcW w:w="6686" w:type="dxa"/>
            <w:tcBorders>
              <w:top w:val="single" w:color="auto" w:sz="4" w:space="0"/>
              <w:left w:val="single" w:color="auto" w:sz="4" w:space="0"/>
              <w:bottom w:val="single" w:color="auto" w:sz="4" w:space="0"/>
            </w:tcBorders>
            <w:vAlign w:val="center"/>
          </w:tcPr>
          <w:p w14:paraId="0A7DBE60">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系统管理员权限由服务器统一管理，并发控制。只有拥有权限，才能从任意终端登录，管理系统。</w:t>
            </w:r>
          </w:p>
        </w:tc>
      </w:tr>
      <w:tr w14:paraId="4CFE08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242ECBB">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PACS存档服务</w:t>
            </w:r>
          </w:p>
        </w:tc>
        <w:tc>
          <w:tcPr>
            <w:tcW w:w="1725" w:type="dxa"/>
            <w:tcBorders>
              <w:top w:val="single" w:color="auto" w:sz="4" w:space="0"/>
              <w:left w:val="single" w:color="auto" w:sz="4" w:space="0"/>
              <w:bottom w:val="single" w:color="auto" w:sz="4" w:space="0"/>
              <w:right w:val="single" w:color="auto" w:sz="4" w:space="0"/>
            </w:tcBorders>
            <w:vAlign w:val="center"/>
          </w:tcPr>
          <w:p w14:paraId="66F321A1">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数据管理</w:t>
            </w:r>
          </w:p>
        </w:tc>
        <w:tc>
          <w:tcPr>
            <w:tcW w:w="6686" w:type="dxa"/>
            <w:tcBorders>
              <w:top w:val="single" w:color="auto" w:sz="4" w:space="0"/>
              <w:left w:val="single" w:color="auto" w:sz="4" w:space="0"/>
              <w:bottom w:val="single" w:color="auto" w:sz="4" w:space="0"/>
            </w:tcBorders>
            <w:vAlign w:val="center"/>
          </w:tcPr>
          <w:p w14:paraId="2B958231">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影像数据能满足在线、近线、离线不同方式的存储。在线存储与备份存储之间的数据能够自动迁移和统一数据管理。</w:t>
            </w:r>
          </w:p>
        </w:tc>
      </w:tr>
      <w:tr w14:paraId="230F3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D44C68E">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DCEA51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数据校验</w:t>
            </w:r>
          </w:p>
        </w:tc>
        <w:tc>
          <w:tcPr>
            <w:tcW w:w="6686" w:type="dxa"/>
            <w:tcBorders>
              <w:top w:val="single" w:color="auto" w:sz="4" w:space="0"/>
              <w:left w:val="single" w:color="auto" w:sz="4" w:space="0"/>
              <w:bottom w:val="single" w:color="auto" w:sz="4" w:space="0"/>
            </w:tcBorders>
            <w:vAlign w:val="center"/>
          </w:tcPr>
          <w:p w14:paraId="2C73F4BB">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能够校验长期存储区的数据是否与短期存储区的原始数据一致。</w:t>
            </w:r>
          </w:p>
        </w:tc>
      </w:tr>
      <w:tr w14:paraId="09DC5A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E27C066">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2DB16CCD">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数据备份</w:t>
            </w:r>
          </w:p>
        </w:tc>
        <w:tc>
          <w:tcPr>
            <w:tcW w:w="6686" w:type="dxa"/>
            <w:tcBorders>
              <w:top w:val="single" w:color="auto" w:sz="4" w:space="0"/>
              <w:left w:val="single" w:color="auto" w:sz="4" w:space="0"/>
              <w:bottom w:val="single" w:color="auto" w:sz="4" w:space="0"/>
            </w:tcBorders>
            <w:vAlign w:val="center"/>
          </w:tcPr>
          <w:p w14:paraId="5691037A">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能够自动将影像按照预定策略写入长期存储媒介进行管理。预定策略可配置可以选择在系统空闲时间进行备份操作或者实施备份。</w:t>
            </w:r>
          </w:p>
        </w:tc>
      </w:tr>
      <w:tr w14:paraId="11FB84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E207D44">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18A6E0C">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存档记录</w:t>
            </w:r>
          </w:p>
        </w:tc>
        <w:tc>
          <w:tcPr>
            <w:tcW w:w="6686" w:type="dxa"/>
            <w:tcBorders>
              <w:top w:val="single" w:color="auto" w:sz="4" w:space="0"/>
              <w:left w:val="single" w:color="auto" w:sz="4" w:space="0"/>
              <w:bottom w:val="single" w:color="auto" w:sz="4" w:space="0"/>
            </w:tcBorders>
            <w:vAlign w:val="center"/>
          </w:tcPr>
          <w:p w14:paraId="65A0CC62">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存档服务能够保存所有存储在长期介质上的检查的记录，并包括卷标识、卷容量、卷位置和离线卷等信息。</w:t>
            </w:r>
          </w:p>
        </w:tc>
      </w:tr>
      <w:tr w14:paraId="7CDA9A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61DA940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PACS影像工作站</w:t>
            </w:r>
          </w:p>
        </w:tc>
        <w:tc>
          <w:tcPr>
            <w:tcW w:w="1725" w:type="dxa"/>
            <w:tcBorders>
              <w:top w:val="single" w:color="auto" w:sz="4" w:space="0"/>
              <w:left w:val="single" w:color="auto" w:sz="4" w:space="0"/>
              <w:bottom w:val="single" w:color="auto" w:sz="4" w:space="0"/>
              <w:right w:val="single" w:color="auto" w:sz="4" w:space="0"/>
            </w:tcBorders>
            <w:vAlign w:val="center"/>
          </w:tcPr>
          <w:p w14:paraId="2C8B004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影像预取</w:t>
            </w:r>
          </w:p>
        </w:tc>
        <w:tc>
          <w:tcPr>
            <w:tcW w:w="6686" w:type="dxa"/>
            <w:tcBorders>
              <w:top w:val="single" w:color="auto" w:sz="4" w:space="0"/>
              <w:left w:val="single" w:color="auto" w:sz="4" w:space="0"/>
              <w:bottom w:val="single" w:color="auto" w:sz="4" w:space="0"/>
            </w:tcBorders>
            <w:vAlign w:val="center"/>
          </w:tcPr>
          <w:p w14:paraId="12EDE5B2">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采用多线程的影像调阅技术，后台线程持续下载；当第一屏影像显示完毕后即可开始阅片工作。满足医生快速阅片的需求。</w:t>
            </w:r>
          </w:p>
        </w:tc>
      </w:tr>
      <w:tr w14:paraId="0B6246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6D57E67">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09D51FA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影像浏览</w:t>
            </w:r>
          </w:p>
        </w:tc>
        <w:tc>
          <w:tcPr>
            <w:tcW w:w="6686" w:type="dxa"/>
            <w:tcBorders>
              <w:top w:val="single" w:color="auto" w:sz="4" w:space="0"/>
              <w:left w:val="single" w:color="auto" w:sz="4" w:space="0"/>
              <w:bottom w:val="single" w:color="auto" w:sz="4" w:space="0"/>
            </w:tcBorders>
            <w:vAlign w:val="center"/>
          </w:tcPr>
          <w:p w14:paraId="2024FBC8">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具备DICOM影像浏览功能，多幅影像可自动播放，可进行影像截图并添加到报告中。不同的检查、部位可以单独打开阅片。</w:t>
            </w:r>
          </w:p>
        </w:tc>
      </w:tr>
      <w:tr w14:paraId="39424B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DDA7773">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9BD332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影像对比</w:t>
            </w:r>
          </w:p>
        </w:tc>
        <w:tc>
          <w:tcPr>
            <w:tcW w:w="6686" w:type="dxa"/>
            <w:tcBorders>
              <w:top w:val="single" w:color="auto" w:sz="4" w:space="0"/>
              <w:left w:val="single" w:color="auto" w:sz="4" w:space="0"/>
              <w:bottom w:val="single" w:color="auto" w:sz="4" w:space="0"/>
            </w:tcBorders>
            <w:vAlign w:val="center"/>
          </w:tcPr>
          <w:p w14:paraId="009E317F">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具备图像多窗口对比功能，如矢状面、冠状面动态对比、同一检查不同序列的对比、不同检查时期的影像对比等。</w:t>
            </w:r>
          </w:p>
        </w:tc>
      </w:tr>
      <w:tr w14:paraId="300118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D1DEF8D">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4D8F301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影像导出</w:t>
            </w:r>
          </w:p>
        </w:tc>
        <w:tc>
          <w:tcPr>
            <w:tcW w:w="6686" w:type="dxa"/>
            <w:tcBorders>
              <w:top w:val="single" w:color="auto" w:sz="4" w:space="0"/>
              <w:left w:val="single" w:color="auto" w:sz="4" w:space="0"/>
              <w:bottom w:val="single" w:color="auto" w:sz="4" w:space="0"/>
            </w:tcBorders>
            <w:vAlign w:val="center"/>
          </w:tcPr>
          <w:p w14:paraId="6EA4BF04">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提供当前序列、当前检查、当前影像的匿名导出功能。</w:t>
            </w:r>
          </w:p>
        </w:tc>
      </w:tr>
      <w:tr w14:paraId="7FD53E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9CF4405">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0B9EA53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影像删除</w:t>
            </w:r>
          </w:p>
        </w:tc>
        <w:tc>
          <w:tcPr>
            <w:tcW w:w="6686" w:type="dxa"/>
            <w:tcBorders>
              <w:top w:val="single" w:color="auto" w:sz="4" w:space="0"/>
              <w:left w:val="single" w:color="auto" w:sz="4" w:space="0"/>
              <w:bottom w:val="single" w:color="auto" w:sz="4" w:space="0"/>
            </w:tcBorders>
            <w:vAlign w:val="center"/>
          </w:tcPr>
          <w:p w14:paraId="156C8EE4">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支持授权用户对异常影像的删除，并有具体操作日志，删除图像具有备份机制，可定期清除。</w:t>
            </w:r>
          </w:p>
        </w:tc>
      </w:tr>
      <w:tr w14:paraId="3EE192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6B055A7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PACS影像后处理</w:t>
            </w:r>
          </w:p>
        </w:tc>
        <w:tc>
          <w:tcPr>
            <w:tcW w:w="1725" w:type="dxa"/>
            <w:tcBorders>
              <w:top w:val="single" w:color="auto" w:sz="4" w:space="0"/>
              <w:left w:val="single" w:color="auto" w:sz="4" w:space="0"/>
              <w:bottom w:val="single" w:color="auto" w:sz="4" w:space="0"/>
              <w:right w:val="single" w:color="auto" w:sz="4" w:space="0"/>
            </w:tcBorders>
            <w:vAlign w:val="center"/>
          </w:tcPr>
          <w:p w14:paraId="4DAF848C">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三维平面重建</w:t>
            </w:r>
          </w:p>
        </w:tc>
        <w:tc>
          <w:tcPr>
            <w:tcW w:w="6686" w:type="dxa"/>
            <w:tcBorders>
              <w:top w:val="single" w:color="auto" w:sz="4" w:space="0"/>
              <w:left w:val="single" w:color="auto" w:sz="4" w:space="0"/>
              <w:bottom w:val="single" w:color="auto" w:sz="4" w:space="0"/>
            </w:tcBorders>
            <w:vAlign w:val="center"/>
          </w:tcPr>
          <w:p w14:paraId="2D57CB01">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具备MPR/CPR等三维平面重建功能，可同屏显示横断位、冠状位、矢状位、任意斜面的影像。重建后的影像允许保存、导出、打印。</w:t>
            </w:r>
          </w:p>
        </w:tc>
      </w:tr>
      <w:tr w14:paraId="3CBD79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6885738">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50F7FC4">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VR重建</w:t>
            </w:r>
          </w:p>
        </w:tc>
        <w:tc>
          <w:tcPr>
            <w:tcW w:w="6686" w:type="dxa"/>
            <w:tcBorders>
              <w:top w:val="single" w:color="auto" w:sz="4" w:space="0"/>
              <w:left w:val="single" w:color="auto" w:sz="4" w:space="0"/>
              <w:bottom w:val="single" w:color="auto" w:sz="4" w:space="0"/>
            </w:tcBorders>
            <w:vAlign w:val="center"/>
          </w:tcPr>
          <w:p w14:paraId="04BC52E4">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具备VR容积重建功能，提供重建后的影像旋转、挡板移除等功能。</w:t>
            </w:r>
          </w:p>
        </w:tc>
      </w:tr>
      <w:tr w14:paraId="5883D3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2E797B0">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6019249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序列拆分</w:t>
            </w:r>
          </w:p>
        </w:tc>
        <w:tc>
          <w:tcPr>
            <w:tcW w:w="6686" w:type="dxa"/>
            <w:tcBorders>
              <w:top w:val="single" w:color="auto" w:sz="4" w:space="0"/>
              <w:left w:val="single" w:color="auto" w:sz="4" w:space="0"/>
              <w:bottom w:val="single" w:color="auto" w:sz="4" w:space="0"/>
            </w:tcBorders>
            <w:vAlign w:val="center"/>
          </w:tcPr>
          <w:p w14:paraId="3F938201">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▲针对肝脏增强CT的影像，具备自动序列拆分的功能，可将序列自动拆分为动脉期序列，门脉期序列，平衡期序列等，方便进行不同期的影像对比浏览。</w:t>
            </w:r>
          </w:p>
        </w:tc>
      </w:tr>
      <w:tr w14:paraId="4EA735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271F370">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DB8170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体积测量</w:t>
            </w:r>
          </w:p>
        </w:tc>
        <w:tc>
          <w:tcPr>
            <w:tcW w:w="6686" w:type="dxa"/>
            <w:tcBorders>
              <w:top w:val="single" w:color="auto" w:sz="4" w:space="0"/>
              <w:left w:val="single" w:color="auto" w:sz="4" w:space="0"/>
              <w:bottom w:val="single" w:color="auto" w:sz="4" w:space="0"/>
            </w:tcBorders>
            <w:vAlign w:val="center"/>
          </w:tcPr>
          <w:p w14:paraId="73AD48EF">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动脉具备基于CT值阈值的自动分割，并进行病灶的手动和自动体积测量。能够展示测量结果，包括病灶的体积大小，病灶最短径，最长径等数值，并对病灶进行颜色渲染。</w:t>
            </w:r>
          </w:p>
        </w:tc>
      </w:tr>
      <w:tr w14:paraId="12016C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D65F150">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3CDF6F8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智能阅片</w:t>
            </w:r>
          </w:p>
        </w:tc>
        <w:tc>
          <w:tcPr>
            <w:tcW w:w="6686" w:type="dxa"/>
            <w:tcBorders>
              <w:top w:val="single" w:color="auto" w:sz="4" w:space="0"/>
              <w:left w:val="single" w:color="auto" w:sz="4" w:space="0"/>
              <w:bottom w:val="single" w:color="auto" w:sz="4" w:space="0"/>
            </w:tcBorders>
            <w:vAlign w:val="center"/>
          </w:tcPr>
          <w:p w14:paraId="015BA803">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▲提供智能诊断管理平台，具备肺结节检测、骨折智能检测功能，并可接入其他智能诊断功能，并</w:t>
            </w:r>
            <w:r>
              <w:rPr>
                <w:rFonts w:hint="eastAsia" w:ascii="宋体" w:hAnsi="宋体" w:cs="宋体"/>
                <w:sz w:val="21"/>
                <w:szCs w:val="21"/>
                <w:highlight w:val="none"/>
                <w:lang w:val="en-US" w:eastAsia="zh-CN"/>
              </w:rPr>
              <w:t>能</w:t>
            </w:r>
            <w:r>
              <w:rPr>
                <w:rFonts w:hint="eastAsia" w:ascii="宋体" w:hAnsi="宋体" w:eastAsia="宋体" w:cs="宋体"/>
                <w:sz w:val="21"/>
                <w:szCs w:val="21"/>
                <w:highlight w:val="none"/>
                <w:lang w:val="zh-CN"/>
              </w:rPr>
              <w:t>方便</w:t>
            </w:r>
            <w:r>
              <w:rPr>
                <w:rFonts w:hint="eastAsia" w:ascii="宋体" w:hAnsi="宋体" w:cs="宋体"/>
                <w:sz w:val="21"/>
                <w:szCs w:val="21"/>
                <w:highlight w:val="none"/>
                <w:lang w:val="en-US" w:eastAsia="zh-CN"/>
              </w:rPr>
              <w:t>地</w:t>
            </w:r>
            <w:r>
              <w:rPr>
                <w:rFonts w:hint="eastAsia" w:ascii="宋体" w:hAnsi="宋体" w:eastAsia="宋体" w:cs="宋体"/>
                <w:sz w:val="21"/>
                <w:szCs w:val="21"/>
                <w:highlight w:val="none"/>
                <w:lang w:val="zh-CN"/>
              </w:rPr>
              <w:t>将智能检测结果引入到报告中。</w:t>
            </w:r>
          </w:p>
        </w:tc>
      </w:tr>
      <w:tr w14:paraId="795110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1F92BE0B">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Worklist</w:t>
            </w:r>
          </w:p>
        </w:tc>
        <w:tc>
          <w:tcPr>
            <w:tcW w:w="1725" w:type="dxa"/>
            <w:tcBorders>
              <w:top w:val="single" w:color="auto" w:sz="4" w:space="0"/>
              <w:left w:val="single" w:color="auto" w:sz="4" w:space="0"/>
              <w:bottom w:val="single" w:color="auto" w:sz="4" w:space="0"/>
              <w:right w:val="single" w:color="auto" w:sz="4" w:space="0"/>
            </w:tcBorders>
            <w:vAlign w:val="center"/>
          </w:tcPr>
          <w:p w14:paraId="25A4099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设备通讯</w:t>
            </w:r>
          </w:p>
        </w:tc>
        <w:tc>
          <w:tcPr>
            <w:tcW w:w="6686" w:type="dxa"/>
            <w:tcBorders>
              <w:top w:val="single" w:color="auto" w:sz="4" w:space="0"/>
              <w:left w:val="single" w:color="auto" w:sz="4" w:space="0"/>
              <w:bottom w:val="single" w:color="auto" w:sz="4" w:space="0"/>
            </w:tcBorders>
            <w:vAlign w:val="center"/>
          </w:tcPr>
          <w:p w14:paraId="6F463C8A">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具备完整的DICOM Modality Worklist和Modality Performed Procedure Steps功能，可以与设备进行通讯。</w:t>
            </w:r>
          </w:p>
        </w:tc>
      </w:tr>
      <w:tr w14:paraId="2939D4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A9A245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登记工作站</w:t>
            </w:r>
          </w:p>
        </w:tc>
        <w:tc>
          <w:tcPr>
            <w:tcW w:w="1725" w:type="dxa"/>
            <w:tcBorders>
              <w:top w:val="single" w:color="auto" w:sz="4" w:space="0"/>
              <w:left w:val="single" w:color="auto" w:sz="4" w:space="0"/>
              <w:bottom w:val="single" w:color="auto" w:sz="4" w:space="0"/>
              <w:right w:val="single" w:color="auto" w:sz="4" w:space="0"/>
            </w:tcBorders>
            <w:vAlign w:val="center"/>
          </w:tcPr>
          <w:p w14:paraId="33F5B8C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电子申请单登记</w:t>
            </w:r>
          </w:p>
        </w:tc>
        <w:tc>
          <w:tcPr>
            <w:tcW w:w="6686" w:type="dxa"/>
            <w:tcBorders>
              <w:top w:val="single" w:color="auto" w:sz="4" w:space="0"/>
              <w:left w:val="single" w:color="auto" w:sz="4" w:space="0"/>
              <w:bottom w:val="single" w:color="auto" w:sz="4" w:space="0"/>
            </w:tcBorders>
            <w:vAlign w:val="center"/>
          </w:tcPr>
          <w:p w14:paraId="3A43F6BA">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能够获取电子申请单列表，及电子申请单详情信息，能够完整展示所有检查部位，且能够方便</w:t>
            </w:r>
            <w:r>
              <w:rPr>
                <w:rFonts w:hint="eastAsia" w:ascii="宋体" w:hAnsi="宋体" w:cs="宋体"/>
                <w:sz w:val="21"/>
                <w:szCs w:val="21"/>
                <w:highlight w:val="none"/>
                <w:lang w:val="zh-CN"/>
              </w:rPr>
              <w:t>地</w:t>
            </w:r>
            <w:r>
              <w:rPr>
                <w:rFonts w:hint="eastAsia" w:ascii="宋体" w:hAnsi="宋体" w:eastAsia="宋体" w:cs="宋体"/>
                <w:sz w:val="21"/>
                <w:szCs w:val="21"/>
                <w:highlight w:val="none"/>
                <w:lang w:val="zh-CN"/>
              </w:rPr>
              <w:t>进行检查登记。</w:t>
            </w:r>
          </w:p>
        </w:tc>
      </w:tr>
      <w:tr w14:paraId="3AD3D7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57ECBC6">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07AC33E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手工申请单登记</w:t>
            </w:r>
          </w:p>
        </w:tc>
        <w:tc>
          <w:tcPr>
            <w:tcW w:w="6686" w:type="dxa"/>
            <w:tcBorders>
              <w:top w:val="single" w:color="auto" w:sz="4" w:space="0"/>
              <w:left w:val="single" w:color="auto" w:sz="4" w:space="0"/>
              <w:bottom w:val="single" w:color="auto" w:sz="4" w:space="0"/>
            </w:tcBorders>
            <w:vAlign w:val="center"/>
          </w:tcPr>
          <w:p w14:paraId="4679978C">
            <w:pPr>
              <w:shd w:val="clear"/>
              <w:spacing w:line="240" w:lineRule="auto"/>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支持手工登记模式。</w:t>
            </w:r>
          </w:p>
        </w:tc>
      </w:tr>
      <w:tr w14:paraId="1DFCF5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5FF803B">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67A30D6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合并登记</w:t>
            </w:r>
          </w:p>
        </w:tc>
        <w:tc>
          <w:tcPr>
            <w:tcW w:w="6686" w:type="dxa"/>
            <w:tcBorders>
              <w:top w:val="single" w:color="auto" w:sz="4" w:space="0"/>
              <w:left w:val="single" w:color="auto" w:sz="4" w:space="0"/>
              <w:bottom w:val="single" w:color="auto" w:sz="4" w:space="0"/>
            </w:tcBorders>
            <w:vAlign w:val="center"/>
          </w:tcPr>
          <w:p w14:paraId="77815B68">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能够将同一患者相同检查类型多次检查合并登记。</w:t>
            </w:r>
          </w:p>
        </w:tc>
      </w:tr>
      <w:tr w14:paraId="614022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E1631C6">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85A0D7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绿色通道</w:t>
            </w:r>
          </w:p>
        </w:tc>
        <w:tc>
          <w:tcPr>
            <w:tcW w:w="6686" w:type="dxa"/>
            <w:tcBorders>
              <w:top w:val="single" w:color="auto" w:sz="4" w:space="0"/>
              <w:left w:val="single" w:color="auto" w:sz="4" w:space="0"/>
              <w:bottom w:val="single" w:color="auto" w:sz="4" w:space="0"/>
            </w:tcBorders>
            <w:vAlign w:val="center"/>
          </w:tcPr>
          <w:p w14:paraId="6CEC324B">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对于特殊患者，可以通过绿色通道进行登记，绿色通道队列需能够单独管理，优先排队叫号，优先检查，并支持在正常申请流程后，绿色通道产生的检查记录与正式申请单进行同步关联。</w:t>
            </w:r>
          </w:p>
        </w:tc>
      </w:tr>
      <w:tr w14:paraId="23E345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25FB437">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360CD04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检查室状态</w:t>
            </w:r>
          </w:p>
        </w:tc>
        <w:tc>
          <w:tcPr>
            <w:tcW w:w="6686" w:type="dxa"/>
            <w:tcBorders>
              <w:top w:val="single" w:color="auto" w:sz="4" w:space="0"/>
              <w:left w:val="single" w:color="auto" w:sz="4" w:space="0"/>
              <w:bottom w:val="single" w:color="auto" w:sz="4" w:space="0"/>
            </w:tcBorders>
            <w:vAlign w:val="center"/>
          </w:tcPr>
          <w:p w14:paraId="36B2BFEC">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具备检查室状态及检查室检查进度的实时展示功能，方便登记处安排后续检查。</w:t>
            </w:r>
          </w:p>
        </w:tc>
      </w:tr>
      <w:tr w14:paraId="3B63B8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6BD03B5">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技师工作站</w:t>
            </w:r>
          </w:p>
        </w:tc>
        <w:tc>
          <w:tcPr>
            <w:tcW w:w="1725" w:type="dxa"/>
            <w:tcBorders>
              <w:top w:val="single" w:color="auto" w:sz="4" w:space="0"/>
              <w:left w:val="single" w:color="auto" w:sz="4" w:space="0"/>
              <w:bottom w:val="single" w:color="auto" w:sz="4" w:space="0"/>
              <w:right w:val="single" w:color="auto" w:sz="4" w:space="0"/>
            </w:tcBorders>
            <w:vAlign w:val="center"/>
          </w:tcPr>
          <w:p w14:paraId="285E460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检查呼叫</w:t>
            </w:r>
          </w:p>
        </w:tc>
        <w:tc>
          <w:tcPr>
            <w:tcW w:w="6686" w:type="dxa"/>
            <w:tcBorders>
              <w:top w:val="single" w:color="auto" w:sz="4" w:space="0"/>
              <w:left w:val="single" w:color="auto" w:sz="4" w:space="0"/>
              <w:bottom w:val="single" w:color="auto" w:sz="4" w:space="0"/>
            </w:tcBorders>
            <w:vAlign w:val="center"/>
          </w:tcPr>
          <w:p w14:paraId="5EF349F3">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具备电子屏队列显示和语音呼叫功能</w:t>
            </w:r>
            <w:r>
              <w:rPr>
                <w:rFonts w:hint="eastAsia" w:ascii="宋体" w:hAnsi="宋体" w:cs="宋体"/>
                <w:sz w:val="21"/>
                <w:szCs w:val="21"/>
                <w:highlight w:val="none"/>
                <w:lang w:val="zh-CN"/>
              </w:rPr>
              <w:t>。</w:t>
            </w:r>
          </w:p>
        </w:tc>
      </w:tr>
      <w:tr w14:paraId="4F8C19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DEBC4E6">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CD3930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转检查室</w:t>
            </w:r>
          </w:p>
        </w:tc>
        <w:tc>
          <w:tcPr>
            <w:tcW w:w="6686" w:type="dxa"/>
            <w:tcBorders>
              <w:top w:val="single" w:color="auto" w:sz="4" w:space="0"/>
              <w:left w:val="single" w:color="auto" w:sz="4" w:space="0"/>
              <w:bottom w:val="single" w:color="auto" w:sz="4" w:space="0"/>
            </w:tcBorders>
            <w:vAlign w:val="center"/>
          </w:tcPr>
          <w:p w14:paraId="4D5433C7">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提供单个转检查室功能，以及设备故障时批量转检查室功能。</w:t>
            </w:r>
          </w:p>
        </w:tc>
      </w:tr>
      <w:tr w14:paraId="2819FB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D6E5F82">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48027C8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检查提醒</w:t>
            </w:r>
          </w:p>
        </w:tc>
        <w:tc>
          <w:tcPr>
            <w:tcW w:w="6686" w:type="dxa"/>
            <w:tcBorders>
              <w:top w:val="single" w:color="auto" w:sz="4" w:space="0"/>
              <w:left w:val="single" w:color="auto" w:sz="4" w:space="0"/>
              <w:bottom w:val="single" w:color="auto" w:sz="4" w:space="0"/>
            </w:tcBorders>
            <w:vAlign w:val="center"/>
          </w:tcPr>
          <w:p w14:paraId="45AAB8B2">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提醒医生注意对辐射敏感人群（婴幼儿、儿童、育龄妇女、孕妇）防护</w:t>
            </w:r>
            <w:r>
              <w:rPr>
                <w:rFonts w:hint="eastAsia" w:ascii="宋体" w:hAnsi="宋体" w:cs="宋体"/>
                <w:sz w:val="21"/>
                <w:szCs w:val="21"/>
                <w:highlight w:val="none"/>
                <w:lang w:val="zh-CN"/>
              </w:rPr>
              <w:t>。</w:t>
            </w:r>
          </w:p>
        </w:tc>
      </w:tr>
      <w:tr w14:paraId="31A91C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387536D">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4CD8C5C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影像匹配</w:t>
            </w:r>
          </w:p>
        </w:tc>
        <w:tc>
          <w:tcPr>
            <w:tcW w:w="6686" w:type="dxa"/>
            <w:tcBorders>
              <w:top w:val="single" w:color="auto" w:sz="4" w:space="0"/>
              <w:left w:val="single" w:color="auto" w:sz="4" w:space="0"/>
              <w:bottom w:val="single" w:color="auto" w:sz="4" w:space="0"/>
            </w:tcBorders>
            <w:vAlign w:val="center"/>
          </w:tcPr>
          <w:p w14:paraId="20616F75">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针对先检查后登记的患者，如部分急诊患者，具备影像手工匹配功能。</w:t>
            </w:r>
          </w:p>
        </w:tc>
      </w:tr>
      <w:tr w14:paraId="667479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D04E037">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31AA986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影像互换</w:t>
            </w:r>
          </w:p>
        </w:tc>
        <w:tc>
          <w:tcPr>
            <w:tcW w:w="6686" w:type="dxa"/>
            <w:tcBorders>
              <w:top w:val="single" w:color="auto" w:sz="4" w:space="0"/>
              <w:left w:val="single" w:color="auto" w:sz="4" w:space="0"/>
              <w:bottom w:val="single" w:color="auto" w:sz="4" w:space="0"/>
            </w:tcBorders>
            <w:vAlign w:val="center"/>
          </w:tcPr>
          <w:p w14:paraId="680E6FC5">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具备影像交换功能，用于检查影像张冠李戴时进行修正。</w:t>
            </w:r>
          </w:p>
        </w:tc>
      </w:tr>
      <w:tr w14:paraId="18BCBA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45769E3C">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报告工作站</w:t>
            </w:r>
          </w:p>
        </w:tc>
        <w:tc>
          <w:tcPr>
            <w:tcW w:w="1725" w:type="dxa"/>
            <w:tcBorders>
              <w:top w:val="single" w:color="auto" w:sz="4" w:space="0"/>
              <w:left w:val="single" w:color="auto" w:sz="4" w:space="0"/>
              <w:bottom w:val="single" w:color="auto" w:sz="4" w:space="0"/>
              <w:right w:val="single" w:color="auto" w:sz="4" w:space="0"/>
            </w:tcBorders>
            <w:vAlign w:val="center"/>
          </w:tcPr>
          <w:p w14:paraId="375B455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结构化报告</w:t>
            </w:r>
          </w:p>
        </w:tc>
        <w:tc>
          <w:tcPr>
            <w:tcW w:w="6686" w:type="dxa"/>
            <w:tcBorders>
              <w:top w:val="single" w:color="auto" w:sz="4" w:space="0"/>
              <w:left w:val="single" w:color="auto" w:sz="4" w:space="0"/>
              <w:bottom w:val="single" w:color="auto" w:sz="4" w:space="0"/>
            </w:tcBorders>
            <w:vAlign w:val="center"/>
          </w:tcPr>
          <w:p w14:paraId="23F0033A">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提供结构化报告功能，如直肠增强、前列腺、乳腺等，并可以在后期根据科室需求，实现其他标准的结构化模板。</w:t>
            </w:r>
          </w:p>
        </w:tc>
      </w:tr>
      <w:tr w14:paraId="3C0237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A132F9F">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3110379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报告任务分发</w:t>
            </w:r>
          </w:p>
        </w:tc>
        <w:tc>
          <w:tcPr>
            <w:tcW w:w="6686" w:type="dxa"/>
            <w:tcBorders>
              <w:top w:val="single" w:color="auto" w:sz="4" w:space="0"/>
              <w:left w:val="single" w:color="auto" w:sz="4" w:space="0"/>
              <w:bottom w:val="single" w:color="auto" w:sz="4" w:space="0"/>
            </w:tcBorders>
            <w:vAlign w:val="center"/>
          </w:tcPr>
          <w:p w14:paraId="6AB54421">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▲系统要能够根据岗位、个人特长、排班等规则，自动将报告任务分发给报告医生。分发规则可前台由授权人员进行维护。能按科室管理规则进行任务提醒（如门诊2小时报告，住院1天报告到期前提示）</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提醒内容包括未按时写报告、未按时审核报告、急诊病人等</w:t>
            </w:r>
            <w:r>
              <w:rPr>
                <w:rFonts w:hint="eastAsia" w:ascii="宋体" w:hAnsi="宋体" w:cs="宋体"/>
                <w:sz w:val="21"/>
                <w:szCs w:val="21"/>
                <w:highlight w:val="none"/>
                <w:lang w:val="zh-CN"/>
              </w:rPr>
              <w:t>。</w:t>
            </w:r>
          </w:p>
        </w:tc>
      </w:tr>
      <w:tr w14:paraId="63C186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D0ECE48">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3844F8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报告审核</w:t>
            </w:r>
          </w:p>
        </w:tc>
        <w:tc>
          <w:tcPr>
            <w:tcW w:w="6686" w:type="dxa"/>
            <w:tcBorders>
              <w:top w:val="single" w:color="auto" w:sz="4" w:space="0"/>
              <w:left w:val="single" w:color="auto" w:sz="4" w:space="0"/>
              <w:bottom w:val="single" w:color="auto" w:sz="4" w:space="0"/>
            </w:tcBorders>
            <w:vAlign w:val="center"/>
          </w:tcPr>
          <w:p w14:paraId="10E4EFE5">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医生可以提交上级医师审核，然后上级医生在系统进行修改、确认；会诊、审核系统设置符合三甲要求。</w:t>
            </w:r>
          </w:p>
        </w:tc>
      </w:tr>
      <w:tr w14:paraId="4F9F9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E92D94F">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2933136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报告痕迹管理</w:t>
            </w:r>
          </w:p>
        </w:tc>
        <w:tc>
          <w:tcPr>
            <w:tcW w:w="6686" w:type="dxa"/>
            <w:tcBorders>
              <w:top w:val="single" w:color="auto" w:sz="4" w:space="0"/>
              <w:left w:val="single" w:color="auto" w:sz="4" w:space="0"/>
              <w:bottom w:val="single" w:color="auto" w:sz="4" w:space="0"/>
            </w:tcBorders>
            <w:vAlign w:val="center"/>
          </w:tcPr>
          <w:p w14:paraId="2895702C">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修改痕迹保存与显示功能：报告的各级检审过程中，任何对报告内容的修改都会被系统保存下修改痕迹，并且可以用不同颜色的字体和不同的方式显示出来。（痕迹包括：修改人名称，修改时间，修改内容）；支持初步报告不同医生编辑痕迹的记录；支持审核报告每次修改痕迹的记录。</w:t>
            </w:r>
          </w:p>
        </w:tc>
      </w:tr>
      <w:tr w14:paraId="579ECF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43BFC6C">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C14DBB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报告智能纠错</w:t>
            </w:r>
          </w:p>
        </w:tc>
        <w:tc>
          <w:tcPr>
            <w:tcW w:w="6686" w:type="dxa"/>
            <w:tcBorders>
              <w:top w:val="single" w:color="auto" w:sz="4" w:space="0"/>
              <w:left w:val="single" w:color="auto" w:sz="4" w:space="0"/>
              <w:bottom w:val="single" w:color="auto" w:sz="4" w:space="0"/>
            </w:tcBorders>
            <w:vAlign w:val="center"/>
          </w:tcPr>
          <w:p w14:paraId="261F2019">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具备针对检查报告界面性别特征等错误描述可自动检索提示错误功能，并支持自动检索判断关键字的维护配置。</w:t>
            </w:r>
          </w:p>
        </w:tc>
      </w:tr>
      <w:tr w14:paraId="0CA2EC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8E1CC21">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B05D8A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相关检查浏览</w:t>
            </w:r>
          </w:p>
        </w:tc>
        <w:tc>
          <w:tcPr>
            <w:tcW w:w="6686" w:type="dxa"/>
            <w:tcBorders>
              <w:top w:val="single" w:color="auto" w:sz="4" w:space="0"/>
              <w:left w:val="single" w:color="auto" w:sz="4" w:space="0"/>
              <w:bottom w:val="single" w:color="auto" w:sz="4" w:space="0"/>
            </w:tcBorders>
            <w:vAlign w:val="center"/>
          </w:tcPr>
          <w:p w14:paraId="70B873DE">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能够查看患者历史检查及超声、内镜、心电、病理、无创动脉硬化检测结果等。</w:t>
            </w:r>
          </w:p>
        </w:tc>
      </w:tr>
      <w:tr w14:paraId="1497C7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AC27EB6">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008E931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电子病历浏览</w:t>
            </w:r>
          </w:p>
        </w:tc>
        <w:tc>
          <w:tcPr>
            <w:tcW w:w="6686" w:type="dxa"/>
            <w:tcBorders>
              <w:top w:val="single" w:color="auto" w:sz="4" w:space="0"/>
              <w:left w:val="single" w:color="auto" w:sz="4" w:space="0"/>
              <w:bottom w:val="single" w:color="auto" w:sz="4" w:space="0"/>
            </w:tcBorders>
            <w:vAlign w:val="center"/>
          </w:tcPr>
          <w:p w14:paraId="15F595B4">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能够查看门诊电子病历、住院电子病历等。</w:t>
            </w:r>
          </w:p>
        </w:tc>
      </w:tr>
      <w:tr w14:paraId="35C02E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1E8512A">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73507C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病理追踪</w:t>
            </w:r>
          </w:p>
        </w:tc>
        <w:tc>
          <w:tcPr>
            <w:tcW w:w="6686" w:type="dxa"/>
            <w:tcBorders>
              <w:top w:val="single" w:color="auto" w:sz="4" w:space="0"/>
              <w:left w:val="single" w:color="auto" w:sz="4" w:space="0"/>
              <w:bottom w:val="single" w:color="auto" w:sz="4" w:space="0"/>
            </w:tcBorders>
            <w:vAlign w:val="center"/>
          </w:tcPr>
          <w:p w14:paraId="482BC1BE">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▲可与病理系统互通，针对有病理结果的检查，标记影像诊断是否与病理诊断结果符合，并提供诊断符合率统计，统计结果可以导出及打印。</w:t>
            </w:r>
          </w:p>
        </w:tc>
      </w:tr>
      <w:tr w14:paraId="61DDAF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EEB088D">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11AD90D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病例讨论</w:t>
            </w:r>
          </w:p>
        </w:tc>
        <w:tc>
          <w:tcPr>
            <w:tcW w:w="6686" w:type="dxa"/>
            <w:tcBorders>
              <w:top w:val="single" w:color="auto" w:sz="4" w:space="0"/>
              <w:left w:val="single" w:color="auto" w:sz="4" w:space="0"/>
              <w:bottom w:val="single" w:color="auto" w:sz="4" w:space="0"/>
            </w:tcBorders>
            <w:vAlign w:val="center"/>
          </w:tcPr>
          <w:p w14:paraId="1A6EFD1A">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在报告编辑页面，提供病例分享讨论二维码，医生扫码后，可以指定医生，发起即时讨论或预约时间讨论。</w:t>
            </w:r>
          </w:p>
        </w:tc>
      </w:tr>
      <w:tr w14:paraId="50834F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E624EE3">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2A3D6F4C">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病例收藏</w:t>
            </w:r>
          </w:p>
        </w:tc>
        <w:tc>
          <w:tcPr>
            <w:tcW w:w="6686" w:type="dxa"/>
            <w:tcBorders>
              <w:top w:val="single" w:color="auto" w:sz="4" w:space="0"/>
              <w:left w:val="single" w:color="auto" w:sz="4" w:space="0"/>
              <w:bottom w:val="single" w:color="auto" w:sz="4" w:space="0"/>
            </w:tcBorders>
            <w:vAlign w:val="center"/>
          </w:tcPr>
          <w:p w14:paraId="5D86175C">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提供病例收藏功能，可以将病例按ICD-10编码及名称收藏为个人收藏或公共收藏，用于病例教学或科研。并支持ICD标准升级。</w:t>
            </w:r>
          </w:p>
        </w:tc>
      </w:tr>
      <w:tr w14:paraId="7C0DB3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8E41409">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2D30657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危急值闭环</w:t>
            </w:r>
          </w:p>
        </w:tc>
        <w:tc>
          <w:tcPr>
            <w:tcW w:w="6686" w:type="dxa"/>
            <w:tcBorders>
              <w:top w:val="single" w:color="auto" w:sz="4" w:space="0"/>
              <w:left w:val="single" w:color="auto" w:sz="4" w:space="0"/>
              <w:bottom w:val="single" w:color="auto" w:sz="4" w:space="0"/>
            </w:tcBorders>
            <w:vAlign w:val="center"/>
          </w:tcPr>
          <w:p w14:paraId="02CBF907">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具备危急值上报、提醒、处理及结果查看等危急值闭环管理功能。</w:t>
            </w:r>
          </w:p>
        </w:tc>
      </w:tr>
      <w:tr w14:paraId="47AE76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920948D">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19E3D3D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科内会诊</w:t>
            </w:r>
          </w:p>
        </w:tc>
        <w:tc>
          <w:tcPr>
            <w:tcW w:w="6686" w:type="dxa"/>
            <w:tcBorders>
              <w:top w:val="single" w:color="auto" w:sz="4" w:space="0"/>
              <w:left w:val="single" w:color="auto" w:sz="4" w:space="0"/>
              <w:bottom w:val="single" w:color="auto" w:sz="4" w:space="0"/>
            </w:tcBorders>
            <w:vAlign w:val="center"/>
          </w:tcPr>
          <w:p w14:paraId="7DF0AE77">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提供科内会诊功能，可以指定时间、指定地点、指定医生参与科内会诊。</w:t>
            </w:r>
          </w:p>
        </w:tc>
      </w:tr>
      <w:tr w14:paraId="008697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74C1CAE">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02A28ED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远程会诊</w:t>
            </w:r>
          </w:p>
        </w:tc>
        <w:tc>
          <w:tcPr>
            <w:tcW w:w="6686" w:type="dxa"/>
            <w:tcBorders>
              <w:top w:val="single" w:color="auto" w:sz="4" w:space="0"/>
              <w:left w:val="single" w:color="auto" w:sz="4" w:space="0"/>
              <w:bottom w:val="single" w:color="auto" w:sz="4" w:space="0"/>
            </w:tcBorders>
            <w:vAlign w:val="center"/>
          </w:tcPr>
          <w:p w14:paraId="6210A7BC">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能够通过移动端、PC等设备参与远程会诊，并调阅患者检查图像、报告资料等。</w:t>
            </w:r>
          </w:p>
        </w:tc>
      </w:tr>
      <w:tr w14:paraId="799629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A65862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质控管理</w:t>
            </w:r>
          </w:p>
        </w:tc>
        <w:tc>
          <w:tcPr>
            <w:tcW w:w="1725" w:type="dxa"/>
            <w:tcBorders>
              <w:top w:val="single" w:color="auto" w:sz="4" w:space="0"/>
              <w:left w:val="single" w:color="auto" w:sz="4" w:space="0"/>
              <w:bottom w:val="single" w:color="auto" w:sz="4" w:space="0"/>
              <w:right w:val="single" w:color="auto" w:sz="4" w:space="0"/>
            </w:tcBorders>
            <w:vAlign w:val="center"/>
          </w:tcPr>
          <w:p w14:paraId="413AB10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护士质控</w:t>
            </w:r>
          </w:p>
        </w:tc>
        <w:tc>
          <w:tcPr>
            <w:tcW w:w="6686" w:type="dxa"/>
            <w:tcBorders>
              <w:top w:val="single" w:color="auto" w:sz="4" w:space="0"/>
              <w:left w:val="single" w:color="auto" w:sz="4" w:space="0"/>
              <w:bottom w:val="single" w:color="auto" w:sz="4" w:space="0"/>
            </w:tcBorders>
            <w:vAlign w:val="center"/>
          </w:tcPr>
          <w:p w14:paraId="6BA92C90">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按照护士质控的各项管理要求，实现护士质控功能，并能产生质控管理分析报表。</w:t>
            </w:r>
          </w:p>
        </w:tc>
      </w:tr>
      <w:tr w14:paraId="7810CE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CA9471A">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765210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申请单质控</w:t>
            </w:r>
          </w:p>
        </w:tc>
        <w:tc>
          <w:tcPr>
            <w:tcW w:w="6686" w:type="dxa"/>
            <w:tcBorders>
              <w:top w:val="single" w:color="auto" w:sz="4" w:space="0"/>
              <w:left w:val="single" w:color="auto" w:sz="4" w:space="0"/>
              <w:bottom w:val="single" w:color="auto" w:sz="4" w:space="0"/>
            </w:tcBorders>
            <w:vAlign w:val="center"/>
          </w:tcPr>
          <w:p w14:paraId="3C1493FD">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按照临床医生申请单质控的各项管理要求，实现申请单质控功能，并能产生质控管理分析报表。</w:t>
            </w:r>
          </w:p>
        </w:tc>
      </w:tr>
      <w:tr w14:paraId="179AF2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0FB3C53">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6726617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摄片质控</w:t>
            </w:r>
          </w:p>
        </w:tc>
        <w:tc>
          <w:tcPr>
            <w:tcW w:w="6686" w:type="dxa"/>
            <w:tcBorders>
              <w:top w:val="single" w:color="auto" w:sz="4" w:space="0"/>
              <w:left w:val="single" w:color="auto" w:sz="4" w:space="0"/>
              <w:bottom w:val="single" w:color="auto" w:sz="4" w:space="0"/>
            </w:tcBorders>
            <w:vAlign w:val="center"/>
          </w:tcPr>
          <w:p w14:paraId="12D6B5BB">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按照摄片质控的各项管理要求，实现技师摄片质控功能，并能产生质控管理分析报表。</w:t>
            </w:r>
          </w:p>
        </w:tc>
      </w:tr>
      <w:tr w14:paraId="03CF7D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9A52982">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FE0F937">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报告质控</w:t>
            </w:r>
          </w:p>
        </w:tc>
        <w:tc>
          <w:tcPr>
            <w:tcW w:w="6686" w:type="dxa"/>
            <w:tcBorders>
              <w:top w:val="single" w:color="auto" w:sz="4" w:space="0"/>
              <w:left w:val="single" w:color="auto" w:sz="4" w:space="0"/>
              <w:bottom w:val="single" w:color="auto" w:sz="4" w:space="0"/>
            </w:tcBorders>
            <w:vAlign w:val="center"/>
          </w:tcPr>
          <w:p w14:paraId="733B8761">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按照报告质控的各项管理要求，实现诊断医生报告质控功能，并能产生质控管理分析报表。</w:t>
            </w:r>
          </w:p>
        </w:tc>
      </w:tr>
      <w:tr w14:paraId="7C6F1E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672126D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统计管理</w:t>
            </w:r>
          </w:p>
        </w:tc>
        <w:tc>
          <w:tcPr>
            <w:tcW w:w="1725" w:type="dxa"/>
            <w:tcBorders>
              <w:top w:val="single" w:color="auto" w:sz="4" w:space="0"/>
              <w:left w:val="single" w:color="auto" w:sz="4" w:space="0"/>
              <w:bottom w:val="single" w:color="auto" w:sz="4" w:space="0"/>
              <w:right w:val="single" w:color="auto" w:sz="4" w:space="0"/>
            </w:tcBorders>
            <w:vAlign w:val="center"/>
          </w:tcPr>
          <w:p w14:paraId="21E4741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数据统计</w:t>
            </w:r>
          </w:p>
        </w:tc>
        <w:tc>
          <w:tcPr>
            <w:tcW w:w="6686" w:type="dxa"/>
            <w:tcBorders>
              <w:top w:val="single" w:color="auto" w:sz="4" w:space="0"/>
              <w:left w:val="single" w:color="auto" w:sz="4" w:space="0"/>
              <w:bottom w:val="single" w:color="auto" w:sz="4" w:space="0"/>
            </w:tcBorders>
            <w:vAlign w:val="center"/>
          </w:tcPr>
          <w:p w14:paraId="2F03CB91">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能按照医院需求，制定如申请单报表、平均候诊时间统计、工作量报表、随访报表、设备效益报表等统计分析报表，并能支持明细及汇总数据的导出，自动生成图形化报表等。</w:t>
            </w:r>
          </w:p>
        </w:tc>
      </w:tr>
      <w:tr w14:paraId="78D82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610921C">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416CE9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权限管理</w:t>
            </w:r>
          </w:p>
        </w:tc>
        <w:tc>
          <w:tcPr>
            <w:tcW w:w="6686" w:type="dxa"/>
            <w:tcBorders>
              <w:top w:val="single" w:color="auto" w:sz="4" w:space="0"/>
              <w:left w:val="single" w:color="auto" w:sz="4" w:space="0"/>
              <w:bottom w:val="single" w:color="auto" w:sz="4" w:space="0"/>
            </w:tcBorders>
            <w:vAlign w:val="center"/>
          </w:tcPr>
          <w:p w14:paraId="5A58AED8">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系统管理员可根据不同用户开启或关闭各项功能及权限；部分功能可根据需求设置快捷方式。</w:t>
            </w:r>
          </w:p>
        </w:tc>
      </w:tr>
      <w:tr w14:paraId="2BAEA2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D01834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排队叫号</w:t>
            </w:r>
          </w:p>
        </w:tc>
        <w:tc>
          <w:tcPr>
            <w:tcW w:w="1725" w:type="dxa"/>
            <w:tcBorders>
              <w:top w:val="single" w:color="auto" w:sz="4" w:space="0"/>
              <w:left w:val="single" w:color="auto" w:sz="4" w:space="0"/>
              <w:bottom w:val="single" w:color="auto" w:sz="4" w:space="0"/>
              <w:right w:val="single" w:color="auto" w:sz="4" w:space="0"/>
            </w:tcBorders>
            <w:vAlign w:val="center"/>
          </w:tcPr>
          <w:p w14:paraId="7A9DFB4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多级分诊</w:t>
            </w:r>
          </w:p>
        </w:tc>
        <w:tc>
          <w:tcPr>
            <w:tcW w:w="6686" w:type="dxa"/>
            <w:tcBorders>
              <w:top w:val="single" w:color="auto" w:sz="4" w:space="0"/>
              <w:left w:val="single" w:color="auto" w:sz="4" w:space="0"/>
              <w:bottom w:val="single" w:color="auto" w:sz="4" w:space="0"/>
            </w:tcBorders>
            <w:vAlign w:val="center"/>
          </w:tcPr>
          <w:p w14:paraId="58803E68">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支持按科室业务场景要求，配置多级分诊显示及叫号。排队叫号模块有签到功能，支持线上线下多种模式签到。可人工设定迟到过号人员的重新排序的规则。</w:t>
            </w:r>
          </w:p>
        </w:tc>
      </w:tr>
      <w:tr w14:paraId="4E42B9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EF92D6F">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1E435BC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叫号屏显示</w:t>
            </w:r>
          </w:p>
        </w:tc>
        <w:tc>
          <w:tcPr>
            <w:tcW w:w="6686" w:type="dxa"/>
            <w:tcBorders>
              <w:top w:val="single" w:color="auto" w:sz="4" w:space="0"/>
              <w:left w:val="single" w:color="auto" w:sz="4" w:space="0"/>
              <w:bottom w:val="single" w:color="auto" w:sz="4" w:space="0"/>
            </w:tcBorders>
            <w:vAlign w:val="center"/>
          </w:tcPr>
          <w:p w14:paraId="537C4564">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能够将待检列表显示到叫号屏。叫号屏需要能够根据各个科室的需求，支持前台配置显示不同的内容。</w:t>
            </w:r>
          </w:p>
        </w:tc>
      </w:tr>
      <w:tr w14:paraId="40E07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1DE2AED">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D8EB43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语音叫号</w:t>
            </w:r>
          </w:p>
        </w:tc>
        <w:tc>
          <w:tcPr>
            <w:tcW w:w="6686" w:type="dxa"/>
            <w:tcBorders>
              <w:top w:val="single" w:color="auto" w:sz="4" w:space="0"/>
              <w:left w:val="single" w:color="auto" w:sz="4" w:space="0"/>
              <w:bottom w:val="single" w:color="auto" w:sz="4" w:space="0"/>
            </w:tcBorders>
            <w:vAlign w:val="center"/>
          </w:tcPr>
          <w:p w14:paraId="532B4A6B">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能够与工作站相连接，实现自动语音叫号，支持粤语及普通话双语同时播放。</w:t>
            </w:r>
          </w:p>
        </w:tc>
      </w:tr>
      <w:tr w14:paraId="44CA6A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18A1B69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即时通讯工具</w:t>
            </w:r>
          </w:p>
        </w:tc>
        <w:tc>
          <w:tcPr>
            <w:tcW w:w="1725" w:type="dxa"/>
            <w:tcBorders>
              <w:top w:val="single" w:color="auto" w:sz="4" w:space="0"/>
              <w:left w:val="single" w:color="auto" w:sz="4" w:space="0"/>
              <w:bottom w:val="single" w:color="auto" w:sz="4" w:space="0"/>
              <w:right w:val="single" w:color="auto" w:sz="4" w:space="0"/>
            </w:tcBorders>
            <w:vAlign w:val="center"/>
          </w:tcPr>
          <w:p w14:paraId="72399A6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用户及群组</w:t>
            </w:r>
          </w:p>
        </w:tc>
        <w:tc>
          <w:tcPr>
            <w:tcW w:w="6686" w:type="dxa"/>
            <w:tcBorders>
              <w:top w:val="single" w:color="auto" w:sz="4" w:space="0"/>
              <w:left w:val="single" w:color="auto" w:sz="4" w:space="0"/>
              <w:bottom w:val="single" w:color="auto" w:sz="4" w:space="0"/>
            </w:tcBorders>
            <w:vAlign w:val="center"/>
          </w:tcPr>
          <w:p w14:paraId="03D79204">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具备用户管理功能，并可组建好友群，方便讨论。</w:t>
            </w:r>
          </w:p>
        </w:tc>
      </w:tr>
      <w:tr w14:paraId="164774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724D1F1">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0665DF2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信息发送</w:t>
            </w:r>
          </w:p>
        </w:tc>
        <w:tc>
          <w:tcPr>
            <w:tcW w:w="6686" w:type="dxa"/>
            <w:tcBorders>
              <w:top w:val="single" w:color="auto" w:sz="4" w:space="0"/>
              <w:left w:val="single" w:color="auto" w:sz="4" w:space="0"/>
              <w:bottom w:val="single" w:color="auto" w:sz="4" w:space="0"/>
            </w:tcBorders>
            <w:vAlign w:val="center"/>
          </w:tcPr>
          <w:p w14:paraId="06718A58">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能够指定好友、好友群发送消息。</w:t>
            </w:r>
          </w:p>
        </w:tc>
      </w:tr>
      <w:tr w14:paraId="08CCE3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64D516E">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600751D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信息接收与提醒</w:t>
            </w:r>
          </w:p>
        </w:tc>
        <w:tc>
          <w:tcPr>
            <w:tcW w:w="6686" w:type="dxa"/>
            <w:tcBorders>
              <w:top w:val="single" w:color="auto" w:sz="4" w:space="0"/>
              <w:left w:val="single" w:color="auto" w:sz="4" w:space="0"/>
              <w:bottom w:val="single" w:color="auto" w:sz="4" w:space="0"/>
            </w:tcBorders>
            <w:vAlign w:val="center"/>
          </w:tcPr>
          <w:p w14:paraId="720C0F21">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收到消息时，具备消息提醒功能。</w:t>
            </w:r>
          </w:p>
        </w:tc>
      </w:tr>
      <w:tr w14:paraId="23557A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BF7C93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报告归档</w:t>
            </w:r>
          </w:p>
        </w:tc>
        <w:tc>
          <w:tcPr>
            <w:tcW w:w="1725" w:type="dxa"/>
            <w:tcBorders>
              <w:top w:val="single" w:color="auto" w:sz="4" w:space="0"/>
              <w:left w:val="single" w:color="auto" w:sz="4" w:space="0"/>
              <w:bottom w:val="single" w:color="auto" w:sz="4" w:space="0"/>
              <w:right w:val="single" w:color="auto" w:sz="4" w:space="0"/>
            </w:tcBorders>
            <w:vAlign w:val="center"/>
          </w:tcPr>
          <w:p w14:paraId="4153BD1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报告归档</w:t>
            </w:r>
          </w:p>
        </w:tc>
        <w:tc>
          <w:tcPr>
            <w:tcW w:w="6686" w:type="dxa"/>
            <w:tcBorders>
              <w:top w:val="single" w:color="auto" w:sz="4" w:space="0"/>
              <w:left w:val="single" w:color="auto" w:sz="4" w:space="0"/>
              <w:bottom w:val="single" w:color="auto" w:sz="4" w:space="0"/>
            </w:tcBorders>
            <w:vAlign w:val="center"/>
          </w:tcPr>
          <w:p w14:paraId="60CB5FA3">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系统支持报告生成PDF格式进行归档。</w:t>
            </w:r>
          </w:p>
        </w:tc>
      </w:tr>
      <w:tr w14:paraId="1C9D13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CB83DB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数据管理</w:t>
            </w:r>
          </w:p>
        </w:tc>
        <w:tc>
          <w:tcPr>
            <w:tcW w:w="1725" w:type="dxa"/>
            <w:tcBorders>
              <w:top w:val="single" w:color="auto" w:sz="4" w:space="0"/>
              <w:left w:val="single" w:color="auto" w:sz="4" w:space="0"/>
              <w:bottom w:val="single" w:color="auto" w:sz="4" w:space="0"/>
              <w:right w:val="single" w:color="auto" w:sz="4" w:space="0"/>
            </w:tcBorders>
            <w:vAlign w:val="center"/>
          </w:tcPr>
          <w:p w14:paraId="5EEB0C1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数据采集与治理</w:t>
            </w:r>
          </w:p>
        </w:tc>
        <w:tc>
          <w:tcPr>
            <w:tcW w:w="6686" w:type="dxa"/>
            <w:tcBorders>
              <w:top w:val="single" w:color="auto" w:sz="4" w:space="0"/>
              <w:left w:val="single" w:color="auto" w:sz="4" w:space="0"/>
              <w:bottom w:val="single" w:color="auto" w:sz="4" w:space="0"/>
            </w:tcBorders>
            <w:vAlign w:val="center"/>
          </w:tcPr>
          <w:p w14:paraId="526F6AAA">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能够采集医院所有医技科室数据，并提供大数据清洗服务，满足数据的分析与应用要求。</w:t>
            </w:r>
          </w:p>
        </w:tc>
      </w:tr>
      <w:tr w14:paraId="5C6D2F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E12B417">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7E21928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数据检索</w:t>
            </w:r>
          </w:p>
        </w:tc>
        <w:tc>
          <w:tcPr>
            <w:tcW w:w="6686" w:type="dxa"/>
            <w:tcBorders>
              <w:top w:val="single" w:color="auto" w:sz="4" w:space="0"/>
              <w:left w:val="single" w:color="auto" w:sz="4" w:space="0"/>
              <w:bottom w:val="single" w:color="auto" w:sz="4" w:space="0"/>
            </w:tcBorders>
            <w:vAlign w:val="center"/>
          </w:tcPr>
          <w:p w14:paraId="618FB49E">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提供高效的大数据检索功能，可以按照不同字段的复合查询进行检索。</w:t>
            </w:r>
          </w:p>
        </w:tc>
      </w:tr>
      <w:tr w14:paraId="2F56E8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040E7FC">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科室微助手</w:t>
            </w:r>
          </w:p>
        </w:tc>
        <w:tc>
          <w:tcPr>
            <w:tcW w:w="1725" w:type="dxa"/>
            <w:tcBorders>
              <w:top w:val="single" w:color="auto" w:sz="4" w:space="0"/>
              <w:left w:val="single" w:color="auto" w:sz="4" w:space="0"/>
              <w:bottom w:val="single" w:color="auto" w:sz="4" w:space="0"/>
              <w:right w:val="single" w:color="auto" w:sz="4" w:space="0"/>
            </w:tcBorders>
            <w:vAlign w:val="center"/>
          </w:tcPr>
          <w:p w14:paraId="47CFEBC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排班管理</w:t>
            </w:r>
          </w:p>
        </w:tc>
        <w:tc>
          <w:tcPr>
            <w:tcW w:w="6686" w:type="dxa"/>
            <w:tcBorders>
              <w:top w:val="single" w:color="auto" w:sz="4" w:space="0"/>
              <w:left w:val="single" w:color="auto" w:sz="4" w:space="0"/>
              <w:bottom w:val="single" w:color="auto" w:sz="4" w:space="0"/>
            </w:tcBorders>
            <w:vAlign w:val="center"/>
          </w:tcPr>
          <w:p w14:paraId="6FFEC308">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能够方便</w:t>
            </w:r>
            <w:r>
              <w:rPr>
                <w:rFonts w:hint="eastAsia" w:ascii="宋体" w:hAnsi="宋体" w:cs="宋体"/>
                <w:sz w:val="21"/>
                <w:szCs w:val="21"/>
                <w:highlight w:val="none"/>
                <w:lang w:val="zh-CN"/>
              </w:rPr>
              <w:t>地</w:t>
            </w:r>
            <w:r>
              <w:rPr>
                <w:rFonts w:hint="eastAsia" w:ascii="宋体" w:hAnsi="宋体" w:eastAsia="宋体" w:cs="宋体"/>
                <w:sz w:val="21"/>
                <w:szCs w:val="21"/>
                <w:highlight w:val="none"/>
                <w:lang w:val="zh-CN"/>
              </w:rPr>
              <w:t>执行排班，并在移动端查看排班情况。</w:t>
            </w:r>
          </w:p>
        </w:tc>
      </w:tr>
      <w:tr w14:paraId="47DA2D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3349183">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66077A7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交接班管理</w:t>
            </w:r>
          </w:p>
        </w:tc>
        <w:tc>
          <w:tcPr>
            <w:tcW w:w="6686" w:type="dxa"/>
            <w:tcBorders>
              <w:top w:val="single" w:color="auto" w:sz="4" w:space="0"/>
              <w:left w:val="single" w:color="auto" w:sz="4" w:space="0"/>
              <w:bottom w:val="single" w:color="auto" w:sz="4" w:space="0"/>
            </w:tcBorders>
            <w:vAlign w:val="center"/>
          </w:tcPr>
          <w:p w14:paraId="461D539B">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能够电子化管理交接班记录。</w:t>
            </w:r>
          </w:p>
        </w:tc>
      </w:tr>
      <w:tr w14:paraId="03B6B5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9AF90C5">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00EFD07">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随手记</w:t>
            </w:r>
          </w:p>
        </w:tc>
        <w:tc>
          <w:tcPr>
            <w:tcW w:w="6686" w:type="dxa"/>
            <w:tcBorders>
              <w:top w:val="single" w:color="auto" w:sz="4" w:space="0"/>
              <w:left w:val="single" w:color="auto" w:sz="4" w:space="0"/>
              <w:bottom w:val="single" w:color="auto" w:sz="4" w:space="0"/>
            </w:tcBorders>
            <w:vAlign w:val="center"/>
          </w:tcPr>
          <w:p w14:paraId="5A0A74B2">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能够根据权限的不同分为科室专区和个人专区，以文本，移动端拍照，本地图片上传等方式编辑。</w:t>
            </w:r>
          </w:p>
        </w:tc>
      </w:tr>
      <w:tr w14:paraId="0895B6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3587C45">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5B61A12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科室日历</w:t>
            </w:r>
          </w:p>
        </w:tc>
        <w:tc>
          <w:tcPr>
            <w:tcW w:w="6686" w:type="dxa"/>
            <w:tcBorders>
              <w:top w:val="single" w:color="auto" w:sz="4" w:space="0"/>
              <w:left w:val="single" w:color="auto" w:sz="4" w:space="0"/>
              <w:bottom w:val="single" w:color="auto" w:sz="4" w:space="0"/>
            </w:tcBorders>
            <w:vAlign w:val="center"/>
          </w:tcPr>
          <w:p w14:paraId="6111D789">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能够将科室的授课计划等以日历的形式展示，并提醒授课老师及学员及时参加。</w:t>
            </w:r>
          </w:p>
        </w:tc>
      </w:tr>
      <w:tr w14:paraId="646D19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16EA787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科室运营管理</w:t>
            </w:r>
          </w:p>
        </w:tc>
        <w:tc>
          <w:tcPr>
            <w:tcW w:w="1725" w:type="dxa"/>
            <w:tcBorders>
              <w:top w:val="single" w:color="auto" w:sz="4" w:space="0"/>
              <w:left w:val="single" w:color="auto" w:sz="4" w:space="0"/>
              <w:bottom w:val="single" w:color="auto" w:sz="4" w:space="0"/>
              <w:right w:val="single" w:color="auto" w:sz="4" w:space="0"/>
            </w:tcBorders>
            <w:vAlign w:val="center"/>
          </w:tcPr>
          <w:p w14:paraId="6630467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科室驾驶舱</w:t>
            </w:r>
          </w:p>
        </w:tc>
        <w:tc>
          <w:tcPr>
            <w:tcW w:w="6686" w:type="dxa"/>
            <w:tcBorders>
              <w:top w:val="single" w:color="auto" w:sz="4" w:space="0"/>
              <w:left w:val="single" w:color="auto" w:sz="4" w:space="0"/>
              <w:bottom w:val="single" w:color="auto" w:sz="4" w:space="0"/>
            </w:tcBorders>
            <w:vAlign w:val="center"/>
          </w:tcPr>
          <w:p w14:paraId="56291E53">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能够以大屏展示科室的运行情况，将重要数据、工作进度实时展示。</w:t>
            </w:r>
          </w:p>
        </w:tc>
      </w:tr>
      <w:tr w14:paraId="1C7A31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18CE66A1">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集成浏览</w:t>
            </w:r>
          </w:p>
        </w:tc>
        <w:tc>
          <w:tcPr>
            <w:tcW w:w="1725" w:type="dxa"/>
            <w:tcBorders>
              <w:top w:val="single" w:color="auto" w:sz="4" w:space="0"/>
              <w:left w:val="single" w:color="auto" w:sz="4" w:space="0"/>
              <w:bottom w:val="single" w:color="auto" w:sz="4" w:space="0"/>
              <w:right w:val="single" w:color="auto" w:sz="4" w:space="0"/>
            </w:tcBorders>
            <w:vAlign w:val="center"/>
          </w:tcPr>
          <w:p w14:paraId="4CCFC07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数据调阅</w:t>
            </w:r>
          </w:p>
        </w:tc>
        <w:tc>
          <w:tcPr>
            <w:tcW w:w="6686" w:type="dxa"/>
            <w:tcBorders>
              <w:top w:val="single" w:color="auto" w:sz="4" w:space="0"/>
              <w:left w:val="single" w:color="auto" w:sz="4" w:space="0"/>
              <w:bottom w:val="single" w:color="auto" w:sz="4" w:space="0"/>
            </w:tcBorders>
            <w:vAlign w:val="center"/>
          </w:tcPr>
          <w:p w14:paraId="55E671E4">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实现检查过程中对不同院区、不同业务系统的医疗文书、检查结果的调阅，满足检查部门工作过程中对辅助检查的调阅需求，实现信息化闭环管理。能够在同一界面内查询患者各项历史记录信息。患者能够在移动端查看检查结果，包括图文报告及影像图片。</w:t>
            </w:r>
          </w:p>
        </w:tc>
      </w:tr>
      <w:tr w14:paraId="187A92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6E3F3C7">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327E681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影像后处理</w:t>
            </w:r>
          </w:p>
        </w:tc>
        <w:tc>
          <w:tcPr>
            <w:tcW w:w="6686" w:type="dxa"/>
            <w:tcBorders>
              <w:top w:val="single" w:color="auto" w:sz="4" w:space="0"/>
              <w:left w:val="single" w:color="auto" w:sz="4" w:space="0"/>
              <w:bottom w:val="single" w:color="auto" w:sz="4" w:space="0"/>
            </w:tcBorders>
            <w:vAlign w:val="center"/>
          </w:tcPr>
          <w:p w14:paraId="59C04C01">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临床科室能通过影像浏览器对病人检查影像进行如三维重建、图像拼接等后处理功能，为临床提供图像分析功能。</w:t>
            </w:r>
          </w:p>
        </w:tc>
      </w:tr>
      <w:tr w14:paraId="08A1FF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1C2E92E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自助打印</w:t>
            </w:r>
          </w:p>
        </w:tc>
        <w:tc>
          <w:tcPr>
            <w:tcW w:w="1725" w:type="dxa"/>
            <w:tcBorders>
              <w:top w:val="single" w:color="auto" w:sz="4" w:space="0"/>
              <w:left w:val="single" w:color="auto" w:sz="4" w:space="0"/>
              <w:bottom w:val="single" w:color="auto" w:sz="4" w:space="0"/>
              <w:right w:val="single" w:color="auto" w:sz="4" w:space="0"/>
            </w:tcBorders>
            <w:vAlign w:val="center"/>
          </w:tcPr>
          <w:p w14:paraId="4B8CBE1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自助机打印</w:t>
            </w:r>
          </w:p>
        </w:tc>
        <w:tc>
          <w:tcPr>
            <w:tcW w:w="6686" w:type="dxa"/>
            <w:tcBorders>
              <w:top w:val="single" w:color="auto" w:sz="4" w:space="0"/>
              <w:left w:val="single" w:color="auto" w:sz="4" w:space="0"/>
              <w:bottom w:val="single" w:color="auto" w:sz="4" w:space="0"/>
            </w:tcBorders>
            <w:vAlign w:val="center"/>
          </w:tcPr>
          <w:p w14:paraId="2DC4F8DF">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可以为患者提供自助机打印功能。</w:t>
            </w:r>
          </w:p>
        </w:tc>
      </w:tr>
      <w:tr w14:paraId="1011A4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FD206F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集成接口</w:t>
            </w:r>
          </w:p>
        </w:tc>
        <w:tc>
          <w:tcPr>
            <w:tcW w:w="1725" w:type="dxa"/>
            <w:tcBorders>
              <w:top w:val="single" w:color="auto" w:sz="4" w:space="0"/>
              <w:left w:val="single" w:color="auto" w:sz="4" w:space="0"/>
              <w:bottom w:val="single" w:color="auto" w:sz="4" w:space="0"/>
              <w:right w:val="single" w:color="auto" w:sz="4" w:space="0"/>
            </w:tcBorders>
            <w:vAlign w:val="center"/>
          </w:tcPr>
          <w:p w14:paraId="6F6B983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与HIS/EMR/体检系统/手麻系统/病理系统/危急值平台/CA认证/集成平台/医保电子凭证等对接</w:t>
            </w:r>
          </w:p>
        </w:tc>
        <w:tc>
          <w:tcPr>
            <w:tcW w:w="6686" w:type="dxa"/>
            <w:tcBorders>
              <w:top w:val="single" w:color="auto" w:sz="4" w:space="0"/>
              <w:left w:val="single" w:color="auto" w:sz="4" w:space="0"/>
              <w:bottom w:val="single" w:color="auto" w:sz="4" w:space="0"/>
            </w:tcBorders>
            <w:vAlign w:val="center"/>
          </w:tcPr>
          <w:p w14:paraId="59FEC96E">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与HIS/EMR/体检系统/手麻系统/病理系统/危急值平台/CA认证/集成平台/医保电子凭证等完成全面的对接工作，实现检查申请单、收费、检查项目同步等的流程闭环，并能实现危急值上报管理功能。</w:t>
            </w:r>
          </w:p>
        </w:tc>
      </w:tr>
      <w:tr w14:paraId="5C783E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647B73A">
            <w:pPr>
              <w:shd w:val="clear"/>
              <w:spacing w:line="240" w:lineRule="auto"/>
              <w:ind w:firstLine="0"/>
              <w:jc w:val="center"/>
              <w:rPr>
                <w:rFonts w:hint="eastAsia" w:ascii="宋体" w:hAnsi="宋体" w:eastAsia="宋体" w:cs="宋体"/>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vAlign w:val="center"/>
          </w:tcPr>
          <w:p w14:paraId="3F5F5AC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历史数据迁移</w:t>
            </w:r>
          </w:p>
        </w:tc>
        <w:tc>
          <w:tcPr>
            <w:tcW w:w="6686" w:type="dxa"/>
            <w:tcBorders>
              <w:top w:val="single" w:color="auto" w:sz="4" w:space="0"/>
              <w:left w:val="single" w:color="auto" w:sz="4" w:space="0"/>
              <w:bottom w:val="single" w:color="auto" w:sz="4" w:space="0"/>
            </w:tcBorders>
            <w:vAlign w:val="center"/>
          </w:tcPr>
          <w:p w14:paraId="7E6EB99F">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需将原有系统中的放射数据、影像图片迁移至新系统，方便各科室在同一系统对历史数据的报告查询、影像图片调阅。</w:t>
            </w:r>
          </w:p>
        </w:tc>
      </w:tr>
      <w:tr w14:paraId="0D0777BB">
        <w:tblPrEx>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C953466">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设备接口</w:t>
            </w:r>
          </w:p>
        </w:tc>
        <w:tc>
          <w:tcPr>
            <w:tcW w:w="1725" w:type="dxa"/>
            <w:tcBorders>
              <w:top w:val="single" w:color="auto" w:sz="4" w:space="0"/>
              <w:left w:val="single" w:color="auto" w:sz="4" w:space="0"/>
              <w:bottom w:val="single" w:color="auto" w:sz="4" w:space="0"/>
              <w:right w:val="single" w:color="auto" w:sz="4" w:space="0"/>
            </w:tcBorders>
            <w:vAlign w:val="center"/>
          </w:tcPr>
          <w:p w14:paraId="03242DEC">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设备接口对接</w:t>
            </w:r>
          </w:p>
        </w:tc>
        <w:tc>
          <w:tcPr>
            <w:tcW w:w="6686" w:type="dxa"/>
            <w:tcBorders>
              <w:top w:val="single" w:color="auto" w:sz="4" w:space="0"/>
              <w:left w:val="single" w:color="auto" w:sz="4" w:space="0"/>
              <w:bottom w:val="single" w:color="auto" w:sz="4" w:space="0"/>
            </w:tcBorders>
            <w:vAlign w:val="center"/>
          </w:tcPr>
          <w:p w14:paraId="135BF953">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支持医院现有医疗设备接口对接，包括但不限于DICOM，采集卡等方式，并支持项目硬件维护期、软件运维期内新增设备对接工作。</w:t>
            </w:r>
          </w:p>
        </w:tc>
      </w:tr>
      <w:tr w14:paraId="0BB60B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04027BDA">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站点</w:t>
            </w:r>
          </w:p>
        </w:tc>
        <w:tc>
          <w:tcPr>
            <w:tcW w:w="1725" w:type="dxa"/>
            <w:tcBorders>
              <w:top w:val="single" w:color="auto" w:sz="4" w:space="0"/>
              <w:left w:val="single" w:color="auto" w:sz="4" w:space="0"/>
              <w:bottom w:val="single" w:color="auto" w:sz="4" w:space="0"/>
              <w:right w:val="single" w:color="auto" w:sz="4" w:space="0"/>
            </w:tcBorders>
            <w:vAlign w:val="center"/>
          </w:tcPr>
          <w:p w14:paraId="3A355F7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站点</w:t>
            </w:r>
          </w:p>
        </w:tc>
        <w:tc>
          <w:tcPr>
            <w:tcW w:w="6686" w:type="dxa"/>
            <w:tcBorders>
              <w:top w:val="single" w:color="auto" w:sz="4" w:space="0"/>
              <w:left w:val="single" w:color="auto" w:sz="4" w:space="0"/>
              <w:bottom w:val="single" w:color="auto" w:sz="4" w:space="0"/>
            </w:tcBorders>
            <w:vAlign w:val="center"/>
          </w:tcPr>
          <w:p w14:paraId="3B1CE93E">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系统不限制工作站点数量及使用期限，支持按需配置工作站点功能。</w:t>
            </w:r>
          </w:p>
        </w:tc>
      </w:tr>
      <w:tr w14:paraId="2641EB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870274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设备接口</w:t>
            </w:r>
          </w:p>
        </w:tc>
        <w:tc>
          <w:tcPr>
            <w:tcW w:w="1725" w:type="dxa"/>
            <w:tcBorders>
              <w:top w:val="single" w:color="auto" w:sz="4" w:space="0"/>
              <w:left w:val="single" w:color="auto" w:sz="4" w:space="0"/>
              <w:bottom w:val="single" w:color="auto" w:sz="4" w:space="0"/>
              <w:right w:val="single" w:color="auto" w:sz="4" w:space="0"/>
            </w:tcBorders>
            <w:vAlign w:val="center"/>
          </w:tcPr>
          <w:p w14:paraId="07DAB33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w:t>
            </w:r>
          </w:p>
        </w:tc>
        <w:tc>
          <w:tcPr>
            <w:tcW w:w="6686" w:type="dxa"/>
            <w:tcBorders>
              <w:top w:val="single" w:color="auto" w:sz="4" w:space="0"/>
              <w:left w:val="single" w:color="auto" w:sz="4" w:space="0"/>
              <w:bottom w:val="single" w:color="auto" w:sz="4" w:space="0"/>
            </w:tcBorders>
            <w:vAlign w:val="center"/>
          </w:tcPr>
          <w:p w14:paraId="7D0FF333">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明确列出</w:t>
            </w:r>
            <w:r>
              <w:rPr>
                <w:rFonts w:hint="eastAsia"/>
                <w:highlight w:val="none"/>
                <w:lang w:eastAsia="zh-CN"/>
              </w:rPr>
              <w:t>项目</w:t>
            </w:r>
            <w:r>
              <w:rPr>
                <w:rFonts w:hint="eastAsia"/>
                <w:highlight w:val="none"/>
                <w:lang w:val="en-US" w:eastAsia="zh-CN"/>
              </w:rPr>
              <w:t>硬件维护期、</w:t>
            </w:r>
            <w:r>
              <w:rPr>
                <w:rFonts w:hint="eastAsia"/>
                <w:highlight w:val="none"/>
                <w:lang w:eastAsia="zh-CN"/>
              </w:rPr>
              <w:t>软件运维期</w:t>
            </w:r>
            <w:r>
              <w:rPr>
                <w:rFonts w:hint="eastAsia" w:ascii="宋体" w:hAnsi="宋体" w:eastAsia="宋体" w:cs="宋体"/>
                <w:sz w:val="21"/>
                <w:szCs w:val="21"/>
                <w:highlight w:val="none"/>
                <w:lang w:val="zh-CN"/>
              </w:rPr>
              <w:t>后需收费的DICOM设备、非DICOM设备设备对接清单及费用。</w:t>
            </w:r>
          </w:p>
        </w:tc>
      </w:tr>
      <w:tr w14:paraId="0326C1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25888E3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多院区</w:t>
            </w:r>
          </w:p>
        </w:tc>
        <w:tc>
          <w:tcPr>
            <w:tcW w:w="1725" w:type="dxa"/>
            <w:tcBorders>
              <w:top w:val="single" w:color="auto" w:sz="4" w:space="0"/>
              <w:left w:val="single" w:color="auto" w:sz="4" w:space="0"/>
              <w:bottom w:val="single" w:color="auto" w:sz="4" w:space="0"/>
              <w:right w:val="single" w:color="auto" w:sz="4" w:space="0"/>
            </w:tcBorders>
            <w:vAlign w:val="center"/>
          </w:tcPr>
          <w:p w14:paraId="6F78F47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多院区</w:t>
            </w:r>
          </w:p>
        </w:tc>
        <w:tc>
          <w:tcPr>
            <w:tcW w:w="6686" w:type="dxa"/>
            <w:tcBorders>
              <w:top w:val="single" w:color="auto" w:sz="4" w:space="0"/>
              <w:left w:val="single" w:color="auto" w:sz="4" w:space="0"/>
              <w:bottom w:val="single" w:color="auto" w:sz="4" w:space="0"/>
            </w:tcBorders>
            <w:vAlign w:val="center"/>
          </w:tcPr>
          <w:p w14:paraId="1F9BEC1B">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支持多院区模式对接使用。</w:t>
            </w:r>
          </w:p>
        </w:tc>
      </w:tr>
      <w:tr w14:paraId="0ADB27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7C5B26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专用耗材</w:t>
            </w:r>
          </w:p>
        </w:tc>
        <w:tc>
          <w:tcPr>
            <w:tcW w:w="1725" w:type="dxa"/>
            <w:tcBorders>
              <w:top w:val="single" w:color="auto" w:sz="4" w:space="0"/>
              <w:left w:val="single" w:color="auto" w:sz="4" w:space="0"/>
              <w:bottom w:val="single" w:color="auto" w:sz="4" w:space="0"/>
              <w:right w:val="single" w:color="auto" w:sz="4" w:space="0"/>
            </w:tcBorders>
            <w:vAlign w:val="center"/>
          </w:tcPr>
          <w:p w14:paraId="42BA574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专用耗材</w:t>
            </w:r>
          </w:p>
        </w:tc>
        <w:tc>
          <w:tcPr>
            <w:tcW w:w="6686" w:type="dxa"/>
            <w:tcBorders>
              <w:top w:val="single" w:color="auto" w:sz="4" w:space="0"/>
              <w:left w:val="single" w:color="auto" w:sz="4" w:space="0"/>
              <w:bottom w:val="single" w:color="auto" w:sz="4" w:space="0"/>
            </w:tcBorders>
            <w:vAlign w:val="center"/>
          </w:tcPr>
          <w:p w14:paraId="56027054">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明确列出专用耗材清单，及其费用。</w:t>
            </w:r>
          </w:p>
        </w:tc>
      </w:tr>
      <w:tr w14:paraId="3855AC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0831C82C">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数据管理</w:t>
            </w:r>
          </w:p>
        </w:tc>
        <w:tc>
          <w:tcPr>
            <w:tcW w:w="1725" w:type="dxa"/>
            <w:tcBorders>
              <w:top w:val="single" w:color="auto" w:sz="4" w:space="0"/>
              <w:left w:val="single" w:color="auto" w:sz="4" w:space="0"/>
              <w:bottom w:val="single" w:color="auto" w:sz="4" w:space="0"/>
              <w:right w:val="single" w:color="auto" w:sz="4" w:space="0"/>
            </w:tcBorders>
            <w:vAlign w:val="center"/>
          </w:tcPr>
          <w:p w14:paraId="6C12A0C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数据管理</w:t>
            </w:r>
          </w:p>
        </w:tc>
        <w:tc>
          <w:tcPr>
            <w:tcW w:w="6686" w:type="dxa"/>
            <w:tcBorders>
              <w:top w:val="single" w:color="auto" w:sz="4" w:space="0"/>
              <w:left w:val="single" w:color="auto" w:sz="4" w:space="0"/>
              <w:bottom w:val="single" w:color="auto" w:sz="4" w:space="0"/>
            </w:tcBorders>
            <w:vAlign w:val="center"/>
          </w:tcPr>
          <w:p w14:paraId="7E217902">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除国家法规要求、网络安全相关要求及院内管理要求外，</w:t>
            </w:r>
            <w:r>
              <w:rPr>
                <w:rFonts w:hint="eastAsia" w:ascii="宋体" w:hAnsi="宋体" w:cs="宋体"/>
                <w:kern w:val="0"/>
                <w:sz w:val="21"/>
                <w:szCs w:val="21"/>
                <w:highlight w:val="none"/>
                <w:lang w:val="en-US" w:eastAsia="zh-CN"/>
              </w:rPr>
              <w:t>软件开发商</w:t>
            </w:r>
            <w:r>
              <w:rPr>
                <w:rFonts w:hint="eastAsia" w:ascii="宋体" w:hAnsi="宋体" w:eastAsia="宋体" w:cs="宋体"/>
                <w:sz w:val="21"/>
                <w:szCs w:val="21"/>
                <w:highlight w:val="none"/>
                <w:lang w:val="zh-CN"/>
              </w:rPr>
              <w:t>不得对系统内部数据图像报告进行加密。</w:t>
            </w:r>
          </w:p>
        </w:tc>
      </w:tr>
      <w:tr w14:paraId="082380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278BC2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国产信创</w:t>
            </w:r>
          </w:p>
        </w:tc>
        <w:tc>
          <w:tcPr>
            <w:tcW w:w="1725" w:type="dxa"/>
            <w:tcBorders>
              <w:top w:val="single" w:color="auto" w:sz="4" w:space="0"/>
              <w:left w:val="single" w:color="auto" w:sz="4" w:space="0"/>
              <w:bottom w:val="single" w:color="auto" w:sz="4" w:space="0"/>
              <w:right w:val="single" w:color="auto" w:sz="4" w:space="0"/>
            </w:tcBorders>
            <w:vAlign w:val="center"/>
          </w:tcPr>
          <w:p w14:paraId="2ACBE0B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国产信创</w:t>
            </w:r>
          </w:p>
        </w:tc>
        <w:tc>
          <w:tcPr>
            <w:tcW w:w="6686" w:type="dxa"/>
            <w:tcBorders>
              <w:top w:val="single" w:color="auto" w:sz="4" w:space="0"/>
              <w:left w:val="single" w:color="auto" w:sz="4" w:space="0"/>
              <w:bottom w:val="single" w:color="auto" w:sz="4" w:space="0"/>
            </w:tcBorders>
            <w:vAlign w:val="center"/>
          </w:tcPr>
          <w:p w14:paraId="6B9770F0">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▲为保障系统自主可控和信息安全，</w:t>
            </w:r>
            <w:r>
              <w:rPr>
                <w:rFonts w:hint="eastAsia" w:ascii="宋体" w:hAnsi="宋体" w:cs="宋体"/>
                <w:sz w:val="21"/>
                <w:szCs w:val="21"/>
                <w:highlight w:val="none"/>
                <w:lang w:val="zh-CN"/>
              </w:rPr>
              <w:t>投标人</w:t>
            </w:r>
            <w:r>
              <w:rPr>
                <w:rFonts w:hint="eastAsia" w:ascii="宋体" w:hAnsi="宋体" w:eastAsia="宋体" w:cs="宋体"/>
                <w:sz w:val="21"/>
                <w:szCs w:val="21"/>
                <w:highlight w:val="none"/>
                <w:lang w:val="zh-CN"/>
              </w:rPr>
              <w:t>提供的医学影像信息系统需能够适配国产操作系统、国产数据库、国产中间件等国产自主安全平台。</w:t>
            </w:r>
          </w:p>
        </w:tc>
      </w:tr>
      <w:tr w14:paraId="11333E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DE12B64">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性能要求</w:t>
            </w:r>
          </w:p>
        </w:tc>
        <w:tc>
          <w:tcPr>
            <w:tcW w:w="1725" w:type="dxa"/>
            <w:tcBorders>
              <w:top w:val="single" w:color="auto" w:sz="4" w:space="0"/>
              <w:left w:val="single" w:color="auto" w:sz="4" w:space="0"/>
              <w:bottom w:val="single" w:color="auto" w:sz="4" w:space="0"/>
              <w:right w:val="single" w:color="auto" w:sz="4" w:space="0"/>
            </w:tcBorders>
            <w:vAlign w:val="center"/>
          </w:tcPr>
          <w:p w14:paraId="2769322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读取速度</w:t>
            </w:r>
          </w:p>
        </w:tc>
        <w:tc>
          <w:tcPr>
            <w:tcW w:w="6686" w:type="dxa"/>
            <w:tcBorders>
              <w:top w:val="single" w:color="auto" w:sz="4" w:space="0"/>
              <w:left w:val="single" w:color="auto" w:sz="4" w:space="0"/>
              <w:bottom w:val="single" w:color="auto" w:sz="4" w:space="0"/>
            </w:tcBorders>
            <w:vAlign w:val="center"/>
          </w:tcPr>
          <w:p w14:paraId="78CD8CBA">
            <w:pPr>
              <w:shd w:val="clear"/>
              <w:spacing w:line="240" w:lineRule="auto"/>
              <w:ind w:firstLine="0"/>
              <w:jc w:val="left"/>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千张图像下载查阅性能≤3秒</w:t>
            </w:r>
            <w:r>
              <w:rPr>
                <w:rFonts w:hint="eastAsia" w:ascii="宋体" w:hAnsi="宋体" w:cs="宋体"/>
                <w:sz w:val="21"/>
                <w:szCs w:val="21"/>
                <w:highlight w:val="none"/>
                <w:lang w:val="zh-CN"/>
              </w:rPr>
              <w:t>。</w:t>
            </w:r>
          </w:p>
        </w:tc>
      </w:tr>
    </w:tbl>
    <w:p w14:paraId="5DE3F620">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8" w:name="_Toc167112551"/>
      <w:r>
        <w:rPr>
          <w:rFonts w:hint="eastAsia" w:ascii="宋体" w:hAnsi="宋体" w:eastAsia="宋体" w:cs="宋体"/>
          <w:b w:val="0"/>
          <w:bCs w:val="0"/>
          <w:smallCaps/>
          <w:sz w:val="21"/>
          <w:szCs w:val="21"/>
          <w:highlight w:val="none"/>
        </w:rPr>
        <w:t>4.2</w:t>
      </w:r>
      <w:r>
        <w:rPr>
          <w:rFonts w:hint="eastAsia" w:ascii="宋体" w:hAnsi="宋体" w:eastAsia="宋体" w:cs="宋体"/>
          <w:b w:val="0"/>
          <w:bCs w:val="0"/>
          <w:smallCaps/>
          <w:sz w:val="21"/>
          <w:szCs w:val="21"/>
          <w:highlight w:val="none"/>
        </w:rPr>
        <w:tab/>
      </w:r>
      <w:r>
        <w:rPr>
          <w:rFonts w:hint="eastAsia" w:ascii="宋体" w:hAnsi="宋体" w:eastAsia="宋体" w:cs="宋体"/>
          <w:b w:val="0"/>
          <w:bCs w:val="0"/>
          <w:smallCaps/>
          <w:sz w:val="21"/>
          <w:szCs w:val="21"/>
          <w:highlight w:val="none"/>
          <w:lang w:val="zh-CN"/>
        </w:rPr>
        <w:t>超声信息系统</w:t>
      </w:r>
      <w:bookmarkEnd w:id="8"/>
    </w:p>
    <w:tbl>
      <w:tblPr>
        <w:tblStyle w:val="4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53"/>
        <w:gridCol w:w="1740"/>
        <w:gridCol w:w="6954"/>
      </w:tblGrid>
      <w:tr w14:paraId="635C72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1053" w:type="dxa"/>
            <w:tcBorders>
              <w:top w:val="single" w:color="auto" w:sz="4" w:space="0"/>
              <w:bottom w:val="single" w:color="auto" w:sz="4" w:space="0"/>
              <w:right w:val="single" w:color="auto" w:sz="4" w:space="0"/>
            </w:tcBorders>
            <w:shd w:val="clear" w:color="auto" w:fill="F2F2F2"/>
            <w:vAlign w:val="center"/>
          </w:tcPr>
          <w:p w14:paraId="266E4380">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模块</w:t>
            </w:r>
          </w:p>
        </w:tc>
        <w:tc>
          <w:tcPr>
            <w:tcW w:w="1740" w:type="dxa"/>
            <w:tcBorders>
              <w:top w:val="single" w:color="auto" w:sz="4" w:space="0"/>
              <w:left w:val="single" w:color="auto" w:sz="4" w:space="0"/>
              <w:bottom w:val="single" w:color="auto" w:sz="4" w:space="0"/>
              <w:right w:val="single" w:color="auto" w:sz="4" w:space="0"/>
            </w:tcBorders>
            <w:shd w:val="clear" w:color="auto" w:fill="F2F2F2"/>
            <w:vAlign w:val="center"/>
          </w:tcPr>
          <w:p w14:paraId="005B6BF9">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w:t>
            </w:r>
          </w:p>
        </w:tc>
        <w:tc>
          <w:tcPr>
            <w:tcW w:w="6954" w:type="dxa"/>
            <w:tcBorders>
              <w:top w:val="single" w:color="auto" w:sz="4" w:space="0"/>
              <w:left w:val="single" w:color="auto" w:sz="4" w:space="0"/>
              <w:bottom w:val="single" w:color="auto" w:sz="4" w:space="0"/>
            </w:tcBorders>
            <w:shd w:val="clear" w:color="auto" w:fill="F2F2F2"/>
            <w:vAlign w:val="center"/>
          </w:tcPr>
          <w:p w14:paraId="3C0AEFB8">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功能描述</w:t>
            </w:r>
          </w:p>
        </w:tc>
      </w:tr>
      <w:tr w14:paraId="007273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6A102D55">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检查登记</w:t>
            </w:r>
          </w:p>
        </w:tc>
        <w:tc>
          <w:tcPr>
            <w:tcW w:w="1740" w:type="dxa"/>
            <w:tcBorders>
              <w:top w:val="single" w:color="auto" w:sz="4" w:space="0"/>
              <w:left w:val="single" w:color="auto" w:sz="4" w:space="0"/>
              <w:bottom w:val="single" w:color="auto" w:sz="4" w:space="0"/>
              <w:right w:val="single" w:color="auto" w:sz="4" w:space="0"/>
            </w:tcBorders>
            <w:vAlign w:val="center"/>
          </w:tcPr>
          <w:p w14:paraId="7C4A4A3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电子申请单登记</w:t>
            </w:r>
          </w:p>
        </w:tc>
        <w:tc>
          <w:tcPr>
            <w:tcW w:w="6954" w:type="dxa"/>
            <w:tcBorders>
              <w:top w:val="single" w:color="auto" w:sz="4" w:space="0"/>
              <w:left w:val="single" w:color="auto" w:sz="4" w:space="0"/>
              <w:bottom w:val="single" w:color="auto" w:sz="4" w:space="0"/>
            </w:tcBorders>
            <w:vAlign w:val="center"/>
          </w:tcPr>
          <w:p w14:paraId="48CC569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能够获取电子申请单列表，及电子申请单详情信息，能够完整展示所有检查部位，且能够方便</w:t>
            </w:r>
            <w:r>
              <w:rPr>
                <w:rFonts w:hint="eastAsia" w:ascii="宋体" w:hAnsi="宋体" w:cs="宋体"/>
                <w:sz w:val="21"/>
                <w:szCs w:val="21"/>
                <w:highlight w:val="none"/>
                <w:lang w:val="zh-CN"/>
              </w:rPr>
              <w:t>地</w:t>
            </w:r>
            <w:r>
              <w:rPr>
                <w:rFonts w:hint="eastAsia" w:ascii="宋体" w:hAnsi="宋体" w:eastAsia="宋体" w:cs="宋体"/>
                <w:sz w:val="21"/>
                <w:szCs w:val="21"/>
                <w:highlight w:val="none"/>
                <w:lang w:val="zh-CN"/>
              </w:rPr>
              <w:t>进行检查登记。</w:t>
            </w:r>
          </w:p>
        </w:tc>
      </w:tr>
      <w:tr w14:paraId="293BCB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5A1FB09">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B7A5BE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手工申请单登记</w:t>
            </w:r>
          </w:p>
        </w:tc>
        <w:tc>
          <w:tcPr>
            <w:tcW w:w="6954" w:type="dxa"/>
            <w:tcBorders>
              <w:top w:val="single" w:color="auto" w:sz="4" w:space="0"/>
              <w:left w:val="single" w:color="auto" w:sz="4" w:space="0"/>
              <w:bottom w:val="single" w:color="auto" w:sz="4" w:space="0"/>
            </w:tcBorders>
            <w:vAlign w:val="center"/>
          </w:tcPr>
          <w:p w14:paraId="199BAF8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支持手工登记模式。</w:t>
            </w:r>
          </w:p>
        </w:tc>
      </w:tr>
      <w:tr w14:paraId="70C3A5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92DA55B">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CF2767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合并登记</w:t>
            </w:r>
          </w:p>
        </w:tc>
        <w:tc>
          <w:tcPr>
            <w:tcW w:w="6954" w:type="dxa"/>
            <w:tcBorders>
              <w:top w:val="single" w:color="auto" w:sz="4" w:space="0"/>
              <w:left w:val="single" w:color="auto" w:sz="4" w:space="0"/>
              <w:bottom w:val="single" w:color="auto" w:sz="4" w:space="0"/>
            </w:tcBorders>
            <w:vAlign w:val="center"/>
          </w:tcPr>
          <w:p w14:paraId="1384BEF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能够将同一患者相同检查类型多次检查合并登记。</w:t>
            </w:r>
          </w:p>
        </w:tc>
      </w:tr>
      <w:tr w14:paraId="4B71E7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AC14EA4">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E0FDAD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绿色通道</w:t>
            </w:r>
          </w:p>
        </w:tc>
        <w:tc>
          <w:tcPr>
            <w:tcW w:w="6954" w:type="dxa"/>
            <w:tcBorders>
              <w:top w:val="single" w:color="auto" w:sz="4" w:space="0"/>
              <w:left w:val="single" w:color="auto" w:sz="4" w:space="0"/>
              <w:bottom w:val="single" w:color="auto" w:sz="4" w:space="0"/>
            </w:tcBorders>
            <w:vAlign w:val="center"/>
          </w:tcPr>
          <w:p w14:paraId="2B2ED72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对于特殊患者，可以通过绿色通道进行登记，绿色通道队列需能够单独管理，优先排队叫号，优先检查，并支持在正常申请流程后，绿色通道产生的检查记录与正式申请单进行同步关联。</w:t>
            </w:r>
          </w:p>
        </w:tc>
      </w:tr>
      <w:tr w14:paraId="1A29C6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E5D8225">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011481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检查室状态</w:t>
            </w:r>
          </w:p>
        </w:tc>
        <w:tc>
          <w:tcPr>
            <w:tcW w:w="6954" w:type="dxa"/>
            <w:tcBorders>
              <w:top w:val="single" w:color="auto" w:sz="4" w:space="0"/>
              <w:left w:val="single" w:color="auto" w:sz="4" w:space="0"/>
              <w:bottom w:val="single" w:color="auto" w:sz="4" w:space="0"/>
            </w:tcBorders>
            <w:vAlign w:val="center"/>
          </w:tcPr>
          <w:p w14:paraId="302C56D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具备检查室状态及检查室检查进度的实时展示功能，方便登记处安排后续检查。</w:t>
            </w:r>
          </w:p>
        </w:tc>
      </w:tr>
      <w:tr w14:paraId="73253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7984E4D5">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图像采集</w:t>
            </w:r>
          </w:p>
        </w:tc>
        <w:tc>
          <w:tcPr>
            <w:tcW w:w="1740" w:type="dxa"/>
            <w:tcBorders>
              <w:top w:val="single" w:color="auto" w:sz="4" w:space="0"/>
              <w:left w:val="single" w:color="auto" w:sz="4" w:space="0"/>
              <w:bottom w:val="single" w:color="auto" w:sz="4" w:space="0"/>
              <w:right w:val="single" w:color="auto" w:sz="4" w:space="0"/>
            </w:tcBorders>
            <w:vAlign w:val="center"/>
          </w:tcPr>
          <w:p w14:paraId="5EA0204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超声设备接入</w:t>
            </w:r>
          </w:p>
        </w:tc>
        <w:tc>
          <w:tcPr>
            <w:tcW w:w="6954" w:type="dxa"/>
            <w:tcBorders>
              <w:top w:val="single" w:color="auto" w:sz="4" w:space="0"/>
              <w:left w:val="single" w:color="auto" w:sz="4" w:space="0"/>
              <w:bottom w:val="single" w:color="auto" w:sz="4" w:space="0"/>
            </w:tcBorders>
            <w:vAlign w:val="center"/>
          </w:tcPr>
          <w:p w14:paraId="165F1E01">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能够采集BNC/S-VIDEO/RGB/DVI/HDMI等视频接口的图像及视频。</w:t>
            </w:r>
          </w:p>
        </w:tc>
      </w:tr>
      <w:tr w14:paraId="6A1B58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DF7C948">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71B2BC3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采集卡采集</w:t>
            </w:r>
          </w:p>
        </w:tc>
        <w:tc>
          <w:tcPr>
            <w:tcW w:w="6954" w:type="dxa"/>
            <w:tcBorders>
              <w:top w:val="single" w:color="auto" w:sz="4" w:space="0"/>
              <w:left w:val="single" w:color="auto" w:sz="4" w:space="0"/>
              <w:bottom w:val="single" w:color="auto" w:sz="4" w:space="0"/>
            </w:tcBorders>
            <w:vAlign w:val="center"/>
          </w:tcPr>
          <w:p w14:paraId="25AB0C2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能够通过采集卡采集</w:t>
            </w:r>
            <w:r>
              <w:rPr>
                <w:rFonts w:hint="eastAsia" w:ascii="宋体" w:hAnsi="宋体" w:cs="宋体"/>
                <w:sz w:val="21"/>
                <w:szCs w:val="21"/>
                <w:highlight w:val="none"/>
                <w:lang w:val="en-US" w:eastAsia="zh-CN"/>
              </w:rPr>
              <w:t>超声</w:t>
            </w:r>
            <w:r>
              <w:rPr>
                <w:rFonts w:hint="eastAsia" w:ascii="宋体" w:hAnsi="宋体" w:eastAsia="宋体" w:cs="宋体"/>
                <w:sz w:val="21"/>
                <w:szCs w:val="21"/>
                <w:highlight w:val="none"/>
                <w:lang w:val="zh-CN"/>
              </w:rPr>
              <w:t>设备的图像及视频。图像及视频的数量不做限制。</w:t>
            </w:r>
          </w:p>
        </w:tc>
      </w:tr>
      <w:tr w14:paraId="421455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CF22D34">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038167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DICOM采集</w:t>
            </w:r>
          </w:p>
        </w:tc>
        <w:tc>
          <w:tcPr>
            <w:tcW w:w="6954" w:type="dxa"/>
            <w:tcBorders>
              <w:top w:val="single" w:color="auto" w:sz="4" w:space="0"/>
              <w:left w:val="single" w:color="auto" w:sz="4" w:space="0"/>
              <w:bottom w:val="single" w:color="auto" w:sz="4" w:space="0"/>
            </w:tcBorders>
            <w:vAlign w:val="center"/>
          </w:tcPr>
          <w:p w14:paraId="1F4D0EF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能够采集设备DICOM单帧图像及多帧图像。</w:t>
            </w:r>
          </w:p>
        </w:tc>
      </w:tr>
      <w:tr w14:paraId="70A560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0F05D8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387FC0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图像修改</w:t>
            </w:r>
          </w:p>
        </w:tc>
        <w:tc>
          <w:tcPr>
            <w:tcW w:w="6954" w:type="dxa"/>
            <w:tcBorders>
              <w:top w:val="single" w:color="auto" w:sz="4" w:space="0"/>
              <w:left w:val="single" w:color="auto" w:sz="4" w:space="0"/>
              <w:bottom w:val="single" w:color="auto" w:sz="4" w:space="0"/>
            </w:tcBorders>
            <w:vAlign w:val="center"/>
          </w:tcPr>
          <w:p w14:paraId="2D03586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支持错误采集图像的修改，重新绑定</w:t>
            </w:r>
          </w:p>
        </w:tc>
      </w:tr>
      <w:tr w14:paraId="01AAE9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21D969C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检查报告</w:t>
            </w:r>
          </w:p>
        </w:tc>
        <w:tc>
          <w:tcPr>
            <w:tcW w:w="1740" w:type="dxa"/>
            <w:tcBorders>
              <w:top w:val="single" w:color="auto" w:sz="4" w:space="0"/>
              <w:left w:val="single" w:color="auto" w:sz="4" w:space="0"/>
              <w:bottom w:val="single" w:color="auto" w:sz="4" w:space="0"/>
              <w:right w:val="single" w:color="auto" w:sz="4" w:space="0"/>
            </w:tcBorders>
            <w:vAlign w:val="center"/>
          </w:tcPr>
          <w:p w14:paraId="4C0D33D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结构化报告</w:t>
            </w:r>
          </w:p>
        </w:tc>
        <w:tc>
          <w:tcPr>
            <w:tcW w:w="6954" w:type="dxa"/>
            <w:tcBorders>
              <w:top w:val="single" w:color="auto" w:sz="4" w:space="0"/>
              <w:left w:val="single" w:color="auto" w:sz="4" w:space="0"/>
              <w:bottom w:val="single" w:color="auto" w:sz="4" w:space="0"/>
            </w:tcBorders>
            <w:vAlign w:val="center"/>
          </w:tcPr>
          <w:p w14:paraId="6B66A2E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▲提供结构化报告功能，能够将测值数据自动化生成结构化报告。可根据报告书写模板组合生成报告内容，提高医生工作效率。</w:t>
            </w:r>
          </w:p>
        </w:tc>
      </w:tr>
      <w:tr w14:paraId="424FD7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72849F5">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0ACD54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报告任务分发</w:t>
            </w:r>
          </w:p>
        </w:tc>
        <w:tc>
          <w:tcPr>
            <w:tcW w:w="6954" w:type="dxa"/>
            <w:tcBorders>
              <w:top w:val="single" w:color="auto" w:sz="4" w:space="0"/>
              <w:left w:val="single" w:color="auto" w:sz="4" w:space="0"/>
              <w:bottom w:val="single" w:color="auto" w:sz="4" w:space="0"/>
            </w:tcBorders>
            <w:vAlign w:val="center"/>
          </w:tcPr>
          <w:p w14:paraId="51D3C0A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系统要能够根据岗位、个人特长、排班等规则，自动将报告任务分发给报告医生。分发规则可前台由授权人员进行维护。能按科室管理规则进行任务提醒（如门诊2小时报告，住院1天报告到期前提示）</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提醒内容包括未按时写报告、未按时审核报告、急诊病人等；</w:t>
            </w:r>
          </w:p>
        </w:tc>
      </w:tr>
      <w:tr w14:paraId="592A5B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46E6563">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0E3241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报告书写</w:t>
            </w:r>
          </w:p>
        </w:tc>
        <w:tc>
          <w:tcPr>
            <w:tcW w:w="6954" w:type="dxa"/>
            <w:tcBorders>
              <w:top w:val="single" w:color="auto" w:sz="4" w:space="0"/>
              <w:left w:val="single" w:color="auto" w:sz="4" w:space="0"/>
              <w:bottom w:val="single" w:color="auto" w:sz="4" w:space="0"/>
            </w:tcBorders>
            <w:vAlign w:val="center"/>
          </w:tcPr>
          <w:p w14:paraId="7788352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一名记录员可以书写多个操作间的报告，该记录员只有编辑与保存权限，在书写报告的过程中，会将此报告标记为占用状态，其他人员此时只能浏览，不能进行编辑，避免出现同一份报告被多人书写的情况。编辑保存后提示对应医生该报告已编辑完成。</w:t>
            </w:r>
          </w:p>
        </w:tc>
      </w:tr>
      <w:tr w14:paraId="7C8513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74B9A88">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3A92B6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报告审核</w:t>
            </w:r>
          </w:p>
        </w:tc>
        <w:tc>
          <w:tcPr>
            <w:tcW w:w="6954" w:type="dxa"/>
            <w:tcBorders>
              <w:top w:val="single" w:color="auto" w:sz="4" w:space="0"/>
              <w:left w:val="single" w:color="auto" w:sz="4" w:space="0"/>
              <w:bottom w:val="single" w:color="auto" w:sz="4" w:space="0"/>
            </w:tcBorders>
            <w:vAlign w:val="center"/>
          </w:tcPr>
          <w:p w14:paraId="5A616D5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医生可以提交上级医师审核，然后上级医生在系统进行修改、确认；会诊、审核系统设置符合三甲要求。</w:t>
            </w:r>
          </w:p>
        </w:tc>
      </w:tr>
      <w:tr w14:paraId="6AEA61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15C30EB">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AC77BF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报告痕迹管理</w:t>
            </w:r>
          </w:p>
        </w:tc>
        <w:tc>
          <w:tcPr>
            <w:tcW w:w="6954" w:type="dxa"/>
            <w:tcBorders>
              <w:top w:val="single" w:color="auto" w:sz="4" w:space="0"/>
              <w:left w:val="single" w:color="auto" w:sz="4" w:space="0"/>
              <w:bottom w:val="single" w:color="auto" w:sz="4" w:space="0"/>
            </w:tcBorders>
            <w:vAlign w:val="center"/>
          </w:tcPr>
          <w:p w14:paraId="27D2987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修改痕迹保存与显示功能：报告的各级检审过程中，任何对报告内容的修改都会被系统保存下修改痕迹，并且可以用不同颜色的字体和不同的方式显示出来。（痕迹包括：修改人名称，修改时间，修改内容）；支持初步报告不同医生编辑痕迹的记录；支持审核报告每次修改痕迹的记录。</w:t>
            </w:r>
          </w:p>
        </w:tc>
      </w:tr>
      <w:tr w14:paraId="27073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C53EEC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F47E3D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报告智能纠错</w:t>
            </w:r>
          </w:p>
        </w:tc>
        <w:tc>
          <w:tcPr>
            <w:tcW w:w="6954" w:type="dxa"/>
            <w:tcBorders>
              <w:top w:val="single" w:color="auto" w:sz="4" w:space="0"/>
              <w:left w:val="single" w:color="auto" w:sz="4" w:space="0"/>
              <w:bottom w:val="single" w:color="auto" w:sz="4" w:space="0"/>
            </w:tcBorders>
            <w:vAlign w:val="center"/>
          </w:tcPr>
          <w:p w14:paraId="45F9AC0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具备针对检查报告界面性别特征等错误描述可自动检索提示错误功能，并支持自动检索判断关键字的维护配置。</w:t>
            </w:r>
          </w:p>
        </w:tc>
      </w:tr>
      <w:tr w14:paraId="5301D7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4F6CA8E">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1FEFCF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相关检查浏览</w:t>
            </w:r>
          </w:p>
        </w:tc>
        <w:tc>
          <w:tcPr>
            <w:tcW w:w="6954" w:type="dxa"/>
            <w:tcBorders>
              <w:top w:val="single" w:color="auto" w:sz="4" w:space="0"/>
              <w:left w:val="single" w:color="auto" w:sz="4" w:space="0"/>
              <w:bottom w:val="single" w:color="auto" w:sz="4" w:space="0"/>
            </w:tcBorders>
            <w:vAlign w:val="center"/>
          </w:tcPr>
          <w:p w14:paraId="067DB2C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能够查看患者历史检查及放射、内镜、心电、病理等检查结果。</w:t>
            </w:r>
          </w:p>
        </w:tc>
      </w:tr>
      <w:tr w14:paraId="29A9B7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DD9092F">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A856B3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电子病历浏览</w:t>
            </w:r>
          </w:p>
        </w:tc>
        <w:tc>
          <w:tcPr>
            <w:tcW w:w="6954" w:type="dxa"/>
            <w:tcBorders>
              <w:top w:val="single" w:color="auto" w:sz="4" w:space="0"/>
              <w:left w:val="single" w:color="auto" w:sz="4" w:space="0"/>
              <w:bottom w:val="single" w:color="auto" w:sz="4" w:space="0"/>
            </w:tcBorders>
            <w:vAlign w:val="center"/>
          </w:tcPr>
          <w:p w14:paraId="196FE6C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能够查看门诊电子病历、住院电子病历等。</w:t>
            </w:r>
          </w:p>
        </w:tc>
      </w:tr>
      <w:tr w14:paraId="2FAA59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CA4A05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F5EE94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病理追踪</w:t>
            </w:r>
          </w:p>
        </w:tc>
        <w:tc>
          <w:tcPr>
            <w:tcW w:w="6954" w:type="dxa"/>
            <w:tcBorders>
              <w:top w:val="single" w:color="auto" w:sz="4" w:space="0"/>
              <w:left w:val="single" w:color="auto" w:sz="4" w:space="0"/>
              <w:bottom w:val="single" w:color="auto" w:sz="4" w:space="0"/>
            </w:tcBorders>
            <w:vAlign w:val="center"/>
          </w:tcPr>
          <w:p w14:paraId="58DBB51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可与病理系统互通，针对有病理结果的检查，标记超声诊断是否与病理诊断结果符合，并提供诊断符合率统计，统计结果可以导出及打印。</w:t>
            </w:r>
          </w:p>
        </w:tc>
      </w:tr>
      <w:tr w14:paraId="559CDA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9872B3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EB7896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病例收藏</w:t>
            </w:r>
          </w:p>
        </w:tc>
        <w:tc>
          <w:tcPr>
            <w:tcW w:w="6954" w:type="dxa"/>
            <w:tcBorders>
              <w:top w:val="single" w:color="auto" w:sz="4" w:space="0"/>
              <w:left w:val="single" w:color="auto" w:sz="4" w:space="0"/>
              <w:bottom w:val="single" w:color="auto" w:sz="4" w:space="0"/>
            </w:tcBorders>
            <w:vAlign w:val="center"/>
          </w:tcPr>
          <w:p w14:paraId="6026C86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提供病例收藏功能，可以将病例按ICD-10编码及名称收藏为个人收藏或公共收藏，用于病例教学或科研。并支持ICD标准升级。</w:t>
            </w:r>
          </w:p>
        </w:tc>
      </w:tr>
      <w:tr w14:paraId="430F88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40CEE9F">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235A1F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危急值闭环</w:t>
            </w:r>
          </w:p>
        </w:tc>
        <w:tc>
          <w:tcPr>
            <w:tcW w:w="6954" w:type="dxa"/>
            <w:tcBorders>
              <w:top w:val="single" w:color="auto" w:sz="4" w:space="0"/>
              <w:left w:val="single" w:color="auto" w:sz="4" w:space="0"/>
              <w:bottom w:val="single" w:color="auto" w:sz="4" w:space="0"/>
            </w:tcBorders>
            <w:vAlign w:val="center"/>
          </w:tcPr>
          <w:p w14:paraId="7BFA16E4">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具备危急值上报、提醒、处理及结果查看等危急值闭环管理功能。</w:t>
            </w:r>
          </w:p>
        </w:tc>
      </w:tr>
      <w:tr w14:paraId="6C5B1C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9FBB440">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E6912E7">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远程会诊</w:t>
            </w:r>
          </w:p>
        </w:tc>
        <w:tc>
          <w:tcPr>
            <w:tcW w:w="6954" w:type="dxa"/>
            <w:tcBorders>
              <w:top w:val="single" w:color="auto" w:sz="4" w:space="0"/>
              <w:left w:val="single" w:color="auto" w:sz="4" w:space="0"/>
              <w:bottom w:val="single" w:color="auto" w:sz="4" w:space="0"/>
            </w:tcBorders>
            <w:vAlign w:val="center"/>
          </w:tcPr>
          <w:p w14:paraId="4022C30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能够通过移动端、PC等设备参与远程超声实时会诊，并调阅患者检查图像、报告资料等。</w:t>
            </w:r>
          </w:p>
        </w:tc>
      </w:tr>
      <w:tr w14:paraId="5F04AB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3D74FA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4E680F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应急工作模式</w:t>
            </w:r>
          </w:p>
        </w:tc>
        <w:tc>
          <w:tcPr>
            <w:tcW w:w="6954" w:type="dxa"/>
            <w:tcBorders>
              <w:top w:val="single" w:color="auto" w:sz="4" w:space="0"/>
              <w:left w:val="single" w:color="auto" w:sz="4" w:space="0"/>
              <w:bottom w:val="single" w:color="auto" w:sz="4" w:space="0"/>
            </w:tcBorders>
            <w:vAlign w:val="center"/>
          </w:tcPr>
          <w:p w14:paraId="51146D5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在工作过程中出现与服务器无法连接的情况时，系统会提示是否进入本地应急工作模式，进入应急工作模式后，会将之前采集的图像等内容自动导入到本地工作站，继续未完成的检查及报告。待通信恢复，可自动将本地工作站的图像及报告内容上传至服务器。</w:t>
            </w:r>
          </w:p>
        </w:tc>
      </w:tr>
      <w:tr w14:paraId="6831E8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62BC78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质控管理</w:t>
            </w:r>
          </w:p>
        </w:tc>
        <w:tc>
          <w:tcPr>
            <w:tcW w:w="1740" w:type="dxa"/>
            <w:tcBorders>
              <w:top w:val="single" w:color="auto" w:sz="4" w:space="0"/>
              <w:left w:val="single" w:color="auto" w:sz="4" w:space="0"/>
              <w:bottom w:val="single" w:color="auto" w:sz="4" w:space="0"/>
              <w:right w:val="single" w:color="auto" w:sz="4" w:space="0"/>
            </w:tcBorders>
            <w:vAlign w:val="center"/>
          </w:tcPr>
          <w:p w14:paraId="4C0EB19C">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申请单质控</w:t>
            </w:r>
          </w:p>
        </w:tc>
        <w:tc>
          <w:tcPr>
            <w:tcW w:w="6954" w:type="dxa"/>
            <w:tcBorders>
              <w:top w:val="single" w:color="auto" w:sz="4" w:space="0"/>
              <w:left w:val="single" w:color="auto" w:sz="4" w:space="0"/>
              <w:bottom w:val="single" w:color="auto" w:sz="4" w:space="0"/>
            </w:tcBorders>
            <w:vAlign w:val="center"/>
          </w:tcPr>
          <w:p w14:paraId="28D343D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按照临床医生申请单质控的各项管理要求，实现申请单质控功能，并能产生质控管理分析报表，达到医院三甲要求。</w:t>
            </w:r>
          </w:p>
        </w:tc>
      </w:tr>
      <w:tr w14:paraId="6130DC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B7F282D">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8CF722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图像质控</w:t>
            </w:r>
          </w:p>
        </w:tc>
        <w:tc>
          <w:tcPr>
            <w:tcW w:w="6954" w:type="dxa"/>
            <w:tcBorders>
              <w:top w:val="single" w:color="auto" w:sz="4" w:space="0"/>
              <w:left w:val="single" w:color="auto" w:sz="4" w:space="0"/>
              <w:bottom w:val="single" w:color="auto" w:sz="4" w:space="0"/>
            </w:tcBorders>
            <w:vAlign w:val="center"/>
          </w:tcPr>
          <w:p w14:paraId="658B0A8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按照超声质控的各项管理要求，实现图像质控功能，并能产生质控管理分析报表，达到医院三甲要求。</w:t>
            </w:r>
          </w:p>
        </w:tc>
      </w:tr>
      <w:tr w14:paraId="524512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118F1FC">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67149B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报告质控</w:t>
            </w:r>
          </w:p>
        </w:tc>
        <w:tc>
          <w:tcPr>
            <w:tcW w:w="6954" w:type="dxa"/>
            <w:tcBorders>
              <w:top w:val="single" w:color="auto" w:sz="4" w:space="0"/>
              <w:left w:val="single" w:color="auto" w:sz="4" w:space="0"/>
              <w:bottom w:val="single" w:color="auto" w:sz="4" w:space="0"/>
            </w:tcBorders>
            <w:vAlign w:val="center"/>
          </w:tcPr>
          <w:p w14:paraId="276409B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按照报告质控的各项管理要求，实现诊断医生报告质控功能，并能产生质控管理分析报表，达到医院三甲要求。</w:t>
            </w:r>
          </w:p>
        </w:tc>
      </w:tr>
      <w:tr w14:paraId="2F3929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F2D7676">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B2122B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质控统计</w:t>
            </w:r>
          </w:p>
        </w:tc>
        <w:tc>
          <w:tcPr>
            <w:tcW w:w="6954" w:type="dxa"/>
            <w:tcBorders>
              <w:top w:val="single" w:color="auto" w:sz="4" w:space="0"/>
              <w:left w:val="single" w:color="auto" w:sz="4" w:space="0"/>
              <w:bottom w:val="single" w:color="auto" w:sz="4" w:space="0"/>
            </w:tcBorders>
            <w:vAlign w:val="center"/>
          </w:tcPr>
          <w:p w14:paraId="2A3CA8D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支持国家及省关于超声医疗质控13项标准的统计报表。</w:t>
            </w:r>
          </w:p>
        </w:tc>
      </w:tr>
      <w:tr w14:paraId="17BFAD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700F24B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统计管理</w:t>
            </w:r>
          </w:p>
        </w:tc>
        <w:tc>
          <w:tcPr>
            <w:tcW w:w="1740" w:type="dxa"/>
            <w:tcBorders>
              <w:top w:val="single" w:color="auto" w:sz="4" w:space="0"/>
              <w:left w:val="single" w:color="auto" w:sz="4" w:space="0"/>
              <w:bottom w:val="single" w:color="auto" w:sz="4" w:space="0"/>
              <w:right w:val="single" w:color="auto" w:sz="4" w:space="0"/>
            </w:tcBorders>
            <w:vAlign w:val="center"/>
          </w:tcPr>
          <w:p w14:paraId="5625245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数据统计</w:t>
            </w:r>
          </w:p>
        </w:tc>
        <w:tc>
          <w:tcPr>
            <w:tcW w:w="6954" w:type="dxa"/>
            <w:tcBorders>
              <w:top w:val="single" w:color="auto" w:sz="4" w:space="0"/>
              <w:left w:val="single" w:color="auto" w:sz="4" w:space="0"/>
              <w:bottom w:val="single" w:color="auto" w:sz="4" w:space="0"/>
            </w:tcBorders>
            <w:vAlign w:val="center"/>
          </w:tcPr>
          <w:p w14:paraId="2580465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能按照医院需求，制定如申请单报表、平均候诊时间统计、工作量报表、随访报表、设备效益报表等统计分析报表，并能支持明细及汇总数据的导出，自动生成图形化报表等。</w:t>
            </w:r>
          </w:p>
        </w:tc>
      </w:tr>
      <w:tr w14:paraId="24349C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D1E19F0">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870BA0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权限管理</w:t>
            </w:r>
          </w:p>
        </w:tc>
        <w:tc>
          <w:tcPr>
            <w:tcW w:w="6954" w:type="dxa"/>
            <w:tcBorders>
              <w:top w:val="single" w:color="auto" w:sz="4" w:space="0"/>
              <w:left w:val="single" w:color="auto" w:sz="4" w:space="0"/>
              <w:bottom w:val="single" w:color="auto" w:sz="4" w:space="0"/>
            </w:tcBorders>
            <w:vAlign w:val="center"/>
          </w:tcPr>
          <w:p w14:paraId="40D0025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系统管理员可根据不同用户开启或关闭各项功能及权限；部分功能可根据需求设置快捷方式。</w:t>
            </w:r>
          </w:p>
        </w:tc>
      </w:tr>
      <w:tr w14:paraId="7B133E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12F656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排队叫号</w:t>
            </w:r>
          </w:p>
        </w:tc>
        <w:tc>
          <w:tcPr>
            <w:tcW w:w="1740" w:type="dxa"/>
            <w:tcBorders>
              <w:top w:val="single" w:color="auto" w:sz="4" w:space="0"/>
              <w:left w:val="single" w:color="auto" w:sz="4" w:space="0"/>
              <w:bottom w:val="single" w:color="auto" w:sz="4" w:space="0"/>
              <w:right w:val="single" w:color="auto" w:sz="4" w:space="0"/>
            </w:tcBorders>
            <w:vAlign w:val="center"/>
          </w:tcPr>
          <w:p w14:paraId="58BAE11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多级分诊</w:t>
            </w:r>
          </w:p>
        </w:tc>
        <w:tc>
          <w:tcPr>
            <w:tcW w:w="6954" w:type="dxa"/>
            <w:tcBorders>
              <w:top w:val="single" w:color="auto" w:sz="4" w:space="0"/>
              <w:left w:val="single" w:color="auto" w:sz="4" w:space="0"/>
              <w:bottom w:val="single" w:color="auto" w:sz="4" w:space="0"/>
            </w:tcBorders>
            <w:vAlign w:val="center"/>
          </w:tcPr>
          <w:p w14:paraId="7998B99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支持按科室业务场景要求，配置多级分诊显示及叫号。排队叫号模块有签到功能，支持线上线下多种模式签到。可人工设定迟到过号人员的重新排序的规则。</w:t>
            </w:r>
          </w:p>
        </w:tc>
      </w:tr>
      <w:tr w14:paraId="578187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6041660">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F2ABF1C">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叫号屏显示</w:t>
            </w:r>
          </w:p>
        </w:tc>
        <w:tc>
          <w:tcPr>
            <w:tcW w:w="6954" w:type="dxa"/>
            <w:tcBorders>
              <w:top w:val="single" w:color="auto" w:sz="4" w:space="0"/>
              <w:left w:val="single" w:color="auto" w:sz="4" w:space="0"/>
              <w:bottom w:val="single" w:color="auto" w:sz="4" w:space="0"/>
            </w:tcBorders>
            <w:vAlign w:val="center"/>
          </w:tcPr>
          <w:p w14:paraId="49ABA16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能够将待检列表显示到叫号屏。叫号屏需要能够根据各个科室的需求，支持前台配置显示不同的内容。</w:t>
            </w:r>
          </w:p>
        </w:tc>
      </w:tr>
      <w:tr w14:paraId="148F57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94E5626">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EA09F7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语音叫号</w:t>
            </w:r>
          </w:p>
        </w:tc>
        <w:tc>
          <w:tcPr>
            <w:tcW w:w="6954" w:type="dxa"/>
            <w:tcBorders>
              <w:top w:val="single" w:color="auto" w:sz="4" w:space="0"/>
              <w:left w:val="single" w:color="auto" w:sz="4" w:space="0"/>
              <w:bottom w:val="single" w:color="auto" w:sz="4" w:space="0"/>
            </w:tcBorders>
            <w:vAlign w:val="center"/>
          </w:tcPr>
          <w:p w14:paraId="4A72834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能够与工作站相连接，实现自动语音叫号，支持粤语及普通话双语同时播放。</w:t>
            </w:r>
          </w:p>
        </w:tc>
      </w:tr>
      <w:tr w14:paraId="725D1E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7550DBA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即时通讯工具</w:t>
            </w:r>
          </w:p>
        </w:tc>
        <w:tc>
          <w:tcPr>
            <w:tcW w:w="1740" w:type="dxa"/>
            <w:tcBorders>
              <w:top w:val="single" w:color="auto" w:sz="4" w:space="0"/>
              <w:left w:val="single" w:color="auto" w:sz="4" w:space="0"/>
              <w:bottom w:val="single" w:color="auto" w:sz="4" w:space="0"/>
              <w:right w:val="single" w:color="auto" w:sz="4" w:space="0"/>
            </w:tcBorders>
            <w:vAlign w:val="center"/>
          </w:tcPr>
          <w:p w14:paraId="5284E2D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用户及群组</w:t>
            </w:r>
          </w:p>
        </w:tc>
        <w:tc>
          <w:tcPr>
            <w:tcW w:w="6954" w:type="dxa"/>
            <w:tcBorders>
              <w:top w:val="single" w:color="auto" w:sz="4" w:space="0"/>
              <w:left w:val="single" w:color="auto" w:sz="4" w:space="0"/>
              <w:bottom w:val="single" w:color="auto" w:sz="4" w:space="0"/>
            </w:tcBorders>
            <w:vAlign w:val="center"/>
          </w:tcPr>
          <w:p w14:paraId="5855C984">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具备用户管理功能，并可组建好友群，方便讨论。</w:t>
            </w:r>
          </w:p>
        </w:tc>
      </w:tr>
      <w:tr w14:paraId="184ACA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207AC4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9AA63C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信息发送</w:t>
            </w:r>
          </w:p>
        </w:tc>
        <w:tc>
          <w:tcPr>
            <w:tcW w:w="6954" w:type="dxa"/>
            <w:tcBorders>
              <w:top w:val="single" w:color="auto" w:sz="4" w:space="0"/>
              <w:left w:val="single" w:color="auto" w:sz="4" w:space="0"/>
              <w:bottom w:val="single" w:color="auto" w:sz="4" w:space="0"/>
            </w:tcBorders>
            <w:vAlign w:val="center"/>
          </w:tcPr>
          <w:p w14:paraId="323F084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能够指定好友、好友群发送消息。</w:t>
            </w:r>
          </w:p>
        </w:tc>
      </w:tr>
      <w:tr w14:paraId="1C682E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34409B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7E5BE82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信息接收与提醒</w:t>
            </w:r>
          </w:p>
        </w:tc>
        <w:tc>
          <w:tcPr>
            <w:tcW w:w="6954" w:type="dxa"/>
            <w:tcBorders>
              <w:top w:val="single" w:color="auto" w:sz="4" w:space="0"/>
              <w:left w:val="single" w:color="auto" w:sz="4" w:space="0"/>
              <w:bottom w:val="single" w:color="auto" w:sz="4" w:space="0"/>
            </w:tcBorders>
            <w:vAlign w:val="center"/>
          </w:tcPr>
          <w:p w14:paraId="7AE378B0">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收到消息时，具备消息提醒功能。</w:t>
            </w:r>
          </w:p>
        </w:tc>
      </w:tr>
      <w:tr w14:paraId="7E148C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69D5EFD">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报告归档</w:t>
            </w:r>
          </w:p>
        </w:tc>
        <w:tc>
          <w:tcPr>
            <w:tcW w:w="1740" w:type="dxa"/>
            <w:tcBorders>
              <w:top w:val="single" w:color="auto" w:sz="4" w:space="0"/>
              <w:left w:val="single" w:color="auto" w:sz="4" w:space="0"/>
              <w:bottom w:val="single" w:color="auto" w:sz="4" w:space="0"/>
              <w:right w:val="single" w:color="auto" w:sz="4" w:space="0"/>
            </w:tcBorders>
            <w:vAlign w:val="center"/>
          </w:tcPr>
          <w:p w14:paraId="784E27A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报告归档</w:t>
            </w:r>
          </w:p>
        </w:tc>
        <w:tc>
          <w:tcPr>
            <w:tcW w:w="6954" w:type="dxa"/>
            <w:tcBorders>
              <w:top w:val="single" w:color="auto" w:sz="4" w:space="0"/>
              <w:left w:val="single" w:color="auto" w:sz="4" w:space="0"/>
              <w:bottom w:val="single" w:color="auto" w:sz="4" w:space="0"/>
            </w:tcBorders>
            <w:vAlign w:val="center"/>
          </w:tcPr>
          <w:p w14:paraId="3413BF1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系统支持报告生成PDF格式进行归档。</w:t>
            </w:r>
          </w:p>
        </w:tc>
      </w:tr>
      <w:tr w14:paraId="3550D5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69923FD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数据管理</w:t>
            </w:r>
          </w:p>
        </w:tc>
        <w:tc>
          <w:tcPr>
            <w:tcW w:w="1740" w:type="dxa"/>
            <w:tcBorders>
              <w:top w:val="single" w:color="auto" w:sz="4" w:space="0"/>
              <w:left w:val="single" w:color="auto" w:sz="4" w:space="0"/>
              <w:bottom w:val="single" w:color="auto" w:sz="4" w:space="0"/>
              <w:right w:val="single" w:color="auto" w:sz="4" w:space="0"/>
            </w:tcBorders>
            <w:vAlign w:val="center"/>
          </w:tcPr>
          <w:p w14:paraId="53FDD7C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数据采集与治理</w:t>
            </w:r>
          </w:p>
        </w:tc>
        <w:tc>
          <w:tcPr>
            <w:tcW w:w="6954" w:type="dxa"/>
            <w:tcBorders>
              <w:top w:val="single" w:color="auto" w:sz="4" w:space="0"/>
              <w:left w:val="single" w:color="auto" w:sz="4" w:space="0"/>
              <w:bottom w:val="single" w:color="auto" w:sz="4" w:space="0"/>
            </w:tcBorders>
            <w:vAlign w:val="center"/>
          </w:tcPr>
          <w:p w14:paraId="4CE86617">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能够采集医院所有医技科室数据，并提供大数据清洗服务，满足数据的分析与应用要求。</w:t>
            </w:r>
          </w:p>
        </w:tc>
      </w:tr>
      <w:tr w14:paraId="45DD59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7388C46">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62ED3D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数据检索</w:t>
            </w:r>
          </w:p>
        </w:tc>
        <w:tc>
          <w:tcPr>
            <w:tcW w:w="6954" w:type="dxa"/>
            <w:tcBorders>
              <w:top w:val="single" w:color="auto" w:sz="4" w:space="0"/>
              <w:left w:val="single" w:color="auto" w:sz="4" w:space="0"/>
              <w:bottom w:val="single" w:color="auto" w:sz="4" w:space="0"/>
            </w:tcBorders>
            <w:vAlign w:val="center"/>
          </w:tcPr>
          <w:p w14:paraId="0E42FDD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提供高效的大数据检索功能，可以按照不同字段的复合查询进行检索。</w:t>
            </w:r>
          </w:p>
        </w:tc>
      </w:tr>
      <w:tr w14:paraId="7F4E4E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19058F9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科室微助手</w:t>
            </w:r>
          </w:p>
        </w:tc>
        <w:tc>
          <w:tcPr>
            <w:tcW w:w="1740" w:type="dxa"/>
            <w:tcBorders>
              <w:top w:val="single" w:color="auto" w:sz="4" w:space="0"/>
              <w:left w:val="single" w:color="auto" w:sz="4" w:space="0"/>
              <w:bottom w:val="single" w:color="auto" w:sz="4" w:space="0"/>
              <w:right w:val="single" w:color="auto" w:sz="4" w:space="0"/>
            </w:tcBorders>
            <w:vAlign w:val="center"/>
          </w:tcPr>
          <w:p w14:paraId="227D104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排班管理</w:t>
            </w:r>
          </w:p>
        </w:tc>
        <w:tc>
          <w:tcPr>
            <w:tcW w:w="6954" w:type="dxa"/>
            <w:tcBorders>
              <w:top w:val="single" w:color="auto" w:sz="4" w:space="0"/>
              <w:left w:val="single" w:color="auto" w:sz="4" w:space="0"/>
              <w:bottom w:val="single" w:color="auto" w:sz="4" w:space="0"/>
            </w:tcBorders>
            <w:vAlign w:val="center"/>
          </w:tcPr>
          <w:p w14:paraId="53182460">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能够方便</w:t>
            </w:r>
            <w:r>
              <w:rPr>
                <w:rFonts w:hint="eastAsia" w:ascii="宋体" w:hAnsi="宋体" w:cs="宋体"/>
                <w:sz w:val="21"/>
                <w:szCs w:val="21"/>
                <w:highlight w:val="none"/>
                <w:lang w:val="zh-CN"/>
              </w:rPr>
              <w:t>地</w:t>
            </w:r>
            <w:r>
              <w:rPr>
                <w:rFonts w:hint="eastAsia" w:ascii="宋体" w:hAnsi="宋体" w:eastAsia="宋体" w:cs="宋体"/>
                <w:sz w:val="21"/>
                <w:szCs w:val="21"/>
                <w:highlight w:val="none"/>
                <w:lang w:val="zh-CN"/>
              </w:rPr>
              <w:t>执行排班，并在移动端查看排班情况。</w:t>
            </w:r>
          </w:p>
        </w:tc>
      </w:tr>
      <w:tr w14:paraId="4A5F79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B6989E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7E17C35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交接班管理</w:t>
            </w:r>
          </w:p>
        </w:tc>
        <w:tc>
          <w:tcPr>
            <w:tcW w:w="6954" w:type="dxa"/>
            <w:tcBorders>
              <w:top w:val="single" w:color="auto" w:sz="4" w:space="0"/>
              <w:left w:val="single" w:color="auto" w:sz="4" w:space="0"/>
              <w:bottom w:val="single" w:color="auto" w:sz="4" w:space="0"/>
            </w:tcBorders>
            <w:vAlign w:val="center"/>
          </w:tcPr>
          <w:p w14:paraId="3B6E8AD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能够电子化管理交接班记录。</w:t>
            </w:r>
          </w:p>
        </w:tc>
      </w:tr>
      <w:tr w14:paraId="42BA5E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3C1C650">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7F23BA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随手记</w:t>
            </w:r>
          </w:p>
        </w:tc>
        <w:tc>
          <w:tcPr>
            <w:tcW w:w="6954" w:type="dxa"/>
            <w:tcBorders>
              <w:top w:val="single" w:color="auto" w:sz="4" w:space="0"/>
              <w:left w:val="single" w:color="auto" w:sz="4" w:space="0"/>
              <w:bottom w:val="single" w:color="auto" w:sz="4" w:space="0"/>
            </w:tcBorders>
            <w:vAlign w:val="center"/>
          </w:tcPr>
          <w:p w14:paraId="1F6F293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能够根据权限的不同分为科室专区和个人专区，以文本，移动端拍照，本地图片上传等方式编辑。</w:t>
            </w:r>
          </w:p>
        </w:tc>
      </w:tr>
      <w:tr w14:paraId="6AA9F2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A3A6CBD">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F4A825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科室日历</w:t>
            </w:r>
          </w:p>
        </w:tc>
        <w:tc>
          <w:tcPr>
            <w:tcW w:w="6954" w:type="dxa"/>
            <w:tcBorders>
              <w:top w:val="single" w:color="auto" w:sz="4" w:space="0"/>
              <w:left w:val="single" w:color="auto" w:sz="4" w:space="0"/>
              <w:bottom w:val="single" w:color="auto" w:sz="4" w:space="0"/>
            </w:tcBorders>
            <w:vAlign w:val="center"/>
          </w:tcPr>
          <w:p w14:paraId="49CF9BE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能够将科室的授课计划等以日历的形式展示，并提醒授课老师及学员及时参加。</w:t>
            </w:r>
          </w:p>
        </w:tc>
      </w:tr>
      <w:tr w14:paraId="0E37AA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7118C09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科室运营管理</w:t>
            </w:r>
          </w:p>
        </w:tc>
        <w:tc>
          <w:tcPr>
            <w:tcW w:w="1740" w:type="dxa"/>
            <w:tcBorders>
              <w:top w:val="single" w:color="auto" w:sz="4" w:space="0"/>
              <w:left w:val="single" w:color="auto" w:sz="4" w:space="0"/>
              <w:bottom w:val="single" w:color="auto" w:sz="4" w:space="0"/>
              <w:right w:val="single" w:color="auto" w:sz="4" w:space="0"/>
            </w:tcBorders>
            <w:vAlign w:val="center"/>
          </w:tcPr>
          <w:p w14:paraId="0A778EF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科室驾驶舱</w:t>
            </w:r>
          </w:p>
        </w:tc>
        <w:tc>
          <w:tcPr>
            <w:tcW w:w="6954" w:type="dxa"/>
            <w:tcBorders>
              <w:top w:val="single" w:color="auto" w:sz="4" w:space="0"/>
              <w:left w:val="single" w:color="auto" w:sz="4" w:space="0"/>
              <w:bottom w:val="single" w:color="auto" w:sz="4" w:space="0"/>
            </w:tcBorders>
            <w:vAlign w:val="center"/>
          </w:tcPr>
          <w:p w14:paraId="17DD9A8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能够以大屏展示科室的运行情况，将重要数据、工作进度实时展示。</w:t>
            </w:r>
          </w:p>
        </w:tc>
      </w:tr>
      <w:tr w14:paraId="5C0B1D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42EE4F6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集成浏览</w:t>
            </w:r>
          </w:p>
        </w:tc>
        <w:tc>
          <w:tcPr>
            <w:tcW w:w="1740" w:type="dxa"/>
            <w:tcBorders>
              <w:top w:val="single" w:color="auto" w:sz="4" w:space="0"/>
              <w:left w:val="single" w:color="auto" w:sz="4" w:space="0"/>
              <w:bottom w:val="single" w:color="auto" w:sz="4" w:space="0"/>
              <w:right w:val="single" w:color="auto" w:sz="4" w:space="0"/>
            </w:tcBorders>
            <w:vAlign w:val="center"/>
          </w:tcPr>
          <w:p w14:paraId="0015B8D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数据调阅</w:t>
            </w:r>
          </w:p>
        </w:tc>
        <w:tc>
          <w:tcPr>
            <w:tcW w:w="6954" w:type="dxa"/>
            <w:tcBorders>
              <w:top w:val="single" w:color="auto" w:sz="4" w:space="0"/>
              <w:left w:val="single" w:color="auto" w:sz="4" w:space="0"/>
              <w:bottom w:val="single" w:color="auto" w:sz="4" w:space="0"/>
            </w:tcBorders>
            <w:vAlign w:val="center"/>
          </w:tcPr>
          <w:p w14:paraId="5CA79C0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实现检查过程中对不同院区、不同业务系统的医疗文书、检查结果的调阅，满足检查部门工作过程中对辅助检查的调阅需求，实现信息化闭环管理。能够在同一界面内查询患者各项历史记录信息。患者能够在移动端查看检查结果，包括图文报告及影像图片。</w:t>
            </w:r>
          </w:p>
        </w:tc>
      </w:tr>
      <w:tr w14:paraId="41C9D2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85B90A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4649ED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影像后处理</w:t>
            </w:r>
          </w:p>
        </w:tc>
        <w:tc>
          <w:tcPr>
            <w:tcW w:w="6954" w:type="dxa"/>
            <w:tcBorders>
              <w:top w:val="single" w:color="auto" w:sz="4" w:space="0"/>
              <w:left w:val="single" w:color="auto" w:sz="4" w:space="0"/>
              <w:bottom w:val="single" w:color="auto" w:sz="4" w:space="0"/>
            </w:tcBorders>
            <w:vAlign w:val="center"/>
          </w:tcPr>
          <w:p w14:paraId="67052547">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临床科室能通过影像浏览器对病人检查影像进行如三维重建、图像拼接等后处理功能，为临床提供图像分析功能。</w:t>
            </w:r>
          </w:p>
        </w:tc>
      </w:tr>
      <w:tr w14:paraId="00D4D1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725F9D2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自助打印</w:t>
            </w:r>
          </w:p>
        </w:tc>
        <w:tc>
          <w:tcPr>
            <w:tcW w:w="1740" w:type="dxa"/>
            <w:tcBorders>
              <w:top w:val="single" w:color="auto" w:sz="4" w:space="0"/>
              <w:left w:val="single" w:color="auto" w:sz="4" w:space="0"/>
              <w:bottom w:val="single" w:color="auto" w:sz="4" w:space="0"/>
              <w:right w:val="single" w:color="auto" w:sz="4" w:space="0"/>
            </w:tcBorders>
            <w:vAlign w:val="center"/>
          </w:tcPr>
          <w:p w14:paraId="409F37E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自助机打印</w:t>
            </w:r>
          </w:p>
        </w:tc>
        <w:tc>
          <w:tcPr>
            <w:tcW w:w="6954" w:type="dxa"/>
            <w:tcBorders>
              <w:top w:val="single" w:color="auto" w:sz="4" w:space="0"/>
              <w:left w:val="single" w:color="auto" w:sz="4" w:space="0"/>
              <w:bottom w:val="single" w:color="auto" w:sz="4" w:space="0"/>
            </w:tcBorders>
            <w:vAlign w:val="center"/>
          </w:tcPr>
          <w:p w14:paraId="3BE3839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可以为患者提供自助机打印功能。</w:t>
            </w:r>
          </w:p>
        </w:tc>
      </w:tr>
      <w:tr w14:paraId="399DF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6DFDB235">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集成接口</w:t>
            </w:r>
          </w:p>
        </w:tc>
        <w:tc>
          <w:tcPr>
            <w:tcW w:w="1740" w:type="dxa"/>
            <w:tcBorders>
              <w:top w:val="single" w:color="auto" w:sz="4" w:space="0"/>
              <w:left w:val="single" w:color="auto" w:sz="4" w:space="0"/>
              <w:bottom w:val="single" w:color="auto" w:sz="4" w:space="0"/>
              <w:right w:val="single" w:color="auto" w:sz="4" w:space="0"/>
            </w:tcBorders>
            <w:vAlign w:val="center"/>
          </w:tcPr>
          <w:p w14:paraId="0FF655AE">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与HIS/EMR/体检系统/手麻系统/病理系统/危急值平台/CA认证/集成平台/医保电子凭证/AI平台/佛山市妇幼保健系统等对接</w:t>
            </w:r>
          </w:p>
        </w:tc>
        <w:tc>
          <w:tcPr>
            <w:tcW w:w="6954" w:type="dxa"/>
            <w:tcBorders>
              <w:top w:val="single" w:color="auto" w:sz="4" w:space="0"/>
              <w:left w:val="single" w:color="auto" w:sz="4" w:space="0"/>
              <w:bottom w:val="single" w:color="auto" w:sz="4" w:space="0"/>
            </w:tcBorders>
            <w:vAlign w:val="center"/>
          </w:tcPr>
          <w:p w14:paraId="281F4EB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与HIS/EMR/体检系统/手麻系统/病理系统/危急值平台/CA认证/集成平台/医保电子凭证等完成全面的对接工作，实现检查申请单、收费、检查项目同步等的流程闭环，并能实现危急值上报管理功能。</w:t>
            </w:r>
          </w:p>
        </w:tc>
      </w:tr>
      <w:tr w14:paraId="44B628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1BD49C4">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03009D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历史数据迁移</w:t>
            </w:r>
          </w:p>
        </w:tc>
        <w:tc>
          <w:tcPr>
            <w:tcW w:w="6954" w:type="dxa"/>
            <w:tcBorders>
              <w:top w:val="single" w:color="auto" w:sz="4" w:space="0"/>
              <w:left w:val="single" w:color="auto" w:sz="4" w:space="0"/>
              <w:bottom w:val="single" w:color="auto" w:sz="4" w:space="0"/>
            </w:tcBorders>
            <w:vAlign w:val="center"/>
          </w:tcPr>
          <w:p w14:paraId="1C8A9E91">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需将原有系统中的超声数据、影像图片迁移至新系统，方便各科室在同一系统对历史数据的报告查询、影像图片调阅。</w:t>
            </w:r>
          </w:p>
        </w:tc>
      </w:tr>
      <w:tr w14:paraId="770495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77227A9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设备接口</w:t>
            </w:r>
          </w:p>
        </w:tc>
        <w:tc>
          <w:tcPr>
            <w:tcW w:w="1740" w:type="dxa"/>
            <w:tcBorders>
              <w:top w:val="single" w:color="auto" w:sz="4" w:space="0"/>
              <w:left w:val="single" w:color="auto" w:sz="4" w:space="0"/>
              <w:bottom w:val="single" w:color="auto" w:sz="4" w:space="0"/>
              <w:right w:val="single" w:color="auto" w:sz="4" w:space="0"/>
            </w:tcBorders>
            <w:vAlign w:val="center"/>
          </w:tcPr>
          <w:p w14:paraId="45A5B7B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设备接口对接</w:t>
            </w:r>
          </w:p>
        </w:tc>
        <w:tc>
          <w:tcPr>
            <w:tcW w:w="6954" w:type="dxa"/>
            <w:tcBorders>
              <w:top w:val="single" w:color="auto" w:sz="4" w:space="0"/>
              <w:left w:val="single" w:color="auto" w:sz="4" w:space="0"/>
              <w:bottom w:val="single" w:color="auto" w:sz="4" w:space="0"/>
            </w:tcBorders>
            <w:vAlign w:val="center"/>
          </w:tcPr>
          <w:p w14:paraId="2E433BE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支持医院现有医疗设备接口对接，包括但不限于DICOM，采集卡等方式，并支持</w:t>
            </w:r>
            <w:r>
              <w:rPr>
                <w:rFonts w:hint="eastAsia" w:ascii="宋体" w:hAnsi="宋体" w:cs="宋体"/>
                <w:sz w:val="21"/>
                <w:szCs w:val="21"/>
                <w:highlight w:val="none"/>
                <w:lang w:val="zh-CN"/>
              </w:rPr>
              <w:t>项目硬件维护期、软件运维期</w:t>
            </w:r>
            <w:r>
              <w:rPr>
                <w:rFonts w:hint="eastAsia" w:ascii="宋体" w:hAnsi="宋体" w:eastAsia="宋体" w:cs="宋体"/>
                <w:sz w:val="21"/>
                <w:szCs w:val="21"/>
                <w:highlight w:val="none"/>
                <w:lang w:val="zh-CN"/>
              </w:rPr>
              <w:t>内新增设备对接工作。</w:t>
            </w:r>
          </w:p>
        </w:tc>
      </w:tr>
      <w:tr w14:paraId="4B96D8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0D38751">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多院区</w:t>
            </w:r>
          </w:p>
        </w:tc>
        <w:tc>
          <w:tcPr>
            <w:tcW w:w="1740" w:type="dxa"/>
            <w:tcBorders>
              <w:top w:val="single" w:color="auto" w:sz="4" w:space="0"/>
              <w:left w:val="single" w:color="auto" w:sz="4" w:space="0"/>
              <w:bottom w:val="single" w:color="auto" w:sz="4" w:space="0"/>
              <w:right w:val="single" w:color="auto" w:sz="4" w:space="0"/>
            </w:tcBorders>
            <w:vAlign w:val="center"/>
          </w:tcPr>
          <w:p w14:paraId="0358E02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多院区</w:t>
            </w:r>
          </w:p>
        </w:tc>
        <w:tc>
          <w:tcPr>
            <w:tcW w:w="6954" w:type="dxa"/>
            <w:tcBorders>
              <w:top w:val="single" w:color="auto" w:sz="4" w:space="0"/>
              <w:left w:val="single" w:color="auto" w:sz="4" w:space="0"/>
              <w:bottom w:val="single" w:color="auto" w:sz="4" w:space="0"/>
            </w:tcBorders>
            <w:vAlign w:val="center"/>
          </w:tcPr>
          <w:p w14:paraId="6143E8A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支持多院区模式对接使用。</w:t>
            </w:r>
          </w:p>
        </w:tc>
      </w:tr>
      <w:tr w14:paraId="3D69EB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7FE9F41">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站点</w:t>
            </w:r>
          </w:p>
        </w:tc>
        <w:tc>
          <w:tcPr>
            <w:tcW w:w="1740" w:type="dxa"/>
            <w:tcBorders>
              <w:top w:val="single" w:color="auto" w:sz="4" w:space="0"/>
              <w:left w:val="single" w:color="auto" w:sz="4" w:space="0"/>
              <w:bottom w:val="single" w:color="auto" w:sz="4" w:space="0"/>
              <w:right w:val="single" w:color="auto" w:sz="4" w:space="0"/>
            </w:tcBorders>
            <w:vAlign w:val="center"/>
          </w:tcPr>
          <w:p w14:paraId="0573F83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站点</w:t>
            </w:r>
          </w:p>
        </w:tc>
        <w:tc>
          <w:tcPr>
            <w:tcW w:w="6954" w:type="dxa"/>
            <w:tcBorders>
              <w:top w:val="single" w:color="auto" w:sz="4" w:space="0"/>
              <w:left w:val="single" w:color="auto" w:sz="4" w:space="0"/>
              <w:bottom w:val="single" w:color="auto" w:sz="4" w:space="0"/>
            </w:tcBorders>
            <w:vAlign w:val="center"/>
          </w:tcPr>
          <w:p w14:paraId="52D261C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系统不限制工作站点数量及使用期限，支持按需配置工作站点功能。</w:t>
            </w:r>
          </w:p>
        </w:tc>
      </w:tr>
      <w:tr w14:paraId="79B108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4A43BB3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设备接口</w:t>
            </w:r>
          </w:p>
        </w:tc>
        <w:tc>
          <w:tcPr>
            <w:tcW w:w="1740" w:type="dxa"/>
            <w:tcBorders>
              <w:top w:val="single" w:color="auto" w:sz="4" w:space="0"/>
              <w:left w:val="single" w:color="auto" w:sz="4" w:space="0"/>
              <w:bottom w:val="single" w:color="auto" w:sz="4" w:space="0"/>
              <w:right w:val="single" w:color="auto" w:sz="4" w:space="0"/>
            </w:tcBorders>
            <w:vAlign w:val="center"/>
          </w:tcPr>
          <w:p w14:paraId="6C02A89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w:t>
            </w:r>
          </w:p>
        </w:tc>
        <w:tc>
          <w:tcPr>
            <w:tcW w:w="6954" w:type="dxa"/>
            <w:tcBorders>
              <w:top w:val="single" w:color="auto" w:sz="4" w:space="0"/>
              <w:left w:val="single" w:color="auto" w:sz="4" w:space="0"/>
              <w:bottom w:val="single" w:color="auto" w:sz="4" w:space="0"/>
            </w:tcBorders>
            <w:vAlign w:val="center"/>
          </w:tcPr>
          <w:p w14:paraId="4D34CA8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明确列出质保期后需收费的DICOM设备、非DICOM设备设备对接清单及费用。</w:t>
            </w:r>
          </w:p>
        </w:tc>
      </w:tr>
      <w:tr w14:paraId="3F5115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E0D478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专用耗材</w:t>
            </w:r>
          </w:p>
        </w:tc>
        <w:tc>
          <w:tcPr>
            <w:tcW w:w="1740" w:type="dxa"/>
            <w:tcBorders>
              <w:top w:val="single" w:color="auto" w:sz="4" w:space="0"/>
              <w:left w:val="single" w:color="auto" w:sz="4" w:space="0"/>
              <w:bottom w:val="single" w:color="auto" w:sz="4" w:space="0"/>
              <w:right w:val="single" w:color="auto" w:sz="4" w:space="0"/>
            </w:tcBorders>
            <w:vAlign w:val="center"/>
          </w:tcPr>
          <w:p w14:paraId="27ABD8A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专用耗材</w:t>
            </w:r>
          </w:p>
        </w:tc>
        <w:tc>
          <w:tcPr>
            <w:tcW w:w="6954" w:type="dxa"/>
            <w:tcBorders>
              <w:top w:val="single" w:color="auto" w:sz="4" w:space="0"/>
              <w:left w:val="single" w:color="auto" w:sz="4" w:space="0"/>
              <w:bottom w:val="single" w:color="auto" w:sz="4" w:space="0"/>
            </w:tcBorders>
            <w:vAlign w:val="center"/>
          </w:tcPr>
          <w:p w14:paraId="15E0C02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明确列出专用耗材清单，及其费用。</w:t>
            </w:r>
          </w:p>
        </w:tc>
      </w:tr>
      <w:tr w14:paraId="3E1EB4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54B6234">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数据管理</w:t>
            </w:r>
          </w:p>
        </w:tc>
        <w:tc>
          <w:tcPr>
            <w:tcW w:w="1740" w:type="dxa"/>
            <w:tcBorders>
              <w:top w:val="single" w:color="auto" w:sz="4" w:space="0"/>
              <w:left w:val="single" w:color="auto" w:sz="4" w:space="0"/>
              <w:bottom w:val="single" w:color="auto" w:sz="4" w:space="0"/>
              <w:right w:val="single" w:color="auto" w:sz="4" w:space="0"/>
            </w:tcBorders>
            <w:vAlign w:val="center"/>
          </w:tcPr>
          <w:p w14:paraId="6D81A3F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数据管理</w:t>
            </w:r>
          </w:p>
        </w:tc>
        <w:tc>
          <w:tcPr>
            <w:tcW w:w="6954" w:type="dxa"/>
            <w:tcBorders>
              <w:top w:val="single" w:color="auto" w:sz="4" w:space="0"/>
              <w:left w:val="single" w:color="auto" w:sz="4" w:space="0"/>
              <w:bottom w:val="single" w:color="auto" w:sz="4" w:space="0"/>
            </w:tcBorders>
            <w:vAlign w:val="center"/>
          </w:tcPr>
          <w:p w14:paraId="3E5A6E8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除国家法规要求、网络安全相关要求及院内管理要求外，</w:t>
            </w:r>
            <w:r>
              <w:rPr>
                <w:rFonts w:hint="eastAsia" w:ascii="宋体" w:hAnsi="宋体" w:cs="宋体"/>
                <w:kern w:val="0"/>
                <w:sz w:val="21"/>
                <w:szCs w:val="21"/>
                <w:highlight w:val="none"/>
                <w:lang w:val="en-US" w:eastAsia="zh-CN"/>
              </w:rPr>
              <w:t>软件开发商</w:t>
            </w:r>
            <w:r>
              <w:rPr>
                <w:rFonts w:hint="eastAsia" w:ascii="宋体" w:hAnsi="宋体" w:eastAsia="宋体" w:cs="宋体"/>
                <w:sz w:val="21"/>
                <w:szCs w:val="21"/>
                <w:highlight w:val="none"/>
                <w:lang w:val="zh-CN"/>
              </w:rPr>
              <w:t>不得对系统内部数据图像报告进行加密。</w:t>
            </w:r>
          </w:p>
        </w:tc>
      </w:tr>
      <w:tr w14:paraId="513E0D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053" w:type="dxa"/>
            <w:tcBorders>
              <w:top w:val="single" w:color="auto" w:sz="4" w:space="0"/>
              <w:bottom w:val="single" w:color="auto" w:sz="4" w:space="0"/>
              <w:right w:val="single" w:color="auto" w:sz="4" w:space="0"/>
            </w:tcBorders>
            <w:vAlign w:val="center"/>
          </w:tcPr>
          <w:p w14:paraId="0A03A4D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国产信创</w:t>
            </w:r>
          </w:p>
        </w:tc>
        <w:tc>
          <w:tcPr>
            <w:tcW w:w="1740" w:type="dxa"/>
            <w:tcBorders>
              <w:top w:val="single" w:color="auto" w:sz="4" w:space="0"/>
              <w:left w:val="single" w:color="auto" w:sz="4" w:space="0"/>
              <w:bottom w:val="single" w:color="auto" w:sz="4" w:space="0"/>
              <w:right w:val="single" w:color="auto" w:sz="4" w:space="0"/>
            </w:tcBorders>
            <w:vAlign w:val="center"/>
          </w:tcPr>
          <w:p w14:paraId="5794AD9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国产信创</w:t>
            </w:r>
          </w:p>
        </w:tc>
        <w:tc>
          <w:tcPr>
            <w:tcW w:w="6954" w:type="dxa"/>
            <w:tcBorders>
              <w:top w:val="single" w:color="auto" w:sz="4" w:space="0"/>
              <w:left w:val="single" w:color="auto" w:sz="4" w:space="0"/>
              <w:bottom w:val="single" w:color="auto" w:sz="4" w:space="0"/>
            </w:tcBorders>
            <w:vAlign w:val="center"/>
          </w:tcPr>
          <w:p w14:paraId="493DDDC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▲为保障系统自主可控和信息安全，</w:t>
            </w:r>
            <w:r>
              <w:rPr>
                <w:rFonts w:hint="eastAsia" w:ascii="宋体" w:hAnsi="宋体" w:cs="宋体"/>
                <w:sz w:val="21"/>
                <w:szCs w:val="21"/>
                <w:highlight w:val="none"/>
                <w:lang w:val="zh-CN"/>
              </w:rPr>
              <w:t>投标人</w:t>
            </w:r>
            <w:r>
              <w:rPr>
                <w:rFonts w:hint="eastAsia" w:ascii="宋体" w:hAnsi="宋体" w:eastAsia="宋体" w:cs="宋体"/>
                <w:sz w:val="21"/>
                <w:szCs w:val="21"/>
                <w:highlight w:val="none"/>
                <w:lang w:val="zh-CN"/>
              </w:rPr>
              <w:t>提供的医学影像信息系统需能够适配国产操作系统、国产数据库、国产中间件等国产自主安全平台。</w:t>
            </w:r>
          </w:p>
        </w:tc>
      </w:tr>
      <w:tr w14:paraId="072062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053" w:type="dxa"/>
            <w:tcBorders>
              <w:top w:val="single" w:color="auto" w:sz="4" w:space="0"/>
              <w:bottom w:val="single" w:color="auto" w:sz="4" w:space="0"/>
              <w:right w:val="single" w:color="auto" w:sz="4" w:space="0"/>
            </w:tcBorders>
            <w:vAlign w:val="center"/>
          </w:tcPr>
          <w:p w14:paraId="4FCB6E9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性能要求</w:t>
            </w:r>
          </w:p>
        </w:tc>
        <w:tc>
          <w:tcPr>
            <w:tcW w:w="1740" w:type="dxa"/>
            <w:tcBorders>
              <w:top w:val="single" w:color="auto" w:sz="4" w:space="0"/>
              <w:left w:val="single" w:color="auto" w:sz="4" w:space="0"/>
              <w:bottom w:val="single" w:color="auto" w:sz="4" w:space="0"/>
              <w:right w:val="single" w:color="auto" w:sz="4" w:space="0"/>
            </w:tcBorders>
            <w:vAlign w:val="center"/>
          </w:tcPr>
          <w:p w14:paraId="256843A2">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读取速度</w:t>
            </w:r>
          </w:p>
        </w:tc>
        <w:tc>
          <w:tcPr>
            <w:tcW w:w="6954" w:type="dxa"/>
            <w:tcBorders>
              <w:top w:val="single" w:color="auto" w:sz="4" w:space="0"/>
              <w:left w:val="single" w:color="auto" w:sz="4" w:space="0"/>
              <w:bottom w:val="single" w:color="auto" w:sz="4" w:space="0"/>
            </w:tcBorders>
            <w:vAlign w:val="center"/>
          </w:tcPr>
          <w:p w14:paraId="18FD24F9">
            <w:pPr>
              <w:shd w:val="clear"/>
              <w:spacing w:line="24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千张图像下载查阅性能≤3秒</w:t>
            </w:r>
            <w:r>
              <w:rPr>
                <w:rFonts w:hint="eastAsia" w:ascii="宋体" w:hAnsi="宋体" w:cs="宋体"/>
                <w:sz w:val="21"/>
                <w:szCs w:val="21"/>
                <w:highlight w:val="none"/>
                <w:lang w:val="zh-CN"/>
              </w:rPr>
              <w:t>。</w:t>
            </w:r>
          </w:p>
        </w:tc>
      </w:tr>
    </w:tbl>
    <w:p w14:paraId="0D0019F8">
      <w:pPr>
        <w:pStyle w:val="4"/>
        <w:keepNext w:val="0"/>
        <w:keepLines w:val="0"/>
        <w:shd w:val="clear"/>
        <w:spacing w:before="0" w:after="0" w:line="360" w:lineRule="auto"/>
        <w:ind w:left="576" w:hanging="576"/>
        <w:rPr>
          <w:rFonts w:hint="eastAsia" w:ascii="宋体" w:hAnsi="宋体" w:eastAsia="宋体" w:cs="宋体"/>
          <w:b w:val="0"/>
          <w:bCs w:val="0"/>
          <w:smallCaps/>
          <w:sz w:val="21"/>
          <w:szCs w:val="21"/>
          <w:highlight w:val="none"/>
        </w:rPr>
      </w:pPr>
      <w:bookmarkStart w:id="9" w:name="_Toc167112552"/>
      <w:r>
        <w:rPr>
          <w:rFonts w:hint="eastAsia" w:ascii="宋体" w:hAnsi="宋体" w:eastAsia="宋体" w:cs="宋体"/>
          <w:b w:val="0"/>
          <w:bCs w:val="0"/>
          <w:smallCaps/>
          <w:sz w:val="21"/>
          <w:szCs w:val="21"/>
          <w:highlight w:val="none"/>
        </w:rPr>
        <w:t>4.3</w:t>
      </w:r>
      <w:r>
        <w:rPr>
          <w:rFonts w:hint="eastAsia" w:ascii="宋体" w:hAnsi="宋体" w:eastAsia="宋体" w:cs="宋体"/>
          <w:b w:val="0"/>
          <w:bCs w:val="0"/>
          <w:smallCaps/>
          <w:sz w:val="21"/>
          <w:szCs w:val="21"/>
          <w:highlight w:val="none"/>
        </w:rPr>
        <w:tab/>
      </w:r>
      <w:r>
        <w:rPr>
          <w:rFonts w:hint="eastAsia" w:ascii="宋体" w:hAnsi="宋体" w:eastAsia="宋体" w:cs="宋体"/>
          <w:b w:val="0"/>
          <w:bCs w:val="0"/>
          <w:smallCaps/>
          <w:sz w:val="21"/>
          <w:szCs w:val="21"/>
          <w:highlight w:val="none"/>
          <w:lang w:val="zh-CN"/>
        </w:rPr>
        <w:t>内镜信息系统</w:t>
      </w:r>
      <w:bookmarkEnd w:id="9"/>
    </w:p>
    <w:tbl>
      <w:tblPr>
        <w:tblStyle w:val="4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53"/>
        <w:gridCol w:w="1740"/>
        <w:gridCol w:w="6813"/>
      </w:tblGrid>
      <w:tr w14:paraId="54F973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1053" w:type="dxa"/>
            <w:tcBorders>
              <w:top w:val="single" w:color="auto" w:sz="4" w:space="0"/>
              <w:bottom w:val="single" w:color="auto" w:sz="4" w:space="0"/>
              <w:right w:val="single" w:color="auto" w:sz="4" w:space="0"/>
            </w:tcBorders>
            <w:shd w:val="clear" w:color="auto" w:fill="F2F2F2"/>
            <w:vAlign w:val="center"/>
          </w:tcPr>
          <w:p w14:paraId="788F1250">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模块</w:t>
            </w:r>
          </w:p>
        </w:tc>
        <w:tc>
          <w:tcPr>
            <w:tcW w:w="1740" w:type="dxa"/>
            <w:tcBorders>
              <w:top w:val="single" w:color="auto" w:sz="4" w:space="0"/>
              <w:left w:val="single" w:color="auto" w:sz="4" w:space="0"/>
              <w:bottom w:val="single" w:color="auto" w:sz="4" w:space="0"/>
              <w:right w:val="single" w:color="auto" w:sz="4" w:space="0"/>
            </w:tcBorders>
            <w:shd w:val="clear" w:color="auto" w:fill="F2F2F2"/>
            <w:vAlign w:val="center"/>
          </w:tcPr>
          <w:p w14:paraId="5F0097F0">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w:t>
            </w:r>
          </w:p>
        </w:tc>
        <w:tc>
          <w:tcPr>
            <w:tcW w:w="6813" w:type="dxa"/>
            <w:tcBorders>
              <w:top w:val="single" w:color="auto" w:sz="4" w:space="0"/>
              <w:left w:val="single" w:color="auto" w:sz="4" w:space="0"/>
              <w:bottom w:val="single" w:color="auto" w:sz="4" w:space="0"/>
            </w:tcBorders>
            <w:shd w:val="clear" w:color="auto" w:fill="F2F2F2"/>
            <w:vAlign w:val="center"/>
          </w:tcPr>
          <w:p w14:paraId="0344E75E">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功能描述</w:t>
            </w:r>
          </w:p>
        </w:tc>
      </w:tr>
      <w:tr w14:paraId="4E0D88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415629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检查登记</w:t>
            </w:r>
          </w:p>
        </w:tc>
        <w:tc>
          <w:tcPr>
            <w:tcW w:w="1740" w:type="dxa"/>
            <w:tcBorders>
              <w:top w:val="single" w:color="auto" w:sz="4" w:space="0"/>
              <w:left w:val="single" w:color="auto" w:sz="4" w:space="0"/>
              <w:bottom w:val="single" w:color="auto" w:sz="4" w:space="0"/>
              <w:right w:val="single" w:color="auto" w:sz="4" w:space="0"/>
            </w:tcBorders>
            <w:vAlign w:val="center"/>
          </w:tcPr>
          <w:p w14:paraId="06BD6D3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电子申请单登记</w:t>
            </w:r>
          </w:p>
        </w:tc>
        <w:tc>
          <w:tcPr>
            <w:tcW w:w="6813" w:type="dxa"/>
            <w:tcBorders>
              <w:top w:val="single" w:color="auto" w:sz="4" w:space="0"/>
              <w:left w:val="single" w:color="auto" w:sz="4" w:space="0"/>
              <w:bottom w:val="single" w:color="auto" w:sz="4" w:space="0"/>
            </w:tcBorders>
            <w:vAlign w:val="center"/>
          </w:tcPr>
          <w:p w14:paraId="27A1BE1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能够获取电子申请单列表，及电子申请单详情信息，能够完整展示所有检查部位，且能够方便</w:t>
            </w:r>
            <w:r>
              <w:rPr>
                <w:rFonts w:hint="eastAsia" w:ascii="宋体" w:hAnsi="宋体" w:cs="宋体"/>
                <w:sz w:val="21"/>
                <w:szCs w:val="21"/>
                <w:highlight w:val="none"/>
                <w:lang w:val="zh-CN"/>
              </w:rPr>
              <w:t>地</w:t>
            </w:r>
            <w:r>
              <w:rPr>
                <w:rFonts w:hint="eastAsia" w:ascii="宋体" w:hAnsi="宋体" w:eastAsia="宋体" w:cs="宋体"/>
                <w:sz w:val="21"/>
                <w:szCs w:val="21"/>
                <w:highlight w:val="none"/>
                <w:lang w:val="zh-CN"/>
              </w:rPr>
              <w:t>进行检查登记。</w:t>
            </w:r>
          </w:p>
        </w:tc>
      </w:tr>
      <w:tr w14:paraId="4DD3AD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90484A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139B11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手工申请单登记</w:t>
            </w:r>
          </w:p>
        </w:tc>
        <w:tc>
          <w:tcPr>
            <w:tcW w:w="6813" w:type="dxa"/>
            <w:tcBorders>
              <w:top w:val="single" w:color="auto" w:sz="4" w:space="0"/>
              <w:left w:val="single" w:color="auto" w:sz="4" w:space="0"/>
              <w:bottom w:val="single" w:color="auto" w:sz="4" w:space="0"/>
            </w:tcBorders>
            <w:vAlign w:val="center"/>
          </w:tcPr>
          <w:p w14:paraId="04ACB61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支持手工登记模式。</w:t>
            </w:r>
          </w:p>
        </w:tc>
      </w:tr>
      <w:tr w14:paraId="10830C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9288D51">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F37B40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呼叫队列管理</w:t>
            </w:r>
          </w:p>
        </w:tc>
        <w:tc>
          <w:tcPr>
            <w:tcW w:w="6813" w:type="dxa"/>
            <w:tcBorders>
              <w:top w:val="single" w:color="auto" w:sz="4" w:space="0"/>
              <w:left w:val="single" w:color="auto" w:sz="4" w:space="0"/>
              <w:bottom w:val="single" w:color="auto" w:sz="4" w:space="0"/>
            </w:tcBorders>
            <w:vAlign w:val="center"/>
          </w:tcPr>
          <w:p w14:paraId="0307BCE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可以在同一个页面显示等待检查列表、就绪列表、诊前准备列表、挂起列表等，分别做队列控制，方便医生查看与操作。</w:t>
            </w:r>
          </w:p>
        </w:tc>
      </w:tr>
      <w:tr w14:paraId="33AB67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1B8FAD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505735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绿色通道</w:t>
            </w:r>
          </w:p>
        </w:tc>
        <w:tc>
          <w:tcPr>
            <w:tcW w:w="6813" w:type="dxa"/>
            <w:tcBorders>
              <w:top w:val="single" w:color="auto" w:sz="4" w:space="0"/>
              <w:left w:val="single" w:color="auto" w:sz="4" w:space="0"/>
              <w:bottom w:val="single" w:color="auto" w:sz="4" w:space="0"/>
            </w:tcBorders>
            <w:vAlign w:val="center"/>
          </w:tcPr>
          <w:p w14:paraId="1FBA6CF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对于特殊患者，可以通过绿色通道进行登记，绿色通道队列需能够单独管理，优先排队叫号，优先检查，并支持在正常申请流程后，绿色通道产生的检查记录与正式申请单进行同步关联。</w:t>
            </w:r>
          </w:p>
        </w:tc>
      </w:tr>
      <w:tr w14:paraId="549F2A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CF0826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1A4722A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检查室状态</w:t>
            </w:r>
          </w:p>
        </w:tc>
        <w:tc>
          <w:tcPr>
            <w:tcW w:w="6813" w:type="dxa"/>
            <w:tcBorders>
              <w:top w:val="single" w:color="auto" w:sz="4" w:space="0"/>
              <w:left w:val="single" w:color="auto" w:sz="4" w:space="0"/>
              <w:bottom w:val="single" w:color="auto" w:sz="4" w:space="0"/>
            </w:tcBorders>
            <w:vAlign w:val="center"/>
          </w:tcPr>
          <w:p w14:paraId="29BD081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具备检查室状态及检查室检查进度的实时展示功能，方便登记处安排后续检查。</w:t>
            </w:r>
          </w:p>
        </w:tc>
      </w:tr>
      <w:tr w14:paraId="77CB23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4EB7E3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图像采集</w:t>
            </w:r>
          </w:p>
        </w:tc>
        <w:tc>
          <w:tcPr>
            <w:tcW w:w="1740" w:type="dxa"/>
            <w:tcBorders>
              <w:top w:val="single" w:color="auto" w:sz="4" w:space="0"/>
              <w:left w:val="single" w:color="auto" w:sz="4" w:space="0"/>
              <w:bottom w:val="single" w:color="auto" w:sz="4" w:space="0"/>
              <w:right w:val="single" w:color="auto" w:sz="4" w:space="0"/>
            </w:tcBorders>
            <w:vAlign w:val="center"/>
          </w:tcPr>
          <w:p w14:paraId="31B36A9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内镜设备接入</w:t>
            </w:r>
          </w:p>
        </w:tc>
        <w:tc>
          <w:tcPr>
            <w:tcW w:w="6813" w:type="dxa"/>
            <w:tcBorders>
              <w:top w:val="single" w:color="auto" w:sz="4" w:space="0"/>
              <w:left w:val="single" w:color="auto" w:sz="4" w:space="0"/>
              <w:bottom w:val="single" w:color="auto" w:sz="4" w:space="0"/>
            </w:tcBorders>
            <w:vAlign w:val="center"/>
          </w:tcPr>
          <w:p w14:paraId="3FC0707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能够采集BNC/S-VIDEO/RGB/DVI/HDMI等视频接口的图像及视频。</w:t>
            </w:r>
          </w:p>
        </w:tc>
      </w:tr>
      <w:tr w14:paraId="7B3DEC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8208009">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0E251F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采集卡采集</w:t>
            </w:r>
          </w:p>
        </w:tc>
        <w:tc>
          <w:tcPr>
            <w:tcW w:w="6813" w:type="dxa"/>
            <w:tcBorders>
              <w:top w:val="single" w:color="auto" w:sz="4" w:space="0"/>
              <w:left w:val="single" w:color="auto" w:sz="4" w:space="0"/>
              <w:bottom w:val="single" w:color="auto" w:sz="4" w:space="0"/>
            </w:tcBorders>
            <w:vAlign w:val="center"/>
          </w:tcPr>
          <w:p w14:paraId="36DA814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能够通过采集卡采集内镜设备的图像及视频。图像及视频的数量、时长不做限制。</w:t>
            </w:r>
          </w:p>
        </w:tc>
      </w:tr>
      <w:tr w14:paraId="616D5D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C0367D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7992575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DICOM采集</w:t>
            </w:r>
          </w:p>
        </w:tc>
        <w:tc>
          <w:tcPr>
            <w:tcW w:w="6813" w:type="dxa"/>
            <w:tcBorders>
              <w:top w:val="single" w:color="auto" w:sz="4" w:space="0"/>
              <w:left w:val="single" w:color="auto" w:sz="4" w:space="0"/>
              <w:bottom w:val="single" w:color="auto" w:sz="4" w:space="0"/>
            </w:tcBorders>
            <w:vAlign w:val="center"/>
          </w:tcPr>
          <w:p w14:paraId="7DBDC90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能够采集设备DICOM单帧图像及多帧图像。</w:t>
            </w:r>
          </w:p>
        </w:tc>
      </w:tr>
      <w:tr w14:paraId="7C0FC4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797183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758D882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后台采集</w:t>
            </w:r>
          </w:p>
        </w:tc>
        <w:tc>
          <w:tcPr>
            <w:tcW w:w="6813" w:type="dxa"/>
            <w:tcBorders>
              <w:top w:val="single" w:color="auto" w:sz="4" w:space="0"/>
              <w:left w:val="single" w:color="auto" w:sz="4" w:space="0"/>
              <w:bottom w:val="single" w:color="auto" w:sz="4" w:space="0"/>
            </w:tcBorders>
            <w:vAlign w:val="center"/>
          </w:tcPr>
          <w:p w14:paraId="2B88157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支持后台采集模式。在程序非置顶情况下仍可以采集图像。</w:t>
            </w:r>
          </w:p>
        </w:tc>
      </w:tr>
      <w:tr w14:paraId="5DFB76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5D3863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E2EFCA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录像功能</w:t>
            </w:r>
          </w:p>
        </w:tc>
        <w:tc>
          <w:tcPr>
            <w:tcW w:w="6813" w:type="dxa"/>
            <w:tcBorders>
              <w:top w:val="single" w:color="auto" w:sz="4" w:space="0"/>
              <w:left w:val="single" w:color="auto" w:sz="4" w:space="0"/>
              <w:bottom w:val="single" w:color="auto" w:sz="4" w:space="0"/>
            </w:tcBorders>
            <w:vAlign w:val="center"/>
          </w:tcPr>
          <w:p w14:paraId="5AB3276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▲支持录像功能，可设定录像时长，可保存为AVI、MP4等格式，支持录像文件的播放。</w:t>
            </w:r>
          </w:p>
        </w:tc>
      </w:tr>
      <w:tr w14:paraId="6A9783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01EEFCD8">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检查报告</w:t>
            </w:r>
          </w:p>
        </w:tc>
        <w:tc>
          <w:tcPr>
            <w:tcW w:w="1740" w:type="dxa"/>
            <w:tcBorders>
              <w:top w:val="single" w:color="auto" w:sz="4" w:space="0"/>
              <w:left w:val="single" w:color="auto" w:sz="4" w:space="0"/>
              <w:bottom w:val="single" w:color="auto" w:sz="4" w:space="0"/>
              <w:right w:val="single" w:color="auto" w:sz="4" w:space="0"/>
            </w:tcBorders>
            <w:vAlign w:val="center"/>
          </w:tcPr>
          <w:p w14:paraId="78498D4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结构化报告</w:t>
            </w:r>
          </w:p>
        </w:tc>
        <w:tc>
          <w:tcPr>
            <w:tcW w:w="6813" w:type="dxa"/>
            <w:tcBorders>
              <w:top w:val="single" w:color="auto" w:sz="4" w:space="0"/>
              <w:left w:val="single" w:color="auto" w:sz="4" w:space="0"/>
              <w:bottom w:val="single" w:color="auto" w:sz="4" w:space="0"/>
            </w:tcBorders>
            <w:vAlign w:val="center"/>
          </w:tcPr>
          <w:p w14:paraId="1F36F110">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提供结构化报告功能，包含但不限于以下结构化模板：</w:t>
            </w:r>
          </w:p>
          <w:p w14:paraId="5B30575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（1）胃镜：食管胃底静脉、POEM、慢性胃炎、胃ESD、萎缩性胃炎、间质瘤切除、间质瘤诊断、早癌病变、上消化道。</w:t>
            </w:r>
          </w:p>
          <w:p w14:paraId="216C5CE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（2）肠镜：普通肠镜、肠ESD、神经内分泌瘤、内痔诊疗、内痔+息肉、溃疡性结肠炎、结肠息肉。</w:t>
            </w:r>
          </w:p>
          <w:p w14:paraId="0830332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（3）十二指肠镜：胆总管结石。</w:t>
            </w:r>
          </w:p>
          <w:p w14:paraId="6F3B848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（4）支纤镜。</w:t>
            </w:r>
          </w:p>
        </w:tc>
      </w:tr>
      <w:tr w14:paraId="0600C8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FB4161F">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ADE9D6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报告任务分发</w:t>
            </w:r>
          </w:p>
        </w:tc>
        <w:tc>
          <w:tcPr>
            <w:tcW w:w="6813" w:type="dxa"/>
            <w:tcBorders>
              <w:top w:val="single" w:color="auto" w:sz="4" w:space="0"/>
              <w:left w:val="single" w:color="auto" w:sz="4" w:space="0"/>
              <w:bottom w:val="single" w:color="auto" w:sz="4" w:space="0"/>
            </w:tcBorders>
            <w:vAlign w:val="center"/>
          </w:tcPr>
          <w:p w14:paraId="0443A42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系统要能够根据岗位、个人特长、排班等规则，自动将报告任务分发给报告医生。分发规则可前台由授权人员进行维护。能按科室管理规则进行任务提醒（如门诊2小时报告，住院1天报告到期前提示）</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提醒内容包括未按时写报告、未按时审核报告、急诊病人等</w:t>
            </w:r>
            <w:r>
              <w:rPr>
                <w:rFonts w:hint="eastAsia" w:ascii="宋体" w:hAnsi="宋体" w:cs="宋体"/>
                <w:sz w:val="21"/>
                <w:szCs w:val="21"/>
                <w:highlight w:val="none"/>
                <w:lang w:val="zh-CN"/>
              </w:rPr>
              <w:t>。</w:t>
            </w:r>
          </w:p>
        </w:tc>
      </w:tr>
      <w:tr w14:paraId="158DA5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DE1093C">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145D3D4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报告审核</w:t>
            </w:r>
          </w:p>
        </w:tc>
        <w:tc>
          <w:tcPr>
            <w:tcW w:w="6813" w:type="dxa"/>
            <w:tcBorders>
              <w:top w:val="single" w:color="auto" w:sz="4" w:space="0"/>
              <w:left w:val="single" w:color="auto" w:sz="4" w:space="0"/>
              <w:bottom w:val="single" w:color="auto" w:sz="4" w:space="0"/>
            </w:tcBorders>
            <w:vAlign w:val="center"/>
          </w:tcPr>
          <w:p w14:paraId="3224C14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医生可以提交上级医师审核，然后上级医生在系统进行修改、确认；会诊、审核系统设置符合三甲要求。</w:t>
            </w:r>
          </w:p>
        </w:tc>
      </w:tr>
      <w:tr w14:paraId="52B8F9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8E28F1D">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7B8AB5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报告痕迹管理</w:t>
            </w:r>
          </w:p>
        </w:tc>
        <w:tc>
          <w:tcPr>
            <w:tcW w:w="6813" w:type="dxa"/>
            <w:tcBorders>
              <w:top w:val="single" w:color="auto" w:sz="4" w:space="0"/>
              <w:left w:val="single" w:color="auto" w:sz="4" w:space="0"/>
              <w:bottom w:val="single" w:color="auto" w:sz="4" w:space="0"/>
            </w:tcBorders>
            <w:vAlign w:val="center"/>
          </w:tcPr>
          <w:p w14:paraId="536C3F07">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修改痕迹保存与显示功能：报告的各级检审过程中，任何对报告内容的修改都会被系统保存下修改痕迹，并且可以用不同颜色的字体和不同的方式显示出来。（痕迹包括：修改人名称，修改时间，修改内容）；支持初步报告不同医生编辑痕迹的记录；支持审核报告每次修改痕迹的记录。</w:t>
            </w:r>
          </w:p>
        </w:tc>
      </w:tr>
      <w:tr w14:paraId="55C19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3C9B50E">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3BF30B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ERCP报告</w:t>
            </w:r>
          </w:p>
        </w:tc>
        <w:tc>
          <w:tcPr>
            <w:tcW w:w="6813" w:type="dxa"/>
            <w:tcBorders>
              <w:top w:val="single" w:color="auto" w:sz="4" w:space="0"/>
              <w:left w:val="single" w:color="auto" w:sz="4" w:space="0"/>
              <w:bottom w:val="single" w:color="auto" w:sz="4" w:space="0"/>
            </w:tcBorders>
            <w:vAlign w:val="center"/>
          </w:tcPr>
          <w:p w14:paraId="3E77C674">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▲提供ERCP双通道模式，可以同时显示内镜影像及造影X线影像，并出具报告。</w:t>
            </w:r>
          </w:p>
        </w:tc>
      </w:tr>
      <w:tr w14:paraId="680C81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A52726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6A5C5C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报告智能纠错</w:t>
            </w:r>
          </w:p>
        </w:tc>
        <w:tc>
          <w:tcPr>
            <w:tcW w:w="6813" w:type="dxa"/>
            <w:tcBorders>
              <w:top w:val="single" w:color="auto" w:sz="4" w:space="0"/>
              <w:left w:val="single" w:color="auto" w:sz="4" w:space="0"/>
              <w:bottom w:val="single" w:color="auto" w:sz="4" w:space="0"/>
            </w:tcBorders>
            <w:vAlign w:val="center"/>
          </w:tcPr>
          <w:p w14:paraId="30065CB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具备针对检查报告界面性别特征等错误描述可自动检索提示错误功能，并支持自动检索判断关键字的维护配置。</w:t>
            </w:r>
          </w:p>
        </w:tc>
      </w:tr>
      <w:tr w14:paraId="75CF51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BDDD119">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6D382F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相关检查浏览</w:t>
            </w:r>
          </w:p>
        </w:tc>
        <w:tc>
          <w:tcPr>
            <w:tcW w:w="6813" w:type="dxa"/>
            <w:tcBorders>
              <w:top w:val="single" w:color="auto" w:sz="4" w:space="0"/>
              <w:left w:val="single" w:color="auto" w:sz="4" w:space="0"/>
              <w:bottom w:val="single" w:color="auto" w:sz="4" w:space="0"/>
            </w:tcBorders>
            <w:vAlign w:val="center"/>
          </w:tcPr>
          <w:p w14:paraId="378C7EF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能够查看患者历史检查及放射、超声、心电、病理等检查结果。</w:t>
            </w:r>
          </w:p>
        </w:tc>
      </w:tr>
      <w:tr w14:paraId="36B2C4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0478358">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D0E5A33">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电子病历浏览</w:t>
            </w:r>
          </w:p>
        </w:tc>
        <w:tc>
          <w:tcPr>
            <w:tcW w:w="6813" w:type="dxa"/>
            <w:tcBorders>
              <w:top w:val="single" w:color="auto" w:sz="4" w:space="0"/>
              <w:left w:val="single" w:color="auto" w:sz="4" w:space="0"/>
              <w:bottom w:val="single" w:color="auto" w:sz="4" w:space="0"/>
            </w:tcBorders>
            <w:vAlign w:val="center"/>
          </w:tcPr>
          <w:p w14:paraId="26DD2EA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能够查看门诊电子病历、住院电子病历等。</w:t>
            </w:r>
          </w:p>
        </w:tc>
      </w:tr>
      <w:tr w14:paraId="6522B6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E2B9648">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C0CD52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病理活检申请</w:t>
            </w:r>
          </w:p>
        </w:tc>
        <w:tc>
          <w:tcPr>
            <w:tcW w:w="6813" w:type="dxa"/>
            <w:tcBorders>
              <w:top w:val="single" w:color="auto" w:sz="4" w:space="0"/>
              <w:left w:val="single" w:color="auto" w:sz="4" w:space="0"/>
              <w:bottom w:val="single" w:color="auto" w:sz="4" w:space="0"/>
            </w:tcBorders>
            <w:vAlign w:val="center"/>
          </w:tcPr>
          <w:p w14:paraId="7764513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能够直接在内镜报告书写界面，开具病理活检申请单，方便医生操作。具备多个标本的采集信息录入功能，满足区分不同采集部位、多个标本的情况。</w:t>
            </w:r>
          </w:p>
        </w:tc>
      </w:tr>
      <w:tr w14:paraId="13884F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6EFFB2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35F85D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病理追踪</w:t>
            </w:r>
          </w:p>
        </w:tc>
        <w:tc>
          <w:tcPr>
            <w:tcW w:w="6813" w:type="dxa"/>
            <w:tcBorders>
              <w:top w:val="single" w:color="auto" w:sz="4" w:space="0"/>
              <w:left w:val="single" w:color="auto" w:sz="4" w:space="0"/>
              <w:bottom w:val="single" w:color="auto" w:sz="4" w:space="0"/>
            </w:tcBorders>
            <w:vAlign w:val="center"/>
          </w:tcPr>
          <w:p w14:paraId="678AC1A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▲可与病理系统互通，针对有病理结果的检查，标记内镜诊断是否与病理诊断结果符合，并提供诊断符合率统计，统计结果可以导出及打印。</w:t>
            </w:r>
          </w:p>
        </w:tc>
      </w:tr>
      <w:tr w14:paraId="52EB19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3327A5B">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998945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病例收藏</w:t>
            </w:r>
          </w:p>
        </w:tc>
        <w:tc>
          <w:tcPr>
            <w:tcW w:w="6813" w:type="dxa"/>
            <w:tcBorders>
              <w:top w:val="single" w:color="auto" w:sz="4" w:space="0"/>
              <w:left w:val="single" w:color="auto" w:sz="4" w:space="0"/>
              <w:bottom w:val="single" w:color="auto" w:sz="4" w:space="0"/>
            </w:tcBorders>
            <w:vAlign w:val="center"/>
          </w:tcPr>
          <w:p w14:paraId="433FB96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提供病例收藏功能，可以将病例按ICD-10编码及名称收藏为个人收藏或公共收藏，用于病例教学或科研。并支持ICD标准升级。</w:t>
            </w:r>
          </w:p>
        </w:tc>
      </w:tr>
      <w:tr w14:paraId="796D4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9805B9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CC0DEB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危急值闭环</w:t>
            </w:r>
          </w:p>
        </w:tc>
        <w:tc>
          <w:tcPr>
            <w:tcW w:w="6813" w:type="dxa"/>
            <w:tcBorders>
              <w:top w:val="single" w:color="auto" w:sz="4" w:space="0"/>
              <w:left w:val="single" w:color="auto" w:sz="4" w:space="0"/>
              <w:bottom w:val="single" w:color="auto" w:sz="4" w:space="0"/>
            </w:tcBorders>
            <w:vAlign w:val="center"/>
          </w:tcPr>
          <w:p w14:paraId="684449B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具备危急值上报、提醒、处理及结果查看等危急值闭环管理功能。</w:t>
            </w:r>
          </w:p>
        </w:tc>
      </w:tr>
      <w:tr w14:paraId="21B6AB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69EEDD6">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D6C18A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远程会诊</w:t>
            </w:r>
          </w:p>
        </w:tc>
        <w:tc>
          <w:tcPr>
            <w:tcW w:w="6813" w:type="dxa"/>
            <w:tcBorders>
              <w:top w:val="single" w:color="auto" w:sz="4" w:space="0"/>
              <w:left w:val="single" w:color="auto" w:sz="4" w:space="0"/>
              <w:bottom w:val="single" w:color="auto" w:sz="4" w:space="0"/>
            </w:tcBorders>
            <w:vAlign w:val="center"/>
          </w:tcPr>
          <w:p w14:paraId="22BC3AD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能够通过移动端、PC等设备参与远程超声实时会诊，并调阅患者检查图像、报告资料等。</w:t>
            </w:r>
          </w:p>
        </w:tc>
      </w:tr>
      <w:tr w14:paraId="129A1B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4806449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ECAE07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洗消追溯</w:t>
            </w:r>
          </w:p>
        </w:tc>
        <w:tc>
          <w:tcPr>
            <w:tcW w:w="6813" w:type="dxa"/>
            <w:tcBorders>
              <w:top w:val="single" w:color="auto" w:sz="4" w:space="0"/>
              <w:left w:val="single" w:color="auto" w:sz="4" w:space="0"/>
              <w:bottom w:val="single" w:color="auto" w:sz="4" w:space="0"/>
            </w:tcBorders>
            <w:vAlign w:val="center"/>
          </w:tcPr>
          <w:p w14:paraId="3DD4062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提供内镜洗消追溯模块，并在内镜系统显示并保存内镜洗消记录，便于后期的统计与查询。</w:t>
            </w:r>
          </w:p>
        </w:tc>
      </w:tr>
      <w:tr w14:paraId="5D2E20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CA3A864">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EC1EE5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应急工作模式</w:t>
            </w:r>
          </w:p>
        </w:tc>
        <w:tc>
          <w:tcPr>
            <w:tcW w:w="6813" w:type="dxa"/>
            <w:tcBorders>
              <w:top w:val="single" w:color="auto" w:sz="4" w:space="0"/>
              <w:left w:val="single" w:color="auto" w:sz="4" w:space="0"/>
              <w:bottom w:val="single" w:color="auto" w:sz="4" w:space="0"/>
            </w:tcBorders>
            <w:vAlign w:val="center"/>
          </w:tcPr>
          <w:p w14:paraId="260D281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在工作过程中出现与服务器无法连接的情况时，系统会提示是否进入本地应急工作模式，进入应急工作模式后，会将之前采集的图像等内容自动导入到本地工作站，继续未完成的检查及报告。待通信恢复，可自动将本地工作站的图像及报告内容上传至服务器。</w:t>
            </w:r>
          </w:p>
        </w:tc>
      </w:tr>
      <w:tr w14:paraId="665914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788261C">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质控管理</w:t>
            </w:r>
          </w:p>
        </w:tc>
        <w:tc>
          <w:tcPr>
            <w:tcW w:w="1740" w:type="dxa"/>
            <w:tcBorders>
              <w:top w:val="single" w:color="auto" w:sz="4" w:space="0"/>
              <w:left w:val="single" w:color="auto" w:sz="4" w:space="0"/>
              <w:bottom w:val="single" w:color="auto" w:sz="4" w:space="0"/>
              <w:right w:val="single" w:color="auto" w:sz="4" w:space="0"/>
            </w:tcBorders>
            <w:vAlign w:val="center"/>
          </w:tcPr>
          <w:p w14:paraId="7204236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内镜辅助质量控制</w:t>
            </w:r>
          </w:p>
        </w:tc>
        <w:tc>
          <w:tcPr>
            <w:tcW w:w="6813" w:type="dxa"/>
            <w:tcBorders>
              <w:top w:val="single" w:color="auto" w:sz="4" w:space="0"/>
              <w:left w:val="single" w:color="auto" w:sz="4" w:space="0"/>
              <w:bottom w:val="single" w:color="auto" w:sz="4" w:space="0"/>
            </w:tcBorders>
            <w:vAlign w:val="center"/>
          </w:tcPr>
          <w:p w14:paraId="495A1CF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▲在检查中给予检查顺序导航提醒、遗漏部位提示、视野清晰评估、操作评分、自动留图等，满足《消化内镜诊疗技术医疗质量控制指标（2022年版）》的要求。</w:t>
            </w:r>
          </w:p>
        </w:tc>
      </w:tr>
      <w:tr w14:paraId="0F769C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EEA2820">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43055D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申请单质控</w:t>
            </w:r>
          </w:p>
        </w:tc>
        <w:tc>
          <w:tcPr>
            <w:tcW w:w="6813" w:type="dxa"/>
            <w:tcBorders>
              <w:top w:val="single" w:color="auto" w:sz="4" w:space="0"/>
              <w:left w:val="single" w:color="auto" w:sz="4" w:space="0"/>
              <w:bottom w:val="single" w:color="auto" w:sz="4" w:space="0"/>
            </w:tcBorders>
            <w:vAlign w:val="center"/>
          </w:tcPr>
          <w:p w14:paraId="7D33C3E7">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按照临床医生申请单质控的各项管理要求，实现申请单质控功能，并能产生质控管理分析报表，达到医院三甲要求。</w:t>
            </w:r>
          </w:p>
        </w:tc>
      </w:tr>
      <w:tr w14:paraId="3736B0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36FC188">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60CFD2C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图像质控</w:t>
            </w:r>
          </w:p>
        </w:tc>
        <w:tc>
          <w:tcPr>
            <w:tcW w:w="6813" w:type="dxa"/>
            <w:tcBorders>
              <w:top w:val="single" w:color="auto" w:sz="4" w:space="0"/>
              <w:left w:val="single" w:color="auto" w:sz="4" w:space="0"/>
              <w:bottom w:val="single" w:color="auto" w:sz="4" w:space="0"/>
            </w:tcBorders>
            <w:vAlign w:val="center"/>
          </w:tcPr>
          <w:p w14:paraId="4FB016C7">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按照内镜质控的各项管理要求，实现图像质控功能，并能产生质控管理分析报表，达到医院三甲要求。</w:t>
            </w:r>
          </w:p>
        </w:tc>
      </w:tr>
      <w:tr w14:paraId="3E9560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F13434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7E246C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报告质控</w:t>
            </w:r>
          </w:p>
        </w:tc>
        <w:tc>
          <w:tcPr>
            <w:tcW w:w="6813" w:type="dxa"/>
            <w:tcBorders>
              <w:top w:val="single" w:color="auto" w:sz="4" w:space="0"/>
              <w:left w:val="single" w:color="auto" w:sz="4" w:space="0"/>
              <w:bottom w:val="single" w:color="auto" w:sz="4" w:space="0"/>
            </w:tcBorders>
            <w:vAlign w:val="center"/>
          </w:tcPr>
          <w:p w14:paraId="44D1E74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按照报告质控的各项管理要求，实现诊断医生报告质控功能，并能产生质控管理分析报表，达到医院三甲要求。</w:t>
            </w:r>
          </w:p>
        </w:tc>
      </w:tr>
      <w:tr w14:paraId="16F5AD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C570EA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统计管理</w:t>
            </w:r>
          </w:p>
        </w:tc>
        <w:tc>
          <w:tcPr>
            <w:tcW w:w="1740" w:type="dxa"/>
            <w:tcBorders>
              <w:top w:val="single" w:color="auto" w:sz="4" w:space="0"/>
              <w:left w:val="single" w:color="auto" w:sz="4" w:space="0"/>
              <w:bottom w:val="single" w:color="auto" w:sz="4" w:space="0"/>
              <w:right w:val="single" w:color="auto" w:sz="4" w:space="0"/>
            </w:tcBorders>
            <w:vAlign w:val="center"/>
          </w:tcPr>
          <w:p w14:paraId="04D48F9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数据统计</w:t>
            </w:r>
          </w:p>
        </w:tc>
        <w:tc>
          <w:tcPr>
            <w:tcW w:w="6813" w:type="dxa"/>
            <w:tcBorders>
              <w:top w:val="single" w:color="auto" w:sz="4" w:space="0"/>
              <w:left w:val="single" w:color="auto" w:sz="4" w:space="0"/>
              <w:bottom w:val="single" w:color="auto" w:sz="4" w:space="0"/>
            </w:tcBorders>
            <w:vAlign w:val="center"/>
          </w:tcPr>
          <w:p w14:paraId="4D427CA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能按照医院需求，制定如申请单报表、平均候诊时间统计、工作量报表、随访报表、设备效益报表等统计分析报表，并能支持明细及汇总数据的导出，自动生成图形化报表等。</w:t>
            </w:r>
          </w:p>
        </w:tc>
      </w:tr>
      <w:tr w14:paraId="7FF1FC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7850CA6">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E9CFCF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权限管理</w:t>
            </w:r>
          </w:p>
        </w:tc>
        <w:tc>
          <w:tcPr>
            <w:tcW w:w="6813" w:type="dxa"/>
            <w:tcBorders>
              <w:top w:val="single" w:color="auto" w:sz="4" w:space="0"/>
              <w:left w:val="single" w:color="auto" w:sz="4" w:space="0"/>
              <w:bottom w:val="single" w:color="auto" w:sz="4" w:space="0"/>
            </w:tcBorders>
            <w:vAlign w:val="center"/>
          </w:tcPr>
          <w:p w14:paraId="3E3B578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系统管理员可根据不同用户开启或关闭各项功能及权限；部分功能可根据需求设置快捷方式。</w:t>
            </w:r>
          </w:p>
        </w:tc>
      </w:tr>
      <w:tr w14:paraId="37BF73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04EAEAD4">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排队叫号</w:t>
            </w:r>
          </w:p>
        </w:tc>
        <w:tc>
          <w:tcPr>
            <w:tcW w:w="1740" w:type="dxa"/>
            <w:tcBorders>
              <w:top w:val="single" w:color="auto" w:sz="4" w:space="0"/>
              <w:left w:val="single" w:color="auto" w:sz="4" w:space="0"/>
              <w:bottom w:val="single" w:color="auto" w:sz="4" w:space="0"/>
              <w:right w:val="single" w:color="auto" w:sz="4" w:space="0"/>
            </w:tcBorders>
            <w:vAlign w:val="center"/>
          </w:tcPr>
          <w:p w14:paraId="709AFB9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多级分诊</w:t>
            </w:r>
          </w:p>
        </w:tc>
        <w:tc>
          <w:tcPr>
            <w:tcW w:w="6813" w:type="dxa"/>
            <w:tcBorders>
              <w:top w:val="single" w:color="auto" w:sz="4" w:space="0"/>
              <w:left w:val="single" w:color="auto" w:sz="4" w:space="0"/>
              <w:bottom w:val="single" w:color="auto" w:sz="4" w:space="0"/>
            </w:tcBorders>
            <w:vAlign w:val="center"/>
          </w:tcPr>
          <w:p w14:paraId="7DCDCE8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支持按科室业务场景要求，配置多级分诊显示及叫号。排队叫号模块有签到功能，支持线上线下多种模式签到。可人工设定迟到过号人员的重新排序的规则。</w:t>
            </w:r>
          </w:p>
        </w:tc>
      </w:tr>
      <w:tr w14:paraId="5A58D1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96F6280">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3FD6DC9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叫号屏显示</w:t>
            </w:r>
          </w:p>
        </w:tc>
        <w:tc>
          <w:tcPr>
            <w:tcW w:w="6813" w:type="dxa"/>
            <w:tcBorders>
              <w:top w:val="single" w:color="auto" w:sz="4" w:space="0"/>
              <w:left w:val="single" w:color="auto" w:sz="4" w:space="0"/>
              <w:bottom w:val="single" w:color="auto" w:sz="4" w:space="0"/>
            </w:tcBorders>
            <w:vAlign w:val="center"/>
          </w:tcPr>
          <w:p w14:paraId="673CF53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能够将待检列表显示到叫号屏。叫号屏需要能够根据各个科室的需求，支持前台配置显示不同的内容。</w:t>
            </w:r>
          </w:p>
        </w:tc>
      </w:tr>
      <w:tr w14:paraId="65D868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0C6EBB70">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5999C33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语音叫号</w:t>
            </w:r>
          </w:p>
        </w:tc>
        <w:tc>
          <w:tcPr>
            <w:tcW w:w="6813" w:type="dxa"/>
            <w:tcBorders>
              <w:top w:val="single" w:color="auto" w:sz="4" w:space="0"/>
              <w:left w:val="single" w:color="auto" w:sz="4" w:space="0"/>
              <w:bottom w:val="single" w:color="auto" w:sz="4" w:space="0"/>
            </w:tcBorders>
            <w:vAlign w:val="center"/>
          </w:tcPr>
          <w:p w14:paraId="30BEC83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能够与工作站相连接，实现自动语音叫号，支持粤语及普通话双语同时播放。</w:t>
            </w:r>
          </w:p>
        </w:tc>
      </w:tr>
      <w:tr w14:paraId="6DD6D8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038FBD3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即时通讯工具</w:t>
            </w:r>
          </w:p>
        </w:tc>
        <w:tc>
          <w:tcPr>
            <w:tcW w:w="1740" w:type="dxa"/>
            <w:tcBorders>
              <w:top w:val="single" w:color="auto" w:sz="4" w:space="0"/>
              <w:left w:val="single" w:color="auto" w:sz="4" w:space="0"/>
              <w:bottom w:val="single" w:color="auto" w:sz="4" w:space="0"/>
              <w:right w:val="single" w:color="auto" w:sz="4" w:space="0"/>
            </w:tcBorders>
            <w:vAlign w:val="center"/>
          </w:tcPr>
          <w:p w14:paraId="48763F9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用户及群组</w:t>
            </w:r>
          </w:p>
        </w:tc>
        <w:tc>
          <w:tcPr>
            <w:tcW w:w="6813" w:type="dxa"/>
            <w:tcBorders>
              <w:top w:val="single" w:color="auto" w:sz="4" w:space="0"/>
              <w:left w:val="single" w:color="auto" w:sz="4" w:space="0"/>
              <w:bottom w:val="single" w:color="auto" w:sz="4" w:space="0"/>
            </w:tcBorders>
            <w:vAlign w:val="center"/>
          </w:tcPr>
          <w:p w14:paraId="5E7FC37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具备用户管理功能，并可组建好友群，方便讨论。</w:t>
            </w:r>
          </w:p>
        </w:tc>
      </w:tr>
      <w:tr w14:paraId="3F8C7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29171FF7">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4F8EF12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信息发送</w:t>
            </w:r>
          </w:p>
        </w:tc>
        <w:tc>
          <w:tcPr>
            <w:tcW w:w="6813" w:type="dxa"/>
            <w:tcBorders>
              <w:top w:val="single" w:color="auto" w:sz="4" w:space="0"/>
              <w:left w:val="single" w:color="auto" w:sz="4" w:space="0"/>
              <w:bottom w:val="single" w:color="auto" w:sz="4" w:space="0"/>
            </w:tcBorders>
            <w:vAlign w:val="center"/>
          </w:tcPr>
          <w:p w14:paraId="23211D71">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能够指定好友、好友群发送消息。</w:t>
            </w:r>
          </w:p>
        </w:tc>
      </w:tr>
      <w:tr w14:paraId="2CEF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127C254">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4119F7D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信息接收与提醒</w:t>
            </w:r>
          </w:p>
        </w:tc>
        <w:tc>
          <w:tcPr>
            <w:tcW w:w="6813" w:type="dxa"/>
            <w:tcBorders>
              <w:top w:val="single" w:color="auto" w:sz="4" w:space="0"/>
              <w:left w:val="single" w:color="auto" w:sz="4" w:space="0"/>
              <w:bottom w:val="single" w:color="auto" w:sz="4" w:space="0"/>
            </w:tcBorders>
            <w:vAlign w:val="center"/>
          </w:tcPr>
          <w:p w14:paraId="7B22964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收到消息时，具备消息提醒功能。</w:t>
            </w:r>
          </w:p>
        </w:tc>
      </w:tr>
      <w:tr w14:paraId="6BDA56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6B7D79F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报告归档</w:t>
            </w:r>
          </w:p>
        </w:tc>
        <w:tc>
          <w:tcPr>
            <w:tcW w:w="1740" w:type="dxa"/>
            <w:tcBorders>
              <w:top w:val="single" w:color="auto" w:sz="4" w:space="0"/>
              <w:left w:val="single" w:color="auto" w:sz="4" w:space="0"/>
              <w:bottom w:val="single" w:color="auto" w:sz="4" w:space="0"/>
              <w:right w:val="single" w:color="auto" w:sz="4" w:space="0"/>
            </w:tcBorders>
            <w:vAlign w:val="center"/>
          </w:tcPr>
          <w:p w14:paraId="6AFC27D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报告归档</w:t>
            </w:r>
          </w:p>
        </w:tc>
        <w:tc>
          <w:tcPr>
            <w:tcW w:w="6813" w:type="dxa"/>
            <w:tcBorders>
              <w:top w:val="single" w:color="auto" w:sz="4" w:space="0"/>
              <w:left w:val="single" w:color="auto" w:sz="4" w:space="0"/>
              <w:bottom w:val="single" w:color="auto" w:sz="4" w:space="0"/>
            </w:tcBorders>
            <w:vAlign w:val="center"/>
          </w:tcPr>
          <w:p w14:paraId="7B32210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系统支持报告生成PDF格式进行归档。</w:t>
            </w:r>
          </w:p>
        </w:tc>
      </w:tr>
      <w:tr w14:paraId="1045AD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4BE0EF27">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数据管理</w:t>
            </w:r>
          </w:p>
        </w:tc>
        <w:tc>
          <w:tcPr>
            <w:tcW w:w="1740" w:type="dxa"/>
            <w:tcBorders>
              <w:top w:val="single" w:color="auto" w:sz="4" w:space="0"/>
              <w:left w:val="single" w:color="auto" w:sz="4" w:space="0"/>
              <w:bottom w:val="single" w:color="auto" w:sz="4" w:space="0"/>
              <w:right w:val="single" w:color="auto" w:sz="4" w:space="0"/>
            </w:tcBorders>
            <w:vAlign w:val="center"/>
          </w:tcPr>
          <w:p w14:paraId="26436F4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数据采集与治理</w:t>
            </w:r>
          </w:p>
        </w:tc>
        <w:tc>
          <w:tcPr>
            <w:tcW w:w="6813" w:type="dxa"/>
            <w:tcBorders>
              <w:top w:val="single" w:color="auto" w:sz="4" w:space="0"/>
              <w:left w:val="single" w:color="auto" w:sz="4" w:space="0"/>
              <w:bottom w:val="single" w:color="auto" w:sz="4" w:space="0"/>
            </w:tcBorders>
            <w:vAlign w:val="center"/>
          </w:tcPr>
          <w:p w14:paraId="260A05F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能够采集医院所有医技科室数据，并提供大数据清洗服务，满足数据的分析与应用要求。</w:t>
            </w:r>
          </w:p>
        </w:tc>
      </w:tr>
      <w:tr w14:paraId="3482CE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AA577B5">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76B2C2E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数据检索</w:t>
            </w:r>
          </w:p>
        </w:tc>
        <w:tc>
          <w:tcPr>
            <w:tcW w:w="6813" w:type="dxa"/>
            <w:tcBorders>
              <w:top w:val="single" w:color="auto" w:sz="4" w:space="0"/>
              <w:left w:val="single" w:color="auto" w:sz="4" w:space="0"/>
              <w:bottom w:val="single" w:color="auto" w:sz="4" w:space="0"/>
            </w:tcBorders>
            <w:vAlign w:val="center"/>
          </w:tcPr>
          <w:p w14:paraId="5EA965F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提供高效的大数据检索功能，可以按照不同字段的复合查询进行检索。</w:t>
            </w:r>
          </w:p>
        </w:tc>
      </w:tr>
      <w:tr w14:paraId="3DEF24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38E3447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科室微助手</w:t>
            </w:r>
          </w:p>
        </w:tc>
        <w:tc>
          <w:tcPr>
            <w:tcW w:w="1740" w:type="dxa"/>
            <w:tcBorders>
              <w:top w:val="single" w:color="auto" w:sz="4" w:space="0"/>
              <w:left w:val="single" w:color="auto" w:sz="4" w:space="0"/>
              <w:bottom w:val="single" w:color="auto" w:sz="4" w:space="0"/>
              <w:right w:val="single" w:color="auto" w:sz="4" w:space="0"/>
            </w:tcBorders>
            <w:vAlign w:val="center"/>
          </w:tcPr>
          <w:p w14:paraId="6DB8BCE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排班管理</w:t>
            </w:r>
          </w:p>
        </w:tc>
        <w:tc>
          <w:tcPr>
            <w:tcW w:w="6813" w:type="dxa"/>
            <w:tcBorders>
              <w:top w:val="single" w:color="auto" w:sz="4" w:space="0"/>
              <w:left w:val="single" w:color="auto" w:sz="4" w:space="0"/>
              <w:bottom w:val="single" w:color="auto" w:sz="4" w:space="0"/>
            </w:tcBorders>
            <w:vAlign w:val="center"/>
          </w:tcPr>
          <w:p w14:paraId="1E3AB7E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能够方便</w:t>
            </w:r>
            <w:r>
              <w:rPr>
                <w:rFonts w:hint="eastAsia" w:ascii="宋体" w:hAnsi="宋体" w:cs="宋体"/>
                <w:sz w:val="21"/>
                <w:szCs w:val="21"/>
                <w:highlight w:val="none"/>
                <w:lang w:val="zh-CN"/>
              </w:rPr>
              <w:t>地</w:t>
            </w:r>
            <w:r>
              <w:rPr>
                <w:rFonts w:hint="eastAsia" w:ascii="宋体" w:hAnsi="宋体" w:eastAsia="宋体" w:cs="宋体"/>
                <w:sz w:val="21"/>
                <w:szCs w:val="21"/>
                <w:highlight w:val="none"/>
                <w:lang w:val="zh-CN"/>
              </w:rPr>
              <w:t>执行排班，并在移动端查看排班情况。</w:t>
            </w:r>
          </w:p>
        </w:tc>
      </w:tr>
      <w:tr w14:paraId="23BA93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715D922B">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21FF957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交接班管理</w:t>
            </w:r>
          </w:p>
        </w:tc>
        <w:tc>
          <w:tcPr>
            <w:tcW w:w="6813" w:type="dxa"/>
            <w:tcBorders>
              <w:top w:val="single" w:color="auto" w:sz="4" w:space="0"/>
              <w:left w:val="single" w:color="auto" w:sz="4" w:space="0"/>
              <w:bottom w:val="single" w:color="auto" w:sz="4" w:space="0"/>
            </w:tcBorders>
            <w:vAlign w:val="center"/>
          </w:tcPr>
          <w:p w14:paraId="62C1DE6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能够电子化管理交接班记录。</w:t>
            </w:r>
          </w:p>
        </w:tc>
      </w:tr>
      <w:tr w14:paraId="3EEF06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7E139F1">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54CBBE0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随手记</w:t>
            </w:r>
          </w:p>
        </w:tc>
        <w:tc>
          <w:tcPr>
            <w:tcW w:w="6813" w:type="dxa"/>
            <w:tcBorders>
              <w:top w:val="single" w:color="auto" w:sz="4" w:space="0"/>
              <w:left w:val="single" w:color="auto" w:sz="4" w:space="0"/>
              <w:bottom w:val="single" w:color="auto" w:sz="4" w:space="0"/>
            </w:tcBorders>
            <w:vAlign w:val="center"/>
          </w:tcPr>
          <w:p w14:paraId="10DA64D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能够根据权限的不同分为科室专区和个人专区，以文本，移动端拍照，本地图片上传等方式编辑。</w:t>
            </w:r>
          </w:p>
        </w:tc>
      </w:tr>
      <w:tr w14:paraId="7880D3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5FB37144">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024233EC">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科室日历</w:t>
            </w:r>
          </w:p>
        </w:tc>
        <w:tc>
          <w:tcPr>
            <w:tcW w:w="6813" w:type="dxa"/>
            <w:tcBorders>
              <w:top w:val="single" w:color="auto" w:sz="4" w:space="0"/>
              <w:left w:val="single" w:color="auto" w:sz="4" w:space="0"/>
              <w:bottom w:val="single" w:color="auto" w:sz="4" w:space="0"/>
            </w:tcBorders>
            <w:vAlign w:val="center"/>
          </w:tcPr>
          <w:p w14:paraId="66CBF1F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能够将科室的授课计划等以日历的形式展示，并提醒授课老师及学员及时参加。</w:t>
            </w:r>
          </w:p>
        </w:tc>
      </w:tr>
      <w:tr w14:paraId="7C0E1F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1E38DDE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科室运营管理</w:t>
            </w:r>
          </w:p>
        </w:tc>
        <w:tc>
          <w:tcPr>
            <w:tcW w:w="1740" w:type="dxa"/>
            <w:tcBorders>
              <w:top w:val="single" w:color="auto" w:sz="4" w:space="0"/>
              <w:left w:val="single" w:color="auto" w:sz="4" w:space="0"/>
              <w:bottom w:val="single" w:color="auto" w:sz="4" w:space="0"/>
              <w:right w:val="single" w:color="auto" w:sz="4" w:space="0"/>
            </w:tcBorders>
            <w:vAlign w:val="center"/>
          </w:tcPr>
          <w:p w14:paraId="18168B0D">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科室驾驶舱</w:t>
            </w:r>
          </w:p>
        </w:tc>
        <w:tc>
          <w:tcPr>
            <w:tcW w:w="6813" w:type="dxa"/>
            <w:tcBorders>
              <w:top w:val="single" w:color="auto" w:sz="4" w:space="0"/>
              <w:left w:val="single" w:color="auto" w:sz="4" w:space="0"/>
              <w:bottom w:val="single" w:color="auto" w:sz="4" w:space="0"/>
            </w:tcBorders>
            <w:vAlign w:val="center"/>
          </w:tcPr>
          <w:p w14:paraId="3CDF700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能够以大屏展示科室的运行情况，将重要数据、工作进度实时展示。</w:t>
            </w:r>
          </w:p>
        </w:tc>
      </w:tr>
      <w:tr w14:paraId="6935D1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5160141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集成浏览</w:t>
            </w:r>
          </w:p>
        </w:tc>
        <w:tc>
          <w:tcPr>
            <w:tcW w:w="1740" w:type="dxa"/>
            <w:tcBorders>
              <w:top w:val="single" w:color="auto" w:sz="4" w:space="0"/>
              <w:left w:val="single" w:color="auto" w:sz="4" w:space="0"/>
              <w:bottom w:val="single" w:color="auto" w:sz="4" w:space="0"/>
              <w:right w:val="single" w:color="auto" w:sz="4" w:space="0"/>
            </w:tcBorders>
            <w:vAlign w:val="center"/>
          </w:tcPr>
          <w:p w14:paraId="4EDA385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数据调阅</w:t>
            </w:r>
          </w:p>
        </w:tc>
        <w:tc>
          <w:tcPr>
            <w:tcW w:w="6813" w:type="dxa"/>
            <w:tcBorders>
              <w:top w:val="single" w:color="auto" w:sz="4" w:space="0"/>
              <w:left w:val="single" w:color="auto" w:sz="4" w:space="0"/>
              <w:bottom w:val="single" w:color="auto" w:sz="4" w:space="0"/>
            </w:tcBorders>
            <w:vAlign w:val="center"/>
          </w:tcPr>
          <w:p w14:paraId="78608D7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实现检查过程中对不同院区、不同业务系统的医疗文书、检查结果的调阅，满足检查部门工作过程中对辅助检查的调阅需求，实现信息化闭环管理。能够在同一界面内查询患者各项历史记录信息。患者能够在移动端查看检查结果，包括图文报告及影像图片。</w:t>
            </w:r>
          </w:p>
        </w:tc>
      </w:tr>
      <w:tr w14:paraId="19780E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6E925482">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3128FBB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影像后处理</w:t>
            </w:r>
          </w:p>
        </w:tc>
        <w:tc>
          <w:tcPr>
            <w:tcW w:w="6813" w:type="dxa"/>
            <w:tcBorders>
              <w:top w:val="single" w:color="auto" w:sz="4" w:space="0"/>
              <w:left w:val="single" w:color="auto" w:sz="4" w:space="0"/>
              <w:bottom w:val="single" w:color="auto" w:sz="4" w:space="0"/>
            </w:tcBorders>
            <w:vAlign w:val="center"/>
          </w:tcPr>
          <w:p w14:paraId="70DBED9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临床科室能通过影像浏览器对病人检查影像进行如三维重建、图像拼接、支持采集后图像黑边黑角自动识别裁剪等后处理功能，为临床提供图像分析功能。</w:t>
            </w:r>
          </w:p>
        </w:tc>
      </w:tr>
      <w:tr w14:paraId="197BC8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174502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自助打印</w:t>
            </w:r>
          </w:p>
        </w:tc>
        <w:tc>
          <w:tcPr>
            <w:tcW w:w="1740" w:type="dxa"/>
            <w:tcBorders>
              <w:top w:val="single" w:color="auto" w:sz="4" w:space="0"/>
              <w:left w:val="single" w:color="auto" w:sz="4" w:space="0"/>
              <w:bottom w:val="single" w:color="auto" w:sz="4" w:space="0"/>
              <w:right w:val="single" w:color="auto" w:sz="4" w:space="0"/>
            </w:tcBorders>
            <w:vAlign w:val="center"/>
          </w:tcPr>
          <w:p w14:paraId="743B3EF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自助机打印</w:t>
            </w:r>
          </w:p>
        </w:tc>
        <w:tc>
          <w:tcPr>
            <w:tcW w:w="6813" w:type="dxa"/>
            <w:tcBorders>
              <w:top w:val="single" w:color="auto" w:sz="4" w:space="0"/>
              <w:left w:val="single" w:color="auto" w:sz="4" w:space="0"/>
              <w:bottom w:val="single" w:color="auto" w:sz="4" w:space="0"/>
            </w:tcBorders>
            <w:vAlign w:val="center"/>
          </w:tcPr>
          <w:p w14:paraId="6C699F4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可以为患者提供自助机打印功能。</w:t>
            </w:r>
          </w:p>
        </w:tc>
      </w:tr>
      <w:tr w14:paraId="7FDFC2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282EF00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集成接口</w:t>
            </w:r>
          </w:p>
        </w:tc>
        <w:tc>
          <w:tcPr>
            <w:tcW w:w="1740" w:type="dxa"/>
            <w:tcBorders>
              <w:top w:val="single" w:color="auto" w:sz="4" w:space="0"/>
              <w:left w:val="single" w:color="auto" w:sz="4" w:space="0"/>
              <w:bottom w:val="single" w:color="auto" w:sz="4" w:space="0"/>
              <w:right w:val="single" w:color="auto" w:sz="4" w:space="0"/>
            </w:tcBorders>
            <w:vAlign w:val="center"/>
          </w:tcPr>
          <w:p w14:paraId="62F06BA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与HIS/EMR/体检系统/手麻系统/病理系统/呼吸专科大数据平台/碳13、碳14系统/危急值平台/CA认证/集成平台/医保电子凭证等对接</w:t>
            </w:r>
          </w:p>
        </w:tc>
        <w:tc>
          <w:tcPr>
            <w:tcW w:w="6813" w:type="dxa"/>
            <w:tcBorders>
              <w:top w:val="single" w:color="auto" w:sz="4" w:space="0"/>
              <w:left w:val="single" w:color="auto" w:sz="4" w:space="0"/>
              <w:bottom w:val="single" w:color="auto" w:sz="4" w:space="0"/>
            </w:tcBorders>
            <w:vAlign w:val="center"/>
          </w:tcPr>
          <w:p w14:paraId="404AC24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与HIS/EMR/体检系统/手麻系统/病理系统/呼吸专科大数据平台/碳13、碳14系统/危急值平台/CA认证/集成平台/医保电子凭证等完成全面的对接工作，实现检查申请单、收费、标本核收、检查项目同步等的流程闭环，并能实现危急值上报管理功能。</w:t>
            </w:r>
          </w:p>
        </w:tc>
      </w:tr>
      <w:tr w14:paraId="73CFBA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355BCAF5">
            <w:pPr>
              <w:shd w:val="clear"/>
              <w:spacing w:line="240" w:lineRule="auto"/>
              <w:ind w:firstLine="0"/>
              <w:jc w:val="center"/>
              <w:rPr>
                <w:rFonts w:hint="eastAsia" w:ascii="宋体" w:hAnsi="宋体" w:eastAsia="宋体" w:cs="宋体"/>
                <w:sz w:val="21"/>
                <w:szCs w:val="21"/>
                <w:highlight w:val="none"/>
                <w:lang w:val="zh-CN"/>
              </w:rPr>
            </w:pPr>
          </w:p>
        </w:tc>
        <w:tc>
          <w:tcPr>
            <w:tcW w:w="1740" w:type="dxa"/>
            <w:tcBorders>
              <w:top w:val="single" w:color="auto" w:sz="4" w:space="0"/>
              <w:left w:val="single" w:color="auto" w:sz="4" w:space="0"/>
              <w:bottom w:val="single" w:color="auto" w:sz="4" w:space="0"/>
              <w:right w:val="single" w:color="auto" w:sz="4" w:space="0"/>
            </w:tcBorders>
            <w:vAlign w:val="center"/>
          </w:tcPr>
          <w:p w14:paraId="5B10F57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历史数据迁移</w:t>
            </w:r>
          </w:p>
        </w:tc>
        <w:tc>
          <w:tcPr>
            <w:tcW w:w="6813" w:type="dxa"/>
            <w:tcBorders>
              <w:top w:val="single" w:color="auto" w:sz="4" w:space="0"/>
              <w:left w:val="single" w:color="auto" w:sz="4" w:space="0"/>
              <w:bottom w:val="single" w:color="auto" w:sz="4" w:space="0"/>
            </w:tcBorders>
            <w:vAlign w:val="center"/>
          </w:tcPr>
          <w:p w14:paraId="305566A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需将原有系统中的内镜数据、影像图片迁移至新系统，方便各科室在同一系统对历史数据的报告查询、影像图片调阅。</w:t>
            </w:r>
          </w:p>
        </w:tc>
      </w:tr>
      <w:tr w14:paraId="51E9A8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116117E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w:t>
            </w:r>
          </w:p>
        </w:tc>
        <w:tc>
          <w:tcPr>
            <w:tcW w:w="1740" w:type="dxa"/>
            <w:tcBorders>
              <w:top w:val="single" w:color="auto" w:sz="4" w:space="0"/>
              <w:left w:val="single" w:color="auto" w:sz="4" w:space="0"/>
              <w:bottom w:val="single" w:color="auto" w:sz="4" w:space="0"/>
              <w:right w:val="single" w:color="auto" w:sz="4" w:space="0"/>
            </w:tcBorders>
            <w:vAlign w:val="center"/>
          </w:tcPr>
          <w:p w14:paraId="1037E06C">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设备接口对接</w:t>
            </w:r>
          </w:p>
        </w:tc>
        <w:tc>
          <w:tcPr>
            <w:tcW w:w="6813" w:type="dxa"/>
            <w:tcBorders>
              <w:top w:val="single" w:color="auto" w:sz="4" w:space="0"/>
              <w:left w:val="single" w:color="auto" w:sz="4" w:space="0"/>
              <w:bottom w:val="single" w:color="auto" w:sz="4" w:space="0"/>
            </w:tcBorders>
            <w:vAlign w:val="center"/>
          </w:tcPr>
          <w:p w14:paraId="6094EB2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支持医院现有医疗设备接口对接，包括但不限于DICOM，采集卡等方式，并支持</w:t>
            </w:r>
            <w:r>
              <w:rPr>
                <w:rFonts w:hint="eastAsia" w:ascii="宋体" w:hAnsi="宋体" w:cs="宋体"/>
                <w:sz w:val="21"/>
                <w:szCs w:val="21"/>
                <w:highlight w:val="none"/>
                <w:lang w:val="zh-CN"/>
              </w:rPr>
              <w:t>项目硬件维护期、软件运维期</w:t>
            </w:r>
            <w:r>
              <w:rPr>
                <w:rFonts w:hint="eastAsia" w:ascii="宋体" w:hAnsi="宋体" w:eastAsia="宋体" w:cs="宋体"/>
                <w:sz w:val="21"/>
                <w:szCs w:val="21"/>
                <w:highlight w:val="none"/>
                <w:lang w:val="zh-CN"/>
              </w:rPr>
              <w:t>内新增设备对接工作。</w:t>
            </w:r>
          </w:p>
        </w:tc>
      </w:tr>
      <w:tr w14:paraId="55C78B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0C4B4C2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多院区</w:t>
            </w:r>
          </w:p>
        </w:tc>
        <w:tc>
          <w:tcPr>
            <w:tcW w:w="1740" w:type="dxa"/>
            <w:tcBorders>
              <w:top w:val="single" w:color="auto" w:sz="4" w:space="0"/>
              <w:left w:val="single" w:color="auto" w:sz="4" w:space="0"/>
              <w:bottom w:val="single" w:color="auto" w:sz="4" w:space="0"/>
              <w:right w:val="single" w:color="auto" w:sz="4" w:space="0"/>
            </w:tcBorders>
            <w:vAlign w:val="center"/>
          </w:tcPr>
          <w:p w14:paraId="0B4B50A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多院区</w:t>
            </w:r>
          </w:p>
        </w:tc>
        <w:tc>
          <w:tcPr>
            <w:tcW w:w="6813" w:type="dxa"/>
            <w:tcBorders>
              <w:top w:val="single" w:color="auto" w:sz="4" w:space="0"/>
              <w:left w:val="single" w:color="auto" w:sz="4" w:space="0"/>
              <w:bottom w:val="single" w:color="auto" w:sz="4" w:space="0"/>
            </w:tcBorders>
            <w:vAlign w:val="center"/>
          </w:tcPr>
          <w:p w14:paraId="31B7EC37">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支持多院区模式对接使用。</w:t>
            </w:r>
          </w:p>
        </w:tc>
      </w:tr>
      <w:tr w14:paraId="229922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1AEA36EF">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站点</w:t>
            </w:r>
          </w:p>
        </w:tc>
        <w:tc>
          <w:tcPr>
            <w:tcW w:w="1740" w:type="dxa"/>
            <w:tcBorders>
              <w:top w:val="single" w:color="auto" w:sz="4" w:space="0"/>
              <w:left w:val="single" w:color="auto" w:sz="4" w:space="0"/>
              <w:bottom w:val="single" w:color="auto" w:sz="4" w:space="0"/>
              <w:right w:val="single" w:color="auto" w:sz="4" w:space="0"/>
            </w:tcBorders>
            <w:vAlign w:val="center"/>
          </w:tcPr>
          <w:p w14:paraId="639DD650">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站点</w:t>
            </w:r>
          </w:p>
        </w:tc>
        <w:tc>
          <w:tcPr>
            <w:tcW w:w="6813" w:type="dxa"/>
            <w:tcBorders>
              <w:top w:val="single" w:color="auto" w:sz="4" w:space="0"/>
              <w:left w:val="single" w:color="auto" w:sz="4" w:space="0"/>
              <w:bottom w:val="single" w:color="auto" w:sz="4" w:space="0"/>
            </w:tcBorders>
            <w:vAlign w:val="center"/>
          </w:tcPr>
          <w:p w14:paraId="541AD854">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系统不限制工作站点数量及使用期限，支持按需配置工作站点功能。</w:t>
            </w:r>
          </w:p>
        </w:tc>
      </w:tr>
      <w:tr w14:paraId="160195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0F29618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w:t>
            </w:r>
          </w:p>
        </w:tc>
        <w:tc>
          <w:tcPr>
            <w:tcW w:w="1740" w:type="dxa"/>
            <w:tcBorders>
              <w:top w:val="single" w:color="auto" w:sz="4" w:space="0"/>
              <w:left w:val="single" w:color="auto" w:sz="4" w:space="0"/>
              <w:bottom w:val="single" w:color="auto" w:sz="4" w:space="0"/>
              <w:right w:val="single" w:color="auto" w:sz="4" w:space="0"/>
            </w:tcBorders>
            <w:vAlign w:val="center"/>
          </w:tcPr>
          <w:p w14:paraId="5345A85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设备接口</w:t>
            </w:r>
          </w:p>
        </w:tc>
        <w:tc>
          <w:tcPr>
            <w:tcW w:w="6813" w:type="dxa"/>
            <w:tcBorders>
              <w:top w:val="single" w:color="auto" w:sz="4" w:space="0"/>
              <w:left w:val="single" w:color="auto" w:sz="4" w:space="0"/>
              <w:bottom w:val="single" w:color="auto" w:sz="4" w:space="0"/>
            </w:tcBorders>
            <w:vAlign w:val="center"/>
          </w:tcPr>
          <w:p w14:paraId="2A4BD27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明确列出质保期后需收费的DICOM设备、非DICOM设备设备对接清单及费用。</w:t>
            </w:r>
          </w:p>
        </w:tc>
      </w:tr>
      <w:tr w14:paraId="04D120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792FDE9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专用耗材</w:t>
            </w:r>
          </w:p>
        </w:tc>
        <w:tc>
          <w:tcPr>
            <w:tcW w:w="1740" w:type="dxa"/>
            <w:tcBorders>
              <w:top w:val="single" w:color="auto" w:sz="4" w:space="0"/>
              <w:left w:val="single" w:color="auto" w:sz="4" w:space="0"/>
              <w:bottom w:val="single" w:color="auto" w:sz="4" w:space="0"/>
              <w:right w:val="single" w:color="auto" w:sz="4" w:space="0"/>
            </w:tcBorders>
            <w:vAlign w:val="center"/>
          </w:tcPr>
          <w:p w14:paraId="2685CBF2">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专用耗材</w:t>
            </w:r>
          </w:p>
        </w:tc>
        <w:tc>
          <w:tcPr>
            <w:tcW w:w="6813" w:type="dxa"/>
            <w:tcBorders>
              <w:top w:val="single" w:color="auto" w:sz="4" w:space="0"/>
              <w:left w:val="single" w:color="auto" w:sz="4" w:space="0"/>
              <w:bottom w:val="single" w:color="auto" w:sz="4" w:space="0"/>
            </w:tcBorders>
            <w:vAlign w:val="center"/>
          </w:tcPr>
          <w:p w14:paraId="25DDDB0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明确列出专用耗材清单，及其费用。</w:t>
            </w:r>
          </w:p>
        </w:tc>
      </w:tr>
      <w:tr w14:paraId="4BF80D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067B98DB">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数据管理</w:t>
            </w:r>
          </w:p>
        </w:tc>
        <w:tc>
          <w:tcPr>
            <w:tcW w:w="1740" w:type="dxa"/>
            <w:tcBorders>
              <w:top w:val="single" w:color="auto" w:sz="4" w:space="0"/>
              <w:left w:val="single" w:color="auto" w:sz="4" w:space="0"/>
              <w:bottom w:val="single" w:color="auto" w:sz="4" w:space="0"/>
              <w:right w:val="single" w:color="auto" w:sz="4" w:space="0"/>
            </w:tcBorders>
            <w:vAlign w:val="center"/>
          </w:tcPr>
          <w:p w14:paraId="2BBB4F8A">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数据管理</w:t>
            </w:r>
          </w:p>
        </w:tc>
        <w:tc>
          <w:tcPr>
            <w:tcW w:w="6813" w:type="dxa"/>
            <w:tcBorders>
              <w:top w:val="single" w:color="auto" w:sz="4" w:space="0"/>
              <w:left w:val="single" w:color="auto" w:sz="4" w:space="0"/>
              <w:bottom w:val="single" w:color="auto" w:sz="4" w:space="0"/>
            </w:tcBorders>
            <w:vAlign w:val="center"/>
          </w:tcPr>
          <w:p w14:paraId="79248CA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除国家法规要求、网络安全相关要求及院内管理要求外，厂家不得对系统内部数据图像报告进行加密。</w:t>
            </w:r>
          </w:p>
        </w:tc>
      </w:tr>
      <w:tr w14:paraId="5DE50C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227C2469">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国产信创</w:t>
            </w:r>
          </w:p>
        </w:tc>
        <w:tc>
          <w:tcPr>
            <w:tcW w:w="1740" w:type="dxa"/>
            <w:tcBorders>
              <w:top w:val="single" w:color="auto" w:sz="4" w:space="0"/>
              <w:left w:val="single" w:color="auto" w:sz="4" w:space="0"/>
              <w:bottom w:val="single" w:color="auto" w:sz="4" w:space="0"/>
              <w:right w:val="single" w:color="auto" w:sz="4" w:space="0"/>
            </w:tcBorders>
            <w:vAlign w:val="center"/>
          </w:tcPr>
          <w:p w14:paraId="35DDC53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国产信创</w:t>
            </w:r>
          </w:p>
        </w:tc>
        <w:tc>
          <w:tcPr>
            <w:tcW w:w="6813" w:type="dxa"/>
            <w:tcBorders>
              <w:top w:val="single" w:color="auto" w:sz="4" w:space="0"/>
              <w:left w:val="single" w:color="auto" w:sz="4" w:space="0"/>
              <w:bottom w:val="single" w:color="auto" w:sz="4" w:space="0"/>
            </w:tcBorders>
            <w:vAlign w:val="center"/>
          </w:tcPr>
          <w:p w14:paraId="5F3491D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▲为保障系统自主可控和信息安全，</w:t>
            </w:r>
            <w:r>
              <w:rPr>
                <w:rFonts w:hint="eastAsia" w:ascii="宋体" w:hAnsi="宋体" w:cs="宋体"/>
                <w:sz w:val="21"/>
                <w:szCs w:val="21"/>
                <w:highlight w:val="none"/>
                <w:lang w:val="zh-CN"/>
              </w:rPr>
              <w:t>投标人</w:t>
            </w:r>
            <w:r>
              <w:rPr>
                <w:rFonts w:hint="eastAsia" w:ascii="宋体" w:hAnsi="宋体" w:eastAsia="宋体" w:cs="宋体"/>
                <w:sz w:val="21"/>
                <w:szCs w:val="21"/>
                <w:highlight w:val="none"/>
                <w:lang w:val="zh-CN"/>
              </w:rPr>
              <w:t>提供的医学影像信息系统需能够适配国产操作系统、国产数据库、国产中间件等国产自主安全平台。</w:t>
            </w:r>
          </w:p>
        </w:tc>
      </w:tr>
      <w:tr w14:paraId="14E67B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tcBorders>
              <w:top w:val="single" w:color="auto" w:sz="4" w:space="0"/>
              <w:bottom w:val="single" w:color="auto" w:sz="4" w:space="0"/>
              <w:right w:val="single" w:color="auto" w:sz="4" w:space="0"/>
            </w:tcBorders>
            <w:vAlign w:val="center"/>
          </w:tcPr>
          <w:p w14:paraId="57B52935">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性能要求</w:t>
            </w:r>
          </w:p>
        </w:tc>
        <w:tc>
          <w:tcPr>
            <w:tcW w:w="1740" w:type="dxa"/>
            <w:tcBorders>
              <w:top w:val="single" w:color="auto" w:sz="4" w:space="0"/>
              <w:left w:val="single" w:color="auto" w:sz="4" w:space="0"/>
              <w:bottom w:val="single" w:color="auto" w:sz="4" w:space="0"/>
              <w:right w:val="single" w:color="auto" w:sz="4" w:space="0"/>
            </w:tcBorders>
            <w:vAlign w:val="center"/>
          </w:tcPr>
          <w:p w14:paraId="02B70E16">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读取速度</w:t>
            </w:r>
          </w:p>
        </w:tc>
        <w:tc>
          <w:tcPr>
            <w:tcW w:w="6813" w:type="dxa"/>
            <w:tcBorders>
              <w:top w:val="single" w:color="auto" w:sz="4" w:space="0"/>
              <w:left w:val="single" w:color="auto" w:sz="4" w:space="0"/>
              <w:bottom w:val="single" w:color="auto" w:sz="4" w:space="0"/>
            </w:tcBorders>
            <w:vAlign w:val="center"/>
          </w:tcPr>
          <w:p w14:paraId="39A2E26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千张图像下载查阅性能≤3秒</w:t>
            </w:r>
          </w:p>
        </w:tc>
      </w:tr>
    </w:tbl>
    <w:p w14:paraId="4B667E95">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10" w:name="_Toc167112553"/>
      <w:r>
        <w:rPr>
          <w:rFonts w:hint="eastAsia" w:ascii="宋体" w:hAnsi="宋体" w:eastAsia="宋体" w:cs="宋体"/>
          <w:b w:val="0"/>
          <w:bCs w:val="0"/>
          <w:smallCaps/>
          <w:sz w:val="21"/>
          <w:szCs w:val="21"/>
          <w:highlight w:val="none"/>
        </w:rPr>
        <w:t>4.4</w:t>
      </w:r>
      <w:r>
        <w:rPr>
          <w:rFonts w:hint="eastAsia" w:ascii="宋体" w:hAnsi="宋体" w:eastAsia="宋体" w:cs="宋体"/>
          <w:b w:val="0"/>
          <w:bCs w:val="0"/>
          <w:smallCaps/>
          <w:sz w:val="21"/>
          <w:szCs w:val="21"/>
          <w:highlight w:val="none"/>
        </w:rPr>
        <w:tab/>
      </w:r>
      <w:r>
        <w:rPr>
          <w:rFonts w:hint="eastAsia" w:ascii="宋体" w:hAnsi="宋体" w:eastAsia="宋体" w:cs="宋体"/>
          <w:b w:val="0"/>
          <w:bCs w:val="0"/>
          <w:smallCaps/>
          <w:sz w:val="21"/>
          <w:szCs w:val="21"/>
          <w:highlight w:val="none"/>
          <w:lang w:val="zh-CN"/>
        </w:rPr>
        <w:t>检查智能预约系统</w:t>
      </w:r>
      <w:bookmarkEnd w:id="10"/>
    </w:p>
    <w:tbl>
      <w:tblPr>
        <w:tblStyle w:val="4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53"/>
        <w:gridCol w:w="1740"/>
        <w:gridCol w:w="6780"/>
      </w:tblGrid>
      <w:tr w14:paraId="478A1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1053" w:type="dxa"/>
            <w:tcBorders>
              <w:top w:val="single" w:color="auto" w:sz="4" w:space="0"/>
              <w:bottom w:val="single" w:color="auto" w:sz="4" w:space="0"/>
              <w:right w:val="single" w:color="auto" w:sz="4" w:space="0"/>
            </w:tcBorders>
            <w:shd w:val="clear" w:color="auto" w:fill="F2F2F2"/>
            <w:vAlign w:val="center"/>
          </w:tcPr>
          <w:p w14:paraId="6EC36DC9">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模块</w:t>
            </w:r>
          </w:p>
        </w:tc>
        <w:tc>
          <w:tcPr>
            <w:tcW w:w="1740" w:type="dxa"/>
            <w:tcBorders>
              <w:top w:val="single" w:color="auto" w:sz="4" w:space="0"/>
              <w:left w:val="single" w:color="auto" w:sz="4" w:space="0"/>
              <w:bottom w:val="single" w:color="auto" w:sz="4" w:space="0"/>
              <w:right w:val="single" w:color="auto" w:sz="4" w:space="0"/>
            </w:tcBorders>
            <w:shd w:val="clear" w:color="auto" w:fill="F2F2F2"/>
            <w:vAlign w:val="center"/>
          </w:tcPr>
          <w:p w14:paraId="027E0B5F">
            <w:pPr>
              <w:shd w:val="clear"/>
              <w:spacing w:line="240" w:lineRule="auto"/>
              <w:ind w:firstLine="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w:t>
            </w:r>
          </w:p>
        </w:tc>
        <w:tc>
          <w:tcPr>
            <w:tcW w:w="6780" w:type="dxa"/>
            <w:tcBorders>
              <w:top w:val="single" w:color="auto" w:sz="4" w:space="0"/>
              <w:left w:val="single" w:color="auto" w:sz="4" w:space="0"/>
              <w:bottom w:val="single" w:color="auto" w:sz="4" w:space="0"/>
            </w:tcBorders>
            <w:shd w:val="clear" w:color="auto" w:fill="F2F2F2"/>
            <w:vAlign w:val="center"/>
          </w:tcPr>
          <w:p w14:paraId="5DEB9787">
            <w:pPr>
              <w:shd w:val="clear"/>
              <w:spacing w:line="240" w:lineRule="auto"/>
              <w:ind w:firstLine="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t>功能描述</w:t>
            </w:r>
          </w:p>
        </w:tc>
      </w:tr>
      <w:tr w14:paraId="340F47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restart"/>
            <w:tcBorders>
              <w:top w:val="single" w:color="auto" w:sz="4" w:space="0"/>
              <w:bottom w:val="single" w:color="auto" w:sz="4" w:space="0"/>
              <w:right w:val="single" w:color="auto" w:sz="4" w:space="0"/>
            </w:tcBorders>
            <w:vAlign w:val="center"/>
          </w:tcPr>
          <w:p w14:paraId="161C2DDA">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检查智能预约系统</w:t>
            </w:r>
          </w:p>
        </w:tc>
        <w:tc>
          <w:tcPr>
            <w:tcW w:w="1740" w:type="dxa"/>
            <w:tcBorders>
              <w:top w:val="single" w:color="auto" w:sz="4" w:space="0"/>
              <w:left w:val="single" w:color="auto" w:sz="4" w:space="0"/>
              <w:bottom w:val="single" w:color="auto" w:sz="4" w:space="0"/>
              <w:right w:val="single" w:color="auto" w:sz="4" w:space="0"/>
            </w:tcBorders>
            <w:vAlign w:val="center"/>
          </w:tcPr>
          <w:p w14:paraId="3C3095A1">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冲突提醒</w:t>
            </w:r>
          </w:p>
        </w:tc>
        <w:tc>
          <w:tcPr>
            <w:tcW w:w="6780" w:type="dxa"/>
            <w:tcBorders>
              <w:top w:val="single" w:color="auto" w:sz="4" w:space="0"/>
              <w:left w:val="single" w:color="auto" w:sz="4" w:space="0"/>
              <w:bottom w:val="single" w:color="auto" w:sz="4" w:space="0"/>
            </w:tcBorders>
            <w:vAlign w:val="center"/>
          </w:tcPr>
          <w:p w14:paraId="2CBEC39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根据检查项目的药理、病理检查冲突、时间安排冲突，能够给予医生提醒。</w:t>
            </w:r>
          </w:p>
        </w:tc>
      </w:tr>
      <w:tr w14:paraId="2EEB32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53" w:type="dxa"/>
            <w:vMerge w:val="continue"/>
            <w:tcBorders>
              <w:top w:val="single" w:color="auto" w:sz="4" w:space="0"/>
              <w:bottom w:val="single" w:color="auto" w:sz="4" w:space="0"/>
              <w:right w:val="single" w:color="auto" w:sz="4" w:space="0"/>
            </w:tcBorders>
            <w:vAlign w:val="center"/>
          </w:tcPr>
          <w:p w14:paraId="14381EA1">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D406C6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预约推荐</w:t>
            </w:r>
          </w:p>
        </w:tc>
        <w:tc>
          <w:tcPr>
            <w:tcW w:w="6780" w:type="dxa"/>
            <w:tcBorders>
              <w:top w:val="single" w:color="auto" w:sz="4" w:space="0"/>
              <w:left w:val="single" w:color="auto" w:sz="4" w:space="0"/>
              <w:bottom w:val="single" w:color="auto" w:sz="4" w:space="0"/>
            </w:tcBorders>
            <w:vAlign w:val="center"/>
          </w:tcPr>
          <w:p w14:paraId="79D7A803">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能够按照不同检查项目的预约规则，智能化推荐时间最快或路程最短等方案，将检查时间给予预约人参考。</w:t>
            </w:r>
          </w:p>
        </w:tc>
      </w:tr>
      <w:tr w14:paraId="6F4783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021FE95F">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CF5DAC8">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规则配置</w:t>
            </w:r>
          </w:p>
        </w:tc>
        <w:tc>
          <w:tcPr>
            <w:tcW w:w="6780" w:type="dxa"/>
            <w:tcBorders>
              <w:top w:val="single" w:color="auto" w:sz="4" w:space="0"/>
              <w:left w:val="single" w:color="auto" w:sz="4" w:space="0"/>
              <w:bottom w:val="single" w:color="auto" w:sz="4" w:space="0"/>
            </w:tcBorders>
            <w:vAlign w:val="center"/>
          </w:tcPr>
          <w:p w14:paraId="2A3C454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能够提供多种预约资源规则配置，提供预约规则自定义模块以满足科室业务需求。</w:t>
            </w:r>
          </w:p>
        </w:tc>
      </w:tr>
      <w:tr w14:paraId="575919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10DD117B">
            <w:pPr>
              <w:shd w:val="clear"/>
              <w:spacing w:line="240" w:lineRule="auto"/>
              <w:ind w:firstLine="0"/>
              <w:jc w:val="center"/>
              <w:rPr>
                <w:rFonts w:hint="eastAsia" w:ascii="宋体" w:hAnsi="宋体" w:eastAsia="宋体" w:cs="宋体"/>
                <w:sz w:val="21"/>
                <w:szCs w:val="21"/>
                <w:highlight w:val="none"/>
              </w:rPr>
            </w:pPr>
          </w:p>
        </w:tc>
        <w:tc>
          <w:tcPr>
            <w:tcW w:w="1740" w:type="dxa"/>
            <w:vMerge w:val="restart"/>
            <w:tcBorders>
              <w:top w:val="single" w:color="auto" w:sz="4" w:space="0"/>
              <w:left w:val="single" w:color="auto" w:sz="4" w:space="0"/>
              <w:bottom w:val="single" w:color="auto" w:sz="4" w:space="0"/>
              <w:right w:val="single" w:color="auto" w:sz="4" w:space="0"/>
            </w:tcBorders>
            <w:vAlign w:val="center"/>
          </w:tcPr>
          <w:p w14:paraId="5A39AB24">
            <w:pPr>
              <w:shd w:val="clear"/>
              <w:spacing w:line="240" w:lineRule="auto"/>
              <w:ind w:firstLine="0"/>
              <w:jc w:val="center"/>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规则设定</w:t>
            </w:r>
          </w:p>
        </w:tc>
        <w:tc>
          <w:tcPr>
            <w:tcW w:w="6780" w:type="dxa"/>
            <w:tcBorders>
              <w:top w:val="single" w:color="auto" w:sz="4" w:space="0"/>
              <w:left w:val="single" w:color="auto" w:sz="4" w:space="0"/>
              <w:bottom w:val="single" w:color="auto" w:sz="4" w:space="0"/>
            </w:tcBorders>
            <w:vAlign w:val="center"/>
          </w:tcPr>
          <w:p w14:paraId="5743464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相关检查设定能够对应诊室或检查室或设备，设备可一对一或多对一或一对多设定。</w:t>
            </w:r>
          </w:p>
        </w:tc>
      </w:tr>
      <w:tr w14:paraId="71F359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34441EB6">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24547286">
            <w:pPr>
              <w:shd w:val="clear"/>
              <w:spacing w:line="240" w:lineRule="auto"/>
              <w:ind w:firstLine="0"/>
              <w:jc w:val="center"/>
              <w:rPr>
                <w:rFonts w:hint="eastAsia" w:ascii="宋体" w:hAnsi="宋体" w:eastAsia="宋体" w:cs="宋体"/>
                <w:sz w:val="21"/>
                <w:szCs w:val="21"/>
                <w:highlight w:val="none"/>
                <w:lang w:val="zh-CN"/>
              </w:rPr>
            </w:pPr>
          </w:p>
        </w:tc>
        <w:tc>
          <w:tcPr>
            <w:tcW w:w="6780" w:type="dxa"/>
            <w:tcBorders>
              <w:top w:val="single" w:color="auto" w:sz="4" w:space="0"/>
              <w:left w:val="single" w:color="auto" w:sz="4" w:space="0"/>
              <w:bottom w:val="single" w:color="auto" w:sz="4" w:space="0"/>
            </w:tcBorders>
            <w:vAlign w:val="center"/>
          </w:tcPr>
          <w:p w14:paraId="0ED54C12">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能够按检查项目设定特殊时间段或日期。</w:t>
            </w:r>
          </w:p>
        </w:tc>
      </w:tr>
      <w:tr w14:paraId="0E0E7D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5DC0393C">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7E0452DA">
            <w:pPr>
              <w:shd w:val="clear"/>
              <w:spacing w:line="240" w:lineRule="auto"/>
              <w:ind w:firstLine="0"/>
              <w:jc w:val="center"/>
              <w:rPr>
                <w:rFonts w:hint="eastAsia" w:ascii="宋体" w:hAnsi="宋体" w:eastAsia="宋体" w:cs="宋体"/>
                <w:sz w:val="21"/>
                <w:szCs w:val="21"/>
                <w:highlight w:val="none"/>
                <w:lang w:val="zh-CN"/>
              </w:rPr>
            </w:pPr>
          </w:p>
        </w:tc>
        <w:tc>
          <w:tcPr>
            <w:tcW w:w="6780" w:type="dxa"/>
            <w:tcBorders>
              <w:top w:val="single" w:color="auto" w:sz="4" w:space="0"/>
              <w:left w:val="single" w:color="auto" w:sz="4" w:space="0"/>
              <w:bottom w:val="single" w:color="auto" w:sz="4" w:space="0"/>
            </w:tcBorders>
            <w:vAlign w:val="center"/>
          </w:tcPr>
          <w:p w14:paraId="36D9CCE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能够根据各类检查耗时和资源情况设置约检数量上限。</w:t>
            </w:r>
          </w:p>
        </w:tc>
      </w:tr>
      <w:tr w14:paraId="6F1E24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38DFAF93">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2F148410">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6C502A29">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门诊和住院患者同一项目能够预约不同检查室或设备。</w:t>
            </w:r>
          </w:p>
        </w:tc>
      </w:tr>
      <w:tr w14:paraId="38CCA4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73E3923A">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2D00C12D">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5EFBFFE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能够按患者类型设定时间限制与检查最大量限制。</w:t>
            </w:r>
          </w:p>
        </w:tc>
      </w:tr>
      <w:tr w14:paraId="5ECD15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03C7BFBE">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7392F524">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31F387A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提供患者运输方式设定，能够绑定设备或者检查室。</w:t>
            </w:r>
          </w:p>
        </w:tc>
      </w:tr>
      <w:tr w14:paraId="745BC5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586237A6">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34597CCF">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2442FF1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能够按病区设定检查设备或者检查室。</w:t>
            </w:r>
          </w:p>
        </w:tc>
      </w:tr>
      <w:tr w14:paraId="75A6DF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7C6AA942">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4CE6521B">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7752FF4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能够设定某设备某项检查最大检查量。</w:t>
            </w:r>
          </w:p>
        </w:tc>
      </w:tr>
      <w:tr w14:paraId="4B96BB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76963C61">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556922D3">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2248B6E5">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能够设定检查项目是否空腹/憋尿项目，并能够控制按时间段设定最大检查量。</w:t>
            </w:r>
          </w:p>
        </w:tc>
      </w:tr>
      <w:tr w14:paraId="180D13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72114331">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37FA5315">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77AC969F">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能够设定检查项目占用资源数量，并可以灵活修改检查耗时。</w:t>
            </w:r>
          </w:p>
        </w:tc>
      </w:tr>
      <w:tr w14:paraId="169BCC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3A85C4D9">
            <w:pPr>
              <w:shd w:val="clear"/>
              <w:spacing w:line="240" w:lineRule="auto"/>
              <w:ind w:firstLine="0"/>
              <w:jc w:val="center"/>
              <w:rPr>
                <w:rFonts w:hint="eastAsia" w:ascii="宋体" w:hAnsi="宋体" w:eastAsia="宋体" w:cs="宋体"/>
                <w:sz w:val="21"/>
                <w:szCs w:val="21"/>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14:paraId="24DB9EFD">
            <w:pPr>
              <w:shd w:val="clear"/>
              <w:spacing w:line="240" w:lineRule="auto"/>
              <w:ind w:firstLine="0"/>
              <w:jc w:val="center"/>
              <w:rPr>
                <w:rFonts w:hint="eastAsia" w:ascii="宋体" w:hAnsi="宋体" w:eastAsia="宋体" w:cs="宋体"/>
                <w:sz w:val="21"/>
                <w:szCs w:val="21"/>
                <w:highlight w:val="none"/>
              </w:rPr>
            </w:pPr>
          </w:p>
        </w:tc>
        <w:tc>
          <w:tcPr>
            <w:tcW w:w="6780" w:type="dxa"/>
            <w:tcBorders>
              <w:top w:val="single" w:color="auto" w:sz="4" w:space="0"/>
              <w:left w:val="single" w:color="auto" w:sz="4" w:space="0"/>
              <w:bottom w:val="single" w:color="auto" w:sz="4" w:space="0"/>
            </w:tcBorders>
            <w:vAlign w:val="center"/>
          </w:tcPr>
          <w:p w14:paraId="4C431A16">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多张检查申请单能够合并预约，并智能推荐时间，一键预约。</w:t>
            </w:r>
          </w:p>
        </w:tc>
      </w:tr>
      <w:tr w14:paraId="5D371F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741CE15F">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AD13A13">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资源优先级</w:t>
            </w:r>
          </w:p>
        </w:tc>
        <w:tc>
          <w:tcPr>
            <w:tcW w:w="6780" w:type="dxa"/>
            <w:tcBorders>
              <w:top w:val="single" w:color="auto" w:sz="4" w:space="0"/>
              <w:left w:val="single" w:color="auto" w:sz="4" w:space="0"/>
              <w:bottom w:val="single" w:color="auto" w:sz="4" w:space="0"/>
            </w:tcBorders>
            <w:vAlign w:val="center"/>
          </w:tcPr>
          <w:p w14:paraId="08A2B1C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能够对检查设备/检查室/检查项目类别等自定义分类资源设置优先级，可以按患者类型设定预约优先级。</w:t>
            </w:r>
          </w:p>
        </w:tc>
      </w:tr>
      <w:tr w14:paraId="1ED70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12F5CDA9">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629985B">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检查预约</w:t>
            </w:r>
          </w:p>
        </w:tc>
        <w:tc>
          <w:tcPr>
            <w:tcW w:w="6780" w:type="dxa"/>
            <w:tcBorders>
              <w:top w:val="single" w:color="auto" w:sz="4" w:space="0"/>
              <w:left w:val="single" w:color="auto" w:sz="4" w:space="0"/>
              <w:bottom w:val="single" w:color="auto" w:sz="4" w:space="0"/>
            </w:tcBorders>
            <w:vAlign w:val="center"/>
          </w:tcPr>
          <w:p w14:paraId="5C84E72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需满足医技科室预约、医生诊间预约、护士站预约、预约中心预约、患者移动端或自助机预约等应用场景，并以此实现患者做各类影像检查高效的检查排程、合理地安排符合医学规则的检查顺序、告知患者精确到一个时段的检查时间、减少患者到影像科室的往返和在影像科室的等待时间。</w:t>
            </w:r>
          </w:p>
        </w:tc>
      </w:tr>
      <w:tr w14:paraId="2807A7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4C13CC47">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00935D5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预留放号数</w:t>
            </w:r>
          </w:p>
        </w:tc>
        <w:tc>
          <w:tcPr>
            <w:tcW w:w="6780" w:type="dxa"/>
            <w:tcBorders>
              <w:top w:val="single" w:color="auto" w:sz="4" w:space="0"/>
              <w:left w:val="single" w:color="auto" w:sz="4" w:space="0"/>
              <w:bottom w:val="single" w:color="auto" w:sz="4" w:space="0"/>
            </w:tcBorders>
            <w:vAlign w:val="center"/>
          </w:tcPr>
          <w:p w14:paraId="1154BD40">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提供预留放号数设置功能，有预留权限的用户可以提前占用某个时间段的一个或多个放号数，排队号能够预留。</w:t>
            </w:r>
          </w:p>
        </w:tc>
      </w:tr>
      <w:tr w14:paraId="0F09D5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23F43C05">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7912B8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VIP预约</w:t>
            </w:r>
          </w:p>
        </w:tc>
        <w:tc>
          <w:tcPr>
            <w:tcW w:w="6780" w:type="dxa"/>
            <w:tcBorders>
              <w:top w:val="single" w:color="auto" w:sz="4" w:space="0"/>
              <w:left w:val="single" w:color="auto" w:sz="4" w:space="0"/>
              <w:bottom w:val="single" w:color="auto" w:sz="4" w:space="0"/>
            </w:tcBorders>
            <w:vAlign w:val="center"/>
          </w:tcPr>
          <w:p w14:paraId="481BBF6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能够对VIP预约进行权限控制，且能够隐藏VIP叫号队列，不影响常规预约。</w:t>
            </w:r>
          </w:p>
        </w:tc>
      </w:tr>
      <w:tr w14:paraId="206F00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45DB31B8">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5897E5E6">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信息同步</w:t>
            </w:r>
          </w:p>
        </w:tc>
        <w:tc>
          <w:tcPr>
            <w:tcW w:w="6780" w:type="dxa"/>
            <w:tcBorders>
              <w:top w:val="single" w:color="auto" w:sz="4" w:space="0"/>
              <w:left w:val="single" w:color="auto" w:sz="4" w:space="0"/>
              <w:bottom w:val="single" w:color="auto" w:sz="4" w:space="0"/>
            </w:tcBorders>
            <w:vAlign w:val="center"/>
          </w:tcPr>
          <w:p w14:paraId="7BFF1601">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▲预约结果信息能够反馈医院HIS/EMR等系统。预约中心、患者移动端等途径可动态查询排序、等候人数及预计等候时间。</w:t>
            </w:r>
          </w:p>
        </w:tc>
      </w:tr>
      <w:tr w14:paraId="2EA7A6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4041B37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3BA2234A">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耗时分析</w:t>
            </w:r>
          </w:p>
        </w:tc>
        <w:tc>
          <w:tcPr>
            <w:tcW w:w="6780" w:type="dxa"/>
            <w:tcBorders>
              <w:top w:val="single" w:color="auto" w:sz="4" w:space="0"/>
              <w:left w:val="single" w:color="auto" w:sz="4" w:space="0"/>
              <w:bottom w:val="single" w:color="auto" w:sz="4" w:space="0"/>
            </w:tcBorders>
            <w:vAlign w:val="center"/>
          </w:tcPr>
          <w:p w14:paraId="171FAF3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提供预约耗时分析及统计功能，能够从开单时间、预约完成时间、检查开始时间、检查完成、报告结束时间进行跟踪、统计。</w:t>
            </w:r>
          </w:p>
        </w:tc>
      </w:tr>
      <w:tr w14:paraId="6BCEFD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3E09E335">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E07CD4A">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跨院区预约</w:t>
            </w:r>
          </w:p>
        </w:tc>
        <w:tc>
          <w:tcPr>
            <w:tcW w:w="6780" w:type="dxa"/>
            <w:tcBorders>
              <w:top w:val="single" w:color="auto" w:sz="4" w:space="0"/>
              <w:left w:val="single" w:color="auto" w:sz="4" w:space="0"/>
              <w:bottom w:val="single" w:color="auto" w:sz="4" w:space="0"/>
            </w:tcBorders>
            <w:vAlign w:val="center"/>
          </w:tcPr>
          <w:p w14:paraId="3860ADDC">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符合医院今后多院区管理模式需求，支持多院区预约资源管理。</w:t>
            </w:r>
          </w:p>
        </w:tc>
      </w:tr>
      <w:tr w14:paraId="5D80BB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397D445A">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17663963">
            <w:pPr>
              <w:shd w:val="clear"/>
              <w:spacing w:line="240" w:lineRule="auto"/>
              <w:ind w:firstLine="0"/>
              <w:jc w:val="center"/>
              <w:rPr>
                <w:rFonts w:hint="eastAsia" w:ascii="宋体" w:hAnsi="宋体" w:eastAsia="宋体" w:cs="宋体"/>
                <w:color w:val="ED7D31"/>
                <w:sz w:val="21"/>
                <w:szCs w:val="21"/>
                <w:highlight w:val="none"/>
              </w:rPr>
            </w:pPr>
            <w:r>
              <w:rPr>
                <w:rFonts w:hint="eastAsia" w:ascii="宋体" w:hAnsi="宋体" w:eastAsia="宋体" w:cs="宋体"/>
                <w:sz w:val="21"/>
                <w:szCs w:val="21"/>
                <w:highlight w:val="none"/>
                <w:lang w:val="zh-CN"/>
              </w:rPr>
              <w:t>号源设置</w:t>
            </w:r>
          </w:p>
        </w:tc>
        <w:tc>
          <w:tcPr>
            <w:tcW w:w="6780" w:type="dxa"/>
            <w:tcBorders>
              <w:top w:val="single" w:color="auto" w:sz="4" w:space="0"/>
              <w:left w:val="single" w:color="auto" w:sz="4" w:space="0"/>
              <w:bottom w:val="single" w:color="auto" w:sz="4" w:space="0"/>
            </w:tcBorders>
            <w:vAlign w:val="center"/>
          </w:tcPr>
          <w:p w14:paraId="10233ACB">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支持各检查科室、各检查室、名专家等分类号源设置；支持授权用户对号源进行维护并发布。</w:t>
            </w:r>
          </w:p>
        </w:tc>
      </w:tr>
      <w:tr w14:paraId="582760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61840A02">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1D826BF6">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预约提示</w:t>
            </w:r>
          </w:p>
        </w:tc>
        <w:tc>
          <w:tcPr>
            <w:tcW w:w="6780" w:type="dxa"/>
            <w:tcBorders>
              <w:top w:val="single" w:color="auto" w:sz="4" w:space="0"/>
              <w:left w:val="single" w:color="auto" w:sz="4" w:space="0"/>
              <w:bottom w:val="single" w:color="auto" w:sz="4" w:space="0"/>
            </w:tcBorders>
            <w:vAlign w:val="center"/>
          </w:tcPr>
          <w:p w14:paraId="192DADA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支持预约成功后的注意事项（如空腹、憋尿等）推送提醒功能，支持线上线下推送方式。</w:t>
            </w:r>
          </w:p>
        </w:tc>
      </w:tr>
      <w:tr w14:paraId="47319A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571C1983">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443556CF">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预约管理</w:t>
            </w:r>
          </w:p>
        </w:tc>
        <w:tc>
          <w:tcPr>
            <w:tcW w:w="6780" w:type="dxa"/>
            <w:tcBorders>
              <w:top w:val="single" w:color="auto" w:sz="4" w:space="0"/>
              <w:left w:val="single" w:color="auto" w:sz="4" w:space="0"/>
              <w:bottom w:val="single" w:color="auto" w:sz="4" w:space="0"/>
            </w:tcBorders>
            <w:vAlign w:val="center"/>
          </w:tcPr>
          <w:p w14:paraId="0053AB38">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具有预约失信惩罚机制，可自主设定爽约、迟到次数上限，并在预约界面进行提示</w:t>
            </w:r>
            <w:r>
              <w:rPr>
                <w:rFonts w:hint="eastAsia" w:ascii="宋体" w:hAnsi="宋体" w:cs="宋体"/>
                <w:sz w:val="21"/>
                <w:szCs w:val="21"/>
                <w:highlight w:val="none"/>
                <w:lang w:val="zh-CN"/>
              </w:rPr>
              <w:t>。</w:t>
            </w:r>
          </w:p>
        </w:tc>
      </w:tr>
      <w:tr w14:paraId="7FBCD0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vMerge w:val="continue"/>
            <w:tcBorders>
              <w:top w:val="single" w:color="auto" w:sz="4" w:space="0"/>
              <w:bottom w:val="single" w:color="auto" w:sz="4" w:space="0"/>
              <w:right w:val="single" w:color="auto" w:sz="4" w:space="0"/>
            </w:tcBorders>
            <w:vAlign w:val="center"/>
          </w:tcPr>
          <w:p w14:paraId="14DEA621">
            <w:pPr>
              <w:shd w:val="clear"/>
              <w:spacing w:line="240" w:lineRule="auto"/>
              <w:ind w:firstLine="0"/>
              <w:jc w:val="center"/>
              <w:rPr>
                <w:rFonts w:hint="eastAsia" w:ascii="宋体" w:hAnsi="宋体" w:eastAsia="宋体" w:cs="宋体"/>
                <w:sz w:val="21"/>
                <w:szCs w:val="21"/>
                <w:highlight w:val="none"/>
              </w:rPr>
            </w:pPr>
          </w:p>
        </w:tc>
        <w:tc>
          <w:tcPr>
            <w:tcW w:w="1740" w:type="dxa"/>
            <w:tcBorders>
              <w:top w:val="single" w:color="auto" w:sz="4" w:space="0"/>
              <w:left w:val="single" w:color="auto" w:sz="4" w:space="0"/>
              <w:bottom w:val="single" w:color="auto" w:sz="4" w:space="0"/>
              <w:right w:val="single" w:color="auto" w:sz="4" w:space="0"/>
            </w:tcBorders>
            <w:vAlign w:val="center"/>
          </w:tcPr>
          <w:p w14:paraId="29942C6A">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预约候补</w:t>
            </w:r>
          </w:p>
        </w:tc>
        <w:tc>
          <w:tcPr>
            <w:tcW w:w="6780" w:type="dxa"/>
            <w:tcBorders>
              <w:top w:val="single" w:color="auto" w:sz="4" w:space="0"/>
              <w:left w:val="single" w:color="auto" w:sz="4" w:space="0"/>
              <w:bottom w:val="single" w:color="auto" w:sz="4" w:space="0"/>
            </w:tcBorders>
            <w:vAlign w:val="center"/>
          </w:tcPr>
          <w:p w14:paraId="15BF529D">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当预约队列已满，预约候补功能能允许预约人预约该队列作为候补，当队列内人员因故取消预约，可通过线上途径咨询候补队列内人员是否接受预约改签，同意后将该病人预约至现空出队列位置进行预约排序。</w:t>
            </w:r>
          </w:p>
        </w:tc>
      </w:tr>
      <w:tr w14:paraId="497842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tcBorders>
              <w:top w:val="single" w:color="auto" w:sz="4" w:space="0"/>
              <w:bottom w:val="single" w:color="auto" w:sz="4" w:space="0"/>
              <w:right w:val="single" w:color="auto" w:sz="4" w:space="0"/>
            </w:tcBorders>
            <w:vAlign w:val="center"/>
          </w:tcPr>
          <w:p w14:paraId="126BA41E">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多院区</w:t>
            </w:r>
          </w:p>
        </w:tc>
        <w:tc>
          <w:tcPr>
            <w:tcW w:w="1740" w:type="dxa"/>
            <w:tcBorders>
              <w:top w:val="single" w:color="auto" w:sz="4" w:space="0"/>
              <w:left w:val="single" w:color="auto" w:sz="4" w:space="0"/>
              <w:bottom w:val="single" w:color="auto" w:sz="4" w:space="0"/>
              <w:right w:val="single" w:color="auto" w:sz="4" w:space="0"/>
            </w:tcBorders>
            <w:vAlign w:val="center"/>
          </w:tcPr>
          <w:p w14:paraId="01E263F0">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多院区</w:t>
            </w:r>
          </w:p>
        </w:tc>
        <w:tc>
          <w:tcPr>
            <w:tcW w:w="6780" w:type="dxa"/>
            <w:tcBorders>
              <w:top w:val="single" w:color="auto" w:sz="4" w:space="0"/>
              <w:left w:val="single" w:color="auto" w:sz="4" w:space="0"/>
              <w:bottom w:val="single" w:color="auto" w:sz="4" w:space="0"/>
            </w:tcBorders>
            <w:vAlign w:val="center"/>
          </w:tcPr>
          <w:p w14:paraId="3ACE0C3E">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支持多院区模式对接使用。</w:t>
            </w:r>
          </w:p>
        </w:tc>
      </w:tr>
      <w:tr w14:paraId="4CE704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tcBorders>
              <w:top w:val="single" w:color="auto" w:sz="4" w:space="0"/>
              <w:bottom w:val="single" w:color="auto" w:sz="4" w:space="0"/>
              <w:right w:val="single" w:color="auto" w:sz="4" w:space="0"/>
            </w:tcBorders>
            <w:vAlign w:val="center"/>
          </w:tcPr>
          <w:p w14:paraId="5D398CA7">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国产信创</w:t>
            </w:r>
          </w:p>
        </w:tc>
        <w:tc>
          <w:tcPr>
            <w:tcW w:w="1740" w:type="dxa"/>
            <w:tcBorders>
              <w:top w:val="single" w:color="auto" w:sz="4" w:space="0"/>
              <w:left w:val="single" w:color="auto" w:sz="4" w:space="0"/>
              <w:bottom w:val="single" w:color="auto" w:sz="4" w:space="0"/>
              <w:right w:val="single" w:color="auto" w:sz="4" w:space="0"/>
            </w:tcBorders>
            <w:vAlign w:val="center"/>
          </w:tcPr>
          <w:p w14:paraId="51C44E3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国产信创</w:t>
            </w:r>
          </w:p>
        </w:tc>
        <w:tc>
          <w:tcPr>
            <w:tcW w:w="6780" w:type="dxa"/>
            <w:tcBorders>
              <w:top w:val="single" w:color="auto" w:sz="4" w:space="0"/>
              <w:left w:val="single" w:color="auto" w:sz="4" w:space="0"/>
              <w:bottom w:val="single" w:color="auto" w:sz="4" w:space="0"/>
            </w:tcBorders>
            <w:vAlign w:val="center"/>
          </w:tcPr>
          <w:p w14:paraId="02918CE4">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▲为保障系统自主可控和信息安全，</w:t>
            </w:r>
            <w:r>
              <w:rPr>
                <w:rFonts w:hint="eastAsia" w:ascii="宋体" w:hAnsi="宋体" w:cs="宋体"/>
                <w:sz w:val="21"/>
                <w:szCs w:val="21"/>
                <w:highlight w:val="none"/>
                <w:lang w:val="zh-CN"/>
              </w:rPr>
              <w:t>投标人</w:t>
            </w:r>
            <w:r>
              <w:rPr>
                <w:rFonts w:hint="eastAsia" w:ascii="宋体" w:hAnsi="宋体" w:eastAsia="宋体" w:cs="宋体"/>
                <w:sz w:val="21"/>
                <w:szCs w:val="21"/>
                <w:highlight w:val="none"/>
                <w:lang w:val="zh-CN"/>
              </w:rPr>
              <w:t>提供的医学影像信息系统需能够适配国产操作系统、国产数据库、国产中间件等国产自主安全平台。</w:t>
            </w:r>
          </w:p>
        </w:tc>
      </w:tr>
      <w:tr w14:paraId="635FDA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53" w:type="dxa"/>
            <w:tcBorders>
              <w:top w:val="single" w:color="auto" w:sz="4" w:space="0"/>
              <w:bottom w:val="single" w:color="auto" w:sz="4" w:space="0"/>
              <w:right w:val="single" w:color="auto" w:sz="4" w:space="0"/>
            </w:tcBorders>
            <w:vAlign w:val="center"/>
          </w:tcPr>
          <w:p w14:paraId="6756EC44">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接口</w:t>
            </w:r>
          </w:p>
        </w:tc>
        <w:tc>
          <w:tcPr>
            <w:tcW w:w="1740" w:type="dxa"/>
            <w:tcBorders>
              <w:top w:val="single" w:color="auto" w:sz="4" w:space="0"/>
              <w:left w:val="single" w:color="auto" w:sz="4" w:space="0"/>
              <w:bottom w:val="single" w:color="auto" w:sz="4" w:space="0"/>
              <w:right w:val="single" w:color="auto" w:sz="4" w:space="0"/>
            </w:tcBorders>
            <w:vAlign w:val="center"/>
          </w:tcPr>
          <w:p w14:paraId="66A9B759">
            <w:pPr>
              <w:shd w:val="clear"/>
              <w:spacing w:line="240" w:lineRule="auto"/>
              <w:ind w:firstLine="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接口</w:t>
            </w:r>
          </w:p>
        </w:tc>
        <w:tc>
          <w:tcPr>
            <w:tcW w:w="6780" w:type="dxa"/>
            <w:tcBorders>
              <w:top w:val="single" w:color="auto" w:sz="4" w:space="0"/>
              <w:left w:val="single" w:color="auto" w:sz="4" w:space="0"/>
              <w:bottom w:val="single" w:color="auto" w:sz="4" w:space="0"/>
            </w:tcBorders>
            <w:vAlign w:val="center"/>
          </w:tcPr>
          <w:p w14:paraId="3E8766DA">
            <w:pPr>
              <w:shd w:val="clear"/>
              <w:spacing w:line="240" w:lineRule="auto"/>
              <w:ind w:firstLine="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支持对接HIS、互联互通平台、电生理、肺功能及微信公众号等系统</w:t>
            </w:r>
            <w:r>
              <w:rPr>
                <w:rFonts w:hint="eastAsia" w:ascii="宋体" w:hAnsi="宋体" w:cs="宋体"/>
                <w:sz w:val="21"/>
                <w:szCs w:val="21"/>
                <w:highlight w:val="none"/>
                <w:lang w:val="zh-CN"/>
              </w:rPr>
              <w:t>。</w:t>
            </w:r>
          </w:p>
        </w:tc>
      </w:tr>
    </w:tbl>
    <w:p w14:paraId="52880F27">
      <w:pPr>
        <w:pStyle w:val="3"/>
        <w:shd w:val="clear"/>
        <w:spacing w:before="0" w:after="0" w:line="360" w:lineRule="auto"/>
        <w:ind w:left="432" w:hanging="432"/>
        <w:rPr>
          <w:rFonts w:hint="eastAsia" w:ascii="宋体" w:hAnsi="宋体" w:eastAsia="宋体" w:cs="宋体"/>
          <w:b w:val="0"/>
          <w:bCs w:val="0"/>
          <w:smallCaps/>
          <w:spacing w:val="5"/>
          <w:sz w:val="21"/>
          <w:szCs w:val="21"/>
          <w:highlight w:val="none"/>
        </w:rPr>
      </w:pPr>
      <w:bookmarkStart w:id="11" w:name="_Toc167112554"/>
      <w:r>
        <w:rPr>
          <w:rFonts w:hint="eastAsia" w:ascii="宋体" w:hAnsi="宋体" w:eastAsia="宋体" w:cs="宋体"/>
          <w:b w:val="0"/>
          <w:bCs w:val="0"/>
          <w:smallCaps/>
          <w:spacing w:val="5"/>
          <w:sz w:val="21"/>
          <w:szCs w:val="21"/>
          <w:highlight w:val="none"/>
        </w:rPr>
        <w:t>5</w:t>
      </w:r>
      <w:r>
        <w:rPr>
          <w:rFonts w:hint="eastAsia" w:ascii="宋体" w:hAnsi="宋体" w:eastAsia="宋体" w:cs="宋体"/>
          <w:b w:val="0"/>
          <w:bCs w:val="0"/>
          <w:smallCaps/>
          <w:spacing w:val="5"/>
          <w:sz w:val="21"/>
          <w:szCs w:val="21"/>
          <w:highlight w:val="none"/>
        </w:rPr>
        <w:tab/>
      </w:r>
      <w:r>
        <w:rPr>
          <w:rFonts w:hint="eastAsia" w:ascii="宋体" w:hAnsi="宋体" w:eastAsia="宋体" w:cs="宋体"/>
          <w:b w:val="0"/>
          <w:bCs w:val="0"/>
          <w:smallCaps/>
          <w:spacing w:val="5"/>
          <w:sz w:val="21"/>
          <w:szCs w:val="21"/>
          <w:highlight w:val="none"/>
          <w:lang w:val="zh-CN"/>
        </w:rPr>
        <w:t>配套设备需求</w:t>
      </w:r>
      <w:bookmarkEnd w:id="11"/>
    </w:p>
    <w:p w14:paraId="28E13800">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12" w:name="_Toc167112555"/>
      <w:r>
        <w:rPr>
          <w:rFonts w:hint="eastAsia" w:ascii="宋体" w:hAnsi="宋体" w:eastAsia="宋体" w:cs="宋体"/>
          <w:b w:val="0"/>
          <w:bCs w:val="0"/>
          <w:smallCaps/>
          <w:sz w:val="21"/>
          <w:szCs w:val="21"/>
          <w:highlight w:val="none"/>
        </w:rPr>
        <w:t>5.1</w:t>
      </w:r>
      <w:r>
        <w:rPr>
          <w:rFonts w:hint="eastAsia" w:ascii="宋体" w:hAnsi="宋体" w:eastAsia="宋体" w:cs="宋体"/>
          <w:b w:val="0"/>
          <w:bCs w:val="0"/>
          <w:smallCaps/>
          <w:sz w:val="21"/>
          <w:szCs w:val="21"/>
          <w:highlight w:val="none"/>
          <w:lang w:val="zh-CN"/>
        </w:rPr>
        <w:t>其他设备</w:t>
      </w:r>
      <w:bookmarkEnd w:id="12"/>
    </w:p>
    <w:p w14:paraId="6311B6AF">
      <w:pPr>
        <w:pStyle w:val="5"/>
        <w:shd w:val="clear"/>
        <w:spacing w:after="0" w:afterLines="0" w:line="360" w:lineRule="auto"/>
        <w:ind w:left="720" w:hanging="720"/>
        <w:jc w:val="both"/>
        <w:rPr>
          <w:rFonts w:hint="eastAsia" w:ascii="宋体" w:hAnsi="宋体" w:eastAsia="宋体" w:cs="宋体"/>
          <w:b w:val="0"/>
          <w:bCs/>
          <w:smallCaps/>
          <w:spacing w:val="5"/>
          <w:sz w:val="21"/>
          <w:szCs w:val="21"/>
          <w:highlight w:val="none"/>
        </w:rPr>
      </w:pPr>
      <w:r>
        <w:rPr>
          <w:rFonts w:hint="eastAsia" w:ascii="宋体" w:hAnsi="宋体" w:eastAsia="宋体" w:cs="宋体"/>
          <w:b w:val="0"/>
          <w:bCs/>
          <w:smallCaps/>
          <w:spacing w:val="5"/>
          <w:sz w:val="21"/>
          <w:szCs w:val="21"/>
          <w:highlight w:val="none"/>
        </w:rPr>
        <w:t>5.1.1</w:t>
      </w:r>
      <w:r>
        <w:rPr>
          <w:rFonts w:hint="eastAsia" w:ascii="宋体" w:hAnsi="宋体" w:eastAsia="宋体" w:cs="宋体"/>
          <w:b w:val="0"/>
          <w:bCs/>
          <w:smallCaps/>
          <w:spacing w:val="5"/>
          <w:sz w:val="21"/>
          <w:szCs w:val="21"/>
          <w:highlight w:val="none"/>
        </w:rPr>
        <w:tab/>
      </w:r>
      <w:r>
        <w:rPr>
          <w:rFonts w:hint="eastAsia" w:ascii="宋体" w:hAnsi="宋体" w:eastAsia="宋体" w:cs="宋体"/>
          <w:b w:val="0"/>
          <w:bCs/>
          <w:smallCaps/>
          <w:spacing w:val="5"/>
          <w:sz w:val="21"/>
          <w:szCs w:val="21"/>
          <w:highlight w:val="none"/>
          <w:lang w:val="zh-CN"/>
        </w:rPr>
        <w:t>高清采集卡</w:t>
      </w:r>
    </w:p>
    <w:p w14:paraId="6B77E26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1）采集格式：采集信号分辨率最高可支持2048×2160像素；</w:t>
      </w:r>
    </w:p>
    <w:p w14:paraId="16BAB708">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zh-CN"/>
        </w:rPr>
        <w:t>输入接口</w:t>
      </w:r>
      <w:r>
        <w:rPr>
          <w:rFonts w:hint="eastAsia" w:ascii="宋体" w:hAnsi="宋体" w:eastAsia="宋体" w:cs="宋体"/>
          <w:sz w:val="21"/>
          <w:szCs w:val="21"/>
          <w:highlight w:val="none"/>
        </w:rPr>
        <w:t>：DVI-I/DB9/BNC；</w:t>
      </w:r>
    </w:p>
    <w:p w14:paraId="1368F93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zh-CN"/>
        </w:rPr>
        <w:t>主机接口</w:t>
      </w:r>
      <w:r>
        <w:rPr>
          <w:rFonts w:hint="eastAsia" w:ascii="宋体" w:hAnsi="宋体" w:eastAsia="宋体" w:cs="宋体"/>
          <w:sz w:val="21"/>
          <w:szCs w:val="21"/>
          <w:highlight w:val="none"/>
        </w:rPr>
        <w:t>：PCIe Gen2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1；</w:t>
      </w:r>
    </w:p>
    <w:p w14:paraId="1016D22B">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zh-CN"/>
        </w:rPr>
        <w:t>延迟</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zh-CN"/>
        </w:rPr>
        <w:t>支持超低</w:t>
      </w:r>
      <w:r>
        <w:rPr>
          <w:rFonts w:hint="eastAsia" w:ascii="宋体" w:hAnsi="宋体" w:eastAsia="宋体" w:cs="宋体"/>
          <w:sz w:val="21"/>
          <w:szCs w:val="21"/>
          <w:highlight w:val="none"/>
        </w:rPr>
        <w:t>64</w:t>
      </w:r>
      <w:r>
        <w:rPr>
          <w:rFonts w:hint="eastAsia" w:ascii="宋体" w:hAnsi="宋体" w:eastAsia="宋体" w:cs="宋体"/>
          <w:sz w:val="21"/>
          <w:szCs w:val="21"/>
          <w:highlight w:val="none"/>
          <w:lang w:val="zh-CN"/>
        </w:rPr>
        <w:t>行视频延迟</w:t>
      </w:r>
      <w:r>
        <w:rPr>
          <w:rFonts w:hint="eastAsia" w:ascii="宋体" w:hAnsi="宋体" w:eastAsia="宋体" w:cs="宋体"/>
          <w:sz w:val="21"/>
          <w:szCs w:val="21"/>
          <w:highlight w:val="none"/>
        </w:rPr>
        <w:t>；</w:t>
      </w:r>
    </w:p>
    <w:p w14:paraId="7C8B7339">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5）工作环境：操作温度：0到40摄氏度；保存温度：–20到70摄氏度；相对湿度：5%到90%</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非冷凝状态</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w:t>
      </w:r>
    </w:p>
    <w:p w14:paraId="2233FC4B">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6）</w:t>
      </w:r>
      <w:r>
        <w:rPr>
          <w:rFonts w:hint="eastAsia" w:ascii="宋体" w:hAnsi="宋体" w:cs="宋体"/>
          <w:sz w:val="21"/>
          <w:szCs w:val="21"/>
          <w:highlight w:val="none"/>
          <w:lang w:val="zh-CN"/>
        </w:rPr>
        <w:t>市场通用型号</w:t>
      </w:r>
      <w:r>
        <w:rPr>
          <w:rFonts w:hint="eastAsia" w:ascii="宋体" w:hAnsi="宋体" w:eastAsia="宋体" w:cs="宋体"/>
          <w:sz w:val="21"/>
          <w:szCs w:val="21"/>
          <w:highlight w:val="none"/>
          <w:lang w:val="zh-CN"/>
        </w:rPr>
        <w:t>。</w:t>
      </w:r>
    </w:p>
    <w:p w14:paraId="344C7634">
      <w:pPr>
        <w:pStyle w:val="5"/>
        <w:shd w:val="clear"/>
        <w:spacing w:after="0" w:afterLines="0" w:line="360" w:lineRule="auto"/>
        <w:ind w:left="720" w:hanging="720"/>
        <w:jc w:val="both"/>
        <w:rPr>
          <w:rFonts w:hint="eastAsia" w:ascii="宋体" w:hAnsi="宋体" w:eastAsia="宋体" w:cs="宋体"/>
          <w:b w:val="0"/>
          <w:bCs/>
          <w:smallCaps/>
          <w:spacing w:val="5"/>
          <w:sz w:val="21"/>
          <w:szCs w:val="21"/>
          <w:highlight w:val="none"/>
        </w:rPr>
      </w:pPr>
      <w:r>
        <w:rPr>
          <w:rFonts w:hint="eastAsia" w:ascii="宋体" w:hAnsi="宋体" w:eastAsia="宋体" w:cs="宋体"/>
          <w:b w:val="0"/>
          <w:bCs/>
          <w:smallCaps/>
          <w:spacing w:val="5"/>
          <w:sz w:val="21"/>
          <w:szCs w:val="21"/>
          <w:highlight w:val="none"/>
        </w:rPr>
        <w:t>5.1.2</w:t>
      </w:r>
      <w:r>
        <w:rPr>
          <w:rFonts w:hint="eastAsia" w:ascii="宋体" w:hAnsi="宋体" w:eastAsia="宋体" w:cs="宋体"/>
          <w:b w:val="0"/>
          <w:bCs/>
          <w:smallCaps/>
          <w:spacing w:val="5"/>
          <w:sz w:val="21"/>
          <w:szCs w:val="21"/>
          <w:highlight w:val="none"/>
        </w:rPr>
        <w:tab/>
      </w:r>
      <w:r>
        <w:rPr>
          <w:rFonts w:hint="eastAsia" w:ascii="宋体" w:hAnsi="宋体" w:eastAsia="宋体" w:cs="宋体"/>
          <w:b w:val="0"/>
          <w:bCs/>
          <w:smallCaps/>
          <w:spacing w:val="5"/>
          <w:sz w:val="21"/>
          <w:szCs w:val="21"/>
          <w:highlight w:val="none"/>
          <w:lang w:val="zh-CN"/>
        </w:rPr>
        <w:t>脚踏板（内镜）</w:t>
      </w:r>
    </w:p>
    <w:p w14:paraId="48D5125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1）脚踏开关：自复位；线长≥5M。</w:t>
      </w:r>
    </w:p>
    <w:p w14:paraId="3DD116B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2）</w:t>
      </w:r>
      <w:r>
        <w:rPr>
          <w:rFonts w:hint="eastAsia" w:ascii="宋体" w:hAnsi="宋体" w:cs="宋体"/>
          <w:sz w:val="21"/>
          <w:szCs w:val="21"/>
          <w:highlight w:val="none"/>
          <w:lang w:val="zh-CN"/>
        </w:rPr>
        <w:t>市场通用型号</w:t>
      </w:r>
      <w:r>
        <w:rPr>
          <w:rFonts w:hint="eastAsia" w:ascii="宋体" w:hAnsi="宋体" w:eastAsia="宋体" w:cs="宋体"/>
          <w:sz w:val="21"/>
          <w:szCs w:val="21"/>
          <w:highlight w:val="none"/>
          <w:lang w:val="zh-CN"/>
        </w:rPr>
        <w:t>。</w:t>
      </w:r>
    </w:p>
    <w:p w14:paraId="1CCA27D8">
      <w:pPr>
        <w:pStyle w:val="5"/>
        <w:shd w:val="clear"/>
        <w:spacing w:after="0" w:afterLines="0" w:line="360" w:lineRule="auto"/>
        <w:ind w:left="720" w:hanging="720"/>
        <w:jc w:val="both"/>
        <w:rPr>
          <w:rFonts w:hint="eastAsia" w:ascii="宋体" w:hAnsi="宋体" w:eastAsia="宋体" w:cs="宋体"/>
          <w:b w:val="0"/>
          <w:bCs/>
          <w:smallCaps/>
          <w:spacing w:val="5"/>
          <w:sz w:val="21"/>
          <w:szCs w:val="21"/>
          <w:highlight w:val="none"/>
        </w:rPr>
      </w:pPr>
      <w:r>
        <w:rPr>
          <w:rFonts w:hint="eastAsia" w:ascii="宋体" w:hAnsi="宋体" w:eastAsia="宋体" w:cs="宋体"/>
          <w:b w:val="0"/>
          <w:bCs/>
          <w:smallCaps/>
          <w:spacing w:val="5"/>
          <w:sz w:val="21"/>
          <w:szCs w:val="21"/>
          <w:highlight w:val="none"/>
        </w:rPr>
        <w:t>5.1.3</w:t>
      </w:r>
      <w:r>
        <w:rPr>
          <w:rFonts w:hint="eastAsia" w:ascii="宋体" w:hAnsi="宋体" w:eastAsia="宋体" w:cs="宋体"/>
          <w:b w:val="0"/>
          <w:bCs/>
          <w:smallCaps/>
          <w:spacing w:val="5"/>
          <w:sz w:val="21"/>
          <w:szCs w:val="21"/>
          <w:highlight w:val="none"/>
        </w:rPr>
        <w:tab/>
      </w:r>
      <w:r>
        <w:rPr>
          <w:rFonts w:hint="eastAsia" w:ascii="宋体" w:hAnsi="宋体" w:eastAsia="宋体" w:cs="宋体"/>
          <w:b w:val="0"/>
          <w:bCs/>
          <w:smallCaps/>
          <w:spacing w:val="5"/>
          <w:sz w:val="21"/>
          <w:szCs w:val="21"/>
          <w:highlight w:val="none"/>
          <w:lang w:val="zh-CN"/>
        </w:rPr>
        <w:t>采集手柄（超声）</w:t>
      </w:r>
    </w:p>
    <w:p w14:paraId="2AC7BCE4">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1）手柄开关：USB接口；四按键；线长≥2M。</w:t>
      </w:r>
    </w:p>
    <w:p w14:paraId="08F5932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2）</w:t>
      </w:r>
      <w:r>
        <w:rPr>
          <w:rFonts w:hint="eastAsia" w:ascii="宋体" w:hAnsi="宋体" w:cs="宋体"/>
          <w:sz w:val="21"/>
          <w:szCs w:val="21"/>
          <w:highlight w:val="none"/>
          <w:lang w:val="zh-CN"/>
        </w:rPr>
        <w:t>市场通用型号</w:t>
      </w:r>
      <w:r>
        <w:rPr>
          <w:rFonts w:hint="eastAsia" w:ascii="宋体" w:hAnsi="宋体" w:eastAsia="宋体" w:cs="宋体"/>
          <w:sz w:val="21"/>
          <w:szCs w:val="21"/>
          <w:highlight w:val="none"/>
          <w:lang w:val="zh-CN"/>
        </w:rPr>
        <w:t>。</w:t>
      </w:r>
    </w:p>
    <w:p w14:paraId="33B67CB0">
      <w:pPr>
        <w:pStyle w:val="3"/>
        <w:shd w:val="clear"/>
        <w:spacing w:before="0" w:after="0" w:line="360" w:lineRule="auto"/>
        <w:ind w:left="432" w:hanging="432"/>
        <w:rPr>
          <w:rFonts w:hint="eastAsia" w:ascii="宋体" w:hAnsi="宋体" w:eastAsia="宋体" w:cs="宋体"/>
          <w:b w:val="0"/>
          <w:bCs w:val="0"/>
          <w:smallCaps/>
          <w:spacing w:val="5"/>
          <w:sz w:val="21"/>
          <w:szCs w:val="21"/>
          <w:highlight w:val="none"/>
        </w:rPr>
      </w:pPr>
      <w:bookmarkStart w:id="13" w:name="_Toc167112556"/>
      <w:r>
        <w:rPr>
          <w:rFonts w:hint="eastAsia" w:ascii="宋体" w:hAnsi="宋体" w:eastAsia="宋体" w:cs="宋体"/>
          <w:b w:val="0"/>
          <w:bCs w:val="0"/>
          <w:smallCaps/>
          <w:spacing w:val="5"/>
          <w:sz w:val="21"/>
          <w:szCs w:val="21"/>
          <w:highlight w:val="none"/>
        </w:rPr>
        <w:t>6</w:t>
      </w:r>
      <w:r>
        <w:rPr>
          <w:rFonts w:hint="eastAsia" w:ascii="宋体" w:hAnsi="宋体" w:eastAsia="宋体" w:cs="宋体"/>
          <w:b w:val="0"/>
          <w:bCs w:val="0"/>
          <w:smallCaps/>
          <w:spacing w:val="5"/>
          <w:sz w:val="21"/>
          <w:szCs w:val="21"/>
          <w:highlight w:val="none"/>
        </w:rPr>
        <w:tab/>
      </w:r>
      <w:r>
        <w:rPr>
          <w:rFonts w:hint="eastAsia" w:ascii="宋体" w:hAnsi="宋体" w:eastAsia="宋体" w:cs="宋体"/>
          <w:b w:val="0"/>
          <w:bCs w:val="0"/>
          <w:smallCaps/>
          <w:spacing w:val="5"/>
          <w:sz w:val="21"/>
          <w:szCs w:val="21"/>
          <w:highlight w:val="none"/>
          <w:lang w:val="zh-CN"/>
        </w:rPr>
        <w:t>项目要求</w:t>
      </w:r>
      <w:bookmarkEnd w:id="13"/>
    </w:p>
    <w:p w14:paraId="6C4B2F8E">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14" w:name="_Toc167112557"/>
      <w:r>
        <w:rPr>
          <w:rFonts w:hint="eastAsia" w:ascii="宋体" w:hAnsi="宋体" w:eastAsia="宋体" w:cs="宋体"/>
          <w:b w:val="0"/>
          <w:bCs w:val="0"/>
          <w:smallCaps/>
          <w:sz w:val="21"/>
          <w:szCs w:val="21"/>
          <w:highlight w:val="none"/>
        </w:rPr>
        <w:t>6.1</w:t>
      </w:r>
      <w:r>
        <w:rPr>
          <w:rFonts w:hint="eastAsia" w:ascii="宋体" w:hAnsi="宋体" w:eastAsia="宋体" w:cs="宋体"/>
          <w:b w:val="0"/>
          <w:bCs w:val="0"/>
          <w:smallCaps/>
          <w:sz w:val="21"/>
          <w:szCs w:val="21"/>
          <w:highlight w:val="none"/>
        </w:rPr>
        <w:tab/>
      </w:r>
      <w:r>
        <w:rPr>
          <w:rFonts w:hint="eastAsia" w:ascii="宋体" w:hAnsi="宋体" w:eastAsia="宋体" w:cs="宋体"/>
          <w:b w:val="0"/>
          <w:bCs w:val="0"/>
          <w:smallCaps/>
          <w:sz w:val="21"/>
          <w:szCs w:val="21"/>
          <w:highlight w:val="none"/>
          <w:lang w:val="zh-CN"/>
        </w:rPr>
        <w:t>项目技术条款</w:t>
      </w:r>
      <w:bookmarkEnd w:id="14"/>
    </w:p>
    <w:p w14:paraId="75009C81">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zh-CN"/>
        </w:rPr>
        <w:t>客户端系统采用</w:t>
      </w:r>
      <w:r>
        <w:rPr>
          <w:rFonts w:hint="eastAsia" w:ascii="宋体" w:hAnsi="宋体" w:eastAsia="宋体" w:cs="宋体"/>
          <w:sz w:val="21"/>
          <w:szCs w:val="21"/>
          <w:highlight w:val="none"/>
        </w:rPr>
        <w:t>CS</w:t>
      </w:r>
      <w:r>
        <w:rPr>
          <w:rFonts w:hint="eastAsia" w:ascii="宋体" w:hAnsi="宋体" w:eastAsia="宋体" w:cs="宋体"/>
          <w:sz w:val="21"/>
          <w:szCs w:val="21"/>
          <w:highlight w:val="none"/>
          <w:lang w:val="zh-CN"/>
        </w:rPr>
        <w:t>方式则应支持以下操作系统</w:t>
      </w:r>
      <w:r>
        <w:rPr>
          <w:rFonts w:hint="eastAsia" w:ascii="宋体" w:hAnsi="宋体" w:eastAsia="宋体" w:cs="宋体"/>
          <w:sz w:val="21"/>
          <w:szCs w:val="21"/>
          <w:highlight w:val="none"/>
        </w:rPr>
        <w:t>：win10</w:t>
      </w:r>
      <w:r>
        <w:rPr>
          <w:rFonts w:hint="eastAsia" w:ascii="宋体" w:hAnsi="宋体" w:eastAsia="宋体" w:cs="宋体"/>
          <w:sz w:val="21"/>
          <w:szCs w:val="21"/>
          <w:highlight w:val="none"/>
          <w:lang w:val="zh-CN"/>
        </w:rPr>
        <w:t>企业版</w:t>
      </w:r>
      <w:r>
        <w:rPr>
          <w:rFonts w:hint="eastAsia" w:ascii="宋体" w:hAnsi="宋体" w:eastAsia="宋体" w:cs="宋体"/>
          <w:sz w:val="21"/>
          <w:szCs w:val="21"/>
          <w:highlight w:val="none"/>
        </w:rPr>
        <w:t>32</w:t>
      </w:r>
      <w:r>
        <w:rPr>
          <w:rFonts w:hint="eastAsia" w:ascii="宋体" w:hAnsi="宋体" w:eastAsia="宋体" w:cs="宋体"/>
          <w:sz w:val="21"/>
          <w:szCs w:val="21"/>
          <w:highlight w:val="none"/>
          <w:lang w:val="zh-CN"/>
        </w:rPr>
        <w:t>位、</w:t>
      </w:r>
      <w:r>
        <w:rPr>
          <w:rFonts w:hint="eastAsia" w:ascii="宋体" w:hAnsi="宋体" w:eastAsia="宋体" w:cs="宋体"/>
          <w:sz w:val="21"/>
          <w:szCs w:val="21"/>
          <w:highlight w:val="none"/>
        </w:rPr>
        <w:t>win10</w:t>
      </w:r>
      <w:r>
        <w:rPr>
          <w:rFonts w:hint="eastAsia" w:ascii="宋体" w:hAnsi="宋体" w:eastAsia="宋体" w:cs="宋体"/>
          <w:sz w:val="21"/>
          <w:szCs w:val="21"/>
          <w:highlight w:val="none"/>
          <w:lang w:val="zh-CN"/>
        </w:rPr>
        <w:t>企业版</w:t>
      </w:r>
      <w:r>
        <w:rPr>
          <w:rFonts w:hint="eastAsia" w:ascii="宋体" w:hAnsi="宋体" w:eastAsia="宋体" w:cs="宋体"/>
          <w:sz w:val="21"/>
          <w:szCs w:val="21"/>
          <w:highlight w:val="none"/>
        </w:rPr>
        <w:t>64</w:t>
      </w:r>
      <w:r>
        <w:rPr>
          <w:rFonts w:hint="eastAsia" w:ascii="宋体" w:hAnsi="宋体" w:eastAsia="宋体" w:cs="宋体"/>
          <w:sz w:val="21"/>
          <w:szCs w:val="21"/>
          <w:highlight w:val="none"/>
          <w:lang w:val="zh-CN"/>
        </w:rPr>
        <w:t>位</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zh-CN"/>
        </w:rPr>
        <w:t>采用</w:t>
      </w:r>
      <w:r>
        <w:rPr>
          <w:rFonts w:hint="eastAsia" w:ascii="宋体" w:hAnsi="宋体" w:eastAsia="宋体" w:cs="宋体"/>
          <w:sz w:val="21"/>
          <w:szCs w:val="21"/>
          <w:highlight w:val="none"/>
        </w:rPr>
        <w:t>.net</w:t>
      </w:r>
      <w:r>
        <w:rPr>
          <w:rFonts w:hint="eastAsia" w:ascii="宋体" w:hAnsi="宋体" w:eastAsia="宋体" w:cs="宋体"/>
          <w:sz w:val="21"/>
          <w:szCs w:val="21"/>
          <w:highlight w:val="none"/>
          <w:lang w:val="zh-CN"/>
        </w:rPr>
        <w:t>框架的需支持</w:t>
      </w:r>
      <w:r>
        <w:rPr>
          <w:rFonts w:hint="eastAsia" w:ascii="宋体" w:hAnsi="宋体" w:eastAsia="宋体" w:cs="宋体"/>
          <w:sz w:val="21"/>
          <w:szCs w:val="21"/>
          <w:highlight w:val="none"/>
        </w:rPr>
        <w:t>.net framework 4.5</w:t>
      </w:r>
      <w:r>
        <w:rPr>
          <w:rFonts w:hint="eastAsia" w:ascii="宋体" w:hAnsi="宋体" w:eastAsia="宋体" w:cs="宋体"/>
          <w:sz w:val="21"/>
          <w:szCs w:val="21"/>
          <w:highlight w:val="none"/>
          <w:lang w:val="zh-CN"/>
        </w:rPr>
        <w:t>及以上。客户端采用BS方式则应支持：WIN10及以上操作系统调用操作系统默认edge浏览器。</w:t>
      </w:r>
    </w:p>
    <w:p w14:paraId="6AE31E0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2）整个系统从客户端、中间层、数据库层支持虚拟化技术，可在虚拟化环境下正常运行，支持vm等常见的虚拟机。</w:t>
      </w:r>
    </w:p>
    <w:p w14:paraId="57E163C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3）▲不限用户点数，不限同时在线点数，不设使用期限</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zh-CN"/>
        </w:rPr>
        <w:t>。</w:t>
      </w:r>
    </w:p>
    <w:p w14:paraId="3951D33E">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4）▲采购人购买的产品为终身授权，不允许另行购买许可。如对软件产品的授权有加密功能，时间许可为永久，只允许软加密，不允许采用U盘加密狗等硬加密方式，软加密不允许读任何服务器、任何终端的任何软硬件信息作为加密的一部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zh-CN"/>
        </w:rPr>
        <w:t>。</w:t>
      </w:r>
    </w:p>
    <w:p w14:paraId="729D8A3B">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5）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r>
        <w:rPr>
          <w:rFonts w:hint="eastAsia" w:ascii="宋体" w:hAnsi="宋体" w:eastAsia="宋体" w:cs="宋体"/>
          <w:sz w:val="21"/>
          <w:szCs w:val="21"/>
        </w:rPr>
        <w:t>。</w:t>
      </w:r>
    </w:p>
    <w:p w14:paraId="275BB23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6）数据库安全保护要求如下：要有数据库技术防错机制，禁止明文密码出现，禁止业务用户拥有DBA权限，禁止使用管理员用户作为与业务系统的连接。</w:t>
      </w:r>
    </w:p>
    <w:p w14:paraId="5F499BFC">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7）应用服务器与数据库服务器</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含数据文件</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分离，分别部署在不同的服务器上。</w:t>
      </w:r>
    </w:p>
    <w:p w14:paraId="6E7CA6BE">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8）</w:t>
      </w:r>
      <w:r>
        <w:rPr>
          <w:rFonts w:hint="eastAsia" w:ascii="宋体" w:hAnsi="宋体" w:cs="宋体"/>
          <w:sz w:val="21"/>
          <w:szCs w:val="21"/>
          <w:highlight w:val="none"/>
          <w:lang w:val="zh-CN"/>
        </w:rPr>
        <w:t>项目验收</w:t>
      </w:r>
      <w:r>
        <w:rPr>
          <w:rFonts w:hint="eastAsia" w:ascii="宋体" w:hAnsi="宋体" w:eastAsia="宋体" w:cs="宋体"/>
          <w:sz w:val="21"/>
          <w:szCs w:val="21"/>
          <w:highlight w:val="none"/>
          <w:lang w:val="zh-CN"/>
        </w:rPr>
        <w:t>前中标</w:t>
      </w:r>
      <w:r>
        <w:rPr>
          <w:rFonts w:hint="eastAsia" w:ascii="宋体" w:hAnsi="宋体" w:cs="宋体"/>
          <w:sz w:val="21"/>
          <w:szCs w:val="21"/>
          <w:highlight w:val="none"/>
          <w:lang w:val="zh-CN"/>
        </w:rPr>
        <w:t>人</w:t>
      </w:r>
      <w:r>
        <w:rPr>
          <w:rFonts w:hint="eastAsia" w:ascii="宋体" w:hAnsi="宋体" w:eastAsia="宋体" w:cs="宋体"/>
          <w:sz w:val="21"/>
          <w:szCs w:val="21"/>
          <w:highlight w:val="none"/>
          <w:lang w:val="zh-CN"/>
        </w:rPr>
        <w:t>完成所有与该系统有关的信息系统、政策性任务、医疗设备等接口开发调试工作，并保证接口的正常运行投入使用。</w:t>
      </w:r>
    </w:p>
    <w:p w14:paraId="6CE146A8">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9）项目验收前实施过程中如需要与第三方厂商的产品对接，第三方厂商的接口改造费用由中标人支付。</w:t>
      </w:r>
    </w:p>
    <w:p w14:paraId="354A1E33">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10）软件符合《全国医院信息化建设标准与规范》要求。</w:t>
      </w:r>
    </w:p>
    <w:p w14:paraId="5D893E39">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11）服务器操作系统相关：优先采用Linux操作系统及配套成熟组件部署业务系统再考虑采用Windows Server 2016操作系统及配套成熟组件部署业务系统，并自带序列号激活码。</w:t>
      </w:r>
    </w:p>
    <w:p w14:paraId="43F920DD">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12）数据库采用SQL Server 2016或Oracle 11g及以上版本。</w:t>
      </w:r>
    </w:p>
    <w:p w14:paraId="5A9A4A6C">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13）用户首次登录系统时要求系统能提示用户强制修改原始密码；不允许有不符合网络安全要求的数据库、应用服务器、客户端弱口令；从技术层面强制控制强密码要求采用数字、大小写字母、特殊符号组成，密码长度不少于8位，并设立开关控制；有定期强制更换密码开关，并能设置某个周期内强制用户登录时更换密码。</w:t>
      </w:r>
    </w:p>
    <w:p w14:paraId="054F26C0">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14）如系统牵涉财务收费对账问题，则需有相关的对账报表以辅助业务科室完成对账工作。</w:t>
      </w:r>
    </w:p>
    <w:p w14:paraId="264ADD6F">
      <w:pPr>
        <w:shd w:val="clear"/>
        <w:spacing w:line="360" w:lineRule="auto"/>
        <w:ind w:firstLine="480"/>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15）项目验收</w:t>
      </w:r>
      <w:r>
        <w:rPr>
          <w:rFonts w:hint="eastAsia" w:ascii="宋体" w:hAnsi="宋体" w:cs="宋体"/>
          <w:sz w:val="21"/>
          <w:szCs w:val="21"/>
          <w:highlight w:val="none"/>
          <w:lang w:val="en-US" w:eastAsia="zh-CN"/>
        </w:rPr>
        <w:t>合格</w:t>
      </w:r>
      <w:r>
        <w:rPr>
          <w:rFonts w:hint="eastAsia" w:ascii="宋体" w:hAnsi="宋体" w:eastAsia="宋体" w:cs="宋体"/>
          <w:sz w:val="21"/>
          <w:szCs w:val="21"/>
          <w:highlight w:val="none"/>
          <w:lang w:val="zh-CN"/>
        </w:rPr>
        <w:t>后</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每一个BUG提出至</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lang w:val="zh-CN"/>
        </w:rPr>
        <w:t>，</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lang w:val="zh-CN"/>
        </w:rPr>
        <w:t>需在5个工作日内评估出解决方案，并通过电子邮件告知</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w:t>
      </w:r>
    </w:p>
    <w:p w14:paraId="6573C1C0">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w:t>
      </w:r>
      <w:r>
        <w:rPr>
          <w:rFonts w:hint="eastAsia" w:ascii="宋体" w:hAnsi="宋体" w:cs="宋体"/>
          <w:sz w:val="21"/>
          <w:szCs w:val="21"/>
          <w:highlight w:val="none"/>
          <w:lang w:val="en-US" w:eastAsia="zh-CN"/>
        </w:rPr>
        <w:t>6</w:t>
      </w:r>
      <w:r>
        <w:rPr>
          <w:rFonts w:hint="eastAsia" w:ascii="宋体" w:hAnsi="宋体" w:eastAsia="宋体" w:cs="宋体"/>
          <w:sz w:val="21"/>
          <w:szCs w:val="21"/>
          <w:highlight w:val="none"/>
          <w:lang w:val="zh-CN"/>
        </w:rPr>
        <w:t>）项目验收</w:t>
      </w:r>
      <w:r>
        <w:rPr>
          <w:rFonts w:hint="eastAsia" w:ascii="宋体" w:hAnsi="宋体" w:cs="宋体"/>
          <w:sz w:val="21"/>
          <w:szCs w:val="21"/>
          <w:highlight w:val="none"/>
          <w:lang w:val="en-US" w:eastAsia="zh-CN"/>
        </w:rPr>
        <w:t>合格</w:t>
      </w:r>
      <w:r>
        <w:rPr>
          <w:rFonts w:hint="eastAsia" w:ascii="宋体" w:hAnsi="宋体" w:eastAsia="宋体" w:cs="宋体"/>
          <w:sz w:val="21"/>
          <w:szCs w:val="21"/>
          <w:highlight w:val="none"/>
          <w:lang w:val="zh-CN"/>
        </w:rPr>
        <w:t>后采购人每一个需求提出至中标人，中标人需在20个工作日内评估出解决方案，并通过电子邮件告知采购人，具体如下：</w:t>
      </w:r>
    </w:p>
    <w:p w14:paraId="79745AAB">
      <w:pPr>
        <w:shd w:val="clear"/>
        <w:spacing w:line="360" w:lineRule="auto"/>
        <w:ind w:left="1320" w:hanging="42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a)无法实现。</w:t>
      </w:r>
    </w:p>
    <w:p w14:paraId="734E957A">
      <w:pPr>
        <w:shd w:val="clear"/>
        <w:spacing w:line="360" w:lineRule="auto"/>
        <w:ind w:left="1320" w:hanging="42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b)</w:t>
      </w:r>
      <w:r>
        <w:rPr>
          <w:rFonts w:hint="eastAsia"/>
          <w:highlight w:val="none"/>
          <w:lang w:eastAsia="zh-CN"/>
        </w:rPr>
        <w:t>项目</w:t>
      </w:r>
      <w:r>
        <w:rPr>
          <w:rFonts w:hint="eastAsia"/>
          <w:highlight w:val="none"/>
          <w:lang w:val="en-US" w:eastAsia="zh-CN"/>
        </w:rPr>
        <w:t>硬件维护期、</w:t>
      </w:r>
      <w:r>
        <w:rPr>
          <w:rFonts w:hint="eastAsia"/>
          <w:highlight w:val="none"/>
          <w:lang w:eastAsia="zh-CN"/>
        </w:rPr>
        <w:t>软件运维期</w:t>
      </w:r>
      <w:r>
        <w:rPr>
          <w:rFonts w:hint="eastAsia" w:ascii="宋体" w:hAnsi="宋体" w:eastAsia="宋体" w:cs="宋体"/>
          <w:sz w:val="21"/>
          <w:szCs w:val="21"/>
          <w:highlight w:val="none"/>
          <w:lang w:val="zh-CN"/>
        </w:rPr>
        <w:t>内实现，计划完工日期。</w:t>
      </w:r>
    </w:p>
    <w:p w14:paraId="2658FB0E">
      <w:pPr>
        <w:shd w:val="clear"/>
        <w:spacing w:line="360" w:lineRule="auto"/>
        <w:ind w:left="1320" w:hanging="42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c)需开立新合同，请注明具体的完工日期、费用。</w:t>
      </w:r>
    </w:p>
    <w:p w14:paraId="23306316">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w:t>
      </w:r>
      <w:r>
        <w:rPr>
          <w:rFonts w:hint="eastAsia" w:ascii="宋体" w:hAnsi="宋体" w:cs="宋体"/>
          <w:sz w:val="21"/>
          <w:szCs w:val="21"/>
          <w:highlight w:val="none"/>
          <w:lang w:val="en-US" w:eastAsia="zh-CN"/>
        </w:rPr>
        <w:t>7</w:t>
      </w:r>
      <w:r>
        <w:rPr>
          <w:rFonts w:hint="eastAsia" w:ascii="宋体" w:hAnsi="宋体" w:eastAsia="宋体" w:cs="宋体"/>
          <w:sz w:val="21"/>
          <w:szCs w:val="21"/>
          <w:highlight w:val="none"/>
          <w:lang w:val="zh-CN"/>
        </w:rPr>
        <w:t>）支持的移动应用种类：如微信等调用方式。</w:t>
      </w:r>
    </w:p>
    <w:p w14:paraId="40DE2303">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w:t>
      </w:r>
      <w:r>
        <w:rPr>
          <w:rFonts w:hint="eastAsia" w:ascii="宋体" w:hAnsi="宋体" w:cs="宋体"/>
          <w:sz w:val="21"/>
          <w:szCs w:val="21"/>
          <w:highlight w:val="none"/>
          <w:lang w:val="en-US" w:eastAsia="zh-CN"/>
        </w:rPr>
        <w:t>8</w:t>
      </w:r>
      <w:r>
        <w:rPr>
          <w:rFonts w:hint="eastAsia" w:ascii="宋体" w:hAnsi="宋体" w:eastAsia="宋体" w:cs="宋体"/>
          <w:sz w:val="21"/>
          <w:szCs w:val="21"/>
          <w:highlight w:val="none"/>
          <w:lang w:val="zh-CN"/>
        </w:rPr>
        <w:t>）系统使用现行主流开发产品</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语言</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、数据库；具备中台架构、微服务架构。</w:t>
      </w:r>
    </w:p>
    <w:p w14:paraId="48AD5B53">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w:t>
      </w:r>
      <w:r>
        <w:rPr>
          <w:rFonts w:hint="eastAsia" w:ascii="宋体" w:hAnsi="宋体" w:cs="宋体"/>
          <w:sz w:val="21"/>
          <w:szCs w:val="21"/>
          <w:highlight w:val="none"/>
          <w:lang w:val="en-US" w:eastAsia="zh-CN"/>
        </w:rPr>
        <w:t>9</w:t>
      </w:r>
      <w:r>
        <w:rPr>
          <w:rFonts w:hint="eastAsia" w:ascii="宋体" w:hAnsi="宋体" w:eastAsia="宋体" w:cs="宋体"/>
          <w:sz w:val="21"/>
          <w:szCs w:val="21"/>
          <w:highlight w:val="none"/>
          <w:lang w:val="zh-CN"/>
        </w:rPr>
        <w:t>）</w:t>
      </w:r>
      <w:r>
        <w:rPr>
          <w:rFonts w:hint="eastAsia" w:ascii="宋体" w:hAnsi="宋体" w:cs="宋体"/>
          <w:sz w:val="21"/>
          <w:szCs w:val="21"/>
          <w:highlight w:val="none"/>
          <w:lang w:val="zh-CN"/>
        </w:rPr>
        <w:t>本采购包</w:t>
      </w:r>
      <w:r>
        <w:rPr>
          <w:rFonts w:hint="eastAsia" w:ascii="宋体" w:hAnsi="宋体" w:eastAsia="宋体" w:cs="宋体"/>
          <w:sz w:val="21"/>
          <w:szCs w:val="21"/>
          <w:highlight w:val="none"/>
          <w:lang w:val="zh-CN"/>
        </w:rPr>
        <w:t>实现的成果，配合</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进行成果转化，申请软件著作权等。</w:t>
      </w:r>
    </w:p>
    <w:p w14:paraId="7A6A94F9">
      <w:pPr>
        <w:shd w:val="clear"/>
        <w:spacing w:line="360" w:lineRule="auto"/>
        <w:ind w:firstLine="480"/>
        <w:rPr>
          <w:rFonts w:hint="eastAsia" w:ascii="宋体" w:hAnsi="宋体" w:cs="宋体"/>
          <w:sz w:val="21"/>
          <w:szCs w:val="21"/>
          <w:highlight w:val="none"/>
          <w:lang w:val="zh-CN"/>
        </w:rPr>
      </w:pPr>
      <w:r>
        <w:rPr>
          <w:rFonts w:hint="eastAsia" w:ascii="宋体" w:hAnsi="宋体" w:cs="宋体"/>
          <w:sz w:val="21"/>
          <w:szCs w:val="21"/>
          <w:highlight w:val="none"/>
          <w:lang w:val="en-US" w:eastAsia="zh-CN"/>
        </w:rPr>
        <w:t>20</w:t>
      </w:r>
      <w:r>
        <w:rPr>
          <w:rFonts w:hint="eastAsia" w:ascii="宋体" w:hAnsi="宋体" w:eastAsia="宋体" w:cs="宋体"/>
          <w:sz w:val="21"/>
          <w:szCs w:val="21"/>
          <w:highlight w:val="none"/>
          <w:lang w:val="zh-CN"/>
        </w:rPr>
        <w:t>）</w:t>
      </w:r>
      <w:r>
        <w:rPr>
          <w:rFonts w:hint="eastAsia" w:ascii="宋体" w:hAnsi="宋体" w:cs="宋体"/>
          <w:sz w:val="21"/>
          <w:szCs w:val="21"/>
          <w:highlight w:val="none"/>
          <w:lang w:val="en-US" w:eastAsia="zh-CN"/>
        </w:rPr>
        <w:t>中标人</w:t>
      </w:r>
      <w:r>
        <w:rPr>
          <w:rFonts w:hint="default" w:ascii="宋体" w:hAnsi="宋体" w:cs="宋体"/>
          <w:sz w:val="21"/>
          <w:szCs w:val="21"/>
          <w:highlight w:val="none"/>
          <w:lang w:val="en-US" w:eastAsia="zh-CN"/>
        </w:rPr>
        <w:t>需</w:t>
      </w:r>
      <w:r>
        <w:rPr>
          <w:rFonts w:hint="eastAsia" w:ascii="宋体" w:hAnsi="宋体" w:eastAsia="宋体" w:cs="宋体"/>
          <w:sz w:val="21"/>
          <w:szCs w:val="21"/>
          <w:highlight w:val="none"/>
        </w:rPr>
        <w:t>承诺将验收时交付的本</w:t>
      </w:r>
      <w:r>
        <w:rPr>
          <w:rFonts w:hint="eastAsia" w:ascii="宋体" w:hAnsi="宋体" w:cs="宋体"/>
          <w:sz w:val="21"/>
          <w:szCs w:val="21"/>
          <w:highlight w:val="none"/>
          <w:lang w:val="en-US" w:eastAsia="zh-CN"/>
        </w:rPr>
        <w:t>采购包</w:t>
      </w:r>
      <w:r>
        <w:rPr>
          <w:rFonts w:hint="eastAsia" w:ascii="宋体" w:hAnsi="宋体" w:eastAsia="宋体" w:cs="宋体"/>
          <w:sz w:val="21"/>
          <w:szCs w:val="21"/>
          <w:highlight w:val="none"/>
        </w:rPr>
        <w:t>二次开发部分可执行源代码以移动硬盘方式交付</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保管。如</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因不能正常</w:t>
      </w:r>
      <w:r>
        <w:rPr>
          <w:rFonts w:hint="eastAsia" w:ascii="宋体" w:hAnsi="宋体" w:cs="宋体"/>
          <w:sz w:val="21"/>
          <w:szCs w:val="21"/>
          <w:highlight w:val="none"/>
          <w:lang w:eastAsia="zh-CN"/>
        </w:rPr>
        <w:t>运营</w:t>
      </w:r>
      <w:r>
        <w:rPr>
          <w:rFonts w:hint="eastAsia" w:ascii="宋体" w:hAnsi="宋体" w:eastAsia="宋体" w:cs="宋体"/>
          <w:sz w:val="21"/>
          <w:szCs w:val="21"/>
          <w:highlight w:val="none"/>
        </w:rPr>
        <w:t>或公司结业、产品下架等原因无法继续为</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提供维护服务，</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将无偿</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源代码给</w:t>
      </w:r>
      <w:r>
        <w:rPr>
          <w:rFonts w:hint="eastAsia" w:ascii="宋体" w:hAnsi="宋体" w:cs="宋体"/>
          <w:sz w:val="21"/>
          <w:szCs w:val="21"/>
          <w:highlight w:val="none"/>
          <w:lang w:val="en-US" w:eastAsia="zh-CN"/>
        </w:rPr>
        <w:t>采购人以及采购人</w:t>
      </w:r>
      <w:r>
        <w:rPr>
          <w:rFonts w:hint="eastAsia" w:ascii="宋体" w:hAnsi="宋体" w:eastAsia="宋体" w:cs="宋体"/>
          <w:sz w:val="21"/>
          <w:szCs w:val="21"/>
          <w:highlight w:val="none"/>
        </w:rPr>
        <w:t>授权运维第三方使用</w:t>
      </w:r>
      <w:r>
        <w:rPr>
          <w:rFonts w:hint="eastAsia" w:ascii="宋体" w:hAnsi="宋体" w:cs="宋体"/>
          <w:sz w:val="21"/>
          <w:szCs w:val="21"/>
          <w:highlight w:val="none"/>
          <w:lang w:val="zh-CN"/>
        </w:rPr>
        <w:t>。</w:t>
      </w:r>
    </w:p>
    <w:p w14:paraId="2CBA91FF">
      <w:pPr>
        <w:shd w:val="clear"/>
        <w:spacing w:line="360" w:lineRule="auto"/>
        <w:ind w:firstLine="480"/>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21）商用密码要求：按照国家相关商用密码应用和管理要求，配合相关部门的要求完成商用密码评估及整改工作</w:t>
      </w:r>
      <w:r>
        <w:rPr>
          <w:rFonts w:hint="eastAsia" w:ascii="宋体" w:hAnsi="宋体" w:eastAsia="宋体" w:cs="宋体"/>
          <w:sz w:val="21"/>
          <w:szCs w:val="21"/>
          <w:highlight w:val="none"/>
          <w:lang w:val="zh-CN"/>
        </w:rPr>
        <w:t>。</w:t>
      </w:r>
    </w:p>
    <w:p w14:paraId="7C4F81B0">
      <w:pPr>
        <w:pStyle w:val="4"/>
        <w:shd w:val="clear"/>
        <w:spacing w:before="0" w:after="0" w:line="360" w:lineRule="auto"/>
        <w:ind w:left="576" w:hanging="576"/>
        <w:rPr>
          <w:rFonts w:hint="eastAsia" w:ascii="宋体" w:hAnsi="宋体" w:eastAsia="宋体" w:cs="宋体"/>
          <w:b w:val="0"/>
          <w:bCs w:val="0"/>
          <w:smallCaps/>
          <w:sz w:val="21"/>
          <w:szCs w:val="21"/>
          <w:highlight w:val="none"/>
        </w:rPr>
      </w:pPr>
      <w:bookmarkStart w:id="15" w:name="_Toc167112558"/>
      <w:r>
        <w:rPr>
          <w:rFonts w:hint="eastAsia" w:ascii="宋体" w:hAnsi="宋体" w:eastAsia="宋体" w:cs="宋体"/>
          <w:b w:val="0"/>
          <w:bCs w:val="0"/>
          <w:smallCaps/>
          <w:sz w:val="21"/>
          <w:szCs w:val="21"/>
          <w:highlight w:val="none"/>
        </w:rPr>
        <w:t>6.2</w:t>
      </w:r>
      <w:r>
        <w:rPr>
          <w:rFonts w:hint="eastAsia" w:ascii="宋体" w:hAnsi="宋体" w:eastAsia="宋体" w:cs="宋体"/>
          <w:b w:val="0"/>
          <w:bCs w:val="0"/>
          <w:smallCaps/>
          <w:sz w:val="21"/>
          <w:szCs w:val="21"/>
          <w:highlight w:val="none"/>
        </w:rPr>
        <w:tab/>
      </w:r>
      <w:r>
        <w:rPr>
          <w:rFonts w:hint="eastAsia" w:ascii="宋体" w:hAnsi="宋体" w:eastAsia="宋体" w:cs="宋体"/>
          <w:b w:val="0"/>
          <w:bCs w:val="0"/>
          <w:smallCaps/>
          <w:sz w:val="21"/>
          <w:szCs w:val="21"/>
          <w:highlight w:val="none"/>
          <w:lang w:val="zh-CN"/>
        </w:rPr>
        <w:t>项目实施要求</w:t>
      </w:r>
      <w:bookmarkEnd w:id="15"/>
    </w:p>
    <w:p w14:paraId="1A9D6159">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1）项目建设周期：</w:t>
      </w:r>
    </w:p>
    <w:p w14:paraId="24AA76BA">
      <w:pPr>
        <w:shd w:val="clea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阶段一建设周期：合同签订后，60自然天内完成医院卫国路院区</w:t>
      </w:r>
      <w:r>
        <w:rPr>
          <w:rFonts w:hint="eastAsia"/>
          <w:highlight w:val="none"/>
          <w:lang w:val="en-US" w:eastAsia="zh-CN"/>
        </w:rPr>
        <w:t>放射、超声、内镜系统</w:t>
      </w:r>
      <w:r>
        <w:rPr>
          <w:rFonts w:hint="eastAsia" w:ascii="宋体" w:hAnsi="宋体" w:eastAsia="宋体" w:cs="宋体"/>
          <w:sz w:val="21"/>
          <w:szCs w:val="21"/>
          <w:highlight w:val="none"/>
          <w:lang w:val="zh-CN"/>
        </w:rPr>
        <w:t>上线。</w:t>
      </w:r>
    </w:p>
    <w:p w14:paraId="0408B6E1">
      <w:pPr>
        <w:shd w:val="clea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阶段二建设周期：</w:t>
      </w:r>
      <w:r>
        <w:rPr>
          <w:rFonts w:hint="eastAsia" w:ascii="宋体" w:hAnsi="宋体" w:cs="宋体"/>
          <w:szCs w:val="21"/>
          <w:highlight w:val="none"/>
          <w:lang w:val="zh-CN"/>
        </w:rPr>
        <w:t>合同签订后，90自然天内</w:t>
      </w:r>
      <w:r>
        <w:rPr>
          <w:rFonts w:hint="eastAsia" w:ascii="宋体" w:hAnsi="宋体" w:eastAsia="宋体" w:cs="宋体"/>
          <w:sz w:val="21"/>
          <w:szCs w:val="21"/>
          <w:highlight w:val="none"/>
          <w:lang w:val="zh-CN"/>
        </w:rPr>
        <w:t>完成医院绿岛湖院区</w:t>
      </w:r>
      <w:r>
        <w:rPr>
          <w:rFonts w:hint="eastAsia"/>
          <w:highlight w:val="none"/>
          <w:lang w:val="en-US" w:eastAsia="zh-CN"/>
        </w:rPr>
        <w:t>放射、超声、内镜系统</w:t>
      </w:r>
      <w:r>
        <w:rPr>
          <w:rFonts w:hint="eastAsia" w:ascii="宋体" w:hAnsi="宋体" w:eastAsia="宋体" w:cs="宋体"/>
          <w:sz w:val="21"/>
          <w:szCs w:val="21"/>
          <w:highlight w:val="none"/>
          <w:lang w:val="zh-CN"/>
        </w:rPr>
        <w:t>上线。</w:t>
      </w:r>
    </w:p>
    <w:p w14:paraId="26746F8B">
      <w:pPr>
        <w:shd w:val="clear"/>
        <w:spacing w:line="360" w:lineRule="auto"/>
        <w:ind w:left="480" w:firstLine="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阶段三建设周期：合同签订后，180自然天内完成双院区检查智能预约系统上线。</w:t>
      </w:r>
    </w:p>
    <w:p w14:paraId="17BDEE76">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2）</w:t>
      </w:r>
      <w:r>
        <w:rPr>
          <w:rFonts w:hint="eastAsia" w:ascii="宋体" w:hAnsi="宋体" w:cs="宋体"/>
          <w:kern w:val="0"/>
          <w:sz w:val="21"/>
          <w:szCs w:val="21"/>
          <w:highlight w:val="none"/>
          <w:lang w:eastAsia="zh-CN"/>
        </w:rPr>
        <w:t>本采购包在合同</w:t>
      </w:r>
      <w:r>
        <w:rPr>
          <w:rFonts w:hint="eastAsia" w:ascii="宋体" w:hAnsi="宋体" w:cs="宋体"/>
          <w:kern w:val="0"/>
          <w:sz w:val="21"/>
          <w:szCs w:val="21"/>
          <w:highlight w:val="none"/>
          <w:lang w:val="en-US" w:eastAsia="zh-CN"/>
        </w:rPr>
        <w:t>履行</w:t>
      </w:r>
      <w:r>
        <w:rPr>
          <w:rFonts w:hint="eastAsia" w:ascii="宋体" w:hAnsi="宋体" w:cs="宋体"/>
          <w:kern w:val="0"/>
          <w:sz w:val="21"/>
          <w:szCs w:val="21"/>
          <w:highlight w:val="none"/>
          <w:lang w:eastAsia="zh-CN"/>
        </w:rPr>
        <w:t>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内中标人需投入团队人员至少</w:t>
      </w:r>
      <w:r>
        <w:rPr>
          <w:rFonts w:hint="eastAsia" w:ascii="宋体" w:hAnsi="宋体" w:cs="宋体"/>
          <w:kern w:val="0"/>
          <w:sz w:val="21"/>
          <w:szCs w:val="21"/>
          <w:highlight w:val="none"/>
          <w:lang w:val="en-US" w:eastAsia="zh-CN"/>
        </w:rPr>
        <w:t>5</w:t>
      </w:r>
      <w:r>
        <w:rPr>
          <w:rFonts w:hint="eastAsia" w:ascii="宋体" w:hAnsi="宋体" w:cs="宋体"/>
          <w:kern w:val="0"/>
          <w:sz w:val="21"/>
          <w:szCs w:val="21"/>
          <w:highlight w:val="none"/>
          <w:lang w:eastAsia="zh-CN"/>
        </w:rPr>
        <w:t>名（其中包括驻场人员至少</w:t>
      </w:r>
      <w:r>
        <w:rPr>
          <w:rFonts w:hint="eastAsia" w:ascii="宋体" w:hAnsi="宋体" w:cs="宋体"/>
          <w:kern w:val="0"/>
          <w:sz w:val="21"/>
          <w:szCs w:val="21"/>
          <w:highlight w:val="none"/>
          <w:lang w:val="en-US" w:eastAsia="zh-CN"/>
        </w:rPr>
        <w:t>5</w:t>
      </w:r>
      <w:r>
        <w:rPr>
          <w:rFonts w:hint="eastAsia" w:ascii="宋体" w:hAnsi="宋体" w:cs="宋体"/>
          <w:kern w:val="0"/>
          <w:sz w:val="21"/>
          <w:szCs w:val="21"/>
          <w:highlight w:val="none"/>
          <w:lang w:eastAsia="zh-CN"/>
        </w:rPr>
        <w:t>名）</w:t>
      </w:r>
      <w:r>
        <w:rPr>
          <w:rFonts w:hint="eastAsia" w:ascii="宋体" w:hAnsi="宋体" w:eastAsia="宋体" w:cs="宋体"/>
          <w:sz w:val="21"/>
          <w:szCs w:val="21"/>
          <w:highlight w:val="none"/>
          <w:lang w:val="zh-CN"/>
        </w:rPr>
        <w:t>。</w:t>
      </w:r>
      <w:r>
        <w:rPr>
          <w:rFonts w:hint="eastAsia" w:ascii="宋体" w:hAnsi="宋体" w:cs="宋体"/>
          <w:sz w:val="21"/>
          <w:szCs w:val="21"/>
          <w:highlight w:val="none"/>
          <w:lang w:val="en-US" w:eastAsia="zh-CN"/>
        </w:rPr>
        <w:t>项目验收合格后，</w:t>
      </w:r>
      <w:r>
        <w:rPr>
          <w:rFonts w:hint="eastAsia" w:ascii="宋体" w:hAnsi="宋体" w:cs="宋体"/>
          <w:kern w:val="0"/>
          <w:sz w:val="21"/>
          <w:szCs w:val="21"/>
          <w:highlight w:val="none"/>
          <w:lang w:eastAsia="zh-CN"/>
        </w:rPr>
        <w:t>拟派驻场人员不少于1人</w:t>
      </w:r>
      <w:r>
        <w:rPr>
          <w:rFonts w:hint="eastAsia" w:ascii="宋体" w:hAnsi="宋体" w:cs="宋体"/>
          <w:sz w:val="21"/>
          <w:szCs w:val="21"/>
          <w:highlight w:val="none"/>
          <w:lang w:val="zh-CN"/>
        </w:rPr>
        <w:t>，</w:t>
      </w:r>
      <w:r>
        <w:rPr>
          <w:rFonts w:hint="eastAsia" w:ascii="宋体" w:hAnsi="宋体" w:eastAsia="宋体" w:cs="宋体"/>
          <w:sz w:val="21"/>
          <w:szCs w:val="21"/>
          <w:highlight w:val="none"/>
          <w:lang w:val="zh-CN"/>
        </w:rPr>
        <w:t>具有相关项目运维经验不少于3年，驻场服务时间</w:t>
      </w:r>
      <w:r>
        <w:rPr>
          <w:rFonts w:hint="eastAsia" w:ascii="宋体" w:hAnsi="宋体" w:cs="宋体"/>
          <w:kern w:val="0"/>
          <w:sz w:val="21"/>
          <w:szCs w:val="21"/>
          <w:highlight w:val="none"/>
          <w:lang w:eastAsia="zh-CN"/>
        </w:rPr>
        <w:t>从项目验收合格之日起</w:t>
      </w:r>
      <w:r>
        <w:rPr>
          <w:rFonts w:hint="eastAsia" w:ascii="宋体" w:hAnsi="宋体" w:eastAsia="宋体" w:cs="宋体"/>
          <w:sz w:val="21"/>
          <w:szCs w:val="21"/>
          <w:highlight w:val="none"/>
          <w:lang w:val="zh-CN"/>
        </w:rPr>
        <w:t>不少于2年。</w:t>
      </w:r>
    </w:p>
    <w:p w14:paraId="6DFB9B1A">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3）</w:t>
      </w:r>
      <w:r>
        <w:rPr>
          <w:rFonts w:hint="eastAsia" w:ascii="宋体" w:hAnsi="宋体" w:cs="宋体"/>
          <w:kern w:val="0"/>
          <w:sz w:val="21"/>
          <w:szCs w:val="21"/>
          <w:highlight w:val="none"/>
          <w:lang w:eastAsia="zh-CN"/>
        </w:rPr>
        <w:t>合同</w:t>
      </w:r>
      <w:r>
        <w:rPr>
          <w:rFonts w:hint="eastAsia" w:ascii="宋体" w:hAnsi="宋体" w:cs="宋体"/>
          <w:kern w:val="0"/>
          <w:sz w:val="21"/>
          <w:szCs w:val="21"/>
          <w:highlight w:val="none"/>
          <w:lang w:val="en-US" w:eastAsia="zh-CN"/>
        </w:rPr>
        <w:t>履行期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w:t>
      </w:r>
      <w:r>
        <w:rPr>
          <w:rFonts w:hint="eastAsia" w:ascii="宋体" w:hAnsi="宋体" w:cs="宋体"/>
          <w:kern w:val="0"/>
          <w:sz w:val="21"/>
          <w:szCs w:val="21"/>
          <w:highlight w:val="none"/>
          <w:lang w:val="en-US" w:eastAsia="zh-CN"/>
        </w:rPr>
        <w:t>驻场</w:t>
      </w:r>
      <w:r>
        <w:rPr>
          <w:rFonts w:hint="eastAsia" w:ascii="宋体" w:hAnsi="宋体" w:eastAsia="宋体" w:cs="宋体"/>
          <w:sz w:val="21"/>
          <w:szCs w:val="21"/>
          <w:highlight w:val="none"/>
          <w:lang w:val="zh-CN"/>
        </w:rPr>
        <w:t>人员专业素质：</w:t>
      </w:r>
    </w:p>
    <w:p w14:paraId="47A87EB2">
      <w:pPr>
        <w:shd w:val="clea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信息系统项目管理师至少1名，相关项目管理工作年限不少于5年</w:t>
      </w:r>
      <w:r>
        <w:rPr>
          <w:rFonts w:hint="eastAsia" w:ascii="宋体" w:hAnsi="宋体" w:cs="宋体"/>
          <w:sz w:val="21"/>
          <w:szCs w:val="21"/>
          <w:highlight w:val="none"/>
          <w:lang w:val="zh-CN"/>
        </w:rPr>
        <w:t>；</w:t>
      </w:r>
    </w:p>
    <w:p w14:paraId="6CF93700">
      <w:pPr>
        <w:shd w:val="clea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项目研发人员至少1名，相关项目研发工作年限不少于3年</w:t>
      </w:r>
      <w:r>
        <w:rPr>
          <w:rFonts w:hint="eastAsia" w:ascii="宋体" w:hAnsi="宋体" w:cs="宋体"/>
          <w:sz w:val="21"/>
          <w:szCs w:val="21"/>
          <w:highlight w:val="none"/>
          <w:lang w:val="zh-CN"/>
        </w:rPr>
        <w:t>；</w:t>
      </w:r>
    </w:p>
    <w:p w14:paraId="2FD8E166">
      <w:pPr>
        <w:shd w:val="clea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项目实施人员至少3名，相关项目实施工作年限不少于3年。</w:t>
      </w:r>
    </w:p>
    <w:p w14:paraId="25C724B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4）</w:t>
      </w:r>
      <w:r>
        <w:rPr>
          <w:rFonts w:hint="eastAsia" w:ascii="宋体" w:hAnsi="宋体" w:cs="宋体"/>
          <w:sz w:val="21"/>
          <w:szCs w:val="21"/>
          <w:highlight w:val="none"/>
          <w:lang w:val="en-US" w:eastAsia="zh-CN"/>
        </w:rPr>
        <w:t>驻场人员驻场期间</w:t>
      </w:r>
      <w:r>
        <w:rPr>
          <w:rFonts w:hint="eastAsia" w:ascii="宋体" w:hAnsi="宋体" w:eastAsia="宋体" w:cs="宋体"/>
          <w:sz w:val="21"/>
          <w:szCs w:val="21"/>
          <w:highlight w:val="none"/>
          <w:lang w:val="zh-CN"/>
        </w:rPr>
        <w:t>在采购人办公室办公，并每天向主管工程师手写签到，正常上班期间按医院作息时间执行。</w:t>
      </w:r>
    </w:p>
    <w:p w14:paraId="474CDE0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5）</w:t>
      </w:r>
      <w:r>
        <w:rPr>
          <w:rFonts w:hint="eastAsia" w:ascii="宋体" w:hAnsi="宋体" w:cs="宋体"/>
          <w:sz w:val="21"/>
          <w:szCs w:val="21"/>
          <w:highlight w:val="none"/>
          <w:lang w:val="zh-CN"/>
        </w:rPr>
        <w:t>中标人应在签订合同后15天内到采购人指定地点</w:t>
      </w:r>
      <w:r>
        <w:rPr>
          <w:rFonts w:hint="eastAsia" w:ascii="宋体" w:hAnsi="宋体" w:eastAsia="宋体" w:cs="宋体"/>
          <w:sz w:val="21"/>
          <w:szCs w:val="21"/>
          <w:highlight w:val="none"/>
          <w:lang w:val="zh-CN"/>
        </w:rPr>
        <w:t>完成如下事项：成立项目组织，有项目实施方案、项目进度甘特图，WBS工作详细分解包、确定与</w:t>
      </w:r>
      <w:r>
        <w:rPr>
          <w:rFonts w:hint="eastAsia" w:ascii="宋体" w:hAnsi="宋体" w:cs="宋体"/>
          <w:sz w:val="21"/>
          <w:szCs w:val="21"/>
          <w:highlight w:val="none"/>
          <w:lang w:val="zh-CN"/>
        </w:rPr>
        <w:t>其他系统</w:t>
      </w:r>
      <w:r>
        <w:rPr>
          <w:rFonts w:hint="eastAsia" w:ascii="宋体" w:hAnsi="宋体" w:eastAsia="宋体" w:cs="宋体"/>
          <w:sz w:val="21"/>
          <w:szCs w:val="21"/>
          <w:highlight w:val="none"/>
          <w:lang w:val="zh-CN"/>
        </w:rPr>
        <w:t>的接口。在项目实施过程中与</w:t>
      </w:r>
      <w:r>
        <w:rPr>
          <w:rFonts w:hint="eastAsia" w:ascii="宋体" w:hAnsi="宋体" w:cs="宋体"/>
          <w:sz w:val="21"/>
          <w:szCs w:val="21"/>
          <w:highlight w:val="none"/>
          <w:lang w:val="zh-CN"/>
        </w:rPr>
        <w:t>其他系统</w:t>
      </w:r>
      <w:r>
        <w:rPr>
          <w:rFonts w:hint="eastAsia" w:ascii="宋体" w:hAnsi="宋体" w:eastAsia="宋体" w:cs="宋体"/>
          <w:sz w:val="21"/>
          <w:szCs w:val="21"/>
          <w:highlight w:val="none"/>
          <w:lang w:val="zh-CN"/>
        </w:rPr>
        <w:t>的接口先行，并能按计划推进项目，按时按质完成工作。</w:t>
      </w:r>
    </w:p>
    <w:p w14:paraId="36D25D8D">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6）</w:t>
      </w:r>
      <w:r>
        <w:rPr>
          <w:rFonts w:hint="eastAsia" w:ascii="宋体" w:hAnsi="宋体" w:cs="宋体"/>
          <w:sz w:val="21"/>
          <w:szCs w:val="21"/>
          <w:highlight w:val="none"/>
          <w:lang w:val="zh-CN"/>
        </w:rPr>
        <w:t>中标人</w:t>
      </w:r>
      <w:r>
        <w:rPr>
          <w:rFonts w:hint="eastAsia" w:ascii="宋体" w:hAnsi="宋体" w:eastAsia="宋体" w:cs="宋体"/>
          <w:sz w:val="21"/>
          <w:szCs w:val="21"/>
          <w:highlight w:val="none"/>
          <w:lang w:val="zh-CN"/>
        </w:rPr>
        <w:t>每周提交一次项目周报，每个月至少开一次项目沟通例会。</w:t>
      </w:r>
    </w:p>
    <w:p w14:paraId="09DC4E9D">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7）</w:t>
      </w:r>
      <w:r>
        <w:rPr>
          <w:rFonts w:hint="eastAsia" w:ascii="宋体" w:hAnsi="宋体" w:cs="宋体"/>
          <w:sz w:val="21"/>
          <w:szCs w:val="21"/>
          <w:highlight w:val="none"/>
          <w:lang w:val="zh-CN"/>
        </w:rPr>
        <w:t>中标人</w:t>
      </w:r>
      <w:r>
        <w:rPr>
          <w:rFonts w:hint="eastAsia" w:ascii="宋体" w:hAnsi="宋体" w:eastAsia="宋体" w:cs="宋体"/>
          <w:sz w:val="21"/>
          <w:szCs w:val="21"/>
          <w:highlight w:val="none"/>
          <w:lang w:val="zh-CN"/>
        </w:rPr>
        <w:t>负责系统的安装部署、调试并能正常运行。</w:t>
      </w:r>
    </w:p>
    <w:p w14:paraId="59040442">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8）系统运行所需的各种环境安装包由</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lang w:val="zh-CN"/>
        </w:rPr>
        <w:t>提供并负责安装。</w:t>
      </w:r>
    </w:p>
    <w:p w14:paraId="3C5B0DB3">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9）系统实施、上线、维保整个生命周期内的需求、BUG需要在采购人的</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zh-CN"/>
        </w:rPr>
        <w:t>信息化项目需求管理系统上</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zh-CN"/>
        </w:rPr>
        <w:t>进行响应和管理。</w:t>
      </w:r>
    </w:p>
    <w:p w14:paraId="45DEBA9E">
      <w:pPr>
        <w:shd w:val="clear"/>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10）</w:t>
      </w:r>
      <w:r>
        <w:rPr>
          <w:rFonts w:hint="eastAsia" w:ascii="宋体" w:hAnsi="宋体" w:cs="宋体"/>
          <w:sz w:val="21"/>
          <w:szCs w:val="21"/>
          <w:highlight w:val="none"/>
          <w:lang w:val="zh-CN"/>
        </w:rPr>
        <w:t>中标人应</w:t>
      </w:r>
      <w:r>
        <w:rPr>
          <w:rFonts w:hint="eastAsia" w:ascii="宋体" w:hAnsi="宋体" w:eastAsia="宋体" w:cs="宋体"/>
          <w:sz w:val="21"/>
          <w:szCs w:val="21"/>
          <w:highlight w:val="none"/>
          <w:lang w:val="zh-CN"/>
        </w:rPr>
        <w:t>在</w:t>
      </w:r>
      <w:r>
        <w:rPr>
          <w:rFonts w:hint="eastAsia" w:ascii="宋体" w:hAnsi="宋体" w:cs="宋体"/>
          <w:sz w:val="21"/>
          <w:szCs w:val="21"/>
          <w:highlight w:val="none"/>
          <w:lang w:val="zh-CN"/>
        </w:rPr>
        <w:t>本采购包</w:t>
      </w:r>
      <w:r>
        <w:rPr>
          <w:rFonts w:hint="eastAsia" w:ascii="宋体" w:hAnsi="宋体" w:eastAsia="宋体" w:cs="宋体"/>
          <w:sz w:val="21"/>
          <w:szCs w:val="21"/>
          <w:highlight w:val="none"/>
          <w:lang w:val="zh-CN"/>
        </w:rPr>
        <w:t>中负责提供</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zh-CN"/>
        </w:rPr>
        <w:t>软件</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zh-CN"/>
        </w:rPr>
        <w:t>，并提供安装调试、培训和售后技术支持服务，所提供软件保证满足采购人功能要求，数据准确、速度快捷、运行稳定，保证系统的正常应用。</w:t>
      </w:r>
    </w:p>
    <w:p w14:paraId="73C669FD">
      <w:pPr>
        <w:shd w:val="clear"/>
        <w:spacing w:line="360" w:lineRule="auto"/>
        <w:ind w:firstLine="480"/>
        <w:rPr>
          <w:rFonts w:hint="eastAsia" w:ascii="宋体" w:hAnsi="宋体" w:cs="宋体"/>
          <w:sz w:val="21"/>
          <w:szCs w:val="21"/>
          <w:highlight w:val="none"/>
          <w:lang w:val="zh-CN"/>
        </w:rPr>
      </w:pPr>
      <w:r>
        <w:rPr>
          <w:rFonts w:hint="eastAsia" w:ascii="宋体" w:hAnsi="宋体" w:eastAsia="宋体" w:cs="宋体"/>
          <w:sz w:val="21"/>
          <w:szCs w:val="21"/>
          <w:highlight w:val="none"/>
          <w:lang w:val="zh-CN"/>
        </w:rPr>
        <w:t>11）</w:t>
      </w:r>
      <w:r>
        <w:rPr>
          <w:rFonts w:hint="eastAsia" w:ascii="宋体" w:hAnsi="宋体" w:cs="宋体"/>
          <w:sz w:val="21"/>
          <w:szCs w:val="21"/>
          <w:highlight w:val="none"/>
          <w:lang w:val="zh-CN"/>
        </w:rPr>
        <w:t>中标人应</w:t>
      </w:r>
      <w:r>
        <w:rPr>
          <w:rFonts w:hint="eastAsia" w:ascii="宋体" w:hAnsi="宋体" w:eastAsia="宋体" w:cs="宋体"/>
          <w:sz w:val="21"/>
          <w:szCs w:val="21"/>
          <w:highlight w:val="none"/>
          <w:lang w:val="zh-CN"/>
        </w:rPr>
        <w:t>能熟练操作及应用全部系统，确保</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lang w:val="zh-CN"/>
        </w:rPr>
        <w:t>相关业务人员对其使用的应用系统能熟练操作使用</w:t>
      </w:r>
      <w:r>
        <w:rPr>
          <w:rFonts w:hint="eastAsia" w:ascii="宋体" w:hAnsi="宋体" w:cs="宋体"/>
          <w:sz w:val="21"/>
          <w:szCs w:val="21"/>
          <w:highlight w:val="none"/>
          <w:lang w:val="zh-CN"/>
        </w:rPr>
        <w:t>。</w:t>
      </w:r>
    </w:p>
    <w:p w14:paraId="2734967F">
      <w:pPr>
        <w:shd w:val="clear"/>
        <w:spacing w:line="360" w:lineRule="auto"/>
        <w:ind w:firstLine="480"/>
        <w:rPr>
          <w:rFonts w:hint="eastAsia" w:ascii="宋体" w:hAnsi="宋体" w:cs="宋体"/>
          <w:sz w:val="21"/>
          <w:szCs w:val="21"/>
          <w:highlight w:val="none"/>
          <w:lang w:val="zh-CN"/>
        </w:rPr>
      </w:pPr>
      <w:r>
        <w:rPr>
          <w:rFonts w:hint="eastAsia" w:ascii="宋体" w:hAnsi="宋体" w:eastAsia="宋体" w:cs="宋体"/>
          <w:sz w:val="21"/>
          <w:szCs w:val="21"/>
          <w:highlight w:val="none"/>
          <w:lang w:val="zh-CN"/>
        </w:rPr>
        <w:t>1</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lang w:val="zh-CN"/>
        </w:rPr>
        <w:t>）中标</w:t>
      </w:r>
      <w:r>
        <w:rPr>
          <w:rFonts w:hint="eastAsia" w:ascii="宋体" w:hAnsi="宋体" w:cs="宋体"/>
          <w:sz w:val="21"/>
          <w:szCs w:val="21"/>
          <w:highlight w:val="none"/>
          <w:lang w:val="zh-CN"/>
        </w:rPr>
        <w:t>人</w:t>
      </w:r>
      <w:r>
        <w:rPr>
          <w:rFonts w:hint="eastAsia" w:ascii="宋体" w:hAnsi="宋体" w:eastAsia="宋体" w:cs="宋体"/>
          <w:sz w:val="21"/>
          <w:szCs w:val="21"/>
          <w:highlight w:val="none"/>
          <w:lang w:val="zh-CN"/>
        </w:rPr>
        <w:t>接受监理单位对项目监督管理的相关条款</w:t>
      </w:r>
      <w:r>
        <w:rPr>
          <w:rFonts w:hint="eastAsia" w:ascii="宋体" w:hAnsi="宋体" w:cs="宋体"/>
          <w:sz w:val="21"/>
          <w:szCs w:val="21"/>
          <w:highlight w:val="none"/>
          <w:lang w:val="zh-CN"/>
        </w:rPr>
        <w:t>。</w:t>
      </w:r>
    </w:p>
    <w:p w14:paraId="40427DD1">
      <w:pPr>
        <w:shd w:val="clear"/>
        <w:spacing w:line="360" w:lineRule="auto"/>
        <w:ind w:firstLine="480"/>
        <w:rPr>
          <w:rFonts w:hint="eastAsia" w:ascii="宋体" w:hAnsi="宋体" w:eastAsia="宋体" w:cs="宋体"/>
          <w:szCs w:val="21"/>
          <w:highlight w:val="none"/>
          <w:lang w:val="zh-CN"/>
        </w:rPr>
      </w:pPr>
      <w:r>
        <w:rPr>
          <w:rFonts w:hint="eastAsia" w:ascii="宋体" w:hAnsi="宋体" w:cs="宋体"/>
          <w:sz w:val="21"/>
          <w:szCs w:val="21"/>
          <w:highlight w:val="none"/>
          <w:lang w:val="en-US" w:eastAsia="zh-CN"/>
        </w:rPr>
        <w:t>13）本采购包建设全生命周期工作中标人需派遣中标人公司自有员工负责该部分系统调研、开发、测试、安装调试、培训、上线保障、售后服务等</w:t>
      </w:r>
      <w:r>
        <w:rPr>
          <w:rFonts w:hint="eastAsia" w:ascii="宋体" w:hAnsi="宋体" w:eastAsia="宋体" w:cs="宋体"/>
          <w:sz w:val="21"/>
          <w:szCs w:val="21"/>
          <w:highlight w:val="none"/>
          <w:lang w:val="zh-CN"/>
        </w:rPr>
        <w:t>。</w:t>
      </w:r>
    </w:p>
    <w:sectPr>
      <w:footerReference r:id="rId5" w:type="default"/>
      <w:pgSz w:w="11906" w:h="16838"/>
      <w:pgMar w:top="1440" w:right="1080" w:bottom="1440" w:left="1080" w:header="567" w:footer="567" w:gutter="0"/>
      <w:pgNumType w:fmt="decimal"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B3FB6">
    <w:pPr>
      <w:pStyle w:val="24"/>
      <w:ind w:firstLine="0"/>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CA4D2D">
                          <w:pPr>
                            <w:pStyle w:val="2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CA4D2D">
                    <w:pPr>
                      <w:pStyle w:val="2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0A56"/>
    <w:rsid w:val="0000168E"/>
    <w:rsid w:val="0001456E"/>
    <w:rsid w:val="000319B5"/>
    <w:rsid w:val="000339C1"/>
    <w:rsid w:val="00041C1E"/>
    <w:rsid w:val="00045871"/>
    <w:rsid w:val="00056AE8"/>
    <w:rsid w:val="00064CC2"/>
    <w:rsid w:val="00066A4D"/>
    <w:rsid w:val="00074F86"/>
    <w:rsid w:val="0007555C"/>
    <w:rsid w:val="00077758"/>
    <w:rsid w:val="00081370"/>
    <w:rsid w:val="00091DB7"/>
    <w:rsid w:val="000959AF"/>
    <w:rsid w:val="000A1EE4"/>
    <w:rsid w:val="000A4668"/>
    <w:rsid w:val="000C0555"/>
    <w:rsid w:val="000C4F00"/>
    <w:rsid w:val="000C5C01"/>
    <w:rsid w:val="000C6C8D"/>
    <w:rsid w:val="000C7579"/>
    <w:rsid w:val="000E6888"/>
    <w:rsid w:val="000F1A9C"/>
    <w:rsid w:val="00101D9D"/>
    <w:rsid w:val="00116F82"/>
    <w:rsid w:val="00130139"/>
    <w:rsid w:val="00134FCA"/>
    <w:rsid w:val="001367F7"/>
    <w:rsid w:val="00142EBF"/>
    <w:rsid w:val="00153D19"/>
    <w:rsid w:val="00155444"/>
    <w:rsid w:val="00155906"/>
    <w:rsid w:val="00164A8E"/>
    <w:rsid w:val="0017505D"/>
    <w:rsid w:val="001764BB"/>
    <w:rsid w:val="001A135B"/>
    <w:rsid w:val="001A2742"/>
    <w:rsid w:val="001B0663"/>
    <w:rsid w:val="001C0A58"/>
    <w:rsid w:val="001C564E"/>
    <w:rsid w:val="001D2BFF"/>
    <w:rsid w:val="001D2C9B"/>
    <w:rsid w:val="001D56E6"/>
    <w:rsid w:val="001E19CE"/>
    <w:rsid w:val="001E26FB"/>
    <w:rsid w:val="001E4991"/>
    <w:rsid w:val="001E4CE2"/>
    <w:rsid w:val="001F29DC"/>
    <w:rsid w:val="001F30E0"/>
    <w:rsid w:val="001F4E58"/>
    <w:rsid w:val="001F5D40"/>
    <w:rsid w:val="001F6B8E"/>
    <w:rsid w:val="00215B46"/>
    <w:rsid w:val="0022350C"/>
    <w:rsid w:val="00227EAC"/>
    <w:rsid w:val="002436C7"/>
    <w:rsid w:val="002439BB"/>
    <w:rsid w:val="00247ECB"/>
    <w:rsid w:val="0025204B"/>
    <w:rsid w:val="0025533D"/>
    <w:rsid w:val="0026267F"/>
    <w:rsid w:val="00266FAD"/>
    <w:rsid w:val="00280255"/>
    <w:rsid w:val="002814D6"/>
    <w:rsid w:val="00293AFC"/>
    <w:rsid w:val="00295655"/>
    <w:rsid w:val="00295EB5"/>
    <w:rsid w:val="0029676F"/>
    <w:rsid w:val="002A79E6"/>
    <w:rsid w:val="002B3C3F"/>
    <w:rsid w:val="002C634F"/>
    <w:rsid w:val="002E6850"/>
    <w:rsid w:val="002F03C9"/>
    <w:rsid w:val="002F1F9E"/>
    <w:rsid w:val="002F2607"/>
    <w:rsid w:val="002F7CB7"/>
    <w:rsid w:val="00312ECA"/>
    <w:rsid w:val="003249C3"/>
    <w:rsid w:val="0032536E"/>
    <w:rsid w:val="00331B22"/>
    <w:rsid w:val="003469A0"/>
    <w:rsid w:val="003501A6"/>
    <w:rsid w:val="00353931"/>
    <w:rsid w:val="00355770"/>
    <w:rsid w:val="003563A3"/>
    <w:rsid w:val="00361DBA"/>
    <w:rsid w:val="003647B6"/>
    <w:rsid w:val="00366D34"/>
    <w:rsid w:val="00371024"/>
    <w:rsid w:val="00371A3F"/>
    <w:rsid w:val="003905E8"/>
    <w:rsid w:val="003923B5"/>
    <w:rsid w:val="003A0272"/>
    <w:rsid w:val="003A3D0C"/>
    <w:rsid w:val="003A52DF"/>
    <w:rsid w:val="003B5177"/>
    <w:rsid w:val="003C52D3"/>
    <w:rsid w:val="003C7660"/>
    <w:rsid w:val="003D3A3D"/>
    <w:rsid w:val="003E2295"/>
    <w:rsid w:val="003F0F1B"/>
    <w:rsid w:val="003F2F53"/>
    <w:rsid w:val="00402729"/>
    <w:rsid w:val="00407E7D"/>
    <w:rsid w:val="004122AE"/>
    <w:rsid w:val="00417B67"/>
    <w:rsid w:val="00422B2A"/>
    <w:rsid w:val="00430C76"/>
    <w:rsid w:val="00430F81"/>
    <w:rsid w:val="00431B7F"/>
    <w:rsid w:val="00431DFD"/>
    <w:rsid w:val="0043662E"/>
    <w:rsid w:val="00441708"/>
    <w:rsid w:val="00442850"/>
    <w:rsid w:val="00451F8C"/>
    <w:rsid w:val="00453F1C"/>
    <w:rsid w:val="0045472A"/>
    <w:rsid w:val="0046172E"/>
    <w:rsid w:val="00461FF5"/>
    <w:rsid w:val="00462B34"/>
    <w:rsid w:val="00474A32"/>
    <w:rsid w:val="00481671"/>
    <w:rsid w:val="00481D4D"/>
    <w:rsid w:val="00493E4B"/>
    <w:rsid w:val="004A3470"/>
    <w:rsid w:val="004A4ACB"/>
    <w:rsid w:val="004C47AC"/>
    <w:rsid w:val="004D31DB"/>
    <w:rsid w:val="004F166C"/>
    <w:rsid w:val="004F46C1"/>
    <w:rsid w:val="00501ACA"/>
    <w:rsid w:val="00507D3C"/>
    <w:rsid w:val="0051689A"/>
    <w:rsid w:val="00521AC5"/>
    <w:rsid w:val="00521FEF"/>
    <w:rsid w:val="005272E7"/>
    <w:rsid w:val="00527A78"/>
    <w:rsid w:val="0053525C"/>
    <w:rsid w:val="005355C3"/>
    <w:rsid w:val="00546A25"/>
    <w:rsid w:val="00550DAC"/>
    <w:rsid w:val="0055192B"/>
    <w:rsid w:val="00551CEC"/>
    <w:rsid w:val="00566766"/>
    <w:rsid w:val="0057074D"/>
    <w:rsid w:val="005709C0"/>
    <w:rsid w:val="0059566A"/>
    <w:rsid w:val="005A0AE7"/>
    <w:rsid w:val="005A452F"/>
    <w:rsid w:val="005A671D"/>
    <w:rsid w:val="005B0005"/>
    <w:rsid w:val="005B3181"/>
    <w:rsid w:val="005B7CFB"/>
    <w:rsid w:val="005C1536"/>
    <w:rsid w:val="005D65ED"/>
    <w:rsid w:val="005D7765"/>
    <w:rsid w:val="005E442F"/>
    <w:rsid w:val="005E4849"/>
    <w:rsid w:val="005F05FD"/>
    <w:rsid w:val="005F146A"/>
    <w:rsid w:val="006060D3"/>
    <w:rsid w:val="00607FB2"/>
    <w:rsid w:val="00610469"/>
    <w:rsid w:val="00633561"/>
    <w:rsid w:val="00640BC4"/>
    <w:rsid w:val="00643686"/>
    <w:rsid w:val="00644615"/>
    <w:rsid w:val="00651B01"/>
    <w:rsid w:val="00664218"/>
    <w:rsid w:val="00667671"/>
    <w:rsid w:val="00667922"/>
    <w:rsid w:val="00675198"/>
    <w:rsid w:val="006825C0"/>
    <w:rsid w:val="00690B17"/>
    <w:rsid w:val="00696342"/>
    <w:rsid w:val="006A240E"/>
    <w:rsid w:val="006A275B"/>
    <w:rsid w:val="006A5CB5"/>
    <w:rsid w:val="006A7B6B"/>
    <w:rsid w:val="006B3BE7"/>
    <w:rsid w:val="006B4180"/>
    <w:rsid w:val="006C12C9"/>
    <w:rsid w:val="006D0E78"/>
    <w:rsid w:val="006E3DB9"/>
    <w:rsid w:val="006F20C8"/>
    <w:rsid w:val="006F64B2"/>
    <w:rsid w:val="0070081F"/>
    <w:rsid w:val="00702552"/>
    <w:rsid w:val="00707A86"/>
    <w:rsid w:val="0071143B"/>
    <w:rsid w:val="0072439C"/>
    <w:rsid w:val="0072444C"/>
    <w:rsid w:val="00746C90"/>
    <w:rsid w:val="00754758"/>
    <w:rsid w:val="00765809"/>
    <w:rsid w:val="00766863"/>
    <w:rsid w:val="007728F8"/>
    <w:rsid w:val="00774556"/>
    <w:rsid w:val="007767CD"/>
    <w:rsid w:val="007866E5"/>
    <w:rsid w:val="007930C1"/>
    <w:rsid w:val="007A113D"/>
    <w:rsid w:val="007B34F6"/>
    <w:rsid w:val="007C1619"/>
    <w:rsid w:val="007C58F2"/>
    <w:rsid w:val="007E6F81"/>
    <w:rsid w:val="007F0008"/>
    <w:rsid w:val="007F1AA9"/>
    <w:rsid w:val="007F1EA3"/>
    <w:rsid w:val="007F26D0"/>
    <w:rsid w:val="00813B75"/>
    <w:rsid w:val="00815152"/>
    <w:rsid w:val="00815F36"/>
    <w:rsid w:val="00817785"/>
    <w:rsid w:val="00820EF8"/>
    <w:rsid w:val="00823B74"/>
    <w:rsid w:val="008371B3"/>
    <w:rsid w:val="008632B4"/>
    <w:rsid w:val="00877EBC"/>
    <w:rsid w:val="00883FD4"/>
    <w:rsid w:val="008842EC"/>
    <w:rsid w:val="00886BB8"/>
    <w:rsid w:val="00897393"/>
    <w:rsid w:val="008A1899"/>
    <w:rsid w:val="008B7FA8"/>
    <w:rsid w:val="008C434D"/>
    <w:rsid w:val="008C50B7"/>
    <w:rsid w:val="008C7264"/>
    <w:rsid w:val="008D207E"/>
    <w:rsid w:val="008D65D1"/>
    <w:rsid w:val="008E3CE8"/>
    <w:rsid w:val="008F5015"/>
    <w:rsid w:val="008F7366"/>
    <w:rsid w:val="008F74D5"/>
    <w:rsid w:val="009149CF"/>
    <w:rsid w:val="009200C7"/>
    <w:rsid w:val="00921184"/>
    <w:rsid w:val="00942A6A"/>
    <w:rsid w:val="00943A0F"/>
    <w:rsid w:val="00961750"/>
    <w:rsid w:val="00961D7B"/>
    <w:rsid w:val="00970263"/>
    <w:rsid w:val="0098268D"/>
    <w:rsid w:val="00984690"/>
    <w:rsid w:val="00991C73"/>
    <w:rsid w:val="0099692B"/>
    <w:rsid w:val="009A0055"/>
    <w:rsid w:val="009A161C"/>
    <w:rsid w:val="009A7D74"/>
    <w:rsid w:val="009B2D91"/>
    <w:rsid w:val="009B45C3"/>
    <w:rsid w:val="009B733B"/>
    <w:rsid w:val="009C7E72"/>
    <w:rsid w:val="009D087A"/>
    <w:rsid w:val="009D1BD3"/>
    <w:rsid w:val="009E6F6C"/>
    <w:rsid w:val="009F2482"/>
    <w:rsid w:val="009F3D7C"/>
    <w:rsid w:val="009F48F8"/>
    <w:rsid w:val="00A26EF8"/>
    <w:rsid w:val="00A33578"/>
    <w:rsid w:val="00A51FFB"/>
    <w:rsid w:val="00A61ECB"/>
    <w:rsid w:val="00A728B2"/>
    <w:rsid w:val="00A74D9D"/>
    <w:rsid w:val="00A92C53"/>
    <w:rsid w:val="00AB27E8"/>
    <w:rsid w:val="00AB519E"/>
    <w:rsid w:val="00AB5CD0"/>
    <w:rsid w:val="00AB6DD9"/>
    <w:rsid w:val="00AC04B0"/>
    <w:rsid w:val="00AC5EB4"/>
    <w:rsid w:val="00AC7EF3"/>
    <w:rsid w:val="00AD0434"/>
    <w:rsid w:val="00AD180B"/>
    <w:rsid w:val="00AD6406"/>
    <w:rsid w:val="00AE3FAB"/>
    <w:rsid w:val="00AE622D"/>
    <w:rsid w:val="00B05166"/>
    <w:rsid w:val="00B11646"/>
    <w:rsid w:val="00B14E33"/>
    <w:rsid w:val="00B1793B"/>
    <w:rsid w:val="00B21D64"/>
    <w:rsid w:val="00B26052"/>
    <w:rsid w:val="00B272D7"/>
    <w:rsid w:val="00B41CF7"/>
    <w:rsid w:val="00B45F27"/>
    <w:rsid w:val="00B465DD"/>
    <w:rsid w:val="00B5406B"/>
    <w:rsid w:val="00B57499"/>
    <w:rsid w:val="00B57CC2"/>
    <w:rsid w:val="00B63867"/>
    <w:rsid w:val="00B65F92"/>
    <w:rsid w:val="00B6711D"/>
    <w:rsid w:val="00B72FE9"/>
    <w:rsid w:val="00B7329D"/>
    <w:rsid w:val="00BA2AE3"/>
    <w:rsid w:val="00BA4A6C"/>
    <w:rsid w:val="00BA4EA2"/>
    <w:rsid w:val="00BB054B"/>
    <w:rsid w:val="00BB3AEF"/>
    <w:rsid w:val="00BB434D"/>
    <w:rsid w:val="00BC1CC7"/>
    <w:rsid w:val="00BC5BEC"/>
    <w:rsid w:val="00BE32E6"/>
    <w:rsid w:val="00BE60AE"/>
    <w:rsid w:val="00BE6589"/>
    <w:rsid w:val="00BE6EB1"/>
    <w:rsid w:val="00BF044F"/>
    <w:rsid w:val="00BF0AFE"/>
    <w:rsid w:val="00BF2FF6"/>
    <w:rsid w:val="00BF71DE"/>
    <w:rsid w:val="00C07D92"/>
    <w:rsid w:val="00C2093F"/>
    <w:rsid w:val="00C35677"/>
    <w:rsid w:val="00C40F9E"/>
    <w:rsid w:val="00C420C4"/>
    <w:rsid w:val="00C51C4B"/>
    <w:rsid w:val="00C54F42"/>
    <w:rsid w:val="00C644B3"/>
    <w:rsid w:val="00C84719"/>
    <w:rsid w:val="00C86915"/>
    <w:rsid w:val="00C943D9"/>
    <w:rsid w:val="00C953BC"/>
    <w:rsid w:val="00CA0DBE"/>
    <w:rsid w:val="00CA7378"/>
    <w:rsid w:val="00CB69F1"/>
    <w:rsid w:val="00CB7626"/>
    <w:rsid w:val="00CC6757"/>
    <w:rsid w:val="00D02656"/>
    <w:rsid w:val="00D044AE"/>
    <w:rsid w:val="00D1161D"/>
    <w:rsid w:val="00D1467D"/>
    <w:rsid w:val="00D15062"/>
    <w:rsid w:val="00D308AE"/>
    <w:rsid w:val="00D33BE0"/>
    <w:rsid w:val="00D36EB3"/>
    <w:rsid w:val="00D376EA"/>
    <w:rsid w:val="00D52B07"/>
    <w:rsid w:val="00D60511"/>
    <w:rsid w:val="00D7339D"/>
    <w:rsid w:val="00D74B0D"/>
    <w:rsid w:val="00D826D6"/>
    <w:rsid w:val="00D83C37"/>
    <w:rsid w:val="00D8447E"/>
    <w:rsid w:val="00D850F8"/>
    <w:rsid w:val="00D879C9"/>
    <w:rsid w:val="00D92A5A"/>
    <w:rsid w:val="00DA4B56"/>
    <w:rsid w:val="00DA4F19"/>
    <w:rsid w:val="00DA59E1"/>
    <w:rsid w:val="00DA6F31"/>
    <w:rsid w:val="00DB2530"/>
    <w:rsid w:val="00DD0B2E"/>
    <w:rsid w:val="00DD22ED"/>
    <w:rsid w:val="00DD7B38"/>
    <w:rsid w:val="00DE0D05"/>
    <w:rsid w:val="00DE3D7F"/>
    <w:rsid w:val="00DE52BB"/>
    <w:rsid w:val="00DE6350"/>
    <w:rsid w:val="00DF4920"/>
    <w:rsid w:val="00E14BD2"/>
    <w:rsid w:val="00E16087"/>
    <w:rsid w:val="00E17265"/>
    <w:rsid w:val="00E17841"/>
    <w:rsid w:val="00E25162"/>
    <w:rsid w:val="00E320F1"/>
    <w:rsid w:val="00E555A0"/>
    <w:rsid w:val="00E629B1"/>
    <w:rsid w:val="00E672CC"/>
    <w:rsid w:val="00E67814"/>
    <w:rsid w:val="00E67F1B"/>
    <w:rsid w:val="00E72619"/>
    <w:rsid w:val="00E75985"/>
    <w:rsid w:val="00E76E3F"/>
    <w:rsid w:val="00E8170F"/>
    <w:rsid w:val="00E82B1E"/>
    <w:rsid w:val="00E9374F"/>
    <w:rsid w:val="00E96AE7"/>
    <w:rsid w:val="00EA03F5"/>
    <w:rsid w:val="00EA2D0F"/>
    <w:rsid w:val="00EB0A63"/>
    <w:rsid w:val="00EB3270"/>
    <w:rsid w:val="00EC22F1"/>
    <w:rsid w:val="00ED1DBC"/>
    <w:rsid w:val="00EE657B"/>
    <w:rsid w:val="00EE6580"/>
    <w:rsid w:val="00EE768F"/>
    <w:rsid w:val="00EF0EB3"/>
    <w:rsid w:val="00EF1E14"/>
    <w:rsid w:val="00EF7A3E"/>
    <w:rsid w:val="00F003BC"/>
    <w:rsid w:val="00F01538"/>
    <w:rsid w:val="00F06C87"/>
    <w:rsid w:val="00F104AA"/>
    <w:rsid w:val="00F136E4"/>
    <w:rsid w:val="00F230D6"/>
    <w:rsid w:val="00F35C43"/>
    <w:rsid w:val="00F3760E"/>
    <w:rsid w:val="00F4293E"/>
    <w:rsid w:val="00F47875"/>
    <w:rsid w:val="00F57E09"/>
    <w:rsid w:val="00F675EA"/>
    <w:rsid w:val="00F76DB2"/>
    <w:rsid w:val="00F77785"/>
    <w:rsid w:val="00F800CA"/>
    <w:rsid w:val="00F83DE4"/>
    <w:rsid w:val="00F909D6"/>
    <w:rsid w:val="00F9218F"/>
    <w:rsid w:val="00F9515E"/>
    <w:rsid w:val="00FA1460"/>
    <w:rsid w:val="00FB4F5B"/>
    <w:rsid w:val="00FB7C07"/>
    <w:rsid w:val="00FD40F5"/>
    <w:rsid w:val="00FF5155"/>
    <w:rsid w:val="00FF5E49"/>
    <w:rsid w:val="02B07B38"/>
    <w:rsid w:val="04F8136A"/>
    <w:rsid w:val="08BF2C56"/>
    <w:rsid w:val="09CD396C"/>
    <w:rsid w:val="0E790AA9"/>
    <w:rsid w:val="0F546E4E"/>
    <w:rsid w:val="13D256C7"/>
    <w:rsid w:val="144D4E6C"/>
    <w:rsid w:val="15F04766"/>
    <w:rsid w:val="16994B2B"/>
    <w:rsid w:val="19A25A1B"/>
    <w:rsid w:val="1FA848A4"/>
    <w:rsid w:val="23945A32"/>
    <w:rsid w:val="23AA73EF"/>
    <w:rsid w:val="23AD06BB"/>
    <w:rsid w:val="275E3185"/>
    <w:rsid w:val="277A1B1A"/>
    <w:rsid w:val="2A305F5B"/>
    <w:rsid w:val="2A5B42AA"/>
    <w:rsid w:val="2DA059AB"/>
    <w:rsid w:val="2FCB0375"/>
    <w:rsid w:val="30003A09"/>
    <w:rsid w:val="308C66BA"/>
    <w:rsid w:val="32EB3E6B"/>
    <w:rsid w:val="352D7E26"/>
    <w:rsid w:val="3887686D"/>
    <w:rsid w:val="3AEE4610"/>
    <w:rsid w:val="3FF1584F"/>
    <w:rsid w:val="413940B1"/>
    <w:rsid w:val="47C761D6"/>
    <w:rsid w:val="47D407B7"/>
    <w:rsid w:val="4DE07DA9"/>
    <w:rsid w:val="51805242"/>
    <w:rsid w:val="57417A17"/>
    <w:rsid w:val="58CD6C89"/>
    <w:rsid w:val="609E2132"/>
    <w:rsid w:val="61CB4433"/>
    <w:rsid w:val="63CB14A6"/>
    <w:rsid w:val="645D6E63"/>
    <w:rsid w:val="659A77B4"/>
    <w:rsid w:val="69FE50C3"/>
    <w:rsid w:val="70415854"/>
    <w:rsid w:val="752A42BE"/>
    <w:rsid w:val="7B20137D"/>
    <w:rsid w:val="7CF735EA"/>
    <w:rsid w:val="7F083B6F"/>
    <w:rsid w:val="7FA20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9"/>
    <w:pPr>
      <w:keepNext/>
      <w:keepLines/>
      <w:spacing w:before="340" w:after="330" w:line="578" w:lineRule="auto"/>
      <w:ind w:firstLine="0"/>
      <w:outlineLvl w:val="0"/>
    </w:pPr>
    <w:rPr>
      <w:b/>
      <w:bCs/>
      <w:kern w:val="44"/>
      <w:sz w:val="44"/>
      <w:szCs w:val="44"/>
    </w:rPr>
  </w:style>
  <w:style w:type="paragraph" w:styleId="4">
    <w:name w:val="heading 2"/>
    <w:basedOn w:val="1"/>
    <w:next w:val="1"/>
    <w:autoRedefine/>
    <w:qFormat/>
    <w:uiPriority w:val="99"/>
    <w:pPr>
      <w:keepNext/>
      <w:keepLines/>
      <w:spacing w:before="260" w:after="260" w:line="416" w:lineRule="auto"/>
      <w:ind w:firstLine="0"/>
      <w:outlineLvl w:val="1"/>
    </w:pPr>
    <w:rPr>
      <w:rFonts w:ascii="Arial" w:hAnsi="Arial" w:eastAsia="黑体"/>
      <w:b/>
      <w:bCs/>
      <w:sz w:val="32"/>
      <w:szCs w:val="32"/>
    </w:rPr>
  </w:style>
  <w:style w:type="paragraph" w:styleId="5">
    <w:name w:val="heading 3"/>
    <w:basedOn w:val="1"/>
    <w:next w:val="1"/>
    <w:link w:val="63"/>
    <w:autoRedefine/>
    <w:qFormat/>
    <w:uiPriority w:val="0"/>
    <w:pPr>
      <w:autoSpaceDE w:val="0"/>
      <w:autoSpaceDN w:val="0"/>
      <w:adjustRightInd w:val="0"/>
      <w:spacing w:after="156" w:afterLines="50"/>
      <w:ind w:left="-4" w:firstLine="0"/>
      <w:jc w:val="center"/>
      <w:outlineLvl w:val="2"/>
    </w:pPr>
    <w:rPr>
      <w:rFonts w:ascii="宋体" w:hAnsi="宋体"/>
      <w:b/>
      <w:color w:val="000000"/>
      <w:kern w:val="0"/>
    </w:rPr>
  </w:style>
  <w:style w:type="paragraph" w:styleId="6">
    <w:name w:val="heading 4"/>
    <w:basedOn w:val="1"/>
    <w:next w:val="1"/>
    <w:autoRedefine/>
    <w:qFormat/>
    <w:uiPriority w:val="0"/>
    <w:pPr>
      <w:keepNext/>
      <w:keepLines/>
      <w:spacing w:before="280" w:after="290" w:line="376" w:lineRule="auto"/>
      <w:ind w:firstLine="0"/>
      <w:outlineLvl w:val="3"/>
    </w:pPr>
    <w:rPr>
      <w:rFonts w:ascii="Arial" w:hAnsi="Arial" w:eastAsia="黑体"/>
      <w:b/>
      <w:bCs/>
      <w:sz w:val="28"/>
      <w:szCs w:val="28"/>
    </w:rPr>
  </w:style>
  <w:style w:type="paragraph" w:styleId="7">
    <w:name w:val="heading 5"/>
    <w:basedOn w:val="1"/>
    <w:next w:val="1"/>
    <w:link w:val="55"/>
    <w:autoRedefine/>
    <w:qFormat/>
    <w:uiPriority w:val="9"/>
    <w:pPr>
      <w:keepNext/>
      <w:keepLines/>
      <w:spacing w:before="280" w:after="290" w:line="376" w:lineRule="auto"/>
      <w:outlineLvl w:val="4"/>
    </w:pPr>
    <w:rPr>
      <w:b/>
      <w:bCs/>
      <w:sz w:val="28"/>
      <w:szCs w:val="28"/>
    </w:rPr>
  </w:style>
  <w:style w:type="paragraph" w:styleId="8">
    <w:name w:val="heading 6"/>
    <w:basedOn w:val="1"/>
    <w:next w:val="1"/>
    <w:link w:val="51"/>
    <w:autoRedefine/>
    <w:qFormat/>
    <w:uiPriority w:val="9"/>
    <w:pPr>
      <w:keepNext/>
      <w:keepLines/>
      <w:spacing w:before="240" w:after="64" w:line="320" w:lineRule="auto"/>
      <w:outlineLvl w:val="5"/>
    </w:pPr>
    <w:rPr>
      <w:rFonts w:ascii="等线 Light" w:hAnsi="等线 Light" w:eastAsia="等线 Light"/>
      <w:b/>
      <w:bCs/>
      <w:sz w:val="24"/>
      <w:szCs w:val="24"/>
    </w:rPr>
  </w:style>
  <w:style w:type="character" w:default="1" w:styleId="42">
    <w:name w:val="Default Paragraph Font"/>
    <w:autoRedefine/>
    <w:qFormat/>
    <w:uiPriority w:val="0"/>
  </w:style>
  <w:style w:type="table" w:default="1" w:styleId="41">
    <w:name w:val="Normal Table"/>
    <w:autoRedefine/>
    <w:unhideWhenUsed/>
    <w:qFormat/>
    <w:uiPriority w:val="99"/>
    <w:tblPr>
      <w:tblCellMar>
        <w:top w:w="0" w:type="dxa"/>
        <w:left w:w="108" w:type="dxa"/>
        <w:bottom w:w="0" w:type="dxa"/>
        <w:right w:w="108" w:type="dxa"/>
      </w:tblCellMar>
    </w:tblPr>
  </w:style>
  <w:style w:type="paragraph" w:styleId="2">
    <w:name w:val="Normal Indent"/>
    <w:basedOn w:val="1"/>
    <w:link w:val="64"/>
    <w:autoRedefine/>
    <w:qFormat/>
    <w:uiPriority w:val="0"/>
    <w:pPr>
      <w:ind w:firstLine="420" w:firstLineChars="200"/>
    </w:pPr>
  </w:style>
  <w:style w:type="paragraph" w:styleId="9">
    <w:name w:val="toc 7"/>
    <w:basedOn w:val="1"/>
    <w:next w:val="1"/>
    <w:autoRedefine/>
    <w:qFormat/>
    <w:uiPriority w:val="0"/>
    <w:pPr>
      <w:ind w:left="1260"/>
      <w:jc w:val="left"/>
    </w:pPr>
    <w:rPr>
      <w:rFonts w:ascii="等线" w:eastAsia="等线"/>
      <w:sz w:val="18"/>
      <w:szCs w:val="18"/>
    </w:rPr>
  </w:style>
  <w:style w:type="paragraph" w:styleId="10">
    <w:name w:val="caption"/>
    <w:basedOn w:val="1"/>
    <w:next w:val="1"/>
    <w:autoRedefine/>
    <w:qFormat/>
    <w:uiPriority w:val="0"/>
    <w:pPr>
      <w:spacing w:before="152" w:after="160" w:line="240" w:lineRule="auto"/>
      <w:ind w:firstLine="0"/>
    </w:pPr>
    <w:rPr>
      <w:rFonts w:ascii="Arial" w:hAnsi="Arial" w:eastAsia="黑体" w:cs="Arial"/>
      <w:sz w:val="20"/>
    </w:rPr>
  </w:style>
  <w:style w:type="paragraph" w:styleId="11">
    <w:name w:val="Document Map"/>
    <w:basedOn w:val="1"/>
    <w:autoRedefine/>
    <w:qFormat/>
    <w:uiPriority w:val="0"/>
    <w:pPr>
      <w:shd w:val="clear" w:color="auto" w:fill="000080"/>
    </w:pPr>
  </w:style>
  <w:style w:type="paragraph" w:styleId="12">
    <w:name w:val="annotation text"/>
    <w:basedOn w:val="1"/>
    <w:link w:val="49"/>
    <w:autoRedefine/>
    <w:qFormat/>
    <w:uiPriority w:val="0"/>
    <w:pPr>
      <w:jc w:val="left"/>
    </w:pPr>
  </w:style>
  <w:style w:type="paragraph" w:styleId="13">
    <w:name w:val="Body Text 3"/>
    <w:basedOn w:val="1"/>
    <w:autoRedefine/>
    <w:qFormat/>
    <w:uiPriority w:val="0"/>
    <w:pPr>
      <w:spacing w:after="120"/>
    </w:pPr>
    <w:rPr>
      <w:sz w:val="16"/>
      <w:szCs w:val="16"/>
    </w:rPr>
  </w:style>
  <w:style w:type="paragraph" w:styleId="14">
    <w:name w:val="Body Text"/>
    <w:basedOn w:val="1"/>
    <w:link w:val="53"/>
    <w:autoRedefine/>
    <w:qFormat/>
    <w:uiPriority w:val="0"/>
    <w:pPr>
      <w:spacing w:after="120"/>
    </w:pPr>
  </w:style>
  <w:style w:type="paragraph" w:styleId="15">
    <w:name w:val="Body Text Indent"/>
    <w:basedOn w:val="1"/>
    <w:link w:val="65"/>
    <w:autoRedefine/>
    <w:qFormat/>
    <w:uiPriority w:val="0"/>
    <w:pPr>
      <w:spacing w:after="120"/>
      <w:ind w:left="420" w:leftChars="200"/>
    </w:pPr>
  </w:style>
  <w:style w:type="paragraph" w:styleId="16">
    <w:name w:val="toc 5"/>
    <w:basedOn w:val="1"/>
    <w:next w:val="1"/>
    <w:autoRedefine/>
    <w:qFormat/>
    <w:uiPriority w:val="0"/>
    <w:pPr>
      <w:ind w:left="840"/>
      <w:jc w:val="left"/>
    </w:pPr>
    <w:rPr>
      <w:rFonts w:ascii="等线" w:eastAsia="等线"/>
      <w:sz w:val="18"/>
      <w:szCs w:val="18"/>
    </w:rPr>
  </w:style>
  <w:style w:type="paragraph" w:styleId="17">
    <w:name w:val="toc 3"/>
    <w:basedOn w:val="1"/>
    <w:next w:val="1"/>
    <w:autoRedefine/>
    <w:qFormat/>
    <w:uiPriority w:val="39"/>
    <w:pPr>
      <w:ind w:left="420"/>
      <w:jc w:val="left"/>
    </w:pPr>
    <w:rPr>
      <w:rFonts w:ascii="等线" w:eastAsia="等线"/>
      <w:i/>
      <w:iCs/>
      <w:sz w:val="20"/>
    </w:rPr>
  </w:style>
  <w:style w:type="paragraph" w:styleId="18">
    <w:name w:val="Plain Text"/>
    <w:basedOn w:val="1"/>
    <w:link w:val="66"/>
    <w:autoRedefine/>
    <w:qFormat/>
    <w:uiPriority w:val="0"/>
    <w:pPr>
      <w:spacing w:line="240" w:lineRule="auto"/>
      <w:ind w:firstLine="0"/>
    </w:pPr>
    <w:rPr>
      <w:rFonts w:ascii="宋体" w:hAnsi="Courier New" w:cs="Courier New"/>
      <w:szCs w:val="21"/>
    </w:rPr>
  </w:style>
  <w:style w:type="paragraph" w:styleId="19">
    <w:name w:val="toc 8"/>
    <w:basedOn w:val="1"/>
    <w:next w:val="1"/>
    <w:autoRedefine/>
    <w:qFormat/>
    <w:uiPriority w:val="0"/>
    <w:pPr>
      <w:ind w:left="1470"/>
      <w:jc w:val="left"/>
    </w:pPr>
    <w:rPr>
      <w:rFonts w:ascii="等线" w:eastAsia="等线"/>
      <w:sz w:val="18"/>
      <w:szCs w:val="18"/>
    </w:rPr>
  </w:style>
  <w:style w:type="paragraph" w:styleId="20">
    <w:name w:val="Date"/>
    <w:basedOn w:val="1"/>
    <w:next w:val="1"/>
    <w:autoRedefine/>
    <w:qFormat/>
    <w:uiPriority w:val="0"/>
    <w:pPr>
      <w:spacing w:line="240" w:lineRule="auto"/>
      <w:ind w:firstLine="0"/>
    </w:pPr>
  </w:style>
  <w:style w:type="paragraph" w:styleId="21">
    <w:name w:val="Body Text Indent 2"/>
    <w:basedOn w:val="1"/>
    <w:autoRedefine/>
    <w:qFormat/>
    <w:uiPriority w:val="0"/>
    <w:pPr>
      <w:spacing w:after="120" w:line="480" w:lineRule="auto"/>
      <w:ind w:left="420" w:leftChars="200"/>
    </w:pPr>
  </w:style>
  <w:style w:type="paragraph" w:styleId="22">
    <w:name w:val="endnote text"/>
    <w:basedOn w:val="1"/>
    <w:link w:val="60"/>
    <w:autoRedefine/>
    <w:qFormat/>
    <w:uiPriority w:val="99"/>
    <w:pPr>
      <w:snapToGrid w:val="0"/>
      <w:jc w:val="left"/>
    </w:pPr>
    <w:rPr>
      <w:rFonts w:ascii="宋体" w:hAnsi="宋体"/>
      <w:kern w:val="0"/>
      <w:sz w:val="28"/>
    </w:rPr>
  </w:style>
  <w:style w:type="paragraph" w:styleId="23">
    <w:name w:val="Balloon Text"/>
    <w:basedOn w:val="1"/>
    <w:autoRedefine/>
    <w:qFormat/>
    <w:uiPriority w:val="0"/>
    <w:rPr>
      <w:sz w:val="18"/>
      <w:szCs w:val="18"/>
    </w:rPr>
  </w:style>
  <w:style w:type="paragraph" w:styleId="24">
    <w:name w:val="footer"/>
    <w:basedOn w:val="1"/>
    <w:link w:val="67"/>
    <w:autoRedefine/>
    <w:qFormat/>
    <w:uiPriority w:val="0"/>
    <w:pPr>
      <w:tabs>
        <w:tab w:val="center" w:pos="4153"/>
        <w:tab w:val="right" w:pos="8306"/>
      </w:tabs>
      <w:snapToGrid w:val="0"/>
      <w:spacing w:line="240" w:lineRule="auto"/>
      <w:jc w:val="left"/>
    </w:pPr>
    <w:rPr>
      <w:sz w:val="18"/>
      <w:szCs w:val="18"/>
    </w:rPr>
  </w:style>
  <w:style w:type="paragraph" w:styleId="25">
    <w:name w:val="header"/>
    <w:basedOn w:val="1"/>
    <w:link w:val="61"/>
    <w:autoRedefine/>
    <w:qFormat/>
    <w:uiPriority w:val="0"/>
    <w:pPr>
      <w:tabs>
        <w:tab w:val="center" w:pos="4153"/>
        <w:tab w:val="right" w:pos="8306"/>
      </w:tabs>
    </w:pPr>
  </w:style>
  <w:style w:type="paragraph" w:styleId="26">
    <w:name w:val="toc 1"/>
    <w:basedOn w:val="1"/>
    <w:next w:val="1"/>
    <w:autoRedefine/>
    <w:qFormat/>
    <w:uiPriority w:val="39"/>
    <w:pPr>
      <w:spacing w:before="120" w:after="120"/>
      <w:jc w:val="left"/>
    </w:pPr>
    <w:rPr>
      <w:rFonts w:ascii="等线" w:eastAsia="等线"/>
      <w:b/>
      <w:bCs/>
      <w:caps/>
      <w:sz w:val="20"/>
    </w:rPr>
  </w:style>
  <w:style w:type="paragraph" w:styleId="27">
    <w:name w:val="toc 4"/>
    <w:basedOn w:val="1"/>
    <w:next w:val="1"/>
    <w:autoRedefine/>
    <w:qFormat/>
    <w:uiPriority w:val="0"/>
    <w:pPr>
      <w:ind w:left="630"/>
      <w:jc w:val="left"/>
    </w:pPr>
    <w:rPr>
      <w:rFonts w:ascii="等线" w:eastAsia="等线"/>
      <w:sz w:val="18"/>
      <w:szCs w:val="18"/>
    </w:rPr>
  </w:style>
  <w:style w:type="paragraph" w:styleId="28">
    <w:name w:val="index heading"/>
    <w:basedOn w:val="1"/>
    <w:next w:val="29"/>
    <w:autoRedefine/>
    <w:qFormat/>
    <w:uiPriority w:val="0"/>
    <w:pPr>
      <w:spacing w:line="240" w:lineRule="auto"/>
      <w:ind w:firstLine="0"/>
    </w:pPr>
  </w:style>
  <w:style w:type="paragraph" w:styleId="29">
    <w:name w:val="index 1"/>
    <w:basedOn w:val="1"/>
    <w:next w:val="1"/>
    <w:autoRedefine/>
    <w:qFormat/>
    <w:uiPriority w:val="0"/>
    <w:pPr>
      <w:ind w:firstLine="0"/>
    </w:pPr>
  </w:style>
  <w:style w:type="paragraph" w:styleId="30">
    <w:name w:val="Subtitle"/>
    <w:basedOn w:val="1"/>
    <w:next w:val="1"/>
    <w:link w:val="58"/>
    <w:autoRedefine/>
    <w:qFormat/>
    <w:uiPriority w:val="0"/>
    <w:pPr>
      <w:spacing w:before="240" w:after="60" w:line="312" w:lineRule="auto"/>
      <w:ind w:firstLine="0"/>
      <w:jc w:val="center"/>
      <w:outlineLvl w:val="1"/>
    </w:pPr>
    <w:rPr>
      <w:rFonts w:ascii="Cambria" w:hAnsi="Cambria"/>
      <w:b/>
      <w:bCs/>
      <w:kern w:val="28"/>
      <w:sz w:val="32"/>
      <w:szCs w:val="32"/>
    </w:rPr>
  </w:style>
  <w:style w:type="paragraph" w:styleId="31">
    <w:name w:val="toc 6"/>
    <w:basedOn w:val="1"/>
    <w:next w:val="1"/>
    <w:autoRedefine/>
    <w:qFormat/>
    <w:uiPriority w:val="0"/>
    <w:pPr>
      <w:ind w:left="1050"/>
      <w:jc w:val="left"/>
    </w:pPr>
    <w:rPr>
      <w:rFonts w:ascii="等线" w:eastAsia="等线"/>
      <w:sz w:val="18"/>
      <w:szCs w:val="18"/>
    </w:rPr>
  </w:style>
  <w:style w:type="paragraph" w:styleId="32">
    <w:name w:val="Body Text Indent 3"/>
    <w:basedOn w:val="1"/>
    <w:link w:val="59"/>
    <w:autoRedefine/>
    <w:qFormat/>
    <w:uiPriority w:val="0"/>
    <w:pPr>
      <w:ind w:firstLine="420" w:firstLineChars="200"/>
    </w:pPr>
  </w:style>
  <w:style w:type="paragraph" w:styleId="33">
    <w:name w:val="toc 2"/>
    <w:basedOn w:val="1"/>
    <w:next w:val="1"/>
    <w:autoRedefine/>
    <w:qFormat/>
    <w:uiPriority w:val="39"/>
    <w:pPr>
      <w:ind w:left="210"/>
      <w:jc w:val="left"/>
    </w:pPr>
    <w:rPr>
      <w:rFonts w:ascii="等线" w:eastAsia="等线"/>
      <w:smallCaps/>
      <w:sz w:val="20"/>
    </w:rPr>
  </w:style>
  <w:style w:type="paragraph" w:styleId="34">
    <w:name w:val="toc 9"/>
    <w:basedOn w:val="1"/>
    <w:next w:val="1"/>
    <w:autoRedefine/>
    <w:qFormat/>
    <w:uiPriority w:val="0"/>
    <w:pPr>
      <w:ind w:left="1680"/>
      <w:jc w:val="left"/>
    </w:pPr>
    <w:rPr>
      <w:rFonts w:ascii="等线" w:eastAsia="等线"/>
      <w:sz w:val="18"/>
      <w:szCs w:val="18"/>
    </w:rPr>
  </w:style>
  <w:style w:type="paragraph" w:styleId="35">
    <w:name w:val="Body Text 2"/>
    <w:basedOn w:val="1"/>
    <w:autoRedefine/>
    <w:qFormat/>
    <w:uiPriority w:val="0"/>
    <w:pPr>
      <w:adjustRightInd w:val="0"/>
      <w:snapToGrid w:val="0"/>
      <w:spacing w:before="240" w:line="240" w:lineRule="auto"/>
      <w:ind w:right="210" w:rightChars="100" w:firstLine="0"/>
    </w:pPr>
    <w:rPr>
      <w:rFonts w:ascii="宋体" w:hAnsi="宋体"/>
      <w:bCs/>
      <w:szCs w:val="24"/>
    </w:rPr>
  </w:style>
  <w:style w:type="paragraph" w:styleId="36">
    <w:name w:val="Normal (Web)"/>
    <w:basedOn w:val="1"/>
    <w:autoRedefine/>
    <w:qFormat/>
    <w:uiPriority w:val="0"/>
    <w:pPr>
      <w:widowControl/>
      <w:spacing w:before="100" w:beforeAutospacing="1" w:after="100" w:afterAutospacing="1" w:line="240" w:lineRule="auto"/>
      <w:ind w:firstLine="0"/>
      <w:jc w:val="left"/>
    </w:pPr>
    <w:rPr>
      <w:rFonts w:ascii="宋体" w:hAnsi="宋体"/>
      <w:color w:val="000000"/>
      <w:kern w:val="0"/>
      <w:sz w:val="24"/>
      <w:szCs w:val="24"/>
    </w:rPr>
  </w:style>
  <w:style w:type="paragraph" w:styleId="37">
    <w:name w:val="Title"/>
    <w:basedOn w:val="1"/>
    <w:autoRedefine/>
    <w:qFormat/>
    <w:uiPriority w:val="0"/>
    <w:pPr>
      <w:spacing w:before="240" w:after="60" w:line="240" w:lineRule="auto"/>
      <w:ind w:firstLine="0"/>
      <w:jc w:val="center"/>
      <w:outlineLvl w:val="0"/>
    </w:pPr>
    <w:rPr>
      <w:rFonts w:ascii="Arial" w:hAnsi="Arial" w:cs="Arial"/>
      <w:b/>
      <w:bCs/>
      <w:sz w:val="32"/>
      <w:szCs w:val="32"/>
    </w:rPr>
  </w:style>
  <w:style w:type="paragraph" w:styleId="38">
    <w:name w:val="annotation subject"/>
    <w:basedOn w:val="12"/>
    <w:next w:val="12"/>
    <w:link w:val="52"/>
    <w:autoRedefine/>
    <w:qFormat/>
    <w:uiPriority w:val="0"/>
    <w:rPr>
      <w:b/>
      <w:bCs/>
    </w:rPr>
  </w:style>
  <w:style w:type="paragraph" w:styleId="39">
    <w:name w:val="Body Text First Indent"/>
    <w:basedOn w:val="14"/>
    <w:autoRedefine/>
    <w:qFormat/>
    <w:uiPriority w:val="0"/>
    <w:pPr>
      <w:spacing w:line="240" w:lineRule="auto"/>
      <w:ind w:firstLine="420" w:firstLineChars="100"/>
    </w:pPr>
    <w:rPr>
      <w:szCs w:val="24"/>
    </w:rPr>
  </w:style>
  <w:style w:type="paragraph" w:styleId="40">
    <w:name w:val="Body Text First Indent 2"/>
    <w:basedOn w:val="15"/>
    <w:link w:val="68"/>
    <w:autoRedefine/>
    <w:unhideWhenUsed/>
    <w:qFormat/>
    <w:uiPriority w:val="99"/>
    <w:pPr>
      <w:ind w:firstLine="420" w:firstLineChars="200"/>
    </w:pPr>
  </w:style>
  <w:style w:type="character" w:styleId="43">
    <w:name w:val="Strong"/>
    <w:autoRedefine/>
    <w:qFormat/>
    <w:uiPriority w:val="0"/>
    <w:rPr>
      <w:rFonts w:ascii="Tahoma" w:hAnsi="Tahoma" w:eastAsia="宋体"/>
      <w:b/>
      <w:bCs/>
      <w:spacing w:val="10"/>
      <w:sz w:val="24"/>
      <w:lang w:val="en-US" w:eastAsia="zh-CN" w:bidi="ar-SA"/>
    </w:rPr>
  </w:style>
  <w:style w:type="character" w:styleId="44">
    <w:name w:val="page number"/>
    <w:basedOn w:val="42"/>
    <w:autoRedefine/>
    <w:qFormat/>
    <w:uiPriority w:val="0"/>
  </w:style>
  <w:style w:type="character" w:styleId="45">
    <w:name w:val="FollowedHyperlink"/>
    <w:autoRedefine/>
    <w:qFormat/>
    <w:uiPriority w:val="0"/>
    <w:rPr>
      <w:color w:val="800080"/>
      <w:u w:val="single"/>
    </w:rPr>
  </w:style>
  <w:style w:type="character" w:styleId="46">
    <w:name w:val="Emphasis"/>
    <w:autoRedefine/>
    <w:qFormat/>
    <w:uiPriority w:val="0"/>
    <w:rPr>
      <w:i/>
      <w:iCs/>
    </w:rPr>
  </w:style>
  <w:style w:type="character" w:styleId="47">
    <w:name w:val="Hyperlink"/>
    <w:autoRedefine/>
    <w:qFormat/>
    <w:uiPriority w:val="99"/>
    <w:rPr>
      <w:color w:val="0000FF"/>
      <w:u w:val="single"/>
    </w:rPr>
  </w:style>
  <w:style w:type="character" w:styleId="48">
    <w:name w:val="annotation reference"/>
    <w:autoRedefine/>
    <w:qFormat/>
    <w:uiPriority w:val="99"/>
    <w:rPr>
      <w:sz w:val="21"/>
      <w:szCs w:val="21"/>
    </w:rPr>
  </w:style>
  <w:style w:type="character" w:customStyle="1" w:styleId="49">
    <w:name w:val="批注文字 字符"/>
    <w:link w:val="12"/>
    <w:autoRedefine/>
    <w:qFormat/>
    <w:uiPriority w:val="0"/>
    <w:rPr>
      <w:kern w:val="2"/>
      <w:sz w:val="21"/>
    </w:rPr>
  </w:style>
  <w:style w:type="character" w:customStyle="1" w:styleId="50">
    <w:name w:val="标题 2 Char"/>
    <w:autoRedefine/>
    <w:qFormat/>
    <w:uiPriority w:val="9"/>
    <w:rPr>
      <w:rFonts w:ascii="Arial" w:hAnsi="Arial" w:eastAsia="黑体"/>
      <w:b/>
      <w:bCs/>
      <w:kern w:val="2"/>
      <w:sz w:val="32"/>
      <w:szCs w:val="32"/>
      <w:lang w:val="en-US" w:eastAsia="zh-CN" w:bidi="ar-SA"/>
    </w:rPr>
  </w:style>
  <w:style w:type="character" w:customStyle="1" w:styleId="51">
    <w:name w:val="标题 6 字符"/>
    <w:link w:val="8"/>
    <w:autoRedefine/>
    <w:semiHidden/>
    <w:qFormat/>
    <w:uiPriority w:val="9"/>
    <w:rPr>
      <w:rFonts w:ascii="等线 Light" w:hAnsi="等线 Light" w:eastAsia="等线 Light" w:cs="Times New Roman"/>
      <w:b/>
      <w:bCs/>
      <w:kern w:val="2"/>
      <w:sz w:val="24"/>
      <w:szCs w:val="24"/>
    </w:rPr>
  </w:style>
  <w:style w:type="character" w:customStyle="1" w:styleId="52">
    <w:name w:val="批注主题 字符"/>
    <w:link w:val="38"/>
    <w:autoRedefine/>
    <w:qFormat/>
    <w:uiPriority w:val="0"/>
    <w:rPr>
      <w:b/>
      <w:bCs/>
      <w:kern w:val="2"/>
      <w:sz w:val="21"/>
    </w:rPr>
  </w:style>
  <w:style w:type="character" w:customStyle="1" w:styleId="53">
    <w:name w:val="正文文本 字符"/>
    <w:link w:val="14"/>
    <w:autoRedefine/>
    <w:qFormat/>
    <w:uiPriority w:val="0"/>
    <w:rPr>
      <w:kern w:val="2"/>
      <w:sz w:val="21"/>
    </w:rPr>
  </w:style>
  <w:style w:type="character" w:customStyle="1" w:styleId="54">
    <w:name w:val="Unresolved Mention"/>
    <w:autoRedefine/>
    <w:unhideWhenUsed/>
    <w:qFormat/>
    <w:uiPriority w:val="99"/>
    <w:rPr>
      <w:color w:val="605E5C"/>
      <w:shd w:val="clear" w:color="auto" w:fill="E1DFDD"/>
    </w:rPr>
  </w:style>
  <w:style w:type="character" w:customStyle="1" w:styleId="55">
    <w:name w:val="标题 5 字符"/>
    <w:link w:val="7"/>
    <w:autoRedefine/>
    <w:semiHidden/>
    <w:qFormat/>
    <w:uiPriority w:val="9"/>
    <w:rPr>
      <w:b/>
      <w:bCs/>
      <w:kern w:val="2"/>
      <w:sz w:val="28"/>
      <w:szCs w:val="28"/>
    </w:rPr>
  </w:style>
  <w:style w:type="character" w:customStyle="1" w:styleId="56">
    <w:name w:val="A5"/>
    <w:autoRedefine/>
    <w:qFormat/>
    <w:uiPriority w:val="0"/>
    <w:rPr>
      <w:rFonts w:cs="思源黑体"/>
      <w:b/>
      <w:bCs/>
      <w:color w:val="000000"/>
      <w:sz w:val="20"/>
      <w:szCs w:val="20"/>
    </w:rPr>
  </w:style>
  <w:style w:type="character" w:customStyle="1" w:styleId="57">
    <w:name w:val="表格文字 Char Char Char Char"/>
    <w:autoRedefine/>
    <w:qFormat/>
    <w:uiPriority w:val="0"/>
    <w:rPr>
      <w:bCs/>
      <w:spacing w:val="10"/>
      <w:sz w:val="24"/>
    </w:rPr>
  </w:style>
  <w:style w:type="character" w:customStyle="1" w:styleId="58">
    <w:name w:val="副标题 字符"/>
    <w:link w:val="30"/>
    <w:autoRedefine/>
    <w:qFormat/>
    <w:uiPriority w:val="0"/>
    <w:rPr>
      <w:rFonts w:ascii="Cambria" w:hAnsi="Cambria"/>
      <w:b/>
      <w:bCs/>
      <w:kern w:val="28"/>
      <w:sz w:val="32"/>
      <w:szCs w:val="32"/>
    </w:rPr>
  </w:style>
  <w:style w:type="character" w:customStyle="1" w:styleId="59">
    <w:name w:val="正文文本缩进 3 字符"/>
    <w:link w:val="32"/>
    <w:autoRedefine/>
    <w:qFormat/>
    <w:uiPriority w:val="0"/>
    <w:rPr>
      <w:kern w:val="2"/>
      <w:sz w:val="21"/>
    </w:rPr>
  </w:style>
  <w:style w:type="character" w:customStyle="1" w:styleId="60">
    <w:name w:val="尾注文本 字符"/>
    <w:link w:val="22"/>
    <w:autoRedefine/>
    <w:qFormat/>
    <w:uiPriority w:val="99"/>
    <w:rPr>
      <w:rFonts w:ascii="宋体" w:hAnsi="宋体"/>
      <w:sz w:val="28"/>
    </w:rPr>
  </w:style>
  <w:style w:type="character" w:customStyle="1" w:styleId="61">
    <w:name w:val="页眉 字符"/>
    <w:link w:val="25"/>
    <w:autoRedefine/>
    <w:qFormat/>
    <w:uiPriority w:val="0"/>
    <w:rPr>
      <w:rFonts w:eastAsia="宋体"/>
      <w:kern w:val="2"/>
      <w:sz w:val="21"/>
      <w:lang w:val="en-US" w:eastAsia="zh-CN" w:bidi="ar-SA"/>
    </w:rPr>
  </w:style>
  <w:style w:type="character" w:customStyle="1" w:styleId="62">
    <w:name w:val="副标题 Char1"/>
    <w:autoRedefine/>
    <w:qFormat/>
    <w:uiPriority w:val="0"/>
    <w:rPr>
      <w:rFonts w:ascii="Cambria" w:hAnsi="Cambria" w:cs="Times New Roman"/>
      <w:b/>
      <w:bCs/>
      <w:kern w:val="28"/>
      <w:sz w:val="32"/>
      <w:szCs w:val="32"/>
    </w:rPr>
  </w:style>
  <w:style w:type="character" w:customStyle="1" w:styleId="63">
    <w:name w:val="标题 3 字符"/>
    <w:link w:val="5"/>
    <w:autoRedefine/>
    <w:qFormat/>
    <w:uiPriority w:val="0"/>
    <w:rPr>
      <w:rFonts w:ascii="宋体" w:hAnsi="宋体" w:eastAsia="宋体"/>
      <w:b/>
      <w:color w:val="000000"/>
      <w:sz w:val="21"/>
      <w:lang w:eastAsia="zh-CN" w:bidi="ar-SA"/>
    </w:rPr>
  </w:style>
  <w:style w:type="character" w:customStyle="1" w:styleId="64">
    <w:name w:val="正文缩进 字符"/>
    <w:link w:val="2"/>
    <w:autoRedefine/>
    <w:qFormat/>
    <w:uiPriority w:val="0"/>
    <w:rPr>
      <w:rFonts w:eastAsia="宋体"/>
      <w:kern w:val="2"/>
      <w:sz w:val="21"/>
      <w:lang w:val="en-US" w:eastAsia="zh-CN" w:bidi="ar-SA"/>
    </w:rPr>
  </w:style>
  <w:style w:type="character" w:customStyle="1" w:styleId="65">
    <w:name w:val="正文文本缩进 字符"/>
    <w:link w:val="15"/>
    <w:autoRedefine/>
    <w:qFormat/>
    <w:uiPriority w:val="0"/>
    <w:rPr>
      <w:kern w:val="2"/>
      <w:sz w:val="21"/>
    </w:rPr>
  </w:style>
  <w:style w:type="character" w:customStyle="1" w:styleId="66">
    <w:name w:val="纯文本 字符"/>
    <w:link w:val="18"/>
    <w:autoRedefine/>
    <w:qFormat/>
    <w:uiPriority w:val="0"/>
    <w:rPr>
      <w:rFonts w:ascii="宋体" w:hAnsi="Courier New" w:eastAsia="宋体" w:cs="Courier New"/>
      <w:kern w:val="2"/>
      <w:sz w:val="21"/>
      <w:szCs w:val="21"/>
      <w:lang w:val="en-US" w:eastAsia="zh-CN" w:bidi="ar-SA"/>
    </w:rPr>
  </w:style>
  <w:style w:type="character" w:customStyle="1" w:styleId="67">
    <w:name w:val="页脚 字符"/>
    <w:link w:val="24"/>
    <w:autoRedefine/>
    <w:qFormat/>
    <w:uiPriority w:val="0"/>
    <w:rPr>
      <w:rFonts w:eastAsia="宋体"/>
      <w:kern w:val="2"/>
      <w:sz w:val="18"/>
      <w:szCs w:val="18"/>
      <w:lang w:val="en-US" w:eastAsia="zh-CN" w:bidi="ar-SA"/>
    </w:rPr>
  </w:style>
  <w:style w:type="character" w:customStyle="1" w:styleId="68">
    <w:name w:val="正文文本首行缩进 2 字符"/>
    <w:basedOn w:val="65"/>
    <w:link w:val="40"/>
    <w:autoRedefine/>
    <w:semiHidden/>
    <w:qFormat/>
    <w:uiPriority w:val="99"/>
    <w:rPr>
      <w:kern w:val="2"/>
      <w:sz w:val="21"/>
    </w:rPr>
  </w:style>
  <w:style w:type="character" w:customStyle="1" w:styleId="69">
    <w:name w:val="无间隔 字符"/>
    <w:link w:val="70"/>
    <w:autoRedefine/>
    <w:qFormat/>
    <w:uiPriority w:val="0"/>
    <w:rPr>
      <w:rFonts w:ascii="Calibri" w:hAnsi="Calibri"/>
      <w:sz w:val="22"/>
      <w:szCs w:val="22"/>
      <w:lang w:val="en-US" w:eastAsia="zh-CN" w:bidi="ar-SA"/>
    </w:rPr>
  </w:style>
  <w:style w:type="paragraph" w:styleId="70">
    <w:name w:val="No Spacing"/>
    <w:link w:val="69"/>
    <w:autoRedefine/>
    <w:qFormat/>
    <w:uiPriority w:val="0"/>
    <w:rPr>
      <w:rFonts w:ascii="Calibri" w:hAnsi="Calibri" w:eastAsia="宋体" w:cs="Times New Roman"/>
      <w:sz w:val="22"/>
      <w:szCs w:val="22"/>
      <w:lang w:val="en-US" w:eastAsia="zh-CN" w:bidi="ar-SA"/>
    </w:rPr>
  </w:style>
  <w:style w:type="character" w:customStyle="1" w:styleId="71">
    <w:name w:val="A10"/>
    <w:autoRedefine/>
    <w:qFormat/>
    <w:uiPriority w:val="0"/>
    <w:rPr>
      <w:rFonts w:cs="思源黑体"/>
      <w:color w:val="000000"/>
      <w:sz w:val="12"/>
      <w:szCs w:val="12"/>
    </w:rPr>
  </w:style>
  <w:style w:type="character" w:customStyle="1" w:styleId="72">
    <w:name w:val="标题 1 Char"/>
    <w:autoRedefine/>
    <w:qFormat/>
    <w:uiPriority w:val="9"/>
    <w:rPr>
      <w:rFonts w:ascii="Arial" w:hAnsi="Arial" w:eastAsia="宋体" w:cs="Arial"/>
      <w:bCs/>
      <w:kern w:val="32"/>
      <w:sz w:val="32"/>
      <w:szCs w:val="32"/>
      <w:lang w:val="en-US" w:eastAsia="zh-CN" w:bidi="ar-SA"/>
    </w:rPr>
  </w:style>
  <w:style w:type="character" w:customStyle="1" w:styleId="73">
    <w:name w:val="表格文字 Char Char"/>
    <w:autoRedefine/>
    <w:qFormat/>
    <w:uiPriority w:val="0"/>
    <w:rPr>
      <w:bCs/>
      <w:spacing w:val="10"/>
      <w:sz w:val="24"/>
    </w:rPr>
  </w:style>
  <w:style w:type="character" w:customStyle="1" w:styleId="74">
    <w:name w:val="A7"/>
    <w:autoRedefine/>
    <w:qFormat/>
    <w:uiPriority w:val="0"/>
    <w:rPr>
      <w:rFonts w:cs="思源黑体"/>
      <w:color w:val="000000"/>
      <w:sz w:val="16"/>
      <w:szCs w:val="16"/>
    </w:rPr>
  </w:style>
  <w:style w:type="character" w:customStyle="1" w:styleId="75">
    <w:name w:val="表格文字 Char Char Char"/>
    <w:link w:val="76"/>
    <w:autoRedefine/>
    <w:qFormat/>
    <w:uiPriority w:val="0"/>
    <w:rPr>
      <w:bCs/>
      <w:spacing w:val="10"/>
      <w:sz w:val="24"/>
    </w:rPr>
  </w:style>
  <w:style w:type="paragraph" w:customStyle="1" w:styleId="76">
    <w:name w:val="表格文字"/>
    <w:basedOn w:val="1"/>
    <w:link w:val="75"/>
    <w:autoRedefine/>
    <w:qFormat/>
    <w:uiPriority w:val="0"/>
    <w:pPr>
      <w:spacing w:before="25" w:after="25" w:line="240" w:lineRule="auto"/>
      <w:ind w:firstLine="0"/>
      <w:jc w:val="left"/>
    </w:pPr>
    <w:rPr>
      <w:bCs/>
      <w:spacing w:val="10"/>
      <w:kern w:val="0"/>
      <w:sz w:val="24"/>
    </w:rPr>
  </w:style>
  <w:style w:type="character" w:customStyle="1" w:styleId="77">
    <w:name w:val="NormalCharacter"/>
    <w:autoRedefine/>
    <w:qFormat/>
    <w:uiPriority w:val="0"/>
  </w:style>
  <w:style w:type="character" w:customStyle="1" w:styleId="78">
    <w:name w:val="纯文本 Char"/>
    <w:autoRedefine/>
    <w:qFormat/>
    <w:uiPriority w:val="0"/>
    <w:rPr>
      <w:rFonts w:ascii="宋体" w:hAnsi="Courier New" w:eastAsia="宋体" w:cs="Courier New"/>
      <w:kern w:val="2"/>
      <w:sz w:val="21"/>
      <w:szCs w:val="21"/>
      <w:lang w:val="en-US" w:eastAsia="zh-CN" w:bidi="ar-SA"/>
    </w:rPr>
  </w:style>
  <w:style w:type="character" w:customStyle="1" w:styleId="79">
    <w:name w:val="批注文字 Char"/>
    <w:autoRedefine/>
    <w:qFormat/>
    <w:uiPriority w:val="0"/>
    <w:rPr>
      <w:kern w:val="2"/>
      <w:sz w:val="21"/>
    </w:rPr>
  </w:style>
  <w:style w:type="paragraph" w:customStyle="1" w:styleId="8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81">
    <w:name w:val="Char Char2 Char"/>
    <w:basedOn w:val="1"/>
    <w:autoRedefine/>
    <w:qFormat/>
    <w:uiPriority w:val="0"/>
    <w:pPr>
      <w:spacing w:line="240" w:lineRule="auto"/>
      <w:ind w:firstLine="0"/>
    </w:pPr>
    <w:rPr>
      <w:rFonts w:ascii="宋体" w:hAnsi="宋体"/>
      <w:b/>
      <w:sz w:val="28"/>
      <w:szCs w:val="28"/>
    </w:rPr>
  </w:style>
  <w:style w:type="paragraph" w:customStyle="1" w:styleId="82">
    <w:name w:val="默认段落字体 Para Char"/>
    <w:basedOn w:val="1"/>
    <w:autoRedefine/>
    <w:qFormat/>
    <w:uiPriority w:val="0"/>
    <w:pPr>
      <w:spacing w:line="240" w:lineRule="auto"/>
      <w:ind w:firstLine="0"/>
    </w:pPr>
    <w:rPr>
      <w:rFonts w:ascii="宋体" w:hAnsi="宋体"/>
      <w:b/>
      <w:sz w:val="28"/>
      <w:szCs w:val="28"/>
    </w:rPr>
  </w:style>
  <w:style w:type="paragraph" w:styleId="83">
    <w:name w:val="List Paragraph"/>
    <w:basedOn w:val="1"/>
    <w:autoRedefine/>
    <w:qFormat/>
    <w:uiPriority w:val="0"/>
    <w:pPr>
      <w:widowControl/>
      <w:ind w:firstLine="420" w:firstLineChars="200"/>
      <w:jc w:val="left"/>
    </w:pPr>
    <w:rPr>
      <w:szCs w:val="24"/>
    </w:rPr>
  </w:style>
  <w:style w:type="paragraph" w:customStyle="1" w:styleId="84">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85">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86">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87">
    <w:name w:val="表正文"/>
    <w:basedOn w:val="1"/>
    <w:next w:val="2"/>
    <w:autoRedefine/>
    <w:qFormat/>
    <w:uiPriority w:val="0"/>
    <w:pPr>
      <w:spacing w:after="120"/>
    </w:pPr>
    <w:rPr>
      <w:sz w:val="28"/>
    </w:rPr>
  </w:style>
  <w:style w:type="paragraph" w:customStyle="1" w:styleId="88">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89">
    <w:name w:val="普通 (Web)"/>
    <w:basedOn w:val="1"/>
    <w:autoRedefine/>
    <w:qFormat/>
    <w:uiPriority w:val="0"/>
    <w:pPr>
      <w:widowControl/>
      <w:spacing w:before="100" w:beforeAutospacing="1" w:after="100" w:afterAutospacing="1" w:line="240" w:lineRule="auto"/>
      <w:ind w:firstLine="0"/>
      <w:jc w:val="left"/>
    </w:pPr>
    <w:rPr>
      <w:rFonts w:ascii="宋体" w:hAnsi="宋体"/>
      <w:kern w:val="0"/>
      <w:sz w:val="24"/>
    </w:rPr>
  </w:style>
  <w:style w:type="paragraph" w:customStyle="1" w:styleId="90">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1">
    <w:name w:val="Char"/>
    <w:basedOn w:val="11"/>
    <w:autoRedefine/>
    <w:qFormat/>
    <w:uiPriority w:val="0"/>
    <w:pPr>
      <w:spacing w:line="240" w:lineRule="auto"/>
      <w:ind w:firstLine="0"/>
    </w:pPr>
    <w:rPr>
      <w:rFonts w:ascii="Tahoma" w:hAnsi="Tahoma"/>
      <w:sz w:val="24"/>
      <w:szCs w:val="24"/>
    </w:rPr>
  </w:style>
  <w:style w:type="paragraph" w:customStyle="1" w:styleId="92">
    <w:name w:val="题注5"/>
    <w:basedOn w:val="1"/>
    <w:next w:val="10"/>
    <w:autoRedefine/>
    <w:qFormat/>
    <w:uiPriority w:val="0"/>
    <w:pPr>
      <w:spacing w:line="240" w:lineRule="auto"/>
      <w:ind w:firstLine="0"/>
      <w:jc w:val="center"/>
    </w:pPr>
    <w:rPr>
      <w:b/>
      <w:color w:val="000000"/>
      <w:sz w:val="24"/>
      <w:szCs w:val="21"/>
    </w:rPr>
  </w:style>
  <w:style w:type="paragraph" w:customStyle="1" w:styleId="93">
    <w:name w:val="Table Paragraph"/>
    <w:basedOn w:val="1"/>
    <w:autoRedefine/>
    <w:qFormat/>
    <w:uiPriority w:val="1"/>
    <w:pPr>
      <w:spacing w:line="240" w:lineRule="auto"/>
      <w:ind w:firstLine="0"/>
    </w:pPr>
    <w:rPr>
      <w:rFonts w:ascii="Calibri" w:hAnsi="Calibri" w:eastAsia="等线" w:cs="宋体"/>
      <w:szCs w:val="21"/>
    </w:rPr>
  </w:style>
  <w:style w:type="paragraph" w:customStyle="1" w:styleId="94">
    <w:name w:val="Revision"/>
    <w:autoRedefine/>
    <w:qFormat/>
    <w:uiPriority w:val="0"/>
    <w:rPr>
      <w:rFonts w:ascii="Times New Roman" w:hAnsi="Times New Roman" w:eastAsia="宋体" w:cs="Times New Roman"/>
      <w:kern w:val="2"/>
      <w:sz w:val="21"/>
      <w:lang w:val="en-US" w:eastAsia="zh-CN" w:bidi="ar-SA"/>
    </w:rPr>
  </w:style>
  <w:style w:type="paragraph" w:customStyle="1" w:styleId="95">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6">
    <w:name w:val="缺省文本"/>
    <w:basedOn w:val="1"/>
    <w:autoRedefine/>
    <w:qFormat/>
    <w:uiPriority w:val="0"/>
    <w:pPr>
      <w:autoSpaceDE w:val="0"/>
      <w:autoSpaceDN w:val="0"/>
      <w:adjustRightInd w:val="0"/>
      <w:spacing w:line="240" w:lineRule="auto"/>
      <w:ind w:firstLine="0"/>
      <w:jc w:val="left"/>
    </w:pPr>
    <w:rPr>
      <w:kern w:val="0"/>
      <w:sz w:val="24"/>
      <w:szCs w:val="24"/>
    </w:rPr>
  </w:style>
  <w:style w:type="paragraph" w:customStyle="1" w:styleId="97">
    <w:name w:val="图"/>
    <w:basedOn w:val="1"/>
    <w:autoRedefine/>
    <w:qFormat/>
    <w:uiPriority w:val="0"/>
    <w:pPr>
      <w:keepNext/>
      <w:adjustRightInd w:val="0"/>
      <w:spacing w:before="60" w:after="60" w:line="300" w:lineRule="auto"/>
      <w:ind w:firstLine="0"/>
      <w:jc w:val="center"/>
      <w:textAlignment w:val="center"/>
    </w:pPr>
    <w:rPr>
      <w:spacing w:val="20"/>
      <w:kern w:val="0"/>
      <w:sz w:val="24"/>
    </w:rPr>
  </w:style>
  <w:style w:type="paragraph" w:customStyle="1" w:styleId="98">
    <w:name w:val="a"/>
    <w:basedOn w:val="1"/>
    <w:autoRedefine/>
    <w:qFormat/>
    <w:uiPriority w:val="0"/>
    <w:pPr>
      <w:widowControl/>
      <w:spacing w:before="100" w:beforeAutospacing="1" w:after="100" w:afterAutospacing="1" w:line="240" w:lineRule="auto"/>
      <w:ind w:firstLine="0"/>
      <w:jc w:val="left"/>
    </w:pPr>
    <w:rPr>
      <w:rFonts w:ascii="ˎ̥" w:hAnsi="ˎ̥" w:cs="宋体"/>
      <w:kern w:val="0"/>
      <w:sz w:val="18"/>
      <w:szCs w:val="18"/>
    </w:rPr>
  </w:style>
  <w:style w:type="paragraph" w:customStyle="1" w:styleId="99">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00">
    <w:name w:val="xl25"/>
    <w:basedOn w:val="1"/>
    <w:autoRedefine/>
    <w:qFormat/>
    <w:uiPriority w:val="0"/>
    <w:pPr>
      <w:widowControl/>
      <w:pBdr>
        <w:bottom w:val="single" w:color="auto" w:sz="4" w:space="0"/>
        <w:right w:val="single" w:color="auto" w:sz="4" w:space="0"/>
      </w:pBdr>
      <w:spacing w:before="100" w:beforeAutospacing="1" w:after="100" w:afterAutospacing="1" w:line="240" w:lineRule="auto"/>
      <w:ind w:firstLine="0"/>
      <w:jc w:val="center"/>
    </w:pPr>
    <w:rPr>
      <w:rFonts w:ascii="宋体" w:hAnsi="宋体"/>
      <w:kern w:val="0"/>
      <w:szCs w:val="21"/>
    </w:rPr>
  </w:style>
  <w:style w:type="paragraph" w:customStyle="1" w:styleId="101">
    <w:name w:val="Char Char Char"/>
    <w:basedOn w:val="1"/>
    <w:autoRedefine/>
    <w:qFormat/>
    <w:uiPriority w:val="0"/>
    <w:pPr>
      <w:spacing w:line="240" w:lineRule="auto"/>
      <w:ind w:firstLine="0"/>
    </w:pPr>
    <w:rPr>
      <w:rFonts w:ascii="宋体" w:hAnsi="宋体"/>
      <w:b/>
      <w:sz w:val="28"/>
      <w:szCs w:val="28"/>
    </w:rPr>
  </w:style>
  <w:style w:type="paragraph" w:customStyle="1" w:styleId="102">
    <w:name w:val="题注4"/>
    <w:basedOn w:val="1"/>
    <w:next w:val="10"/>
    <w:qFormat/>
    <w:uiPriority w:val="0"/>
    <w:pPr>
      <w:spacing w:line="240" w:lineRule="auto"/>
      <w:ind w:left="-108" w:right="-108" w:firstLine="0"/>
      <w:jc w:val="center"/>
    </w:pPr>
    <w:rPr>
      <w:b/>
      <w:bCs/>
      <w:color w:val="000000"/>
      <w:szCs w:val="21"/>
    </w:rPr>
  </w:style>
  <w:style w:type="paragraph" w:customStyle="1" w:styleId="103">
    <w:name w:val="Char Char Char Char Char Char Char"/>
    <w:basedOn w:val="1"/>
    <w:qFormat/>
    <w:uiPriority w:val="0"/>
    <w:pPr>
      <w:tabs>
        <w:tab w:val="left" w:pos="425"/>
      </w:tabs>
      <w:spacing w:line="240" w:lineRule="auto"/>
      <w:ind w:left="425" w:hanging="425"/>
    </w:pPr>
    <w:rPr>
      <w:rFonts w:eastAsia="仿宋_GB2312"/>
      <w:kern w:val="24"/>
      <w:sz w:val="24"/>
      <w:szCs w:val="24"/>
    </w:rPr>
  </w:style>
  <w:style w:type="paragraph" w:customStyle="1" w:styleId="104">
    <w:name w:val="正文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5">
    <w:name w:val="正文 New New New New New New"/>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06">
    <w:name w:val="Pa0"/>
    <w:basedOn w:val="1"/>
    <w:next w:val="1"/>
    <w:qFormat/>
    <w:uiPriority w:val="0"/>
    <w:pPr>
      <w:autoSpaceDE w:val="0"/>
      <w:autoSpaceDN w:val="0"/>
      <w:adjustRightInd w:val="0"/>
      <w:spacing w:line="241" w:lineRule="atLeast"/>
      <w:ind w:firstLine="0"/>
      <w:jc w:val="left"/>
    </w:pPr>
    <w:rPr>
      <w:rFonts w:ascii="思源黑体" w:hAnsi="Calibri" w:eastAsia="思源黑体"/>
      <w:kern w:val="0"/>
      <w:sz w:val="24"/>
      <w:szCs w:val="24"/>
    </w:rPr>
  </w:style>
  <w:style w:type="paragraph" w:customStyle="1" w:styleId="107">
    <w:name w:val="列出段落1"/>
    <w:basedOn w:val="1"/>
    <w:qFormat/>
    <w:uiPriority w:val="0"/>
    <w:pPr>
      <w:spacing w:line="240" w:lineRule="auto"/>
      <w:ind w:firstLine="420" w:firstLineChars="200"/>
    </w:pPr>
    <w:rPr>
      <w:rFonts w:ascii="Calibri" w:hAnsi="Calibri" w:cs="Calibri"/>
      <w:szCs w:val="21"/>
    </w:rPr>
  </w:style>
  <w:style w:type="paragraph" w:customStyle="1" w:styleId="108">
    <w:name w:val="正文 New New New New New New New New New New"/>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109">
    <w:name w:val="列出段落 New"/>
    <w:basedOn w:val="1"/>
    <w:autoRedefine/>
    <w:qFormat/>
    <w:uiPriority w:val="0"/>
    <w:pPr>
      <w:spacing w:line="240" w:lineRule="auto"/>
      <w:ind w:firstLine="420" w:firstLineChars="200"/>
    </w:pPr>
    <w:rPr>
      <w:szCs w:val="24"/>
    </w:rPr>
  </w:style>
  <w:style w:type="paragraph" w:customStyle="1" w:styleId="110">
    <w:name w:val="Pa3"/>
    <w:basedOn w:val="90"/>
    <w:next w:val="90"/>
    <w:autoRedefine/>
    <w:qFormat/>
    <w:uiPriority w:val="0"/>
    <w:pPr>
      <w:spacing w:line="241" w:lineRule="atLeast"/>
    </w:pPr>
    <w:rPr>
      <w:rFonts w:ascii="思源黑体" w:eastAsia="思源黑体"/>
      <w:color w:val="auto"/>
    </w:rPr>
  </w:style>
  <w:style w:type="paragraph" w:customStyle="1" w:styleId="111">
    <w:name w:val="正文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2">
    <w:name w:val="题注1"/>
    <w:basedOn w:val="1"/>
    <w:next w:val="10"/>
    <w:qFormat/>
    <w:uiPriority w:val="0"/>
    <w:pPr>
      <w:spacing w:line="240" w:lineRule="auto"/>
      <w:ind w:left="-107" w:leftChars="-51" w:firstLine="1"/>
      <w:jc w:val="center"/>
    </w:pPr>
    <w:rPr>
      <w:rFonts w:eastAsia="华文中宋"/>
      <w:b/>
      <w:bCs/>
      <w:sz w:val="32"/>
      <w:szCs w:val="24"/>
    </w:rPr>
  </w:style>
  <w:style w:type="paragraph" w:customStyle="1" w:styleId="113">
    <w:name w:val="List Paragraph1"/>
    <w:basedOn w:val="1"/>
    <w:qFormat/>
    <w:uiPriority w:val="0"/>
    <w:pPr>
      <w:spacing w:line="240" w:lineRule="auto"/>
      <w:ind w:firstLine="420" w:firstLineChars="200"/>
    </w:pPr>
    <w:rPr>
      <w:szCs w:val="24"/>
    </w:rPr>
  </w:style>
  <w:style w:type="paragraph" w:customStyle="1" w:styleId="114">
    <w:name w:val="Char1"/>
    <w:basedOn w:val="1"/>
    <w:qFormat/>
    <w:uiPriority w:val="0"/>
    <w:pPr>
      <w:widowControl/>
      <w:spacing w:after="160" w:line="240" w:lineRule="exact"/>
      <w:ind w:firstLine="0"/>
      <w:jc w:val="left"/>
    </w:pPr>
    <w:rPr>
      <w:rFonts w:ascii="Verdana" w:hAnsi="Verdana"/>
      <w:kern w:val="0"/>
      <w:lang w:eastAsia="en-US"/>
    </w:rPr>
  </w:style>
  <w:style w:type="paragraph" w:customStyle="1" w:styleId="115">
    <w:name w:val="办公自动化专用标题"/>
    <w:basedOn w:val="37"/>
    <w:qFormat/>
    <w:uiPriority w:val="0"/>
    <w:pPr>
      <w:spacing w:line="560" w:lineRule="atLeast"/>
    </w:pPr>
    <w:rPr>
      <w:rFonts w:ascii="宋体" w:cs="Times New Roman"/>
      <w:bCs w:val="0"/>
      <w:sz w:val="44"/>
      <w:szCs w:val="20"/>
    </w:rPr>
  </w:style>
  <w:style w:type="paragraph" w:customStyle="1" w:styleId="116">
    <w:name w:val="Normal New"/>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117">
    <w:name w:val="正文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18">
    <w:name w:val="页眉 字符2"/>
    <w:qFormat/>
    <w:uiPriority w:val="0"/>
    <w:rPr>
      <w:sz w:val="18"/>
      <w:szCs w:val="18"/>
    </w:rPr>
  </w:style>
  <w:style w:type="character" w:customStyle="1" w:styleId="119">
    <w:name w:val="表格文字 Char"/>
    <w:qFormat/>
    <w:locked/>
    <w:uiPriority w:val="0"/>
    <w:rPr>
      <w:bCs/>
      <w:spacing w:val="10"/>
      <w:kern w:val="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14921</Words>
  <Characters>15471</Characters>
  <Lines>156</Lines>
  <Paragraphs>44</Paragraphs>
  <TotalTime>489</TotalTime>
  <ScaleCrop>false</ScaleCrop>
  <LinksUpToDate>false</LinksUpToDate>
  <CharactersWithSpaces>15498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2024-05-20T07:51:00Z</dcterms:created>
  <dc:creator>微软用户</dc:creator>
  <cp:lastModifiedBy>招标代理</cp:lastModifiedBy>
  <cp:lastPrinted>2021-07-08T03:37:00Z</cp:lastPrinted>
  <dcterms:modified xsi:type="dcterms:W3CDTF">2024-07-15T05:42:04Z</dcterms:modified>
  <dc:title>公开招标标书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D65ED71DFEF34E29B5A37C3A05CEBE2E_13</vt:lpwstr>
  </property>
</Properties>
</file>