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35A035">
      <w:pPr>
        <w:keepNext w:val="0"/>
        <w:keepLines w:val="0"/>
        <w:pageBreakBefore w:val="0"/>
        <w:widowControl/>
        <w:shd w:val="clear"/>
        <w:kinsoku/>
        <w:wordWrap/>
        <w:overflowPunct/>
        <w:topLinePunct w:val="0"/>
        <w:autoSpaceDE/>
        <w:autoSpaceDN/>
        <w:bidi w:val="0"/>
        <w:adjustRightInd w:val="0"/>
        <w:snapToGrid w:val="0"/>
        <w:spacing w:line="360" w:lineRule="auto"/>
        <w:ind w:firstLine="0" w:firstLineChars="0"/>
        <w:jc w:val="center"/>
        <w:textAlignment w:val="auto"/>
        <w:outlineLvl w:val="2"/>
        <w:rPr>
          <w:rFonts w:hint="eastAsia" w:ascii="宋体" w:hAnsi="宋体" w:eastAsia="宋体" w:cs="宋体"/>
          <w:b/>
          <w:smallCaps/>
          <w:spacing w:val="5"/>
          <w:kern w:val="0"/>
          <w:sz w:val="28"/>
          <w:szCs w:val="28"/>
          <w:highlight w:val="none"/>
        </w:rPr>
      </w:pPr>
      <w:r>
        <w:rPr>
          <w:rFonts w:hint="eastAsia" w:ascii="宋体" w:hAnsi="宋体" w:eastAsia="宋体" w:cs="宋体"/>
          <w:b/>
          <w:smallCaps/>
          <w:spacing w:val="5"/>
          <w:kern w:val="0"/>
          <w:sz w:val="28"/>
          <w:szCs w:val="28"/>
          <w:highlight w:val="none"/>
        </w:rPr>
        <w:t>采购包3【具体技术（参数）要求】医学影像信息系统（病理）</w:t>
      </w:r>
    </w:p>
    <w:p w14:paraId="18258048">
      <w:pPr>
        <w:keepNext w:val="0"/>
        <w:keepLines w:val="0"/>
        <w:pageBreakBefore w:val="0"/>
        <w:widowControl/>
        <w:shd w:val="clear"/>
        <w:kinsoku/>
        <w:wordWrap/>
        <w:overflowPunct/>
        <w:topLinePunct w:val="0"/>
        <w:autoSpaceDE/>
        <w:autoSpaceDN/>
        <w:bidi w:val="0"/>
        <w:adjustRightInd w:val="0"/>
        <w:snapToGrid w:val="0"/>
        <w:spacing w:line="360" w:lineRule="auto"/>
        <w:ind w:firstLine="442" w:firstLineChars="200"/>
        <w:jc w:val="left"/>
        <w:textAlignment w:val="auto"/>
        <w:outlineLvl w:val="2"/>
        <w:rPr>
          <w:rFonts w:hint="eastAsia" w:ascii="宋体" w:hAnsi="宋体" w:eastAsia="宋体" w:cs="宋体"/>
          <w:b/>
          <w:smallCaps/>
          <w:spacing w:val="5"/>
          <w:kern w:val="0"/>
          <w:sz w:val="21"/>
          <w:szCs w:val="21"/>
          <w:highlight w:val="none"/>
        </w:rPr>
      </w:pPr>
      <w:r>
        <w:rPr>
          <w:rFonts w:hint="eastAsia" w:ascii="宋体" w:hAnsi="宋体" w:eastAsia="宋体" w:cs="宋体"/>
          <w:b/>
          <w:smallCaps/>
          <w:spacing w:val="5"/>
          <w:kern w:val="0"/>
          <w:sz w:val="21"/>
          <w:szCs w:val="21"/>
          <w:highlight w:val="none"/>
        </w:rPr>
        <w:t>1.★项目的主要内容</w:t>
      </w:r>
    </w:p>
    <w:p w14:paraId="62BD07AE">
      <w:pPr>
        <w:keepNext w:val="0"/>
        <w:keepLines w:val="0"/>
        <w:pageBreakBefore w:val="0"/>
        <w:widowControl/>
        <w:numPr>
          <w:ilvl w:val="1"/>
          <w:numId w:val="0"/>
        </w:numPr>
        <w:shd w:val="clear"/>
        <w:kinsoku/>
        <w:wordWrap/>
        <w:overflowPunct/>
        <w:topLinePunct w:val="0"/>
        <w:autoSpaceDE/>
        <w:autoSpaceDN/>
        <w:bidi w:val="0"/>
        <w:spacing w:line="360" w:lineRule="auto"/>
        <w:ind w:firstLine="422" w:firstLineChars="200"/>
        <w:jc w:val="left"/>
        <w:textAlignment w:val="auto"/>
        <w:outlineLvl w:val="3"/>
        <w:rPr>
          <w:rFonts w:hint="eastAsia" w:ascii="宋体" w:hAnsi="宋体" w:eastAsia="宋体" w:cs="宋体"/>
          <w:b/>
          <w:smallCaps/>
          <w:kern w:val="0"/>
          <w:sz w:val="21"/>
          <w:szCs w:val="21"/>
          <w:highlight w:val="none"/>
        </w:rPr>
      </w:pPr>
      <w:r>
        <w:rPr>
          <w:rFonts w:hint="eastAsia" w:ascii="宋体" w:hAnsi="宋体" w:eastAsia="宋体" w:cs="宋体"/>
          <w:b/>
          <w:smallCaps/>
          <w:kern w:val="0"/>
          <w:sz w:val="21"/>
          <w:szCs w:val="21"/>
          <w:highlight w:val="none"/>
        </w:rPr>
        <w:t>1.1软件系统</w:t>
      </w:r>
    </w:p>
    <w:tbl>
      <w:tblPr>
        <w:tblStyle w:val="4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0"/>
        <w:gridCol w:w="5718"/>
        <w:gridCol w:w="2120"/>
      </w:tblGrid>
      <w:tr w14:paraId="2BDD3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064" w:type="pct"/>
            <w:shd w:val="clear" w:color="auto" w:fill="F2F2F2"/>
            <w:vAlign w:val="center"/>
          </w:tcPr>
          <w:p w14:paraId="1A538C18">
            <w:pPr>
              <w:keepNext w:val="0"/>
              <w:keepLines w:val="0"/>
              <w:pageBreakBefore w:val="0"/>
              <w:shd w:val="clear"/>
              <w:kinsoku/>
              <w:wordWrap/>
              <w:overflowPunct/>
              <w:topLinePunct w:val="0"/>
              <w:autoSpaceDE/>
              <w:autoSpaceDN/>
              <w:bidi w:val="0"/>
              <w:spacing w:line="240" w:lineRule="auto"/>
              <w:ind w:firstLine="0"/>
              <w:jc w:val="center"/>
              <w:textAlignment w:val="auto"/>
              <w:rPr>
                <w:rFonts w:hint="eastAsia" w:ascii="宋体" w:hAnsi="宋体" w:eastAsia="宋体" w:cs="宋体"/>
                <w:b/>
                <w:kern w:val="0"/>
                <w:sz w:val="21"/>
                <w:szCs w:val="21"/>
                <w:highlight w:val="none"/>
              </w:rPr>
            </w:pPr>
            <w:r>
              <w:rPr>
                <w:rFonts w:hint="eastAsia" w:ascii="宋体" w:hAnsi="宋体" w:eastAsia="宋体" w:cs="宋体"/>
                <w:b/>
                <w:kern w:val="0"/>
                <w:sz w:val="21"/>
                <w:szCs w:val="21"/>
                <w:highlight w:val="none"/>
              </w:rPr>
              <w:t>序号</w:t>
            </w:r>
          </w:p>
        </w:tc>
        <w:tc>
          <w:tcPr>
            <w:tcW w:w="2870" w:type="pct"/>
            <w:shd w:val="clear" w:color="auto" w:fill="F2F2F2"/>
            <w:vAlign w:val="center"/>
          </w:tcPr>
          <w:p w14:paraId="2F6BBEF1">
            <w:pPr>
              <w:keepNext w:val="0"/>
              <w:keepLines w:val="0"/>
              <w:pageBreakBefore w:val="0"/>
              <w:shd w:val="clear"/>
              <w:kinsoku/>
              <w:wordWrap/>
              <w:overflowPunct/>
              <w:topLinePunct w:val="0"/>
              <w:autoSpaceDE/>
              <w:autoSpaceDN/>
              <w:bidi w:val="0"/>
              <w:spacing w:line="240" w:lineRule="auto"/>
              <w:ind w:firstLine="0"/>
              <w:jc w:val="center"/>
              <w:textAlignment w:val="auto"/>
              <w:rPr>
                <w:rFonts w:hint="eastAsia" w:ascii="宋体" w:hAnsi="宋体" w:eastAsia="宋体" w:cs="宋体"/>
                <w:b/>
                <w:kern w:val="0"/>
                <w:sz w:val="21"/>
                <w:szCs w:val="21"/>
                <w:highlight w:val="none"/>
              </w:rPr>
            </w:pPr>
            <w:r>
              <w:rPr>
                <w:rFonts w:hint="eastAsia" w:ascii="宋体" w:hAnsi="宋体" w:eastAsia="宋体" w:cs="宋体"/>
                <w:b/>
                <w:kern w:val="0"/>
                <w:sz w:val="21"/>
                <w:szCs w:val="21"/>
                <w:highlight w:val="none"/>
              </w:rPr>
              <w:t>建设系统</w:t>
            </w:r>
          </w:p>
        </w:tc>
        <w:tc>
          <w:tcPr>
            <w:tcW w:w="1064" w:type="pct"/>
            <w:shd w:val="clear" w:color="auto" w:fill="F2F2F2"/>
            <w:vAlign w:val="center"/>
          </w:tcPr>
          <w:p w14:paraId="31DA76C5">
            <w:pPr>
              <w:keepNext w:val="0"/>
              <w:keepLines w:val="0"/>
              <w:pageBreakBefore w:val="0"/>
              <w:shd w:val="clear"/>
              <w:kinsoku/>
              <w:wordWrap/>
              <w:overflowPunct/>
              <w:topLinePunct w:val="0"/>
              <w:autoSpaceDE/>
              <w:autoSpaceDN/>
              <w:bidi w:val="0"/>
              <w:spacing w:line="240" w:lineRule="auto"/>
              <w:ind w:firstLine="0"/>
              <w:jc w:val="center"/>
              <w:textAlignment w:val="auto"/>
              <w:rPr>
                <w:rFonts w:hint="eastAsia" w:ascii="宋体" w:hAnsi="宋体" w:eastAsia="宋体" w:cs="宋体"/>
                <w:b/>
                <w:kern w:val="0"/>
                <w:sz w:val="21"/>
                <w:szCs w:val="21"/>
                <w:highlight w:val="none"/>
              </w:rPr>
            </w:pPr>
            <w:r>
              <w:rPr>
                <w:rFonts w:hint="eastAsia" w:ascii="宋体" w:hAnsi="宋体" w:eastAsia="宋体" w:cs="宋体"/>
                <w:b/>
                <w:kern w:val="0"/>
                <w:sz w:val="21"/>
                <w:szCs w:val="21"/>
                <w:highlight w:val="none"/>
              </w:rPr>
              <w:t>数量</w:t>
            </w:r>
          </w:p>
        </w:tc>
      </w:tr>
      <w:tr w14:paraId="5D0F8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pct"/>
            <w:vAlign w:val="center"/>
          </w:tcPr>
          <w:p w14:paraId="6DF58999">
            <w:pPr>
              <w:keepNext w:val="0"/>
              <w:keepLines w:val="0"/>
              <w:pageBreakBefore w:val="0"/>
              <w:shd w:val="clear"/>
              <w:kinsoku/>
              <w:wordWrap/>
              <w:overflowPunct/>
              <w:topLinePunct w:val="0"/>
              <w:autoSpaceDE/>
              <w:autoSpaceDN/>
              <w:bidi w:val="0"/>
              <w:spacing w:line="240" w:lineRule="auto"/>
              <w:ind w:firstLine="0"/>
              <w:jc w:val="center"/>
              <w:textAlignment w:val="auto"/>
              <w:rPr>
                <w:rFonts w:hint="eastAsia" w:ascii="宋体" w:hAnsi="宋体" w:eastAsia="宋体" w:cs="宋体"/>
                <w:bCs/>
                <w:kern w:val="0"/>
                <w:sz w:val="21"/>
                <w:szCs w:val="21"/>
                <w:highlight w:val="none"/>
              </w:rPr>
            </w:pPr>
            <w:r>
              <w:rPr>
                <w:rFonts w:hint="eastAsia" w:ascii="宋体" w:hAnsi="宋体" w:eastAsia="宋体" w:cs="宋体"/>
                <w:bCs/>
                <w:kern w:val="0"/>
                <w:sz w:val="21"/>
                <w:szCs w:val="21"/>
                <w:highlight w:val="none"/>
              </w:rPr>
              <w:t>1</w:t>
            </w:r>
          </w:p>
        </w:tc>
        <w:tc>
          <w:tcPr>
            <w:tcW w:w="2870" w:type="pct"/>
            <w:vAlign w:val="center"/>
          </w:tcPr>
          <w:p w14:paraId="745CFAD1">
            <w:pPr>
              <w:keepNext w:val="0"/>
              <w:keepLines w:val="0"/>
              <w:pageBreakBefore w:val="0"/>
              <w:shd w:val="clear"/>
              <w:kinsoku/>
              <w:wordWrap/>
              <w:overflowPunct/>
              <w:topLinePunct w:val="0"/>
              <w:autoSpaceDE/>
              <w:autoSpaceDN/>
              <w:bidi w:val="0"/>
              <w:spacing w:line="240" w:lineRule="auto"/>
              <w:ind w:firstLine="0"/>
              <w:jc w:val="center"/>
              <w:textAlignment w:val="auto"/>
              <w:rPr>
                <w:rFonts w:hint="eastAsia" w:ascii="宋体" w:hAnsi="宋体" w:eastAsia="宋体" w:cs="宋体"/>
                <w:bCs/>
                <w:kern w:val="0"/>
                <w:sz w:val="21"/>
                <w:szCs w:val="21"/>
                <w:highlight w:val="none"/>
              </w:rPr>
            </w:pPr>
            <w:r>
              <w:rPr>
                <w:rFonts w:hint="eastAsia" w:ascii="宋体" w:hAnsi="宋体" w:eastAsia="宋体" w:cs="宋体"/>
                <w:bCs/>
                <w:kern w:val="0"/>
                <w:sz w:val="21"/>
                <w:szCs w:val="21"/>
                <w:highlight w:val="none"/>
              </w:rPr>
              <w:t>医学影像信息系统（病理）</w:t>
            </w:r>
          </w:p>
        </w:tc>
        <w:tc>
          <w:tcPr>
            <w:tcW w:w="1064" w:type="pct"/>
            <w:vAlign w:val="center"/>
          </w:tcPr>
          <w:p w14:paraId="66C3CCE8">
            <w:pPr>
              <w:keepNext w:val="0"/>
              <w:keepLines w:val="0"/>
              <w:pageBreakBefore w:val="0"/>
              <w:shd w:val="clear"/>
              <w:kinsoku/>
              <w:wordWrap/>
              <w:overflowPunct/>
              <w:topLinePunct w:val="0"/>
              <w:autoSpaceDE/>
              <w:autoSpaceDN/>
              <w:bidi w:val="0"/>
              <w:spacing w:line="240" w:lineRule="auto"/>
              <w:ind w:firstLine="0"/>
              <w:jc w:val="center"/>
              <w:textAlignment w:val="auto"/>
              <w:rPr>
                <w:rFonts w:hint="eastAsia" w:ascii="宋体" w:hAnsi="宋体" w:eastAsia="宋体" w:cs="宋体"/>
                <w:bCs/>
                <w:kern w:val="0"/>
                <w:sz w:val="21"/>
                <w:szCs w:val="21"/>
                <w:highlight w:val="none"/>
              </w:rPr>
            </w:pPr>
            <w:r>
              <w:rPr>
                <w:rFonts w:hint="eastAsia" w:ascii="宋体" w:hAnsi="宋体" w:eastAsia="宋体" w:cs="宋体"/>
                <w:bCs/>
                <w:kern w:val="0"/>
                <w:sz w:val="21"/>
                <w:szCs w:val="21"/>
                <w:highlight w:val="none"/>
              </w:rPr>
              <w:t>1套</w:t>
            </w:r>
          </w:p>
        </w:tc>
      </w:tr>
    </w:tbl>
    <w:p w14:paraId="53D6A2D1">
      <w:pPr>
        <w:keepNext w:val="0"/>
        <w:keepLines w:val="0"/>
        <w:pageBreakBefore w:val="0"/>
        <w:widowControl/>
        <w:numPr>
          <w:ilvl w:val="1"/>
          <w:numId w:val="0"/>
        </w:numPr>
        <w:shd w:val="clear"/>
        <w:kinsoku/>
        <w:wordWrap/>
        <w:overflowPunct/>
        <w:topLinePunct w:val="0"/>
        <w:autoSpaceDE/>
        <w:autoSpaceDN/>
        <w:bidi w:val="0"/>
        <w:spacing w:line="360" w:lineRule="auto"/>
        <w:ind w:firstLine="422" w:firstLineChars="200"/>
        <w:jc w:val="left"/>
        <w:textAlignment w:val="auto"/>
        <w:outlineLvl w:val="3"/>
        <w:rPr>
          <w:rFonts w:hint="eastAsia" w:ascii="宋体" w:hAnsi="宋体" w:eastAsia="宋体" w:cs="宋体"/>
          <w:b/>
          <w:smallCaps/>
          <w:kern w:val="0"/>
          <w:sz w:val="21"/>
          <w:szCs w:val="21"/>
          <w:highlight w:val="none"/>
        </w:rPr>
      </w:pPr>
      <w:r>
        <w:rPr>
          <w:rFonts w:hint="eastAsia" w:ascii="宋体" w:hAnsi="宋体" w:eastAsia="宋体" w:cs="宋体"/>
          <w:b/>
          <w:smallCaps/>
          <w:kern w:val="0"/>
          <w:sz w:val="21"/>
          <w:szCs w:val="21"/>
          <w:highlight w:val="none"/>
        </w:rPr>
        <w:t>1.2配套设备</w:t>
      </w:r>
    </w:p>
    <w:tbl>
      <w:tblPr>
        <w:tblStyle w:val="4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76"/>
        <w:gridCol w:w="3747"/>
        <w:gridCol w:w="4335"/>
      </w:tblGrid>
      <w:tr w14:paraId="484DF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42" w:type="pct"/>
            <w:shd w:val="clear" w:color="auto" w:fill="F2F2F2"/>
            <w:vAlign w:val="center"/>
          </w:tcPr>
          <w:p w14:paraId="6776BE11">
            <w:pPr>
              <w:keepNext w:val="0"/>
              <w:keepLines w:val="0"/>
              <w:pageBreakBefore w:val="0"/>
              <w:shd w:val="clear"/>
              <w:kinsoku/>
              <w:wordWrap/>
              <w:overflowPunct/>
              <w:topLinePunct w:val="0"/>
              <w:autoSpaceDE/>
              <w:autoSpaceDN/>
              <w:bidi w:val="0"/>
              <w:spacing w:line="240" w:lineRule="auto"/>
              <w:ind w:firstLine="0"/>
              <w:jc w:val="center"/>
              <w:textAlignment w:val="auto"/>
              <w:rPr>
                <w:rFonts w:hint="eastAsia" w:ascii="宋体" w:hAnsi="宋体" w:eastAsia="宋体" w:cs="宋体"/>
                <w:b/>
                <w:kern w:val="0"/>
                <w:sz w:val="21"/>
                <w:szCs w:val="21"/>
                <w:highlight w:val="none"/>
              </w:rPr>
            </w:pPr>
            <w:r>
              <w:rPr>
                <w:rFonts w:hint="eastAsia" w:ascii="宋体" w:hAnsi="宋体" w:eastAsia="宋体" w:cs="宋体"/>
                <w:b/>
                <w:kern w:val="0"/>
                <w:sz w:val="21"/>
                <w:szCs w:val="21"/>
                <w:highlight w:val="none"/>
              </w:rPr>
              <w:t>序号</w:t>
            </w:r>
          </w:p>
        </w:tc>
        <w:tc>
          <w:tcPr>
            <w:tcW w:w="1881" w:type="pct"/>
            <w:shd w:val="clear" w:color="auto" w:fill="F2F2F2"/>
            <w:vAlign w:val="center"/>
          </w:tcPr>
          <w:p w14:paraId="455167D6">
            <w:pPr>
              <w:keepNext w:val="0"/>
              <w:keepLines w:val="0"/>
              <w:pageBreakBefore w:val="0"/>
              <w:shd w:val="clear"/>
              <w:kinsoku/>
              <w:wordWrap/>
              <w:overflowPunct/>
              <w:topLinePunct w:val="0"/>
              <w:autoSpaceDE/>
              <w:autoSpaceDN/>
              <w:bidi w:val="0"/>
              <w:spacing w:line="240" w:lineRule="auto"/>
              <w:ind w:firstLine="0"/>
              <w:jc w:val="center"/>
              <w:textAlignment w:val="auto"/>
              <w:rPr>
                <w:rFonts w:hint="eastAsia" w:ascii="宋体" w:hAnsi="宋体" w:eastAsia="宋体" w:cs="宋体"/>
                <w:b/>
                <w:kern w:val="0"/>
                <w:sz w:val="21"/>
                <w:szCs w:val="21"/>
                <w:highlight w:val="none"/>
              </w:rPr>
            </w:pPr>
            <w:r>
              <w:rPr>
                <w:rFonts w:hint="eastAsia" w:ascii="宋体" w:hAnsi="宋体" w:eastAsia="宋体" w:cs="宋体"/>
                <w:b/>
                <w:kern w:val="0"/>
                <w:sz w:val="21"/>
                <w:szCs w:val="21"/>
                <w:highlight w:val="none"/>
              </w:rPr>
              <w:t>硬件种类</w:t>
            </w:r>
          </w:p>
        </w:tc>
        <w:tc>
          <w:tcPr>
            <w:tcW w:w="2176" w:type="pct"/>
            <w:shd w:val="clear" w:color="auto" w:fill="F2F2F2"/>
            <w:vAlign w:val="center"/>
          </w:tcPr>
          <w:p w14:paraId="79399338">
            <w:pPr>
              <w:keepNext w:val="0"/>
              <w:keepLines w:val="0"/>
              <w:pageBreakBefore w:val="0"/>
              <w:shd w:val="clear"/>
              <w:kinsoku/>
              <w:wordWrap/>
              <w:overflowPunct/>
              <w:topLinePunct w:val="0"/>
              <w:autoSpaceDE/>
              <w:autoSpaceDN/>
              <w:bidi w:val="0"/>
              <w:spacing w:line="240" w:lineRule="auto"/>
              <w:ind w:firstLine="0"/>
              <w:jc w:val="center"/>
              <w:textAlignment w:val="auto"/>
              <w:rPr>
                <w:rFonts w:hint="eastAsia" w:ascii="宋体" w:hAnsi="宋体" w:eastAsia="宋体" w:cs="宋体"/>
                <w:b/>
                <w:kern w:val="0"/>
                <w:sz w:val="21"/>
                <w:szCs w:val="21"/>
                <w:highlight w:val="none"/>
              </w:rPr>
            </w:pPr>
            <w:r>
              <w:rPr>
                <w:rFonts w:hint="eastAsia" w:ascii="宋体" w:hAnsi="宋体" w:eastAsia="宋体" w:cs="宋体"/>
                <w:b/>
                <w:kern w:val="0"/>
                <w:sz w:val="21"/>
                <w:szCs w:val="21"/>
                <w:highlight w:val="none"/>
              </w:rPr>
              <w:t>数量</w:t>
            </w:r>
          </w:p>
        </w:tc>
      </w:tr>
      <w:tr w14:paraId="634F1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42" w:type="pct"/>
            <w:vAlign w:val="center"/>
          </w:tcPr>
          <w:p w14:paraId="7852A436">
            <w:pPr>
              <w:keepNext w:val="0"/>
              <w:keepLines w:val="0"/>
              <w:pageBreakBefore w:val="0"/>
              <w:shd w:val="clear"/>
              <w:kinsoku/>
              <w:wordWrap/>
              <w:overflowPunct/>
              <w:topLinePunct w:val="0"/>
              <w:autoSpaceDE/>
              <w:autoSpaceDN/>
              <w:bidi w:val="0"/>
              <w:spacing w:line="240" w:lineRule="auto"/>
              <w:ind w:firstLine="0"/>
              <w:jc w:val="center"/>
              <w:textAlignment w:val="auto"/>
              <w:rPr>
                <w:rFonts w:hint="eastAsia" w:ascii="宋体" w:hAnsi="宋体" w:eastAsia="宋体" w:cs="宋体"/>
                <w:bCs/>
                <w:kern w:val="0"/>
                <w:sz w:val="21"/>
                <w:szCs w:val="21"/>
                <w:highlight w:val="none"/>
              </w:rPr>
            </w:pPr>
            <w:r>
              <w:rPr>
                <w:rFonts w:hint="eastAsia" w:ascii="宋体" w:hAnsi="宋体" w:eastAsia="宋体" w:cs="宋体"/>
                <w:bCs/>
                <w:kern w:val="0"/>
                <w:sz w:val="21"/>
                <w:szCs w:val="21"/>
                <w:highlight w:val="none"/>
              </w:rPr>
              <w:t>1</w:t>
            </w:r>
          </w:p>
        </w:tc>
        <w:tc>
          <w:tcPr>
            <w:tcW w:w="1881" w:type="pct"/>
            <w:vAlign w:val="center"/>
          </w:tcPr>
          <w:p w14:paraId="47E7B739">
            <w:pPr>
              <w:keepNext w:val="0"/>
              <w:keepLines w:val="0"/>
              <w:pageBreakBefore w:val="0"/>
              <w:shd w:val="clear"/>
              <w:kinsoku/>
              <w:wordWrap/>
              <w:overflowPunct/>
              <w:topLinePunct w:val="0"/>
              <w:autoSpaceDE/>
              <w:autoSpaceDN/>
              <w:bidi w:val="0"/>
              <w:spacing w:line="240" w:lineRule="auto"/>
              <w:ind w:firstLine="0"/>
              <w:jc w:val="center"/>
              <w:textAlignment w:val="auto"/>
              <w:rPr>
                <w:rFonts w:hint="eastAsia" w:ascii="宋体" w:hAnsi="宋体" w:eastAsia="宋体" w:cs="宋体"/>
                <w:bCs/>
                <w:kern w:val="0"/>
                <w:sz w:val="21"/>
                <w:szCs w:val="21"/>
                <w:highlight w:val="none"/>
                <w:lang w:eastAsia="zh-CN"/>
              </w:rPr>
            </w:pPr>
            <w:r>
              <w:rPr>
                <w:rFonts w:hint="eastAsia" w:ascii="宋体" w:hAnsi="宋体" w:cs="宋体"/>
                <w:bCs/>
                <w:kern w:val="0"/>
                <w:sz w:val="21"/>
                <w:szCs w:val="21"/>
                <w:highlight w:val="none"/>
                <w:lang w:eastAsia="zh-CN"/>
              </w:rPr>
              <w:t>多功能文档拍摄和视频展台</w:t>
            </w:r>
          </w:p>
        </w:tc>
        <w:tc>
          <w:tcPr>
            <w:tcW w:w="2176" w:type="pct"/>
            <w:vAlign w:val="center"/>
          </w:tcPr>
          <w:p w14:paraId="4B298C7C">
            <w:pPr>
              <w:keepNext w:val="0"/>
              <w:keepLines w:val="0"/>
              <w:pageBreakBefore w:val="0"/>
              <w:shd w:val="clear"/>
              <w:kinsoku/>
              <w:wordWrap/>
              <w:overflowPunct/>
              <w:topLinePunct w:val="0"/>
              <w:autoSpaceDE/>
              <w:autoSpaceDN/>
              <w:bidi w:val="0"/>
              <w:spacing w:line="240" w:lineRule="auto"/>
              <w:ind w:firstLine="0"/>
              <w:jc w:val="center"/>
              <w:textAlignment w:val="auto"/>
              <w:rPr>
                <w:rFonts w:hint="eastAsia" w:ascii="宋体" w:hAnsi="宋体" w:eastAsia="宋体" w:cs="宋体"/>
                <w:bCs/>
                <w:kern w:val="0"/>
                <w:sz w:val="21"/>
                <w:szCs w:val="21"/>
                <w:highlight w:val="none"/>
                <w:lang w:val="en-US" w:eastAsia="zh-CN"/>
              </w:rPr>
            </w:pPr>
            <w:r>
              <w:rPr>
                <w:rFonts w:hint="eastAsia" w:ascii="宋体" w:hAnsi="宋体" w:eastAsia="宋体" w:cs="宋体"/>
                <w:bCs/>
                <w:kern w:val="0"/>
                <w:sz w:val="21"/>
                <w:szCs w:val="21"/>
                <w:highlight w:val="none"/>
              </w:rPr>
              <w:t>2</w:t>
            </w:r>
            <w:r>
              <w:rPr>
                <w:rFonts w:hint="eastAsia" w:ascii="宋体" w:hAnsi="宋体" w:cs="宋体"/>
                <w:bCs/>
                <w:kern w:val="0"/>
                <w:sz w:val="21"/>
                <w:szCs w:val="21"/>
                <w:highlight w:val="none"/>
                <w:lang w:val="en-US" w:eastAsia="zh-CN"/>
              </w:rPr>
              <w:t>个</w:t>
            </w:r>
          </w:p>
        </w:tc>
      </w:tr>
      <w:tr w14:paraId="0C578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42" w:type="pct"/>
            <w:vAlign w:val="center"/>
          </w:tcPr>
          <w:p w14:paraId="0E059D9B">
            <w:pPr>
              <w:keepNext w:val="0"/>
              <w:keepLines w:val="0"/>
              <w:pageBreakBefore w:val="0"/>
              <w:shd w:val="clear"/>
              <w:kinsoku/>
              <w:wordWrap/>
              <w:overflowPunct/>
              <w:topLinePunct w:val="0"/>
              <w:autoSpaceDE/>
              <w:autoSpaceDN/>
              <w:bidi w:val="0"/>
              <w:spacing w:line="240" w:lineRule="auto"/>
              <w:ind w:firstLine="0"/>
              <w:jc w:val="center"/>
              <w:textAlignment w:val="auto"/>
              <w:rPr>
                <w:rFonts w:hint="eastAsia" w:ascii="宋体" w:hAnsi="宋体" w:eastAsia="宋体" w:cs="宋体"/>
                <w:bCs/>
                <w:kern w:val="0"/>
                <w:sz w:val="21"/>
                <w:szCs w:val="21"/>
                <w:highlight w:val="none"/>
              </w:rPr>
            </w:pPr>
            <w:r>
              <w:rPr>
                <w:rFonts w:hint="eastAsia" w:ascii="宋体" w:hAnsi="宋体" w:eastAsia="宋体" w:cs="宋体"/>
                <w:bCs/>
                <w:kern w:val="0"/>
                <w:sz w:val="21"/>
                <w:szCs w:val="21"/>
                <w:highlight w:val="none"/>
              </w:rPr>
              <w:t>2</w:t>
            </w:r>
          </w:p>
        </w:tc>
        <w:tc>
          <w:tcPr>
            <w:tcW w:w="1881" w:type="pct"/>
            <w:vAlign w:val="center"/>
          </w:tcPr>
          <w:p w14:paraId="1B42DD02">
            <w:pPr>
              <w:keepNext w:val="0"/>
              <w:keepLines w:val="0"/>
              <w:pageBreakBefore w:val="0"/>
              <w:shd w:val="clear"/>
              <w:kinsoku/>
              <w:wordWrap/>
              <w:overflowPunct/>
              <w:topLinePunct w:val="0"/>
              <w:autoSpaceDE/>
              <w:autoSpaceDN/>
              <w:bidi w:val="0"/>
              <w:spacing w:line="240" w:lineRule="auto"/>
              <w:ind w:firstLine="0"/>
              <w:jc w:val="center"/>
              <w:textAlignment w:val="auto"/>
              <w:rPr>
                <w:rFonts w:hint="eastAsia" w:ascii="宋体" w:hAnsi="宋体" w:eastAsia="宋体" w:cs="宋体"/>
                <w:bCs/>
                <w:kern w:val="0"/>
                <w:sz w:val="21"/>
                <w:szCs w:val="21"/>
                <w:highlight w:val="none"/>
              </w:rPr>
            </w:pPr>
            <w:r>
              <w:rPr>
                <w:rFonts w:hint="eastAsia" w:ascii="宋体" w:hAnsi="宋体" w:cs="宋体"/>
                <w:bCs/>
                <w:kern w:val="0"/>
                <w:sz w:val="21"/>
                <w:szCs w:val="21"/>
                <w:highlight w:val="none"/>
                <w:lang w:eastAsia="zh-CN"/>
              </w:rPr>
              <w:t>多功能确认执行设备</w:t>
            </w:r>
            <w:r>
              <w:rPr>
                <w:rFonts w:hint="eastAsia" w:ascii="宋体" w:hAnsi="宋体" w:eastAsia="宋体" w:cs="宋体"/>
                <w:bCs/>
                <w:kern w:val="0"/>
                <w:sz w:val="21"/>
                <w:szCs w:val="21"/>
                <w:highlight w:val="none"/>
              </w:rPr>
              <w:t>（含支架）</w:t>
            </w:r>
          </w:p>
        </w:tc>
        <w:tc>
          <w:tcPr>
            <w:tcW w:w="2176" w:type="pct"/>
            <w:vAlign w:val="center"/>
          </w:tcPr>
          <w:p w14:paraId="46AE9977">
            <w:pPr>
              <w:keepNext w:val="0"/>
              <w:keepLines w:val="0"/>
              <w:pageBreakBefore w:val="0"/>
              <w:shd w:val="clear"/>
              <w:kinsoku/>
              <w:wordWrap/>
              <w:overflowPunct/>
              <w:topLinePunct w:val="0"/>
              <w:autoSpaceDE/>
              <w:autoSpaceDN/>
              <w:bidi w:val="0"/>
              <w:spacing w:line="240" w:lineRule="auto"/>
              <w:ind w:firstLine="0"/>
              <w:jc w:val="center"/>
              <w:textAlignment w:val="auto"/>
              <w:rPr>
                <w:rFonts w:hint="eastAsia" w:ascii="宋体" w:hAnsi="宋体" w:eastAsia="宋体" w:cs="宋体"/>
                <w:bCs/>
                <w:kern w:val="0"/>
                <w:sz w:val="21"/>
                <w:szCs w:val="21"/>
                <w:highlight w:val="none"/>
              </w:rPr>
            </w:pPr>
            <w:r>
              <w:rPr>
                <w:rFonts w:hint="eastAsia" w:ascii="宋体" w:hAnsi="宋体" w:eastAsia="宋体" w:cs="宋体"/>
                <w:bCs/>
                <w:kern w:val="0"/>
                <w:sz w:val="21"/>
                <w:szCs w:val="21"/>
                <w:highlight w:val="none"/>
              </w:rPr>
              <w:t>13个</w:t>
            </w:r>
          </w:p>
        </w:tc>
      </w:tr>
      <w:tr w14:paraId="2B471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42" w:type="pct"/>
            <w:vAlign w:val="center"/>
          </w:tcPr>
          <w:p w14:paraId="3703780A">
            <w:pPr>
              <w:keepNext w:val="0"/>
              <w:keepLines w:val="0"/>
              <w:pageBreakBefore w:val="0"/>
              <w:shd w:val="clear"/>
              <w:kinsoku/>
              <w:wordWrap/>
              <w:overflowPunct/>
              <w:topLinePunct w:val="0"/>
              <w:autoSpaceDE/>
              <w:autoSpaceDN/>
              <w:bidi w:val="0"/>
              <w:spacing w:line="240" w:lineRule="auto"/>
              <w:ind w:firstLine="0"/>
              <w:jc w:val="center"/>
              <w:textAlignment w:val="auto"/>
              <w:rPr>
                <w:rFonts w:hint="eastAsia" w:ascii="宋体" w:hAnsi="宋体" w:eastAsia="宋体" w:cs="宋体"/>
                <w:bCs/>
                <w:kern w:val="0"/>
                <w:sz w:val="21"/>
                <w:szCs w:val="21"/>
                <w:highlight w:val="none"/>
              </w:rPr>
            </w:pPr>
            <w:r>
              <w:rPr>
                <w:rFonts w:hint="eastAsia" w:ascii="宋体" w:hAnsi="宋体" w:eastAsia="宋体" w:cs="宋体"/>
                <w:bCs/>
                <w:kern w:val="0"/>
                <w:sz w:val="21"/>
                <w:szCs w:val="21"/>
                <w:highlight w:val="none"/>
              </w:rPr>
              <w:t>3</w:t>
            </w:r>
          </w:p>
        </w:tc>
        <w:tc>
          <w:tcPr>
            <w:tcW w:w="1881" w:type="pct"/>
            <w:vAlign w:val="center"/>
          </w:tcPr>
          <w:p w14:paraId="3B60211B">
            <w:pPr>
              <w:keepNext w:val="0"/>
              <w:keepLines w:val="0"/>
              <w:pageBreakBefore w:val="0"/>
              <w:shd w:val="clear"/>
              <w:kinsoku/>
              <w:wordWrap/>
              <w:overflowPunct/>
              <w:topLinePunct w:val="0"/>
              <w:autoSpaceDE/>
              <w:autoSpaceDN/>
              <w:bidi w:val="0"/>
              <w:spacing w:line="240" w:lineRule="auto"/>
              <w:ind w:firstLine="0"/>
              <w:jc w:val="center"/>
              <w:textAlignment w:val="auto"/>
              <w:rPr>
                <w:rFonts w:hint="eastAsia" w:ascii="宋体" w:hAnsi="宋体" w:eastAsia="宋体" w:cs="宋体"/>
                <w:bCs/>
                <w:kern w:val="0"/>
                <w:sz w:val="21"/>
                <w:szCs w:val="21"/>
                <w:highlight w:val="none"/>
              </w:rPr>
            </w:pPr>
            <w:r>
              <w:rPr>
                <w:rFonts w:hint="eastAsia" w:ascii="宋体" w:hAnsi="宋体" w:eastAsia="宋体" w:cs="宋体"/>
                <w:bCs/>
                <w:kern w:val="0"/>
                <w:sz w:val="21"/>
                <w:szCs w:val="21"/>
                <w:highlight w:val="none"/>
              </w:rPr>
              <w:t>条码扫描枪（带支架）</w:t>
            </w:r>
          </w:p>
        </w:tc>
        <w:tc>
          <w:tcPr>
            <w:tcW w:w="2176" w:type="pct"/>
            <w:vAlign w:val="center"/>
          </w:tcPr>
          <w:p w14:paraId="63E8AC29">
            <w:pPr>
              <w:keepNext w:val="0"/>
              <w:keepLines w:val="0"/>
              <w:pageBreakBefore w:val="0"/>
              <w:shd w:val="clear"/>
              <w:kinsoku/>
              <w:wordWrap/>
              <w:overflowPunct/>
              <w:topLinePunct w:val="0"/>
              <w:autoSpaceDE/>
              <w:autoSpaceDN/>
              <w:bidi w:val="0"/>
              <w:spacing w:line="240" w:lineRule="auto"/>
              <w:ind w:firstLine="0"/>
              <w:jc w:val="center"/>
              <w:textAlignment w:val="auto"/>
              <w:rPr>
                <w:rFonts w:hint="eastAsia" w:ascii="宋体" w:hAnsi="宋体" w:eastAsia="宋体" w:cs="宋体"/>
                <w:bCs/>
                <w:kern w:val="0"/>
                <w:sz w:val="21"/>
                <w:szCs w:val="21"/>
                <w:highlight w:val="none"/>
              </w:rPr>
            </w:pPr>
            <w:r>
              <w:rPr>
                <w:rFonts w:hint="eastAsia" w:ascii="宋体" w:hAnsi="宋体" w:eastAsia="宋体" w:cs="宋体"/>
                <w:bCs/>
                <w:kern w:val="0"/>
                <w:sz w:val="21"/>
                <w:szCs w:val="21"/>
                <w:highlight w:val="none"/>
              </w:rPr>
              <w:t>8个</w:t>
            </w:r>
          </w:p>
        </w:tc>
      </w:tr>
      <w:tr w14:paraId="67C0A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42" w:type="pct"/>
            <w:vAlign w:val="center"/>
          </w:tcPr>
          <w:p w14:paraId="45493A84">
            <w:pPr>
              <w:keepNext w:val="0"/>
              <w:keepLines w:val="0"/>
              <w:pageBreakBefore w:val="0"/>
              <w:shd w:val="clear"/>
              <w:kinsoku/>
              <w:wordWrap/>
              <w:overflowPunct/>
              <w:topLinePunct w:val="0"/>
              <w:autoSpaceDE/>
              <w:autoSpaceDN/>
              <w:bidi w:val="0"/>
              <w:spacing w:line="240" w:lineRule="auto"/>
              <w:ind w:firstLine="0"/>
              <w:jc w:val="center"/>
              <w:textAlignment w:val="auto"/>
              <w:rPr>
                <w:rFonts w:hint="eastAsia" w:ascii="宋体" w:hAnsi="宋体" w:eastAsia="宋体" w:cs="宋体"/>
                <w:bCs/>
                <w:kern w:val="0"/>
                <w:sz w:val="21"/>
                <w:szCs w:val="21"/>
                <w:highlight w:val="none"/>
              </w:rPr>
            </w:pPr>
            <w:r>
              <w:rPr>
                <w:rFonts w:hint="eastAsia" w:ascii="宋体" w:hAnsi="宋体" w:eastAsia="宋体" w:cs="宋体"/>
                <w:bCs/>
                <w:kern w:val="0"/>
                <w:sz w:val="21"/>
                <w:szCs w:val="21"/>
                <w:highlight w:val="none"/>
              </w:rPr>
              <w:t>4</w:t>
            </w:r>
          </w:p>
        </w:tc>
        <w:tc>
          <w:tcPr>
            <w:tcW w:w="1881" w:type="pct"/>
            <w:vAlign w:val="center"/>
          </w:tcPr>
          <w:p w14:paraId="12ADA12A">
            <w:pPr>
              <w:keepNext w:val="0"/>
              <w:keepLines w:val="0"/>
              <w:pageBreakBefore w:val="0"/>
              <w:shd w:val="clear"/>
              <w:kinsoku/>
              <w:wordWrap/>
              <w:overflowPunct/>
              <w:topLinePunct w:val="0"/>
              <w:autoSpaceDE/>
              <w:autoSpaceDN/>
              <w:bidi w:val="0"/>
              <w:spacing w:line="240" w:lineRule="auto"/>
              <w:ind w:firstLine="0"/>
              <w:jc w:val="center"/>
              <w:textAlignment w:val="auto"/>
              <w:rPr>
                <w:rFonts w:hint="eastAsia" w:ascii="宋体" w:hAnsi="宋体" w:eastAsia="宋体" w:cs="宋体"/>
                <w:bCs/>
                <w:kern w:val="0"/>
                <w:sz w:val="21"/>
                <w:szCs w:val="21"/>
                <w:highlight w:val="none"/>
              </w:rPr>
            </w:pPr>
            <w:r>
              <w:rPr>
                <w:rFonts w:hint="eastAsia" w:ascii="宋体" w:hAnsi="宋体" w:eastAsia="宋体" w:cs="宋体"/>
                <w:bCs/>
                <w:kern w:val="0"/>
                <w:sz w:val="21"/>
                <w:szCs w:val="21"/>
                <w:highlight w:val="none"/>
              </w:rPr>
              <w:t>条码打印机</w:t>
            </w:r>
          </w:p>
        </w:tc>
        <w:tc>
          <w:tcPr>
            <w:tcW w:w="2176" w:type="pct"/>
            <w:vAlign w:val="center"/>
          </w:tcPr>
          <w:p w14:paraId="796D888B">
            <w:pPr>
              <w:keepNext w:val="0"/>
              <w:keepLines w:val="0"/>
              <w:pageBreakBefore w:val="0"/>
              <w:shd w:val="clear"/>
              <w:kinsoku/>
              <w:wordWrap/>
              <w:overflowPunct/>
              <w:topLinePunct w:val="0"/>
              <w:autoSpaceDE/>
              <w:autoSpaceDN/>
              <w:bidi w:val="0"/>
              <w:spacing w:line="240" w:lineRule="auto"/>
              <w:ind w:firstLine="0"/>
              <w:jc w:val="center"/>
              <w:textAlignment w:val="auto"/>
              <w:rPr>
                <w:rFonts w:hint="eastAsia" w:ascii="宋体" w:hAnsi="宋体" w:eastAsia="宋体" w:cs="宋体"/>
                <w:bCs/>
                <w:kern w:val="0"/>
                <w:sz w:val="21"/>
                <w:szCs w:val="21"/>
                <w:highlight w:val="none"/>
              </w:rPr>
            </w:pPr>
            <w:r>
              <w:rPr>
                <w:rFonts w:hint="eastAsia" w:ascii="宋体" w:hAnsi="宋体" w:eastAsia="宋体" w:cs="宋体"/>
                <w:bCs/>
                <w:kern w:val="0"/>
                <w:sz w:val="21"/>
                <w:szCs w:val="21"/>
                <w:highlight w:val="none"/>
              </w:rPr>
              <w:t>4个</w:t>
            </w:r>
          </w:p>
        </w:tc>
      </w:tr>
    </w:tbl>
    <w:p w14:paraId="0D273A87">
      <w:pPr>
        <w:keepNext w:val="0"/>
        <w:keepLines w:val="0"/>
        <w:pageBreakBefore w:val="0"/>
        <w:widowControl/>
        <w:shd w:val="clear"/>
        <w:kinsoku/>
        <w:wordWrap/>
        <w:overflowPunct/>
        <w:topLinePunct w:val="0"/>
        <w:autoSpaceDE/>
        <w:autoSpaceDN/>
        <w:bidi w:val="0"/>
        <w:adjustRightInd w:val="0"/>
        <w:snapToGrid w:val="0"/>
        <w:spacing w:line="360" w:lineRule="auto"/>
        <w:ind w:firstLine="442" w:firstLineChars="200"/>
        <w:jc w:val="left"/>
        <w:textAlignment w:val="auto"/>
        <w:outlineLvl w:val="2"/>
        <w:rPr>
          <w:rFonts w:hint="eastAsia" w:ascii="宋体" w:hAnsi="宋体" w:eastAsia="宋体" w:cs="宋体"/>
          <w:b/>
          <w:smallCaps/>
          <w:spacing w:val="5"/>
          <w:kern w:val="0"/>
          <w:sz w:val="21"/>
          <w:szCs w:val="21"/>
          <w:highlight w:val="none"/>
        </w:rPr>
      </w:pPr>
      <w:r>
        <w:rPr>
          <w:rFonts w:hint="eastAsia" w:ascii="宋体" w:hAnsi="宋体" w:eastAsia="宋体" w:cs="宋体"/>
          <w:b/>
          <w:smallCaps/>
          <w:spacing w:val="5"/>
          <w:kern w:val="0"/>
          <w:sz w:val="21"/>
          <w:szCs w:val="21"/>
          <w:highlight w:val="none"/>
        </w:rPr>
        <w:t>2.系统的实现遵循以下原则</w:t>
      </w:r>
    </w:p>
    <w:p w14:paraId="6D24C0E6">
      <w:pPr>
        <w:keepNext w:val="0"/>
        <w:keepLines w:val="0"/>
        <w:pageBreakBefore w:val="0"/>
        <w:widowControl/>
        <w:shd w:val="clear"/>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统一标准原则：在数据交换平台建设中，</w:t>
      </w:r>
      <w:r>
        <w:rPr>
          <w:rFonts w:hint="eastAsia" w:ascii="宋体" w:hAnsi="宋体" w:cs="宋体"/>
          <w:kern w:val="0"/>
          <w:sz w:val="21"/>
          <w:szCs w:val="21"/>
          <w:highlight w:val="none"/>
          <w:lang w:eastAsia="zh-CN"/>
        </w:rPr>
        <w:t>应</w:t>
      </w:r>
      <w:r>
        <w:rPr>
          <w:rFonts w:hint="eastAsia" w:ascii="宋体" w:hAnsi="宋体" w:eastAsia="宋体" w:cs="宋体"/>
          <w:kern w:val="0"/>
          <w:sz w:val="21"/>
          <w:szCs w:val="21"/>
          <w:highlight w:val="none"/>
        </w:rPr>
        <w:t>“统一规范、统一代码、统一接口”。加强指导、组织和协调，规范数据平台的基本功能、数据模型和数据编码等信息标准。</w:t>
      </w:r>
    </w:p>
    <w:p w14:paraId="0A1A6F1D">
      <w:pPr>
        <w:keepNext w:val="0"/>
        <w:keepLines w:val="0"/>
        <w:pageBreakBefore w:val="0"/>
        <w:widowControl/>
        <w:shd w:val="clear"/>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性能稳定原则：数据中心平台应具有较强的数据处理能力，满足</w:t>
      </w:r>
      <w:r>
        <w:rPr>
          <w:rFonts w:hint="eastAsia" w:ascii="宋体" w:hAnsi="宋体" w:cs="宋体"/>
          <w:kern w:val="0"/>
          <w:sz w:val="21"/>
          <w:szCs w:val="21"/>
          <w:highlight w:val="none"/>
          <w:lang w:val="en-US" w:eastAsia="zh-CN"/>
        </w:rPr>
        <w:t>采购人</w:t>
      </w:r>
      <w:r>
        <w:rPr>
          <w:rFonts w:hint="eastAsia" w:ascii="宋体" w:hAnsi="宋体" w:eastAsia="宋体" w:cs="宋体"/>
          <w:kern w:val="0"/>
          <w:sz w:val="21"/>
          <w:szCs w:val="21"/>
          <w:highlight w:val="none"/>
        </w:rPr>
        <w:t>7×24小时服务的要求，保证医疗数据交换和资源共享的需要。</w:t>
      </w:r>
    </w:p>
    <w:p w14:paraId="00594713">
      <w:pPr>
        <w:keepNext w:val="0"/>
        <w:keepLines w:val="0"/>
        <w:pageBreakBefore w:val="0"/>
        <w:widowControl/>
        <w:shd w:val="clear"/>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保证安全原则：系统运行的安全性和稳定性是业务系统正常运行的重要保障。在系统设计和建设中要符合国家有关信息安全方面的</w:t>
      </w:r>
      <w:r>
        <w:rPr>
          <w:rFonts w:hint="eastAsia" w:ascii="宋体" w:hAnsi="宋体" w:cs="宋体"/>
          <w:kern w:val="0"/>
          <w:sz w:val="21"/>
          <w:szCs w:val="21"/>
          <w:highlight w:val="none"/>
          <w:lang w:eastAsia="zh-CN"/>
        </w:rPr>
        <w:t>法律法规</w:t>
      </w:r>
      <w:r>
        <w:rPr>
          <w:rFonts w:hint="eastAsia" w:ascii="宋体" w:hAnsi="宋体" w:eastAsia="宋体" w:cs="宋体"/>
          <w:kern w:val="0"/>
          <w:sz w:val="21"/>
          <w:szCs w:val="21"/>
          <w:highlight w:val="none"/>
        </w:rPr>
        <w:t>及技术要求，强化信息安全管理，制定和完善相关的应急处理预案，保证系统稳定运行。</w:t>
      </w:r>
    </w:p>
    <w:p w14:paraId="3DC01DC4">
      <w:pPr>
        <w:keepNext w:val="0"/>
        <w:keepLines w:val="0"/>
        <w:pageBreakBefore w:val="0"/>
        <w:widowControl/>
        <w:shd w:val="clear"/>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经济实效原则：项目建设</w:t>
      </w:r>
      <w:r>
        <w:rPr>
          <w:rFonts w:hint="eastAsia" w:ascii="宋体" w:hAnsi="宋体" w:cs="宋体"/>
          <w:kern w:val="0"/>
          <w:sz w:val="21"/>
          <w:szCs w:val="21"/>
          <w:highlight w:val="none"/>
          <w:lang w:eastAsia="zh-CN"/>
        </w:rPr>
        <w:t>应</w:t>
      </w:r>
      <w:r>
        <w:rPr>
          <w:rFonts w:hint="eastAsia" w:ascii="宋体" w:hAnsi="宋体" w:eastAsia="宋体" w:cs="宋体"/>
          <w:kern w:val="0"/>
          <w:sz w:val="21"/>
          <w:szCs w:val="21"/>
          <w:highlight w:val="none"/>
        </w:rPr>
        <w:t>坚持经济实效的原则，注重投入产出效益，不盲目追赶技术超前，防止大起大落，以合理的投入，产出适宜的效果。</w:t>
      </w:r>
    </w:p>
    <w:p w14:paraId="5877743E">
      <w:pPr>
        <w:keepNext w:val="0"/>
        <w:keepLines w:val="0"/>
        <w:pageBreakBefore w:val="0"/>
        <w:widowControl/>
        <w:shd w:val="clear"/>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具扩展性、兼容性：项目的设计和实施应具有灵活的扩展能力，充分考虑国家相关标准和业务系统需求变化对数据格式、处理方式等带来的业务流程变动和模式调整。</w:t>
      </w:r>
    </w:p>
    <w:p w14:paraId="13865AA3">
      <w:pPr>
        <w:keepNext w:val="0"/>
        <w:keepLines w:val="0"/>
        <w:pageBreakBefore w:val="0"/>
        <w:widowControl/>
        <w:shd w:val="clear"/>
        <w:kinsoku/>
        <w:wordWrap/>
        <w:overflowPunct/>
        <w:topLinePunct w:val="0"/>
        <w:autoSpaceDE/>
        <w:autoSpaceDN/>
        <w:bidi w:val="0"/>
        <w:adjustRightInd w:val="0"/>
        <w:snapToGrid w:val="0"/>
        <w:spacing w:line="360" w:lineRule="auto"/>
        <w:ind w:firstLine="442" w:firstLineChars="200"/>
        <w:jc w:val="left"/>
        <w:textAlignment w:val="auto"/>
        <w:outlineLvl w:val="2"/>
        <w:rPr>
          <w:rFonts w:hint="eastAsia" w:ascii="宋体" w:hAnsi="宋体" w:eastAsia="宋体" w:cs="宋体"/>
          <w:b/>
          <w:smallCaps/>
          <w:spacing w:val="5"/>
          <w:kern w:val="0"/>
          <w:sz w:val="21"/>
          <w:szCs w:val="21"/>
          <w:highlight w:val="none"/>
        </w:rPr>
      </w:pPr>
      <w:r>
        <w:rPr>
          <w:rFonts w:hint="eastAsia" w:ascii="宋体" w:hAnsi="宋体" w:eastAsia="宋体" w:cs="宋体"/>
          <w:b/>
          <w:smallCaps/>
          <w:spacing w:val="5"/>
          <w:kern w:val="0"/>
          <w:sz w:val="21"/>
          <w:szCs w:val="21"/>
          <w:highlight w:val="none"/>
        </w:rPr>
        <w:t>3.系统实施的标准要求</w:t>
      </w:r>
    </w:p>
    <w:p w14:paraId="00FE6AE3">
      <w:pPr>
        <w:keepNext w:val="0"/>
        <w:keepLines w:val="0"/>
        <w:pageBreakBefore w:val="0"/>
        <w:widowControl/>
        <w:shd w:val="clear"/>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系统</w:t>
      </w:r>
      <w:r>
        <w:rPr>
          <w:rFonts w:hint="eastAsia" w:ascii="宋体" w:hAnsi="宋体" w:cs="宋体"/>
          <w:kern w:val="0"/>
          <w:sz w:val="21"/>
          <w:szCs w:val="21"/>
          <w:highlight w:val="none"/>
          <w:lang w:val="en-US" w:eastAsia="zh-CN"/>
        </w:rPr>
        <w:t>应</w:t>
      </w:r>
      <w:r>
        <w:rPr>
          <w:rFonts w:hint="eastAsia" w:ascii="宋体" w:hAnsi="宋体" w:eastAsia="宋体" w:cs="宋体"/>
          <w:kern w:val="0"/>
          <w:sz w:val="21"/>
          <w:szCs w:val="21"/>
          <w:highlight w:val="none"/>
        </w:rPr>
        <w:t>遵循《国家卫生信息标准基础框架》制定的统一的技术规范和相关数据共享要求。采用多层软件体系架构，以便能随时适应未来的新的需求调整，实现各级卫生部门、各业务系统的信息服务共享及各种服务的快速整合与快速响应。</w:t>
      </w:r>
    </w:p>
    <w:p w14:paraId="48572E3E">
      <w:pPr>
        <w:keepNext w:val="0"/>
        <w:keepLines w:val="0"/>
        <w:pageBreakBefore w:val="0"/>
        <w:widowControl/>
        <w:shd w:val="clear"/>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系统设计和使用</w:t>
      </w:r>
      <w:r>
        <w:rPr>
          <w:rFonts w:hint="eastAsia" w:ascii="宋体" w:hAnsi="宋体" w:cs="宋体"/>
          <w:kern w:val="0"/>
          <w:sz w:val="21"/>
          <w:szCs w:val="21"/>
          <w:highlight w:val="none"/>
          <w:lang w:eastAsia="zh-CN"/>
        </w:rPr>
        <w:t>应</w:t>
      </w:r>
      <w:r>
        <w:rPr>
          <w:rFonts w:hint="eastAsia" w:ascii="宋体" w:hAnsi="宋体" w:eastAsia="宋体" w:cs="宋体"/>
          <w:kern w:val="0"/>
          <w:sz w:val="21"/>
          <w:szCs w:val="21"/>
          <w:highlight w:val="none"/>
        </w:rPr>
        <w:t>确保数据的准确性、可靠性、完整性、连续性、安全性及保密性。在网络环境下，需要使用多种技术手段保护数据的安全。应符合国家及医疗卫生行业的相关信息化和数据标准或规范，如HL7 CDA、DICOM、IHE XDS、XML、ICD10、电子病历国家标准、中华人民共和国计算机信息系统安全保护条例、中华人民共和国保密法、中国计算机安全法规标准等，在大量数据环境下能保证系统的运行速度；能确保数据存储及共享的标准化。</w:t>
      </w:r>
    </w:p>
    <w:p w14:paraId="4281620D">
      <w:pPr>
        <w:keepNext w:val="0"/>
        <w:keepLines w:val="0"/>
        <w:pageBreakBefore w:val="0"/>
        <w:widowControl/>
        <w:shd w:val="clear"/>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1)优先参照国家统一标准，凡已公布国家/行业标准的遵循国家/行业标准；无国家/行业标准的参考国际标准、外国国家标准。</w:t>
      </w:r>
    </w:p>
    <w:p w14:paraId="7A59C414">
      <w:pPr>
        <w:keepNext w:val="0"/>
        <w:keepLines w:val="0"/>
        <w:pageBreakBefore w:val="0"/>
        <w:widowControl/>
        <w:shd w:val="clear"/>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2)如果国家、国际没有相应标准，参考国内省市已经形成的标准、规范。</w:t>
      </w:r>
    </w:p>
    <w:p w14:paraId="1ED40F54">
      <w:pPr>
        <w:keepNext w:val="0"/>
        <w:keepLines w:val="0"/>
        <w:pageBreakBefore w:val="0"/>
        <w:widowControl/>
        <w:shd w:val="clear"/>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3)如果国家、国际、省市都没有相应标准，自建区标准。需自建信息字典的编制和维护，卫生信息标准的引用和参照。</w:t>
      </w:r>
    </w:p>
    <w:p w14:paraId="2476F828">
      <w:pPr>
        <w:keepNext w:val="0"/>
        <w:keepLines w:val="0"/>
        <w:pageBreakBefore w:val="0"/>
        <w:widowControl/>
        <w:shd w:val="clear"/>
        <w:kinsoku/>
        <w:wordWrap/>
        <w:overflowPunct/>
        <w:topLinePunct w:val="0"/>
        <w:autoSpaceDE/>
        <w:autoSpaceDN/>
        <w:bidi w:val="0"/>
        <w:adjustRightInd w:val="0"/>
        <w:snapToGrid w:val="0"/>
        <w:spacing w:line="360" w:lineRule="auto"/>
        <w:ind w:firstLine="442" w:firstLineChars="200"/>
        <w:jc w:val="left"/>
        <w:textAlignment w:val="auto"/>
        <w:outlineLvl w:val="2"/>
        <w:rPr>
          <w:rFonts w:hint="eastAsia" w:ascii="宋体" w:hAnsi="宋体" w:eastAsia="宋体" w:cs="宋体"/>
          <w:b/>
          <w:smallCaps/>
          <w:spacing w:val="5"/>
          <w:kern w:val="0"/>
          <w:sz w:val="21"/>
          <w:szCs w:val="21"/>
          <w:highlight w:val="none"/>
        </w:rPr>
      </w:pPr>
      <w:r>
        <w:rPr>
          <w:rFonts w:hint="eastAsia" w:ascii="宋体" w:hAnsi="宋体" w:eastAsia="宋体" w:cs="宋体"/>
          <w:b/>
          <w:smallCaps/>
          <w:spacing w:val="5"/>
          <w:kern w:val="0"/>
          <w:sz w:val="21"/>
          <w:szCs w:val="21"/>
          <w:highlight w:val="none"/>
        </w:rPr>
        <w:t>4.系统评审要求</w:t>
      </w:r>
    </w:p>
    <w:p w14:paraId="11629649">
      <w:pPr>
        <w:keepNext w:val="0"/>
        <w:keepLines w:val="0"/>
        <w:pageBreakBefore w:val="0"/>
        <w:widowControl/>
        <w:numPr>
          <w:ilvl w:val="0"/>
          <w:numId w:val="1"/>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提供的软件版本</w:t>
      </w:r>
      <w:r>
        <w:rPr>
          <w:rFonts w:hint="eastAsia" w:ascii="宋体" w:hAnsi="宋体" w:cs="宋体"/>
          <w:kern w:val="0"/>
          <w:sz w:val="21"/>
          <w:szCs w:val="21"/>
          <w:highlight w:val="none"/>
          <w:lang w:val="en-US" w:eastAsia="zh-CN"/>
        </w:rPr>
        <w:t>能</w:t>
      </w:r>
      <w:r>
        <w:rPr>
          <w:rFonts w:hint="eastAsia" w:ascii="宋体" w:hAnsi="宋体" w:eastAsia="宋体" w:cs="宋体"/>
          <w:kern w:val="0"/>
          <w:sz w:val="21"/>
          <w:szCs w:val="21"/>
          <w:highlight w:val="none"/>
        </w:rPr>
        <w:t>配合</w:t>
      </w:r>
      <w:r>
        <w:rPr>
          <w:rFonts w:hint="eastAsia" w:ascii="宋体" w:hAnsi="宋体" w:cs="宋体"/>
          <w:kern w:val="0"/>
          <w:sz w:val="21"/>
          <w:szCs w:val="21"/>
          <w:highlight w:val="none"/>
          <w:lang w:eastAsia="zh-CN"/>
        </w:rPr>
        <w:t>采购人</w:t>
      </w:r>
      <w:r>
        <w:rPr>
          <w:rFonts w:hint="eastAsia" w:ascii="宋体" w:hAnsi="宋体" w:eastAsia="宋体" w:cs="宋体"/>
          <w:kern w:val="0"/>
          <w:sz w:val="21"/>
          <w:szCs w:val="21"/>
          <w:highlight w:val="none"/>
        </w:rPr>
        <w:t>通过5级电子病历评审工作。</w:t>
      </w:r>
    </w:p>
    <w:p w14:paraId="48DD1E01">
      <w:pPr>
        <w:keepNext w:val="0"/>
        <w:keepLines w:val="0"/>
        <w:pageBreakBefore w:val="0"/>
        <w:widowControl/>
        <w:numPr>
          <w:ilvl w:val="0"/>
          <w:numId w:val="1"/>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具备通过6级电子病历要求的技术能力，并具备通过6级电子病历评审要求。</w:t>
      </w:r>
    </w:p>
    <w:p w14:paraId="19F26A9E">
      <w:pPr>
        <w:keepNext w:val="0"/>
        <w:keepLines w:val="0"/>
        <w:pageBreakBefore w:val="0"/>
        <w:widowControl/>
        <w:numPr>
          <w:ilvl w:val="0"/>
          <w:numId w:val="1"/>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提供的软件版本</w:t>
      </w:r>
      <w:r>
        <w:rPr>
          <w:rFonts w:hint="eastAsia" w:ascii="宋体" w:hAnsi="宋体" w:cs="宋体"/>
          <w:kern w:val="0"/>
          <w:sz w:val="21"/>
          <w:szCs w:val="21"/>
          <w:highlight w:val="none"/>
          <w:lang w:val="en-US" w:eastAsia="zh-CN"/>
        </w:rPr>
        <w:t>能</w:t>
      </w:r>
      <w:r>
        <w:rPr>
          <w:rFonts w:hint="eastAsia" w:ascii="宋体" w:hAnsi="宋体" w:eastAsia="宋体" w:cs="宋体"/>
          <w:kern w:val="0"/>
          <w:sz w:val="21"/>
          <w:szCs w:val="21"/>
          <w:highlight w:val="none"/>
        </w:rPr>
        <w:t>配合</w:t>
      </w:r>
      <w:r>
        <w:rPr>
          <w:rFonts w:hint="eastAsia" w:ascii="宋体" w:hAnsi="宋体" w:cs="宋体"/>
          <w:kern w:val="0"/>
          <w:sz w:val="21"/>
          <w:szCs w:val="21"/>
          <w:highlight w:val="none"/>
          <w:lang w:eastAsia="zh-CN"/>
        </w:rPr>
        <w:t>采购人</w:t>
      </w:r>
      <w:r>
        <w:rPr>
          <w:rFonts w:hint="eastAsia" w:ascii="宋体" w:hAnsi="宋体" w:eastAsia="宋体" w:cs="宋体"/>
          <w:kern w:val="0"/>
          <w:sz w:val="21"/>
          <w:szCs w:val="21"/>
          <w:highlight w:val="none"/>
        </w:rPr>
        <w:t>通过互联互通五乙评审工作。</w:t>
      </w:r>
    </w:p>
    <w:p w14:paraId="6B0D066A">
      <w:pPr>
        <w:keepNext w:val="0"/>
        <w:keepLines w:val="0"/>
        <w:pageBreakBefore w:val="0"/>
        <w:widowControl/>
        <w:numPr>
          <w:ilvl w:val="0"/>
          <w:numId w:val="1"/>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配合</w:t>
      </w:r>
      <w:r>
        <w:rPr>
          <w:rFonts w:hint="eastAsia" w:ascii="宋体" w:hAnsi="宋体" w:cs="宋体"/>
          <w:kern w:val="0"/>
          <w:sz w:val="21"/>
          <w:szCs w:val="21"/>
          <w:highlight w:val="none"/>
          <w:lang w:eastAsia="zh-CN"/>
        </w:rPr>
        <w:t>采购人</w:t>
      </w:r>
      <w:r>
        <w:rPr>
          <w:rFonts w:hint="eastAsia" w:ascii="宋体" w:hAnsi="宋体" w:eastAsia="宋体" w:cs="宋体"/>
          <w:kern w:val="0"/>
          <w:sz w:val="21"/>
          <w:szCs w:val="21"/>
          <w:highlight w:val="none"/>
        </w:rPr>
        <w:t>通过智慧服务三级、智慧管理三级评审工作。</w:t>
      </w:r>
    </w:p>
    <w:p w14:paraId="6E8BACD1">
      <w:pPr>
        <w:keepNext w:val="0"/>
        <w:keepLines w:val="0"/>
        <w:pageBreakBefore w:val="0"/>
        <w:widowControl/>
        <w:numPr>
          <w:ilvl w:val="0"/>
          <w:numId w:val="1"/>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提供的软件版本</w:t>
      </w:r>
      <w:r>
        <w:rPr>
          <w:rFonts w:hint="eastAsia" w:ascii="宋体" w:hAnsi="宋体" w:cs="宋体"/>
          <w:kern w:val="0"/>
          <w:sz w:val="21"/>
          <w:szCs w:val="21"/>
          <w:highlight w:val="none"/>
          <w:lang w:val="en-US" w:eastAsia="zh-CN"/>
        </w:rPr>
        <w:t>能</w:t>
      </w:r>
      <w:r>
        <w:rPr>
          <w:rFonts w:hint="eastAsia" w:ascii="宋体" w:hAnsi="宋体" w:eastAsia="宋体" w:cs="宋体"/>
          <w:kern w:val="0"/>
          <w:sz w:val="21"/>
          <w:szCs w:val="21"/>
          <w:highlight w:val="none"/>
        </w:rPr>
        <w:t>配合</w:t>
      </w:r>
      <w:r>
        <w:rPr>
          <w:rFonts w:hint="eastAsia" w:ascii="宋体" w:hAnsi="宋体" w:cs="宋体"/>
          <w:kern w:val="0"/>
          <w:sz w:val="21"/>
          <w:szCs w:val="21"/>
          <w:highlight w:val="none"/>
          <w:lang w:eastAsia="zh-CN"/>
        </w:rPr>
        <w:t>采购人</w:t>
      </w:r>
      <w:r>
        <w:rPr>
          <w:rFonts w:hint="eastAsia" w:ascii="宋体" w:hAnsi="宋体" w:eastAsia="宋体" w:cs="宋体"/>
          <w:kern w:val="0"/>
          <w:sz w:val="21"/>
          <w:szCs w:val="21"/>
          <w:highlight w:val="none"/>
        </w:rPr>
        <w:t>通过三甲医院评审工作。</w:t>
      </w:r>
    </w:p>
    <w:p w14:paraId="53D916AB">
      <w:pPr>
        <w:keepNext w:val="0"/>
        <w:keepLines w:val="0"/>
        <w:pageBreakBefore w:val="0"/>
        <w:widowControl/>
        <w:shd w:val="clear"/>
        <w:kinsoku/>
        <w:wordWrap/>
        <w:overflowPunct/>
        <w:topLinePunct w:val="0"/>
        <w:autoSpaceDE/>
        <w:autoSpaceDN/>
        <w:bidi w:val="0"/>
        <w:adjustRightInd w:val="0"/>
        <w:snapToGrid w:val="0"/>
        <w:spacing w:line="360" w:lineRule="auto"/>
        <w:ind w:firstLine="442" w:firstLineChars="200"/>
        <w:jc w:val="left"/>
        <w:textAlignment w:val="auto"/>
        <w:outlineLvl w:val="2"/>
        <w:rPr>
          <w:rFonts w:hint="eastAsia" w:ascii="宋体" w:hAnsi="宋体" w:eastAsia="宋体" w:cs="宋体"/>
          <w:b/>
          <w:smallCaps/>
          <w:spacing w:val="5"/>
          <w:kern w:val="0"/>
          <w:sz w:val="21"/>
          <w:szCs w:val="21"/>
          <w:highlight w:val="none"/>
        </w:rPr>
      </w:pPr>
      <w:r>
        <w:rPr>
          <w:rFonts w:hint="eastAsia" w:ascii="宋体" w:hAnsi="宋体" w:eastAsia="宋体" w:cs="宋体"/>
          <w:b/>
          <w:smallCaps/>
          <w:spacing w:val="5"/>
          <w:kern w:val="0"/>
          <w:sz w:val="21"/>
          <w:szCs w:val="21"/>
          <w:highlight w:val="none"/>
        </w:rPr>
        <w:t>5.系统功能需求</w:t>
      </w:r>
    </w:p>
    <w:p w14:paraId="2F647C9A">
      <w:pPr>
        <w:keepNext w:val="0"/>
        <w:keepLines w:val="0"/>
        <w:pageBreakBefore w:val="0"/>
        <w:widowControl/>
        <w:numPr>
          <w:ilvl w:val="1"/>
          <w:numId w:val="0"/>
        </w:numPr>
        <w:shd w:val="clear"/>
        <w:kinsoku/>
        <w:wordWrap/>
        <w:overflowPunct/>
        <w:topLinePunct w:val="0"/>
        <w:autoSpaceDE/>
        <w:autoSpaceDN/>
        <w:bidi w:val="0"/>
        <w:adjustRightInd w:val="0"/>
        <w:snapToGrid w:val="0"/>
        <w:spacing w:line="360" w:lineRule="auto"/>
        <w:ind w:firstLine="422" w:firstLineChars="200"/>
        <w:jc w:val="left"/>
        <w:textAlignment w:val="auto"/>
        <w:outlineLvl w:val="3"/>
        <w:rPr>
          <w:rFonts w:hint="eastAsia" w:ascii="宋体" w:hAnsi="宋体" w:eastAsia="宋体" w:cs="宋体"/>
          <w:b/>
          <w:smallCaps/>
          <w:kern w:val="0"/>
          <w:sz w:val="21"/>
          <w:szCs w:val="21"/>
          <w:highlight w:val="none"/>
        </w:rPr>
      </w:pPr>
      <w:r>
        <w:rPr>
          <w:rFonts w:hint="eastAsia" w:ascii="宋体" w:hAnsi="宋体" w:eastAsia="宋体" w:cs="宋体"/>
          <w:b/>
          <w:smallCaps/>
          <w:kern w:val="0"/>
          <w:sz w:val="21"/>
          <w:szCs w:val="21"/>
          <w:highlight w:val="none"/>
        </w:rPr>
        <w:t>5.1病理信息系统：</w:t>
      </w:r>
    </w:p>
    <w:tbl>
      <w:tblPr>
        <w:tblStyle w:val="44"/>
        <w:tblW w:w="97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417"/>
        <w:gridCol w:w="7229"/>
      </w:tblGrid>
      <w:tr w14:paraId="67BC1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101" w:type="dxa"/>
            <w:shd w:val="clear" w:color="auto" w:fill="F2F2F2"/>
            <w:vAlign w:val="center"/>
          </w:tcPr>
          <w:p w14:paraId="79FB7DD2">
            <w:pPr>
              <w:keepNext w:val="0"/>
              <w:keepLines w:val="0"/>
              <w:pageBreakBefore w:val="0"/>
              <w:widowControl/>
              <w:shd w:val="clear"/>
              <w:kinsoku/>
              <w:wordWrap/>
              <w:overflowPunct/>
              <w:topLinePunct w:val="0"/>
              <w:autoSpaceDE/>
              <w:autoSpaceDN/>
              <w:bidi w:val="0"/>
              <w:spacing w:line="240" w:lineRule="auto"/>
              <w:ind w:firstLine="0"/>
              <w:jc w:val="center"/>
              <w:textAlignment w:val="auto"/>
              <w:rPr>
                <w:rFonts w:hint="eastAsia" w:ascii="宋体" w:hAnsi="宋体" w:eastAsia="宋体" w:cs="宋体"/>
                <w:b/>
                <w:bCs/>
                <w:kern w:val="0"/>
                <w:sz w:val="21"/>
                <w:szCs w:val="21"/>
                <w:highlight w:val="none"/>
              </w:rPr>
            </w:pPr>
            <w:r>
              <w:rPr>
                <w:rFonts w:hint="eastAsia" w:ascii="宋体" w:hAnsi="宋体" w:eastAsia="宋体" w:cs="宋体"/>
                <w:b/>
                <w:bCs/>
                <w:kern w:val="0"/>
                <w:sz w:val="21"/>
                <w:szCs w:val="21"/>
                <w:highlight w:val="none"/>
              </w:rPr>
              <w:t>模块</w:t>
            </w:r>
          </w:p>
        </w:tc>
        <w:tc>
          <w:tcPr>
            <w:tcW w:w="1417" w:type="dxa"/>
            <w:shd w:val="clear" w:color="auto" w:fill="F2F2F2"/>
            <w:vAlign w:val="center"/>
          </w:tcPr>
          <w:p w14:paraId="43CD6D7F">
            <w:pPr>
              <w:keepNext w:val="0"/>
              <w:keepLines w:val="0"/>
              <w:pageBreakBefore w:val="0"/>
              <w:widowControl/>
              <w:shd w:val="clear"/>
              <w:kinsoku/>
              <w:wordWrap/>
              <w:overflowPunct/>
              <w:topLinePunct w:val="0"/>
              <w:autoSpaceDE/>
              <w:autoSpaceDN/>
              <w:bidi w:val="0"/>
              <w:spacing w:line="240" w:lineRule="auto"/>
              <w:ind w:firstLine="0"/>
              <w:jc w:val="center"/>
              <w:textAlignment w:val="auto"/>
              <w:rPr>
                <w:rFonts w:hint="eastAsia" w:ascii="宋体" w:hAnsi="宋体" w:eastAsia="宋体" w:cs="宋体"/>
                <w:b/>
                <w:bCs/>
                <w:kern w:val="0"/>
                <w:sz w:val="21"/>
                <w:szCs w:val="21"/>
                <w:highlight w:val="none"/>
              </w:rPr>
            </w:pPr>
            <w:r>
              <w:rPr>
                <w:rFonts w:hint="eastAsia" w:ascii="宋体" w:hAnsi="宋体" w:eastAsia="宋体" w:cs="宋体"/>
                <w:b/>
                <w:bCs/>
                <w:kern w:val="0"/>
                <w:sz w:val="21"/>
                <w:szCs w:val="21"/>
                <w:highlight w:val="none"/>
              </w:rPr>
              <w:t>功能</w:t>
            </w:r>
          </w:p>
        </w:tc>
        <w:tc>
          <w:tcPr>
            <w:tcW w:w="7229" w:type="dxa"/>
            <w:shd w:val="clear" w:color="auto" w:fill="F2F2F2"/>
            <w:vAlign w:val="center"/>
          </w:tcPr>
          <w:p w14:paraId="6B945D94">
            <w:pPr>
              <w:keepNext w:val="0"/>
              <w:keepLines w:val="0"/>
              <w:pageBreakBefore w:val="0"/>
              <w:widowControl/>
              <w:shd w:val="clear"/>
              <w:kinsoku/>
              <w:wordWrap/>
              <w:overflowPunct/>
              <w:topLinePunct w:val="0"/>
              <w:autoSpaceDE/>
              <w:autoSpaceDN/>
              <w:bidi w:val="0"/>
              <w:spacing w:line="240" w:lineRule="auto"/>
              <w:ind w:firstLine="0"/>
              <w:jc w:val="center"/>
              <w:textAlignment w:val="auto"/>
              <w:rPr>
                <w:rFonts w:hint="eastAsia" w:ascii="宋体" w:hAnsi="宋体" w:eastAsia="宋体" w:cs="宋体"/>
                <w:b/>
                <w:bCs/>
                <w:kern w:val="0"/>
                <w:sz w:val="21"/>
                <w:szCs w:val="21"/>
                <w:highlight w:val="none"/>
              </w:rPr>
            </w:pPr>
            <w:r>
              <w:rPr>
                <w:rFonts w:hint="eastAsia" w:ascii="宋体" w:hAnsi="宋体" w:eastAsia="宋体" w:cs="宋体"/>
                <w:b/>
                <w:bCs/>
                <w:kern w:val="0"/>
                <w:sz w:val="21"/>
                <w:szCs w:val="21"/>
                <w:highlight w:val="none"/>
              </w:rPr>
              <w:t>功能描述</w:t>
            </w:r>
          </w:p>
        </w:tc>
      </w:tr>
      <w:tr w14:paraId="31654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restart"/>
            <w:vAlign w:val="center"/>
          </w:tcPr>
          <w:p w14:paraId="1271A452">
            <w:pPr>
              <w:keepNext w:val="0"/>
              <w:keepLines w:val="0"/>
              <w:pageBreakBefore w:val="0"/>
              <w:widowControl/>
              <w:shd w:val="clear"/>
              <w:kinsoku/>
              <w:wordWrap/>
              <w:overflowPunct/>
              <w:topLinePunct w:val="0"/>
              <w:autoSpaceDE/>
              <w:autoSpaceDN/>
              <w:bidi w:val="0"/>
              <w:spacing w:line="240" w:lineRule="auto"/>
              <w:ind w:firstLine="0"/>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标本前流程追溯系统</w:t>
            </w:r>
          </w:p>
          <w:p w14:paraId="7018414B">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restart"/>
            <w:vAlign w:val="center"/>
          </w:tcPr>
          <w:p w14:paraId="6664648F">
            <w:pPr>
              <w:keepNext w:val="0"/>
              <w:keepLines w:val="0"/>
              <w:pageBreakBefore w:val="0"/>
              <w:widowControl/>
              <w:shd w:val="clear"/>
              <w:kinsoku/>
              <w:wordWrap/>
              <w:overflowPunct/>
              <w:topLinePunct w:val="0"/>
              <w:autoSpaceDE/>
              <w:autoSpaceDN/>
              <w:bidi w:val="0"/>
              <w:spacing w:line="240" w:lineRule="auto"/>
              <w:ind w:firstLine="0"/>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标本前流程追溯系统</w:t>
            </w:r>
          </w:p>
          <w:p w14:paraId="2A3325E2">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tcPr>
          <w:p w14:paraId="3CEEE1FC">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▲自手术室及门诊标本离体至病理科完成录入前标本遗失追溯。支持手术室及门诊连接HIS系统导入病人信息、支持手工录入病人相关信息完成登记（含手术医生、标本部位）。</w:t>
            </w:r>
          </w:p>
        </w:tc>
      </w:tr>
      <w:tr w14:paraId="0E206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49C04F3D">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74CF0197">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tcPr>
          <w:p w14:paraId="3E446028">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可扫描实时登记标本离体及固定时间，可录入标本离体及固定时间，标注患者标本是否为传染病例。</w:t>
            </w:r>
          </w:p>
        </w:tc>
      </w:tr>
      <w:tr w14:paraId="6E8DF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0DDE92CC">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4B4F5FCE">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tcPr>
          <w:p w14:paraId="16E5E060">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同一病例患者的所有送检标本可分别生成子二维码/子条形码，方便手术室及病理科统计；采集人员扫描当日所有标本，记录采集时间及采集人员；生成当日送检病例汇总呈标本送检电子列表，扫描记录标本送出时间及送检人员。</w:t>
            </w:r>
          </w:p>
        </w:tc>
      </w:tr>
      <w:tr w14:paraId="5EA2B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4C99AC46">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1BE1B5F1">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tcPr>
          <w:p w14:paraId="4D278456">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病理科接收标本时，扫描核对标本袋二维码，扫描结束后，记录生成病理科接收时间及人员；有送检标本缺失警示功能。</w:t>
            </w:r>
          </w:p>
        </w:tc>
      </w:tr>
      <w:tr w14:paraId="6A06D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505B34F5">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56B412F5">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tcPr>
          <w:p w14:paraId="5406052F">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w:t>
            </w:r>
            <w:r>
              <w:rPr>
                <w:rFonts w:hint="eastAsia" w:ascii="宋体" w:hAnsi="宋体" w:cs="宋体"/>
                <w:kern w:val="0"/>
                <w:sz w:val="21"/>
                <w:szCs w:val="21"/>
                <w:highlight w:val="none"/>
                <w:lang w:val="en-US" w:eastAsia="zh-CN"/>
              </w:rPr>
              <w:t>病理科</w:t>
            </w:r>
            <w:r>
              <w:rPr>
                <w:rFonts w:hint="eastAsia" w:ascii="宋体" w:hAnsi="宋体" w:eastAsia="宋体" w:cs="宋体"/>
                <w:kern w:val="0"/>
                <w:sz w:val="21"/>
                <w:szCs w:val="21"/>
                <w:highlight w:val="none"/>
              </w:rPr>
              <w:t>可查看标本前流程追溯系统。</w:t>
            </w:r>
          </w:p>
        </w:tc>
      </w:tr>
      <w:tr w14:paraId="2C9DF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37D54501">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158F2E65">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tcPr>
          <w:p w14:paraId="7C5041AB">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门诊未缴费标本，在采集环节直接显示未收费。</w:t>
            </w:r>
          </w:p>
        </w:tc>
      </w:tr>
      <w:tr w14:paraId="66920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restart"/>
            <w:vAlign w:val="center"/>
          </w:tcPr>
          <w:p w14:paraId="4D4414D4">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病例登记模块</w:t>
            </w:r>
          </w:p>
        </w:tc>
        <w:tc>
          <w:tcPr>
            <w:tcW w:w="1417" w:type="dxa"/>
            <w:vMerge w:val="restart"/>
            <w:vAlign w:val="center"/>
          </w:tcPr>
          <w:p w14:paraId="4E49856E">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病例登记模块</w:t>
            </w:r>
          </w:p>
        </w:tc>
        <w:tc>
          <w:tcPr>
            <w:tcW w:w="7229" w:type="dxa"/>
          </w:tcPr>
          <w:p w14:paraId="5A31F272">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支持手工录入病人相关信息完成登记。</w:t>
            </w:r>
          </w:p>
        </w:tc>
      </w:tr>
      <w:tr w14:paraId="1B1F2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502EEA51">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7A8BC3A0">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tcPr>
          <w:p w14:paraId="13CAA449">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拒收不合格标本，并记录不合格标本拒收原因，系统生成统计报表，可通过标本类型、日期、送检科室进行统计分析。</w:t>
            </w:r>
          </w:p>
        </w:tc>
      </w:tr>
      <w:tr w14:paraId="6DCED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4821F6E0">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0B234BDB">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1ED337FB">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录入标本完成后，可打印患者回执单或条码单，详细写明取报告的时间和地点，患者可在自助机上自助取报告。</w:t>
            </w:r>
          </w:p>
        </w:tc>
      </w:tr>
      <w:tr w14:paraId="0D8AA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2A6AF49B">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214D4E77">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6EC3D9F9">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支持标本分类录入，支持按照本院、外院分类，支持按照常规病理、冰冻、细胞学分类；支持按亚专科进行分库录入。</w:t>
            </w:r>
          </w:p>
        </w:tc>
      </w:tr>
      <w:tr w14:paraId="66E13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2F875470">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601468BD">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7E7427C6">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支持同名检测并提示，可使用身份证号、住院号、临床号、姓名、年龄进行同名检测匹配；并支持身份证号码合法性校验，支持病例隐私操作。</w:t>
            </w:r>
          </w:p>
        </w:tc>
      </w:tr>
      <w:tr w14:paraId="2C4E4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1D845F56">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6ABDCA4C">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1E10DF55">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支持按病理号、姓名、送检科室、日期、诊断结论进行模糊搜索标本信息。</w:t>
            </w:r>
          </w:p>
        </w:tc>
      </w:tr>
      <w:tr w14:paraId="2075C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26FF1641">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5C971ACA">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1E3ED087">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记录送检标本的详细信息，包含标本名称、标本数量、标本类型、采集部位、标本固定方式、固定时间、离体时间、接收时间、接收人，便于后期信息追溯。</w:t>
            </w:r>
          </w:p>
        </w:tc>
      </w:tr>
      <w:tr w14:paraId="4D79F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325B1E02">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117BEA3C">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369DE11A">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登记录入时，支持针对不同送检项目提供定制化的录入界面，以记录不同送检项目的特有信息：如会诊的蜡块、玻片、白片信息、原病理号；分子的检测项目、原病理号、执行材料；细胞学的玻片信息。</w:t>
            </w:r>
          </w:p>
        </w:tc>
      </w:tr>
      <w:tr w14:paraId="45987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04E40E74">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7731EA9D">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20C9C8DE">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分子病理登记时，自动识别分子执行依赖的原病理号。</w:t>
            </w:r>
          </w:p>
        </w:tc>
      </w:tr>
      <w:tr w14:paraId="33F7B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6E83489F">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1FC8B8E6">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09A82169">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细胞登记时，可以追加是否要执行细胞蜡块。</w:t>
            </w:r>
          </w:p>
        </w:tc>
      </w:tr>
      <w:tr w14:paraId="089E8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7EFD6C1E">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0D611B2A">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486C79C0">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录入方式：支持RFID批量录入；支持使用扫码枪扫描一维码，二维码录入；支持纸质申请单使用</w:t>
            </w:r>
            <w:r>
              <w:rPr>
                <w:rFonts w:hint="eastAsia" w:ascii="宋体" w:hAnsi="宋体" w:cs="宋体"/>
                <w:kern w:val="0"/>
                <w:sz w:val="21"/>
                <w:szCs w:val="21"/>
                <w:highlight w:val="none"/>
                <w:lang w:eastAsia="zh-CN"/>
              </w:rPr>
              <w:t>多功能文档拍摄和视频展台</w:t>
            </w:r>
            <w:r>
              <w:rPr>
                <w:rFonts w:hint="eastAsia" w:ascii="宋体" w:hAnsi="宋体" w:eastAsia="宋体" w:cs="宋体"/>
                <w:kern w:val="0"/>
                <w:sz w:val="21"/>
                <w:szCs w:val="21"/>
                <w:highlight w:val="none"/>
              </w:rPr>
              <w:t>拍照录入存档，同时支持使用OCR识别申请单内容，识别率准确率不低于95%，申请单内容信息可导入至病理信息管理系统。</w:t>
            </w:r>
          </w:p>
        </w:tc>
      </w:tr>
      <w:tr w14:paraId="73CC3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restart"/>
            <w:vAlign w:val="center"/>
          </w:tcPr>
          <w:p w14:paraId="72A5551A">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病例取材模块</w:t>
            </w:r>
          </w:p>
        </w:tc>
        <w:tc>
          <w:tcPr>
            <w:tcW w:w="1417" w:type="dxa"/>
            <w:vMerge w:val="restart"/>
            <w:vAlign w:val="center"/>
          </w:tcPr>
          <w:p w14:paraId="2594A0A4">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病例取材模块</w:t>
            </w:r>
          </w:p>
        </w:tc>
        <w:tc>
          <w:tcPr>
            <w:tcW w:w="7229" w:type="dxa"/>
            <w:vAlign w:val="center"/>
          </w:tcPr>
          <w:p w14:paraId="4CC2C88D">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根据不同标本类别，自动过滤出对应的标本描述模板，用户可对描述模版内容增加、修改和删除。</w:t>
            </w:r>
          </w:p>
        </w:tc>
      </w:tr>
      <w:tr w14:paraId="7C504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6F935D18">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35031F43">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6C17768B">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提供符号快捷栏，当不使用标本模板时，可通过符号快捷栏快速录入标本描述。</w:t>
            </w:r>
          </w:p>
        </w:tc>
      </w:tr>
      <w:tr w14:paraId="3802E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36E1C864">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7716E34C">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19269A1C">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支持通过扫描枪扫描标本条码自动加载病例信息。</w:t>
            </w:r>
          </w:p>
        </w:tc>
      </w:tr>
      <w:tr w14:paraId="0A7DA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141A1276">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2DDFADA3">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7418C1C0">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有“附言”记录功能，可选“全取”、“脱钙”、“保留”等内容用来记录取材的特殊要求。</w:t>
            </w:r>
          </w:p>
        </w:tc>
      </w:tr>
      <w:tr w14:paraId="1DA90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792F4EE7">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18F9F690">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00B86017">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记录取材时间、取材医生和记录人员信息，可用于工作量统计。</w:t>
            </w:r>
          </w:p>
        </w:tc>
      </w:tr>
      <w:tr w14:paraId="159BA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1456195B">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2CB3DC80">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53959EE6">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进行取材明细记录，可记录包埋数、材块数、备注信息。</w:t>
            </w:r>
          </w:p>
        </w:tc>
      </w:tr>
      <w:tr w14:paraId="7B8A9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28E5CC6D">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703E6245">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23362377">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根据取材明细打印出取材工作单。</w:t>
            </w:r>
          </w:p>
        </w:tc>
      </w:tr>
      <w:tr w14:paraId="49E41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2D73183A">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41D3A781">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69F19441">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支持对接大体录像设备，脚踏板，可通过脚踏开关控制设备拍照，对取材过程分阶段自动录像，并可一键查询某病例对应的取材录像。</w:t>
            </w:r>
          </w:p>
        </w:tc>
      </w:tr>
      <w:tr w14:paraId="0A9F8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5C2A91D6">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551BD145">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513E1E78">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支持对取材剩余标本进行管理，包括标本存放位置记录、补取自动提醒、标本定期清理。</w:t>
            </w:r>
          </w:p>
        </w:tc>
      </w:tr>
      <w:tr w14:paraId="64D5A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6015FB59">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094491E8">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18AE3E5A">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术后冰冻的取材应自动继承术中冰冻取材信息。</w:t>
            </w:r>
          </w:p>
        </w:tc>
      </w:tr>
      <w:tr w14:paraId="5B51C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180E5880">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7C747AAB">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6A805704">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支持通过扫描枪扫描标本条码自动加载病例信息。</w:t>
            </w:r>
          </w:p>
        </w:tc>
      </w:tr>
      <w:tr w14:paraId="5351D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0993D051">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4742E071">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29246BEB">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取材支持语音输入，实时自动转成文字存储，语音输入识别准确率高于99%。</w:t>
            </w:r>
          </w:p>
        </w:tc>
      </w:tr>
      <w:tr w14:paraId="01922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743FDFD9">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25AC07B8">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1B747926">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支持提示补取列表补取显示开单医生及补取医嘱，按常规取材类型分类展示。</w:t>
            </w:r>
          </w:p>
        </w:tc>
      </w:tr>
      <w:tr w14:paraId="0F540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4BAFBECA">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45482CA6">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54BB12D4">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取材时自动提示该病例是否做过冰冻，并能查看冰冻结果。</w:t>
            </w:r>
          </w:p>
        </w:tc>
      </w:tr>
      <w:tr w14:paraId="64930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36456BC9">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48CAB617">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58C26ADB">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对接收费接口，产生蜡块加收情况时，可在病理系统进行费用智能加收。</w:t>
            </w:r>
          </w:p>
        </w:tc>
      </w:tr>
      <w:tr w14:paraId="7899F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4A574A7B">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657730E8">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14BF2D45">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对接包埋盒打号机接口，支持根据标本类型，自动选择包埋盒打号机通道，用于对不同标本包埋盒颜色进行区分。</w:t>
            </w:r>
          </w:p>
        </w:tc>
      </w:tr>
      <w:tr w14:paraId="0E0DD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restart"/>
            <w:vAlign w:val="center"/>
          </w:tcPr>
          <w:p w14:paraId="35F1032D">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脱水功能模块</w:t>
            </w:r>
          </w:p>
        </w:tc>
        <w:tc>
          <w:tcPr>
            <w:tcW w:w="1417" w:type="dxa"/>
            <w:vMerge w:val="restart"/>
            <w:vAlign w:val="center"/>
          </w:tcPr>
          <w:p w14:paraId="38680F66">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脱水功能模块</w:t>
            </w:r>
          </w:p>
        </w:tc>
        <w:tc>
          <w:tcPr>
            <w:tcW w:w="7229" w:type="dxa"/>
            <w:vAlign w:val="center"/>
          </w:tcPr>
          <w:p w14:paraId="56EA3702">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脱钙标本，额外走脱钙流程，提示脱钙时间，脱钙结束后才可脱水。</w:t>
            </w:r>
          </w:p>
        </w:tc>
      </w:tr>
      <w:tr w14:paraId="5D047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4BD0B9B2">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111EBF14">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7EDDE872">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支持记录上机历史记录、管理取材脱水交接过程，保存上机图片。</w:t>
            </w:r>
          </w:p>
        </w:tc>
      </w:tr>
      <w:tr w14:paraId="07C4D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4B3C3C47">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417C9862">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55B6171E">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支持通过平板电脑管理脱水流程，控制脱水开始、结束。</w:t>
            </w:r>
          </w:p>
        </w:tc>
      </w:tr>
      <w:tr w14:paraId="0992C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51F68737">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3B0C8659">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3EB1D333">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支持快速核查当日未上机蜡块情况，可查看未上机蜡块明细。</w:t>
            </w:r>
          </w:p>
        </w:tc>
      </w:tr>
      <w:tr w14:paraId="5FE8B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39944259">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2D5108E5">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465DF116">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支持提醒脱水机所使用的试剂、耗材的消耗情况、使用过期时间。</w:t>
            </w:r>
          </w:p>
        </w:tc>
      </w:tr>
      <w:tr w14:paraId="54365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7BDB97B3">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22636B0A">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3352A7F7">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▲支持通过包埋盒批量扫码装置对包埋盒批量识别。支持自动对比识别到的编号与系统原有编号，并通过颜色标记错误；支持选择对应上级脱水机；支持核对当天所有脱水样本进行统计，提示遗留样本。</w:t>
            </w:r>
          </w:p>
        </w:tc>
      </w:tr>
      <w:tr w14:paraId="77178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restart"/>
            <w:vAlign w:val="center"/>
          </w:tcPr>
          <w:p w14:paraId="64669B55">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包埋功能模块</w:t>
            </w:r>
          </w:p>
        </w:tc>
        <w:tc>
          <w:tcPr>
            <w:tcW w:w="1417" w:type="dxa"/>
            <w:vMerge w:val="restart"/>
            <w:vAlign w:val="center"/>
          </w:tcPr>
          <w:p w14:paraId="49DBA26C">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包埋功能模块</w:t>
            </w:r>
          </w:p>
        </w:tc>
        <w:tc>
          <w:tcPr>
            <w:tcW w:w="7229" w:type="dxa"/>
            <w:vAlign w:val="center"/>
          </w:tcPr>
          <w:p w14:paraId="2C772A25">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系统自动展示当前包埋盒中蜡块的取材明细记录，供技术员在包埋时进行核对。</w:t>
            </w:r>
          </w:p>
        </w:tc>
      </w:tr>
      <w:tr w14:paraId="52AF6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78900284">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4F380B4B">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01DD206C">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支持包埋盒扫码核对，扫码后记录自动变为已包埋。</w:t>
            </w:r>
          </w:p>
        </w:tc>
      </w:tr>
      <w:tr w14:paraId="35292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3DF59819">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0AF9A051">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6A423005">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支持当日包埋工作记录的打印输出，并可打印出当日包埋的蜡块号区间。</w:t>
            </w:r>
          </w:p>
        </w:tc>
      </w:tr>
      <w:tr w14:paraId="04975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710F66B4">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6999082C">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0BC56404">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支持对脱水异常的包埋盒录入脱水异常信息，并可统计查询。</w:t>
            </w:r>
          </w:p>
        </w:tc>
      </w:tr>
      <w:tr w14:paraId="1D8C8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53EAB1B9">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1EE6B619">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20F9E46F">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支持蜡块列表精细化查询，区分技术医嘱和非技术医嘱，医嘱支持多选，支持按照脱水人员、脱水时间进行查询。</w:t>
            </w:r>
          </w:p>
        </w:tc>
      </w:tr>
      <w:tr w14:paraId="309B3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restart"/>
            <w:vAlign w:val="center"/>
          </w:tcPr>
          <w:p w14:paraId="44D75490">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p w14:paraId="57C5E0E3">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p w14:paraId="41C88EB2">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p w14:paraId="3EC83296">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p w14:paraId="439F0E34">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p w14:paraId="798FFF77">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切片功能全流程模块</w:t>
            </w:r>
          </w:p>
        </w:tc>
        <w:tc>
          <w:tcPr>
            <w:tcW w:w="1417" w:type="dxa"/>
            <w:vMerge w:val="restart"/>
            <w:vAlign w:val="center"/>
          </w:tcPr>
          <w:p w14:paraId="4611FE87">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p w14:paraId="7B409EBA">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p w14:paraId="46F4CB98">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p w14:paraId="0326482C">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p w14:paraId="1A814D69">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p w14:paraId="0BDD522E">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切片功能模块</w:t>
            </w:r>
          </w:p>
        </w:tc>
        <w:tc>
          <w:tcPr>
            <w:tcW w:w="7229" w:type="dxa"/>
            <w:vAlign w:val="center"/>
          </w:tcPr>
          <w:p w14:paraId="5EF9D7D8">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系统自动展示当前切片蜡块的取材明细记录，供技术员在切片时进行核对。</w:t>
            </w:r>
          </w:p>
        </w:tc>
      </w:tr>
      <w:tr w14:paraId="3452B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5EF446EF">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32B6F308">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32E8E4AE">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支持切片扫码核对，扫码后记录自动变为已切片。</w:t>
            </w:r>
          </w:p>
        </w:tc>
      </w:tr>
      <w:tr w14:paraId="16447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3A896F8C">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0870E6C6">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6CCEF635">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支持对包埋盒扫码即打印该病理号载玻片。</w:t>
            </w:r>
          </w:p>
        </w:tc>
      </w:tr>
      <w:tr w14:paraId="7406E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08FF01CF">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72B6EC30">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69249842">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支持当日切片工作记录的打印输出，并可打印出当日切片的蜡块号区间。</w:t>
            </w:r>
          </w:p>
        </w:tc>
      </w:tr>
      <w:tr w14:paraId="2703E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43FEB225">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5AFAA97F">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44FC0194">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切片时技术员可取材质量、包埋质量评价，并可统计查询</w:t>
            </w:r>
          </w:p>
        </w:tc>
      </w:tr>
      <w:tr w14:paraId="77D28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68F77AEE">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26439DC9">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6FE4AC0F">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可按自定义比例抽取部分当日完成切片数，制成HE切片技术抽检质量控制表，并能导出。</w:t>
            </w:r>
          </w:p>
        </w:tc>
      </w:tr>
      <w:tr w14:paraId="73672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0877E305">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0CECD8B6">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2D265E81">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支持技术医嘱操作界面，对重切、深切等医嘱进行执行、打印标签等，可生成导出技术医嘱列表。</w:t>
            </w:r>
          </w:p>
        </w:tc>
      </w:tr>
      <w:tr w14:paraId="39796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restart"/>
            <w:vAlign w:val="center"/>
          </w:tcPr>
          <w:p w14:paraId="222A97CF">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染色封片功能全流程模块</w:t>
            </w:r>
          </w:p>
        </w:tc>
        <w:tc>
          <w:tcPr>
            <w:tcW w:w="1417" w:type="dxa"/>
            <w:vMerge w:val="restart"/>
            <w:vAlign w:val="center"/>
          </w:tcPr>
          <w:p w14:paraId="00293919">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染色封片功能模块</w:t>
            </w:r>
          </w:p>
        </w:tc>
        <w:tc>
          <w:tcPr>
            <w:tcW w:w="7229" w:type="dxa"/>
            <w:vAlign w:val="center"/>
          </w:tcPr>
          <w:p w14:paraId="7A65FC85">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系统可以列表形式自动提示当前病理号的其他切片的染色情况。</w:t>
            </w:r>
          </w:p>
        </w:tc>
      </w:tr>
      <w:tr w14:paraId="7C00C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12BFF642">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3B32E9C7">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06D12C43">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系统可自动提示所有已切片但尚未进行染色确认的病例列表。</w:t>
            </w:r>
          </w:p>
        </w:tc>
      </w:tr>
      <w:tr w14:paraId="334E1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70E4282C">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17FC1C9E">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0521FDDD">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系统可批量完成切片的染封开始、结束，分片至取材医生。</w:t>
            </w:r>
          </w:p>
        </w:tc>
      </w:tr>
      <w:tr w14:paraId="74E9C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0331433B">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1CF7F686">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220E01CD">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支持染封列表精细化查询，区分技术医嘱和非技术医嘱，医嘱支持多选，支持按照切片人员、切片时间进行查询。</w:t>
            </w:r>
          </w:p>
        </w:tc>
      </w:tr>
      <w:tr w14:paraId="5E99F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restart"/>
            <w:vAlign w:val="center"/>
          </w:tcPr>
          <w:p w14:paraId="2B332949">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p w14:paraId="2C686DF3">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细胞制片模块</w:t>
            </w:r>
          </w:p>
        </w:tc>
        <w:tc>
          <w:tcPr>
            <w:tcW w:w="1417" w:type="dxa"/>
            <w:vMerge w:val="restart"/>
            <w:vAlign w:val="center"/>
          </w:tcPr>
          <w:p w14:paraId="216ECCA1">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细胞制片模块</w:t>
            </w:r>
          </w:p>
        </w:tc>
        <w:tc>
          <w:tcPr>
            <w:tcW w:w="7229" w:type="dxa"/>
            <w:vAlign w:val="center"/>
          </w:tcPr>
          <w:p w14:paraId="223B8D4D">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病例录入时可分库别进行录入，如液基细胞、脱落细胞、刷片等关键词进行分类。</w:t>
            </w:r>
          </w:p>
        </w:tc>
      </w:tr>
      <w:tr w14:paraId="6A0FE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2623C835">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76C36B2E">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24E8C2A4">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对接标签打印机，打印细胞病理号</w:t>
            </w:r>
            <w:r>
              <w:rPr>
                <w:rFonts w:hint="eastAsia" w:ascii="宋体" w:hAnsi="宋体" w:cs="宋体"/>
                <w:kern w:val="0"/>
                <w:sz w:val="21"/>
                <w:szCs w:val="21"/>
                <w:highlight w:val="none"/>
                <w:lang w:eastAsia="zh-CN"/>
              </w:rPr>
              <w:t>。</w:t>
            </w:r>
          </w:p>
        </w:tc>
      </w:tr>
      <w:tr w14:paraId="5363D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13FDDE92">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538FD665">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17C267F0">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支持细胞蜡块进行免疫组化等医嘱操作</w:t>
            </w:r>
            <w:r>
              <w:rPr>
                <w:rFonts w:hint="eastAsia" w:ascii="宋体" w:hAnsi="宋体" w:cs="宋体"/>
                <w:kern w:val="0"/>
                <w:sz w:val="21"/>
                <w:szCs w:val="21"/>
                <w:highlight w:val="none"/>
                <w:lang w:eastAsia="zh-CN"/>
              </w:rPr>
              <w:t>。</w:t>
            </w:r>
          </w:p>
        </w:tc>
      </w:tr>
      <w:tr w14:paraId="0DC2F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341F5022">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725DEEFB">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62C37BF4">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对接AI系统，关联病例</w:t>
            </w:r>
            <w:r>
              <w:rPr>
                <w:rFonts w:hint="eastAsia" w:ascii="宋体" w:hAnsi="宋体" w:cs="宋体"/>
                <w:kern w:val="0"/>
                <w:sz w:val="21"/>
                <w:szCs w:val="21"/>
                <w:highlight w:val="none"/>
                <w:lang w:eastAsia="zh-CN"/>
              </w:rPr>
              <w:t>。</w:t>
            </w:r>
          </w:p>
        </w:tc>
      </w:tr>
      <w:tr w14:paraId="4C256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restart"/>
            <w:vAlign w:val="center"/>
          </w:tcPr>
          <w:p w14:paraId="17B4B304">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诊断模块（包含常规、冰冻、细胞、分子）</w:t>
            </w:r>
          </w:p>
        </w:tc>
        <w:tc>
          <w:tcPr>
            <w:tcW w:w="1417" w:type="dxa"/>
            <w:vMerge w:val="restart"/>
            <w:vAlign w:val="center"/>
          </w:tcPr>
          <w:p w14:paraId="0345A91D">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诊断模块（包含常规、冰冻、细胞、分子）</w:t>
            </w:r>
          </w:p>
        </w:tc>
        <w:tc>
          <w:tcPr>
            <w:tcW w:w="7229" w:type="dxa"/>
            <w:vAlign w:val="center"/>
          </w:tcPr>
          <w:p w14:paraId="45FC52FB">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可按大分类和细分病理库分列展示诊断列表。</w:t>
            </w:r>
          </w:p>
        </w:tc>
      </w:tr>
      <w:tr w14:paraId="213B9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0FA3D4A1">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7F8B212F">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1BACA1A2">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可在诊断界面查看病例的基本信息、临床资料、大体标本的照片和描述、取材的明细记录等内容。</w:t>
            </w:r>
          </w:p>
        </w:tc>
      </w:tr>
      <w:tr w14:paraId="0E3DA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22E7EFB9">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5C0E91FD">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237DEBDA">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支持录入镜下所见、病理诊断、免疫组化结果等诊断报告项目。</w:t>
            </w:r>
          </w:p>
        </w:tc>
      </w:tr>
      <w:tr w14:paraId="2C7FE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684C3340">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08AE94EC">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64F620FD">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报告常用词、报告格式支持自定义编辑。</w:t>
            </w:r>
          </w:p>
        </w:tc>
      </w:tr>
      <w:tr w14:paraId="02D57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24176CA1">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737A2E64">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544E75CA">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可发出内部医嘱要求，包括重切、深切、补取、免疫组化、分子病理等，发出的内部医嘱在相应的操作员操作界面上有相应提示，特检医嘱的结果应支持快捷导入诊断意见。</w:t>
            </w:r>
          </w:p>
        </w:tc>
      </w:tr>
      <w:tr w14:paraId="636FE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46627766">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4B603006">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3D1353F5">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诊断下特检医嘱时，支持写备注，支持保存私人套餐，保存私人套餐时支持调整试剂顺序。</w:t>
            </w:r>
          </w:p>
        </w:tc>
      </w:tr>
      <w:tr w14:paraId="28ED9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4A686F77">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3C4A5ECD">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2392BC11">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下特检医嘱时，支持对同一蜡块的重复试剂进行提醒。</w:t>
            </w:r>
          </w:p>
        </w:tc>
      </w:tr>
      <w:tr w14:paraId="4A382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7B77B2EE">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2121A53D">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23FD1D2F">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分子诊断应支持根据肿瘤细胞比例，数量，判定分子检测是否合格。</w:t>
            </w:r>
          </w:p>
        </w:tc>
      </w:tr>
      <w:tr w14:paraId="57667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367D6B0D">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463FD185">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0CC1624D">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可发起科内会诊申请，系统会自动加入“科内会诊”列表并进行提示，其他医生登录系统后可以快速定位这些会诊病例，可增加、修改、删除自己的科内会诊意见。会诊意见专家之间相互不可见，待会诊意见全部提交后，会诊意见才对最终审核者可见。</w:t>
            </w:r>
          </w:p>
        </w:tc>
      </w:tr>
      <w:tr w14:paraId="23C54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26E3163C">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01DEB301">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047B27BE">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可对病例进行随访标记，系统会自动加入“需随访病例”列表并进行提示，可录入并保存随访结果，并可继续随访或结束随访。</w:t>
            </w:r>
          </w:p>
        </w:tc>
      </w:tr>
      <w:tr w14:paraId="0C4C7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7D39EB52">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48AF2CD8">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211F11F9">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可对感兴趣的病例进行收藏管理，系统会自动加入到“我的收藏夹”列表并进行提示，医生可以导出自己的收藏夹病例列表。</w:t>
            </w:r>
          </w:p>
        </w:tc>
      </w:tr>
      <w:tr w14:paraId="2F51B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5CCB76B8">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06D03DBA">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65011636">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可查看病例的历史病理结果和同次送检的其他标本检查情况。</w:t>
            </w:r>
          </w:p>
        </w:tc>
      </w:tr>
      <w:tr w14:paraId="2E6A4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1A6FC9F8">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786A56E1">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4291B183">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适应病理报告三级医生负责制，提供定向复片、多级复片功能，初诊意见和复片意见应都有独立记录。</w:t>
            </w:r>
          </w:p>
        </w:tc>
      </w:tr>
      <w:tr w14:paraId="51AAD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05659A67">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2296779C">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03200BDC">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提供补充报告功能，并可以添加多份补充报告，多份补充报告应展示最新一份补充报告的状态。</w:t>
            </w:r>
          </w:p>
        </w:tc>
      </w:tr>
      <w:tr w14:paraId="0CC40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579BBCB9">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3F13F48D">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2971E6C7">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支持查看最近打开病例，可快速跳转到之前打开过的诊断界面，可在几个诊断界面之间进行快速切换。</w:t>
            </w:r>
          </w:p>
        </w:tc>
      </w:tr>
      <w:tr w14:paraId="141C2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1C1BD49E">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1E8C5FDF">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461CAC6D">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诊断界面支持快捷查询，支持通过病理号、姓名、住院号、门诊号查询。</w:t>
            </w:r>
          </w:p>
        </w:tc>
      </w:tr>
      <w:tr w14:paraId="602E4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2E121B89">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7E6B29FC">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18E642D3">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支持批量签发。</w:t>
            </w:r>
          </w:p>
        </w:tc>
      </w:tr>
      <w:tr w14:paraId="5A4A7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2A883579">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1D482929">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2FD27B89">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支持批量打印病理报告底单。</w:t>
            </w:r>
          </w:p>
        </w:tc>
      </w:tr>
      <w:tr w14:paraId="2BEF3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497ADEB2">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38CF2FD3">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370E5031">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冰冻诊断界面应能查看术中冰冻和术后冰冻的诊断结果。</w:t>
            </w:r>
          </w:p>
        </w:tc>
      </w:tr>
      <w:tr w14:paraId="55672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325C316B">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024C6837">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7300F637">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▲提供乳腺癌RCB分级辅助诊断工具</w:t>
            </w:r>
            <w:r>
              <w:rPr>
                <w:rFonts w:hint="eastAsia" w:ascii="宋体" w:hAnsi="宋体" w:cs="宋体"/>
                <w:kern w:val="0"/>
                <w:sz w:val="21"/>
                <w:szCs w:val="21"/>
                <w:highlight w:val="none"/>
                <w:lang w:eastAsia="zh-CN"/>
              </w:rPr>
              <w:t>（</w:t>
            </w:r>
            <w:r>
              <w:rPr>
                <w:rFonts w:hint="eastAsia" w:ascii="宋体" w:hAnsi="宋体" w:cs="宋体"/>
                <w:kern w:val="0"/>
                <w:sz w:val="21"/>
                <w:szCs w:val="21"/>
                <w:highlight w:val="none"/>
                <w:lang w:val="en-US" w:eastAsia="zh-CN"/>
              </w:rPr>
              <w:t>投标时</w:t>
            </w:r>
            <w:r>
              <w:rPr>
                <w:rFonts w:hint="eastAsia" w:ascii="宋体" w:hAnsi="宋体" w:eastAsia="宋体" w:cs="宋体"/>
                <w:kern w:val="0"/>
                <w:sz w:val="21"/>
                <w:szCs w:val="21"/>
                <w:highlight w:val="none"/>
              </w:rPr>
              <w:t>需提供使用界面截图</w:t>
            </w:r>
            <w:r>
              <w:rPr>
                <w:rFonts w:hint="eastAsia" w:ascii="宋体" w:hAnsi="宋体" w:cs="宋体"/>
                <w:kern w:val="0"/>
                <w:sz w:val="21"/>
                <w:szCs w:val="21"/>
                <w:highlight w:val="none"/>
                <w:lang w:val="en-US" w:eastAsia="zh-CN"/>
              </w:rPr>
              <w:t>作为证明材料</w:t>
            </w:r>
            <w:r>
              <w:rPr>
                <w:rFonts w:hint="eastAsia" w:ascii="宋体" w:hAnsi="宋体" w:cs="宋体"/>
                <w:kern w:val="0"/>
                <w:sz w:val="21"/>
                <w:szCs w:val="21"/>
                <w:highlight w:val="none"/>
                <w:lang w:eastAsia="zh-CN"/>
              </w:rPr>
              <w:t>）</w:t>
            </w:r>
            <w:r>
              <w:rPr>
                <w:rFonts w:hint="eastAsia" w:ascii="宋体" w:hAnsi="宋体" w:eastAsia="宋体" w:cs="宋体"/>
                <w:kern w:val="0"/>
                <w:sz w:val="21"/>
                <w:szCs w:val="21"/>
                <w:highlight w:val="none"/>
              </w:rPr>
              <w:t>。</w:t>
            </w:r>
          </w:p>
        </w:tc>
      </w:tr>
      <w:tr w14:paraId="2BEC1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56A5202B">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721CDC97">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778CBE47">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诊断时可选择具有分子诊断价值的蜡块，预先进行肿瘤含量质控并记录，作为分子病理默认执行蜡块，后续患者做分子病理时，默认执行此蜡块</w:t>
            </w:r>
            <w:r>
              <w:rPr>
                <w:sz w:val="21"/>
                <w:highlight w:val="none"/>
              </w:rPr>
              <w:t>（投标时提供视频演示）</w:t>
            </w:r>
            <w:r>
              <w:rPr>
                <w:rFonts w:hint="eastAsia" w:ascii="宋体" w:hAnsi="宋体" w:eastAsia="宋体" w:cs="宋体"/>
                <w:kern w:val="0"/>
                <w:sz w:val="21"/>
                <w:szCs w:val="21"/>
                <w:highlight w:val="none"/>
              </w:rPr>
              <w:t>。</w:t>
            </w:r>
          </w:p>
        </w:tc>
      </w:tr>
      <w:tr w14:paraId="35CF2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6EAA954C">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4952A336">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1B7F974F">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诊断报告预览时，可对样式（字体，间距）进行微调，以适应极端情况下报告展示不友好的问题。</w:t>
            </w:r>
          </w:p>
        </w:tc>
      </w:tr>
      <w:tr w14:paraId="5A7B6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6BEC492D">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58011A14">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1A05A235">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对即将超时的和已超时的病例，应给予提醒。</w:t>
            </w:r>
          </w:p>
        </w:tc>
      </w:tr>
      <w:tr w14:paraId="7C98F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194C1246">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0B70EF01">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4CA015E2">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可进行数字阅片，并在数字阅片中进行标记、测距、截图操作，截图可导入到诊断界面。</w:t>
            </w:r>
          </w:p>
        </w:tc>
      </w:tr>
      <w:tr w14:paraId="7DA92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3AF3E13D">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07690D67">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314063DE">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可通过扫描玻片快速进入对应病例的诊断界面。</w:t>
            </w:r>
          </w:p>
        </w:tc>
      </w:tr>
      <w:tr w14:paraId="1A1C0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41459B82">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617E5634">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23E10896">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报告中，支持对常规H&amp;E,IHC等数字切片进行定量分析，包括：细胞计数、阳性细胞计数、阳性面积占比计算等，并可对数字切片质量进行自动评价。</w:t>
            </w:r>
          </w:p>
        </w:tc>
      </w:tr>
      <w:tr w14:paraId="5196D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607D0824">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4EF9E3C3">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00EFEA61">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▲提供肿瘤病例结构化报告模板，报告模板的编写界面易用和预览界面展示友好。</w:t>
            </w:r>
          </w:p>
        </w:tc>
      </w:tr>
      <w:tr w14:paraId="0FC1F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3F29FA73">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5F4583DF">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01F128D8">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▲提供标准报告模版，如CAPS模板等，并可根据</w:t>
            </w:r>
            <w:r>
              <w:rPr>
                <w:rFonts w:hint="eastAsia" w:ascii="宋体" w:hAnsi="宋体" w:cs="宋体"/>
                <w:kern w:val="0"/>
                <w:sz w:val="21"/>
                <w:szCs w:val="21"/>
                <w:highlight w:val="none"/>
                <w:lang w:eastAsia="zh-CN"/>
              </w:rPr>
              <w:t>采购人</w:t>
            </w:r>
            <w:r>
              <w:rPr>
                <w:rFonts w:hint="eastAsia" w:ascii="宋体" w:hAnsi="宋体" w:eastAsia="宋体" w:cs="宋体"/>
                <w:kern w:val="0"/>
                <w:sz w:val="21"/>
                <w:szCs w:val="21"/>
                <w:highlight w:val="none"/>
              </w:rPr>
              <w:t>需求进行定制化修改，对于国际化模板，应能给出中英文版本，便于进行国际学术交流。</w:t>
            </w:r>
          </w:p>
        </w:tc>
      </w:tr>
      <w:tr w14:paraId="4184A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4D0635A1">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57275734">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44A74257">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提供病理报告审核后的“犹豫期”自定义设定，并可自定义设定临床查看审核后的病理报告的“犹豫期”。</w:t>
            </w:r>
          </w:p>
        </w:tc>
      </w:tr>
      <w:tr w14:paraId="29DE3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38A3D243">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70BF05E0">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0810F938">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可向临床发送通知，告知延迟打印报告和缴费补费等信息。</w:t>
            </w:r>
          </w:p>
        </w:tc>
      </w:tr>
      <w:tr w14:paraId="21BEC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2124633D">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680A0759">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1790C731">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▲支持诊断模板自定义，支持分子病理诊断报告中提供所见即所得的富文本编辑器（参考Word编辑器的工具栏、可调节字体、斜体、加粗、颜色等等）。</w:t>
            </w:r>
          </w:p>
        </w:tc>
      </w:tr>
      <w:tr w14:paraId="28A68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4BB808D9">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4D6179E2">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35C53B52">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提供WHO分级诊断标签，诊断时可对病例进行精细化标签管理，诊断标签可用于科室的诊断业务的相关查询与分析，并支持统计</w:t>
            </w:r>
            <w:r>
              <w:rPr>
                <w:sz w:val="21"/>
                <w:highlight w:val="none"/>
              </w:rPr>
              <w:t>（投标时提供视频演示）</w:t>
            </w:r>
            <w:r>
              <w:rPr>
                <w:rFonts w:hint="eastAsia" w:ascii="宋体" w:hAnsi="宋体" w:eastAsia="宋体" w:cs="宋体"/>
                <w:kern w:val="0"/>
                <w:sz w:val="21"/>
                <w:szCs w:val="21"/>
                <w:highlight w:val="none"/>
              </w:rPr>
              <w:t>。</w:t>
            </w:r>
          </w:p>
        </w:tc>
      </w:tr>
      <w:tr w14:paraId="1E0B0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5E1BA5ED">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78506C48">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0EFFFA98">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诊断时支持对切片进行评价，评价采用扣分制，默认为满分。</w:t>
            </w:r>
          </w:p>
        </w:tc>
      </w:tr>
      <w:tr w14:paraId="7DE66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0513B49B">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5DD559DA">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37D84E55">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提供会诊预开单功能，解决送检不全、执行滞后的问题。预开单时，诊断医生选择后续需要做的特检指标，当患者将材料补齐后，在登记时绑定预开单时的特检医嘱。</w:t>
            </w:r>
          </w:p>
        </w:tc>
      </w:tr>
      <w:tr w14:paraId="73B7E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277B6CE5">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25F8CEC4">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tcPr>
          <w:p w14:paraId="11B7DD3E">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针对肿瘤标本，诊断界面可根据结构化诊断结果自动得出对应肿瘤TNM分期</w:t>
            </w:r>
            <w:r>
              <w:rPr>
                <w:sz w:val="21"/>
                <w:highlight w:val="none"/>
              </w:rPr>
              <w:t>（投标时提供视频演示）</w:t>
            </w:r>
            <w:r>
              <w:rPr>
                <w:rFonts w:hint="eastAsia" w:ascii="宋体" w:hAnsi="宋体" w:eastAsia="宋体" w:cs="宋体"/>
                <w:kern w:val="0"/>
                <w:sz w:val="21"/>
                <w:szCs w:val="21"/>
                <w:highlight w:val="none"/>
              </w:rPr>
              <w:t>。</w:t>
            </w:r>
          </w:p>
        </w:tc>
      </w:tr>
      <w:tr w14:paraId="27B6C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2D50D9D0">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544C3331">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tcPr>
          <w:p w14:paraId="3F274103">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▲具有报告质量管控和智能预警功能：1）病理诊断结果与性别冲突监控在签发报告时自动提示等；2）病理诊断出现“癌”、“瘤”、“阳性”，则字体将变红提醒等</w:t>
            </w:r>
            <w:r>
              <w:rPr>
                <w:rFonts w:hint="eastAsia" w:ascii="宋体" w:hAnsi="宋体" w:cs="宋体"/>
                <w:kern w:val="0"/>
                <w:sz w:val="21"/>
                <w:szCs w:val="21"/>
                <w:highlight w:val="none"/>
                <w:lang w:eastAsia="zh-CN"/>
              </w:rPr>
              <w:t>。</w:t>
            </w:r>
          </w:p>
        </w:tc>
      </w:tr>
      <w:tr w14:paraId="3E19A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restart"/>
            <w:vAlign w:val="center"/>
          </w:tcPr>
          <w:p w14:paraId="33B535EB">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冰冻技术模块</w:t>
            </w:r>
          </w:p>
        </w:tc>
        <w:tc>
          <w:tcPr>
            <w:tcW w:w="1417" w:type="dxa"/>
            <w:vMerge w:val="restart"/>
            <w:vAlign w:val="center"/>
          </w:tcPr>
          <w:p w14:paraId="5D20BFA4">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冰冻技术模块</w:t>
            </w:r>
          </w:p>
        </w:tc>
        <w:tc>
          <w:tcPr>
            <w:tcW w:w="7229" w:type="dxa"/>
            <w:vAlign w:val="center"/>
          </w:tcPr>
          <w:p w14:paraId="5E1648E2">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冰冻取材时可自动为冰冻生成冰对</w:t>
            </w:r>
            <w:r>
              <w:rPr>
                <w:rFonts w:hint="eastAsia" w:ascii="宋体" w:hAnsi="宋体" w:cs="宋体"/>
                <w:kern w:val="0"/>
                <w:sz w:val="21"/>
                <w:szCs w:val="21"/>
                <w:highlight w:val="none"/>
                <w:lang w:eastAsia="zh-CN"/>
              </w:rPr>
              <w:t>。</w:t>
            </w:r>
          </w:p>
        </w:tc>
      </w:tr>
      <w:tr w14:paraId="6BF14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45DC2FF6">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6B6E62D6">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752F67DC">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术后冰冻的取材应自动继承术中冰冻取材信息。</w:t>
            </w:r>
          </w:p>
        </w:tc>
      </w:tr>
      <w:tr w14:paraId="261F1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4949A31A">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6B567B6B">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5ED8E087">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可通过扫描枪记录病例从接收标本、取材、切片、染色、发报告各个节点的时间和操作人员。</w:t>
            </w:r>
          </w:p>
        </w:tc>
      </w:tr>
      <w:tr w14:paraId="2339D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27B857F0">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7B51095A">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1C89DFCE">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多台冰冻送检时可智能计时。</w:t>
            </w:r>
          </w:p>
        </w:tc>
      </w:tr>
      <w:tr w14:paraId="009A7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restart"/>
            <w:vAlign w:val="center"/>
          </w:tcPr>
          <w:p w14:paraId="07E19EF3">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特检医嘱处理模块</w:t>
            </w:r>
          </w:p>
        </w:tc>
        <w:tc>
          <w:tcPr>
            <w:tcW w:w="1417" w:type="dxa"/>
            <w:vMerge w:val="restart"/>
            <w:vAlign w:val="center"/>
          </w:tcPr>
          <w:p w14:paraId="3A6B98DF">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特检医嘱处理模块</w:t>
            </w:r>
          </w:p>
        </w:tc>
        <w:tc>
          <w:tcPr>
            <w:tcW w:w="7229" w:type="dxa"/>
            <w:vAlign w:val="center"/>
          </w:tcPr>
          <w:p w14:paraId="220929ED">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系统自动提示已发出特检医嘱（免疫组化、特殊染色、分子病理等）要求但尚未执行的病例信息列表</w:t>
            </w:r>
            <w:r>
              <w:rPr>
                <w:rFonts w:hint="eastAsia" w:ascii="宋体" w:hAnsi="宋体" w:cs="宋体"/>
                <w:kern w:val="0"/>
                <w:sz w:val="21"/>
                <w:szCs w:val="21"/>
                <w:highlight w:val="none"/>
                <w:lang w:eastAsia="zh-CN"/>
              </w:rPr>
              <w:t>。</w:t>
            </w:r>
          </w:p>
        </w:tc>
      </w:tr>
      <w:tr w14:paraId="4F276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1E9B2CDE">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11DC6E4E">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526F5087">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免疫库标记物可自定义，可配置免疫组化标记物关联的执行设备</w:t>
            </w:r>
            <w:r>
              <w:rPr>
                <w:rFonts w:hint="eastAsia" w:ascii="宋体" w:hAnsi="宋体" w:cs="宋体"/>
                <w:kern w:val="0"/>
                <w:sz w:val="21"/>
                <w:szCs w:val="21"/>
                <w:highlight w:val="none"/>
                <w:lang w:eastAsia="zh-CN"/>
              </w:rPr>
              <w:t>。</w:t>
            </w:r>
          </w:p>
        </w:tc>
      </w:tr>
      <w:tr w14:paraId="3EB37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6EE1744E">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175C33D3">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4C820460">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可从特检医嘱信息中提取病例信息、标记物名称等内容，自动生成免疫组化切片等切片条码标签，并打印出来</w:t>
            </w:r>
            <w:r>
              <w:rPr>
                <w:rFonts w:hint="eastAsia" w:ascii="宋体" w:hAnsi="宋体" w:cs="宋体"/>
                <w:kern w:val="0"/>
                <w:sz w:val="21"/>
                <w:szCs w:val="21"/>
                <w:highlight w:val="none"/>
                <w:lang w:eastAsia="zh-CN"/>
              </w:rPr>
              <w:t>。</w:t>
            </w:r>
          </w:p>
        </w:tc>
      </w:tr>
      <w:tr w14:paraId="71FFA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433BC137">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3CB3E5C6">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1431813F">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免疫组化染色完成并确认后，状态体现在诊断界面</w:t>
            </w:r>
            <w:r>
              <w:rPr>
                <w:rFonts w:hint="eastAsia" w:ascii="宋体" w:hAnsi="宋体" w:cs="宋体"/>
                <w:kern w:val="0"/>
                <w:sz w:val="21"/>
                <w:szCs w:val="21"/>
                <w:highlight w:val="none"/>
                <w:lang w:eastAsia="zh-CN"/>
              </w:rPr>
              <w:t>。</w:t>
            </w:r>
          </w:p>
        </w:tc>
      </w:tr>
      <w:tr w14:paraId="5D380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1C7E18E5">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57836C26">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2736010D">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提供预设免疫组化套餐</w:t>
            </w:r>
            <w:r>
              <w:rPr>
                <w:rFonts w:hint="eastAsia" w:ascii="宋体" w:hAnsi="宋体" w:cs="宋体"/>
                <w:kern w:val="0"/>
                <w:sz w:val="21"/>
                <w:szCs w:val="21"/>
                <w:highlight w:val="none"/>
                <w:lang w:eastAsia="zh-CN"/>
              </w:rPr>
              <w:t>。</w:t>
            </w:r>
          </w:p>
        </w:tc>
      </w:tr>
      <w:tr w14:paraId="372E4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573BA03E">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65022738">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68815420">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可追溯免疫组化、分子病理、特殊染色制片过程</w:t>
            </w:r>
            <w:r>
              <w:rPr>
                <w:rFonts w:hint="eastAsia" w:ascii="宋体" w:hAnsi="宋体" w:cs="宋体"/>
                <w:kern w:val="0"/>
                <w:sz w:val="21"/>
                <w:szCs w:val="21"/>
                <w:highlight w:val="none"/>
                <w:lang w:eastAsia="zh-CN"/>
              </w:rPr>
              <w:t>。</w:t>
            </w:r>
          </w:p>
        </w:tc>
      </w:tr>
      <w:tr w14:paraId="27736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4EE6601A">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12279BDF">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1B5772E4">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支持展示病例标记物，非必要情况下默认收起标记物详情，必要时可展开列表查看标记物详情。</w:t>
            </w:r>
          </w:p>
        </w:tc>
      </w:tr>
      <w:tr w14:paraId="4C25E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13A505B6">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15D6DDC4">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08CB093A">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支持过滤过期医嘱，当未缴费病例处于未缴费状态超过一定的天数时，显示状态自动更换为废弃，不再显示在界面中。</w:t>
            </w:r>
          </w:p>
        </w:tc>
      </w:tr>
      <w:tr w14:paraId="35326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050E4832">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6C3513ED">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7E1D6126">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免疫组化工作站界面支持多维度排序，维度包括病理号、标记物、申请医生。</w:t>
            </w:r>
          </w:p>
        </w:tc>
      </w:tr>
      <w:tr w14:paraId="2710B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367296C8">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0932DE14">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54AC2279">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支持对特检进行全流程管理，包括开单、确认缴费、确认执行、打印标签、打印工作单、上机、打印工作单交接等。</w:t>
            </w:r>
          </w:p>
        </w:tc>
      </w:tr>
      <w:tr w14:paraId="7659F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76759F5D">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2873563E">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103F5CAB">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支持先做后补费、重复不收费、预收费，管理实收与应收金额，并可实现特检收费统计，查看实收与应收不一致明细</w:t>
            </w:r>
            <w:r>
              <w:rPr>
                <w:rFonts w:hint="eastAsia" w:ascii="宋体" w:hAnsi="宋体" w:cs="宋体"/>
                <w:kern w:val="0"/>
                <w:sz w:val="21"/>
                <w:szCs w:val="21"/>
                <w:highlight w:val="none"/>
                <w:lang w:eastAsia="zh-CN"/>
              </w:rPr>
              <w:t>。</w:t>
            </w:r>
          </w:p>
        </w:tc>
      </w:tr>
      <w:tr w14:paraId="51390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restart"/>
            <w:vAlign w:val="center"/>
          </w:tcPr>
          <w:p w14:paraId="007BFE1D">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归档借阅模块</w:t>
            </w:r>
          </w:p>
        </w:tc>
        <w:tc>
          <w:tcPr>
            <w:tcW w:w="1417" w:type="dxa"/>
            <w:vMerge w:val="restart"/>
            <w:vAlign w:val="center"/>
          </w:tcPr>
          <w:p w14:paraId="1FB39948">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归档借阅模块</w:t>
            </w:r>
          </w:p>
        </w:tc>
        <w:tc>
          <w:tcPr>
            <w:tcW w:w="7229" w:type="dxa"/>
            <w:vAlign w:val="center"/>
          </w:tcPr>
          <w:p w14:paraId="31554444">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▲支持新建、修改、删除归档仓库，按未归档、已归档直观显示归档病例数据</w:t>
            </w:r>
            <w:r>
              <w:rPr>
                <w:rFonts w:hint="eastAsia" w:ascii="宋体" w:hAnsi="宋体" w:cs="宋体"/>
                <w:kern w:val="0"/>
                <w:sz w:val="21"/>
                <w:szCs w:val="21"/>
                <w:highlight w:val="none"/>
                <w:lang w:eastAsia="zh-CN"/>
              </w:rPr>
              <w:t>。</w:t>
            </w:r>
          </w:p>
        </w:tc>
      </w:tr>
      <w:tr w14:paraId="486BB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39A2A891">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01EC0396">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03CC05C3">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支持切片、蜡块借阅并打印借阅申请单，支持发起借阅申请，支持借阅单归还管理。</w:t>
            </w:r>
          </w:p>
        </w:tc>
      </w:tr>
      <w:tr w14:paraId="65E1E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6A6BA4D0">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7E1F4F46">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17621BAB">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cs="宋体"/>
                <w:kern w:val="0"/>
                <w:szCs w:val="21"/>
                <w:highlight w:val="none"/>
              </w:rPr>
              <w:t>售卖白片、HE片时，支持自动发起技术医嘱</w:t>
            </w:r>
            <w:r>
              <w:rPr>
                <w:rFonts w:hint="eastAsia" w:ascii="宋体" w:hAnsi="宋体" w:eastAsia="宋体" w:cs="宋体"/>
                <w:kern w:val="0"/>
                <w:sz w:val="21"/>
                <w:szCs w:val="21"/>
                <w:highlight w:val="none"/>
              </w:rPr>
              <w:t>。</w:t>
            </w:r>
          </w:p>
        </w:tc>
      </w:tr>
      <w:tr w14:paraId="0B623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658DD625">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75E795BB">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0FA2176F">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支持切片、蜡块借阅并打印借阅申请单，支持发起借阅申请并将申请信息自动发送</w:t>
            </w:r>
            <w:r>
              <w:rPr>
                <w:rFonts w:hint="eastAsia" w:ascii="宋体" w:hAnsi="宋体" w:cs="宋体"/>
                <w:kern w:val="0"/>
                <w:sz w:val="21"/>
                <w:szCs w:val="21"/>
                <w:highlight w:val="none"/>
                <w:lang w:eastAsia="zh-CN"/>
              </w:rPr>
              <w:t>。</w:t>
            </w:r>
          </w:p>
        </w:tc>
      </w:tr>
      <w:tr w14:paraId="61EA6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7D7A54B7">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3BBA3162">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5699A7FD">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给对应审核人员，支持还片时录入外院诊断意见并自动通知相关诊断医生</w:t>
            </w:r>
            <w:r>
              <w:rPr>
                <w:rFonts w:hint="eastAsia" w:ascii="宋体" w:hAnsi="宋体" w:cs="宋体"/>
                <w:kern w:val="0"/>
                <w:sz w:val="21"/>
                <w:szCs w:val="21"/>
                <w:highlight w:val="none"/>
                <w:lang w:eastAsia="zh-CN"/>
              </w:rPr>
              <w:t>。</w:t>
            </w:r>
          </w:p>
        </w:tc>
      </w:tr>
      <w:tr w14:paraId="3221D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24ABE29F">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0D344ECA">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443C78C6">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支持使用</w:t>
            </w:r>
            <w:r>
              <w:rPr>
                <w:rFonts w:hint="eastAsia" w:ascii="宋体" w:hAnsi="宋体" w:cs="宋体"/>
                <w:kern w:val="0"/>
                <w:sz w:val="21"/>
                <w:szCs w:val="21"/>
                <w:highlight w:val="none"/>
                <w:lang w:eastAsia="zh-CN"/>
              </w:rPr>
              <w:t>多功能文档拍摄和视频展台</w:t>
            </w:r>
            <w:r>
              <w:rPr>
                <w:rFonts w:hint="eastAsia" w:ascii="宋体" w:hAnsi="宋体" w:eastAsia="宋体" w:cs="宋体"/>
                <w:kern w:val="0"/>
                <w:sz w:val="21"/>
                <w:szCs w:val="21"/>
                <w:highlight w:val="none"/>
              </w:rPr>
              <w:t>拍摄晾片盘批量识别玻片从而实现批量归档</w:t>
            </w:r>
            <w:r>
              <w:rPr>
                <w:rFonts w:hint="eastAsia" w:ascii="宋体" w:hAnsi="宋体" w:cs="宋体"/>
                <w:kern w:val="0"/>
                <w:sz w:val="21"/>
                <w:szCs w:val="21"/>
                <w:highlight w:val="none"/>
                <w:lang w:eastAsia="zh-CN"/>
              </w:rPr>
              <w:t>。</w:t>
            </w:r>
          </w:p>
        </w:tc>
      </w:tr>
      <w:tr w14:paraId="198EE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351E6C02">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63DBB5E9">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43F288C0">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支持使用</w:t>
            </w:r>
            <w:r>
              <w:rPr>
                <w:rFonts w:hint="eastAsia" w:ascii="宋体" w:hAnsi="宋体" w:cs="宋体"/>
                <w:kern w:val="0"/>
                <w:sz w:val="21"/>
                <w:szCs w:val="21"/>
                <w:highlight w:val="none"/>
                <w:lang w:eastAsia="zh-CN"/>
              </w:rPr>
              <w:t>多功能文档拍摄和视频展台</w:t>
            </w:r>
            <w:r>
              <w:rPr>
                <w:rFonts w:hint="eastAsia" w:ascii="宋体" w:hAnsi="宋体" w:eastAsia="宋体" w:cs="宋体"/>
                <w:kern w:val="0"/>
                <w:sz w:val="21"/>
                <w:szCs w:val="21"/>
                <w:highlight w:val="none"/>
              </w:rPr>
              <w:t>自动识别包埋盒，实现包埋盒批量归档功能</w:t>
            </w:r>
            <w:r>
              <w:rPr>
                <w:rFonts w:hint="eastAsia" w:ascii="宋体" w:hAnsi="宋体" w:cs="宋体"/>
                <w:kern w:val="0"/>
                <w:sz w:val="21"/>
                <w:szCs w:val="21"/>
                <w:highlight w:val="none"/>
                <w:lang w:eastAsia="zh-CN"/>
              </w:rPr>
              <w:t>。</w:t>
            </w:r>
          </w:p>
        </w:tc>
      </w:tr>
      <w:tr w14:paraId="0546A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restart"/>
            <w:vAlign w:val="center"/>
          </w:tcPr>
          <w:p w14:paraId="73A73482">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统计模块</w:t>
            </w:r>
          </w:p>
        </w:tc>
        <w:tc>
          <w:tcPr>
            <w:tcW w:w="1417" w:type="dxa"/>
            <w:vMerge w:val="restart"/>
            <w:vAlign w:val="center"/>
          </w:tcPr>
          <w:p w14:paraId="5D4C1384">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统计模块</w:t>
            </w:r>
          </w:p>
        </w:tc>
        <w:tc>
          <w:tcPr>
            <w:tcW w:w="7229" w:type="dxa"/>
            <w:vAlign w:val="center"/>
          </w:tcPr>
          <w:p w14:paraId="53001DF9">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支持统计一段时间内送检病理的数量，统计维度包括病理库、病理号</w:t>
            </w:r>
            <w:r>
              <w:rPr>
                <w:rFonts w:hint="eastAsia" w:ascii="宋体" w:hAnsi="宋体" w:cs="宋体"/>
                <w:kern w:val="0"/>
                <w:sz w:val="21"/>
                <w:szCs w:val="21"/>
                <w:highlight w:val="none"/>
                <w:lang w:eastAsia="zh-CN"/>
              </w:rPr>
              <w:t>。</w:t>
            </w:r>
          </w:p>
        </w:tc>
      </w:tr>
      <w:tr w14:paraId="6AD5D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3740CF55">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7A3E3C2B">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0C90356E">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支持统计一段时间内各取材医生所取材的材料数量，统计维度包括病例、标本、蜡块，对应取材医生蜡块与病例数的比值</w:t>
            </w:r>
            <w:r>
              <w:rPr>
                <w:rFonts w:hint="eastAsia" w:ascii="宋体" w:hAnsi="宋体" w:cs="宋体"/>
                <w:kern w:val="0"/>
                <w:sz w:val="21"/>
                <w:szCs w:val="21"/>
                <w:highlight w:val="none"/>
                <w:lang w:eastAsia="zh-CN"/>
              </w:rPr>
              <w:t>。</w:t>
            </w:r>
          </w:p>
        </w:tc>
      </w:tr>
      <w:tr w14:paraId="2852A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5090150C">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7547942C">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60B0C2AC">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支持统计诊断工作量，支持查看诊断明细，支持统计免疫组化、特殊染色各标记物开单数量。统计维度包括诊断医生开单的免疫组化数量、特殊染色数量与组织诊断病例数的比值</w:t>
            </w:r>
            <w:r>
              <w:rPr>
                <w:rFonts w:hint="eastAsia" w:ascii="宋体" w:hAnsi="宋体" w:cs="宋体"/>
                <w:kern w:val="0"/>
                <w:sz w:val="21"/>
                <w:szCs w:val="21"/>
                <w:highlight w:val="none"/>
                <w:lang w:eastAsia="zh-CN"/>
              </w:rPr>
              <w:t>。</w:t>
            </w:r>
          </w:p>
        </w:tc>
      </w:tr>
      <w:tr w14:paraId="02645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67D29F30">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597FE336">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41B20C72">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支持统计一段时间内技术组工作量，统计维度包括蜡块数量、切片数量，可查看工作量分布情况。</w:t>
            </w:r>
          </w:p>
        </w:tc>
      </w:tr>
      <w:tr w14:paraId="3F1D0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23A91A30">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071EBF4D">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7E693968">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支持统计特检收费情况。</w:t>
            </w:r>
          </w:p>
        </w:tc>
      </w:tr>
      <w:tr w14:paraId="7914D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222DDAC4">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7F43A752">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72DB176E">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支持会诊量统计，按时间节段一键导出会诊病例的详细情况，统计维度包括病理号、姓名、性别、年龄、病理诊断、补充诊断及院外会诊的结果、诊断是否相符。</w:t>
            </w:r>
          </w:p>
        </w:tc>
      </w:tr>
      <w:tr w14:paraId="5DA3B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713FC081">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337D1DA2">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5D556ECD">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支持统计导出HE技术医嘱并进行多维度排序，维度包括重切，深切，连切等，导出内容包含病理号、住院号、下单医生、重切原因。</w:t>
            </w:r>
          </w:p>
        </w:tc>
      </w:tr>
      <w:tr w14:paraId="34406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restart"/>
            <w:vAlign w:val="center"/>
          </w:tcPr>
          <w:p w14:paraId="67C9D11B">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病例日志模块</w:t>
            </w:r>
          </w:p>
        </w:tc>
        <w:tc>
          <w:tcPr>
            <w:tcW w:w="1417" w:type="dxa"/>
            <w:vMerge w:val="restart"/>
            <w:vAlign w:val="center"/>
          </w:tcPr>
          <w:p w14:paraId="0CFE55BF">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病例日志模块</w:t>
            </w:r>
          </w:p>
        </w:tc>
        <w:tc>
          <w:tcPr>
            <w:tcW w:w="7229" w:type="dxa"/>
            <w:vAlign w:val="center"/>
          </w:tcPr>
          <w:p w14:paraId="70A6C7FF">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支持按照所属步骤查看病例日志。</w:t>
            </w:r>
          </w:p>
        </w:tc>
      </w:tr>
      <w:tr w14:paraId="58C5D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613689D3">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5B427BEC">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6DD46DD3">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支持记录每个步骤涉及的关键信息，包括操作时间、操作人、所属步骤、操作对象、医嘱类型、操作类型、具体内容、IP。</w:t>
            </w:r>
          </w:p>
        </w:tc>
      </w:tr>
      <w:tr w14:paraId="644AB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restart"/>
            <w:vAlign w:val="center"/>
          </w:tcPr>
          <w:p w14:paraId="7B510039">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质量控制模块</w:t>
            </w:r>
          </w:p>
        </w:tc>
        <w:tc>
          <w:tcPr>
            <w:tcW w:w="1417" w:type="dxa"/>
            <w:vMerge w:val="restart"/>
            <w:vAlign w:val="center"/>
          </w:tcPr>
          <w:p w14:paraId="204D7145">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质量控制模块</w:t>
            </w:r>
          </w:p>
        </w:tc>
        <w:tc>
          <w:tcPr>
            <w:tcW w:w="7229" w:type="dxa"/>
            <w:vAlign w:val="center"/>
          </w:tcPr>
          <w:p w14:paraId="0838FD2D">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▲提供符合三甲医院复审要求的质控指标和科室管理的统计分析功能，并提供病理实验室质控，指标列表，质控指标包括（</w:t>
            </w:r>
            <w:r>
              <w:rPr>
                <w:rFonts w:hint="eastAsia" w:ascii="宋体" w:hAnsi="宋体" w:cs="宋体"/>
                <w:kern w:val="0"/>
                <w:sz w:val="21"/>
                <w:szCs w:val="21"/>
                <w:highlight w:val="none"/>
                <w:lang w:val="en-US" w:eastAsia="zh-CN"/>
              </w:rPr>
              <w:t>投标时需提供以下16个指标的软件功能截图作为证明材料</w:t>
            </w:r>
            <w:r>
              <w:rPr>
                <w:rFonts w:hint="eastAsia" w:ascii="宋体" w:hAnsi="宋体" w:eastAsia="宋体" w:cs="宋体"/>
                <w:kern w:val="0"/>
                <w:sz w:val="21"/>
                <w:szCs w:val="21"/>
                <w:highlight w:val="none"/>
              </w:rPr>
              <w:t>）：</w:t>
            </w:r>
          </w:p>
          <w:p w14:paraId="4D9AE6B7">
            <w:pPr>
              <w:keepNext w:val="0"/>
              <w:keepLines w:val="0"/>
              <w:pageBreakBefore w:val="0"/>
              <w:widowControl/>
              <w:numPr>
                <w:ilvl w:val="0"/>
                <w:numId w:val="2"/>
              </w:numPr>
              <w:shd w:val="clear"/>
              <w:kinsoku/>
              <w:wordWrap/>
              <w:overflowPunct/>
              <w:topLinePunct w:val="0"/>
              <w:autoSpaceDE/>
              <w:autoSpaceDN/>
              <w:bidi w:val="0"/>
              <w:spacing w:line="240" w:lineRule="auto"/>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百张床位医师数</w:t>
            </w:r>
          </w:p>
          <w:p w14:paraId="3AEB920B">
            <w:pPr>
              <w:keepNext w:val="0"/>
              <w:keepLines w:val="0"/>
              <w:pageBreakBefore w:val="0"/>
              <w:widowControl/>
              <w:numPr>
                <w:ilvl w:val="0"/>
                <w:numId w:val="2"/>
              </w:numPr>
              <w:shd w:val="clear"/>
              <w:kinsoku/>
              <w:wordWrap/>
              <w:overflowPunct/>
              <w:topLinePunct w:val="0"/>
              <w:autoSpaceDE/>
              <w:autoSpaceDN/>
              <w:bidi w:val="0"/>
              <w:spacing w:line="240" w:lineRule="auto"/>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百张床位技师数</w:t>
            </w:r>
          </w:p>
          <w:p w14:paraId="340AE00F">
            <w:pPr>
              <w:keepNext w:val="0"/>
              <w:keepLines w:val="0"/>
              <w:pageBreakBefore w:val="0"/>
              <w:widowControl/>
              <w:numPr>
                <w:ilvl w:val="0"/>
                <w:numId w:val="2"/>
              </w:numPr>
              <w:shd w:val="clear"/>
              <w:kinsoku/>
              <w:wordWrap/>
              <w:overflowPunct/>
              <w:topLinePunct w:val="0"/>
              <w:autoSpaceDE/>
              <w:autoSpaceDN/>
              <w:bidi w:val="0"/>
              <w:spacing w:line="240" w:lineRule="auto"/>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HE切片优良率</w:t>
            </w:r>
          </w:p>
          <w:p w14:paraId="787AF9BA">
            <w:pPr>
              <w:keepNext w:val="0"/>
              <w:keepLines w:val="0"/>
              <w:pageBreakBefore w:val="0"/>
              <w:widowControl/>
              <w:numPr>
                <w:ilvl w:val="0"/>
                <w:numId w:val="2"/>
              </w:numPr>
              <w:shd w:val="clear"/>
              <w:kinsoku/>
              <w:wordWrap/>
              <w:overflowPunct/>
              <w:topLinePunct w:val="0"/>
              <w:autoSpaceDE/>
              <w:autoSpaceDN/>
              <w:bidi w:val="0"/>
              <w:spacing w:line="240" w:lineRule="auto"/>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特检切片优良率</w:t>
            </w:r>
          </w:p>
          <w:p w14:paraId="52A554ED">
            <w:pPr>
              <w:keepNext w:val="0"/>
              <w:keepLines w:val="0"/>
              <w:pageBreakBefore w:val="0"/>
              <w:widowControl/>
              <w:numPr>
                <w:ilvl w:val="0"/>
                <w:numId w:val="2"/>
              </w:numPr>
              <w:shd w:val="clear"/>
              <w:kinsoku/>
              <w:wordWrap/>
              <w:overflowPunct/>
              <w:topLinePunct w:val="0"/>
              <w:autoSpaceDE/>
              <w:autoSpaceDN/>
              <w:bidi w:val="0"/>
              <w:spacing w:line="240" w:lineRule="auto"/>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标本规范固定率（分母需设置为病例数，非标本袋数，能一键导出是哪些病例固定不规范及原因）</w:t>
            </w:r>
          </w:p>
          <w:p w14:paraId="0CAF9986">
            <w:pPr>
              <w:keepNext w:val="0"/>
              <w:keepLines w:val="0"/>
              <w:pageBreakBefore w:val="0"/>
              <w:widowControl/>
              <w:numPr>
                <w:ilvl w:val="0"/>
                <w:numId w:val="2"/>
              </w:numPr>
              <w:shd w:val="clear"/>
              <w:kinsoku/>
              <w:wordWrap/>
              <w:overflowPunct/>
              <w:topLinePunct w:val="0"/>
              <w:autoSpaceDE/>
              <w:autoSpaceDN/>
              <w:bidi w:val="0"/>
              <w:spacing w:line="240" w:lineRule="auto"/>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术中冰冻及时率（显示冰冻流程所有时间节点）</w:t>
            </w:r>
          </w:p>
          <w:p w14:paraId="3740A3A6">
            <w:pPr>
              <w:keepNext w:val="0"/>
              <w:keepLines w:val="0"/>
              <w:pageBreakBefore w:val="0"/>
              <w:widowControl/>
              <w:numPr>
                <w:ilvl w:val="0"/>
                <w:numId w:val="2"/>
              </w:numPr>
              <w:shd w:val="clear"/>
              <w:kinsoku/>
              <w:wordWrap/>
              <w:overflowPunct/>
              <w:topLinePunct w:val="0"/>
              <w:autoSpaceDE/>
              <w:autoSpaceDN/>
              <w:bidi w:val="0"/>
              <w:spacing w:line="240" w:lineRule="auto"/>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组织诊断及时率</w:t>
            </w:r>
          </w:p>
          <w:p w14:paraId="417648B0">
            <w:pPr>
              <w:keepNext w:val="0"/>
              <w:keepLines w:val="0"/>
              <w:pageBreakBefore w:val="0"/>
              <w:widowControl/>
              <w:numPr>
                <w:ilvl w:val="0"/>
                <w:numId w:val="2"/>
              </w:numPr>
              <w:shd w:val="clear"/>
              <w:kinsoku/>
              <w:wordWrap/>
              <w:overflowPunct/>
              <w:topLinePunct w:val="0"/>
              <w:autoSpaceDE/>
              <w:autoSpaceDN/>
              <w:bidi w:val="0"/>
              <w:spacing w:line="240" w:lineRule="auto"/>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细胞诊断及时率</w:t>
            </w:r>
          </w:p>
          <w:p w14:paraId="1B0EE52D">
            <w:pPr>
              <w:keepNext w:val="0"/>
              <w:keepLines w:val="0"/>
              <w:pageBreakBefore w:val="0"/>
              <w:widowControl/>
              <w:numPr>
                <w:ilvl w:val="0"/>
                <w:numId w:val="2"/>
              </w:numPr>
              <w:shd w:val="clear"/>
              <w:kinsoku/>
              <w:wordWrap/>
              <w:overflowPunct/>
              <w:topLinePunct w:val="0"/>
              <w:autoSpaceDE/>
              <w:autoSpaceDN/>
              <w:bidi w:val="0"/>
              <w:spacing w:line="240" w:lineRule="auto"/>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分子室内合格率</w:t>
            </w:r>
          </w:p>
          <w:p w14:paraId="34893D09">
            <w:pPr>
              <w:keepNext w:val="0"/>
              <w:keepLines w:val="0"/>
              <w:pageBreakBefore w:val="0"/>
              <w:widowControl/>
              <w:numPr>
                <w:ilvl w:val="0"/>
                <w:numId w:val="2"/>
              </w:numPr>
              <w:shd w:val="clear"/>
              <w:kinsoku/>
              <w:wordWrap/>
              <w:overflowPunct/>
              <w:topLinePunct w:val="0"/>
              <w:autoSpaceDE/>
              <w:autoSpaceDN/>
              <w:bidi w:val="0"/>
              <w:spacing w:line="240" w:lineRule="auto"/>
              <w:ind w:left="363" w:hanging="363"/>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分子室间合格率</w:t>
            </w:r>
          </w:p>
          <w:p w14:paraId="465EA0AA">
            <w:pPr>
              <w:keepNext w:val="0"/>
              <w:keepLines w:val="0"/>
              <w:pageBreakBefore w:val="0"/>
              <w:widowControl/>
              <w:numPr>
                <w:ilvl w:val="0"/>
                <w:numId w:val="2"/>
              </w:numPr>
              <w:shd w:val="clear"/>
              <w:kinsoku/>
              <w:wordWrap/>
              <w:overflowPunct/>
              <w:topLinePunct w:val="0"/>
              <w:autoSpaceDE/>
              <w:autoSpaceDN/>
              <w:bidi w:val="0"/>
              <w:spacing w:line="240" w:lineRule="auto"/>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免疫组化合格率</w:t>
            </w:r>
          </w:p>
          <w:p w14:paraId="35972538">
            <w:pPr>
              <w:keepNext w:val="0"/>
              <w:keepLines w:val="0"/>
              <w:pageBreakBefore w:val="0"/>
              <w:widowControl/>
              <w:numPr>
                <w:ilvl w:val="0"/>
                <w:numId w:val="2"/>
              </w:numPr>
              <w:shd w:val="clear"/>
              <w:kinsoku/>
              <w:wordWrap/>
              <w:overflowPunct/>
              <w:topLinePunct w:val="0"/>
              <w:autoSpaceDE/>
              <w:autoSpaceDN/>
              <w:bidi w:val="0"/>
              <w:spacing w:line="240" w:lineRule="auto"/>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细胞诊断符合率</w:t>
            </w:r>
          </w:p>
          <w:p w14:paraId="129C09F5">
            <w:pPr>
              <w:keepNext w:val="0"/>
              <w:keepLines w:val="0"/>
              <w:pageBreakBefore w:val="0"/>
              <w:widowControl/>
              <w:numPr>
                <w:ilvl w:val="0"/>
                <w:numId w:val="2"/>
              </w:numPr>
              <w:shd w:val="clear"/>
              <w:kinsoku/>
              <w:wordWrap/>
              <w:overflowPunct/>
              <w:topLinePunct w:val="0"/>
              <w:autoSpaceDE/>
              <w:autoSpaceDN/>
              <w:bidi w:val="0"/>
              <w:spacing w:line="240" w:lineRule="auto"/>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常规冰冻符合率</w:t>
            </w:r>
          </w:p>
          <w:p w14:paraId="59ECA96B">
            <w:pPr>
              <w:keepNext w:val="0"/>
              <w:keepLines w:val="0"/>
              <w:pageBreakBefore w:val="0"/>
              <w:widowControl/>
              <w:numPr>
                <w:ilvl w:val="0"/>
                <w:numId w:val="2"/>
              </w:numPr>
              <w:shd w:val="clear"/>
              <w:kinsoku/>
              <w:wordWrap/>
              <w:overflowPunct/>
              <w:topLinePunct w:val="0"/>
              <w:autoSpaceDE/>
              <w:autoSpaceDN/>
              <w:bidi w:val="0"/>
              <w:spacing w:line="240" w:lineRule="auto"/>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细胞学制片技术抽检优良率</w:t>
            </w:r>
          </w:p>
          <w:p w14:paraId="7ED42B69">
            <w:pPr>
              <w:keepNext w:val="0"/>
              <w:keepLines w:val="0"/>
              <w:pageBreakBefore w:val="0"/>
              <w:widowControl/>
              <w:numPr>
                <w:ilvl w:val="0"/>
                <w:numId w:val="2"/>
              </w:numPr>
              <w:shd w:val="clear"/>
              <w:kinsoku/>
              <w:wordWrap/>
              <w:overflowPunct/>
              <w:topLinePunct w:val="0"/>
              <w:autoSpaceDE/>
              <w:autoSpaceDN/>
              <w:bidi w:val="0"/>
              <w:spacing w:line="240" w:lineRule="auto"/>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免疫组化制片技术抽检优良率</w:t>
            </w:r>
          </w:p>
          <w:p w14:paraId="465E3990">
            <w:pPr>
              <w:keepNext w:val="0"/>
              <w:keepLines w:val="0"/>
              <w:pageBreakBefore w:val="0"/>
              <w:widowControl/>
              <w:numPr>
                <w:ilvl w:val="0"/>
                <w:numId w:val="2"/>
              </w:numPr>
              <w:shd w:val="clear"/>
              <w:kinsoku/>
              <w:wordWrap/>
              <w:overflowPunct/>
              <w:topLinePunct w:val="0"/>
              <w:autoSpaceDE/>
              <w:autoSpaceDN/>
              <w:bidi w:val="0"/>
              <w:spacing w:line="240" w:lineRule="auto"/>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HE切片技术抽检优良率</w:t>
            </w:r>
          </w:p>
        </w:tc>
      </w:tr>
      <w:tr w14:paraId="14840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1661BC36">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60A3BB98">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43DE6AD8">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支持选定时间段、统计时间维度、不达标病例详细信息，针对抽检项目可创建质控任务，质控结果可以一键导出，且支持持续追踪改进点。</w:t>
            </w:r>
          </w:p>
        </w:tc>
      </w:tr>
      <w:tr w14:paraId="3E8F5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restart"/>
            <w:vAlign w:val="center"/>
          </w:tcPr>
          <w:p w14:paraId="5CE51913">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耗材管理模块</w:t>
            </w:r>
          </w:p>
        </w:tc>
        <w:tc>
          <w:tcPr>
            <w:tcW w:w="1417" w:type="dxa"/>
            <w:vMerge w:val="restart"/>
            <w:vAlign w:val="center"/>
          </w:tcPr>
          <w:p w14:paraId="6B8AB98B">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耗材管理模块</w:t>
            </w:r>
          </w:p>
        </w:tc>
        <w:tc>
          <w:tcPr>
            <w:tcW w:w="7229" w:type="dxa"/>
            <w:vAlign w:val="center"/>
          </w:tcPr>
          <w:p w14:paraId="4B32E9FF">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支持耗材分类管理，含危化品、常规试剂、免疫组化试剂等库别。</w:t>
            </w:r>
          </w:p>
        </w:tc>
      </w:tr>
      <w:tr w14:paraId="23C2F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5A4E4198">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156B75F4">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47F2B2D2">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支持添加、编辑、试剂耗材。并管理试剂耗材名称、库存阈值，计量单位、有效期、品牌、规格型号等消息，可按需求导出明细</w:t>
            </w:r>
            <w:r>
              <w:rPr>
                <w:rFonts w:hint="eastAsia" w:ascii="宋体" w:hAnsi="宋体" w:cs="宋体"/>
                <w:kern w:val="0"/>
                <w:sz w:val="21"/>
                <w:szCs w:val="21"/>
                <w:highlight w:val="none"/>
                <w:lang w:eastAsia="zh-CN"/>
              </w:rPr>
              <w:t>。</w:t>
            </w:r>
          </w:p>
        </w:tc>
      </w:tr>
      <w:tr w14:paraId="0C104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0A969EBE">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39E34A86">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3BC74952">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支持管理试剂耗材分类管理，含常规试剂、免疫组化试剂、危化品等，对当前试剂耗材进行分类归档，可按需求导出明细</w:t>
            </w:r>
            <w:r>
              <w:rPr>
                <w:rFonts w:hint="eastAsia" w:ascii="宋体" w:hAnsi="宋体" w:cs="宋体"/>
                <w:kern w:val="0"/>
                <w:sz w:val="21"/>
                <w:szCs w:val="21"/>
                <w:highlight w:val="none"/>
                <w:lang w:eastAsia="zh-CN"/>
              </w:rPr>
              <w:t>。</w:t>
            </w:r>
          </w:p>
        </w:tc>
      </w:tr>
      <w:tr w14:paraId="393F0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551D0277">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7364D288">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76F9078A">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支持管理试剂耗材出库，对批次号、入库数量、入库价格、入库人等信息进行管理，可按需求导出明细</w:t>
            </w:r>
            <w:r>
              <w:rPr>
                <w:rFonts w:hint="eastAsia" w:ascii="宋体" w:hAnsi="宋体" w:cs="宋体"/>
                <w:kern w:val="0"/>
                <w:sz w:val="21"/>
                <w:szCs w:val="21"/>
                <w:highlight w:val="none"/>
                <w:lang w:eastAsia="zh-CN"/>
              </w:rPr>
              <w:t>。</w:t>
            </w:r>
          </w:p>
        </w:tc>
      </w:tr>
      <w:tr w14:paraId="0EA51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325AC580">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215BBFDC">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7D52D780">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支持管理试剂耗材出库，对出库数量、剩余数量、领用部门、批次号等信息进行管理，可按需求导出明细</w:t>
            </w:r>
            <w:r>
              <w:rPr>
                <w:rFonts w:hint="eastAsia" w:ascii="宋体" w:hAnsi="宋体" w:cs="宋体"/>
                <w:kern w:val="0"/>
                <w:sz w:val="21"/>
                <w:szCs w:val="21"/>
                <w:highlight w:val="none"/>
                <w:lang w:eastAsia="zh-CN"/>
              </w:rPr>
              <w:t>。</w:t>
            </w:r>
          </w:p>
        </w:tc>
      </w:tr>
      <w:tr w14:paraId="69836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2C89B551">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4948D348">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288661BB">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试剂验证功能，支持对不同试剂、试剂进行试剂验证，可按需求导出明细。</w:t>
            </w:r>
          </w:p>
        </w:tc>
      </w:tr>
      <w:tr w14:paraId="2C3F4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restart"/>
            <w:vAlign w:val="center"/>
          </w:tcPr>
          <w:p w14:paraId="101B0DD4">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权限管理模块</w:t>
            </w:r>
          </w:p>
        </w:tc>
        <w:tc>
          <w:tcPr>
            <w:tcW w:w="1417" w:type="dxa"/>
            <w:vMerge w:val="restart"/>
            <w:vAlign w:val="center"/>
          </w:tcPr>
          <w:p w14:paraId="18D7A26D">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权限管理模块</w:t>
            </w:r>
          </w:p>
        </w:tc>
        <w:tc>
          <w:tcPr>
            <w:tcW w:w="7229" w:type="dxa"/>
            <w:vAlign w:val="center"/>
          </w:tcPr>
          <w:p w14:paraId="2798FC50">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应用系统</w:t>
            </w:r>
            <w:r>
              <w:rPr>
                <w:rFonts w:hint="eastAsia" w:ascii="宋体" w:hAnsi="宋体" w:cs="宋体"/>
                <w:kern w:val="0"/>
                <w:sz w:val="21"/>
                <w:szCs w:val="21"/>
                <w:highlight w:val="none"/>
                <w:lang w:eastAsia="zh-CN"/>
              </w:rPr>
              <w:t>应</w:t>
            </w:r>
            <w:r>
              <w:rPr>
                <w:rFonts w:hint="eastAsia" w:ascii="宋体" w:hAnsi="宋体" w:eastAsia="宋体" w:cs="宋体"/>
                <w:kern w:val="0"/>
                <w:sz w:val="21"/>
                <w:szCs w:val="21"/>
                <w:highlight w:val="none"/>
              </w:rPr>
              <w:t>具有良好的安全机制完成用户的认证、授权和数据保密，提供包括单点登录、数据签名等在内的安全保障措施。</w:t>
            </w:r>
          </w:p>
        </w:tc>
      </w:tr>
      <w:tr w14:paraId="01867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66B63680">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4C12FCE0">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036005A7">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系统应提供错误日志、系统运行日志、用户操作日志</w:t>
            </w:r>
            <w:r>
              <w:rPr>
                <w:rFonts w:hint="eastAsia" w:ascii="宋体" w:hAnsi="宋体" w:cs="宋体"/>
                <w:kern w:val="0"/>
                <w:sz w:val="21"/>
                <w:szCs w:val="21"/>
                <w:highlight w:val="none"/>
                <w:lang w:eastAsia="zh-CN"/>
              </w:rPr>
              <w:t>。</w:t>
            </w:r>
          </w:p>
        </w:tc>
      </w:tr>
      <w:tr w14:paraId="36409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09B280DE">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4BF55C18">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15FDF6BD">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系统提供分功能展现用户菜单功能</w:t>
            </w:r>
            <w:r>
              <w:rPr>
                <w:rFonts w:hint="eastAsia" w:ascii="宋体" w:hAnsi="宋体" w:cs="宋体"/>
                <w:kern w:val="0"/>
                <w:sz w:val="21"/>
                <w:szCs w:val="21"/>
                <w:highlight w:val="none"/>
                <w:lang w:eastAsia="zh-CN"/>
              </w:rPr>
              <w:t>。</w:t>
            </w:r>
          </w:p>
        </w:tc>
      </w:tr>
      <w:tr w14:paraId="773F1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129C6C8C">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55FEE628">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26A7F818">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系统提供角色管理功能，管理角色的访问和使用权限，具有灵活的权限分配机制，实现不同用户的操作权限分配，如设置不同级别的医生相互之间的报告修改、审核的权限关系</w:t>
            </w:r>
            <w:r>
              <w:rPr>
                <w:rFonts w:hint="eastAsia" w:ascii="宋体" w:hAnsi="宋体" w:cs="宋体"/>
                <w:kern w:val="0"/>
                <w:sz w:val="21"/>
                <w:szCs w:val="21"/>
                <w:highlight w:val="none"/>
                <w:lang w:eastAsia="zh-CN"/>
              </w:rPr>
              <w:t>。</w:t>
            </w:r>
          </w:p>
        </w:tc>
      </w:tr>
      <w:tr w14:paraId="44B86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71507229">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1E37C2EA">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1B23E0FA">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系统提供用户管理功能，包括用户新增、删除、禁用</w:t>
            </w:r>
            <w:r>
              <w:rPr>
                <w:rFonts w:hint="eastAsia" w:ascii="宋体" w:hAnsi="宋体" w:cs="宋体"/>
                <w:kern w:val="0"/>
                <w:sz w:val="21"/>
                <w:szCs w:val="21"/>
                <w:highlight w:val="none"/>
                <w:lang w:eastAsia="zh-CN"/>
              </w:rPr>
              <w:t>。</w:t>
            </w:r>
          </w:p>
        </w:tc>
      </w:tr>
      <w:tr w14:paraId="622E5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restart"/>
            <w:vAlign w:val="center"/>
          </w:tcPr>
          <w:p w14:paraId="16F48B22">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院内病理会诊功能模块</w:t>
            </w:r>
          </w:p>
        </w:tc>
        <w:tc>
          <w:tcPr>
            <w:tcW w:w="1417" w:type="dxa"/>
            <w:vMerge w:val="restart"/>
            <w:vAlign w:val="center"/>
          </w:tcPr>
          <w:p w14:paraId="32B46262">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院内病理会诊功能模块</w:t>
            </w:r>
          </w:p>
        </w:tc>
        <w:tc>
          <w:tcPr>
            <w:tcW w:w="7229" w:type="dxa"/>
            <w:vAlign w:val="center"/>
          </w:tcPr>
          <w:p w14:paraId="7880FD91">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支持发起会诊申请单功能，需记录会诊发起人，会诊发起时间，会诊发起原因，发起对象、会诊结束时间、报告审核时间。</w:t>
            </w:r>
          </w:p>
        </w:tc>
      </w:tr>
      <w:tr w14:paraId="6C44B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3EDE5D8F">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2385894D">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70D3492E">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院内诊断平台主要功能：疑难病理会诊、冰冻会诊、病理质控。需提供会诊平台整体说明文档，包含各部分主要功能模块截图。</w:t>
            </w:r>
          </w:p>
        </w:tc>
      </w:tr>
      <w:tr w14:paraId="12607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5EBB6E08">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459103AC">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2F6C75C6">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可同时上传数字切片、大体图像、影像检查图像、病史信息、临床诊断、word文档说明、备注等，集成完整病例信息进行远程诊断。需提供申请端功能界面截图。</w:t>
            </w:r>
          </w:p>
        </w:tc>
      </w:tr>
      <w:tr w14:paraId="43EF1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5B0FB3E4">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65C5886A">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66F4C0E9">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扫描切片标签后，平台自动提取病人的各种资料，也可手动进行编辑。根据会诊需要，可选择多张切片扫描并一起上传至会诊平台。</w:t>
            </w:r>
          </w:p>
        </w:tc>
      </w:tr>
      <w:tr w14:paraId="3BA81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2D9E519D">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6690B0DB">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6177E29A">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支持多客户端访问，对客户端数量无限制。</w:t>
            </w:r>
          </w:p>
        </w:tc>
      </w:tr>
      <w:tr w14:paraId="156B5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35F35659">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00DD7D64">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3618596E">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平台对使用者权限进行严格管理，保证系统的安全性。</w:t>
            </w:r>
          </w:p>
        </w:tc>
      </w:tr>
      <w:tr w14:paraId="6A67A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5B917EFC">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2F4D4812">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22429664">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▲可进行病例的转诊、邀请会诊、退回、收藏</w:t>
            </w:r>
            <w:r>
              <w:rPr>
                <w:rFonts w:hint="eastAsia" w:ascii="宋体" w:hAnsi="宋体" w:cs="宋体"/>
                <w:kern w:val="0"/>
                <w:sz w:val="21"/>
                <w:szCs w:val="21"/>
                <w:highlight w:val="none"/>
                <w:lang w:eastAsia="zh-CN"/>
              </w:rPr>
              <w:t>（</w:t>
            </w:r>
            <w:r>
              <w:rPr>
                <w:rFonts w:hint="eastAsia" w:ascii="宋体" w:hAnsi="宋体" w:cs="宋体"/>
                <w:kern w:val="0"/>
                <w:sz w:val="21"/>
                <w:szCs w:val="21"/>
                <w:highlight w:val="none"/>
                <w:lang w:val="en-US" w:eastAsia="zh-CN"/>
              </w:rPr>
              <w:t>投标时</w:t>
            </w:r>
            <w:r>
              <w:rPr>
                <w:rFonts w:hint="eastAsia" w:ascii="宋体" w:hAnsi="宋体" w:eastAsia="宋体" w:cs="宋体"/>
                <w:kern w:val="0"/>
                <w:sz w:val="21"/>
                <w:szCs w:val="21"/>
                <w:highlight w:val="none"/>
              </w:rPr>
              <w:t>提供</w:t>
            </w:r>
            <w:r>
              <w:rPr>
                <w:rFonts w:hint="eastAsia" w:ascii="宋体" w:hAnsi="宋体" w:cs="宋体"/>
                <w:kern w:val="0"/>
                <w:sz w:val="21"/>
                <w:szCs w:val="21"/>
                <w:highlight w:val="none"/>
                <w:lang w:val="en-US" w:eastAsia="zh-CN"/>
              </w:rPr>
              <w:t>软件功能</w:t>
            </w:r>
            <w:r>
              <w:rPr>
                <w:rFonts w:hint="eastAsia" w:ascii="宋体" w:hAnsi="宋体" w:eastAsia="宋体" w:cs="宋体"/>
                <w:kern w:val="0"/>
                <w:sz w:val="21"/>
                <w:szCs w:val="21"/>
                <w:highlight w:val="none"/>
              </w:rPr>
              <w:t>截图</w:t>
            </w:r>
            <w:r>
              <w:rPr>
                <w:rFonts w:hint="eastAsia" w:ascii="宋体" w:hAnsi="宋体" w:cs="宋体"/>
                <w:kern w:val="0"/>
                <w:sz w:val="21"/>
                <w:szCs w:val="21"/>
                <w:highlight w:val="none"/>
                <w:lang w:val="en-US" w:eastAsia="zh-CN"/>
              </w:rPr>
              <w:t>作为证明材料</w:t>
            </w:r>
            <w:r>
              <w:rPr>
                <w:rFonts w:hint="eastAsia" w:ascii="宋体" w:hAnsi="宋体" w:cs="宋体"/>
                <w:kern w:val="0"/>
                <w:sz w:val="21"/>
                <w:szCs w:val="21"/>
                <w:highlight w:val="none"/>
                <w:lang w:eastAsia="zh-CN"/>
              </w:rPr>
              <w:t>）</w:t>
            </w:r>
            <w:r>
              <w:rPr>
                <w:rFonts w:hint="eastAsia" w:ascii="宋体" w:hAnsi="宋体" w:eastAsia="宋体" w:cs="宋体"/>
                <w:kern w:val="0"/>
                <w:sz w:val="21"/>
                <w:szCs w:val="21"/>
                <w:highlight w:val="none"/>
              </w:rPr>
              <w:t>。</w:t>
            </w:r>
          </w:p>
        </w:tc>
      </w:tr>
      <w:tr w14:paraId="46E9C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36A0C12F">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476D7E03">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0D09C6F3">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具有操作简单的用户界面。</w:t>
            </w:r>
            <w:bookmarkStart w:id="0" w:name="_GoBack"/>
            <w:bookmarkEnd w:id="0"/>
          </w:p>
        </w:tc>
      </w:tr>
      <w:tr w14:paraId="319C7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6398B619">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6D5C6C6C">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5BEF00CF">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▲支持内网会诊功能，实现跨院区内网沟通以及学习研讨功能，提供会诊记录描述界面，支持生成表格及导出</w:t>
            </w:r>
            <w:r>
              <w:rPr>
                <w:rFonts w:hint="eastAsia" w:ascii="宋体" w:hAnsi="宋体" w:cs="宋体"/>
                <w:kern w:val="0"/>
                <w:sz w:val="21"/>
                <w:szCs w:val="21"/>
                <w:highlight w:val="none"/>
                <w:lang w:eastAsia="zh-CN"/>
              </w:rPr>
              <w:t>（</w:t>
            </w:r>
            <w:r>
              <w:rPr>
                <w:rFonts w:hint="eastAsia" w:ascii="宋体" w:hAnsi="宋体" w:cs="宋体"/>
                <w:kern w:val="0"/>
                <w:sz w:val="21"/>
                <w:szCs w:val="21"/>
                <w:highlight w:val="none"/>
                <w:lang w:val="en-US" w:eastAsia="zh-CN"/>
              </w:rPr>
              <w:t>投标时</w:t>
            </w:r>
            <w:r>
              <w:rPr>
                <w:rFonts w:hint="eastAsia" w:ascii="宋体" w:hAnsi="宋体" w:eastAsia="宋体" w:cs="宋体"/>
                <w:kern w:val="0"/>
                <w:sz w:val="21"/>
                <w:szCs w:val="21"/>
                <w:highlight w:val="none"/>
              </w:rPr>
              <w:t>提供</w:t>
            </w:r>
            <w:r>
              <w:rPr>
                <w:rFonts w:hint="eastAsia" w:ascii="宋体" w:hAnsi="宋体" w:cs="宋体"/>
                <w:kern w:val="0"/>
                <w:sz w:val="21"/>
                <w:szCs w:val="21"/>
                <w:highlight w:val="none"/>
                <w:lang w:val="en-US" w:eastAsia="zh-CN"/>
              </w:rPr>
              <w:t>软件功能</w:t>
            </w:r>
            <w:r>
              <w:rPr>
                <w:rFonts w:hint="eastAsia" w:ascii="宋体" w:hAnsi="宋体" w:eastAsia="宋体" w:cs="宋体"/>
                <w:kern w:val="0"/>
                <w:sz w:val="21"/>
                <w:szCs w:val="21"/>
                <w:highlight w:val="none"/>
              </w:rPr>
              <w:t>截图</w:t>
            </w:r>
            <w:r>
              <w:rPr>
                <w:rFonts w:hint="eastAsia" w:ascii="宋体" w:hAnsi="宋体" w:cs="宋体"/>
                <w:kern w:val="0"/>
                <w:sz w:val="21"/>
                <w:szCs w:val="21"/>
                <w:highlight w:val="none"/>
                <w:lang w:val="en-US" w:eastAsia="zh-CN"/>
              </w:rPr>
              <w:t>作为证明材料</w:t>
            </w:r>
            <w:r>
              <w:rPr>
                <w:rFonts w:hint="eastAsia" w:ascii="宋体" w:hAnsi="宋体" w:cs="宋体"/>
                <w:kern w:val="0"/>
                <w:sz w:val="21"/>
                <w:szCs w:val="21"/>
                <w:highlight w:val="none"/>
                <w:lang w:eastAsia="zh-CN"/>
              </w:rPr>
              <w:t>）</w:t>
            </w:r>
            <w:r>
              <w:rPr>
                <w:rFonts w:hint="eastAsia" w:ascii="宋体" w:hAnsi="宋体" w:eastAsia="宋体" w:cs="宋体"/>
                <w:kern w:val="0"/>
                <w:sz w:val="21"/>
                <w:szCs w:val="21"/>
                <w:highlight w:val="none"/>
              </w:rPr>
              <w:t>。</w:t>
            </w:r>
          </w:p>
        </w:tc>
      </w:tr>
      <w:tr w14:paraId="70763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restart"/>
            <w:vAlign w:val="center"/>
          </w:tcPr>
          <w:p w14:paraId="3124105A">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集成接口服务</w:t>
            </w:r>
          </w:p>
        </w:tc>
        <w:tc>
          <w:tcPr>
            <w:tcW w:w="1417" w:type="dxa"/>
            <w:vMerge w:val="restart"/>
            <w:vAlign w:val="center"/>
          </w:tcPr>
          <w:p w14:paraId="25DCFE3E">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集成接口服务</w:t>
            </w:r>
          </w:p>
        </w:tc>
        <w:tc>
          <w:tcPr>
            <w:tcW w:w="7229" w:type="dxa"/>
            <w:vAlign w:val="center"/>
          </w:tcPr>
          <w:p w14:paraId="28AC77B4">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需将现有系统中的病理数据等主要资料进行转移，整体迁移到新系统中，方便病理科对旧病例的查询，并提供历史病理检查的自动提示</w:t>
            </w:r>
            <w:r>
              <w:rPr>
                <w:rFonts w:hint="eastAsia" w:ascii="宋体" w:hAnsi="宋体" w:cs="宋体"/>
                <w:kern w:val="0"/>
                <w:sz w:val="21"/>
                <w:szCs w:val="21"/>
                <w:highlight w:val="none"/>
                <w:lang w:eastAsia="zh-CN"/>
              </w:rPr>
              <w:t>。</w:t>
            </w:r>
          </w:p>
        </w:tc>
      </w:tr>
      <w:tr w14:paraId="06774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28C1EDCB">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68121FE3">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49E65CC1">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▲支持对接实验室外部集成平台，自动获取病理申请单信息、回写病理送检状态</w:t>
            </w:r>
            <w:r>
              <w:rPr>
                <w:rFonts w:hint="eastAsia" w:ascii="宋体" w:hAnsi="宋体" w:cs="宋体"/>
                <w:kern w:val="0"/>
                <w:sz w:val="21"/>
                <w:szCs w:val="21"/>
                <w:highlight w:val="none"/>
                <w:lang w:eastAsia="zh-CN"/>
              </w:rPr>
              <w:t>（</w:t>
            </w:r>
            <w:r>
              <w:rPr>
                <w:rFonts w:hint="eastAsia" w:ascii="宋体" w:hAnsi="宋体" w:cs="宋体"/>
                <w:kern w:val="0"/>
                <w:sz w:val="21"/>
                <w:szCs w:val="21"/>
                <w:highlight w:val="none"/>
                <w:lang w:val="en-US" w:eastAsia="zh-CN"/>
              </w:rPr>
              <w:t>投标时</w:t>
            </w:r>
            <w:r>
              <w:rPr>
                <w:rFonts w:hint="eastAsia" w:ascii="宋体" w:hAnsi="宋体" w:eastAsia="宋体" w:cs="宋体"/>
                <w:kern w:val="0"/>
                <w:sz w:val="21"/>
                <w:szCs w:val="21"/>
                <w:highlight w:val="none"/>
              </w:rPr>
              <w:t>提供</w:t>
            </w:r>
            <w:r>
              <w:rPr>
                <w:rFonts w:hint="eastAsia" w:ascii="宋体" w:hAnsi="宋体" w:cs="宋体"/>
                <w:kern w:val="0"/>
                <w:sz w:val="21"/>
                <w:szCs w:val="21"/>
                <w:highlight w:val="none"/>
                <w:lang w:val="en-US" w:eastAsia="zh-CN"/>
              </w:rPr>
              <w:t>软件功能</w:t>
            </w:r>
            <w:r>
              <w:rPr>
                <w:rFonts w:hint="eastAsia" w:ascii="宋体" w:hAnsi="宋体" w:eastAsia="宋体" w:cs="宋体"/>
                <w:kern w:val="0"/>
                <w:sz w:val="21"/>
                <w:szCs w:val="21"/>
                <w:highlight w:val="none"/>
              </w:rPr>
              <w:t>截图</w:t>
            </w:r>
            <w:r>
              <w:rPr>
                <w:rFonts w:hint="eastAsia" w:ascii="宋体" w:hAnsi="宋体" w:cs="宋体"/>
                <w:kern w:val="0"/>
                <w:sz w:val="21"/>
                <w:szCs w:val="21"/>
                <w:highlight w:val="none"/>
                <w:lang w:val="en-US" w:eastAsia="zh-CN"/>
              </w:rPr>
              <w:t>作为证明材料</w:t>
            </w:r>
            <w:r>
              <w:rPr>
                <w:rFonts w:hint="eastAsia" w:ascii="宋体" w:hAnsi="宋体" w:cs="宋体"/>
                <w:kern w:val="0"/>
                <w:sz w:val="21"/>
                <w:szCs w:val="21"/>
                <w:highlight w:val="none"/>
                <w:lang w:eastAsia="zh-CN"/>
              </w:rPr>
              <w:t>）。</w:t>
            </w:r>
          </w:p>
        </w:tc>
      </w:tr>
      <w:tr w14:paraId="7995B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796CBFB5">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2E41D2E4">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3318CC13">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支持对接标签打号机，实现各环节通过系统便捷打印系统数据标签</w:t>
            </w:r>
            <w:r>
              <w:rPr>
                <w:rFonts w:hint="eastAsia" w:ascii="宋体" w:hAnsi="宋体" w:cs="宋体"/>
                <w:kern w:val="0"/>
                <w:sz w:val="21"/>
                <w:szCs w:val="21"/>
                <w:highlight w:val="none"/>
                <w:lang w:eastAsia="zh-CN"/>
              </w:rPr>
              <w:t>。</w:t>
            </w:r>
          </w:p>
        </w:tc>
      </w:tr>
      <w:tr w14:paraId="6CCFD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467C23E7">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400E37D2">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319A91E4">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支持对接</w:t>
            </w:r>
            <w:r>
              <w:rPr>
                <w:rFonts w:hint="eastAsia" w:ascii="宋体" w:hAnsi="宋体" w:cs="宋体"/>
                <w:kern w:val="0"/>
                <w:sz w:val="21"/>
                <w:szCs w:val="21"/>
                <w:highlight w:val="none"/>
                <w:lang w:eastAsia="zh-CN"/>
              </w:rPr>
              <w:t>多功能文档拍摄和视频展台</w:t>
            </w:r>
            <w:r>
              <w:rPr>
                <w:rFonts w:hint="eastAsia" w:ascii="宋体" w:hAnsi="宋体" w:eastAsia="宋体" w:cs="宋体"/>
                <w:kern w:val="0"/>
                <w:sz w:val="21"/>
                <w:szCs w:val="21"/>
                <w:highlight w:val="none"/>
              </w:rPr>
              <w:t>，可在登记阶段拍摄纸质申请单</w:t>
            </w:r>
            <w:r>
              <w:rPr>
                <w:rFonts w:hint="eastAsia" w:ascii="宋体" w:hAnsi="宋体" w:cs="宋体"/>
                <w:kern w:val="0"/>
                <w:sz w:val="21"/>
                <w:szCs w:val="21"/>
                <w:highlight w:val="none"/>
                <w:lang w:eastAsia="zh-CN"/>
              </w:rPr>
              <w:t>。</w:t>
            </w:r>
          </w:p>
        </w:tc>
      </w:tr>
      <w:tr w14:paraId="7A067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65D30D2A">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553637DC">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498F873B">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支持对接LIS、PACS、EMR、手术麻醉、数字切片文件管理系统等系统，便于病理医生在病理诊断中查阅患者临床资料</w:t>
            </w:r>
            <w:r>
              <w:rPr>
                <w:rFonts w:hint="eastAsia" w:ascii="宋体" w:hAnsi="宋体" w:cs="宋体"/>
                <w:kern w:val="0"/>
                <w:sz w:val="21"/>
                <w:szCs w:val="21"/>
                <w:highlight w:val="none"/>
                <w:lang w:eastAsia="zh-CN"/>
              </w:rPr>
              <w:t>。</w:t>
            </w:r>
          </w:p>
        </w:tc>
      </w:tr>
      <w:tr w14:paraId="13D9F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08868CDD">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6389247A">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25DECB9B">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支持对接光学摄像头或带标准TWAIN32接口的数码摄像头，可实时浏览、采集和保存镜下图像</w:t>
            </w:r>
            <w:r>
              <w:rPr>
                <w:rFonts w:hint="eastAsia" w:ascii="宋体" w:hAnsi="宋体" w:cs="宋体"/>
                <w:kern w:val="0"/>
                <w:sz w:val="21"/>
                <w:szCs w:val="21"/>
                <w:highlight w:val="none"/>
                <w:lang w:eastAsia="zh-CN"/>
              </w:rPr>
              <w:t>。</w:t>
            </w:r>
          </w:p>
        </w:tc>
      </w:tr>
      <w:tr w14:paraId="76522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3CE3E362">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4CEE1468">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54F3547B">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支持对接CA系统，提供电子签名功能</w:t>
            </w:r>
            <w:r>
              <w:rPr>
                <w:rFonts w:hint="eastAsia" w:ascii="宋体" w:hAnsi="宋体" w:cs="宋体"/>
                <w:kern w:val="0"/>
                <w:sz w:val="21"/>
                <w:szCs w:val="21"/>
                <w:highlight w:val="none"/>
                <w:lang w:eastAsia="zh-CN"/>
              </w:rPr>
              <w:t>。</w:t>
            </w:r>
          </w:p>
        </w:tc>
      </w:tr>
      <w:tr w14:paraId="515DD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6BC32066">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5369B127">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4BE1EE76">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支持对接短信平台，便于在特定场景下实现医患便利沟通</w:t>
            </w:r>
            <w:r>
              <w:rPr>
                <w:rFonts w:hint="eastAsia" w:ascii="宋体" w:hAnsi="宋体" w:cs="宋体"/>
                <w:kern w:val="0"/>
                <w:sz w:val="21"/>
                <w:szCs w:val="21"/>
                <w:highlight w:val="none"/>
                <w:lang w:eastAsia="zh-CN"/>
              </w:rPr>
              <w:t>。</w:t>
            </w:r>
          </w:p>
        </w:tc>
      </w:tr>
      <w:tr w14:paraId="322AE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689F26AD">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569E952E">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21C3B34B">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支持对接收费系统，实现收费信息同步，并在系统登记、特检管理、诊断模块提供病例收费详情的展示</w:t>
            </w:r>
            <w:r>
              <w:rPr>
                <w:rFonts w:hint="eastAsia" w:ascii="宋体" w:hAnsi="宋体" w:cs="宋体"/>
                <w:kern w:val="0"/>
                <w:sz w:val="21"/>
                <w:szCs w:val="21"/>
                <w:highlight w:val="none"/>
                <w:lang w:eastAsia="zh-CN"/>
              </w:rPr>
              <w:t>。</w:t>
            </w:r>
          </w:p>
        </w:tc>
      </w:tr>
      <w:tr w14:paraId="3F2E2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153324E1">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Merge w:val="continue"/>
            <w:vAlign w:val="center"/>
          </w:tcPr>
          <w:p w14:paraId="439BCEBB">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7229" w:type="dxa"/>
            <w:vAlign w:val="center"/>
          </w:tcPr>
          <w:p w14:paraId="2F003C24">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对接市面上现有的打号机、免疫组化仪、HE染色仪等</w:t>
            </w:r>
            <w:r>
              <w:rPr>
                <w:rFonts w:hint="eastAsia" w:ascii="宋体" w:hAnsi="宋体" w:cs="宋体"/>
                <w:kern w:val="0"/>
                <w:sz w:val="21"/>
                <w:szCs w:val="21"/>
                <w:highlight w:val="none"/>
                <w:lang w:eastAsia="zh-CN"/>
              </w:rPr>
              <w:t>。</w:t>
            </w:r>
          </w:p>
        </w:tc>
      </w:tr>
      <w:tr w14:paraId="4B533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14:paraId="0302DBAF">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其他</w:t>
            </w:r>
          </w:p>
        </w:tc>
        <w:tc>
          <w:tcPr>
            <w:tcW w:w="1417" w:type="dxa"/>
            <w:vAlign w:val="center"/>
          </w:tcPr>
          <w:p w14:paraId="45F24E58">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其他</w:t>
            </w:r>
          </w:p>
        </w:tc>
        <w:tc>
          <w:tcPr>
            <w:tcW w:w="7229" w:type="dxa"/>
            <w:vAlign w:val="center"/>
          </w:tcPr>
          <w:p w14:paraId="3B948E3F">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cs="宋体"/>
                <w:kern w:val="0"/>
                <w:sz w:val="21"/>
                <w:szCs w:val="21"/>
                <w:highlight w:val="none"/>
                <w:lang w:val="en-US" w:eastAsia="zh-CN"/>
              </w:rPr>
              <w:t>中标人能配合采购人</w:t>
            </w:r>
            <w:r>
              <w:rPr>
                <w:rFonts w:hint="eastAsia" w:ascii="宋体" w:hAnsi="宋体" w:eastAsia="宋体" w:cs="宋体"/>
                <w:kern w:val="0"/>
                <w:sz w:val="21"/>
                <w:szCs w:val="21"/>
                <w:highlight w:val="none"/>
              </w:rPr>
              <w:t>通过三甲</w:t>
            </w:r>
            <w:r>
              <w:rPr>
                <w:rFonts w:hint="eastAsia" w:ascii="宋体" w:hAnsi="宋体" w:cs="宋体"/>
                <w:kern w:val="0"/>
                <w:sz w:val="21"/>
                <w:szCs w:val="21"/>
                <w:highlight w:val="none"/>
                <w:lang w:val="en-US" w:eastAsia="zh-CN"/>
              </w:rPr>
              <w:t>医院</w:t>
            </w:r>
            <w:r>
              <w:rPr>
                <w:rFonts w:hint="eastAsia" w:ascii="宋体" w:hAnsi="宋体" w:eastAsia="宋体" w:cs="宋体"/>
                <w:kern w:val="0"/>
                <w:sz w:val="21"/>
                <w:szCs w:val="21"/>
                <w:highlight w:val="none"/>
              </w:rPr>
              <w:t>评审，</w:t>
            </w:r>
            <w:r>
              <w:rPr>
                <w:rFonts w:hint="eastAsia" w:ascii="宋体" w:hAnsi="宋体" w:cs="宋体"/>
                <w:kern w:val="0"/>
                <w:sz w:val="21"/>
                <w:szCs w:val="21"/>
                <w:highlight w:val="none"/>
                <w:lang w:val="en-US" w:eastAsia="zh-CN"/>
              </w:rPr>
              <w:t>并配合采购人</w:t>
            </w:r>
            <w:r>
              <w:rPr>
                <w:rFonts w:hint="eastAsia" w:ascii="宋体" w:hAnsi="宋体" w:eastAsia="宋体" w:cs="宋体"/>
                <w:kern w:val="0"/>
                <w:sz w:val="21"/>
                <w:szCs w:val="21"/>
                <w:highlight w:val="none"/>
              </w:rPr>
              <w:t>通过CNAS</w:t>
            </w:r>
            <w:r>
              <w:rPr>
                <w:rFonts w:hint="eastAsia" w:ascii="宋体" w:hAnsi="宋体" w:cs="宋体"/>
                <w:kern w:val="0"/>
                <w:szCs w:val="21"/>
                <w:highlight w:val="none"/>
              </w:rPr>
              <w:t>医学实验室</w:t>
            </w:r>
            <w:r>
              <w:rPr>
                <w:rFonts w:hint="eastAsia" w:ascii="宋体" w:hAnsi="宋体" w:cs="宋体"/>
                <w:kern w:val="0"/>
                <w:szCs w:val="21"/>
                <w:highlight w:val="none"/>
                <w:lang w:val="en-US" w:eastAsia="zh-CN"/>
              </w:rPr>
              <w:t>认可</w:t>
            </w:r>
            <w:r>
              <w:rPr>
                <w:rFonts w:hint="eastAsia" w:ascii="宋体" w:hAnsi="宋体" w:eastAsia="宋体" w:cs="宋体"/>
                <w:kern w:val="0"/>
                <w:sz w:val="21"/>
                <w:szCs w:val="21"/>
                <w:highlight w:val="none"/>
              </w:rPr>
              <w:t>，协助实验室完善质量管理体系。</w:t>
            </w:r>
          </w:p>
        </w:tc>
      </w:tr>
      <w:tr w14:paraId="1133A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14:paraId="46F9C9EC">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报告归档</w:t>
            </w:r>
          </w:p>
        </w:tc>
        <w:tc>
          <w:tcPr>
            <w:tcW w:w="1417" w:type="dxa"/>
            <w:vAlign w:val="center"/>
          </w:tcPr>
          <w:p w14:paraId="330DFF02">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报告归档</w:t>
            </w:r>
          </w:p>
        </w:tc>
        <w:tc>
          <w:tcPr>
            <w:tcW w:w="7229" w:type="dxa"/>
            <w:vAlign w:val="center"/>
          </w:tcPr>
          <w:p w14:paraId="4E48932E">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系统支持报告生成PDF格式进行归档。</w:t>
            </w:r>
          </w:p>
        </w:tc>
      </w:tr>
      <w:tr w14:paraId="49F3B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restart"/>
            <w:vAlign w:val="center"/>
          </w:tcPr>
          <w:p w14:paraId="72764727">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数据管理</w:t>
            </w:r>
          </w:p>
        </w:tc>
        <w:tc>
          <w:tcPr>
            <w:tcW w:w="1417" w:type="dxa"/>
            <w:vAlign w:val="center"/>
          </w:tcPr>
          <w:p w14:paraId="0E01D89E">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数据采集与治理</w:t>
            </w:r>
          </w:p>
        </w:tc>
        <w:tc>
          <w:tcPr>
            <w:tcW w:w="7229" w:type="dxa"/>
            <w:vAlign w:val="center"/>
          </w:tcPr>
          <w:p w14:paraId="3509EE60">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能够采集</w:t>
            </w:r>
            <w:r>
              <w:rPr>
                <w:rFonts w:hint="eastAsia" w:ascii="宋体" w:hAnsi="宋体" w:cs="宋体"/>
                <w:kern w:val="0"/>
                <w:sz w:val="21"/>
                <w:szCs w:val="21"/>
                <w:highlight w:val="none"/>
                <w:lang w:eastAsia="zh-CN"/>
              </w:rPr>
              <w:t>采购人</w:t>
            </w:r>
            <w:r>
              <w:rPr>
                <w:rFonts w:hint="eastAsia" w:ascii="宋体" w:hAnsi="宋体" w:eastAsia="宋体" w:cs="宋体"/>
                <w:kern w:val="0"/>
                <w:sz w:val="21"/>
                <w:szCs w:val="21"/>
                <w:highlight w:val="none"/>
              </w:rPr>
              <w:t>所有</w:t>
            </w:r>
            <w:r>
              <w:rPr>
                <w:rFonts w:hint="eastAsia" w:ascii="宋体" w:hAnsi="宋体" w:cs="宋体"/>
                <w:kern w:val="0"/>
                <w:sz w:val="21"/>
                <w:szCs w:val="21"/>
                <w:highlight w:val="none"/>
                <w:lang w:val="en-US" w:eastAsia="zh-CN"/>
              </w:rPr>
              <w:t>医技</w:t>
            </w:r>
            <w:r>
              <w:rPr>
                <w:rFonts w:hint="eastAsia" w:ascii="宋体" w:hAnsi="宋体" w:eastAsia="宋体" w:cs="宋体"/>
                <w:kern w:val="0"/>
                <w:sz w:val="21"/>
                <w:szCs w:val="21"/>
                <w:highlight w:val="none"/>
              </w:rPr>
              <w:t>科室数据，并提供大数据清洗服务，满足数据的分析与应用要求。</w:t>
            </w:r>
          </w:p>
        </w:tc>
      </w:tr>
      <w:tr w14:paraId="7BCB2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26911AD5">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Align w:val="center"/>
          </w:tcPr>
          <w:p w14:paraId="1B7513D6">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数据检索</w:t>
            </w:r>
          </w:p>
        </w:tc>
        <w:tc>
          <w:tcPr>
            <w:tcW w:w="7229" w:type="dxa"/>
            <w:vAlign w:val="center"/>
          </w:tcPr>
          <w:p w14:paraId="4D7C3D90">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提供高效的大数据检索功能，可以按照不同字段的复合查询进行检索。</w:t>
            </w:r>
          </w:p>
        </w:tc>
      </w:tr>
      <w:tr w14:paraId="01F05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16C45687">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tcPr>
          <w:p w14:paraId="49FEF334">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肿瘤标签库</w:t>
            </w:r>
          </w:p>
        </w:tc>
        <w:tc>
          <w:tcPr>
            <w:tcW w:w="7229" w:type="dxa"/>
          </w:tcPr>
          <w:p w14:paraId="5D91C8E0">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提供WHO分级诊断标签，诊断时可对病例进行精细化标签管理，诊断标签可用于科室的诊断业务的相关查询与分析，并支持统计。此外，诊断时可以进行标签分类，并查询某一标签当前在全库中出现的频次和对应病例</w:t>
            </w:r>
            <w:r>
              <w:rPr>
                <w:sz w:val="21"/>
                <w:highlight w:val="none"/>
              </w:rPr>
              <w:t>（投标时提供视频演示）</w:t>
            </w:r>
            <w:r>
              <w:rPr>
                <w:rFonts w:hint="eastAsia" w:ascii="宋体" w:hAnsi="宋体" w:eastAsia="宋体" w:cs="宋体"/>
                <w:kern w:val="0"/>
                <w:sz w:val="21"/>
                <w:szCs w:val="21"/>
                <w:highlight w:val="none"/>
              </w:rPr>
              <w:t>。</w:t>
            </w:r>
          </w:p>
        </w:tc>
      </w:tr>
      <w:tr w14:paraId="55971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restart"/>
            <w:vAlign w:val="center"/>
          </w:tcPr>
          <w:p w14:paraId="6B763E7D">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科室文案工作</w:t>
            </w:r>
          </w:p>
        </w:tc>
        <w:tc>
          <w:tcPr>
            <w:tcW w:w="1417" w:type="dxa"/>
            <w:vAlign w:val="center"/>
          </w:tcPr>
          <w:p w14:paraId="52E88FD6">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排班管理</w:t>
            </w:r>
          </w:p>
        </w:tc>
        <w:tc>
          <w:tcPr>
            <w:tcW w:w="7229" w:type="dxa"/>
            <w:vAlign w:val="center"/>
          </w:tcPr>
          <w:p w14:paraId="093C1D14">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能够方便</w:t>
            </w:r>
            <w:r>
              <w:rPr>
                <w:rFonts w:hint="eastAsia" w:ascii="宋体" w:hAnsi="宋体" w:cs="宋体"/>
                <w:kern w:val="0"/>
                <w:sz w:val="21"/>
                <w:szCs w:val="21"/>
                <w:highlight w:val="none"/>
                <w:lang w:eastAsia="zh-CN"/>
              </w:rPr>
              <w:t>地</w:t>
            </w:r>
            <w:r>
              <w:rPr>
                <w:rFonts w:hint="eastAsia" w:ascii="宋体" w:hAnsi="宋体" w:eastAsia="宋体" w:cs="宋体"/>
                <w:kern w:val="0"/>
                <w:sz w:val="21"/>
                <w:szCs w:val="21"/>
                <w:highlight w:val="none"/>
              </w:rPr>
              <w:t>执行排班</w:t>
            </w:r>
            <w:r>
              <w:rPr>
                <w:rFonts w:hint="eastAsia" w:ascii="宋体" w:hAnsi="宋体" w:cs="宋体"/>
                <w:kern w:val="0"/>
                <w:sz w:val="21"/>
                <w:szCs w:val="21"/>
                <w:highlight w:val="none"/>
                <w:lang w:eastAsia="zh-CN"/>
              </w:rPr>
              <w:t>。</w:t>
            </w:r>
          </w:p>
        </w:tc>
      </w:tr>
      <w:tr w14:paraId="575B2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7F89E163">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Align w:val="center"/>
          </w:tcPr>
          <w:p w14:paraId="3287E41C">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交接班管理</w:t>
            </w:r>
          </w:p>
        </w:tc>
        <w:tc>
          <w:tcPr>
            <w:tcW w:w="7229" w:type="dxa"/>
            <w:vAlign w:val="center"/>
          </w:tcPr>
          <w:p w14:paraId="7023C0E2">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能够电子化管理交接班记录。</w:t>
            </w:r>
          </w:p>
        </w:tc>
      </w:tr>
      <w:tr w14:paraId="47B57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359AAB3E">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Align w:val="center"/>
          </w:tcPr>
          <w:p w14:paraId="0A036551">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科室授课计划</w:t>
            </w:r>
          </w:p>
        </w:tc>
        <w:tc>
          <w:tcPr>
            <w:tcW w:w="7229" w:type="dxa"/>
            <w:vAlign w:val="center"/>
          </w:tcPr>
          <w:p w14:paraId="12F7448B">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能够将科室的授课计划等以日历的形式展示，并提醒授课老师及学员及时参加。</w:t>
            </w:r>
          </w:p>
        </w:tc>
      </w:tr>
      <w:tr w14:paraId="1A2D6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14:paraId="5CA09445">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集成浏览</w:t>
            </w:r>
          </w:p>
        </w:tc>
        <w:tc>
          <w:tcPr>
            <w:tcW w:w="1417" w:type="dxa"/>
            <w:vAlign w:val="center"/>
          </w:tcPr>
          <w:p w14:paraId="592E1201">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数据调阅</w:t>
            </w:r>
          </w:p>
        </w:tc>
        <w:tc>
          <w:tcPr>
            <w:tcW w:w="7229" w:type="dxa"/>
            <w:vAlign w:val="center"/>
          </w:tcPr>
          <w:p w14:paraId="2FA536EC">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实现检查过程中对不同院区、不同业务系统的医疗文书、检查结果的调阅，满足检查部门工作过程中对辅助检查的调阅需求，实现信息化闭环管理。能够在同一界面内查询患者各项历史记录信息。患者能够在移动端查看检查结果，包括图文报告及影像图片。</w:t>
            </w:r>
          </w:p>
        </w:tc>
      </w:tr>
      <w:tr w14:paraId="08016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14:paraId="5835D44C">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自助打印</w:t>
            </w:r>
          </w:p>
        </w:tc>
        <w:tc>
          <w:tcPr>
            <w:tcW w:w="1417" w:type="dxa"/>
            <w:vAlign w:val="center"/>
          </w:tcPr>
          <w:p w14:paraId="55F395B6">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自助机打印</w:t>
            </w:r>
          </w:p>
        </w:tc>
        <w:tc>
          <w:tcPr>
            <w:tcW w:w="7229" w:type="dxa"/>
            <w:vAlign w:val="center"/>
          </w:tcPr>
          <w:p w14:paraId="1665C2AF">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可以为患者提供自助机打印功能。</w:t>
            </w:r>
          </w:p>
        </w:tc>
      </w:tr>
      <w:tr w14:paraId="7AC2B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restart"/>
            <w:vAlign w:val="center"/>
          </w:tcPr>
          <w:p w14:paraId="04A367B3">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集成接口</w:t>
            </w:r>
          </w:p>
        </w:tc>
        <w:tc>
          <w:tcPr>
            <w:tcW w:w="1417" w:type="dxa"/>
            <w:vAlign w:val="center"/>
          </w:tcPr>
          <w:p w14:paraId="681BF990">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与HIS/EMR/体检系统/手麻系统/呼吸专科大数据平台/危急值平台/CA认证/集成平台等对接</w:t>
            </w:r>
          </w:p>
        </w:tc>
        <w:tc>
          <w:tcPr>
            <w:tcW w:w="7229" w:type="dxa"/>
            <w:vAlign w:val="center"/>
          </w:tcPr>
          <w:p w14:paraId="77AA3C7B">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与HIS/EMR/体检系统/手麻系统/呼吸专科大数据平台/危急值平台/CA认证/集成平台、微信公众号等完成全面的对接工作，实现检查申请单、收费、标本核收、检查项目同步等的流程闭环，并能实现危急值上报管理功能。</w:t>
            </w:r>
          </w:p>
        </w:tc>
      </w:tr>
      <w:tr w14:paraId="66820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67B1BFC9">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Align w:val="center"/>
          </w:tcPr>
          <w:p w14:paraId="4051EB7D">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AI诊断软件端口接入</w:t>
            </w:r>
          </w:p>
        </w:tc>
        <w:tc>
          <w:tcPr>
            <w:tcW w:w="7229" w:type="dxa"/>
            <w:vAlign w:val="center"/>
          </w:tcPr>
          <w:p w14:paraId="440DA94A">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支持于病理系统内对</w:t>
            </w:r>
            <w:r>
              <w:rPr>
                <w:rFonts w:hint="eastAsia" w:ascii="宋体" w:hAnsi="宋体" w:cs="宋体"/>
                <w:kern w:val="0"/>
                <w:sz w:val="21"/>
                <w:szCs w:val="21"/>
                <w:highlight w:val="none"/>
                <w:lang w:val="en-US" w:eastAsia="zh-CN"/>
              </w:rPr>
              <w:t>ai</w:t>
            </w:r>
            <w:r>
              <w:rPr>
                <w:rFonts w:hint="eastAsia" w:ascii="宋体" w:hAnsi="宋体" w:eastAsia="宋体" w:cs="宋体"/>
                <w:kern w:val="0"/>
                <w:sz w:val="21"/>
                <w:szCs w:val="21"/>
                <w:highlight w:val="none"/>
              </w:rPr>
              <w:t>诊断结果调用，适用范围包括但不限于（妇科宫颈液基</w:t>
            </w:r>
            <w:r>
              <w:rPr>
                <w:rFonts w:hint="eastAsia" w:ascii="宋体" w:hAnsi="宋体" w:cs="宋体"/>
                <w:kern w:val="0"/>
                <w:sz w:val="21"/>
                <w:szCs w:val="21"/>
                <w:highlight w:val="none"/>
                <w:lang w:val="en-US" w:eastAsia="zh-CN"/>
              </w:rPr>
              <w:t>tct</w:t>
            </w:r>
            <w:r>
              <w:rPr>
                <w:rFonts w:hint="eastAsia" w:ascii="宋体" w:hAnsi="宋体" w:eastAsia="宋体" w:cs="宋体"/>
                <w:kern w:val="0"/>
                <w:sz w:val="21"/>
                <w:szCs w:val="21"/>
                <w:highlight w:val="none"/>
              </w:rPr>
              <w:t>，胸腹水液基细胞学，甲状腺穿刺液基细胞学，尿液脱落细胞学</w:t>
            </w:r>
            <w:r>
              <w:rPr>
                <w:rFonts w:hint="eastAsia" w:ascii="宋体" w:hAnsi="宋体" w:cs="宋体"/>
                <w:kern w:val="0"/>
                <w:sz w:val="21"/>
                <w:szCs w:val="21"/>
                <w:highlight w:val="none"/>
                <w:lang w:eastAsia="zh-CN"/>
              </w:rPr>
              <w:t>）。</w:t>
            </w:r>
          </w:p>
        </w:tc>
      </w:tr>
      <w:tr w14:paraId="40159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52FC6542">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Align w:val="center"/>
          </w:tcPr>
          <w:p w14:paraId="29C091A8">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历史数据迁移</w:t>
            </w:r>
          </w:p>
        </w:tc>
        <w:tc>
          <w:tcPr>
            <w:tcW w:w="7229" w:type="dxa"/>
            <w:vAlign w:val="center"/>
          </w:tcPr>
          <w:p w14:paraId="40D280F1">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需将现有系统中的病理数据迁移至新系统，方便各科室在同一系统对历史数据的报告查询、影像图片调阅。</w:t>
            </w:r>
          </w:p>
        </w:tc>
      </w:tr>
      <w:tr w14:paraId="79028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14:paraId="28B27A75">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p>
        </w:tc>
        <w:tc>
          <w:tcPr>
            <w:tcW w:w="1417" w:type="dxa"/>
            <w:vAlign w:val="center"/>
          </w:tcPr>
          <w:p w14:paraId="2B31E6F8">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与病理科包埋盒打印机/玻片打印机/免疫组化机对接</w:t>
            </w:r>
          </w:p>
        </w:tc>
        <w:tc>
          <w:tcPr>
            <w:tcW w:w="7229" w:type="dxa"/>
          </w:tcPr>
          <w:p w14:paraId="7D8AEF82">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与病理科包埋盒打印机/玻片打印机/免疫组化机对接，满足病理科现有设备接入要求。</w:t>
            </w:r>
          </w:p>
        </w:tc>
      </w:tr>
      <w:tr w14:paraId="74C9C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14:paraId="32F13558">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设备接口</w:t>
            </w:r>
          </w:p>
        </w:tc>
        <w:tc>
          <w:tcPr>
            <w:tcW w:w="1417" w:type="dxa"/>
            <w:vAlign w:val="center"/>
          </w:tcPr>
          <w:p w14:paraId="5DB53C62">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设备接口对接</w:t>
            </w:r>
          </w:p>
        </w:tc>
        <w:tc>
          <w:tcPr>
            <w:tcW w:w="7229" w:type="dxa"/>
            <w:vAlign w:val="center"/>
          </w:tcPr>
          <w:p w14:paraId="3717D23D">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支持</w:t>
            </w:r>
            <w:r>
              <w:rPr>
                <w:rFonts w:hint="eastAsia" w:ascii="宋体" w:hAnsi="宋体" w:cs="宋体"/>
                <w:kern w:val="0"/>
                <w:sz w:val="21"/>
                <w:szCs w:val="21"/>
                <w:highlight w:val="none"/>
                <w:lang w:eastAsia="zh-CN"/>
              </w:rPr>
              <w:t>采购人</w:t>
            </w:r>
            <w:r>
              <w:rPr>
                <w:rFonts w:hint="eastAsia" w:ascii="宋体" w:hAnsi="宋体" w:eastAsia="宋体" w:cs="宋体"/>
                <w:kern w:val="0"/>
                <w:sz w:val="21"/>
                <w:szCs w:val="21"/>
                <w:highlight w:val="none"/>
              </w:rPr>
              <w:t>现有医疗设备接口对接，包括但不限于DICOM，采集卡等方式，并支持</w:t>
            </w:r>
            <w:r>
              <w:rPr>
                <w:rFonts w:hint="eastAsia"/>
                <w:highlight w:val="none"/>
                <w:lang w:eastAsia="zh-CN"/>
              </w:rPr>
              <w:t>项目</w:t>
            </w:r>
            <w:r>
              <w:rPr>
                <w:rFonts w:hint="eastAsia"/>
                <w:highlight w:val="none"/>
                <w:lang w:val="en-US" w:eastAsia="zh-CN"/>
              </w:rPr>
              <w:t>硬件维护期、</w:t>
            </w:r>
            <w:r>
              <w:rPr>
                <w:rFonts w:hint="eastAsia"/>
                <w:highlight w:val="none"/>
                <w:lang w:eastAsia="zh-CN"/>
              </w:rPr>
              <w:t>软件运维期</w:t>
            </w:r>
            <w:r>
              <w:rPr>
                <w:rFonts w:hint="eastAsia" w:ascii="宋体" w:hAnsi="宋体" w:eastAsia="宋体" w:cs="宋体"/>
                <w:kern w:val="0"/>
                <w:sz w:val="21"/>
                <w:szCs w:val="21"/>
                <w:highlight w:val="none"/>
              </w:rPr>
              <w:t>内新增设备对接工作。</w:t>
            </w:r>
          </w:p>
        </w:tc>
      </w:tr>
      <w:tr w14:paraId="21DFE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14:paraId="60DCE6E6">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多院区</w:t>
            </w:r>
          </w:p>
        </w:tc>
        <w:tc>
          <w:tcPr>
            <w:tcW w:w="1417" w:type="dxa"/>
            <w:vAlign w:val="center"/>
          </w:tcPr>
          <w:p w14:paraId="68E5E162">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多院区</w:t>
            </w:r>
          </w:p>
        </w:tc>
        <w:tc>
          <w:tcPr>
            <w:tcW w:w="7229" w:type="dxa"/>
            <w:vAlign w:val="center"/>
          </w:tcPr>
          <w:p w14:paraId="111A85B4">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支持多院区模式对接使用。</w:t>
            </w:r>
          </w:p>
        </w:tc>
      </w:tr>
      <w:tr w14:paraId="3171D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14:paraId="3966969A">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站点</w:t>
            </w:r>
          </w:p>
        </w:tc>
        <w:tc>
          <w:tcPr>
            <w:tcW w:w="1417" w:type="dxa"/>
            <w:vAlign w:val="center"/>
          </w:tcPr>
          <w:p w14:paraId="13AD4D4E">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站点</w:t>
            </w:r>
          </w:p>
        </w:tc>
        <w:tc>
          <w:tcPr>
            <w:tcW w:w="7229" w:type="dxa"/>
            <w:vAlign w:val="center"/>
          </w:tcPr>
          <w:p w14:paraId="656E3865">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系统不限制工作站点数量及使用期限，支持按需配置工作站点功能。</w:t>
            </w:r>
          </w:p>
        </w:tc>
      </w:tr>
      <w:tr w14:paraId="28ADA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14:paraId="5664A268">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设备接口</w:t>
            </w:r>
          </w:p>
        </w:tc>
        <w:tc>
          <w:tcPr>
            <w:tcW w:w="1417" w:type="dxa"/>
            <w:vAlign w:val="center"/>
          </w:tcPr>
          <w:p w14:paraId="7749EA91">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设备接口</w:t>
            </w:r>
          </w:p>
        </w:tc>
        <w:tc>
          <w:tcPr>
            <w:tcW w:w="7229" w:type="dxa"/>
            <w:vAlign w:val="center"/>
          </w:tcPr>
          <w:p w14:paraId="7F1CDD06">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明确列出设备接口费用。</w:t>
            </w:r>
          </w:p>
        </w:tc>
      </w:tr>
      <w:tr w14:paraId="0357C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14:paraId="4A20311D">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专用耗材</w:t>
            </w:r>
          </w:p>
        </w:tc>
        <w:tc>
          <w:tcPr>
            <w:tcW w:w="1417" w:type="dxa"/>
            <w:vAlign w:val="center"/>
          </w:tcPr>
          <w:p w14:paraId="40644A50">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专用耗材</w:t>
            </w:r>
          </w:p>
        </w:tc>
        <w:tc>
          <w:tcPr>
            <w:tcW w:w="7229" w:type="dxa"/>
            <w:vAlign w:val="center"/>
          </w:tcPr>
          <w:p w14:paraId="4E10901C">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明确列出专用耗材清单，及其费用。</w:t>
            </w:r>
          </w:p>
        </w:tc>
      </w:tr>
      <w:tr w14:paraId="7F26A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14:paraId="5A6AD9B7">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数据管理</w:t>
            </w:r>
          </w:p>
        </w:tc>
        <w:tc>
          <w:tcPr>
            <w:tcW w:w="1417" w:type="dxa"/>
            <w:vAlign w:val="center"/>
          </w:tcPr>
          <w:p w14:paraId="398292F9">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数据管理</w:t>
            </w:r>
          </w:p>
        </w:tc>
        <w:tc>
          <w:tcPr>
            <w:tcW w:w="7229" w:type="dxa"/>
            <w:vAlign w:val="center"/>
          </w:tcPr>
          <w:p w14:paraId="4E850F91">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除国家法规要求、网络安全相关要求及</w:t>
            </w:r>
            <w:r>
              <w:rPr>
                <w:rFonts w:hint="eastAsia" w:ascii="宋体" w:hAnsi="宋体" w:cs="宋体"/>
                <w:kern w:val="0"/>
                <w:sz w:val="21"/>
                <w:szCs w:val="21"/>
                <w:highlight w:val="none"/>
                <w:lang w:eastAsia="zh-CN"/>
              </w:rPr>
              <w:t>采购人</w:t>
            </w:r>
            <w:r>
              <w:rPr>
                <w:rFonts w:hint="eastAsia" w:ascii="宋体" w:hAnsi="宋体" w:eastAsia="宋体" w:cs="宋体"/>
                <w:kern w:val="0"/>
                <w:sz w:val="21"/>
                <w:szCs w:val="21"/>
                <w:highlight w:val="none"/>
              </w:rPr>
              <w:t>管理要求外，</w:t>
            </w:r>
            <w:r>
              <w:rPr>
                <w:rFonts w:hint="eastAsia" w:ascii="宋体" w:hAnsi="宋体" w:cs="宋体"/>
                <w:kern w:val="0"/>
                <w:sz w:val="21"/>
                <w:szCs w:val="21"/>
                <w:highlight w:val="none"/>
                <w:lang w:val="en-US" w:eastAsia="zh-CN"/>
              </w:rPr>
              <w:t>软件开发商</w:t>
            </w:r>
            <w:r>
              <w:rPr>
                <w:rFonts w:hint="eastAsia" w:ascii="宋体" w:hAnsi="宋体" w:eastAsia="宋体" w:cs="宋体"/>
                <w:kern w:val="0"/>
                <w:sz w:val="21"/>
                <w:szCs w:val="21"/>
                <w:highlight w:val="none"/>
              </w:rPr>
              <w:t>不得对系统内部数据图像报告进行加密。</w:t>
            </w:r>
          </w:p>
        </w:tc>
      </w:tr>
      <w:tr w14:paraId="5C076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14:paraId="36CFD793">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国产信创</w:t>
            </w:r>
          </w:p>
        </w:tc>
        <w:tc>
          <w:tcPr>
            <w:tcW w:w="1417" w:type="dxa"/>
            <w:vAlign w:val="center"/>
          </w:tcPr>
          <w:p w14:paraId="73D33D5F">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国产信创</w:t>
            </w:r>
          </w:p>
        </w:tc>
        <w:tc>
          <w:tcPr>
            <w:tcW w:w="7229" w:type="dxa"/>
            <w:vAlign w:val="center"/>
          </w:tcPr>
          <w:p w14:paraId="01BFE161">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▲为保障系统自主可控和信息安全，</w:t>
            </w:r>
            <w:r>
              <w:rPr>
                <w:rFonts w:hint="eastAsia" w:ascii="宋体" w:hAnsi="宋体" w:cs="宋体"/>
                <w:kern w:val="0"/>
                <w:sz w:val="21"/>
                <w:szCs w:val="21"/>
                <w:highlight w:val="none"/>
                <w:lang w:eastAsia="zh-CN"/>
              </w:rPr>
              <w:t>投标人</w:t>
            </w:r>
            <w:r>
              <w:rPr>
                <w:rFonts w:hint="eastAsia" w:ascii="宋体" w:hAnsi="宋体" w:eastAsia="宋体" w:cs="宋体"/>
                <w:kern w:val="0"/>
                <w:sz w:val="21"/>
                <w:szCs w:val="21"/>
                <w:highlight w:val="none"/>
              </w:rPr>
              <w:t>提供的医学影像信息系统需能够适配国产操作系统、国产数据库、国产中间件等国产自主安全平台。</w:t>
            </w:r>
          </w:p>
        </w:tc>
      </w:tr>
      <w:tr w14:paraId="6DFAA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14:paraId="1075B0E7">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接口</w:t>
            </w:r>
          </w:p>
        </w:tc>
        <w:tc>
          <w:tcPr>
            <w:tcW w:w="1417" w:type="dxa"/>
            <w:vAlign w:val="center"/>
          </w:tcPr>
          <w:p w14:paraId="5D5DE0BC">
            <w:pPr>
              <w:keepNext w:val="0"/>
              <w:keepLines w:val="0"/>
              <w:pageBreakBefore w:val="0"/>
              <w:widowControl/>
              <w:shd w:val="clear"/>
              <w:kinsoku/>
              <w:wordWrap/>
              <w:overflowPunct/>
              <w:topLinePunct w:val="0"/>
              <w:autoSpaceDE/>
              <w:autoSpaceDN/>
              <w:bidi w:val="0"/>
              <w:spacing w:line="240" w:lineRule="auto"/>
              <w:ind w:firstLine="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接口</w:t>
            </w:r>
          </w:p>
        </w:tc>
        <w:tc>
          <w:tcPr>
            <w:tcW w:w="7229" w:type="dxa"/>
            <w:vAlign w:val="center"/>
          </w:tcPr>
          <w:p w14:paraId="53C9B111">
            <w:pPr>
              <w:keepNext w:val="0"/>
              <w:keepLines w:val="0"/>
              <w:pageBreakBefore w:val="0"/>
              <w:widowControl/>
              <w:shd w:val="clear"/>
              <w:kinsoku/>
              <w:wordWrap/>
              <w:overflowPunct/>
              <w:topLinePunct w:val="0"/>
              <w:autoSpaceDE/>
              <w:autoSpaceDN/>
              <w:bidi w:val="0"/>
              <w:spacing w:line="240" w:lineRule="auto"/>
              <w:ind w:firstLine="0"/>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支持对接HIS、互联互通平台及微信公众号等系统</w:t>
            </w:r>
            <w:r>
              <w:rPr>
                <w:rFonts w:hint="eastAsia" w:ascii="宋体" w:hAnsi="宋体" w:cs="宋体"/>
                <w:kern w:val="0"/>
                <w:sz w:val="21"/>
                <w:szCs w:val="21"/>
                <w:highlight w:val="none"/>
                <w:lang w:eastAsia="zh-CN"/>
              </w:rPr>
              <w:t>。</w:t>
            </w:r>
          </w:p>
        </w:tc>
      </w:tr>
    </w:tbl>
    <w:p w14:paraId="2DCBD99B">
      <w:pPr>
        <w:keepNext w:val="0"/>
        <w:keepLines w:val="0"/>
        <w:pageBreakBefore w:val="0"/>
        <w:widowControl/>
        <w:shd w:val="clear"/>
        <w:tabs>
          <w:tab w:val="left" w:pos="630"/>
        </w:tabs>
        <w:kinsoku/>
        <w:wordWrap/>
        <w:overflowPunct/>
        <w:topLinePunct w:val="0"/>
        <w:autoSpaceDE/>
        <w:autoSpaceDN/>
        <w:bidi w:val="0"/>
        <w:spacing w:line="360" w:lineRule="auto"/>
        <w:ind w:left="630" w:hanging="630"/>
        <w:jc w:val="left"/>
        <w:textAlignment w:val="auto"/>
        <w:rPr>
          <w:rFonts w:hint="eastAsia" w:ascii="宋体" w:hAnsi="宋体" w:eastAsia="宋体" w:cs="宋体"/>
          <w:kern w:val="0"/>
          <w:sz w:val="21"/>
          <w:szCs w:val="21"/>
          <w:highlight w:val="none"/>
        </w:rPr>
      </w:pPr>
    </w:p>
    <w:p w14:paraId="59E9EB8E">
      <w:pPr>
        <w:keepNext w:val="0"/>
        <w:keepLines w:val="0"/>
        <w:pageBreakBefore w:val="0"/>
        <w:widowControl/>
        <w:numPr>
          <w:ilvl w:val="1"/>
          <w:numId w:val="0"/>
        </w:numPr>
        <w:shd w:val="clear"/>
        <w:kinsoku/>
        <w:wordWrap/>
        <w:overflowPunct/>
        <w:topLinePunct w:val="0"/>
        <w:autoSpaceDE/>
        <w:autoSpaceDN/>
        <w:bidi w:val="0"/>
        <w:adjustRightInd w:val="0"/>
        <w:snapToGrid w:val="0"/>
        <w:spacing w:line="360" w:lineRule="auto"/>
        <w:ind w:firstLine="442" w:firstLineChars="200"/>
        <w:jc w:val="left"/>
        <w:textAlignment w:val="auto"/>
        <w:outlineLvl w:val="2"/>
        <w:rPr>
          <w:rFonts w:hint="eastAsia" w:ascii="宋体" w:hAnsi="宋体" w:eastAsia="宋体" w:cs="宋体"/>
          <w:b/>
          <w:smallCaps/>
          <w:spacing w:val="5"/>
          <w:kern w:val="0"/>
          <w:sz w:val="21"/>
          <w:szCs w:val="21"/>
          <w:highlight w:val="none"/>
        </w:rPr>
      </w:pPr>
      <w:r>
        <w:rPr>
          <w:rFonts w:hint="eastAsia" w:ascii="宋体" w:hAnsi="宋体" w:eastAsia="宋体" w:cs="宋体"/>
          <w:b/>
          <w:smallCaps/>
          <w:spacing w:val="5"/>
          <w:kern w:val="0"/>
          <w:sz w:val="21"/>
          <w:szCs w:val="21"/>
          <w:highlight w:val="none"/>
        </w:rPr>
        <w:t>6.配套设备需求</w:t>
      </w:r>
    </w:p>
    <w:p w14:paraId="134D02E8">
      <w:pPr>
        <w:keepNext w:val="0"/>
        <w:keepLines w:val="0"/>
        <w:pageBreakBefore w:val="0"/>
        <w:widowControl/>
        <w:numPr>
          <w:ilvl w:val="1"/>
          <w:numId w:val="0"/>
        </w:numPr>
        <w:shd w:val="clear"/>
        <w:kinsoku/>
        <w:wordWrap/>
        <w:overflowPunct/>
        <w:topLinePunct w:val="0"/>
        <w:autoSpaceDE/>
        <w:autoSpaceDN/>
        <w:bidi w:val="0"/>
        <w:adjustRightInd w:val="0"/>
        <w:snapToGrid w:val="0"/>
        <w:spacing w:line="360" w:lineRule="auto"/>
        <w:ind w:firstLine="422" w:firstLineChars="200"/>
        <w:jc w:val="left"/>
        <w:textAlignment w:val="auto"/>
        <w:outlineLvl w:val="3"/>
        <w:rPr>
          <w:rFonts w:hint="eastAsia" w:ascii="宋体" w:hAnsi="宋体" w:eastAsia="宋体" w:cs="宋体"/>
          <w:b/>
          <w:smallCaps/>
          <w:kern w:val="0"/>
          <w:sz w:val="21"/>
          <w:szCs w:val="21"/>
          <w:highlight w:val="none"/>
        </w:rPr>
      </w:pPr>
      <w:r>
        <w:rPr>
          <w:rFonts w:hint="eastAsia" w:ascii="宋体" w:hAnsi="宋体" w:eastAsia="宋体" w:cs="宋体"/>
          <w:b/>
          <w:smallCaps/>
          <w:kern w:val="0"/>
          <w:sz w:val="21"/>
          <w:szCs w:val="21"/>
          <w:highlight w:val="none"/>
        </w:rPr>
        <w:t>6.1其他设备</w:t>
      </w:r>
    </w:p>
    <w:p w14:paraId="2C2793AE">
      <w:pPr>
        <w:keepNext w:val="0"/>
        <w:keepLines w:val="0"/>
        <w:pageBreakBefore w:val="0"/>
        <w:widowControl/>
        <w:numPr>
          <w:ilvl w:val="2"/>
          <w:numId w:val="0"/>
        </w:numPr>
        <w:shd w:val="clear"/>
        <w:kinsoku/>
        <w:wordWrap/>
        <w:overflowPunct/>
        <w:topLinePunct w:val="0"/>
        <w:autoSpaceDE/>
        <w:autoSpaceDN/>
        <w:bidi w:val="0"/>
        <w:adjustRightInd w:val="0"/>
        <w:snapToGrid w:val="0"/>
        <w:spacing w:line="360" w:lineRule="auto"/>
        <w:ind w:firstLine="442" w:firstLineChars="200"/>
        <w:jc w:val="left"/>
        <w:textAlignment w:val="auto"/>
        <w:outlineLvl w:val="4"/>
        <w:rPr>
          <w:rFonts w:hint="eastAsia" w:ascii="宋体" w:hAnsi="宋体" w:eastAsia="宋体" w:cs="宋体"/>
          <w:b/>
          <w:iCs/>
          <w:smallCaps/>
          <w:spacing w:val="5"/>
          <w:kern w:val="0"/>
          <w:sz w:val="21"/>
          <w:szCs w:val="21"/>
          <w:highlight w:val="none"/>
          <w:lang w:eastAsia="zh-CN"/>
        </w:rPr>
      </w:pPr>
      <w:r>
        <w:rPr>
          <w:rFonts w:hint="eastAsia" w:ascii="宋体" w:hAnsi="宋体" w:eastAsia="宋体" w:cs="宋体"/>
          <w:b/>
          <w:iCs/>
          <w:smallCaps/>
          <w:spacing w:val="5"/>
          <w:kern w:val="0"/>
          <w:sz w:val="21"/>
          <w:szCs w:val="21"/>
          <w:highlight w:val="none"/>
        </w:rPr>
        <w:t>6.1.1</w:t>
      </w:r>
      <w:r>
        <w:rPr>
          <w:rFonts w:hint="eastAsia" w:ascii="宋体" w:hAnsi="宋体" w:cs="宋体"/>
          <w:b/>
          <w:iCs/>
          <w:smallCaps/>
          <w:spacing w:val="5"/>
          <w:kern w:val="0"/>
          <w:sz w:val="21"/>
          <w:szCs w:val="21"/>
          <w:highlight w:val="none"/>
          <w:lang w:eastAsia="zh-CN"/>
        </w:rPr>
        <w:t>多功能文档拍摄和视频展台</w:t>
      </w:r>
    </w:p>
    <w:p w14:paraId="5519C9EC">
      <w:pPr>
        <w:keepNext w:val="0"/>
        <w:keepLines w:val="0"/>
        <w:pageBreakBefore w:val="0"/>
        <w:widowControl/>
        <w:numPr>
          <w:ilvl w:val="0"/>
          <w:numId w:val="3"/>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像素：1200万像素；</w:t>
      </w:r>
    </w:p>
    <w:p w14:paraId="47E477C1">
      <w:pPr>
        <w:keepNext w:val="0"/>
        <w:keepLines w:val="0"/>
        <w:pageBreakBefore w:val="0"/>
        <w:widowControl/>
        <w:numPr>
          <w:ilvl w:val="0"/>
          <w:numId w:val="3"/>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最大分辨率：4000</w:t>
      </w:r>
      <w:r>
        <w:rPr>
          <w:rFonts w:hint="eastAsia" w:ascii="宋体" w:hAnsi="宋体" w:cs="宋体"/>
          <w:kern w:val="0"/>
          <w:sz w:val="21"/>
          <w:szCs w:val="21"/>
          <w:highlight w:val="none"/>
          <w:lang w:val="en-US" w:eastAsia="zh-CN"/>
        </w:rPr>
        <w:t>×</w:t>
      </w:r>
      <w:r>
        <w:rPr>
          <w:rFonts w:hint="eastAsia" w:ascii="宋体" w:hAnsi="宋体" w:eastAsia="宋体" w:cs="宋体"/>
          <w:kern w:val="0"/>
          <w:sz w:val="21"/>
          <w:szCs w:val="21"/>
          <w:highlight w:val="none"/>
        </w:rPr>
        <w:t>3000；</w:t>
      </w:r>
    </w:p>
    <w:p w14:paraId="4A436257">
      <w:pPr>
        <w:keepNext w:val="0"/>
        <w:keepLines w:val="0"/>
        <w:pageBreakBefore w:val="0"/>
        <w:widowControl/>
        <w:numPr>
          <w:ilvl w:val="0"/>
          <w:numId w:val="3"/>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扫描幅面：A4；</w:t>
      </w:r>
    </w:p>
    <w:p w14:paraId="646D6C32">
      <w:pPr>
        <w:keepNext w:val="0"/>
        <w:keepLines w:val="0"/>
        <w:pageBreakBefore w:val="0"/>
        <w:widowControl/>
        <w:numPr>
          <w:ilvl w:val="0"/>
          <w:numId w:val="3"/>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对焦方式：定焦；</w:t>
      </w:r>
    </w:p>
    <w:p w14:paraId="71B1EDD4">
      <w:pPr>
        <w:keepNext w:val="0"/>
        <w:keepLines w:val="0"/>
        <w:pageBreakBefore w:val="0"/>
        <w:widowControl/>
        <w:numPr>
          <w:ilvl w:val="0"/>
          <w:numId w:val="3"/>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扫描速度：</w:t>
      </w:r>
      <w:r>
        <w:rPr>
          <w:rFonts w:hint="eastAsia" w:ascii="宋体" w:hAnsi="宋体" w:cs="宋体"/>
          <w:kern w:val="0"/>
          <w:sz w:val="21"/>
          <w:szCs w:val="21"/>
          <w:highlight w:val="none"/>
          <w:lang w:val="en-US" w:eastAsia="zh-CN"/>
        </w:rPr>
        <w:t>＜</w:t>
      </w:r>
      <w:r>
        <w:rPr>
          <w:rFonts w:hint="eastAsia" w:ascii="宋体" w:hAnsi="宋体" w:eastAsia="宋体" w:cs="宋体"/>
          <w:kern w:val="0"/>
          <w:sz w:val="21"/>
          <w:szCs w:val="21"/>
          <w:highlight w:val="none"/>
        </w:rPr>
        <w:t>1秒；</w:t>
      </w:r>
    </w:p>
    <w:p w14:paraId="4F8D0A25">
      <w:pPr>
        <w:keepNext w:val="0"/>
        <w:keepLines w:val="0"/>
        <w:pageBreakBefore w:val="0"/>
        <w:widowControl/>
        <w:numPr>
          <w:ilvl w:val="0"/>
          <w:numId w:val="3"/>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出图响应时间：1秒；</w:t>
      </w:r>
    </w:p>
    <w:p w14:paraId="2EC0DD28">
      <w:pPr>
        <w:keepNext w:val="0"/>
        <w:keepLines w:val="0"/>
        <w:pageBreakBefore w:val="0"/>
        <w:widowControl/>
        <w:numPr>
          <w:ilvl w:val="0"/>
          <w:numId w:val="3"/>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过曝控制：自动；</w:t>
      </w:r>
    </w:p>
    <w:p w14:paraId="506DFC48">
      <w:pPr>
        <w:keepNext w:val="0"/>
        <w:keepLines w:val="0"/>
        <w:pageBreakBefore w:val="0"/>
        <w:widowControl/>
        <w:numPr>
          <w:ilvl w:val="0"/>
          <w:numId w:val="3"/>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图像色彩：24位；</w:t>
      </w:r>
    </w:p>
    <w:p w14:paraId="7C4C1DB5">
      <w:pPr>
        <w:keepNext w:val="0"/>
        <w:keepLines w:val="0"/>
        <w:pageBreakBefore w:val="0"/>
        <w:widowControl/>
        <w:numPr>
          <w:ilvl w:val="0"/>
          <w:numId w:val="3"/>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cs="宋体"/>
          <w:kern w:val="0"/>
          <w:sz w:val="21"/>
          <w:szCs w:val="21"/>
          <w:highlight w:val="none"/>
          <w:lang w:eastAsia="zh-CN"/>
        </w:rPr>
        <w:t>市场通用型号</w:t>
      </w:r>
      <w:r>
        <w:rPr>
          <w:rFonts w:hint="eastAsia" w:ascii="宋体" w:hAnsi="宋体" w:eastAsia="宋体" w:cs="宋体"/>
          <w:kern w:val="0"/>
          <w:sz w:val="21"/>
          <w:szCs w:val="21"/>
          <w:highlight w:val="none"/>
        </w:rPr>
        <w:t>。</w:t>
      </w:r>
    </w:p>
    <w:p w14:paraId="7BB4B810">
      <w:pPr>
        <w:keepNext w:val="0"/>
        <w:keepLines w:val="0"/>
        <w:pageBreakBefore w:val="0"/>
        <w:widowControl/>
        <w:numPr>
          <w:ilvl w:val="2"/>
          <w:numId w:val="0"/>
        </w:numPr>
        <w:shd w:val="clear"/>
        <w:kinsoku/>
        <w:wordWrap/>
        <w:overflowPunct/>
        <w:topLinePunct w:val="0"/>
        <w:autoSpaceDE/>
        <w:autoSpaceDN/>
        <w:bidi w:val="0"/>
        <w:adjustRightInd w:val="0"/>
        <w:snapToGrid w:val="0"/>
        <w:spacing w:line="360" w:lineRule="auto"/>
        <w:ind w:firstLine="442" w:firstLineChars="200"/>
        <w:jc w:val="left"/>
        <w:textAlignment w:val="auto"/>
        <w:outlineLvl w:val="4"/>
        <w:rPr>
          <w:rFonts w:hint="eastAsia" w:ascii="宋体" w:hAnsi="宋体" w:eastAsia="宋体" w:cs="宋体"/>
          <w:b/>
          <w:iCs/>
          <w:smallCaps/>
          <w:spacing w:val="5"/>
          <w:kern w:val="0"/>
          <w:sz w:val="21"/>
          <w:szCs w:val="21"/>
          <w:highlight w:val="none"/>
        </w:rPr>
      </w:pPr>
      <w:r>
        <w:rPr>
          <w:rFonts w:hint="eastAsia" w:ascii="宋体" w:hAnsi="宋体" w:eastAsia="宋体" w:cs="宋体"/>
          <w:b/>
          <w:iCs/>
          <w:smallCaps/>
          <w:spacing w:val="5"/>
          <w:kern w:val="0"/>
          <w:sz w:val="21"/>
          <w:szCs w:val="21"/>
          <w:highlight w:val="none"/>
        </w:rPr>
        <w:t>6.1.2</w:t>
      </w:r>
      <w:r>
        <w:rPr>
          <w:rFonts w:hint="eastAsia" w:ascii="宋体" w:hAnsi="宋体" w:cs="宋体"/>
          <w:b/>
          <w:iCs/>
          <w:smallCaps/>
          <w:spacing w:val="5"/>
          <w:kern w:val="0"/>
          <w:sz w:val="21"/>
          <w:szCs w:val="21"/>
          <w:highlight w:val="none"/>
          <w:lang w:eastAsia="zh-CN"/>
        </w:rPr>
        <w:t>多功能确认执行设备</w:t>
      </w:r>
      <w:r>
        <w:rPr>
          <w:rFonts w:hint="eastAsia" w:ascii="宋体" w:hAnsi="宋体" w:eastAsia="宋体" w:cs="宋体"/>
          <w:b/>
          <w:iCs/>
          <w:smallCaps/>
          <w:spacing w:val="5"/>
          <w:kern w:val="0"/>
          <w:sz w:val="21"/>
          <w:szCs w:val="21"/>
          <w:highlight w:val="none"/>
        </w:rPr>
        <w:t>（含支架）</w:t>
      </w:r>
    </w:p>
    <w:p w14:paraId="003C9509">
      <w:pPr>
        <w:keepNext w:val="0"/>
        <w:keepLines w:val="0"/>
        <w:pageBreakBefore w:val="0"/>
        <w:widowControl/>
        <w:numPr>
          <w:ilvl w:val="0"/>
          <w:numId w:val="4"/>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工业级</w:t>
      </w:r>
      <w:r>
        <w:rPr>
          <w:rFonts w:hint="eastAsia" w:ascii="宋体" w:hAnsi="宋体" w:cs="宋体"/>
          <w:kern w:val="0"/>
          <w:sz w:val="21"/>
          <w:szCs w:val="21"/>
          <w:highlight w:val="none"/>
          <w:lang w:val="en-US" w:eastAsia="zh-CN"/>
        </w:rPr>
        <w:t>触控</w:t>
      </w:r>
      <w:r>
        <w:rPr>
          <w:rFonts w:hint="eastAsia" w:ascii="宋体" w:hAnsi="宋体" w:eastAsia="宋体" w:cs="宋体"/>
          <w:kern w:val="0"/>
          <w:sz w:val="21"/>
          <w:szCs w:val="21"/>
          <w:highlight w:val="none"/>
        </w:rPr>
        <w:t>，前面板符合IP65防尘防水标准；</w:t>
      </w:r>
    </w:p>
    <w:p w14:paraId="11CAB096">
      <w:pPr>
        <w:keepNext w:val="0"/>
        <w:keepLines w:val="0"/>
        <w:pageBreakBefore w:val="0"/>
        <w:widowControl/>
        <w:numPr>
          <w:ilvl w:val="0"/>
          <w:numId w:val="4"/>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处理器：RAM：8GB；存储：512G SSD；</w:t>
      </w:r>
    </w:p>
    <w:p w14:paraId="61182E5F">
      <w:pPr>
        <w:keepNext w:val="0"/>
        <w:keepLines w:val="0"/>
        <w:pageBreakBefore w:val="0"/>
        <w:widowControl/>
        <w:numPr>
          <w:ilvl w:val="0"/>
          <w:numId w:val="4"/>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屏幕：15.6''TFT LCD，1920*1080，220cd/m²，全平面十点投射式电容屏；</w:t>
      </w:r>
    </w:p>
    <w:p w14:paraId="54BC4650">
      <w:pPr>
        <w:keepNext w:val="0"/>
        <w:keepLines w:val="0"/>
        <w:pageBreakBefore w:val="0"/>
        <w:widowControl/>
        <w:numPr>
          <w:ilvl w:val="0"/>
          <w:numId w:val="4"/>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接口：4USB+2LAN口，WIFI+蓝牙，扬声器+麦克风；</w:t>
      </w:r>
    </w:p>
    <w:p w14:paraId="76CEBA2D">
      <w:pPr>
        <w:keepNext w:val="0"/>
        <w:keepLines w:val="0"/>
        <w:pageBreakBefore w:val="0"/>
        <w:widowControl/>
        <w:numPr>
          <w:ilvl w:val="0"/>
          <w:numId w:val="4"/>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操作系统：正版操作系统；</w:t>
      </w:r>
    </w:p>
    <w:p w14:paraId="3D7FDD6D">
      <w:pPr>
        <w:keepNext w:val="0"/>
        <w:keepLines w:val="0"/>
        <w:pageBreakBefore w:val="0"/>
        <w:widowControl/>
        <w:numPr>
          <w:ilvl w:val="0"/>
          <w:numId w:val="4"/>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cs="宋体"/>
          <w:kern w:val="0"/>
          <w:sz w:val="21"/>
          <w:szCs w:val="21"/>
          <w:highlight w:val="none"/>
          <w:lang w:eastAsia="zh-CN"/>
        </w:rPr>
        <w:t>市场通用型号</w:t>
      </w:r>
      <w:r>
        <w:rPr>
          <w:rFonts w:hint="eastAsia" w:ascii="宋体" w:hAnsi="宋体" w:eastAsia="宋体" w:cs="宋体"/>
          <w:kern w:val="0"/>
          <w:sz w:val="21"/>
          <w:szCs w:val="21"/>
          <w:highlight w:val="none"/>
        </w:rPr>
        <w:t>。</w:t>
      </w:r>
    </w:p>
    <w:p w14:paraId="57215B9E">
      <w:pPr>
        <w:keepNext w:val="0"/>
        <w:keepLines w:val="0"/>
        <w:pageBreakBefore w:val="0"/>
        <w:widowControl/>
        <w:numPr>
          <w:ilvl w:val="2"/>
          <w:numId w:val="0"/>
        </w:numPr>
        <w:shd w:val="clear"/>
        <w:kinsoku/>
        <w:wordWrap/>
        <w:overflowPunct/>
        <w:topLinePunct w:val="0"/>
        <w:autoSpaceDE/>
        <w:autoSpaceDN/>
        <w:bidi w:val="0"/>
        <w:adjustRightInd w:val="0"/>
        <w:snapToGrid w:val="0"/>
        <w:spacing w:line="360" w:lineRule="auto"/>
        <w:ind w:firstLine="442" w:firstLineChars="200"/>
        <w:jc w:val="left"/>
        <w:textAlignment w:val="auto"/>
        <w:outlineLvl w:val="4"/>
        <w:rPr>
          <w:rFonts w:hint="eastAsia" w:ascii="宋体" w:hAnsi="宋体" w:eastAsia="宋体" w:cs="宋体"/>
          <w:b/>
          <w:iCs/>
          <w:smallCaps/>
          <w:spacing w:val="5"/>
          <w:kern w:val="0"/>
          <w:sz w:val="21"/>
          <w:szCs w:val="21"/>
          <w:highlight w:val="none"/>
        </w:rPr>
      </w:pPr>
      <w:r>
        <w:rPr>
          <w:rFonts w:hint="eastAsia" w:ascii="宋体" w:hAnsi="宋体" w:eastAsia="宋体" w:cs="宋体"/>
          <w:b/>
          <w:iCs/>
          <w:smallCaps/>
          <w:spacing w:val="5"/>
          <w:kern w:val="0"/>
          <w:sz w:val="21"/>
          <w:szCs w:val="21"/>
          <w:highlight w:val="none"/>
        </w:rPr>
        <w:t>6.1.3条码扫描枪（带支架）</w:t>
      </w:r>
    </w:p>
    <w:p w14:paraId="0451D388">
      <w:pPr>
        <w:keepNext w:val="0"/>
        <w:keepLines w:val="0"/>
        <w:pageBreakBefore w:val="0"/>
        <w:widowControl/>
        <w:numPr>
          <w:ilvl w:val="0"/>
          <w:numId w:val="5"/>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传输方式：有线；</w:t>
      </w:r>
    </w:p>
    <w:p w14:paraId="44BC4903">
      <w:pPr>
        <w:keepNext w:val="0"/>
        <w:keepLines w:val="0"/>
        <w:pageBreakBefore w:val="0"/>
        <w:widowControl/>
        <w:numPr>
          <w:ilvl w:val="0"/>
          <w:numId w:val="5"/>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扫描介质：纸质，金属，屏幕；</w:t>
      </w:r>
    </w:p>
    <w:p w14:paraId="493C728C">
      <w:pPr>
        <w:keepNext w:val="0"/>
        <w:keepLines w:val="0"/>
        <w:pageBreakBefore w:val="0"/>
        <w:widowControl/>
        <w:numPr>
          <w:ilvl w:val="0"/>
          <w:numId w:val="5"/>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扫描类型：支持一维/二维；</w:t>
      </w:r>
    </w:p>
    <w:p w14:paraId="1C13986A">
      <w:pPr>
        <w:keepNext w:val="0"/>
        <w:keepLines w:val="0"/>
        <w:pageBreakBefore w:val="0"/>
        <w:widowControl/>
        <w:numPr>
          <w:ilvl w:val="0"/>
          <w:numId w:val="5"/>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机器接口：USB接口/串口/RS-232；</w:t>
      </w:r>
    </w:p>
    <w:p w14:paraId="0F8291A6">
      <w:pPr>
        <w:keepNext w:val="0"/>
        <w:keepLines w:val="0"/>
        <w:pageBreakBefore w:val="0"/>
        <w:widowControl/>
        <w:numPr>
          <w:ilvl w:val="0"/>
          <w:numId w:val="5"/>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扫描精度：5mil。</w:t>
      </w:r>
    </w:p>
    <w:p w14:paraId="516AD84B">
      <w:pPr>
        <w:keepNext w:val="0"/>
        <w:keepLines w:val="0"/>
        <w:pageBreakBefore w:val="0"/>
        <w:widowControl/>
        <w:numPr>
          <w:ilvl w:val="0"/>
          <w:numId w:val="5"/>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支架：有；</w:t>
      </w:r>
    </w:p>
    <w:p w14:paraId="402B4488">
      <w:pPr>
        <w:keepNext w:val="0"/>
        <w:keepLines w:val="0"/>
        <w:pageBreakBefore w:val="0"/>
        <w:widowControl/>
        <w:numPr>
          <w:ilvl w:val="0"/>
          <w:numId w:val="5"/>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cs="宋体"/>
          <w:kern w:val="0"/>
          <w:sz w:val="21"/>
          <w:szCs w:val="21"/>
          <w:highlight w:val="none"/>
          <w:lang w:eastAsia="zh-CN"/>
        </w:rPr>
        <w:t>市场通用型号</w:t>
      </w:r>
      <w:r>
        <w:rPr>
          <w:rFonts w:hint="eastAsia" w:ascii="宋体" w:hAnsi="宋体" w:eastAsia="宋体" w:cs="宋体"/>
          <w:kern w:val="0"/>
          <w:sz w:val="21"/>
          <w:szCs w:val="21"/>
          <w:highlight w:val="none"/>
        </w:rPr>
        <w:t>。</w:t>
      </w:r>
    </w:p>
    <w:p w14:paraId="33638BD5">
      <w:pPr>
        <w:keepNext w:val="0"/>
        <w:keepLines w:val="0"/>
        <w:pageBreakBefore w:val="0"/>
        <w:widowControl/>
        <w:numPr>
          <w:ilvl w:val="2"/>
          <w:numId w:val="0"/>
        </w:numPr>
        <w:shd w:val="clear"/>
        <w:kinsoku/>
        <w:wordWrap/>
        <w:overflowPunct/>
        <w:topLinePunct w:val="0"/>
        <w:autoSpaceDE/>
        <w:autoSpaceDN/>
        <w:bidi w:val="0"/>
        <w:adjustRightInd w:val="0"/>
        <w:snapToGrid w:val="0"/>
        <w:spacing w:line="360" w:lineRule="auto"/>
        <w:ind w:firstLine="442" w:firstLineChars="200"/>
        <w:jc w:val="left"/>
        <w:textAlignment w:val="auto"/>
        <w:outlineLvl w:val="4"/>
        <w:rPr>
          <w:rFonts w:hint="eastAsia" w:ascii="宋体" w:hAnsi="宋体" w:eastAsia="宋体" w:cs="宋体"/>
          <w:b/>
          <w:iCs/>
          <w:smallCaps/>
          <w:spacing w:val="5"/>
          <w:kern w:val="0"/>
          <w:sz w:val="21"/>
          <w:szCs w:val="21"/>
          <w:highlight w:val="none"/>
        </w:rPr>
      </w:pPr>
      <w:r>
        <w:rPr>
          <w:rFonts w:hint="eastAsia" w:ascii="宋体" w:hAnsi="宋体" w:eastAsia="宋体" w:cs="宋体"/>
          <w:b/>
          <w:iCs/>
          <w:smallCaps/>
          <w:spacing w:val="5"/>
          <w:kern w:val="0"/>
          <w:sz w:val="21"/>
          <w:szCs w:val="21"/>
          <w:highlight w:val="none"/>
        </w:rPr>
        <w:t>6.1.4条码打印机</w:t>
      </w:r>
    </w:p>
    <w:p w14:paraId="4A2D37D9">
      <w:pPr>
        <w:keepNext w:val="0"/>
        <w:keepLines w:val="0"/>
        <w:pageBreakBefore w:val="0"/>
        <w:widowControl/>
        <w:numPr>
          <w:ilvl w:val="0"/>
          <w:numId w:val="6"/>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打印方式：热转印及热敏；</w:t>
      </w:r>
    </w:p>
    <w:p w14:paraId="7A1EA970">
      <w:pPr>
        <w:keepNext w:val="0"/>
        <w:keepLines w:val="0"/>
        <w:pageBreakBefore w:val="0"/>
        <w:widowControl/>
        <w:numPr>
          <w:ilvl w:val="0"/>
          <w:numId w:val="6"/>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分辨率：300dpi；</w:t>
      </w:r>
    </w:p>
    <w:p w14:paraId="191D2322">
      <w:pPr>
        <w:keepNext w:val="0"/>
        <w:keepLines w:val="0"/>
        <w:pageBreakBefore w:val="0"/>
        <w:widowControl/>
        <w:numPr>
          <w:ilvl w:val="0"/>
          <w:numId w:val="6"/>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打印宽度：104mm；</w:t>
      </w:r>
    </w:p>
    <w:p w14:paraId="39AED569">
      <w:pPr>
        <w:keepNext w:val="0"/>
        <w:keepLines w:val="0"/>
        <w:pageBreakBefore w:val="0"/>
        <w:widowControl/>
        <w:numPr>
          <w:ilvl w:val="0"/>
          <w:numId w:val="6"/>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打印速度：102毫米/秒；</w:t>
      </w:r>
    </w:p>
    <w:p w14:paraId="200E602D">
      <w:pPr>
        <w:keepNext w:val="0"/>
        <w:keepLines w:val="0"/>
        <w:pageBreakBefore w:val="0"/>
        <w:widowControl/>
        <w:numPr>
          <w:ilvl w:val="0"/>
          <w:numId w:val="6"/>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cs="宋体"/>
          <w:kern w:val="0"/>
          <w:sz w:val="21"/>
          <w:szCs w:val="21"/>
          <w:highlight w:val="none"/>
          <w:lang w:eastAsia="zh-CN"/>
        </w:rPr>
        <w:t>市场通用型号</w:t>
      </w:r>
      <w:r>
        <w:rPr>
          <w:rFonts w:hint="eastAsia" w:ascii="宋体" w:hAnsi="宋体" w:eastAsia="宋体" w:cs="宋体"/>
          <w:kern w:val="0"/>
          <w:sz w:val="21"/>
          <w:szCs w:val="21"/>
          <w:highlight w:val="none"/>
        </w:rPr>
        <w:t>。</w:t>
      </w:r>
    </w:p>
    <w:p w14:paraId="602AF7B4">
      <w:pPr>
        <w:keepNext w:val="0"/>
        <w:keepLines w:val="0"/>
        <w:pageBreakBefore w:val="0"/>
        <w:widowControl/>
        <w:shd w:val="clear"/>
        <w:kinsoku/>
        <w:wordWrap/>
        <w:overflowPunct/>
        <w:topLinePunct w:val="0"/>
        <w:autoSpaceDE/>
        <w:autoSpaceDN/>
        <w:bidi w:val="0"/>
        <w:adjustRightInd w:val="0"/>
        <w:snapToGrid w:val="0"/>
        <w:spacing w:line="360" w:lineRule="auto"/>
        <w:ind w:firstLine="442" w:firstLineChars="200"/>
        <w:jc w:val="left"/>
        <w:textAlignment w:val="auto"/>
        <w:outlineLvl w:val="2"/>
        <w:rPr>
          <w:rFonts w:hint="eastAsia" w:ascii="宋体" w:hAnsi="宋体" w:eastAsia="宋体" w:cs="宋体"/>
          <w:b/>
          <w:smallCaps/>
          <w:spacing w:val="5"/>
          <w:kern w:val="0"/>
          <w:sz w:val="21"/>
          <w:szCs w:val="21"/>
          <w:highlight w:val="none"/>
        </w:rPr>
      </w:pPr>
      <w:r>
        <w:rPr>
          <w:rFonts w:hint="eastAsia" w:ascii="宋体" w:hAnsi="宋体" w:eastAsia="宋体" w:cs="宋体"/>
          <w:b/>
          <w:smallCaps/>
          <w:spacing w:val="5"/>
          <w:kern w:val="0"/>
          <w:sz w:val="21"/>
          <w:szCs w:val="21"/>
          <w:highlight w:val="none"/>
        </w:rPr>
        <w:t>7.项目要求</w:t>
      </w:r>
    </w:p>
    <w:p w14:paraId="1790A5EA">
      <w:pPr>
        <w:keepNext w:val="0"/>
        <w:keepLines w:val="0"/>
        <w:pageBreakBefore w:val="0"/>
        <w:widowControl/>
        <w:numPr>
          <w:ilvl w:val="1"/>
          <w:numId w:val="0"/>
        </w:numPr>
        <w:shd w:val="clear"/>
        <w:kinsoku/>
        <w:wordWrap/>
        <w:overflowPunct/>
        <w:topLinePunct w:val="0"/>
        <w:autoSpaceDE/>
        <w:autoSpaceDN/>
        <w:bidi w:val="0"/>
        <w:adjustRightInd w:val="0"/>
        <w:snapToGrid w:val="0"/>
        <w:spacing w:line="360" w:lineRule="auto"/>
        <w:ind w:firstLine="422" w:firstLineChars="200"/>
        <w:jc w:val="left"/>
        <w:textAlignment w:val="auto"/>
        <w:outlineLvl w:val="3"/>
        <w:rPr>
          <w:rFonts w:hint="eastAsia" w:ascii="宋体" w:hAnsi="宋体" w:eastAsia="宋体" w:cs="宋体"/>
          <w:b/>
          <w:smallCaps/>
          <w:kern w:val="0"/>
          <w:sz w:val="21"/>
          <w:szCs w:val="21"/>
          <w:highlight w:val="none"/>
        </w:rPr>
      </w:pPr>
      <w:r>
        <w:rPr>
          <w:rFonts w:hint="eastAsia" w:ascii="宋体" w:hAnsi="宋体" w:eastAsia="宋体" w:cs="宋体"/>
          <w:b/>
          <w:smallCaps/>
          <w:kern w:val="0"/>
          <w:sz w:val="21"/>
          <w:szCs w:val="21"/>
          <w:highlight w:val="none"/>
        </w:rPr>
        <w:t>7.1项目技术条款</w:t>
      </w:r>
    </w:p>
    <w:p w14:paraId="6B572E08">
      <w:pPr>
        <w:keepNext w:val="0"/>
        <w:keepLines w:val="0"/>
        <w:pageBreakBefore w:val="0"/>
        <w:widowControl/>
        <w:numPr>
          <w:ilvl w:val="0"/>
          <w:numId w:val="7"/>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客户端系统采用CS方式则应支持以下操作系统：win10企业版32位、win10企业版64位；采用.net框架的需支持.net framework 4.5及以上。客户端采用BS方式则应支持：WIN10以上操作系统调用操作系统默认edge浏览器。</w:t>
      </w:r>
    </w:p>
    <w:p w14:paraId="4DB522FC">
      <w:pPr>
        <w:keepNext w:val="0"/>
        <w:keepLines w:val="0"/>
        <w:pageBreakBefore w:val="0"/>
        <w:widowControl/>
        <w:numPr>
          <w:ilvl w:val="0"/>
          <w:numId w:val="7"/>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整个系统从客户端、中间层、数据库层支持虚拟化技术，可在虚拟化环境下正常运行，支持vm等常见的虚拟机。</w:t>
      </w:r>
    </w:p>
    <w:p w14:paraId="6D378E47">
      <w:pPr>
        <w:keepNext w:val="0"/>
        <w:keepLines w:val="0"/>
        <w:pageBreakBefore w:val="0"/>
        <w:widowControl/>
        <w:numPr>
          <w:ilvl w:val="0"/>
          <w:numId w:val="7"/>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▲不限用户点数，不限同时在线点数，不设使用期限。</w:t>
      </w:r>
    </w:p>
    <w:p w14:paraId="553801C7">
      <w:pPr>
        <w:keepNext w:val="0"/>
        <w:keepLines w:val="0"/>
        <w:pageBreakBefore w:val="0"/>
        <w:widowControl/>
        <w:numPr>
          <w:ilvl w:val="0"/>
          <w:numId w:val="7"/>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w:t>
      </w:r>
      <w:r>
        <w:rPr>
          <w:rFonts w:hint="eastAsia" w:ascii="宋体" w:hAnsi="宋体" w:cs="宋体"/>
          <w:kern w:val="0"/>
          <w:sz w:val="21"/>
          <w:szCs w:val="21"/>
          <w:highlight w:val="none"/>
          <w:lang w:val="en-US" w:eastAsia="zh-CN"/>
        </w:rPr>
        <w:t>采购人购买的</w:t>
      </w:r>
      <w:r>
        <w:rPr>
          <w:rFonts w:hint="eastAsia" w:ascii="宋体" w:hAnsi="宋体" w:eastAsia="宋体" w:cs="宋体"/>
          <w:kern w:val="0"/>
          <w:sz w:val="21"/>
          <w:szCs w:val="21"/>
          <w:highlight w:val="none"/>
        </w:rPr>
        <w:t>产品为终身授权，</w:t>
      </w:r>
      <w:r>
        <w:rPr>
          <w:rFonts w:hint="eastAsia" w:ascii="宋体" w:hAnsi="宋体" w:cs="宋体"/>
          <w:kern w:val="0"/>
          <w:sz w:val="21"/>
          <w:szCs w:val="21"/>
          <w:highlight w:val="none"/>
          <w:lang w:val="en-US" w:eastAsia="zh-CN"/>
        </w:rPr>
        <w:t>不允许</w:t>
      </w:r>
      <w:r>
        <w:rPr>
          <w:rFonts w:hint="eastAsia" w:ascii="宋体" w:hAnsi="宋体" w:eastAsia="宋体" w:cs="宋体"/>
          <w:kern w:val="0"/>
          <w:sz w:val="21"/>
          <w:szCs w:val="21"/>
          <w:highlight w:val="none"/>
        </w:rPr>
        <w:t>另行购买许可。如对软件产品的授权有加密功能，时间许可为永久，只允许软加密，不允许采用U盘加密狗等硬加密方式，软加密不允许读任何</w:t>
      </w:r>
      <w:r>
        <w:rPr>
          <w:rFonts w:hint="eastAsia" w:ascii="宋体" w:hAnsi="宋体" w:cs="宋体"/>
          <w:kern w:val="0"/>
          <w:sz w:val="21"/>
          <w:szCs w:val="21"/>
          <w:highlight w:val="none"/>
          <w:lang w:val="en-US" w:eastAsia="zh-CN"/>
        </w:rPr>
        <w:t>服务器</w:t>
      </w:r>
      <w:r>
        <w:rPr>
          <w:rFonts w:hint="eastAsia" w:ascii="宋体" w:hAnsi="宋体" w:eastAsia="宋体" w:cs="宋体"/>
          <w:kern w:val="0"/>
          <w:sz w:val="21"/>
          <w:szCs w:val="21"/>
          <w:highlight w:val="none"/>
        </w:rPr>
        <w:t>、任何终端的任何软硬件信息作为加密的一部分。</w:t>
      </w:r>
    </w:p>
    <w:p w14:paraId="7EE3CE43">
      <w:pPr>
        <w:keepNext w:val="0"/>
        <w:keepLines w:val="0"/>
        <w:pageBreakBefore w:val="0"/>
        <w:numPr>
          <w:ilvl w:val="0"/>
          <w:numId w:val="7"/>
        </w:numPr>
        <w:shd w:val="clear"/>
        <w:kinsoku/>
        <w:wordWrap/>
        <w:overflowPunct/>
        <w:topLinePunct w:val="0"/>
        <w:autoSpaceDE/>
        <w:autoSpaceDN/>
        <w:bidi w:val="0"/>
        <w:spacing w:line="360" w:lineRule="auto"/>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网络安全等保要求：中标人应根据公安机关的时间要求无条件对本采购包中所涉及的设备及系统进行安全漏洞检测和修复，并配合采购人完成日常等级保护检测和漏洞修复工作，以满足通过等级保护验收的要求。根据采购人提供的方案进行整改。系统整体安全级别需完全符合国家《网络安全等级保护2.0》三级标准的相关要求。如网络扫描发现高危、中危漏洞需通知相关责任人立即修复，并需出一份系统安全整改报告盖中标人的公章。</w:t>
      </w:r>
    </w:p>
    <w:p w14:paraId="57BA7085">
      <w:pPr>
        <w:keepNext w:val="0"/>
        <w:keepLines w:val="0"/>
        <w:pageBreakBefore w:val="0"/>
        <w:numPr>
          <w:ilvl w:val="0"/>
          <w:numId w:val="7"/>
        </w:numPr>
        <w:shd w:val="clear"/>
        <w:kinsoku/>
        <w:wordWrap/>
        <w:overflowPunct/>
        <w:topLinePunct w:val="0"/>
        <w:autoSpaceDE/>
        <w:autoSpaceDN/>
        <w:bidi w:val="0"/>
        <w:spacing w:line="360" w:lineRule="auto"/>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商用密码要求</w:t>
      </w:r>
      <w:r>
        <w:rPr>
          <w:rFonts w:hint="eastAsia" w:ascii="宋体" w:hAnsi="宋体" w:cs="宋体"/>
          <w:kern w:val="0"/>
          <w:sz w:val="21"/>
          <w:szCs w:val="21"/>
          <w:highlight w:val="none"/>
          <w:lang w:eastAsia="zh-CN"/>
        </w:rPr>
        <w:t>：</w:t>
      </w:r>
      <w:r>
        <w:rPr>
          <w:rFonts w:hint="eastAsia" w:ascii="宋体" w:hAnsi="宋体" w:eastAsia="宋体" w:cs="宋体"/>
          <w:kern w:val="0"/>
          <w:sz w:val="21"/>
          <w:szCs w:val="21"/>
          <w:highlight w:val="none"/>
        </w:rPr>
        <w:t>按照国家相关商用密码应用和管理要求，配合相关部门的要求完成商用密码评估及整改工作。</w:t>
      </w:r>
    </w:p>
    <w:p w14:paraId="62886C99">
      <w:pPr>
        <w:keepNext w:val="0"/>
        <w:keepLines w:val="0"/>
        <w:pageBreakBefore w:val="0"/>
        <w:widowControl/>
        <w:numPr>
          <w:ilvl w:val="0"/>
          <w:numId w:val="7"/>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数据库安全保护要求如下：要有数据库技术防错机制，禁止明文密码出现，禁止业务用户拥有DBA权限，禁止使用管理员用户作为与业务系统的连接。</w:t>
      </w:r>
    </w:p>
    <w:p w14:paraId="67362753">
      <w:pPr>
        <w:keepNext w:val="0"/>
        <w:keepLines w:val="0"/>
        <w:pageBreakBefore w:val="0"/>
        <w:widowControl/>
        <w:numPr>
          <w:ilvl w:val="0"/>
          <w:numId w:val="7"/>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应用</w:t>
      </w:r>
      <w:r>
        <w:rPr>
          <w:rFonts w:hint="eastAsia" w:ascii="宋体" w:hAnsi="宋体" w:cs="宋体"/>
          <w:kern w:val="0"/>
          <w:sz w:val="21"/>
          <w:szCs w:val="21"/>
          <w:highlight w:val="none"/>
          <w:lang w:val="en-US" w:eastAsia="zh-CN"/>
        </w:rPr>
        <w:t>服务器</w:t>
      </w:r>
      <w:r>
        <w:rPr>
          <w:rFonts w:hint="eastAsia" w:ascii="宋体" w:hAnsi="宋体" w:eastAsia="宋体" w:cs="宋体"/>
          <w:kern w:val="0"/>
          <w:sz w:val="21"/>
          <w:szCs w:val="21"/>
          <w:highlight w:val="none"/>
        </w:rPr>
        <w:t>与数据库</w:t>
      </w:r>
      <w:r>
        <w:rPr>
          <w:rFonts w:hint="eastAsia" w:ascii="宋体" w:hAnsi="宋体" w:cs="宋体"/>
          <w:kern w:val="0"/>
          <w:sz w:val="21"/>
          <w:szCs w:val="21"/>
          <w:highlight w:val="none"/>
          <w:lang w:val="en-US" w:eastAsia="zh-CN"/>
        </w:rPr>
        <w:t>服务器</w:t>
      </w:r>
      <w:r>
        <w:rPr>
          <w:rFonts w:hint="eastAsia" w:ascii="宋体" w:hAnsi="宋体" w:cs="宋体"/>
          <w:kern w:val="0"/>
          <w:sz w:val="21"/>
          <w:szCs w:val="21"/>
          <w:highlight w:val="none"/>
          <w:lang w:eastAsia="zh-CN"/>
        </w:rPr>
        <w:t>（</w:t>
      </w:r>
      <w:r>
        <w:rPr>
          <w:rFonts w:hint="eastAsia" w:ascii="宋体" w:hAnsi="宋体" w:eastAsia="宋体" w:cs="宋体"/>
          <w:kern w:val="0"/>
          <w:sz w:val="21"/>
          <w:szCs w:val="21"/>
          <w:highlight w:val="none"/>
        </w:rPr>
        <w:t>含数据文件</w:t>
      </w:r>
      <w:r>
        <w:rPr>
          <w:rFonts w:hint="eastAsia" w:ascii="宋体" w:hAnsi="宋体" w:cs="宋体"/>
          <w:kern w:val="0"/>
          <w:sz w:val="21"/>
          <w:szCs w:val="21"/>
          <w:highlight w:val="none"/>
          <w:lang w:eastAsia="zh-CN"/>
        </w:rPr>
        <w:t>）</w:t>
      </w:r>
      <w:r>
        <w:rPr>
          <w:rFonts w:hint="eastAsia" w:ascii="宋体" w:hAnsi="宋体" w:eastAsia="宋体" w:cs="宋体"/>
          <w:kern w:val="0"/>
          <w:sz w:val="21"/>
          <w:szCs w:val="21"/>
          <w:highlight w:val="none"/>
        </w:rPr>
        <w:t>分离，分别部署在不同的</w:t>
      </w:r>
      <w:r>
        <w:rPr>
          <w:rFonts w:hint="eastAsia" w:ascii="宋体" w:hAnsi="宋体" w:cs="宋体"/>
          <w:kern w:val="0"/>
          <w:sz w:val="21"/>
          <w:szCs w:val="21"/>
          <w:highlight w:val="none"/>
          <w:lang w:val="en-US" w:eastAsia="zh-CN"/>
        </w:rPr>
        <w:t>服务器</w:t>
      </w:r>
      <w:r>
        <w:rPr>
          <w:rFonts w:hint="eastAsia" w:ascii="宋体" w:hAnsi="宋体" w:eastAsia="宋体" w:cs="宋体"/>
          <w:kern w:val="0"/>
          <w:sz w:val="21"/>
          <w:szCs w:val="21"/>
          <w:highlight w:val="none"/>
        </w:rPr>
        <w:t>上。</w:t>
      </w:r>
    </w:p>
    <w:p w14:paraId="6F0443E5">
      <w:pPr>
        <w:keepNext w:val="0"/>
        <w:keepLines w:val="0"/>
        <w:pageBreakBefore w:val="0"/>
        <w:widowControl/>
        <w:numPr>
          <w:ilvl w:val="0"/>
          <w:numId w:val="7"/>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cs="宋体"/>
          <w:kern w:val="0"/>
          <w:sz w:val="21"/>
          <w:szCs w:val="21"/>
          <w:highlight w:val="none"/>
          <w:lang w:eastAsia="zh-CN"/>
        </w:rPr>
        <w:t>项目验收</w:t>
      </w:r>
      <w:r>
        <w:rPr>
          <w:rFonts w:hint="eastAsia" w:ascii="宋体" w:hAnsi="宋体" w:eastAsia="宋体" w:cs="宋体"/>
          <w:kern w:val="0"/>
          <w:sz w:val="21"/>
          <w:szCs w:val="21"/>
          <w:highlight w:val="none"/>
        </w:rPr>
        <w:t>前中标人完成所有与该系统有关的信息系统、政策性任务、医疗设备等接口开发调试工作，并保证接口的正常运行投入使用。</w:t>
      </w:r>
    </w:p>
    <w:p w14:paraId="6F718600">
      <w:pPr>
        <w:keepNext w:val="0"/>
        <w:keepLines w:val="0"/>
        <w:pageBreakBefore w:val="0"/>
        <w:widowControl/>
        <w:numPr>
          <w:ilvl w:val="0"/>
          <w:numId w:val="7"/>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cs="宋体"/>
          <w:kern w:val="0"/>
          <w:sz w:val="21"/>
          <w:szCs w:val="21"/>
          <w:highlight w:val="none"/>
          <w:lang w:eastAsia="zh-CN"/>
        </w:rPr>
        <w:t>项目验收</w:t>
      </w:r>
      <w:r>
        <w:rPr>
          <w:rFonts w:hint="eastAsia" w:ascii="宋体" w:hAnsi="宋体" w:eastAsia="宋体" w:cs="宋体"/>
          <w:kern w:val="0"/>
          <w:sz w:val="21"/>
          <w:szCs w:val="21"/>
          <w:highlight w:val="none"/>
        </w:rPr>
        <w:t>前实施过程中如需要与第三方厂商的产品对接，第三方厂商的接口改造费用由中标人支付。</w:t>
      </w:r>
    </w:p>
    <w:p w14:paraId="2D43728B">
      <w:pPr>
        <w:keepNext w:val="0"/>
        <w:keepLines w:val="0"/>
        <w:pageBreakBefore w:val="0"/>
        <w:widowControl/>
        <w:numPr>
          <w:ilvl w:val="0"/>
          <w:numId w:val="7"/>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软件符合《全国医院信息化建设标准与规范》要求。</w:t>
      </w:r>
    </w:p>
    <w:p w14:paraId="1AEF6E6F">
      <w:pPr>
        <w:keepNext w:val="0"/>
        <w:keepLines w:val="0"/>
        <w:pageBreakBefore w:val="0"/>
        <w:widowControl/>
        <w:numPr>
          <w:ilvl w:val="0"/>
          <w:numId w:val="7"/>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cs="宋体"/>
          <w:kern w:val="0"/>
          <w:sz w:val="21"/>
          <w:szCs w:val="21"/>
          <w:highlight w:val="none"/>
          <w:lang w:val="en-US" w:eastAsia="zh-CN"/>
        </w:rPr>
        <w:t>服务器</w:t>
      </w:r>
      <w:r>
        <w:rPr>
          <w:rFonts w:hint="eastAsia" w:ascii="宋体" w:hAnsi="宋体" w:eastAsia="宋体" w:cs="宋体"/>
          <w:kern w:val="0"/>
          <w:sz w:val="21"/>
          <w:szCs w:val="21"/>
          <w:highlight w:val="none"/>
        </w:rPr>
        <w:t>操作系统相关：优先采用Linux操作系统及配套成熟组件部署业务系统再考虑采用Windows Server 2016操作系统及配套成熟组件部署业务系统，并自带序列号激活码。</w:t>
      </w:r>
    </w:p>
    <w:p w14:paraId="2A53921E">
      <w:pPr>
        <w:keepNext w:val="0"/>
        <w:keepLines w:val="0"/>
        <w:pageBreakBefore w:val="0"/>
        <w:widowControl/>
        <w:numPr>
          <w:ilvl w:val="0"/>
          <w:numId w:val="7"/>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数据库采用SQL Server 2016或Oracle 11g及以上版本。</w:t>
      </w:r>
    </w:p>
    <w:p w14:paraId="4B209256">
      <w:pPr>
        <w:keepNext w:val="0"/>
        <w:keepLines w:val="0"/>
        <w:pageBreakBefore w:val="0"/>
        <w:widowControl/>
        <w:numPr>
          <w:ilvl w:val="0"/>
          <w:numId w:val="7"/>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▲用户首次登录系统时要求系统能提示用户强制修改原始密码；不允许有不符合网络安全要求的数据库、应用</w:t>
      </w:r>
      <w:r>
        <w:rPr>
          <w:rFonts w:hint="eastAsia" w:ascii="宋体" w:hAnsi="宋体" w:cs="宋体"/>
          <w:kern w:val="0"/>
          <w:sz w:val="21"/>
          <w:szCs w:val="21"/>
          <w:highlight w:val="none"/>
          <w:lang w:val="en-US" w:eastAsia="zh-CN"/>
        </w:rPr>
        <w:t>服务器</w:t>
      </w:r>
      <w:r>
        <w:rPr>
          <w:rFonts w:hint="eastAsia" w:ascii="宋体" w:hAnsi="宋体" w:eastAsia="宋体" w:cs="宋体"/>
          <w:kern w:val="0"/>
          <w:sz w:val="21"/>
          <w:szCs w:val="21"/>
          <w:highlight w:val="none"/>
        </w:rPr>
        <w:t>、客户端弱口令；从技术层面强制控制强密码要求采用数字、大小写字母、特殊符号组成，密码长度不少于8位，并设立开关控制；有定期强制更换密码开关，并能设置某个周期内强制用户登录时更换密码。</w:t>
      </w:r>
    </w:p>
    <w:p w14:paraId="4C0D00F2">
      <w:pPr>
        <w:keepNext w:val="0"/>
        <w:keepLines w:val="0"/>
        <w:pageBreakBefore w:val="0"/>
        <w:widowControl/>
        <w:numPr>
          <w:ilvl w:val="0"/>
          <w:numId w:val="7"/>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如系统牵涉财务收费对账问题，则需有相关的对账报表以辅助业务科室完成对账工作。</w:t>
      </w:r>
    </w:p>
    <w:p w14:paraId="0E060F9D">
      <w:pPr>
        <w:keepNext w:val="0"/>
        <w:keepLines w:val="0"/>
        <w:pageBreakBefore w:val="0"/>
        <w:widowControl/>
        <w:numPr>
          <w:ilvl w:val="0"/>
          <w:numId w:val="7"/>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cs="宋体"/>
          <w:kern w:val="0"/>
          <w:sz w:val="21"/>
          <w:szCs w:val="21"/>
          <w:highlight w:val="none"/>
          <w:lang w:eastAsia="zh-CN"/>
        </w:rPr>
        <w:t>项目验收</w:t>
      </w:r>
      <w:r>
        <w:rPr>
          <w:rFonts w:hint="eastAsia" w:ascii="宋体" w:hAnsi="宋体" w:cs="宋体"/>
          <w:kern w:val="0"/>
          <w:sz w:val="21"/>
          <w:szCs w:val="21"/>
          <w:highlight w:val="none"/>
          <w:lang w:val="en-US" w:eastAsia="zh-CN"/>
        </w:rPr>
        <w:t>合格</w:t>
      </w:r>
      <w:r>
        <w:rPr>
          <w:rFonts w:hint="eastAsia" w:ascii="宋体" w:hAnsi="宋体" w:eastAsia="宋体" w:cs="宋体"/>
          <w:kern w:val="0"/>
          <w:sz w:val="21"/>
          <w:szCs w:val="21"/>
          <w:highlight w:val="none"/>
        </w:rPr>
        <w:t>后</w:t>
      </w:r>
      <w:r>
        <w:rPr>
          <w:rFonts w:hint="eastAsia" w:ascii="宋体" w:hAnsi="宋体" w:cs="宋体"/>
          <w:kern w:val="0"/>
          <w:sz w:val="21"/>
          <w:szCs w:val="21"/>
          <w:highlight w:val="none"/>
          <w:lang w:val="en-US" w:eastAsia="zh-CN"/>
        </w:rPr>
        <w:t>采购人</w:t>
      </w:r>
      <w:r>
        <w:rPr>
          <w:rFonts w:hint="eastAsia" w:ascii="宋体" w:hAnsi="宋体" w:eastAsia="宋体" w:cs="宋体"/>
          <w:kern w:val="0"/>
          <w:sz w:val="21"/>
          <w:szCs w:val="21"/>
          <w:highlight w:val="none"/>
        </w:rPr>
        <w:t>每一个BUG提出至</w:t>
      </w:r>
      <w:r>
        <w:rPr>
          <w:rFonts w:hint="eastAsia" w:ascii="宋体" w:hAnsi="宋体" w:cs="宋体"/>
          <w:kern w:val="0"/>
          <w:sz w:val="21"/>
          <w:szCs w:val="21"/>
          <w:highlight w:val="none"/>
          <w:lang w:val="en-US" w:eastAsia="zh-CN"/>
        </w:rPr>
        <w:t>中标人</w:t>
      </w:r>
      <w:r>
        <w:rPr>
          <w:rFonts w:hint="eastAsia" w:ascii="宋体" w:hAnsi="宋体" w:eastAsia="宋体" w:cs="宋体"/>
          <w:kern w:val="0"/>
          <w:sz w:val="21"/>
          <w:szCs w:val="21"/>
          <w:highlight w:val="none"/>
        </w:rPr>
        <w:t>，</w:t>
      </w:r>
      <w:r>
        <w:rPr>
          <w:rFonts w:hint="eastAsia" w:ascii="宋体" w:hAnsi="宋体" w:cs="宋体"/>
          <w:kern w:val="0"/>
          <w:sz w:val="21"/>
          <w:szCs w:val="21"/>
          <w:highlight w:val="none"/>
          <w:lang w:val="en-US" w:eastAsia="zh-CN"/>
        </w:rPr>
        <w:t>中标人</w:t>
      </w:r>
      <w:r>
        <w:rPr>
          <w:rFonts w:hint="eastAsia" w:ascii="宋体" w:hAnsi="宋体" w:eastAsia="宋体" w:cs="宋体"/>
          <w:kern w:val="0"/>
          <w:sz w:val="21"/>
          <w:szCs w:val="21"/>
          <w:highlight w:val="none"/>
        </w:rPr>
        <w:t>需在5个工作日内评估出解决方案，并通过电子邮件告知</w:t>
      </w:r>
      <w:r>
        <w:rPr>
          <w:rFonts w:hint="eastAsia" w:ascii="宋体" w:hAnsi="宋体" w:cs="宋体"/>
          <w:kern w:val="0"/>
          <w:sz w:val="21"/>
          <w:szCs w:val="21"/>
          <w:highlight w:val="none"/>
          <w:lang w:val="en-US" w:eastAsia="zh-CN"/>
        </w:rPr>
        <w:t>采购人</w:t>
      </w:r>
      <w:r>
        <w:rPr>
          <w:rFonts w:hint="eastAsia" w:ascii="宋体" w:hAnsi="宋体" w:cs="宋体"/>
          <w:kern w:val="0"/>
          <w:sz w:val="21"/>
          <w:szCs w:val="21"/>
          <w:highlight w:val="none"/>
          <w:lang w:eastAsia="zh-CN"/>
        </w:rPr>
        <w:t>。</w:t>
      </w:r>
    </w:p>
    <w:p w14:paraId="40FDCE19">
      <w:pPr>
        <w:keepNext w:val="0"/>
        <w:keepLines w:val="0"/>
        <w:pageBreakBefore w:val="0"/>
        <w:widowControl/>
        <w:numPr>
          <w:ilvl w:val="0"/>
          <w:numId w:val="7"/>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cs="宋体"/>
          <w:kern w:val="0"/>
          <w:sz w:val="21"/>
          <w:szCs w:val="21"/>
          <w:highlight w:val="none"/>
          <w:lang w:eastAsia="zh-CN"/>
        </w:rPr>
        <w:t>项目验收</w:t>
      </w:r>
      <w:r>
        <w:rPr>
          <w:rFonts w:hint="eastAsia" w:ascii="宋体" w:hAnsi="宋体" w:cs="宋体"/>
          <w:kern w:val="0"/>
          <w:sz w:val="21"/>
          <w:szCs w:val="21"/>
          <w:highlight w:val="none"/>
          <w:lang w:val="en-US" w:eastAsia="zh-CN"/>
        </w:rPr>
        <w:t>合格</w:t>
      </w:r>
      <w:r>
        <w:rPr>
          <w:rFonts w:hint="eastAsia" w:ascii="宋体" w:hAnsi="宋体" w:eastAsia="宋体" w:cs="宋体"/>
          <w:kern w:val="0"/>
          <w:sz w:val="21"/>
          <w:szCs w:val="21"/>
          <w:highlight w:val="none"/>
        </w:rPr>
        <w:t>后</w:t>
      </w:r>
      <w:r>
        <w:rPr>
          <w:rFonts w:hint="eastAsia" w:ascii="宋体" w:hAnsi="宋体" w:cs="宋体"/>
          <w:kern w:val="0"/>
          <w:sz w:val="21"/>
          <w:szCs w:val="21"/>
          <w:highlight w:val="none"/>
          <w:lang w:eastAsia="zh-CN"/>
        </w:rPr>
        <w:t>采购人</w:t>
      </w:r>
      <w:r>
        <w:rPr>
          <w:rFonts w:hint="eastAsia" w:ascii="宋体" w:hAnsi="宋体" w:eastAsia="宋体" w:cs="宋体"/>
          <w:kern w:val="0"/>
          <w:sz w:val="21"/>
          <w:szCs w:val="21"/>
          <w:highlight w:val="none"/>
        </w:rPr>
        <w:t>每一个需求提出至中标人，中标人需在20个工作日内评估出解决方案，并通过电子邮件告知</w:t>
      </w:r>
      <w:r>
        <w:rPr>
          <w:rFonts w:hint="eastAsia" w:ascii="宋体" w:hAnsi="宋体" w:cs="宋体"/>
          <w:kern w:val="0"/>
          <w:sz w:val="21"/>
          <w:szCs w:val="21"/>
          <w:highlight w:val="none"/>
          <w:lang w:eastAsia="zh-CN"/>
        </w:rPr>
        <w:t>采购人</w:t>
      </w:r>
      <w:r>
        <w:rPr>
          <w:rFonts w:hint="eastAsia" w:ascii="宋体" w:hAnsi="宋体" w:eastAsia="宋体" w:cs="宋体"/>
          <w:kern w:val="0"/>
          <w:sz w:val="21"/>
          <w:szCs w:val="21"/>
          <w:highlight w:val="none"/>
        </w:rPr>
        <w:t>，具体如下：</w:t>
      </w:r>
    </w:p>
    <w:p w14:paraId="31621AED">
      <w:pPr>
        <w:keepNext w:val="0"/>
        <w:keepLines w:val="0"/>
        <w:pageBreakBefore w:val="0"/>
        <w:widowControl/>
        <w:numPr>
          <w:ilvl w:val="1"/>
          <w:numId w:val="7"/>
        </w:numPr>
        <w:shd w:val="clear"/>
        <w:kinsoku/>
        <w:wordWrap/>
        <w:overflowPunct/>
        <w:topLinePunct w:val="0"/>
        <w:autoSpaceDE/>
        <w:autoSpaceDN/>
        <w:bidi w:val="0"/>
        <w:adjustRightInd w:val="0"/>
        <w:snapToGrid w:val="0"/>
        <w:spacing w:line="360" w:lineRule="auto"/>
        <w:ind w:left="0"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无法实现。</w:t>
      </w:r>
    </w:p>
    <w:p w14:paraId="2C3EF08D">
      <w:pPr>
        <w:keepNext w:val="0"/>
        <w:keepLines w:val="0"/>
        <w:pageBreakBefore w:val="0"/>
        <w:widowControl/>
        <w:numPr>
          <w:ilvl w:val="1"/>
          <w:numId w:val="7"/>
        </w:numPr>
        <w:shd w:val="clear"/>
        <w:kinsoku/>
        <w:wordWrap/>
        <w:overflowPunct/>
        <w:topLinePunct w:val="0"/>
        <w:autoSpaceDE/>
        <w:autoSpaceDN/>
        <w:bidi w:val="0"/>
        <w:adjustRightInd w:val="0"/>
        <w:snapToGrid w:val="0"/>
        <w:spacing w:line="360" w:lineRule="auto"/>
        <w:ind w:left="0" w:firstLine="420" w:firstLineChars="200"/>
        <w:jc w:val="left"/>
        <w:textAlignment w:val="auto"/>
        <w:rPr>
          <w:rFonts w:hint="eastAsia" w:ascii="宋体" w:hAnsi="宋体" w:eastAsia="宋体" w:cs="宋体"/>
          <w:kern w:val="0"/>
          <w:sz w:val="21"/>
          <w:szCs w:val="21"/>
          <w:highlight w:val="none"/>
        </w:rPr>
      </w:pPr>
      <w:r>
        <w:rPr>
          <w:rFonts w:hint="eastAsia"/>
          <w:highlight w:val="none"/>
          <w:lang w:eastAsia="zh-CN"/>
        </w:rPr>
        <w:t>项目</w:t>
      </w:r>
      <w:r>
        <w:rPr>
          <w:rFonts w:hint="eastAsia"/>
          <w:highlight w:val="none"/>
          <w:lang w:val="en-US" w:eastAsia="zh-CN"/>
        </w:rPr>
        <w:t>硬件维护期、</w:t>
      </w:r>
      <w:r>
        <w:rPr>
          <w:rFonts w:hint="eastAsia"/>
          <w:highlight w:val="none"/>
          <w:lang w:eastAsia="zh-CN"/>
        </w:rPr>
        <w:t>软件运维期</w:t>
      </w:r>
      <w:r>
        <w:rPr>
          <w:rFonts w:hint="eastAsia" w:ascii="宋体" w:hAnsi="宋体" w:eastAsia="宋体" w:cs="宋体"/>
          <w:kern w:val="0"/>
          <w:sz w:val="21"/>
          <w:szCs w:val="21"/>
          <w:highlight w:val="none"/>
        </w:rPr>
        <w:t>内实现，计划完工日期。</w:t>
      </w:r>
    </w:p>
    <w:p w14:paraId="79959171">
      <w:pPr>
        <w:keepNext w:val="0"/>
        <w:keepLines w:val="0"/>
        <w:pageBreakBefore w:val="0"/>
        <w:widowControl/>
        <w:numPr>
          <w:ilvl w:val="1"/>
          <w:numId w:val="7"/>
        </w:numPr>
        <w:shd w:val="clear"/>
        <w:kinsoku/>
        <w:wordWrap/>
        <w:overflowPunct/>
        <w:topLinePunct w:val="0"/>
        <w:autoSpaceDE/>
        <w:autoSpaceDN/>
        <w:bidi w:val="0"/>
        <w:adjustRightInd w:val="0"/>
        <w:snapToGrid w:val="0"/>
        <w:spacing w:line="360" w:lineRule="auto"/>
        <w:ind w:left="0"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需开立新合同，请注明具体的完工日期、费用。</w:t>
      </w:r>
    </w:p>
    <w:p w14:paraId="378592B9">
      <w:pPr>
        <w:keepNext w:val="0"/>
        <w:keepLines w:val="0"/>
        <w:pageBreakBefore w:val="0"/>
        <w:widowControl/>
        <w:numPr>
          <w:ilvl w:val="0"/>
          <w:numId w:val="7"/>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支持的移动应用种类：如微信等调用方式。</w:t>
      </w:r>
    </w:p>
    <w:p w14:paraId="0EA4C1BB">
      <w:pPr>
        <w:keepNext w:val="0"/>
        <w:keepLines w:val="0"/>
        <w:pageBreakBefore w:val="0"/>
        <w:widowControl/>
        <w:numPr>
          <w:ilvl w:val="0"/>
          <w:numId w:val="7"/>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系统使用现行主流开发产品语言、数据库。</w:t>
      </w:r>
    </w:p>
    <w:p w14:paraId="27538B1D">
      <w:pPr>
        <w:keepNext w:val="0"/>
        <w:keepLines w:val="0"/>
        <w:pageBreakBefore w:val="0"/>
        <w:widowControl/>
        <w:numPr>
          <w:ilvl w:val="0"/>
          <w:numId w:val="7"/>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cs="宋体"/>
          <w:kern w:val="0"/>
          <w:sz w:val="21"/>
          <w:szCs w:val="21"/>
          <w:highlight w:val="none"/>
          <w:lang w:eastAsia="zh-CN"/>
        </w:rPr>
        <w:t>本采购包</w:t>
      </w:r>
      <w:r>
        <w:rPr>
          <w:rFonts w:hint="eastAsia" w:ascii="宋体" w:hAnsi="宋体" w:eastAsia="宋体" w:cs="宋体"/>
          <w:kern w:val="0"/>
          <w:sz w:val="21"/>
          <w:szCs w:val="21"/>
          <w:highlight w:val="none"/>
        </w:rPr>
        <w:t>实现的成果，配合</w:t>
      </w:r>
      <w:r>
        <w:rPr>
          <w:rFonts w:hint="eastAsia" w:ascii="宋体" w:hAnsi="宋体" w:cs="宋体"/>
          <w:kern w:val="0"/>
          <w:sz w:val="21"/>
          <w:szCs w:val="21"/>
          <w:highlight w:val="none"/>
          <w:lang w:eastAsia="zh-CN"/>
        </w:rPr>
        <w:t>采购人</w:t>
      </w:r>
      <w:r>
        <w:rPr>
          <w:rFonts w:hint="eastAsia" w:ascii="宋体" w:hAnsi="宋体" w:eastAsia="宋体" w:cs="宋体"/>
          <w:kern w:val="0"/>
          <w:sz w:val="21"/>
          <w:szCs w:val="21"/>
          <w:highlight w:val="none"/>
        </w:rPr>
        <w:t>进行成果转化，申请软件著作权等。</w:t>
      </w:r>
    </w:p>
    <w:p w14:paraId="1885D697">
      <w:pPr>
        <w:keepNext w:val="0"/>
        <w:keepLines w:val="0"/>
        <w:pageBreakBefore w:val="0"/>
        <w:widowControl/>
        <w:numPr>
          <w:ilvl w:val="0"/>
          <w:numId w:val="7"/>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cs="宋体"/>
          <w:sz w:val="21"/>
          <w:szCs w:val="21"/>
          <w:highlight w:val="none"/>
          <w:lang w:val="en-US" w:eastAsia="zh-CN"/>
        </w:rPr>
        <w:t>中标人</w:t>
      </w:r>
      <w:r>
        <w:rPr>
          <w:rFonts w:hint="default" w:ascii="宋体" w:hAnsi="宋体" w:cs="宋体"/>
          <w:sz w:val="21"/>
          <w:szCs w:val="21"/>
          <w:highlight w:val="none"/>
          <w:lang w:val="en-US" w:eastAsia="zh-CN"/>
        </w:rPr>
        <w:t>需</w:t>
      </w:r>
      <w:r>
        <w:rPr>
          <w:rFonts w:hint="eastAsia" w:ascii="宋体" w:hAnsi="宋体" w:eastAsia="宋体" w:cs="宋体"/>
          <w:sz w:val="21"/>
          <w:szCs w:val="21"/>
          <w:highlight w:val="none"/>
        </w:rPr>
        <w:t>承诺将验收时交付的本</w:t>
      </w:r>
      <w:r>
        <w:rPr>
          <w:rFonts w:hint="eastAsia" w:ascii="宋体" w:hAnsi="宋体" w:cs="宋体"/>
          <w:sz w:val="21"/>
          <w:szCs w:val="21"/>
          <w:highlight w:val="none"/>
          <w:lang w:val="en-US" w:eastAsia="zh-CN"/>
        </w:rPr>
        <w:t>采购包</w:t>
      </w:r>
      <w:r>
        <w:rPr>
          <w:rFonts w:hint="eastAsia" w:ascii="宋体" w:hAnsi="宋体" w:eastAsia="宋体" w:cs="宋体"/>
          <w:sz w:val="21"/>
          <w:szCs w:val="21"/>
          <w:highlight w:val="none"/>
        </w:rPr>
        <w:t>二次开发部分可执行源代码以移动硬盘方式交付</w:t>
      </w:r>
      <w:r>
        <w:rPr>
          <w:rFonts w:hint="eastAsia" w:ascii="宋体" w:hAnsi="宋体" w:cs="宋体"/>
          <w:sz w:val="21"/>
          <w:szCs w:val="21"/>
          <w:highlight w:val="none"/>
          <w:lang w:val="en-US" w:eastAsia="zh-CN"/>
        </w:rPr>
        <w:t>采购人</w:t>
      </w:r>
      <w:r>
        <w:rPr>
          <w:rFonts w:hint="eastAsia" w:ascii="宋体" w:hAnsi="宋体" w:eastAsia="宋体" w:cs="宋体"/>
          <w:sz w:val="21"/>
          <w:szCs w:val="21"/>
          <w:highlight w:val="none"/>
        </w:rPr>
        <w:t>保管。如</w:t>
      </w:r>
      <w:r>
        <w:rPr>
          <w:rFonts w:hint="eastAsia" w:ascii="宋体" w:hAnsi="宋体" w:cs="宋体"/>
          <w:sz w:val="21"/>
          <w:szCs w:val="21"/>
          <w:highlight w:val="none"/>
          <w:lang w:val="en-US" w:eastAsia="zh-CN"/>
        </w:rPr>
        <w:t>中标人</w:t>
      </w:r>
      <w:r>
        <w:rPr>
          <w:rFonts w:hint="eastAsia" w:ascii="宋体" w:hAnsi="宋体" w:eastAsia="宋体" w:cs="宋体"/>
          <w:sz w:val="21"/>
          <w:szCs w:val="21"/>
          <w:highlight w:val="none"/>
        </w:rPr>
        <w:t>因不能正常</w:t>
      </w:r>
      <w:r>
        <w:rPr>
          <w:rFonts w:hint="eastAsia" w:ascii="宋体" w:hAnsi="宋体" w:cs="宋体"/>
          <w:sz w:val="21"/>
          <w:szCs w:val="21"/>
          <w:highlight w:val="none"/>
          <w:lang w:eastAsia="zh-CN"/>
        </w:rPr>
        <w:t>运营</w:t>
      </w:r>
      <w:r>
        <w:rPr>
          <w:rFonts w:hint="eastAsia" w:ascii="宋体" w:hAnsi="宋体" w:eastAsia="宋体" w:cs="宋体"/>
          <w:sz w:val="21"/>
          <w:szCs w:val="21"/>
          <w:highlight w:val="none"/>
        </w:rPr>
        <w:t>或公司结业、产品下架等原因无法继续为</w:t>
      </w:r>
      <w:r>
        <w:rPr>
          <w:rFonts w:hint="eastAsia" w:ascii="宋体" w:hAnsi="宋体" w:cs="宋体"/>
          <w:sz w:val="21"/>
          <w:szCs w:val="21"/>
          <w:highlight w:val="none"/>
          <w:lang w:val="en-US" w:eastAsia="zh-CN"/>
        </w:rPr>
        <w:t>采购人</w:t>
      </w:r>
      <w:r>
        <w:rPr>
          <w:rFonts w:hint="eastAsia" w:ascii="宋体" w:hAnsi="宋体" w:eastAsia="宋体" w:cs="宋体"/>
          <w:sz w:val="21"/>
          <w:szCs w:val="21"/>
          <w:highlight w:val="none"/>
        </w:rPr>
        <w:t>提供维护服务，</w:t>
      </w:r>
      <w:r>
        <w:rPr>
          <w:rFonts w:hint="eastAsia" w:ascii="宋体" w:hAnsi="宋体" w:cs="宋体"/>
          <w:sz w:val="21"/>
          <w:szCs w:val="21"/>
          <w:highlight w:val="none"/>
          <w:lang w:val="en-US" w:eastAsia="zh-CN"/>
        </w:rPr>
        <w:t>中标人</w:t>
      </w:r>
      <w:r>
        <w:rPr>
          <w:rFonts w:hint="eastAsia" w:ascii="宋体" w:hAnsi="宋体" w:eastAsia="宋体" w:cs="宋体"/>
          <w:sz w:val="21"/>
          <w:szCs w:val="21"/>
          <w:highlight w:val="none"/>
        </w:rPr>
        <w:t>将无偿</w:t>
      </w:r>
      <w:r>
        <w:rPr>
          <w:rFonts w:hint="eastAsia" w:ascii="宋体" w:hAnsi="宋体" w:cs="宋体"/>
          <w:sz w:val="21"/>
          <w:szCs w:val="21"/>
          <w:highlight w:val="none"/>
          <w:lang w:val="en-US" w:eastAsia="zh-CN"/>
        </w:rPr>
        <w:t>提供</w:t>
      </w:r>
      <w:r>
        <w:rPr>
          <w:rFonts w:hint="eastAsia" w:ascii="宋体" w:hAnsi="宋体" w:cs="宋体"/>
          <w:sz w:val="21"/>
          <w:szCs w:val="21"/>
          <w:highlight w:val="none"/>
          <w:lang w:eastAsia="zh-CN"/>
        </w:rPr>
        <w:t>本采购包</w:t>
      </w:r>
      <w:r>
        <w:rPr>
          <w:rFonts w:hint="eastAsia" w:ascii="宋体" w:hAnsi="宋体" w:eastAsia="宋体" w:cs="宋体"/>
          <w:sz w:val="21"/>
          <w:szCs w:val="21"/>
          <w:highlight w:val="none"/>
        </w:rPr>
        <w:t>源代码给</w:t>
      </w:r>
      <w:r>
        <w:rPr>
          <w:rFonts w:hint="eastAsia" w:ascii="宋体" w:hAnsi="宋体" w:cs="宋体"/>
          <w:sz w:val="21"/>
          <w:szCs w:val="21"/>
          <w:highlight w:val="none"/>
          <w:lang w:val="en-US" w:eastAsia="zh-CN"/>
        </w:rPr>
        <w:t>采购人以及采购人</w:t>
      </w:r>
      <w:r>
        <w:rPr>
          <w:rFonts w:hint="eastAsia" w:ascii="宋体" w:hAnsi="宋体" w:eastAsia="宋体" w:cs="宋体"/>
          <w:sz w:val="21"/>
          <w:szCs w:val="21"/>
          <w:highlight w:val="none"/>
        </w:rPr>
        <w:t>授权运维第三方使用</w:t>
      </w:r>
      <w:r>
        <w:rPr>
          <w:rFonts w:hint="eastAsia" w:ascii="宋体" w:hAnsi="宋体" w:eastAsia="宋体" w:cs="宋体"/>
          <w:kern w:val="0"/>
          <w:sz w:val="21"/>
          <w:szCs w:val="21"/>
          <w:highlight w:val="none"/>
        </w:rPr>
        <w:t>。</w:t>
      </w:r>
    </w:p>
    <w:p w14:paraId="5BC7C883">
      <w:pPr>
        <w:keepNext w:val="0"/>
        <w:keepLines w:val="0"/>
        <w:pageBreakBefore w:val="0"/>
        <w:widowControl/>
        <w:numPr>
          <w:ilvl w:val="1"/>
          <w:numId w:val="0"/>
        </w:numPr>
        <w:shd w:val="clear"/>
        <w:kinsoku/>
        <w:wordWrap/>
        <w:overflowPunct/>
        <w:topLinePunct w:val="0"/>
        <w:autoSpaceDE/>
        <w:autoSpaceDN/>
        <w:bidi w:val="0"/>
        <w:adjustRightInd w:val="0"/>
        <w:snapToGrid w:val="0"/>
        <w:spacing w:line="360" w:lineRule="auto"/>
        <w:ind w:firstLine="422" w:firstLineChars="200"/>
        <w:jc w:val="left"/>
        <w:textAlignment w:val="auto"/>
        <w:outlineLvl w:val="3"/>
        <w:rPr>
          <w:rFonts w:hint="eastAsia" w:ascii="宋体" w:hAnsi="宋体" w:eastAsia="宋体" w:cs="宋体"/>
          <w:b/>
          <w:smallCaps/>
          <w:kern w:val="0"/>
          <w:sz w:val="21"/>
          <w:szCs w:val="21"/>
          <w:highlight w:val="none"/>
        </w:rPr>
      </w:pPr>
      <w:r>
        <w:rPr>
          <w:rFonts w:hint="eastAsia" w:ascii="宋体" w:hAnsi="宋体" w:eastAsia="宋体" w:cs="宋体"/>
          <w:b/>
          <w:smallCaps/>
          <w:kern w:val="0"/>
          <w:sz w:val="21"/>
          <w:szCs w:val="21"/>
          <w:highlight w:val="none"/>
        </w:rPr>
        <w:t>7.2项目实施要求</w:t>
      </w:r>
    </w:p>
    <w:p w14:paraId="3BCD741B">
      <w:pPr>
        <w:keepNext w:val="0"/>
        <w:keepLines w:val="0"/>
        <w:pageBreakBefore w:val="0"/>
        <w:widowControl/>
        <w:numPr>
          <w:ilvl w:val="0"/>
          <w:numId w:val="8"/>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项目建设周期：</w:t>
      </w:r>
    </w:p>
    <w:p w14:paraId="0AEC9FD4">
      <w:pPr>
        <w:keepNext w:val="0"/>
        <w:keepLines w:val="0"/>
        <w:pageBreakBefore w:val="0"/>
        <w:widowControl/>
        <w:shd w:val="clear"/>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▲阶段一建设周期：合同签订后，60自然天内完成</w:t>
      </w:r>
      <w:r>
        <w:rPr>
          <w:rFonts w:hint="eastAsia" w:ascii="宋体" w:hAnsi="宋体" w:cs="宋体"/>
          <w:kern w:val="0"/>
          <w:sz w:val="21"/>
          <w:szCs w:val="21"/>
          <w:highlight w:val="none"/>
          <w:lang w:eastAsia="zh-CN"/>
        </w:rPr>
        <w:t>采购人</w:t>
      </w:r>
      <w:r>
        <w:rPr>
          <w:rFonts w:hint="eastAsia" w:ascii="宋体" w:hAnsi="宋体" w:eastAsia="宋体" w:cs="宋体"/>
          <w:kern w:val="0"/>
          <w:sz w:val="21"/>
          <w:szCs w:val="21"/>
          <w:highlight w:val="none"/>
        </w:rPr>
        <w:t>卫国路院区</w:t>
      </w:r>
      <w:r>
        <w:rPr>
          <w:rFonts w:hint="eastAsia" w:ascii="宋体" w:hAnsi="宋体" w:cs="宋体"/>
          <w:kern w:val="0"/>
          <w:sz w:val="21"/>
          <w:szCs w:val="21"/>
          <w:highlight w:val="none"/>
          <w:lang w:val="en-US" w:eastAsia="zh-CN"/>
        </w:rPr>
        <w:t>系统</w:t>
      </w:r>
      <w:r>
        <w:rPr>
          <w:rFonts w:hint="eastAsia" w:ascii="宋体" w:hAnsi="宋体" w:eastAsia="宋体" w:cs="宋体"/>
          <w:kern w:val="0"/>
          <w:sz w:val="21"/>
          <w:szCs w:val="21"/>
          <w:highlight w:val="none"/>
        </w:rPr>
        <w:t>上线。</w:t>
      </w:r>
    </w:p>
    <w:p w14:paraId="4507652C">
      <w:pPr>
        <w:keepNext w:val="0"/>
        <w:keepLines w:val="0"/>
        <w:pageBreakBefore w:val="0"/>
        <w:widowControl/>
        <w:shd w:val="clear"/>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▲阶段二建设周期：</w:t>
      </w:r>
      <w:r>
        <w:rPr>
          <w:rFonts w:hint="eastAsia"/>
          <w:highlight w:val="none"/>
          <w:lang w:val="en-US" w:eastAsia="zh-CN"/>
        </w:rPr>
        <w:t>合同签订后，90自然天内</w:t>
      </w:r>
      <w:r>
        <w:rPr>
          <w:rFonts w:hint="eastAsia" w:ascii="宋体" w:hAnsi="宋体" w:eastAsia="宋体" w:cs="宋体"/>
          <w:kern w:val="0"/>
          <w:sz w:val="21"/>
          <w:szCs w:val="21"/>
          <w:highlight w:val="none"/>
        </w:rPr>
        <w:t>完成</w:t>
      </w:r>
      <w:r>
        <w:rPr>
          <w:rFonts w:hint="eastAsia" w:ascii="宋体" w:hAnsi="宋体" w:cs="宋体"/>
          <w:kern w:val="0"/>
          <w:sz w:val="21"/>
          <w:szCs w:val="21"/>
          <w:highlight w:val="none"/>
          <w:lang w:eastAsia="zh-CN"/>
        </w:rPr>
        <w:t>采购人</w:t>
      </w:r>
      <w:r>
        <w:rPr>
          <w:rFonts w:hint="eastAsia" w:ascii="宋体" w:hAnsi="宋体" w:eastAsia="宋体" w:cs="宋体"/>
          <w:kern w:val="0"/>
          <w:sz w:val="21"/>
          <w:szCs w:val="21"/>
          <w:highlight w:val="none"/>
        </w:rPr>
        <w:t>绿岛湖院区</w:t>
      </w:r>
      <w:r>
        <w:rPr>
          <w:rFonts w:hint="eastAsia" w:ascii="宋体" w:hAnsi="宋体" w:cs="宋体"/>
          <w:kern w:val="0"/>
          <w:sz w:val="21"/>
          <w:szCs w:val="21"/>
          <w:highlight w:val="none"/>
          <w:lang w:val="en-US" w:eastAsia="zh-CN"/>
        </w:rPr>
        <w:t>系统</w:t>
      </w:r>
      <w:r>
        <w:rPr>
          <w:rFonts w:hint="eastAsia" w:ascii="宋体" w:hAnsi="宋体" w:eastAsia="宋体" w:cs="宋体"/>
          <w:kern w:val="0"/>
          <w:sz w:val="21"/>
          <w:szCs w:val="21"/>
          <w:highlight w:val="none"/>
        </w:rPr>
        <w:t>上线。</w:t>
      </w:r>
    </w:p>
    <w:p w14:paraId="2E857E92">
      <w:pPr>
        <w:keepNext w:val="0"/>
        <w:keepLines w:val="0"/>
        <w:pageBreakBefore w:val="0"/>
        <w:widowControl/>
        <w:shd w:val="clear"/>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具有完整的上线实施方案，应急情况下能保证系统基本功能的正常上线使用，不受第三方软件影响。</w:t>
      </w:r>
    </w:p>
    <w:p w14:paraId="1107F4E7">
      <w:pPr>
        <w:keepNext w:val="0"/>
        <w:keepLines w:val="0"/>
        <w:pageBreakBefore w:val="0"/>
        <w:widowControl/>
        <w:numPr>
          <w:ilvl w:val="0"/>
          <w:numId w:val="8"/>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cs="宋体"/>
          <w:kern w:val="0"/>
          <w:sz w:val="21"/>
          <w:szCs w:val="21"/>
          <w:highlight w:val="none"/>
          <w:lang w:eastAsia="zh-CN"/>
        </w:rPr>
        <w:t>本采购包在合同</w:t>
      </w:r>
      <w:r>
        <w:rPr>
          <w:rFonts w:hint="eastAsia" w:ascii="宋体" w:hAnsi="宋体" w:cs="宋体"/>
          <w:kern w:val="0"/>
          <w:sz w:val="21"/>
          <w:szCs w:val="21"/>
          <w:highlight w:val="none"/>
          <w:lang w:val="en-US" w:eastAsia="zh-CN"/>
        </w:rPr>
        <w:t>履行期</w:t>
      </w:r>
      <w:r>
        <w:rPr>
          <w:rFonts w:hint="eastAsia" w:ascii="宋体" w:hAnsi="宋体" w:cs="宋体"/>
          <w:sz w:val="21"/>
          <w:szCs w:val="21"/>
          <w:highlight w:val="none"/>
          <w:lang w:val="en-US" w:eastAsia="zh-CN"/>
        </w:rPr>
        <w:t>限</w:t>
      </w:r>
      <w:r>
        <w:rPr>
          <w:rFonts w:hint="eastAsia" w:ascii="宋体" w:hAnsi="宋体" w:cs="宋体"/>
          <w:kern w:val="0"/>
          <w:sz w:val="21"/>
          <w:szCs w:val="21"/>
          <w:highlight w:val="none"/>
          <w:lang w:eastAsia="zh-CN"/>
        </w:rPr>
        <w:t>内中标人需投入项目负责人1名、团队人员至少3名（其中包括驻场人员至少3名）。项目验收合格后，拟派驻场人员不少于1人，</w:t>
      </w:r>
      <w:r>
        <w:rPr>
          <w:rFonts w:hint="eastAsia" w:ascii="宋体" w:hAnsi="宋体" w:eastAsia="宋体" w:cs="宋体"/>
          <w:sz w:val="21"/>
          <w:szCs w:val="21"/>
          <w:highlight w:val="none"/>
          <w:lang w:val="zh-CN"/>
        </w:rPr>
        <w:t>具有相关项目运维经验不少于3年</w:t>
      </w:r>
      <w:r>
        <w:rPr>
          <w:rFonts w:hint="eastAsia" w:ascii="宋体" w:hAnsi="宋体" w:cs="宋体"/>
          <w:sz w:val="21"/>
          <w:szCs w:val="21"/>
          <w:highlight w:val="none"/>
          <w:lang w:val="zh-CN"/>
        </w:rPr>
        <w:t>，</w:t>
      </w:r>
      <w:r>
        <w:rPr>
          <w:rFonts w:hint="eastAsia" w:ascii="宋体" w:hAnsi="宋体" w:cs="宋体"/>
          <w:kern w:val="0"/>
          <w:sz w:val="21"/>
          <w:szCs w:val="21"/>
          <w:highlight w:val="none"/>
          <w:lang w:eastAsia="zh-CN"/>
        </w:rPr>
        <w:t>驻场服务时间从项目验收合格之日起不少于2年</w:t>
      </w:r>
      <w:r>
        <w:rPr>
          <w:rFonts w:hint="eastAsia" w:ascii="宋体" w:hAnsi="宋体" w:eastAsia="宋体" w:cs="宋体"/>
          <w:kern w:val="0"/>
          <w:sz w:val="21"/>
          <w:szCs w:val="21"/>
          <w:highlight w:val="none"/>
        </w:rPr>
        <w:t>。</w:t>
      </w:r>
    </w:p>
    <w:p w14:paraId="5A839D56">
      <w:pPr>
        <w:keepNext w:val="0"/>
        <w:keepLines w:val="0"/>
        <w:pageBreakBefore w:val="0"/>
        <w:widowControl/>
        <w:numPr>
          <w:ilvl w:val="0"/>
          <w:numId w:val="8"/>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cs="宋体"/>
          <w:kern w:val="0"/>
          <w:sz w:val="21"/>
          <w:szCs w:val="21"/>
          <w:highlight w:val="none"/>
          <w:lang w:eastAsia="zh-CN"/>
        </w:rPr>
        <w:t>合同</w:t>
      </w:r>
      <w:r>
        <w:rPr>
          <w:rFonts w:hint="eastAsia" w:ascii="宋体" w:hAnsi="宋体" w:cs="宋体"/>
          <w:kern w:val="0"/>
          <w:sz w:val="21"/>
          <w:szCs w:val="21"/>
          <w:highlight w:val="none"/>
          <w:lang w:val="en-US" w:eastAsia="zh-CN"/>
        </w:rPr>
        <w:t>履行期</w:t>
      </w:r>
      <w:r>
        <w:rPr>
          <w:rFonts w:hint="eastAsia" w:ascii="宋体" w:hAnsi="宋体" w:cs="宋体"/>
          <w:sz w:val="21"/>
          <w:szCs w:val="21"/>
          <w:highlight w:val="none"/>
          <w:lang w:val="en-US" w:eastAsia="zh-CN"/>
        </w:rPr>
        <w:t>限</w:t>
      </w:r>
      <w:r>
        <w:rPr>
          <w:rFonts w:hint="eastAsia" w:ascii="宋体" w:hAnsi="宋体" w:cs="宋体"/>
          <w:kern w:val="0"/>
          <w:sz w:val="21"/>
          <w:szCs w:val="21"/>
          <w:highlight w:val="none"/>
          <w:lang w:eastAsia="zh-CN"/>
        </w:rPr>
        <w:t>内</w:t>
      </w:r>
      <w:r>
        <w:rPr>
          <w:rFonts w:hint="eastAsia" w:ascii="宋体" w:hAnsi="宋体" w:cs="宋体"/>
          <w:kern w:val="0"/>
          <w:sz w:val="21"/>
          <w:szCs w:val="21"/>
          <w:highlight w:val="none"/>
          <w:lang w:val="en-US" w:eastAsia="zh-CN"/>
        </w:rPr>
        <w:t>驻场</w:t>
      </w:r>
      <w:r>
        <w:rPr>
          <w:rFonts w:hint="eastAsia" w:ascii="宋体" w:hAnsi="宋体" w:eastAsia="宋体" w:cs="宋体"/>
          <w:kern w:val="0"/>
          <w:sz w:val="21"/>
          <w:szCs w:val="21"/>
          <w:highlight w:val="none"/>
        </w:rPr>
        <w:t>人员专业素质：</w:t>
      </w:r>
    </w:p>
    <w:p w14:paraId="3838B94F">
      <w:pPr>
        <w:keepNext w:val="0"/>
        <w:keepLines w:val="0"/>
        <w:pageBreakBefore w:val="0"/>
        <w:widowControl/>
        <w:shd w:val="clear"/>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信息系统项目管理师至少1名，具备相关项目管理工作年限不少于5年</w:t>
      </w:r>
      <w:r>
        <w:rPr>
          <w:rFonts w:hint="eastAsia" w:ascii="宋体" w:hAnsi="宋体" w:cs="宋体"/>
          <w:kern w:val="0"/>
          <w:sz w:val="21"/>
          <w:szCs w:val="21"/>
          <w:highlight w:val="none"/>
          <w:lang w:eastAsia="zh-CN"/>
        </w:rPr>
        <w:t>；</w:t>
      </w:r>
    </w:p>
    <w:p w14:paraId="4EBFEFA2">
      <w:pPr>
        <w:keepNext w:val="0"/>
        <w:keepLines w:val="0"/>
        <w:pageBreakBefore w:val="0"/>
        <w:widowControl/>
        <w:shd w:val="clear"/>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项目研发人员至少1名，具备相关项目研发工作年限不少于3年</w:t>
      </w:r>
      <w:r>
        <w:rPr>
          <w:rFonts w:hint="eastAsia" w:ascii="宋体" w:hAnsi="宋体" w:cs="宋体"/>
          <w:kern w:val="0"/>
          <w:sz w:val="21"/>
          <w:szCs w:val="21"/>
          <w:highlight w:val="none"/>
          <w:lang w:eastAsia="zh-CN"/>
        </w:rPr>
        <w:t>；</w:t>
      </w:r>
    </w:p>
    <w:p w14:paraId="530677DA">
      <w:pPr>
        <w:keepNext w:val="0"/>
        <w:keepLines w:val="0"/>
        <w:pageBreakBefore w:val="0"/>
        <w:widowControl/>
        <w:shd w:val="clear"/>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项目实施人员至少1名，具备相关项目实施工作年限不少于3年。</w:t>
      </w:r>
    </w:p>
    <w:p w14:paraId="1D688783">
      <w:pPr>
        <w:keepNext w:val="0"/>
        <w:keepLines w:val="0"/>
        <w:pageBreakBefore w:val="0"/>
        <w:widowControl/>
        <w:numPr>
          <w:ilvl w:val="0"/>
          <w:numId w:val="8"/>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cs="宋体"/>
          <w:kern w:val="0"/>
          <w:sz w:val="21"/>
          <w:szCs w:val="21"/>
          <w:highlight w:val="none"/>
          <w:lang w:val="en-US" w:eastAsia="zh-CN"/>
        </w:rPr>
        <w:t>驻场人员驻场期间</w:t>
      </w:r>
      <w:r>
        <w:rPr>
          <w:rFonts w:hint="eastAsia" w:ascii="宋体" w:hAnsi="宋体" w:eastAsia="宋体" w:cs="宋体"/>
          <w:kern w:val="0"/>
          <w:sz w:val="21"/>
          <w:szCs w:val="21"/>
          <w:highlight w:val="none"/>
        </w:rPr>
        <w:t>在</w:t>
      </w:r>
      <w:r>
        <w:rPr>
          <w:rFonts w:hint="eastAsia" w:ascii="宋体" w:hAnsi="宋体" w:cs="宋体"/>
          <w:kern w:val="0"/>
          <w:sz w:val="21"/>
          <w:szCs w:val="21"/>
          <w:highlight w:val="none"/>
          <w:lang w:eastAsia="zh-CN"/>
        </w:rPr>
        <w:t>采购人</w:t>
      </w:r>
      <w:r>
        <w:rPr>
          <w:rFonts w:hint="eastAsia" w:ascii="宋体" w:hAnsi="宋体" w:eastAsia="宋体" w:cs="宋体"/>
          <w:kern w:val="0"/>
          <w:sz w:val="21"/>
          <w:szCs w:val="21"/>
          <w:highlight w:val="none"/>
        </w:rPr>
        <w:t>办公室办公，并每天向主管工程师手写签到，正常上班期间按</w:t>
      </w:r>
      <w:r>
        <w:rPr>
          <w:rFonts w:hint="eastAsia" w:ascii="宋体" w:hAnsi="宋体" w:cs="宋体"/>
          <w:kern w:val="0"/>
          <w:sz w:val="21"/>
          <w:szCs w:val="21"/>
          <w:highlight w:val="none"/>
          <w:lang w:eastAsia="zh-CN"/>
        </w:rPr>
        <w:t>采购人</w:t>
      </w:r>
      <w:r>
        <w:rPr>
          <w:rFonts w:hint="eastAsia" w:ascii="宋体" w:hAnsi="宋体" w:eastAsia="宋体" w:cs="宋体"/>
          <w:kern w:val="0"/>
          <w:sz w:val="21"/>
          <w:szCs w:val="21"/>
          <w:highlight w:val="none"/>
        </w:rPr>
        <w:t>作息时间执行。</w:t>
      </w:r>
    </w:p>
    <w:p w14:paraId="7C6EC9CE">
      <w:pPr>
        <w:keepNext w:val="0"/>
        <w:keepLines w:val="0"/>
        <w:pageBreakBefore w:val="0"/>
        <w:widowControl/>
        <w:numPr>
          <w:ilvl w:val="0"/>
          <w:numId w:val="8"/>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cs="宋体"/>
          <w:kern w:val="0"/>
          <w:sz w:val="21"/>
          <w:szCs w:val="21"/>
          <w:highlight w:val="none"/>
          <w:lang w:eastAsia="zh-CN"/>
        </w:rPr>
        <w:t>中标人应在签订合同后15天内到采购人指定地点</w:t>
      </w:r>
      <w:r>
        <w:rPr>
          <w:rFonts w:hint="eastAsia" w:ascii="宋体" w:hAnsi="宋体" w:eastAsia="宋体" w:cs="宋体"/>
          <w:kern w:val="0"/>
          <w:sz w:val="21"/>
          <w:szCs w:val="21"/>
          <w:highlight w:val="none"/>
        </w:rPr>
        <w:t>完成如下事项：成立项目组织，有项目实施方案、项目进度甘特图，WBS工作详细分解包、确定与</w:t>
      </w:r>
      <w:r>
        <w:rPr>
          <w:rFonts w:hint="eastAsia" w:ascii="宋体" w:hAnsi="宋体" w:cs="宋体"/>
          <w:kern w:val="0"/>
          <w:sz w:val="21"/>
          <w:szCs w:val="21"/>
          <w:highlight w:val="none"/>
          <w:lang w:eastAsia="zh-CN"/>
        </w:rPr>
        <w:t>其他系统</w:t>
      </w:r>
      <w:r>
        <w:rPr>
          <w:rFonts w:hint="eastAsia" w:ascii="宋体" w:hAnsi="宋体" w:eastAsia="宋体" w:cs="宋体"/>
          <w:kern w:val="0"/>
          <w:sz w:val="21"/>
          <w:szCs w:val="21"/>
          <w:highlight w:val="none"/>
        </w:rPr>
        <w:t>的接口。在项目实施过程中与</w:t>
      </w:r>
      <w:r>
        <w:rPr>
          <w:rFonts w:hint="eastAsia" w:ascii="宋体" w:hAnsi="宋体" w:cs="宋体"/>
          <w:kern w:val="0"/>
          <w:sz w:val="21"/>
          <w:szCs w:val="21"/>
          <w:highlight w:val="none"/>
          <w:lang w:eastAsia="zh-CN"/>
        </w:rPr>
        <w:t>其他系统</w:t>
      </w:r>
      <w:r>
        <w:rPr>
          <w:rFonts w:hint="eastAsia" w:ascii="宋体" w:hAnsi="宋体" w:eastAsia="宋体" w:cs="宋体"/>
          <w:kern w:val="0"/>
          <w:sz w:val="21"/>
          <w:szCs w:val="21"/>
          <w:highlight w:val="none"/>
        </w:rPr>
        <w:t>的接口先行，并能按计划推进项目，按时按质完成工作。</w:t>
      </w:r>
    </w:p>
    <w:p w14:paraId="449ACA82">
      <w:pPr>
        <w:keepNext w:val="0"/>
        <w:keepLines w:val="0"/>
        <w:pageBreakBefore w:val="0"/>
        <w:widowControl/>
        <w:numPr>
          <w:ilvl w:val="0"/>
          <w:numId w:val="8"/>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cs="宋体"/>
          <w:kern w:val="0"/>
          <w:sz w:val="21"/>
          <w:szCs w:val="21"/>
          <w:highlight w:val="none"/>
          <w:lang w:val="en-US" w:eastAsia="zh-CN"/>
        </w:rPr>
        <w:t>中标人</w:t>
      </w:r>
      <w:r>
        <w:rPr>
          <w:rFonts w:hint="eastAsia" w:ascii="宋体" w:hAnsi="宋体" w:eastAsia="宋体" w:cs="宋体"/>
          <w:kern w:val="0"/>
          <w:sz w:val="21"/>
          <w:szCs w:val="21"/>
          <w:highlight w:val="none"/>
        </w:rPr>
        <w:t>每周提交一次项目周报，每个月至少开一次项目沟通例会。</w:t>
      </w:r>
    </w:p>
    <w:p w14:paraId="7B491196">
      <w:pPr>
        <w:keepNext w:val="0"/>
        <w:keepLines w:val="0"/>
        <w:pageBreakBefore w:val="0"/>
        <w:widowControl/>
        <w:numPr>
          <w:ilvl w:val="0"/>
          <w:numId w:val="8"/>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cs="宋体"/>
          <w:kern w:val="0"/>
          <w:sz w:val="21"/>
          <w:szCs w:val="21"/>
          <w:highlight w:val="none"/>
          <w:lang w:val="en-US" w:eastAsia="zh-CN"/>
        </w:rPr>
        <w:t>中标人</w:t>
      </w:r>
      <w:r>
        <w:rPr>
          <w:rFonts w:hint="eastAsia" w:ascii="宋体" w:hAnsi="宋体" w:eastAsia="宋体" w:cs="宋体"/>
          <w:kern w:val="0"/>
          <w:sz w:val="21"/>
          <w:szCs w:val="21"/>
          <w:highlight w:val="none"/>
        </w:rPr>
        <w:t>负责系统的安装部署、调试并能正常运行。</w:t>
      </w:r>
    </w:p>
    <w:p w14:paraId="60895F44">
      <w:pPr>
        <w:keepNext w:val="0"/>
        <w:keepLines w:val="0"/>
        <w:pageBreakBefore w:val="0"/>
        <w:widowControl/>
        <w:numPr>
          <w:ilvl w:val="0"/>
          <w:numId w:val="8"/>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系统运行所需的各种环境安装包由</w:t>
      </w:r>
      <w:r>
        <w:rPr>
          <w:rFonts w:hint="eastAsia" w:ascii="宋体" w:hAnsi="宋体" w:cs="宋体"/>
          <w:kern w:val="0"/>
          <w:sz w:val="21"/>
          <w:szCs w:val="21"/>
          <w:highlight w:val="none"/>
          <w:lang w:val="en-US" w:eastAsia="zh-CN"/>
        </w:rPr>
        <w:t>中标人</w:t>
      </w:r>
      <w:r>
        <w:rPr>
          <w:rFonts w:hint="eastAsia" w:ascii="宋体" w:hAnsi="宋体" w:eastAsia="宋体" w:cs="宋体"/>
          <w:kern w:val="0"/>
          <w:sz w:val="21"/>
          <w:szCs w:val="21"/>
          <w:highlight w:val="none"/>
        </w:rPr>
        <w:t>提供并负责安装。</w:t>
      </w:r>
    </w:p>
    <w:p w14:paraId="38EF059C">
      <w:pPr>
        <w:keepNext w:val="0"/>
        <w:keepLines w:val="0"/>
        <w:pageBreakBefore w:val="0"/>
        <w:widowControl/>
        <w:numPr>
          <w:ilvl w:val="0"/>
          <w:numId w:val="8"/>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系统实施、上线、维保整个生命周期内的需求、BUG需要在</w:t>
      </w:r>
      <w:r>
        <w:rPr>
          <w:rFonts w:hint="eastAsia" w:ascii="宋体" w:hAnsi="宋体" w:cs="宋体"/>
          <w:kern w:val="0"/>
          <w:sz w:val="21"/>
          <w:szCs w:val="21"/>
          <w:highlight w:val="none"/>
          <w:lang w:eastAsia="zh-CN"/>
        </w:rPr>
        <w:t>采购人</w:t>
      </w:r>
      <w:r>
        <w:rPr>
          <w:rFonts w:hint="eastAsia" w:ascii="宋体" w:hAnsi="宋体" w:eastAsia="宋体" w:cs="宋体"/>
          <w:kern w:val="0"/>
          <w:sz w:val="21"/>
          <w:szCs w:val="21"/>
          <w:highlight w:val="none"/>
        </w:rPr>
        <w:t>的“信息化项目需求管理系统上”进行响应和管理。</w:t>
      </w:r>
    </w:p>
    <w:p w14:paraId="03EE3E05">
      <w:pPr>
        <w:keepNext w:val="0"/>
        <w:keepLines w:val="0"/>
        <w:pageBreakBefore w:val="0"/>
        <w:widowControl/>
        <w:numPr>
          <w:ilvl w:val="0"/>
          <w:numId w:val="8"/>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sz w:val="21"/>
          <w:szCs w:val="21"/>
          <w:highlight w:val="none"/>
          <w:lang w:val="zh-CN"/>
        </w:rPr>
        <w:t>中标人</w:t>
      </w:r>
      <w:r>
        <w:rPr>
          <w:rFonts w:hint="eastAsia" w:ascii="宋体" w:hAnsi="宋体" w:cs="宋体"/>
          <w:kern w:val="0"/>
          <w:sz w:val="21"/>
          <w:szCs w:val="21"/>
          <w:highlight w:val="none"/>
          <w:lang w:eastAsia="zh-CN"/>
        </w:rPr>
        <w:t>应</w:t>
      </w:r>
      <w:r>
        <w:rPr>
          <w:rFonts w:hint="eastAsia" w:ascii="宋体" w:hAnsi="宋体" w:eastAsia="宋体" w:cs="宋体"/>
          <w:kern w:val="0"/>
          <w:sz w:val="21"/>
          <w:szCs w:val="21"/>
          <w:highlight w:val="none"/>
        </w:rPr>
        <w:t>在</w:t>
      </w:r>
      <w:r>
        <w:rPr>
          <w:rFonts w:hint="eastAsia" w:ascii="宋体" w:hAnsi="宋体" w:cs="宋体"/>
          <w:kern w:val="0"/>
          <w:sz w:val="21"/>
          <w:szCs w:val="21"/>
          <w:highlight w:val="none"/>
          <w:lang w:eastAsia="zh-CN"/>
        </w:rPr>
        <w:t>本采购包</w:t>
      </w:r>
      <w:r>
        <w:rPr>
          <w:rFonts w:hint="eastAsia" w:ascii="宋体" w:hAnsi="宋体" w:eastAsia="宋体" w:cs="宋体"/>
          <w:kern w:val="0"/>
          <w:sz w:val="21"/>
          <w:szCs w:val="21"/>
          <w:highlight w:val="none"/>
        </w:rPr>
        <w:t>中负责提供“软件”，并提供安装调试、培训和售后技术支持服务，所提供软件保证满足</w:t>
      </w:r>
      <w:r>
        <w:rPr>
          <w:rFonts w:hint="eastAsia" w:ascii="宋体" w:hAnsi="宋体" w:cs="宋体"/>
          <w:kern w:val="0"/>
          <w:sz w:val="21"/>
          <w:szCs w:val="21"/>
          <w:highlight w:val="none"/>
          <w:lang w:eastAsia="zh-CN"/>
        </w:rPr>
        <w:t>采购人</w:t>
      </w:r>
      <w:r>
        <w:rPr>
          <w:rFonts w:hint="eastAsia" w:ascii="宋体" w:hAnsi="宋体" w:eastAsia="宋体" w:cs="宋体"/>
          <w:kern w:val="0"/>
          <w:sz w:val="21"/>
          <w:szCs w:val="21"/>
          <w:highlight w:val="none"/>
        </w:rPr>
        <w:t>功能要求，数据准确、速度快捷、运行稳定，保证系统的正常应用。</w:t>
      </w:r>
    </w:p>
    <w:p w14:paraId="624D6928">
      <w:pPr>
        <w:keepNext w:val="0"/>
        <w:keepLines w:val="0"/>
        <w:pageBreakBefore w:val="0"/>
        <w:widowControl/>
        <w:numPr>
          <w:ilvl w:val="0"/>
          <w:numId w:val="8"/>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sz w:val="21"/>
          <w:szCs w:val="21"/>
          <w:highlight w:val="none"/>
          <w:lang w:val="zh-CN"/>
        </w:rPr>
        <w:t>中标人</w:t>
      </w:r>
      <w:r>
        <w:rPr>
          <w:rFonts w:hint="eastAsia" w:ascii="宋体" w:hAnsi="宋体" w:cs="宋体"/>
          <w:kern w:val="0"/>
          <w:sz w:val="21"/>
          <w:szCs w:val="21"/>
          <w:highlight w:val="none"/>
          <w:lang w:eastAsia="zh-CN"/>
        </w:rPr>
        <w:t>应</w:t>
      </w:r>
      <w:r>
        <w:rPr>
          <w:rFonts w:hint="eastAsia" w:ascii="宋体" w:hAnsi="宋体" w:eastAsia="宋体" w:cs="宋体"/>
          <w:kern w:val="0"/>
          <w:sz w:val="21"/>
          <w:szCs w:val="21"/>
          <w:highlight w:val="none"/>
        </w:rPr>
        <w:t>能熟练操作及应用全部系统，确保</w:t>
      </w:r>
      <w:r>
        <w:rPr>
          <w:rFonts w:hint="eastAsia" w:ascii="宋体" w:hAnsi="宋体" w:cs="宋体"/>
          <w:kern w:val="0"/>
          <w:sz w:val="21"/>
          <w:szCs w:val="21"/>
          <w:highlight w:val="none"/>
          <w:lang w:val="en-US" w:eastAsia="zh-CN"/>
        </w:rPr>
        <w:t>采购人</w:t>
      </w:r>
      <w:r>
        <w:rPr>
          <w:rFonts w:hint="eastAsia" w:ascii="宋体" w:hAnsi="宋体" w:eastAsia="宋体" w:cs="宋体"/>
          <w:kern w:val="0"/>
          <w:sz w:val="21"/>
          <w:szCs w:val="21"/>
          <w:highlight w:val="none"/>
        </w:rPr>
        <w:t>相关业务人员对其使用的应用系统能熟练操作使用</w:t>
      </w:r>
      <w:r>
        <w:rPr>
          <w:rFonts w:hint="eastAsia" w:ascii="宋体" w:hAnsi="宋体" w:cs="宋体"/>
          <w:kern w:val="0"/>
          <w:sz w:val="21"/>
          <w:szCs w:val="21"/>
          <w:highlight w:val="none"/>
          <w:lang w:eastAsia="zh-CN"/>
        </w:rPr>
        <w:t>。</w:t>
      </w:r>
    </w:p>
    <w:p w14:paraId="2F34D230">
      <w:pPr>
        <w:keepNext w:val="0"/>
        <w:keepLines w:val="0"/>
        <w:pageBreakBefore w:val="0"/>
        <w:widowControl/>
        <w:numPr>
          <w:ilvl w:val="0"/>
          <w:numId w:val="8"/>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中标</w:t>
      </w:r>
      <w:r>
        <w:rPr>
          <w:rFonts w:hint="eastAsia" w:ascii="宋体" w:hAnsi="宋体" w:cs="宋体"/>
          <w:kern w:val="0"/>
          <w:sz w:val="21"/>
          <w:szCs w:val="21"/>
          <w:highlight w:val="none"/>
          <w:lang w:eastAsia="zh-CN"/>
        </w:rPr>
        <w:t>人</w:t>
      </w:r>
      <w:r>
        <w:rPr>
          <w:rFonts w:hint="eastAsia" w:ascii="宋体" w:hAnsi="宋体" w:eastAsia="宋体" w:cs="宋体"/>
          <w:kern w:val="0"/>
          <w:sz w:val="21"/>
          <w:szCs w:val="21"/>
          <w:highlight w:val="none"/>
        </w:rPr>
        <w:t>接受监理单位对项目监督管理的相关条款</w:t>
      </w:r>
      <w:r>
        <w:rPr>
          <w:rFonts w:hint="eastAsia" w:ascii="宋体" w:hAnsi="宋体" w:cs="宋体"/>
          <w:kern w:val="0"/>
          <w:sz w:val="21"/>
          <w:szCs w:val="21"/>
          <w:highlight w:val="none"/>
          <w:lang w:eastAsia="zh-CN"/>
        </w:rPr>
        <w:t>。</w:t>
      </w:r>
    </w:p>
    <w:p w14:paraId="02AB895E">
      <w:pPr>
        <w:keepNext w:val="0"/>
        <w:keepLines w:val="0"/>
        <w:pageBreakBefore w:val="0"/>
        <w:widowControl/>
        <w:numPr>
          <w:ilvl w:val="0"/>
          <w:numId w:val="8"/>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本采购包建设全生命周期工作</w:t>
      </w:r>
      <w:r>
        <w:rPr>
          <w:rFonts w:hint="eastAsia" w:ascii="宋体" w:hAnsi="宋体" w:cs="宋体"/>
          <w:kern w:val="0"/>
          <w:sz w:val="21"/>
          <w:szCs w:val="21"/>
          <w:highlight w:val="none"/>
          <w:lang w:val="en-US" w:eastAsia="zh-CN"/>
        </w:rPr>
        <w:t>中标</w:t>
      </w:r>
      <w:r>
        <w:rPr>
          <w:rFonts w:hint="eastAsia" w:ascii="宋体" w:hAnsi="宋体" w:eastAsia="宋体" w:cs="宋体"/>
          <w:kern w:val="0"/>
          <w:sz w:val="21"/>
          <w:szCs w:val="21"/>
          <w:highlight w:val="none"/>
        </w:rPr>
        <w:t>人</w:t>
      </w:r>
      <w:r>
        <w:rPr>
          <w:rFonts w:hint="eastAsia" w:ascii="宋体" w:hAnsi="宋体" w:cs="宋体"/>
          <w:kern w:val="0"/>
          <w:sz w:val="21"/>
          <w:szCs w:val="21"/>
          <w:highlight w:val="none"/>
          <w:lang w:val="en-US" w:eastAsia="zh-CN"/>
        </w:rPr>
        <w:t>需</w:t>
      </w:r>
      <w:r>
        <w:rPr>
          <w:rFonts w:hint="eastAsia" w:ascii="宋体" w:hAnsi="宋体" w:eastAsia="宋体" w:cs="宋体"/>
          <w:kern w:val="0"/>
          <w:sz w:val="21"/>
          <w:szCs w:val="21"/>
          <w:highlight w:val="none"/>
        </w:rPr>
        <w:t>派遣</w:t>
      </w:r>
      <w:r>
        <w:rPr>
          <w:rFonts w:hint="eastAsia" w:ascii="宋体" w:hAnsi="宋体" w:cs="宋体"/>
          <w:kern w:val="0"/>
          <w:sz w:val="21"/>
          <w:szCs w:val="21"/>
          <w:highlight w:val="none"/>
          <w:lang w:val="en-US" w:eastAsia="zh-CN"/>
        </w:rPr>
        <w:t>中</w:t>
      </w:r>
      <w:r>
        <w:rPr>
          <w:rFonts w:hint="eastAsia" w:ascii="宋体" w:hAnsi="宋体" w:eastAsia="宋体" w:cs="宋体"/>
          <w:kern w:val="0"/>
          <w:sz w:val="21"/>
          <w:szCs w:val="21"/>
          <w:highlight w:val="none"/>
        </w:rPr>
        <w:t>标人公司自有员工负责该部分系统调研、开发、测试、安装调试、培训、上线保障、售后服务等。</w:t>
      </w:r>
    </w:p>
    <w:p w14:paraId="014F8DA6">
      <w:pPr>
        <w:pStyle w:val="97"/>
        <w:keepNext w:val="0"/>
        <w:keepLines w:val="0"/>
        <w:pageBreakBefore w:val="0"/>
        <w:shd w:val="clear"/>
        <w:tabs>
          <w:tab w:val="left" w:pos="1355"/>
        </w:tabs>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color w:val="auto"/>
          <w:sz w:val="21"/>
          <w:szCs w:val="21"/>
          <w:highlight w:val="none"/>
        </w:rPr>
      </w:pPr>
    </w:p>
    <w:sectPr>
      <w:footerReference r:id="rId5" w:type="default"/>
      <w:pgSz w:w="11906" w:h="16838"/>
      <w:pgMar w:top="1440" w:right="1080" w:bottom="1440" w:left="1080" w:header="567" w:footer="567" w:gutter="0"/>
      <w:pgNumType w:fmt="decimal" w:start="1"/>
      <w:cols w:space="720" w:num="1"/>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思源黑体">
    <w:altName w:val="黑体"/>
    <w:panose1 w:val="00000000000000000000"/>
    <w:charset w:val="86"/>
    <w:family w:val="swiss"/>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Arial Unicode MS">
    <w:altName w:val="宋体"/>
    <w:panose1 w:val="020B0604020202020204"/>
    <w:charset w:val="86"/>
    <w:family w:val="roman"/>
    <w:pitch w:val="default"/>
    <w:sig w:usb0="00000000" w:usb1="00000000" w:usb2="0000003F" w:usb3="00000000" w:csb0="603F01FF" w:csb1="FFFF0000"/>
  </w:font>
  <w:font w:name="华文中宋">
    <w:panose1 w:val="02010600040101010101"/>
    <w:charset w:val="86"/>
    <w:family w:val="auto"/>
    <w:pitch w:val="default"/>
    <w:sig w:usb0="00000287" w:usb1="080F0000" w:usb2="00000000" w:usb3="00000000" w:csb0="0004009F" w:csb1="DFD70000"/>
  </w:font>
  <w:font w:name="ˎ̥">
    <w:altName w:val="Times New Roman"/>
    <w:panose1 w:val="00000000000000000000"/>
    <w:charset w:val="00"/>
    <w:family w:val="roman"/>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1D563F">
    <w:pPr>
      <w:pStyle w:val="27"/>
      <w:ind w:firstLine="0"/>
      <w:jc w:val="center"/>
      <w:rPr>
        <w:rFonts w:ascii="宋体" w:hAnsi="宋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C9D53E2">
                          <w:pPr>
                            <w:pStyle w:val="27"/>
                            <w:rPr>
                              <w:rFonts w:hint="eastAsia" w:ascii="宋体" w:hAnsi="宋体" w:eastAsia="宋体" w:cs="宋体"/>
                            </w:rPr>
                          </w:pPr>
                          <w:r>
                            <w:rPr>
                              <w:rFonts w:hint="eastAsia" w:ascii="宋体" w:hAnsi="宋体" w:eastAsia="宋体" w:cs="宋体"/>
                            </w:rP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t xml:space="preserve"> 页 共 </w:t>
                          </w:r>
                          <w:r>
                            <w:rPr>
                              <w:rFonts w:hint="eastAsia" w:ascii="宋体" w:hAnsi="宋体" w:eastAsia="宋体" w:cs="宋体"/>
                            </w:rPr>
                            <w:fldChar w:fldCharType="begin"/>
                          </w:r>
                          <w:r>
                            <w:rPr>
                              <w:rFonts w:hint="eastAsia" w:ascii="宋体" w:hAnsi="宋体" w:eastAsia="宋体" w:cs="宋体"/>
                            </w:rPr>
                            <w:instrText xml:space="preserve"> NUMPAGES  \* MERGEFORMAT </w:instrText>
                          </w:r>
                          <w:r>
                            <w:rPr>
                              <w:rFonts w:hint="eastAsia" w:ascii="宋体" w:hAnsi="宋体" w:eastAsia="宋体" w:cs="宋体"/>
                            </w:rPr>
                            <w:fldChar w:fldCharType="separate"/>
                          </w:r>
                          <w:r>
                            <w:rPr>
                              <w:rFonts w:hint="eastAsia" w:ascii="宋体" w:hAnsi="宋体" w:eastAsia="宋体" w:cs="宋体"/>
                            </w:rPr>
                            <w:t>12</w:t>
                          </w:r>
                          <w:r>
                            <w:rPr>
                              <w:rFonts w:hint="eastAsia" w:ascii="宋体" w:hAnsi="宋体" w:eastAsia="宋体" w:cs="宋体"/>
                            </w:rPr>
                            <w:fldChar w:fldCharType="end"/>
                          </w:r>
                          <w:r>
                            <w:rPr>
                              <w:rFonts w:hint="eastAsia" w:ascii="宋体" w:hAnsi="宋体" w:eastAsia="宋体" w:cs="宋体"/>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C9D53E2">
                    <w:pPr>
                      <w:pStyle w:val="27"/>
                      <w:rPr>
                        <w:rFonts w:hint="eastAsia" w:ascii="宋体" w:hAnsi="宋体" w:eastAsia="宋体" w:cs="宋体"/>
                      </w:rPr>
                    </w:pPr>
                    <w:r>
                      <w:rPr>
                        <w:rFonts w:hint="eastAsia" w:ascii="宋体" w:hAnsi="宋体" w:eastAsia="宋体" w:cs="宋体"/>
                      </w:rP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t xml:space="preserve"> 页 共 </w:t>
                    </w:r>
                    <w:r>
                      <w:rPr>
                        <w:rFonts w:hint="eastAsia" w:ascii="宋体" w:hAnsi="宋体" w:eastAsia="宋体" w:cs="宋体"/>
                      </w:rPr>
                      <w:fldChar w:fldCharType="begin"/>
                    </w:r>
                    <w:r>
                      <w:rPr>
                        <w:rFonts w:hint="eastAsia" w:ascii="宋体" w:hAnsi="宋体" w:eastAsia="宋体" w:cs="宋体"/>
                      </w:rPr>
                      <w:instrText xml:space="preserve"> NUMPAGES  \* MERGEFORMAT </w:instrText>
                    </w:r>
                    <w:r>
                      <w:rPr>
                        <w:rFonts w:hint="eastAsia" w:ascii="宋体" w:hAnsi="宋体" w:eastAsia="宋体" w:cs="宋体"/>
                      </w:rPr>
                      <w:fldChar w:fldCharType="separate"/>
                    </w:r>
                    <w:r>
                      <w:rPr>
                        <w:rFonts w:hint="eastAsia" w:ascii="宋体" w:hAnsi="宋体" w:eastAsia="宋体" w:cs="宋体"/>
                      </w:rPr>
                      <w:t>12</w:t>
                    </w:r>
                    <w:r>
                      <w:rPr>
                        <w:rFonts w:hint="eastAsia" w:ascii="宋体" w:hAnsi="宋体" w:eastAsia="宋体" w:cs="宋体"/>
                      </w:rPr>
                      <w:fldChar w:fldCharType="end"/>
                    </w:r>
                    <w:r>
                      <w:rPr>
                        <w:rFonts w:hint="eastAsia" w:ascii="宋体" w:hAnsi="宋体" w:eastAsia="宋体" w:cs="宋体"/>
                      </w:rP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F22ABD"/>
    <w:multiLevelType w:val="multilevel"/>
    <w:tmpl w:val="E4F22ABD"/>
    <w:lvl w:ilvl="0" w:tentative="0">
      <w:start w:val="1"/>
      <w:numFmt w:val="decimal"/>
      <w:suff w:val="space"/>
      <w:lvlText w:val="%1）"/>
      <w:lvlJc w:val="left"/>
      <w:pPr>
        <w:ind w:left="0" w:firstLine="48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E5D7BC33"/>
    <w:multiLevelType w:val="multilevel"/>
    <w:tmpl w:val="E5D7BC33"/>
    <w:lvl w:ilvl="0" w:tentative="0">
      <w:start w:val="1"/>
      <w:numFmt w:val="decimal"/>
      <w:suff w:val="space"/>
      <w:lvlText w:val="%1）"/>
      <w:lvlJc w:val="left"/>
      <w:pPr>
        <w:ind w:left="0" w:firstLine="48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27C45084"/>
    <w:multiLevelType w:val="multilevel"/>
    <w:tmpl w:val="27C45084"/>
    <w:lvl w:ilvl="0" w:tentative="0">
      <w:start w:val="1"/>
      <w:numFmt w:val="decimal"/>
      <w:suff w:val="space"/>
      <w:lvlText w:val="%1）"/>
      <w:lvlJc w:val="left"/>
      <w:pPr>
        <w:ind w:left="0" w:firstLine="48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2F02D855"/>
    <w:multiLevelType w:val="multilevel"/>
    <w:tmpl w:val="2F02D855"/>
    <w:lvl w:ilvl="0" w:tentative="0">
      <w:start w:val="1"/>
      <w:numFmt w:val="decimal"/>
      <w:suff w:val="space"/>
      <w:lvlText w:val="%1）"/>
      <w:lvlJc w:val="left"/>
      <w:pPr>
        <w:ind w:left="0" w:firstLine="48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
    <w:nsid w:val="311A6453"/>
    <w:multiLevelType w:val="multilevel"/>
    <w:tmpl w:val="311A6453"/>
    <w:lvl w:ilvl="0" w:tentative="0">
      <w:start w:val="1"/>
      <w:numFmt w:val="decimal"/>
      <w:suff w:val="space"/>
      <w:lvlText w:val="%1）"/>
      <w:lvlJc w:val="left"/>
      <w:pPr>
        <w:ind w:left="0" w:firstLine="48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
    <w:nsid w:val="37C0237C"/>
    <w:multiLevelType w:val="multilevel"/>
    <w:tmpl w:val="37C0237C"/>
    <w:lvl w:ilvl="0" w:tentative="0">
      <w:start w:val="1"/>
      <w:numFmt w:val="decimal"/>
      <w:suff w:val="space"/>
      <w:lvlText w:val="%1）"/>
      <w:lvlJc w:val="left"/>
      <w:pPr>
        <w:ind w:left="0" w:firstLine="48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6">
    <w:nsid w:val="421D1E7D"/>
    <w:multiLevelType w:val="multilevel"/>
    <w:tmpl w:val="421D1E7D"/>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7">
    <w:nsid w:val="74997C90"/>
    <w:multiLevelType w:val="multilevel"/>
    <w:tmpl w:val="74997C90"/>
    <w:lvl w:ilvl="0" w:tentative="0">
      <w:start w:val="1"/>
      <w:numFmt w:val="decimal"/>
      <w:suff w:val="space"/>
      <w:lvlText w:val="%1）"/>
      <w:lvlJc w:val="left"/>
      <w:pPr>
        <w:ind w:left="0" w:firstLine="48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4"/>
  </w:num>
  <w:num w:numId="2">
    <w:abstractNumId w:val="6"/>
  </w:num>
  <w:num w:numId="3">
    <w:abstractNumId w:val="5"/>
  </w:num>
  <w:num w:numId="4">
    <w:abstractNumId w:val="1"/>
  </w:num>
  <w:num w:numId="5">
    <w:abstractNumId w:val="3"/>
  </w:num>
  <w:num w:numId="6">
    <w:abstractNumId w:val="7"/>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VerticalSpacing w:val="156"/>
  <w:noPunctuationKerning w:val="1"/>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E4YmE5NDQ5ZWZlNjE0OWRiNmQ0ZmNkZTAzYzExMzAifQ=="/>
  </w:docVars>
  <w:rsids>
    <w:rsidRoot w:val="00172A27"/>
    <w:rsid w:val="00000A56"/>
    <w:rsid w:val="0000168E"/>
    <w:rsid w:val="000021EE"/>
    <w:rsid w:val="00003CFD"/>
    <w:rsid w:val="0001456E"/>
    <w:rsid w:val="00017571"/>
    <w:rsid w:val="000319B5"/>
    <w:rsid w:val="000339C1"/>
    <w:rsid w:val="00041C1E"/>
    <w:rsid w:val="00045871"/>
    <w:rsid w:val="00056AE8"/>
    <w:rsid w:val="00064CC2"/>
    <w:rsid w:val="00066A4D"/>
    <w:rsid w:val="0007480C"/>
    <w:rsid w:val="00074F86"/>
    <w:rsid w:val="0007555C"/>
    <w:rsid w:val="00077758"/>
    <w:rsid w:val="00081370"/>
    <w:rsid w:val="00091DB7"/>
    <w:rsid w:val="000959AF"/>
    <w:rsid w:val="000A1EE4"/>
    <w:rsid w:val="000A4668"/>
    <w:rsid w:val="000C0555"/>
    <w:rsid w:val="000C4F00"/>
    <w:rsid w:val="000C5C01"/>
    <w:rsid w:val="000C6C8D"/>
    <w:rsid w:val="000C7579"/>
    <w:rsid w:val="000E1B6C"/>
    <w:rsid w:val="000E6888"/>
    <w:rsid w:val="000F1A9C"/>
    <w:rsid w:val="00101D9D"/>
    <w:rsid w:val="00111392"/>
    <w:rsid w:val="00116F82"/>
    <w:rsid w:val="00130139"/>
    <w:rsid w:val="00134873"/>
    <w:rsid w:val="00134FCA"/>
    <w:rsid w:val="001367F7"/>
    <w:rsid w:val="00142EBF"/>
    <w:rsid w:val="00153D19"/>
    <w:rsid w:val="00155444"/>
    <w:rsid w:val="00155906"/>
    <w:rsid w:val="00164A8E"/>
    <w:rsid w:val="00172A27"/>
    <w:rsid w:val="0017505D"/>
    <w:rsid w:val="001764BB"/>
    <w:rsid w:val="001A135B"/>
    <w:rsid w:val="001A2742"/>
    <w:rsid w:val="001B0663"/>
    <w:rsid w:val="001C0A58"/>
    <w:rsid w:val="001C564E"/>
    <w:rsid w:val="001D2BFF"/>
    <w:rsid w:val="001D2C9B"/>
    <w:rsid w:val="001D56E6"/>
    <w:rsid w:val="001E19CE"/>
    <w:rsid w:val="001E26FB"/>
    <w:rsid w:val="001E4991"/>
    <w:rsid w:val="001E4A92"/>
    <w:rsid w:val="001E4CE2"/>
    <w:rsid w:val="001F163D"/>
    <w:rsid w:val="001F29DC"/>
    <w:rsid w:val="001F30E0"/>
    <w:rsid w:val="001F4E58"/>
    <w:rsid w:val="001F5D40"/>
    <w:rsid w:val="001F6B8E"/>
    <w:rsid w:val="00215B46"/>
    <w:rsid w:val="002218A1"/>
    <w:rsid w:val="0022350C"/>
    <w:rsid w:val="00227EAC"/>
    <w:rsid w:val="002436C7"/>
    <w:rsid w:val="002439BB"/>
    <w:rsid w:val="00247ECB"/>
    <w:rsid w:val="0025204B"/>
    <w:rsid w:val="0025533D"/>
    <w:rsid w:val="0026267F"/>
    <w:rsid w:val="002631AB"/>
    <w:rsid w:val="00266FAD"/>
    <w:rsid w:val="00280255"/>
    <w:rsid w:val="00293AFC"/>
    <w:rsid w:val="00295655"/>
    <w:rsid w:val="00295EB5"/>
    <w:rsid w:val="0029676F"/>
    <w:rsid w:val="002A2079"/>
    <w:rsid w:val="002A79E6"/>
    <w:rsid w:val="002B3C3F"/>
    <w:rsid w:val="002C634F"/>
    <w:rsid w:val="002E6850"/>
    <w:rsid w:val="002F03C9"/>
    <w:rsid w:val="002F1F9E"/>
    <w:rsid w:val="002F2607"/>
    <w:rsid w:val="002F7CB7"/>
    <w:rsid w:val="00307FC2"/>
    <w:rsid w:val="00312ECA"/>
    <w:rsid w:val="0032246C"/>
    <w:rsid w:val="003249C3"/>
    <w:rsid w:val="0032536E"/>
    <w:rsid w:val="00331B22"/>
    <w:rsid w:val="003469A0"/>
    <w:rsid w:val="003501A6"/>
    <w:rsid w:val="00353931"/>
    <w:rsid w:val="00355770"/>
    <w:rsid w:val="003563A3"/>
    <w:rsid w:val="00360155"/>
    <w:rsid w:val="00361DBA"/>
    <w:rsid w:val="003647B6"/>
    <w:rsid w:val="00366D34"/>
    <w:rsid w:val="00371024"/>
    <w:rsid w:val="00371A3F"/>
    <w:rsid w:val="003905E8"/>
    <w:rsid w:val="003923B5"/>
    <w:rsid w:val="003A0272"/>
    <w:rsid w:val="003A3D0C"/>
    <w:rsid w:val="003A52DF"/>
    <w:rsid w:val="003B5177"/>
    <w:rsid w:val="003C52D3"/>
    <w:rsid w:val="003C7660"/>
    <w:rsid w:val="003D2EB1"/>
    <w:rsid w:val="003D3A3D"/>
    <w:rsid w:val="003D56A7"/>
    <w:rsid w:val="003D6E30"/>
    <w:rsid w:val="003E0D64"/>
    <w:rsid w:val="003E2295"/>
    <w:rsid w:val="003F0F1B"/>
    <w:rsid w:val="003F2F53"/>
    <w:rsid w:val="00402729"/>
    <w:rsid w:val="00407E7D"/>
    <w:rsid w:val="004122AE"/>
    <w:rsid w:val="00417B67"/>
    <w:rsid w:val="00422B2A"/>
    <w:rsid w:val="00423901"/>
    <w:rsid w:val="00430C76"/>
    <w:rsid w:val="00430F81"/>
    <w:rsid w:val="00431B7F"/>
    <w:rsid w:val="00431DFD"/>
    <w:rsid w:val="0043662E"/>
    <w:rsid w:val="00441708"/>
    <w:rsid w:val="00442850"/>
    <w:rsid w:val="00450705"/>
    <w:rsid w:val="00450981"/>
    <w:rsid w:val="00451F8C"/>
    <w:rsid w:val="00453F1C"/>
    <w:rsid w:val="0045472A"/>
    <w:rsid w:val="00461FF5"/>
    <w:rsid w:val="00462B34"/>
    <w:rsid w:val="00474A32"/>
    <w:rsid w:val="00481671"/>
    <w:rsid w:val="00481D4D"/>
    <w:rsid w:val="004852B6"/>
    <w:rsid w:val="00493E4B"/>
    <w:rsid w:val="004A3470"/>
    <w:rsid w:val="004A4ACB"/>
    <w:rsid w:val="004C47AC"/>
    <w:rsid w:val="004D31DB"/>
    <w:rsid w:val="004F166C"/>
    <w:rsid w:val="004F46C1"/>
    <w:rsid w:val="00501ACA"/>
    <w:rsid w:val="00502497"/>
    <w:rsid w:val="00507D3C"/>
    <w:rsid w:val="0051689A"/>
    <w:rsid w:val="00521AC5"/>
    <w:rsid w:val="00521FEF"/>
    <w:rsid w:val="00524EE5"/>
    <w:rsid w:val="005272E7"/>
    <w:rsid w:val="00527A78"/>
    <w:rsid w:val="0053525C"/>
    <w:rsid w:val="005355C3"/>
    <w:rsid w:val="00546A25"/>
    <w:rsid w:val="0055192B"/>
    <w:rsid w:val="005519FB"/>
    <w:rsid w:val="00551CEC"/>
    <w:rsid w:val="00566766"/>
    <w:rsid w:val="0057074D"/>
    <w:rsid w:val="005709C0"/>
    <w:rsid w:val="00570DA6"/>
    <w:rsid w:val="00575E42"/>
    <w:rsid w:val="0058264D"/>
    <w:rsid w:val="0059566A"/>
    <w:rsid w:val="005A0AE7"/>
    <w:rsid w:val="005A452F"/>
    <w:rsid w:val="005A671D"/>
    <w:rsid w:val="005B0005"/>
    <w:rsid w:val="005B3181"/>
    <w:rsid w:val="005B7CFB"/>
    <w:rsid w:val="005C1536"/>
    <w:rsid w:val="005D65ED"/>
    <w:rsid w:val="005D7765"/>
    <w:rsid w:val="005E442F"/>
    <w:rsid w:val="005E4849"/>
    <w:rsid w:val="005F05FD"/>
    <w:rsid w:val="005F146A"/>
    <w:rsid w:val="006060D3"/>
    <w:rsid w:val="00607FB2"/>
    <w:rsid w:val="00610469"/>
    <w:rsid w:val="00620B1B"/>
    <w:rsid w:val="0062582C"/>
    <w:rsid w:val="00640BC4"/>
    <w:rsid w:val="00643686"/>
    <w:rsid w:val="00644615"/>
    <w:rsid w:val="00651B01"/>
    <w:rsid w:val="00664218"/>
    <w:rsid w:val="00667671"/>
    <w:rsid w:val="00667922"/>
    <w:rsid w:val="00675198"/>
    <w:rsid w:val="006825C0"/>
    <w:rsid w:val="00690B17"/>
    <w:rsid w:val="00696342"/>
    <w:rsid w:val="006A240E"/>
    <w:rsid w:val="006A275B"/>
    <w:rsid w:val="006A5CB5"/>
    <w:rsid w:val="006A7B6B"/>
    <w:rsid w:val="006B4180"/>
    <w:rsid w:val="006C12C9"/>
    <w:rsid w:val="006D0E78"/>
    <w:rsid w:val="006E3DB9"/>
    <w:rsid w:val="006F20C8"/>
    <w:rsid w:val="006F64B2"/>
    <w:rsid w:val="00702552"/>
    <w:rsid w:val="00707A86"/>
    <w:rsid w:val="0071143B"/>
    <w:rsid w:val="0072439C"/>
    <w:rsid w:val="0072444C"/>
    <w:rsid w:val="00746C90"/>
    <w:rsid w:val="00754758"/>
    <w:rsid w:val="00765809"/>
    <w:rsid w:val="00766863"/>
    <w:rsid w:val="007728F8"/>
    <w:rsid w:val="00774556"/>
    <w:rsid w:val="007767CD"/>
    <w:rsid w:val="007866E5"/>
    <w:rsid w:val="007930C1"/>
    <w:rsid w:val="007A113D"/>
    <w:rsid w:val="007A6269"/>
    <w:rsid w:val="007B34F6"/>
    <w:rsid w:val="007C1619"/>
    <w:rsid w:val="007C58F2"/>
    <w:rsid w:val="007E6F81"/>
    <w:rsid w:val="007F0008"/>
    <w:rsid w:val="007F1AA9"/>
    <w:rsid w:val="007F1EA3"/>
    <w:rsid w:val="007F26D0"/>
    <w:rsid w:val="007F5F62"/>
    <w:rsid w:val="00813B75"/>
    <w:rsid w:val="00815152"/>
    <w:rsid w:val="00815F36"/>
    <w:rsid w:val="00817785"/>
    <w:rsid w:val="00820EF8"/>
    <w:rsid w:val="00823B74"/>
    <w:rsid w:val="008371B3"/>
    <w:rsid w:val="00883FD4"/>
    <w:rsid w:val="008842EC"/>
    <w:rsid w:val="00886BB8"/>
    <w:rsid w:val="00897393"/>
    <w:rsid w:val="008A1899"/>
    <w:rsid w:val="008B7FA8"/>
    <w:rsid w:val="008C1331"/>
    <w:rsid w:val="008C434D"/>
    <w:rsid w:val="008C50B7"/>
    <w:rsid w:val="008C7264"/>
    <w:rsid w:val="008D207E"/>
    <w:rsid w:val="008D65D1"/>
    <w:rsid w:val="008E3CE8"/>
    <w:rsid w:val="008F5015"/>
    <w:rsid w:val="008F7366"/>
    <w:rsid w:val="008F74D5"/>
    <w:rsid w:val="009149CF"/>
    <w:rsid w:val="009200C7"/>
    <w:rsid w:val="00921184"/>
    <w:rsid w:val="00932C91"/>
    <w:rsid w:val="00942A6A"/>
    <w:rsid w:val="00943A0F"/>
    <w:rsid w:val="00944BEE"/>
    <w:rsid w:val="00961750"/>
    <w:rsid w:val="00961D7B"/>
    <w:rsid w:val="00970263"/>
    <w:rsid w:val="009703F5"/>
    <w:rsid w:val="0098268D"/>
    <w:rsid w:val="00984690"/>
    <w:rsid w:val="00991C73"/>
    <w:rsid w:val="0099692B"/>
    <w:rsid w:val="009A0055"/>
    <w:rsid w:val="009A161C"/>
    <w:rsid w:val="009A7D74"/>
    <w:rsid w:val="009B2D91"/>
    <w:rsid w:val="009B45C3"/>
    <w:rsid w:val="009B4748"/>
    <w:rsid w:val="009B733B"/>
    <w:rsid w:val="009C0E81"/>
    <w:rsid w:val="009C4EBA"/>
    <w:rsid w:val="009C7E72"/>
    <w:rsid w:val="009D087A"/>
    <w:rsid w:val="009D1BD3"/>
    <w:rsid w:val="009E0C6F"/>
    <w:rsid w:val="009E6F6C"/>
    <w:rsid w:val="009F2482"/>
    <w:rsid w:val="009F3D7C"/>
    <w:rsid w:val="009F48F8"/>
    <w:rsid w:val="009F542F"/>
    <w:rsid w:val="00A06C16"/>
    <w:rsid w:val="00A26EF8"/>
    <w:rsid w:val="00A33578"/>
    <w:rsid w:val="00A51FFB"/>
    <w:rsid w:val="00A61912"/>
    <w:rsid w:val="00A61ECB"/>
    <w:rsid w:val="00A67A02"/>
    <w:rsid w:val="00A728B2"/>
    <w:rsid w:val="00A74D9D"/>
    <w:rsid w:val="00A91338"/>
    <w:rsid w:val="00A92C53"/>
    <w:rsid w:val="00AB27E8"/>
    <w:rsid w:val="00AB519E"/>
    <w:rsid w:val="00AB5CD0"/>
    <w:rsid w:val="00AC04B0"/>
    <w:rsid w:val="00AC5EB4"/>
    <w:rsid w:val="00AC7EF3"/>
    <w:rsid w:val="00AD0434"/>
    <w:rsid w:val="00AD180B"/>
    <w:rsid w:val="00AD6406"/>
    <w:rsid w:val="00AE3FAB"/>
    <w:rsid w:val="00AE622D"/>
    <w:rsid w:val="00B05166"/>
    <w:rsid w:val="00B11646"/>
    <w:rsid w:val="00B14E33"/>
    <w:rsid w:val="00B1793B"/>
    <w:rsid w:val="00B21D64"/>
    <w:rsid w:val="00B26052"/>
    <w:rsid w:val="00B272D7"/>
    <w:rsid w:val="00B41CF7"/>
    <w:rsid w:val="00B450AD"/>
    <w:rsid w:val="00B45F27"/>
    <w:rsid w:val="00B465DD"/>
    <w:rsid w:val="00B5406B"/>
    <w:rsid w:val="00B54967"/>
    <w:rsid w:val="00B57499"/>
    <w:rsid w:val="00B57CC2"/>
    <w:rsid w:val="00B63867"/>
    <w:rsid w:val="00B65F92"/>
    <w:rsid w:val="00B6711D"/>
    <w:rsid w:val="00B72FE9"/>
    <w:rsid w:val="00B7329D"/>
    <w:rsid w:val="00B76932"/>
    <w:rsid w:val="00B85ECD"/>
    <w:rsid w:val="00B9406A"/>
    <w:rsid w:val="00BA2AE3"/>
    <w:rsid w:val="00BA4A6C"/>
    <w:rsid w:val="00BA4EA2"/>
    <w:rsid w:val="00BB054B"/>
    <w:rsid w:val="00BB2C39"/>
    <w:rsid w:val="00BB3AEF"/>
    <w:rsid w:val="00BB434D"/>
    <w:rsid w:val="00BC1CC7"/>
    <w:rsid w:val="00BC490E"/>
    <w:rsid w:val="00BE32E6"/>
    <w:rsid w:val="00BE60AE"/>
    <w:rsid w:val="00BE6589"/>
    <w:rsid w:val="00BE6EB1"/>
    <w:rsid w:val="00BF044F"/>
    <w:rsid w:val="00BF0AFE"/>
    <w:rsid w:val="00BF2FF6"/>
    <w:rsid w:val="00BF71DE"/>
    <w:rsid w:val="00C07D92"/>
    <w:rsid w:val="00C2093F"/>
    <w:rsid w:val="00C22422"/>
    <w:rsid w:val="00C35677"/>
    <w:rsid w:val="00C40F9E"/>
    <w:rsid w:val="00C420C4"/>
    <w:rsid w:val="00C44FA0"/>
    <w:rsid w:val="00C51C4B"/>
    <w:rsid w:val="00C54F42"/>
    <w:rsid w:val="00C644B3"/>
    <w:rsid w:val="00C82B37"/>
    <w:rsid w:val="00C84719"/>
    <w:rsid w:val="00C86915"/>
    <w:rsid w:val="00C943D9"/>
    <w:rsid w:val="00C953BC"/>
    <w:rsid w:val="00CA0DBE"/>
    <w:rsid w:val="00CA7378"/>
    <w:rsid w:val="00CB69F1"/>
    <w:rsid w:val="00CB7626"/>
    <w:rsid w:val="00CC6757"/>
    <w:rsid w:val="00D044AE"/>
    <w:rsid w:val="00D078D8"/>
    <w:rsid w:val="00D1161D"/>
    <w:rsid w:val="00D1467D"/>
    <w:rsid w:val="00D15062"/>
    <w:rsid w:val="00D22D95"/>
    <w:rsid w:val="00D23DBB"/>
    <w:rsid w:val="00D308AE"/>
    <w:rsid w:val="00D33BE0"/>
    <w:rsid w:val="00D36EB3"/>
    <w:rsid w:val="00D376EA"/>
    <w:rsid w:val="00D4228F"/>
    <w:rsid w:val="00D45B4A"/>
    <w:rsid w:val="00D52B07"/>
    <w:rsid w:val="00D60511"/>
    <w:rsid w:val="00D60840"/>
    <w:rsid w:val="00D7339D"/>
    <w:rsid w:val="00D74B0D"/>
    <w:rsid w:val="00D76697"/>
    <w:rsid w:val="00D7791C"/>
    <w:rsid w:val="00D826D6"/>
    <w:rsid w:val="00D83C37"/>
    <w:rsid w:val="00D8447E"/>
    <w:rsid w:val="00D850F8"/>
    <w:rsid w:val="00D879C9"/>
    <w:rsid w:val="00D92A5A"/>
    <w:rsid w:val="00DA4B56"/>
    <w:rsid w:val="00DA4F19"/>
    <w:rsid w:val="00DA6F31"/>
    <w:rsid w:val="00DB2530"/>
    <w:rsid w:val="00DB4FAD"/>
    <w:rsid w:val="00DD0B2E"/>
    <w:rsid w:val="00DD22ED"/>
    <w:rsid w:val="00DD7B38"/>
    <w:rsid w:val="00DE0D05"/>
    <w:rsid w:val="00DE19FC"/>
    <w:rsid w:val="00DE3D7F"/>
    <w:rsid w:val="00DE6350"/>
    <w:rsid w:val="00DF4920"/>
    <w:rsid w:val="00E14BD2"/>
    <w:rsid w:val="00E16087"/>
    <w:rsid w:val="00E17265"/>
    <w:rsid w:val="00E17841"/>
    <w:rsid w:val="00E25162"/>
    <w:rsid w:val="00E320F1"/>
    <w:rsid w:val="00E5024F"/>
    <w:rsid w:val="00E555A0"/>
    <w:rsid w:val="00E629B1"/>
    <w:rsid w:val="00E672CC"/>
    <w:rsid w:val="00E67814"/>
    <w:rsid w:val="00E67F1B"/>
    <w:rsid w:val="00E72619"/>
    <w:rsid w:val="00E75985"/>
    <w:rsid w:val="00E76E3F"/>
    <w:rsid w:val="00E8170F"/>
    <w:rsid w:val="00E82B1E"/>
    <w:rsid w:val="00E9374F"/>
    <w:rsid w:val="00E96AE7"/>
    <w:rsid w:val="00EA03F5"/>
    <w:rsid w:val="00EA2D0F"/>
    <w:rsid w:val="00EB0A63"/>
    <w:rsid w:val="00EB3270"/>
    <w:rsid w:val="00EC22F1"/>
    <w:rsid w:val="00ED1DBC"/>
    <w:rsid w:val="00EE1229"/>
    <w:rsid w:val="00EE657B"/>
    <w:rsid w:val="00EE6580"/>
    <w:rsid w:val="00EE768F"/>
    <w:rsid w:val="00EF0EB3"/>
    <w:rsid w:val="00EF1E14"/>
    <w:rsid w:val="00EF7A3E"/>
    <w:rsid w:val="00F003BC"/>
    <w:rsid w:val="00F01538"/>
    <w:rsid w:val="00F06C87"/>
    <w:rsid w:val="00F104AA"/>
    <w:rsid w:val="00F136E4"/>
    <w:rsid w:val="00F230D6"/>
    <w:rsid w:val="00F347D2"/>
    <w:rsid w:val="00F35C43"/>
    <w:rsid w:val="00F3760E"/>
    <w:rsid w:val="00F4293E"/>
    <w:rsid w:val="00F47875"/>
    <w:rsid w:val="00F57E09"/>
    <w:rsid w:val="00F675EA"/>
    <w:rsid w:val="00F734B9"/>
    <w:rsid w:val="00F76DB2"/>
    <w:rsid w:val="00F77785"/>
    <w:rsid w:val="00F800CA"/>
    <w:rsid w:val="00F83DE4"/>
    <w:rsid w:val="00F909D6"/>
    <w:rsid w:val="00F9218F"/>
    <w:rsid w:val="00F93882"/>
    <w:rsid w:val="00F9515E"/>
    <w:rsid w:val="00FA1460"/>
    <w:rsid w:val="00FB4F5B"/>
    <w:rsid w:val="00FB7C07"/>
    <w:rsid w:val="00FD40F5"/>
    <w:rsid w:val="00FF5155"/>
    <w:rsid w:val="00FF5E49"/>
    <w:rsid w:val="01F562C5"/>
    <w:rsid w:val="037C7BA4"/>
    <w:rsid w:val="04BA44CE"/>
    <w:rsid w:val="09287EA3"/>
    <w:rsid w:val="0B5B1EE3"/>
    <w:rsid w:val="0E790AA9"/>
    <w:rsid w:val="0F5618F2"/>
    <w:rsid w:val="13D256C7"/>
    <w:rsid w:val="16FF479F"/>
    <w:rsid w:val="179E1287"/>
    <w:rsid w:val="1B061813"/>
    <w:rsid w:val="1C934F7A"/>
    <w:rsid w:val="23AA73EF"/>
    <w:rsid w:val="26636FB4"/>
    <w:rsid w:val="273A4BCB"/>
    <w:rsid w:val="27523D91"/>
    <w:rsid w:val="28073A6F"/>
    <w:rsid w:val="2CC366AB"/>
    <w:rsid w:val="2DA01EC0"/>
    <w:rsid w:val="2FC76596"/>
    <w:rsid w:val="30003A09"/>
    <w:rsid w:val="305F0997"/>
    <w:rsid w:val="338D7267"/>
    <w:rsid w:val="34256DE1"/>
    <w:rsid w:val="352D7E26"/>
    <w:rsid w:val="381A116E"/>
    <w:rsid w:val="3887686D"/>
    <w:rsid w:val="3F855CA4"/>
    <w:rsid w:val="4135142B"/>
    <w:rsid w:val="41DD79D1"/>
    <w:rsid w:val="42414E05"/>
    <w:rsid w:val="447F214B"/>
    <w:rsid w:val="47C761D6"/>
    <w:rsid w:val="4A192D64"/>
    <w:rsid w:val="4A2A579E"/>
    <w:rsid w:val="4DE07DA9"/>
    <w:rsid w:val="50E05920"/>
    <w:rsid w:val="57CC0974"/>
    <w:rsid w:val="58CD6C89"/>
    <w:rsid w:val="594D12C1"/>
    <w:rsid w:val="595560D6"/>
    <w:rsid w:val="5AA96F53"/>
    <w:rsid w:val="5BC54734"/>
    <w:rsid w:val="5D901532"/>
    <w:rsid w:val="5F4D61C3"/>
    <w:rsid w:val="609E2132"/>
    <w:rsid w:val="6C12518E"/>
    <w:rsid w:val="6FD82E14"/>
    <w:rsid w:val="71DB3B5B"/>
    <w:rsid w:val="7B20137D"/>
    <w:rsid w:val="7B43576D"/>
    <w:rsid w:val="7C4B30CD"/>
    <w:rsid w:val="7FF977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qFormat="1" w:unhideWhenUsed="0" w:uiPriority="99"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425"/>
      <w:jc w:val="both"/>
    </w:pPr>
    <w:rPr>
      <w:rFonts w:ascii="Times New Roman" w:hAnsi="Times New Roman" w:eastAsia="宋体" w:cs="Times New Roman"/>
      <w:kern w:val="2"/>
      <w:sz w:val="21"/>
      <w:lang w:val="en-US" w:eastAsia="zh-CN" w:bidi="ar-SA"/>
    </w:rPr>
  </w:style>
  <w:style w:type="paragraph" w:styleId="3">
    <w:name w:val="heading 1"/>
    <w:basedOn w:val="1"/>
    <w:next w:val="1"/>
    <w:autoRedefine/>
    <w:qFormat/>
    <w:uiPriority w:val="9"/>
    <w:pPr>
      <w:keepNext/>
      <w:keepLines/>
      <w:spacing w:before="340" w:after="330" w:line="578" w:lineRule="auto"/>
      <w:ind w:firstLine="0"/>
      <w:outlineLvl w:val="0"/>
    </w:pPr>
    <w:rPr>
      <w:b/>
      <w:bCs/>
      <w:kern w:val="44"/>
      <w:sz w:val="44"/>
      <w:szCs w:val="44"/>
    </w:rPr>
  </w:style>
  <w:style w:type="paragraph" w:styleId="4">
    <w:name w:val="heading 2"/>
    <w:basedOn w:val="1"/>
    <w:next w:val="1"/>
    <w:autoRedefine/>
    <w:qFormat/>
    <w:uiPriority w:val="9"/>
    <w:pPr>
      <w:keepNext/>
      <w:keepLines/>
      <w:spacing w:before="260" w:after="260" w:line="416" w:lineRule="auto"/>
      <w:ind w:firstLine="0"/>
      <w:outlineLvl w:val="1"/>
    </w:pPr>
    <w:rPr>
      <w:rFonts w:ascii="Arial" w:hAnsi="Arial" w:eastAsia="黑体"/>
      <w:b/>
      <w:bCs/>
      <w:sz w:val="32"/>
      <w:szCs w:val="32"/>
    </w:rPr>
  </w:style>
  <w:style w:type="paragraph" w:styleId="5">
    <w:name w:val="heading 3"/>
    <w:basedOn w:val="1"/>
    <w:next w:val="1"/>
    <w:link w:val="52"/>
    <w:autoRedefine/>
    <w:qFormat/>
    <w:uiPriority w:val="0"/>
    <w:pPr>
      <w:autoSpaceDE w:val="0"/>
      <w:autoSpaceDN w:val="0"/>
      <w:adjustRightInd w:val="0"/>
      <w:spacing w:after="156" w:afterLines="50"/>
      <w:ind w:left="-4" w:firstLine="0"/>
      <w:jc w:val="center"/>
      <w:outlineLvl w:val="2"/>
    </w:pPr>
    <w:rPr>
      <w:rFonts w:ascii="宋体" w:hAnsi="宋体"/>
      <w:b/>
      <w:color w:val="000000"/>
      <w:kern w:val="0"/>
    </w:rPr>
  </w:style>
  <w:style w:type="paragraph" w:styleId="6">
    <w:name w:val="heading 4"/>
    <w:basedOn w:val="1"/>
    <w:next w:val="1"/>
    <w:qFormat/>
    <w:uiPriority w:val="9"/>
    <w:pPr>
      <w:keepNext/>
      <w:keepLines/>
      <w:spacing w:before="280" w:after="290" w:line="376" w:lineRule="auto"/>
      <w:ind w:firstLine="0"/>
      <w:outlineLvl w:val="3"/>
    </w:pPr>
    <w:rPr>
      <w:rFonts w:ascii="Arial" w:hAnsi="Arial" w:eastAsia="黑体"/>
      <w:b/>
      <w:bCs/>
      <w:sz w:val="28"/>
      <w:szCs w:val="28"/>
    </w:rPr>
  </w:style>
  <w:style w:type="paragraph" w:styleId="7">
    <w:name w:val="heading 5"/>
    <w:basedOn w:val="1"/>
    <w:next w:val="1"/>
    <w:link w:val="53"/>
    <w:autoRedefine/>
    <w:qFormat/>
    <w:uiPriority w:val="9"/>
    <w:pPr>
      <w:keepNext/>
      <w:keepLines/>
      <w:spacing w:before="280" w:after="290" w:line="376" w:lineRule="auto"/>
      <w:outlineLvl w:val="4"/>
    </w:pPr>
    <w:rPr>
      <w:b/>
      <w:bCs/>
      <w:sz w:val="28"/>
      <w:szCs w:val="28"/>
    </w:rPr>
  </w:style>
  <w:style w:type="paragraph" w:styleId="8">
    <w:name w:val="heading 6"/>
    <w:basedOn w:val="1"/>
    <w:next w:val="1"/>
    <w:link w:val="54"/>
    <w:autoRedefine/>
    <w:qFormat/>
    <w:uiPriority w:val="9"/>
    <w:pPr>
      <w:keepNext/>
      <w:keepLines/>
      <w:spacing w:before="240" w:after="64" w:line="320" w:lineRule="auto"/>
      <w:outlineLvl w:val="5"/>
    </w:pPr>
    <w:rPr>
      <w:rFonts w:ascii="等线 Light" w:hAnsi="等线 Light" w:eastAsia="等线 Light"/>
      <w:b/>
      <w:bCs/>
      <w:sz w:val="24"/>
      <w:szCs w:val="24"/>
    </w:rPr>
  </w:style>
  <w:style w:type="paragraph" w:styleId="9">
    <w:name w:val="heading 7"/>
    <w:basedOn w:val="1"/>
    <w:next w:val="1"/>
    <w:link w:val="55"/>
    <w:qFormat/>
    <w:uiPriority w:val="9"/>
    <w:pPr>
      <w:widowControl/>
      <w:ind w:left="1296" w:hanging="1296"/>
      <w:jc w:val="left"/>
      <w:outlineLvl w:val="6"/>
    </w:pPr>
    <w:rPr>
      <w:rFonts w:ascii="Cambria" w:hAnsi="Cambria"/>
      <w:b/>
      <w:bCs/>
      <w:i/>
      <w:iCs/>
      <w:color w:val="5A5A5A"/>
      <w:kern w:val="0"/>
      <w:sz w:val="20"/>
    </w:rPr>
  </w:style>
  <w:style w:type="paragraph" w:styleId="10">
    <w:name w:val="heading 8"/>
    <w:basedOn w:val="1"/>
    <w:next w:val="1"/>
    <w:link w:val="56"/>
    <w:autoRedefine/>
    <w:qFormat/>
    <w:uiPriority w:val="9"/>
    <w:pPr>
      <w:widowControl/>
      <w:tabs>
        <w:tab w:val="left" w:pos="360"/>
      </w:tabs>
      <w:ind w:firstLine="0"/>
      <w:jc w:val="left"/>
      <w:outlineLvl w:val="7"/>
    </w:pPr>
    <w:rPr>
      <w:rFonts w:ascii="Cambria" w:hAnsi="Cambria"/>
      <w:b/>
      <w:bCs/>
      <w:color w:val="7F7F7F"/>
      <w:kern w:val="0"/>
      <w:sz w:val="20"/>
    </w:rPr>
  </w:style>
  <w:style w:type="paragraph" w:styleId="11">
    <w:name w:val="heading 9"/>
    <w:basedOn w:val="1"/>
    <w:next w:val="1"/>
    <w:link w:val="57"/>
    <w:autoRedefine/>
    <w:qFormat/>
    <w:uiPriority w:val="9"/>
    <w:pPr>
      <w:widowControl/>
      <w:tabs>
        <w:tab w:val="left" w:pos="360"/>
      </w:tabs>
      <w:spacing w:line="271" w:lineRule="auto"/>
      <w:ind w:firstLine="0"/>
      <w:jc w:val="left"/>
      <w:outlineLvl w:val="8"/>
    </w:pPr>
    <w:rPr>
      <w:rFonts w:ascii="Cambria" w:hAnsi="Cambria"/>
      <w:b/>
      <w:bCs/>
      <w:i/>
      <w:iCs/>
      <w:color w:val="7F7F7F"/>
      <w:kern w:val="0"/>
      <w:sz w:val="18"/>
      <w:szCs w:val="18"/>
    </w:rPr>
  </w:style>
  <w:style w:type="character" w:default="1" w:styleId="45">
    <w:name w:val="Default Paragraph Font"/>
    <w:autoRedefine/>
    <w:semiHidden/>
    <w:unhideWhenUsed/>
    <w:qFormat/>
    <w:uiPriority w:val="1"/>
  </w:style>
  <w:style w:type="table" w:default="1" w:styleId="44">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link w:val="58"/>
    <w:autoRedefine/>
    <w:qFormat/>
    <w:uiPriority w:val="0"/>
    <w:pPr>
      <w:ind w:firstLine="420" w:firstLineChars="200"/>
    </w:pPr>
  </w:style>
  <w:style w:type="paragraph" w:styleId="12">
    <w:name w:val="toc 7"/>
    <w:basedOn w:val="1"/>
    <w:next w:val="1"/>
    <w:autoRedefine/>
    <w:qFormat/>
    <w:uiPriority w:val="0"/>
    <w:pPr>
      <w:ind w:left="1260"/>
      <w:jc w:val="left"/>
    </w:pPr>
    <w:rPr>
      <w:rFonts w:ascii="等线" w:eastAsia="等线"/>
      <w:sz w:val="18"/>
      <w:szCs w:val="18"/>
    </w:rPr>
  </w:style>
  <w:style w:type="paragraph" w:styleId="13">
    <w:name w:val="caption"/>
    <w:basedOn w:val="1"/>
    <w:next w:val="1"/>
    <w:autoRedefine/>
    <w:qFormat/>
    <w:uiPriority w:val="0"/>
    <w:pPr>
      <w:spacing w:before="152" w:after="160" w:line="240" w:lineRule="auto"/>
      <w:ind w:firstLine="0"/>
    </w:pPr>
    <w:rPr>
      <w:rFonts w:ascii="Arial" w:hAnsi="Arial" w:eastAsia="黑体" w:cs="Arial"/>
      <w:sz w:val="20"/>
    </w:rPr>
  </w:style>
  <w:style w:type="paragraph" w:styleId="14">
    <w:name w:val="Document Map"/>
    <w:basedOn w:val="1"/>
    <w:autoRedefine/>
    <w:qFormat/>
    <w:uiPriority w:val="0"/>
    <w:pPr>
      <w:shd w:val="clear" w:color="auto" w:fill="000080"/>
    </w:pPr>
  </w:style>
  <w:style w:type="paragraph" w:styleId="15">
    <w:name w:val="annotation text"/>
    <w:basedOn w:val="1"/>
    <w:link w:val="59"/>
    <w:autoRedefine/>
    <w:qFormat/>
    <w:uiPriority w:val="0"/>
    <w:pPr>
      <w:jc w:val="left"/>
    </w:pPr>
  </w:style>
  <w:style w:type="paragraph" w:styleId="16">
    <w:name w:val="Body Text 3"/>
    <w:basedOn w:val="1"/>
    <w:autoRedefine/>
    <w:qFormat/>
    <w:uiPriority w:val="0"/>
    <w:pPr>
      <w:spacing w:after="120"/>
    </w:pPr>
    <w:rPr>
      <w:sz w:val="16"/>
      <w:szCs w:val="16"/>
    </w:rPr>
  </w:style>
  <w:style w:type="paragraph" w:styleId="17">
    <w:name w:val="Body Text"/>
    <w:basedOn w:val="1"/>
    <w:link w:val="60"/>
    <w:autoRedefine/>
    <w:qFormat/>
    <w:uiPriority w:val="0"/>
    <w:pPr>
      <w:spacing w:after="120"/>
    </w:pPr>
  </w:style>
  <w:style w:type="paragraph" w:styleId="18">
    <w:name w:val="Body Text Indent"/>
    <w:basedOn w:val="1"/>
    <w:link w:val="61"/>
    <w:autoRedefine/>
    <w:qFormat/>
    <w:uiPriority w:val="0"/>
    <w:pPr>
      <w:spacing w:after="120"/>
      <w:ind w:left="420" w:leftChars="200"/>
    </w:pPr>
  </w:style>
  <w:style w:type="paragraph" w:styleId="19">
    <w:name w:val="toc 5"/>
    <w:basedOn w:val="1"/>
    <w:next w:val="1"/>
    <w:autoRedefine/>
    <w:qFormat/>
    <w:uiPriority w:val="0"/>
    <w:pPr>
      <w:ind w:left="840"/>
      <w:jc w:val="left"/>
    </w:pPr>
    <w:rPr>
      <w:rFonts w:ascii="等线" w:eastAsia="等线"/>
      <w:sz w:val="18"/>
      <w:szCs w:val="18"/>
    </w:rPr>
  </w:style>
  <w:style w:type="paragraph" w:styleId="20">
    <w:name w:val="toc 3"/>
    <w:basedOn w:val="1"/>
    <w:next w:val="1"/>
    <w:autoRedefine/>
    <w:qFormat/>
    <w:uiPriority w:val="39"/>
    <w:pPr>
      <w:ind w:left="420"/>
      <w:jc w:val="left"/>
    </w:pPr>
    <w:rPr>
      <w:rFonts w:ascii="等线" w:eastAsia="等线"/>
      <w:i/>
      <w:iCs/>
      <w:sz w:val="20"/>
    </w:rPr>
  </w:style>
  <w:style w:type="paragraph" w:styleId="21">
    <w:name w:val="Plain Text"/>
    <w:basedOn w:val="1"/>
    <w:link w:val="62"/>
    <w:autoRedefine/>
    <w:qFormat/>
    <w:uiPriority w:val="0"/>
    <w:pPr>
      <w:spacing w:line="240" w:lineRule="auto"/>
      <w:ind w:firstLine="0"/>
    </w:pPr>
    <w:rPr>
      <w:rFonts w:ascii="宋体" w:hAnsi="Courier New" w:cs="Courier New"/>
      <w:szCs w:val="21"/>
    </w:rPr>
  </w:style>
  <w:style w:type="paragraph" w:styleId="22">
    <w:name w:val="toc 8"/>
    <w:basedOn w:val="1"/>
    <w:next w:val="1"/>
    <w:autoRedefine/>
    <w:qFormat/>
    <w:uiPriority w:val="0"/>
    <w:pPr>
      <w:ind w:left="1470"/>
      <w:jc w:val="left"/>
    </w:pPr>
    <w:rPr>
      <w:rFonts w:ascii="等线" w:eastAsia="等线"/>
      <w:sz w:val="18"/>
      <w:szCs w:val="18"/>
    </w:rPr>
  </w:style>
  <w:style w:type="paragraph" w:styleId="23">
    <w:name w:val="Date"/>
    <w:basedOn w:val="1"/>
    <w:next w:val="1"/>
    <w:autoRedefine/>
    <w:qFormat/>
    <w:uiPriority w:val="0"/>
    <w:pPr>
      <w:spacing w:line="240" w:lineRule="auto"/>
      <w:ind w:firstLine="0"/>
    </w:pPr>
  </w:style>
  <w:style w:type="paragraph" w:styleId="24">
    <w:name w:val="Body Text Indent 2"/>
    <w:basedOn w:val="1"/>
    <w:autoRedefine/>
    <w:qFormat/>
    <w:uiPriority w:val="0"/>
    <w:pPr>
      <w:spacing w:after="120" w:line="480" w:lineRule="auto"/>
      <w:ind w:left="420" w:leftChars="200"/>
    </w:pPr>
  </w:style>
  <w:style w:type="paragraph" w:styleId="25">
    <w:name w:val="endnote text"/>
    <w:basedOn w:val="1"/>
    <w:link w:val="63"/>
    <w:autoRedefine/>
    <w:qFormat/>
    <w:uiPriority w:val="99"/>
    <w:pPr>
      <w:snapToGrid w:val="0"/>
      <w:jc w:val="left"/>
    </w:pPr>
    <w:rPr>
      <w:rFonts w:ascii="宋体" w:hAnsi="宋体"/>
      <w:kern w:val="0"/>
      <w:sz w:val="28"/>
    </w:rPr>
  </w:style>
  <w:style w:type="paragraph" w:styleId="26">
    <w:name w:val="Balloon Text"/>
    <w:basedOn w:val="1"/>
    <w:autoRedefine/>
    <w:qFormat/>
    <w:uiPriority w:val="0"/>
    <w:rPr>
      <w:sz w:val="18"/>
      <w:szCs w:val="18"/>
    </w:rPr>
  </w:style>
  <w:style w:type="paragraph" w:styleId="27">
    <w:name w:val="footer"/>
    <w:basedOn w:val="1"/>
    <w:link w:val="64"/>
    <w:autoRedefine/>
    <w:qFormat/>
    <w:uiPriority w:val="0"/>
    <w:pPr>
      <w:tabs>
        <w:tab w:val="center" w:pos="4153"/>
        <w:tab w:val="right" w:pos="8306"/>
      </w:tabs>
      <w:snapToGrid w:val="0"/>
      <w:spacing w:line="240" w:lineRule="auto"/>
      <w:jc w:val="left"/>
    </w:pPr>
    <w:rPr>
      <w:sz w:val="18"/>
      <w:szCs w:val="18"/>
    </w:rPr>
  </w:style>
  <w:style w:type="paragraph" w:styleId="28">
    <w:name w:val="header"/>
    <w:basedOn w:val="1"/>
    <w:link w:val="65"/>
    <w:autoRedefine/>
    <w:qFormat/>
    <w:uiPriority w:val="0"/>
    <w:pPr>
      <w:tabs>
        <w:tab w:val="center" w:pos="4153"/>
        <w:tab w:val="right" w:pos="8306"/>
      </w:tabs>
    </w:pPr>
  </w:style>
  <w:style w:type="paragraph" w:styleId="29">
    <w:name w:val="toc 1"/>
    <w:basedOn w:val="1"/>
    <w:next w:val="1"/>
    <w:autoRedefine/>
    <w:qFormat/>
    <w:uiPriority w:val="39"/>
    <w:pPr>
      <w:spacing w:before="120" w:after="120"/>
      <w:jc w:val="left"/>
    </w:pPr>
    <w:rPr>
      <w:rFonts w:ascii="等线" w:eastAsia="等线"/>
      <w:b/>
      <w:bCs/>
      <w:caps/>
      <w:sz w:val="20"/>
    </w:rPr>
  </w:style>
  <w:style w:type="paragraph" w:styleId="30">
    <w:name w:val="toc 4"/>
    <w:basedOn w:val="1"/>
    <w:next w:val="1"/>
    <w:autoRedefine/>
    <w:qFormat/>
    <w:uiPriority w:val="0"/>
    <w:pPr>
      <w:ind w:left="630"/>
      <w:jc w:val="left"/>
    </w:pPr>
    <w:rPr>
      <w:rFonts w:ascii="等线" w:eastAsia="等线"/>
      <w:sz w:val="18"/>
      <w:szCs w:val="18"/>
    </w:rPr>
  </w:style>
  <w:style w:type="paragraph" w:styleId="31">
    <w:name w:val="index heading"/>
    <w:basedOn w:val="1"/>
    <w:next w:val="32"/>
    <w:autoRedefine/>
    <w:qFormat/>
    <w:uiPriority w:val="0"/>
    <w:pPr>
      <w:spacing w:line="240" w:lineRule="auto"/>
      <w:ind w:firstLine="0"/>
    </w:pPr>
  </w:style>
  <w:style w:type="paragraph" w:styleId="32">
    <w:name w:val="index 1"/>
    <w:basedOn w:val="1"/>
    <w:next w:val="1"/>
    <w:autoRedefine/>
    <w:qFormat/>
    <w:uiPriority w:val="0"/>
    <w:pPr>
      <w:ind w:firstLine="0"/>
    </w:pPr>
  </w:style>
  <w:style w:type="paragraph" w:styleId="33">
    <w:name w:val="Subtitle"/>
    <w:basedOn w:val="1"/>
    <w:next w:val="1"/>
    <w:link w:val="66"/>
    <w:autoRedefine/>
    <w:qFormat/>
    <w:uiPriority w:val="0"/>
    <w:pPr>
      <w:spacing w:before="240" w:after="60" w:line="312" w:lineRule="auto"/>
      <w:ind w:firstLine="0"/>
      <w:jc w:val="center"/>
      <w:outlineLvl w:val="1"/>
    </w:pPr>
    <w:rPr>
      <w:rFonts w:ascii="Cambria" w:hAnsi="Cambria"/>
      <w:b/>
      <w:bCs/>
      <w:kern w:val="28"/>
      <w:sz w:val="32"/>
      <w:szCs w:val="32"/>
    </w:rPr>
  </w:style>
  <w:style w:type="paragraph" w:styleId="34">
    <w:name w:val="toc 6"/>
    <w:basedOn w:val="1"/>
    <w:next w:val="1"/>
    <w:autoRedefine/>
    <w:qFormat/>
    <w:uiPriority w:val="0"/>
    <w:pPr>
      <w:ind w:left="1050"/>
      <w:jc w:val="left"/>
    </w:pPr>
    <w:rPr>
      <w:rFonts w:ascii="等线" w:eastAsia="等线"/>
      <w:sz w:val="18"/>
      <w:szCs w:val="18"/>
    </w:rPr>
  </w:style>
  <w:style w:type="paragraph" w:styleId="35">
    <w:name w:val="Body Text Indent 3"/>
    <w:basedOn w:val="1"/>
    <w:link w:val="67"/>
    <w:autoRedefine/>
    <w:qFormat/>
    <w:uiPriority w:val="0"/>
    <w:pPr>
      <w:ind w:firstLine="420" w:firstLineChars="200"/>
    </w:pPr>
  </w:style>
  <w:style w:type="paragraph" w:styleId="36">
    <w:name w:val="toc 2"/>
    <w:basedOn w:val="1"/>
    <w:next w:val="1"/>
    <w:autoRedefine/>
    <w:qFormat/>
    <w:uiPriority w:val="39"/>
    <w:pPr>
      <w:ind w:left="210"/>
      <w:jc w:val="left"/>
    </w:pPr>
    <w:rPr>
      <w:rFonts w:ascii="等线" w:eastAsia="等线"/>
      <w:smallCaps/>
      <w:sz w:val="20"/>
    </w:rPr>
  </w:style>
  <w:style w:type="paragraph" w:styleId="37">
    <w:name w:val="toc 9"/>
    <w:basedOn w:val="1"/>
    <w:next w:val="1"/>
    <w:autoRedefine/>
    <w:qFormat/>
    <w:uiPriority w:val="0"/>
    <w:pPr>
      <w:ind w:left="1680"/>
      <w:jc w:val="left"/>
    </w:pPr>
    <w:rPr>
      <w:rFonts w:ascii="等线" w:eastAsia="等线"/>
      <w:sz w:val="18"/>
      <w:szCs w:val="18"/>
    </w:rPr>
  </w:style>
  <w:style w:type="paragraph" w:styleId="38">
    <w:name w:val="Body Text 2"/>
    <w:basedOn w:val="1"/>
    <w:autoRedefine/>
    <w:qFormat/>
    <w:uiPriority w:val="0"/>
    <w:pPr>
      <w:adjustRightInd w:val="0"/>
      <w:snapToGrid w:val="0"/>
      <w:spacing w:before="240" w:line="240" w:lineRule="auto"/>
      <w:ind w:right="210" w:rightChars="100" w:firstLine="0"/>
    </w:pPr>
    <w:rPr>
      <w:rFonts w:ascii="宋体" w:hAnsi="宋体"/>
      <w:bCs/>
      <w:szCs w:val="24"/>
    </w:rPr>
  </w:style>
  <w:style w:type="paragraph" w:styleId="39">
    <w:name w:val="Normal (Web)"/>
    <w:basedOn w:val="1"/>
    <w:autoRedefine/>
    <w:qFormat/>
    <w:uiPriority w:val="0"/>
    <w:pPr>
      <w:widowControl/>
      <w:spacing w:before="100" w:beforeAutospacing="1" w:after="100" w:afterAutospacing="1" w:line="240" w:lineRule="auto"/>
      <w:ind w:firstLine="0"/>
      <w:jc w:val="left"/>
    </w:pPr>
    <w:rPr>
      <w:rFonts w:ascii="宋体" w:hAnsi="宋体"/>
      <w:color w:val="000000"/>
      <w:kern w:val="0"/>
      <w:sz w:val="24"/>
      <w:szCs w:val="24"/>
    </w:rPr>
  </w:style>
  <w:style w:type="paragraph" w:styleId="40">
    <w:name w:val="Title"/>
    <w:basedOn w:val="1"/>
    <w:autoRedefine/>
    <w:qFormat/>
    <w:uiPriority w:val="0"/>
    <w:pPr>
      <w:spacing w:before="240" w:after="60" w:line="240" w:lineRule="auto"/>
      <w:ind w:firstLine="0"/>
      <w:jc w:val="center"/>
      <w:outlineLvl w:val="0"/>
    </w:pPr>
    <w:rPr>
      <w:rFonts w:ascii="Arial" w:hAnsi="Arial" w:cs="Arial"/>
      <w:b/>
      <w:bCs/>
      <w:sz w:val="32"/>
      <w:szCs w:val="32"/>
    </w:rPr>
  </w:style>
  <w:style w:type="paragraph" w:styleId="41">
    <w:name w:val="annotation subject"/>
    <w:basedOn w:val="15"/>
    <w:next w:val="15"/>
    <w:link w:val="68"/>
    <w:autoRedefine/>
    <w:qFormat/>
    <w:uiPriority w:val="0"/>
    <w:rPr>
      <w:b/>
      <w:bCs/>
    </w:rPr>
  </w:style>
  <w:style w:type="paragraph" w:styleId="42">
    <w:name w:val="Body Text First Indent"/>
    <w:basedOn w:val="17"/>
    <w:autoRedefine/>
    <w:qFormat/>
    <w:uiPriority w:val="0"/>
    <w:pPr>
      <w:spacing w:line="240" w:lineRule="auto"/>
      <w:ind w:firstLine="420" w:firstLineChars="100"/>
    </w:pPr>
    <w:rPr>
      <w:szCs w:val="24"/>
    </w:rPr>
  </w:style>
  <w:style w:type="paragraph" w:styleId="43">
    <w:name w:val="Body Text First Indent 2"/>
    <w:basedOn w:val="18"/>
    <w:link w:val="69"/>
    <w:autoRedefine/>
    <w:unhideWhenUsed/>
    <w:qFormat/>
    <w:uiPriority w:val="99"/>
    <w:pPr>
      <w:ind w:firstLine="420" w:firstLineChars="200"/>
    </w:pPr>
  </w:style>
  <w:style w:type="character" w:styleId="46">
    <w:name w:val="Strong"/>
    <w:autoRedefine/>
    <w:qFormat/>
    <w:uiPriority w:val="0"/>
    <w:rPr>
      <w:rFonts w:ascii="Tahoma" w:hAnsi="Tahoma" w:eastAsia="宋体"/>
      <w:b/>
      <w:bCs/>
      <w:spacing w:val="10"/>
      <w:sz w:val="24"/>
      <w:lang w:val="en-US" w:eastAsia="zh-CN" w:bidi="ar-SA"/>
    </w:rPr>
  </w:style>
  <w:style w:type="character" w:styleId="47">
    <w:name w:val="page number"/>
    <w:autoRedefine/>
    <w:qFormat/>
    <w:uiPriority w:val="0"/>
  </w:style>
  <w:style w:type="character" w:styleId="48">
    <w:name w:val="FollowedHyperlink"/>
    <w:autoRedefine/>
    <w:qFormat/>
    <w:uiPriority w:val="0"/>
    <w:rPr>
      <w:color w:val="800080"/>
      <w:u w:val="single"/>
    </w:rPr>
  </w:style>
  <w:style w:type="character" w:styleId="49">
    <w:name w:val="Emphasis"/>
    <w:autoRedefine/>
    <w:qFormat/>
    <w:uiPriority w:val="0"/>
    <w:rPr>
      <w:i/>
      <w:iCs/>
    </w:rPr>
  </w:style>
  <w:style w:type="character" w:styleId="50">
    <w:name w:val="Hyperlink"/>
    <w:autoRedefine/>
    <w:qFormat/>
    <w:uiPriority w:val="99"/>
    <w:rPr>
      <w:color w:val="0000FF"/>
      <w:u w:val="single"/>
    </w:rPr>
  </w:style>
  <w:style w:type="character" w:styleId="51">
    <w:name w:val="annotation reference"/>
    <w:autoRedefine/>
    <w:qFormat/>
    <w:uiPriority w:val="99"/>
    <w:rPr>
      <w:sz w:val="21"/>
      <w:szCs w:val="21"/>
    </w:rPr>
  </w:style>
  <w:style w:type="character" w:customStyle="1" w:styleId="52">
    <w:name w:val="标题 3 字符"/>
    <w:link w:val="5"/>
    <w:autoRedefine/>
    <w:qFormat/>
    <w:uiPriority w:val="0"/>
    <w:rPr>
      <w:rFonts w:ascii="宋体" w:hAnsi="宋体" w:eastAsia="宋体"/>
      <w:b/>
      <w:color w:val="000000"/>
      <w:sz w:val="21"/>
      <w:lang w:eastAsia="zh-CN" w:bidi="ar-SA"/>
    </w:rPr>
  </w:style>
  <w:style w:type="character" w:customStyle="1" w:styleId="53">
    <w:name w:val="标题 5 字符"/>
    <w:link w:val="7"/>
    <w:autoRedefine/>
    <w:semiHidden/>
    <w:qFormat/>
    <w:uiPriority w:val="9"/>
    <w:rPr>
      <w:b/>
      <w:bCs/>
      <w:kern w:val="2"/>
      <w:sz w:val="28"/>
      <w:szCs w:val="28"/>
    </w:rPr>
  </w:style>
  <w:style w:type="character" w:customStyle="1" w:styleId="54">
    <w:name w:val="标题 6 字符"/>
    <w:link w:val="8"/>
    <w:autoRedefine/>
    <w:semiHidden/>
    <w:qFormat/>
    <w:uiPriority w:val="9"/>
    <w:rPr>
      <w:rFonts w:ascii="等线 Light" w:hAnsi="等线 Light" w:eastAsia="等线 Light" w:cs="Times New Roman"/>
      <w:b/>
      <w:bCs/>
      <w:kern w:val="2"/>
      <w:sz w:val="24"/>
      <w:szCs w:val="24"/>
    </w:rPr>
  </w:style>
  <w:style w:type="character" w:customStyle="1" w:styleId="55">
    <w:name w:val="标题 7 字符"/>
    <w:link w:val="9"/>
    <w:autoRedefine/>
    <w:semiHidden/>
    <w:qFormat/>
    <w:uiPriority w:val="9"/>
    <w:rPr>
      <w:rFonts w:ascii="Cambria" w:hAnsi="Cambria"/>
      <w:b/>
      <w:bCs/>
      <w:i/>
      <w:iCs/>
      <w:color w:val="5A5A5A"/>
    </w:rPr>
  </w:style>
  <w:style w:type="character" w:customStyle="1" w:styleId="56">
    <w:name w:val="标题 8 字符"/>
    <w:link w:val="10"/>
    <w:autoRedefine/>
    <w:semiHidden/>
    <w:qFormat/>
    <w:uiPriority w:val="9"/>
    <w:rPr>
      <w:rFonts w:ascii="Cambria" w:hAnsi="Cambria"/>
      <w:b/>
      <w:bCs/>
      <w:color w:val="7F7F7F"/>
    </w:rPr>
  </w:style>
  <w:style w:type="character" w:customStyle="1" w:styleId="57">
    <w:name w:val="标题 9 字符"/>
    <w:link w:val="11"/>
    <w:autoRedefine/>
    <w:semiHidden/>
    <w:qFormat/>
    <w:uiPriority w:val="9"/>
    <w:rPr>
      <w:rFonts w:ascii="Cambria" w:hAnsi="Cambria"/>
      <w:b/>
      <w:bCs/>
      <w:i/>
      <w:iCs/>
      <w:color w:val="7F7F7F"/>
      <w:sz w:val="18"/>
      <w:szCs w:val="18"/>
    </w:rPr>
  </w:style>
  <w:style w:type="character" w:customStyle="1" w:styleId="58">
    <w:name w:val="正文缩进 字符"/>
    <w:link w:val="2"/>
    <w:autoRedefine/>
    <w:qFormat/>
    <w:uiPriority w:val="0"/>
    <w:rPr>
      <w:rFonts w:eastAsia="宋体"/>
      <w:kern w:val="2"/>
      <w:sz w:val="21"/>
      <w:lang w:val="en-US" w:eastAsia="zh-CN" w:bidi="ar-SA"/>
    </w:rPr>
  </w:style>
  <w:style w:type="character" w:customStyle="1" w:styleId="59">
    <w:name w:val="批注文字 字符"/>
    <w:link w:val="15"/>
    <w:autoRedefine/>
    <w:qFormat/>
    <w:uiPriority w:val="0"/>
    <w:rPr>
      <w:kern w:val="2"/>
      <w:sz w:val="21"/>
    </w:rPr>
  </w:style>
  <w:style w:type="character" w:customStyle="1" w:styleId="60">
    <w:name w:val="正文文本 字符"/>
    <w:link w:val="17"/>
    <w:autoRedefine/>
    <w:qFormat/>
    <w:uiPriority w:val="0"/>
    <w:rPr>
      <w:kern w:val="2"/>
      <w:sz w:val="21"/>
    </w:rPr>
  </w:style>
  <w:style w:type="character" w:customStyle="1" w:styleId="61">
    <w:name w:val="正文文本缩进 字符"/>
    <w:link w:val="18"/>
    <w:autoRedefine/>
    <w:qFormat/>
    <w:uiPriority w:val="0"/>
    <w:rPr>
      <w:kern w:val="2"/>
      <w:sz w:val="21"/>
    </w:rPr>
  </w:style>
  <w:style w:type="character" w:customStyle="1" w:styleId="62">
    <w:name w:val="纯文本 字符"/>
    <w:link w:val="21"/>
    <w:autoRedefine/>
    <w:qFormat/>
    <w:uiPriority w:val="0"/>
    <w:rPr>
      <w:rFonts w:ascii="宋体" w:hAnsi="Courier New" w:eastAsia="宋体" w:cs="Courier New"/>
      <w:kern w:val="2"/>
      <w:sz w:val="21"/>
      <w:szCs w:val="21"/>
      <w:lang w:val="en-US" w:eastAsia="zh-CN" w:bidi="ar-SA"/>
    </w:rPr>
  </w:style>
  <w:style w:type="character" w:customStyle="1" w:styleId="63">
    <w:name w:val="尾注文本 字符"/>
    <w:link w:val="25"/>
    <w:autoRedefine/>
    <w:qFormat/>
    <w:uiPriority w:val="99"/>
    <w:rPr>
      <w:rFonts w:ascii="宋体" w:hAnsi="宋体"/>
      <w:sz w:val="28"/>
    </w:rPr>
  </w:style>
  <w:style w:type="character" w:customStyle="1" w:styleId="64">
    <w:name w:val="页脚 字符"/>
    <w:link w:val="27"/>
    <w:autoRedefine/>
    <w:qFormat/>
    <w:uiPriority w:val="0"/>
    <w:rPr>
      <w:rFonts w:eastAsia="宋体"/>
      <w:kern w:val="2"/>
      <w:sz w:val="18"/>
      <w:szCs w:val="18"/>
      <w:lang w:val="en-US" w:eastAsia="zh-CN" w:bidi="ar-SA"/>
    </w:rPr>
  </w:style>
  <w:style w:type="character" w:customStyle="1" w:styleId="65">
    <w:name w:val="页眉 字符"/>
    <w:link w:val="28"/>
    <w:autoRedefine/>
    <w:qFormat/>
    <w:uiPriority w:val="0"/>
    <w:rPr>
      <w:rFonts w:eastAsia="宋体"/>
      <w:kern w:val="2"/>
      <w:sz w:val="21"/>
      <w:lang w:val="en-US" w:eastAsia="zh-CN" w:bidi="ar-SA"/>
    </w:rPr>
  </w:style>
  <w:style w:type="character" w:customStyle="1" w:styleId="66">
    <w:name w:val="副标题 字符"/>
    <w:link w:val="33"/>
    <w:autoRedefine/>
    <w:qFormat/>
    <w:uiPriority w:val="0"/>
    <w:rPr>
      <w:rFonts w:ascii="Cambria" w:hAnsi="Cambria"/>
      <w:b/>
      <w:bCs/>
      <w:kern w:val="28"/>
      <w:sz w:val="32"/>
      <w:szCs w:val="32"/>
    </w:rPr>
  </w:style>
  <w:style w:type="character" w:customStyle="1" w:styleId="67">
    <w:name w:val="正文文本缩进 3 字符"/>
    <w:link w:val="35"/>
    <w:autoRedefine/>
    <w:qFormat/>
    <w:uiPriority w:val="0"/>
    <w:rPr>
      <w:kern w:val="2"/>
      <w:sz w:val="21"/>
    </w:rPr>
  </w:style>
  <w:style w:type="character" w:customStyle="1" w:styleId="68">
    <w:name w:val="批注主题 字符"/>
    <w:link w:val="41"/>
    <w:autoRedefine/>
    <w:qFormat/>
    <w:uiPriority w:val="0"/>
    <w:rPr>
      <w:b/>
      <w:bCs/>
      <w:kern w:val="2"/>
      <w:sz w:val="21"/>
    </w:rPr>
  </w:style>
  <w:style w:type="character" w:customStyle="1" w:styleId="69">
    <w:name w:val="正文文本首行缩进 2 字符"/>
    <w:link w:val="43"/>
    <w:autoRedefine/>
    <w:semiHidden/>
    <w:qFormat/>
    <w:uiPriority w:val="99"/>
  </w:style>
  <w:style w:type="character" w:customStyle="1" w:styleId="70">
    <w:name w:val="批注文字 Char"/>
    <w:autoRedefine/>
    <w:qFormat/>
    <w:uiPriority w:val="0"/>
    <w:rPr>
      <w:kern w:val="2"/>
      <w:sz w:val="21"/>
    </w:rPr>
  </w:style>
  <w:style w:type="character" w:customStyle="1" w:styleId="71">
    <w:name w:val="NormalCharacter"/>
    <w:autoRedefine/>
    <w:qFormat/>
    <w:uiPriority w:val="0"/>
  </w:style>
  <w:style w:type="character" w:customStyle="1" w:styleId="72">
    <w:name w:val="标题 2 Char"/>
    <w:autoRedefine/>
    <w:qFormat/>
    <w:uiPriority w:val="9"/>
    <w:rPr>
      <w:rFonts w:ascii="Arial" w:hAnsi="Arial" w:eastAsia="黑体"/>
      <w:b/>
      <w:bCs/>
      <w:kern w:val="2"/>
      <w:sz w:val="32"/>
      <w:szCs w:val="32"/>
      <w:lang w:val="en-US" w:eastAsia="zh-CN" w:bidi="ar-SA"/>
    </w:rPr>
  </w:style>
  <w:style w:type="character" w:customStyle="1" w:styleId="73">
    <w:name w:val="无间隔 字符"/>
    <w:link w:val="74"/>
    <w:autoRedefine/>
    <w:qFormat/>
    <w:uiPriority w:val="0"/>
    <w:rPr>
      <w:rFonts w:ascii="Calibri" w:hAnsi="Calibri"/>
      <w:sz w:val="22"/>
      <w:szCs w:val="22"/>
      <w:lang w:val="en-US" w:eastAsia="zh-CN" w:bidi="ar-SA"/>
    </w:rPr>
  </w:style>
  <w:style w:type="paragraph" w:styleId="74">
    <w:name w:val="No Spacing"/>
    <w:link w:val="73"/>
    <w:autoRedefine/>
    <w:qFormat/>
    <w:uiPriority w:val="0"/>
    <w:rPr>
      <w:rFonts w:ascii="Calibri" w:hAnsi="Calibri" w:eastAsia="宋体" w:cs="Times New Roman"/>
      <w:sz w:val="22"/>
      <w:szCs w:val="22"/>
      <w:lang w:val="en-US" w:eastAsia="zh-CN" w:bidi="ar-SA"/>
    </w:rPr>
  </w:style>
  <w:style w:type="character" w:customStyle="1" w:styleId="75">
    <w:name w:val="Unresolved Mention"/>
    <w:autoRedefine/>
    <w:unhideWhenUsed/>
    <w:qFormat/>
    <w:uiPriority w:val="99"/>
    <w:rPr>
      <w:color w:val="605E5C"/>
      <w:shd w:val="clear" w:color="auto" w:fill="E1DFDD"/>
    </w:rPr>
  </w:style>
  <w:style w:type="character" w:customStyle="1" w:styleId="76">
    <w:name w:val="纯文本 Char"/>
    <w:autoRedefine/>
    <w:qFormat/>
    <w:uiPriority w:val="0"/>
    <w:rPr>
      <w:rFonts w:ascii="宋体" w:hAnsi="Courier New" w:eastAsia="宋体" w:cs="Courier New"/>
      <w:kern w:val="2"/>
      <w:sz w:val="21"/>
      <w:szCs w:val="21"/>
      <w:lang w:val="en-US" w:eastAsia="zh-CN" w:bidi="ar-SA"/>
    </w:rPr>
  </w:style>
  <w:style w:type="character" w:customStyle="1" w:styleId="77">
    <w:name w:val="副标题 Char1"/>
    <w:autoRedefine/>
    <w:qFormat/>
    <w:uiPriority w:val="0"/>
    <w:rPr>
      <w:rFonts w:ascii="Cambria" w:hAnsi="Cambria" w:cs="Times New Roman"/>
      <w:b/>
      <w:bCs/>
      <w:kern w:val="28"/>
      <w:sz w:val="32"/>
      <w:szCs w:val="32"/>
    </w:rPr>
  </w:style>
  <w:style w:type="character" w:customStyle="1" w:styleId="78">
    <w:name w:val="表格文字 Char Char Char"/>
    <w:link w:val="79"/>
    <w:autoRedefine/>
    <w:qFormat/>
    <w:uiPriority w:val="0"/>
    <w:rPr>
      <w:bCs/>
      <w:spacing w:val="10"/>
      <w:sz w:val="24"/>
    </w:rPr>
  </w:style>
  <w:style w:type="paragraph" w:customStyle="1" w:styleId="79">
    <w:name w:val="表格文字"/>
    <w:basedOn w:val="1"/>
    <w:link w:val="78"/>
    <w:autoRedefine/>
    <w:qFormat/>
    <w:uiPriority w:val="0"/>
    <w:pPr>
      <w:spacing w:before="25" w:after="25" w:line="240" w:lineRule="auto"/>
      <w:ind w:firstLine="0"/>
      <w:jc w:val="left"/>
    </w:pPr>
    <w:rPr>
      <w:bCs/>
      <w:spacing w:val="10"/>
      <w:kern w:val="0"/>
      <w:sz w:val="24"/>
    </w:rPr>
  </w:style>
  <w:style w:type="character" w:customStyle="1" w:styleId="80">
    <w:name w:val="标题 1 Char"/>
    <w:autoRedefine/>
    <w:qFormat/>
    <w:uiPriority w:val="9"/>
    <w:rPr>
      <w:rFonts w:ascii="Arial" w:hAnsi="Arial" w:eastAsia="宋体" w:cs="Arial"/>
      <w:bCs/>
      <w:kern w:val="32"/>
      <w:sz w:val="32"/>
      <w:szCs w:val="32"/>
      <w:lang w:val="en-US" w:eastAsia="zh-CN" w:bidi="ar-SA"/>
    </w:rPr>
  </w:style>
  <w:style w:type="character" w:customStyle="1" w:styleId="81">
    <w:name w:val="A5"/>
    <w:autoRedefine/>
    <w:qFormat/>
    <w:uiPriority w:val="0"/>
    <w:rPr>
      <w:rFonts w:cs="思源黑体"/>
      <w:b/>
      <w:bCs/>
      <w:color w:val="000000"/>
      <w:sz w:val="20"/>
      <w:szCs w:val="20"/>
    </w:rPr>
  </w:style>
  <w:style w:type="character" w:customStyle="1" w:styleId="82">
    <w:name w:val="表格文字 Char Char Char Char"/>
    <w:autoRedefine/>
    <w:qFormat/>
    <w:uiPriority w:val="0"/>
    <w:rPr>
      <w:bCs/>
      <w:spacing w:val="10"/>
      <w:sz w:val="24"/>
    </w:rPr>
  </w:style>
  <w:style w:type="character" w:customStyle="1" w:styleId="83">
    <w:name w:val="A10"/>
    <w:autoRedefine/>
    <w:qFormat/>
    <w:uiPriority w:val="0"/>
    <w:rPr>
      <w:rFonts w:cs="思源黑体"/>
      <w:color w:val="000000"/>
      <w:sz w:val="12"/>
      <w:szCs w:val="12"/>
    </w:rPr>
  </w:style>
  <w:style w:type="character" w:customStyle="1" w:styleId="84">
    <w:name w:val="表格文字 Char Char"/>
    <w:autoRedefine/>
    <w:qFormat/>
    <w:uiPriority w:val="0"/>
    <w:rPr>
      <w:bCs/>
      <w:spacing w:val="10"/>
      <w:sz w:val="24"/>
    </w:rPr>
  </w:style>
  <w:style w:type="character" w:customStyle="1" w:styleId="85">
    <w:name w:val="A7"/>
    <w:autoRedefine/>
    <w:qFormat/>
    <w:uiPriority w:val="0"/>
    <w:rPr>
      <w:rFonts w:cs="思源黑体"/>
      <w:color w:val="000000"/>
      <w:sz w:val="16"/>
      <w:szCs w:val="16"/>
    </w:rPr>
  </w:style>
  <w:style w:type="paragraph" w:customStyle="1" w:styleId="86">
    <w:name w:val="普通 (Web)"/>
    <w:basedOn w:val="1"/>
    <w:autoRedefine/>
    <w:qFormat/>
    <w:uiPriority w:val="0"/>
    <w:pPr>
      <w:widowControl/>
      <w:spacing w:before="100" w:beforeAutospacing="1" w:after="100" w:afterAutospacing="1" w:line="240" w:lineRule="auto"/>
      <w:ind w:firstLine="0"/>
      <w:jc w:val="left"/>
    </w:pPr>
    <w:rPr>
      <w:rFonts w:ascii="宋体" w:hAnsi="宋体"/>
      <w:kern w:val="0"/>
      <w:sz w:val="24"/>
    </w:rPr>
  </w:style>
  <w:style w:type="paragraph" w:customStyle="1" w:styleId="87">
    <w:name w:val="正文 New New"/>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88">
    <w:name w:val="办公自动化专用标题"/>
    <w:basedOn w:val="40"/>
    <w:autoRedefine/>
    <w:qFormat/>
    <w:uiPriority w:val="0"/>
    <w:pPr>
      <w:spacing w:line="560" w:lineRule="atLeast"/>
    </w:pPr>
    <w:rPr>
      <w:rFonts w:ascii="宋体" w:cs="Times New Roman"/>
      <w:bCs w:val="0"/>
      <w:sz w:val="44"/>
      <w:szCs w:val="20"/>
    </w:rPr>
  </w:style>
  <w:style w:type="paragraph" w:customStyle="1" w:styleId="89">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90">
    <w:name w:val="Char Char Char"/>
    <w:basedOn w:val="1"/>
    <w:autoRedefine/>
    <w:qFormat/>
    <w:uiPriority w:val="0"/>
    <w:pPr>
      <w:spacing w:line="240" w:lineRule="auto"/>
      <w:ind w:firstLine="0"/>
    </w:pPr>
    <w:rPr>
      <w:rFonts w:ascii="宋体" w:hAnsi="宋体"/>
      <w:b/>
      <w:sz w:val="28"/>
      <w:szCs w:val="28"/>
    </w:rPr>
  </w:style>
  <w:style w:type="paragraph" w:customStyle="1" w:styleId="91">
    <w:name w:val="默认"/>
    <w:autoRedefine/>
    <w:qFormat/>
    <w:uiPriority w:val="0"/>
    <w:rPr>
      <w:rFonts w:ascii="Helvetica" w:hAnsi="Helvetica" w:eastAsia="Arial Unicode MS" w:cs="Arial Unicode MS"/>
      <w:color w:val="000000"/>
      <w:sz w:val="22"/>
      <w:szCs w:val="22"/>
      <w:lang w:val="en-US" w:eastAsia="zh-CN" w:bidi="ar-SA"/>
    </w:rPr>
  </w:style>
  <w:style w:type="paragraph" w:customStyle="1" w:styleId="92">
    <w:name w:val="正文 New New New New New New New New New New New New New New New New"/>
    <w:autoRedefine/>
    <w:qFormat/>
    <w:uiPriority w:val="0"/>
    <w:pPr>
      <w:widowControl w:val="0"/>
      <w:spacing w:line="360" w:lineRule="auto"/>
      <w:ind w:firstLine="425"/>
      <w:jc w:val="both"/>
    </w:pPr>
    <w:rPr>
      <w:rFonts w:ascii="Times New Roman" w:hAnsi="Times New Roman" w:eastAsia="宋体" w:cs="Times New Roman"/>
      <w:kern w:val="2"/>
      <w:sz w:val="21"/>
      <w:lang w:val="en-US" w:eastAsia="zh-CN" w:bidi="ar-SA"/>
    </w:rPr>
  </w:style>
  <w:style w:type="paragraph" w:customStyle="1" w:styleId="93">
    <w:name w:val="表正文"/>
    <w:basedOn w:val="1"/>
    <w:next w:val="2"/>
    <w:autoRedefine/>
    <w:qFormat/>
    <w:uiPriority w:val="0"/>
    <w:pPr>
      <w:spacing w:after="120"/>
    </w:pPr>
    <w:rPr>
      <w:sz w:val="28"/>
    </w:rPr>
  </w:style>
  <w:style w:type="paragraph" w:customStyle="1" w:styleId="94">
    <w:name w:val="正文 New New New New New New"/>
    <w:autoRedefine/>
    <w:qFormat/>
    <w:uiPriority w:val="0"/>
    <w:pPr>
      <w:widowControl w:val="0"/>
      <w:spacing w:line="360" w:lineRule="auto"/>
      <w:ind w:firstLine="425"/>
      <w:jc w:val="both"/>
    </w:pPr>
    <w:rPr>
      <w:rFonts w:ascii="Times New Roman" w:hAnsi="Times New Roman" w:eastAsia="宋体" w:cs="Times New Roman"/>
      <w:kern w:val="2"/>
      <w:sz w:val="21"/>
      <w:lang w:val="en-US" w:eastAsia="zh-CN" w:bidi="ar-SA"/>
    </w:rPr>
  </w:style>
  <w:style w:type="paragraph" w:customStyle="1" w:styleId="95">
    <w:name w:val="列出段落 New"/>
    <w:basedOn w:val="1"/>
    <w:autoRedefine/>
    <w:qFormat/>
    <w:uiPriority w:val="0"/>
    <w:pPr>
      <w:spacing w:line="240" w:lineRule="auto"/>
      <w:ind w:firstLine="420" w:firstLineChars="200"/>
    </w:pPr>
    <w:rPr>
      <w:szCs w:val="24"/>
    </w:rPr>
  </w:style>
  <w:style w:type="paragraph" w:customStyle="1" w:styleId="96">
    <w:name w:val="Revision"/>
    <w:autoRedefine/>
    <w:qFormat/>
    <w:uiPriority w:val="0"/>
    <w:rPr>
      <w:rFonts w:ascii="Times New Roman" w:hAnsi="Times New Roman" w:eastAsia="宋体" w:cs="Times New Roman"/>
      <w:kern w:val="2"/>
      <w:sz w:val="21"/>
      <w:lang w:val="en-US" w:eastAsia="zh-CN" w:bidi="ar-SA"/>
    </w:rPr>
  </w:style>
  <w:style w:type="paragraph" w:customStyle="1" w:styleId="97">
    <w:name w:val="Normal New"/>
    <w:autoRedefine/>
    <w:qFormat/>
    <w:uiPriority w:val="0"/>
    <w:pPr>
      <w:widowControl w:val="0"/>
      <w:jc w:val="both"/>
    </w:pPr>
    <w:rPr>
      <w:rFonts w:ascii="Times New Roman" w:hAnsi="Times New Roman" w:eastAsia="宋体" w:cs="Times New Roman"/>
      <w:color w:val="0000FF"/>
      <w:kern w:val="2"/>
      <w:sz w:val="24"/>
      <w:lang w:val="en-US" w:eastAsia="zh-CN" w:bidi="ar-SA"/>
    </w:rPr>
  </w:style>
  <w:style w:type="paragraph" w:customStyle="1" w:styleId="98">
    <w:name w:val="题注5"/>
    <w:basedOn w:val="1"/>
    <w:next w:val="13"/>
    <w:autoRedefine/>
    <w:qFormat/>
    <w:uiPriority w:val="0"/>
    <w:pPr>
      <w:spacing w:line="240" w:lineRule="auto"/>
      <w:ind w:firstLine="0"/>
      <w:jc w:val="center"/>
    </w:pPr>
    <w:rPr>
      <w:b/>
      <w:color w:val="000000"/>
      <w:sz w:val="24"/>
      <w:szCs w:val="21"/>
    </w:rPr>
  </w:style>
  <w:style w:type="paragraph" w:customStyle="1" w:styleId="99">
    <w:name w:val="Pa0"/>
    <w:basedOn w:val="1"/>
    <w:next w:val="1"/>
    <w:autoRedefine/>
    <w:qFormat/>
    <w:uiPriority w:val="0"/>
    <w:pPr>
      <w:autoSpaceDE w:val="0"/>
      <w:autoSpaceDN w:val="0"/>
      <w:adjustRightInd w:val="0"/>
      <w:spacing w:line="241" w:lineRule="atLeast"/>
      <w:ind w:firstLine="0"/>
      <w:jc w:val="left"/>
    </w:pPr>
    <w:rPr>
      <w:rFonts w:ascii="思源黑体" w:hAnsi="Calibri" w:eastAsia="思源黑体"/>
      <w:kern w:val="0"/>
      <w:sz w:val="24"/>
      <w:szCs w:val="24"/>
    </w:rPr>
  </w:style>
  <w:style w:type="paragraph" w:customStyle="1" w:styleId="100">
    <w:name w:val="正文 New New New New New New New New"/>
    <w:autoRedefine/>
    <w:qFormat/>
    <w:uiPriority w:val="0"/>
    <w:pPr>
      <w:widowControl w:val="0"/>
      <w:spacing w:line="360" w:lineRule="auto"/>
      <w:ind w:firstLine="425"/>
      <w:jc w:val="both"/>
    </w:pPr>
    <w:rPr>
      <w:rFonts w:ascii="Times New Roman" w:hAnsi="Times New Roman" w:eastAsia="宋体" w:cs="Times New Roman"/>
      <w:kern w:val="2"/>
      <w:sz w:val="21"/>
      <w:lang w:val="en-US" w:eastAsia="zh-CN" w:bidi="ar-SA"/>
    </w:rPr>
  </w:style>
  <w:style w:type="paragraph" w:customStyle="1" w:styleId="101">
    <w:name w:val="列表段落1"/>
    <w:basedOn w:val="1"/>
    <w:autoRedefine/>
    <w:qFormat/>
    <w:uiPriority w:val="0"/>
    <w:pPr>
      <w:spacing w:line="240" w:lineRule="auto"/>
      <w:ind w:firstLine="420" w:firstLineChars="200"/>
    </w:pPr>
    <w:rPr>
      <w:szCs w:val="24"/>
    </w:rPr>
  </w:style>
  <w:style w:type="paragraph" w:customStyle="1" w:styleId="102">
    <w:name w:val="正文 New New New New New"/>
    <w:autoRedefine/>
    <w:qFormat/>
    <w:uiPriority w:val="0"/>
    <w:pPr>
      <w:widowControl w:val="0"/>
      <w:spacing w:line="360" w:lineRule="auto"/>
      <w:ind w:firstLine="425"/>
      <w:jc w:val="both"/>
    </w:pPr>
    <w:rPr>
      <w:rFonts w:ascii="Times New Roman" w:hAnsi="Times New Roman" w:eastAsia="宋体" w:cs="Times New Roman"/>
      <w:kern w:val="2"/>
      <w:sz w:val="21"/>
      <w:lang w:val="en-US" w:eastAsia="zh-CN" w:bidi="ar-SA"/>
    </w:rPr>
  </w:style>
  <w:style w:type="paragraph" w:customStyle="1" w:styleId="103">
    <w:name w:val="xl25"/>
    <w:basedOn w:val="1"/>
    <w:autoRedefine/>
    <w:qFormat/>
    <w:uiPriority w:val="0"/>
    <w:pPr>
      <w:widowControl/>
      <w:pBdr>
        <w:bottom w:val="single" w:color="auto" w:sz="4" w:space="0"/>
        <w:right w:val="single" w:color="auto" w:sz="4" w:space="0"/>
      </w:pBdr>
      <w:spacing w:before="100" w:beforeAutospacing="1" w:after="100" w:afterAutospacing="1" w:line="240" w:lineRule="auto"/>
      <w:ind w:firstLine="0"/>
      <w:jc w:val="center"/>
    </w:pPr>
    <w:rPr>
      <w:rFonts w:ascii="宋体" w:hAnsi="宋体"/>
      <w:kern w:val="0"/>
      <w:szCs w:val="21"/>
    </w:rPr>
  </w:style>
  <w:style w:type="paragraph" w:customStyle="1" w:styleId="104">
    <w:name w:val="正文 New"/>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5">
    <w:name w:val="Char Char2 Char"/>
    <w:basedOn w:val="1"/>
    <w:autoRedefine/>
    <w:qFormat/>
    <w:uiPriority w:val="0"/>
    <w:pPr>
      <w:spacing w:line="240" w:lineRule="auto"/>
      <w:ind w:firstLine="0"/>
    </w:pPr>
    <w:rPr>
      <w:rFonts w:ascii="宋体" w:hAnsi="宋体"/>
      <w:b/>
      <w:sz w:val="28"/>
      <w:szCs w:val="28"/>
    </w:rPr>
  </w:style>
  <w:style w:type="paragraph" w:customStyle="1" w:styleId="106">
    <w:name w:val="Char"/>
    <w:basedOn w:val="14"/>
    <w:autoRedefine/>
    <w:qFormat/>
    <w:uiPriority w:val="0"/>
    <w:pPr>
      <w:spacing w:line="240" w:lineRule="auto"/>
      <w:ind w:firstLine="0"/>
    </w:pPr>
    <w:rPr>
      <w:rFonts w:ascii="Tahoma" w:hAnsi="Tahoma"/>
      <w:sz w:val="24"/>
      <w:szCs w:val="24"/>
    </w:rPr>
  </w:style>
  <w:style w:type="paragraph" w:customStyle="1" w:styleId="107">
    <w:name w:val="Table Paragraph"/>
    <w:basedOn w:val="1"/>
    <w:autoRedefine/>
    <w:qFormat/>
    <w:uiPriority w:val="1"/>
    <w:pPr>
      <w:spacing w:line="240" w:lineRule="auto"/>
      <w:ind w:firstLine="0"/>
    </w:pPr>
    <w:rPr>
      <w:rFonts w:ascii="Calibri" w:hAnsi="Calibri" w:eastAsia="等线" w:cs="宋体"/>
      <w:szCs w:val="21"/>
    </w:rPr>
  </w:style>
  <w:style w:type="paragraph" w:customStyle="1" w:styleId="108">
    <w:name w:val="正文_0"/>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109">
    <w:name w:val="List Paragraph"/>
    <w:basedOn w:val="1"/>
    <w:autoRedefine/>
    <w:qFormat/>
    <w:uiPriority w:val="0"/>
    <w:pPr>
      <w:widowControl/>
      <w:ind w:firstLine="420" w:firstLineChars="200"/>
      <w:jc w:val="left"/>
    </w:pPr>
    <w:rPr>
      <w:szCs w:val="24"/>
    </w:rPr>
  </w:style>
  <w:style w:type="paragraph" w:customStyle="1" w:styleId="110">
    <w:name w:val="正文 New New New"/>
    <w:autoRedefine/>
    <w:qFormat/>
    <w:uiPriority w:val="0"/>
    <w:pPr>
      <w:widowControl w:val="0"/>
      <w:spacing w:line="360" w:lineRule="auto"/>
      <w:ind w:firstLine="425"/>
      <w:jc w:val="both"/>
    </w:pPr>
    <w:rPr>
      <w:rFonts w:ascii="Times New Roman" w:hAnsi="Times New Roman" w:eastAsia="宋体" w:cs="Times New Roman"/>
      <w:kern w:val="2"/>
      <w:sz w:val="21"/>
      <w:lang w:val="en-US" w:eastAsia="zh-CN" w:bidi="ar-SA"/>
    </w:rPr>
  </w:style>
  <w:style w:type="paragraph" w:customStyle="1" w:styleId="111">
    <w:name w:val="正文 New New New New New New New New New New New New New New New New New New New New New New New New New New New New New New New New New New New New New New New"/>
    <w:autoRedefine/>
    <w:qFormat/>
    <w:uiPriority w:val="0"/>
    <w:pPr>
      <w:widowControl w:val="0"/>
      <w:spacing w:line="360" w:lineRule="auto"/>
      <w:ind w:firstLine="480" w:firstLineChars="200"/>
    </w:pPr>
    <w:rPr>
      <w:rFonts w:ascii="Times New Roman" w:hAnsi="Times New Roman" w:eastAsia="宋体" w:cs="Times New Roman"/>
      <w:kern w:val="2"/>
      <w:sz w:val="24"/>
      <w:szCs w:val="24"/>
      <w:lang w:val="en-US" w:eastAsia="zh-CN" w:bidi="ar-SA"/>
    </w:rPr>
  </w:style>
  <w:style w:type="paragraph" w:customStyle="1" w:styleId="112">
    <w:name w:val="题注1"/>
    <w:basedOn w:val="1"/>
    <w:next w:val="13"/>
    <w:autoRedefine/>
    <w:qFormat/>
    <w:uiPriority w:val="0"/>
    <w:pPr>
      <w:spacing w:line="240" w:lineRule="auto"/>
      <w:ind w:left="-107" w:leftChars="-51" w:firstLine="1"/>
      <w:jc w:val="center"/>
    </w:pPr>
    <w:rPr>
      <w:rFonts w:eastAsia="华文中宋"/>
      <w:b/>
      <w:bCs/>
      <w:sz w:val="32"/>
      <w:szCs w:val="24"/>
    </w:rPr>
  </w:style>
  <w:style w:type="paragraph" w:customStyle="1" w:styleId="113">
    <w:name w:val="默认段落字体 Para Char"/>
    <w:basedOn w:val="1"/>
    <w:autoRedefine/>
    <w:qFormat/>
    <w:uiPriority w:val="0"/>
    <w:pPr>
      <w:spacing w:line="240" w:lineRule="auto"/>
      <w:ind w:firstLine="0"/>
    </w:pPr>
    <w:rPr>
      <w:rFonts w:ascii="宋体" w:hAnsi="宋体"/>
      <w:b/>
      <w:sz w:val="28"/>
      <w:szCs w:val="28"/>
    </w:rPr>
  </w:style>
  <w:style w:type="paragraph" w:customStyle="1" w:styleId="114">
    <w:name w:val="缺省文本"/>
    <w:basedOn w:val="1"/>
    <w:autoRedefine/>
    <w:qFormat/>
    <w:uiPriority w:val="0"/>
    <w:pPr>
      <w:autoSpaceDE w:val="0"/>
      <w:autoSpaceDN w:val="0"/>
      <w:adjustRightInd w:val="0"/>
      <w:spacing w:line="240" w:lineRule="auto"/>
      <w:ind w:firstLine="0"/>
      <w:jc w:val="left"/>
    </w:pPr>
    <w:rPr>
      <w:kern w:val="0"/>
      <w:sz w:val="24"/>
      <w:szCs w:val="24"/>
    </w:rPr>
  </w:style>
  <w:style w:type="paragraph" w:customStyle="1" w:styleId="115">
    <w:name w:val="图"/>
    <w:basedOn w:val="1"/>
    <w:autoRedefine/>
    <w:qFormat/>
    <w:uiPriority w:val="0"/>
    <w:pPr>
      <w:keepNext/>
      <w:adjustRightInd w:val="0"/>
      <w:spacing w:before="60" w:after="60" w:line="300" w:lineRule="auto"/>
      <w:ind w:firstLine="0"/>
      <w:jc w:val="center"/>
      <w:textAlignment w:val="center"/>
    </w:pPr>
    <w:rPr>
      <w:spacing w:val="20"/>
      <w:kern w:val="0"/>
      <w:sz w:val="24"/>
    </w:rPr>
  </w:style>
  <w:style w:type="paragraph" w:customStyle="1" w:styleId="116">
    <w:name w:val="a"/>
    <w:basedOn w:val="1"/>
    <w:autoRedefine/>
    <w:qFormat/>
    <w:uiPriority w:val="0"/>
    <w:pPr>
      <w:widowControl/>
      <w:spacing w:before="100" w:beforeAutospacing="1" w:after="100" w:afterAutospacing="1" w:line="240" w:lineRule="auto"/>
      <w:ind w:firstLine="0"/>
      <w:jc w:val="left"/>
    </w:pPr>
    <w:rPr>
      <w:rFonts w:ascii="ˎ̥" w:hAnsi="ˎ̥" w:cs="宋体"/>
      <w:kern w:val="0"/>
      <w:sz w:val="18"/>
      <w:szCs w:val="18"/>
    </w:rPr>
  </w:style>
  <w:style w:type="paragraph" w:customStyle="1" w:styleId="117">
    <w:name w:val="题注4"/>
    <w:basedOn w:val="1"/>
    <w:next w:val="13"/>
    <w:autoRedefine/>
    <w:qFormat/>
    <w:uiPriority w:val="0"/>
    <w:pPr>
      <w:spacing w:line="240" w:lineRule="auto"/>
      <w:ind w:left="-108" w:right="-108" w:firstLine="0"/>
      <w:jc w:val="center"/>
    </w:pPr>
    <w:rPr>
      <w:b/>
      <w:bCs/>
      <w:color w:val="000000"/>
      <w:szCs w:val="21"/>
    </w:rPr>
  </w:style>
  <w:style w:type="paragraph" w:customStyle="1" w:styleId="118">
    <w:name w:val="Char Char Char Char Char Char Char"/>
    <w:basedOn w:val="1"/>
    <w:autoRedefine/>
    <w:qFormat/>
    <w:uiPriority w:val="0"/>
    <w:pPr>
      <w:tabs>
        <w:tab w:val="left" w:pos="425"/>
      </w:tabs>
      <w:spacing w:line="240" w:lineRule="auto"/>
      <w:ind w:left="425" w:hanging="425"/>
    </w:pPr>
    <w:rPr>
      <w:rFonts w:eastAsia="仿宋_GB2312"/>
      <w:kern w:val="24"/>
      <w:sz w:val="24"/>
      <w:szCs w:val="24"/>
    </w:rPr>
  </w:style>
  <w:style w:type="paragraph" w:customStyle="1" w:styleId="119">
    <w:name w:val="正文 New New New New New New New"/>
    <w:autoRedefine/>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20">
    <w:name w:val="列出段落1"/>
    <w:basedOn w:val="1"/>
    <w:autoRedefine/>
    <w:qFormat/>
    <w:uiPriority w:val="0"/>
    <w:pPr>
      <w:spacing w:line="240" w:lineRule="auto"/>
      <w:ind w:firstLine="420" w:firstLineChars="200"/>
    </w:pPr>
    <w:rPr>
      <w:rFonts w:ascii="Calibri" w:hAnsi="Calibri" w:cs="Calibri"/>
      <w:szCs w:val="21"/>
    </w:rPr>
  </w:style>
  <w:style w:type="paragraph" w:customStyle="1" w:styleId="121">
    <w:name w:val="正文 New New New New New New New New New New"/>
    <w:autoRedefine/>
    <w:qFormat/>
    <w:uiPriority w:val="0"/>
    <w:pPr>
      <w:widowControl w:val="0"/>
      <w:spacing w:line="360" w:lineRule="auto"/>
      <w:ind w:firstLine="425"/>
      <w:jc w:val="both"/>
    </w:pPr>
    <w:rPr>
      <w:rFonts w:ascii="Times New Roman" w:hAnsi="Times New Roman" w:eastAsia="宋体" w:cs="Times New Roman"/>
      <w:kern w:val="2"/>
      <w:sz w:val="21"/>
      <w:lang w:val="en-US" w:eastAsia="zh-CN" w:bidi="ar-SA"/>
    </w:rPr>
  </w:style>
  <w:style w:type="paragraph" w:customStyle="1" w:styleId="122">
    <w:name w:val="Pa3"/>
    <w:basedOn w:val="89"/>
    <w:next w:val="89"/>
    <w:autoRedefine/>
    <w:qFormat/>
    <w:uiPriority w:val="0"/>
    <w:pPr>
      <w:spacing w:line="241" w:lineRule="atLeast"/>
    </w:pPr>
    <w:rPr>
      <w:rFonts w:ascii="思源黑体" w:eastAsia="思源黑体"/>
      <w:color w:val="auto"/>
    </w:rPr>
  </w:style>
  <w:style w:type="paragraph" w:customStyle="1" w:styleId="123">
    <w:name w:val="Char1"/>
    <w:basedOn w:val="1"/>
    <w:autoRedefine/>
    <w:qFormat/>
    <w:uiPriority w:val="0"/>
    <w:pPr>
      <w:widowControl/>
      <w:spacing w:after="160" w:line="240" w:lineRule="exact"/>
      <w:ind w:firstLine="0"/>
      <w:jc w:val="left"/>
    </w:pPr>
    <w:rPr>
      <w:rFonts w:ascii="Verdana" w:hAnsi="Verdana"/>
      <w:kern w:val="0"/>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11555</Words>
  <Characters>11870</Characters>
  <Lines>125</Lines>
  <Paragraphs>35</Paragraphs>
  <TotalTime>0</TotalTime>
  <ScaleCrop>false</ScaleCrop>
  <LinksUpToDate>false</LinksUpToDate>
  <CharactersWithSpaces>11881</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2024-05-20T07:50:00Z</dcterms:created>
  <dc:creator>微软用户</dc:creator>
  <cp:lastModifiedBy>招标代理</cp:lastModifiedBy>
  <cp:lastPrinted>2021-07-08T03:37:00Z</cp:lastPrinted>
  <dcterms:modified xsi:type="dcterms:W3CDTF">2024-07-15T05:46:30Z</dcterms:modified>
  <dc:title>公开招标标书</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0352A72D20AD422CA8653B75EEEC4E62_13</vt:lpwstr>
  </property>
</Properties>
</file>